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7329A" w14:textId="6ED81986" w:rsidR="00AF3D39" w:rsidRDefault="0029704A" w:rsidP="000870B6">
      <w:pPr>
        <w:pStyle w:val="PublicationTitle"/>
        <w:jc w:val="left"/>
      </w:pPr>
      <w:r>
        <w:t xml:space="preserve">Small gene panel testing for </w:t>
      </w:r>
      <w:r w:rsidR="000C7297">
        <w:t xml:space="preserve">non-squamous </w:t>
      </w:r>
      <w:r>
        <w:t>non-small cell lung ca</w:t>
      </w:r>
      <w:r w:rsidR="00FD6AD2">
        <w:t>ncer</w:t>
      </w:r>
    </w:p>
    <w:p w14:paraId="651651D7" w14:textId="07BBAFC8" w:rsidR="001336E0" w:rsidRDefault="001336E0" w:rsidP="000870B6">
      <w:pPr>
        <w:pBdr>
          <w:bottom w:val="single" w:sz="4" w:space="1" w:color="auto"/>
        </w:pBdr>
        <w:ind w:left="4536"/>
      </w:pPr>
    </w:p>
    <w:p w14:paraId="46535336" w14:textId="7639CAA1" w:rsidR="001336E0" w:rsidRDefault="00152D76" w:rsidP="008967C4">
      <w:pPr>
        <w:pStyle w:val="Date"/>
        <w:spacing w:after="240"/>
      </w:pPr>
      <w:r>
        <w:t xml:space="preserve">August </w:t>
      </w:r>
      <w:r w:rsidR="001439A9">
        <w:t>2022</w:t>
      </w:r>
    </w:p>
    <w:p w14:paraId="28FE6E96" w14:textId="2DB1DFEA" w:rsidR="008B3A88" w:rsidRPr="00CE28E3" w:rsidRDefault="000870B6" w:rsidP="0075288D">
      <w:pPr>
        <w:pStyle w:val="Sub-title"/>
        <w:spacing w:before="2400"/>
        <w:jc w:val="both"/>
      </w:pPr>
      <w:r w:rsidRPr="00CE28E3">
        <w:t xml:space="preserve">MSAC application no. </w:t>
      </w:r>
      <w:r w:rsidR="0029704A">
        <w:t>1721</w:t>
      </w:r>
      <w:r>
        <w:br/>
      </w:r>
      <w:r w:rsidR="0075288D">
        <w:br/>
        <w:t>Assessment report</w:t>
      </w:r>
    </w:p>
    <w:p w14:paraId="094D603E" w14:textId="77777777" w:rsidR="00DD1A95" w:rsidRPr="00CE28E3" w:rsidRDefault="00DD1A95" w:rsidP="008B3A88">
      <w:pPr>
        <w:autoSpaceDE w:val="0"/>
        <w:autoSpaceDN w:val="0"/>
        <w:adjustRightInd w:val="0"/>
        <w:spacing w:after="0" w:line="240" w:lineRule="auto"/>
        <w:sectPr w:rsidR="00DD1A95" w:rsidRPr="00CE28E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51F848CA" w14:textId="2C41E303" w:rsidR="00620E5A" w:rsidRPr="00CE28E3" w:rsidRDefault="00620E5A" w:rsidP="005723D6">
      <w:r w:rsidRPr="00CE28E3">
        <w:lastRenderedPageBreak/>
        <w:t xml:space="preserve">© Commonwealth of Australia </w:t>
      </w:r>
      <w:r w:rsidRPr="0096143A">
        <w:t>20</w:t>
      </w:r>
      <w:r w:rsidR="0096143A" w:rsidRPr="0096143A">
        <w:t>22</w:t>
      </w:r>
    </w:p>
    <w:p w14:paraId="42CB17DC" w14:textId="77777777" w:rsidR="00620E5A" w:rsidRPr="00CE28E3" w:rsidRDefault="00620E5A" w:rsidP="005723D6">
      <w:r w:rsidRPr="00CE28E3">
        <w:t xml:space="preserve">ISBN (Online) </w:t>
      </w:r>
      <w:r w:rsidRPr="00223664">
        <w:t>TBA</w:t>
      </w:r>
      <w:r w:rsidRPr="00CE28E3">
        <w:t xml:space="preserve"> </w:t>
      </w:r>
    </w:p>
    <w:p w14:paraId="52D4C00B" w14:textId="77777777" w:rsidR="00620E5A" w:rsidRPr="00CE28E3" w:rsidRDefault="00620E5A" w:rsidP="005723D6">
      <w:r w:rsidRPr="00CE28E3">
        <w:t>ISSN (Online) 1443-7139</w:t>
      </w:r>
    </w:p>
    <w:p w14:paraId="74A21D8B" w14:textId="378CF1DC" w:rsidR="00620E5A" w:rsidRPr="00CE28E3" w:rsidRDefault="004D3897" w:rsidP="005723D6">
      <w:r>
        <w:t>Web</w:t>
      </w:r>
      <w:r w:rsidR="00620E5A" w:rsidRPr="00CE28E3">
        <w:t xml:space="preserve">site </w:t>
      </w:r>
      <w:hyperlink r:id="rId14" w:history="1">
        <w:r w:rsidR="00997BA8" w:rsidRPr="00997BA8">
          <w:rPr>
            <w:rStyle w:val="Hyperlink"/>
          </w:rPr>
          <w:t>www.msac.gov.au</w:t>
        </w:r>
      </w:hyperlink>
    </w:p>
    <w:p w14:paraId="61DAAAED" w14:textId="352751E0" w:rsidR="00620E5A" w:rsidRPr="00CE28E3" w:rsidRDefault="00620E5A" w:rsidP="005723D6">
      <w:r w:rsidRPr="00CE28E3">
        <w:t xml:space="preserve">This work is copyright. You may download, display, print and reproduce this material in unaltered form only (retaining this notice) for your personal, non-commercial use or use within your organisation. Apart from any use as permitted under the </w:t>
      </w:r>
      <w:r w:rsidRPr="000A2DA8">
        <w:rPr>
          <w:i/>
          <w:iCs/>
        </w:rPr>
        <w:t>Copyright Act 1968</w:t>
      </w:r>
      <w:r w:rsidRPr="00CE28E3">
        <w:t xml:space="preserve">, all other rights are reserved. Requests and </w:t>
      </w:r>
      <w:r w:rsidR="004D3897">
        <w:t>e</w:t>
      </w:r>
      <w:r w:rsidRPr="00CE28E3">
        <w:t xml:space="preserve">nquiries concerning reproduction and rights should be addressed to Commonwealth Copyright Administration, Attorney-General's Department, Robert Garran Offices, National Circuit, Barton ACT 2600 or posted at </w:t>
      </w:r>
      <w:hyperlink r:id="rId15" w:history="1">
        <w:r w:rsidR="00997BA8" w:rsidRPr="00997BA8">
          <w:rPr>
            <w:rStyle w:val="Hyperlink"/>
          </w:rPr>
          <w:t>www.ag.gov.au</w:t>
        </w:r>
      </w:hyperlink>
      <w:r w:rsidRPr="00CE28E3">
        <w:t>.</w:t>
      </w:r>
    </w:p>
    <w:p w14:paraId="6DE6A527" w14:textId="407CC6C2" w:rsidR="00620E5A" w:rsidRPr="00CE28E3" w:rsidRDefault="00620E5A" w:rsidP="005723D6">
      <w:r w:rsidRPr="00CE28E3">
        <w:t xml:space="preserve">Electronic copies of the report can be obtained from the Medical Service Advisory Committee’s </w:t>
      </w:r>
      <w:r w:rsidR="004D3897">
        <w:t>web</w:t>
      </w:r>
      <w:r w:rsidRPr="00CE28E3">
        <w:t xml:space="preserve">site at </w:t>
      </w:r>
      <w:hyperlink r:id="rId16" w:history="1">
        <w:r w:rsidR="00997BA8" w:rsidRPr="00997BA8">
          <w:rPr>
            <w:rStyle w:val="Hyperlink"/>
          </w:rPr>
          <w:t>www.msac.gov.au</w:t>
        </w:r>
      </w:hyperlink>
    </w:p>
    <w:p w14:paraId="685F651A" w14:textId="0DE1C5CA" w:rsidR="00620E5A" w:rsidRPr="00CE28E3" w:rsidRDefault="00620E5A" w:rsidP="005723D6">
      <w:r w:rsidRPr="00CE28E3">
        <w:t xml:space="preserve">Enquiries about the content of the report should be emailed to </w:t>
      </w:r>
      <w:hyperlink r:id="rId17" w:history="1">
        <w:r w:rsidRPr="00997BA8">
          <w:rPr>
            <w:rStyle w:val="Hyperlink"/>
          </w:rPr>
          <w:t>hta@health.gov.au</w:t>
        </w:r>
      </w:hyperlink>
      <w:r w:rsidRPr="00CE28E3">
        <w:t>.</w:t>
      </w:r>
    </w:p>
    <w:p w14:paraId="2970258A" w14:textId="71463872" w:rsidR="00620E5A" w:rsidRPr="00CE28E3" w:rsidRDefault="00620E5A" w:rsidP="005723D6">
      <w:r w:rsidRPr="00CE28E3">
        <w:t>The technical information in this document is used by the Medical Services Advisory Committee (MSAC) to inform its deliberations. MSAC is an independent committee established to provide advice to the Minister for Health on the strength of evidence available on new and existing medical technologies and procedures in terms of their safety, effectiveness and cost</w:t>
      </w:r>
      <w:r w:rsidR="004D3897">
        <w:t>-</w:t>
      </w:r>
      <w:r w:rsidRPr="00CE28E3">
        <w:t xml:space="preserve">effectiveness. This advice will help to inform government decisions about which medical services should attract funding </w:t>
      </w:r>
      <w:r w:rsidR="0071189F">
        <w:t>through the Medicare Benefits Schedule (MBS) or alternative funding programs/arrangements.</w:t>
      </w:r>
    </w:p>
    <w:p w14:paraId="64A88BF7" w14:textId="77777777" w:rsidR="00620E5A" w:rsidRPr="005723D6" w:rsidRDefault="00620E5A" w:rsidP="005723D6">
      <w:pPr>
        <w:rPr>
          <w:rStyle w:val="Strong"/>
        </w:rPr>
      </w:pPr>
      <w:r w:rsidRPr="005723D6">
        <w:rPr>
          <w:rStyle w:val="Strong"/>
        </w:rPr>
        <w:t>MSAC’s advice does not necessarily reflect the views of all individuals who participated in the MSAC evaluation.</w:t>
      </w:r>
    </w:p>
    <w:p w14:paraId="0E9AE16F" w14:textId="0104DB2B" w:rsidR="00620E5A" w:rsidRPr="00CE28E3" w:rsidRDefault="00620E5A" w:rsidP="005723D6">
      <w:r w:rsidRPr="00CE28E3">
        <w:t>This report was prepared by</w:t>
      </w:r>
      <w:r w:rsidR="0096143A">
        <w:t xml:space="preserve"> Skye Newton, Arlene Vogan, Bron Lett, Vivian Liufu, and Jacqueline Parsons</w:t>
      </w:r>
      <w:r w:rsidRPr="00CE28E3">
        <w:t xml:space="preserve"> </w:t>
      </w:r>
      <w:r w:rsidR="0096143A">
        <w:t>from Adelaide Health Technology Assessment (AHTA), University of Adelaide</w:t>
      </w:r>
      <w:r w:rsidRPr="00CE28E3">
        <w:t xml:space="preserve">. </w:t>
      </w:r>
      <w:r w:rsidR="00F328CF">
        <w:t xml:space="preserve">This report was edited by Klara Salinger and David Tamblyn. </w:t>
      </w:r>
      <w:r w:rsidRPr="00CE28E3">
        <w:t>The report was commissioned by the Australian Government Department of Health</w:t>
      </w:r>
      <w:r w:rsidR="008A5CBE">
        <w:t xml:space="preserve"> and Aged Care</w:t>
      </w:r>
      <w:r w:rsidRPr="00CE28E3">
        <w:t xml:space="preserve">. </w:t>
      </w:r>
    </w:p>
    <w:p w14:paraId="7D7C9BE7" w14:textId="77777777" w:rsidR="00620E5A" w:rsidRPr="00634F25" w:rsidRDefault="00620E5A" w:rsidP="005723D6">
      <w:r w:rsidRPr="00634F25">
        <w:t>The suggested citation for this document is:</w:t>
      </w:r>
    </w:p>
    <w:p w14:paraId="33D4F584" w14:textId="51CF5AF6" w:rsidR="00620E5A" w:rsidRPr="00CE28E3" w:rsidRDefault="00634F25" w:rsidP="005723D6">
      <w:r w:rsidRPr="00634F25">
        <w:t>Newton, S, Vogan, A, Lett, B, Liufu, V, Parsons, J</w:t>
      </w:r>
      <w:r w:rsidR="00620E5A" w:rsidRPr="00634F25">
        <w:t>. (20</w:t>
      </w:r>
      <w:r w:rsidRPr="00634F25">
        <w:t>22</w:t>
      </w:r>
      <w:r w:rsidR="00620E5A" w:rsidRPr="00634F25">
        <w:t xml:space="preserve">). </w:t>
      </w:r>
      <w:r w:rsidRPr="00634F25">
        <w:t>Small gene panel testing for non-squamous non-small cell lung cancer</w:t>
      </w:r>
      <w:r w:rsidR="00620E5A" w:rsidRPr="00634F25">
        <w:t xml:space="preserve">. MSAC Application </w:t>
      </w:r>
      <w:r w:rsidRPr="00634F25">
        <w:t>1721</w:t>
      </w:r>
      <w:r w:rsidR="00620E5A" w:rsidRPr="00634F25">
        <w:t>, Assessment</w:t>
      </w:r>
      <w:r w:rsidR="00620E5A" w:rsidRPr="00CE28E3">
        <w:t xml:space="preserve"> Report. Commonwealth of Australia, Canberra, ACT.</w:t>
      </w:r>
    </w:p>
    <w:p w14:paraId="74AE1D95" w14:textId="387D92B0" w:rsidR="005723D6" w:rsidRPr="003251C2" w:rsidRDefault="002522AA" w:rsidP="00997BA8">
      <w:pPr>
        <w:pStyle w:val="Instructionaltext"/>
        <w:sectPr w:rsidR="005723D6" w:rsidRPr="003251C2">
          <w:pgSz w:w="11906" w:h="16838"/>
          <w:pgMar w:top="1440" w:right="1440" w:bottom="1440" w:left="1440" w:header="708" w:footer="708" w:gutter="0"/>
          <w:cols w:space="708"/>
          <w:docGrid w:linePitch="360"/>
        </w:sectPr>
      </w:pPr>
      <w:bookmarkStart w:id="0" w:name="_Hlk69736945"/>
      <w:r w:rsidRPr="00A65842">
        <w:rPr>
          <w:noProof/>
          <w:lang w:eastAsia="en-AU"/>
        </w:rPr>
        <w:drawing>
          <wp:inline distT="0" distB="0" distL="0" distR="0" wp14:anchorId="6C192E61" wp14:editId="1D15284A">
            <wp:extent cx="2324424" cy="1438476"/>
            <wp:effectExtent l="0" t="0" r="0" b="9525"/>
            <wp:docPr id="16" name="Picture 16" descr="Logo to show that this report meets the characteristics of a health technology assessment (an INAHTA product type)&#10;" title="INAHTA IP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4424" cy="1438476"/>
                    </a:xfrm>
                    <a:prstGeom prst="rect">
                      <a:avLst/>
                    </a:prstGeom>
                  </pic:spPr>
                </pic:pic>
              </a:graphicData>
            </a:graphic>
          </wp:inline>
        </w:drawing>
      </w:r>
      <w:bookmarkEnd w:id="0"/>
    </w:p>
    <w:p w14:paraId="17EF59EB" w14:textId="7CAFA0D6" w:rsidR="00AD60EA" w:rsidRPr="00CE28E3" w:rsidRDefault="00AD60EA" w:rsidP="0088445B">
      <w:pPr>
        <w:pStyle w:val="Heading1"/>
        <w:numPr>
          <w:ilvl w:val="0"/>
          <w:numId w:val="0"/>
        </w:numPr>
        <w:ind w:left="357" w:hanging="357"/>
      </w:pPr>
      <w:bookmarkStart w:id="1" w:name="_Toc54254748"/>
      <w:bookmarkStart w:id="2" w:name="_Toc109129807"/>
      <w:bookmarkStart w:id="3" w:name="_Toc148531115"/>
      <w:r w:rsidRPr="00CE28E3">
        <w:lastRenderedPageBreak/>
        <w:t>Contents</w:t>
      </w:r>
      <w:bookmarkEnd w:id="1"/>
      <w:bookmarkEnd w:id="2"/>
      <w:bookmarkEnd w:id="3"/>
    </w:p>
    <w:sdt>
      <w:sdtPr>
        <w:rPr>
          <w:rFonts w:ascii="Franklin Gothic Book" w:hAnsi="Franklin Gothic Book"/>
          <w:b w:val="0"/>
        </w:rPr>
        <w:id w:val="-75056518"/>
        <w:docPartObj>
          <w:docPartGallery w:val="Table of Contents"/>
          <w:docPartUnique/>
        </w:docPartObj>
      </w:sdtPr>
      <w:sdtEndPr>
        <w:rPr>
          <w:rFonts w:asciiTheme="minorHAnsi" w:hAnsiTheme="minorHAnsi"/>
          <w:bCs/>
          <w:noProof/>
        </w:rPr>
      </w:sdtEndPr>
      <w:sdtContent>
        <w:p w14:paraId="2E9B8AE9" w14:textId="1B553AA8" w:rsidR="004C426C" w:rsidRDefault="00DE7099">
          <w:pPr>
            <w:pStyle w:val="TOC1"/>
            <w:rPr>
              <w:rFonts w:eastAsiaTheme="minorEastAsia"/>
              <w:b w:val="0"/>
              <w:noProof/>
              <w:lang w:eastAsia="en-AU"/>
            </w:rPr>
          </w:pPr>
          <w:r w:rsidRPr="00CE28E3">
            <w:rPr>
              <w:rFonts w:asciiTheme="majorHAnsi" w:eastAsiaTheme="majorEastAsia" w:hAnsiTheme="majorHAnsi" w:cstheme="majorBidi"/>
              <w:b w:val="0"/>
              <w:color w:val="2E74B5" w:themeColor="accent1" w:themeShade="BF"/>
              <w:sz w:val="32"/>
              <w:szCs w:val="32"/>
              <w:lang w:val="en-US"/>
            </w:rPr>
            <w:fldChar w:fldCharType="begin"/>
          </w:r>
          <w:r w:rsidRPr="00CE28E3">
            <w:instrText xml:space="preserve"> TOC \o "1-3" \h \z \u </w:instrText>
          </w:r>
          <w:r w:rsidRPr="00CE28E3">
            <w:rPr>
              <w:rFonts w:asciiTheme="majorHAnsi" w:eastAsiaTheme="majorEastAsia" w:hAnsiTheme="majorHAnsi" w:cstheme="majorBidi"/>
              <w:b w:val="0"/>
              <w:color w:val="2E74B5" w:themeColor="accent1" w:themeShade="BF"/>
              <w:sz w:val="32"/>
              <w:szCs w:val="32"/>
              <w:lang w:val="en-US"/>
            </w:rPr>
            <w:fldChar w:fldCharType="separate"/>
          </w:r>
          <w:hyperlink w:anchor="_Toc148531115" w:history="1">
            <w:r w:rsidR="004C426C" w:rsidRPr="000E194E">
              <w:rPr>
                <w:rStyle w:val="Hyperlink"/>
                <w:noProof/>
              </w:rPr>
              <w:t>Contents</w:t>
            </w:r>
            <w:r w:rsidR="004C426C">
              <w:rPr>
                <w:noProof/>
                <w:webHidden/>
              </w:rPr>
              <w:tab/>
            </w:r>
            <w:r w:rsidR="004C426C">
              <w:rPr>
                <w:noProof/>
                <w:webHidden/>
              </w:rPr>
              <w:fldChar w:fldCharType="begin"/>
            </w:r>
            <w:r w:rsidR="004C426C">
              <w:rPr>
                <w:noProof/>
                <w:webHidden/>
              </w:rPr>
              <w:instrText xml:space="preserve"> PAGEREF _Toc148531115 \h </w:instrText>
            </w:r>
            <w:r w:rsidR="004C426C">
              <w:rPr>
                <w:noProof/>
                <w:webHidden/>
              </w:rPr>
            </w:r>
            <w:r w:rsidR="004C426C">
              <w:rPr>
                <w:noProof/>
                <w:webHidden/>
              </w:rPr>
              <w:fldChar w:fldCharType="separate"/>
            </w:r>
            <w:r w:rsidR="00C857F3">
              <w:rPr>
                <w:noProof/>
                <w:webHidden/>
              </w:rPr>
              <w:t>3</w:t>
            </w:r>
            <w:r w:rsidR="004C426C">
              <w:rPr>
                <w:noProof/>
                <w:webHidden/>
              </w:rPr>
              <w:fldChar w:fldCharType="end"/>
            </w:r>
          </w:hyperlink>
        </w:p>
        <w:p w14:paraId="202CDE8B" w14:textId="78BF128A" w:rsidR="004C426C" w:rsidRDefault="00C857F3">
          <w:pPr>
            <w:pStyle w:val="TOC1"/>
            <w:rPr>
              <w:rFonts w:eastAsiaTheme="minorEastAsia"/>
              <w:b w:val="0"/>
              <w:noProof/>
              <w:lang w:eastAsia="en-AU"/>
            </w:rPr>
          </w:pPr>
          <w:hyperlink w:anchor="_Toc148531116" w:history="1">
            <w:r w:rsidR="004C426C" w:rsidRPr="000E194E">
              <w:rPr>
                <w:rStyle w:val="Hyperlink"/>
                <w:rFonts w:ascii="Arial" w:hAnsi="Arial" w:cs="Arial"/>
                <w:bCs/>
                <w:noProof/>
              </w:rPr>
              <w:t>DCAR Executive Summary</w:t>
            </w:r>
            <w:r w:rsidR="004C426C">
              <w:rPr>
                <w:noProof/>
                <w:webHidden/>
              </w:rPr>
              <w:tab/>
            </w:r>
            <w:r w:rsidR="004C426C">
              <w:rPr>
                <w:noProof/>
                <w:webHidden/>
              </w:rPr>
              <w:fldChar w:fldCharType="begin"/>
            </w:r>
            <w:r w:rsidR="004C426C">
              <w:rPr>
                <w:noProof/>
                <w:webHidden/>
              </w:rPr>
              <w:instrText xml:space="preserve"> PAGEREF _Toc148531116 \h </w:instrText>
            </w:r>
            <w:r w:rsidR="004C426C">
              <w:rPr>
                <w:noProof/>
                <w:webHidden/>
              </w:rPr>
            </w:r>
            <w:r w:rsidR="004C426C">
              <w:rPr>
                <w:noProof/>
                <w:webHidden/>
              </w:rPr>
              <w:fldChar w:fldCharType="separate"/>
            </w:r>
            <w:r>
              <w:rPr>
                <w:noProof/>
                <w:webHidden/>
              </w:rPr>
              <w:t>7</w:t>
            </w:r>
            <w:r w:rsidR="004C426C">
              <w:rPr>
                <w:noProof/>
                <w:webHidden/>
              </w:rPr>
              <w:fldChar w:fldCharType="end"/>
            </w:r>
          </w:hyperlink>
        </w:p>
        <w:p w14:paraId="7462426D" w14:textId="407C43F4" w:rsidR="004C426C" w:rsidRDefault="00C857F3">
          <w:pPr>
            <w:pStyle w:val="TOC2"/>
            <w:rPr>
              <w:rFonts w:eastAsiaTheme="minorEastAsia"/>
              <w:noProof/>
              <w:lang w:eastAsia="en-AU"/>
            </w:rPr>
          </w:pPr>
          <w:hyperlink w:anchor="_Toc148531117" w:history="1">
            <w:r w:rsidR="004C426C" w:rsidRPr="000E194E">
              <w:rPr>
                <w:rStyle w:val="Hyperlink"/>
                <w:noProof/>
              </w:rPr>
              <w:t>1.</w:t>
            </w:r>
            <w:r w:rsidR="004C426C">
              <w:rPr>
                <w:rFonts w:eastAsiaTheme="minorEastAsia"/>
                <w:noProof/>
                <w:lang w:eastAsia="en-AU"/>
              </w:rPr>
              <w:tab/>
            </w:r>
            <w:r w:rsidR="004C426C" w:rsidRPr="000E194E">
              <w:rPr>
                <w:rStyle w:val="Hyperlink"/>
                <w:noProof/>
              </w:rPr>
              <w:t>Purpose of application</w:t>
            </w:r>
            <w:r w:rsidR="004C426C">
              <w:rPr>
                <w:noProof/>
                <w:webHidden/>
              </w:rPr>
              <w:tab/>
            </w:r>
            <w:r w:rsidR="004C426C">
              <w:rPr>
                <w:noProof/>
                <w:webHidden/>
              </w:rPr>
              <w:fldChar w:fldCharType="begin"/>
            </w:r>
            <w:r w:rsidR="004C426C">
              <w:rPr>
                <w:noProof/>
                <w:webHidden/>
              </w:rPr>
              <w:instrText xml:space="preserve"> PAGEREF _Toc148531117 \h </w:instrText>
            </w:r>
            <w:r w:rsidR="004C426C">
              <w:rPr>
                <w:noProof/>
                <w:webHidden/>
              </w:rPr>
            </w:r>
            <w:r w:rsidR="004C426C">
              <w:rPr>
                <w:noProof/>
                <w:webHidden/>
              </w:rPr>
              <w:fldChar w:fldCharType="separate"/>
            </w:r>
            <w:r>
              <w:rPr>
                <w:noProof/>
                <w:webHidden/>
              </w:rPr>
              <w:t>9</w:t>
            </w:r>
            <w:r w:rsidR="004C426C">
              <w:rPr>
                <w:noProof/>
                <w:webHidden/>
              </w:rPr>
              <w:fldChar w:fldCharType="end"/>
            </w:r>
          </w:hyperlink>
        </w:p>
        <w:p w14:paraId="789B37D2" w14:textId="2FEFE52C" w:rsidR="004C426C" w:rsidRDefault="00C857F3">
          <w:pPr>
            <w:pStyle w:val="TOC2"/>
            <w:rPr>
              <w:rFonts w:eastAsiaTheme="minorEastAsia"/>
              <w:noProof/>
              <w:lang w:eastAsia="en-AU"/>
            </w:rPr>
          </w:pPr>
          <w:hyperlink w:anchor="_Toc148531118" w:history="1">
            <w:r w:rsidR="004C426C" w:rsidRPr="000E194E">
              <w:rPr>
                <w:rStyle w:val="Hyperlink"/>
                <w:noProof/>
              </w:rPr>
              <w:t>2.</w:t>
            </w:r>
            <w:r w:rsidR="004C426C">
              <w:rPr>
                <w:rFonts w:eastAsiaTheme="minorEastAsia"/>
                <w:noProof/>
                <w:lang w:eastAsia="en-AU"/>
              </w:rPr>
              <w:tab/>
            </w:r>
            <w:r w:rsidR="004C426C" w:rsidRPr="000E194E">
              <w:rPr>
                <w:rStyle w:val="Hyperlink"/>
                <w:noProof/>
              </w:rPr>
              <w:t>Background</w:t>
            </w:r>
            <w:r w:rsidR="004C426C">
              <w:rPr>
                <w:noProof/>
                <w:webHidden/>
              </w:rPr>
              <w:tab/>
            </w:r>
            <w:r w:rsidR="004C426C">
              <w:rPr>
                <w:noProof/>
                <w:webHidden/>
              </w:rPr>
              <w:fldChar w:fldCharType="begin"/>
            </w:r>
            <w:r w:rsidR="004C426C">
              <w:rPr>
                <w:noProof/>
                <w:webHidden/>
              </w:rPr>
              <w:instrText xml:space="preserve"> PAGEREF _Toc148531118 \h </w:instrText>
            </w:r>
            <w:r w:rsidR="004C426C">
              <w:rPr>
                <w:noProof/>
                <w:webHidden/>
              </w:rPr>
            </w:r>
            <w:r w:rsidR="004C426C">
              <w:rPr>
                <w:noProof/>
                <w:webHidden/>
              </w:rPr>
              <w:fldChar w:fldCharType="separate"/>
            </w:r>
            <w:r>
              <w:rPr>
                <w:noProof/>
                <w:webHidden/>
              </w:rPr>
              <w:t>9</w:t>
            </w:r>
            <w:r w:rsidR="004C426C">
              <w:rPr>
                <w:noProof/>
                <w:webHidden/>
              </w:rPr>
              <w:fldChar w:fldCharType="end"/>
            </w:r>
          </w:hyperlink>
        </w:p>
        <w:p w14:paraId="75B9669A" w14:textId="6DDE90CA" w:rsidR="004C426C" w:rsidRDefault="00C857F3">
          <w:pPr>
            <w:pStyle w:val="TOC2"/>
            <w:rPr>
              <w:rFonts w:eastAsiaTheme="minorEastAsia"/>
              <w:noProof/>
              <w:lang w:eastAsia="en-AU"/>
            </w:rPr>
          </w:pPr>
          <w:hyperlink w:anchor="_Toc148531119" w:history="1">
            <w:r w:rsidR="004C426C" w:rsidRPr="000E194E">
              <w:rPr>
                <w:rStyle w:val="Hyperlink"/>
                <w:noProof/>
              </w:rPr>
              <w:t>3.</w:t>
            </w:r>
            <w:r w:rsidR="004C426C">
              <w:rPr>
                <w:rFonts w:eastAsiaTheme="minorEastAsia"/>
                <w:noProof/>
                <w:lang w:eastAsia="en-AU"/>
              </w:rPr>
              <w:tab/>
            </w:r>
            <w:r w:rsidR="004C426C" w:rsidRPr="000E194E">
              <w:rPr>
                <w:rStyle w:val="Hyperlink"/>
                <w:noProof/>
              </w:rPr>
              <w:t>Prerequisites to implementation of any funding advice</w:t>
            </w:r>
            <w:r w:rsidR="004C426C">
              <w:rPr>
                <w:noProof/>
                <w:webHidden/>
              </w:rPr>
              <w:tab/>
            </w:r>
            <w:r w:rsidR="004C426C">
              <w:rPr>
                <w:noProof/>
                <w:webHidden/>
              </w:rPr>
              <w:fldChar w:fldCharType="begin"/>
            </w:r>
            <w:r w:rsidR="004C426C">
              <w:rPr>
                <w:noProof/>
                <w:webHidden/>
              </w:rPr>
              <w:instrText xml:space="preserve"> PAGEREF _Toc148531119 \h </w:instrText>
            </w:r>
            <w:r w:rsidR="004C426C">
              <w:rPr>
                <w:noProof/>
                <w:webHidden/>
              </w:rPr>
            </w:r>
            <w:r w:rsidR="004C426C">
              <w:rPr>
                <w:noProof/>
                <w:webHidden/>
              </w:rPr>
              <w:fldChar w:fldCharType="separate"/>
            </w:r>
            <w:r>
              <w:rPr>
                <w:noProof/>
                <w:webHidden/>
              </w:rPr>
              <w:t>10</w:t>
            </w:r>
            <w:r w:rsidR="004C426C">
              <w:rPr>
                <w:noProof/>
                <w:webHidden/>
              </w:rPr>
              <w:fldChar w:fldCharType="end"/>
            </w:r>
          </w:hyperlink>
        </w:p>
        <w:p w14:paraId="64A210C3" w14:textId="667997A8" w:rsidR="004C426C" w:rsidRDefault="00C857F3">
          <w:pPr>
            <w:pStyle w:val="TOC2"/>
            <w:rPr>
              <w:rFonts w:eastAsiaTheme="minorEastAsia"/>
              <w:noProof/>
              <w:lang w:eastAsia="en-AU"/>
            </w:rPr>
          </w:pPr>
          <w:hyperlink w:anchor="_Toc148531120" w:history="1">
            <w:r w:rsidR="004C426C" w:rsidRPr="000E194E">
              <w:rPr>
                <w:rStyle w:val="Hyperlink"/>
                <w:noProof/>
              </w:rPr>
              <w:t>4.</w:t>
            </w:r>
            <w:r w:rsidR="004C426C">
              <w:rPr>
                <w:rFonts w:eastAsiaTheme="minorEastAsia"/>
                <w:noProof/>
                <w:lang w:eastAsia="en-AU"/>
              </w:rPr>
              <w:tab/>
            </w:r>
            <w:r w:rsidR="004C426C" w:rsidRPr="000E194E">
              <w:rPr>
                <w:rStyle w:val="Hyperlink"/>
                <w:noProof/>
              </w:rPr>
              <w:t>Proposal for public funding</w:t>
            </w:r>
            <w:r w:rsidR="004C426C">
              <w:rPr>
                <w:noProof/>
                <w:webHidden/>
              </w:rPr>
              <w:tab/>
            </w:r>
            <w:r w:rsidR="004C426C">
              <w:rPr>
                <w:noProof/>
                <w:webHidden/>
              </w:rPr>
              <w:fldChar w:fldCharType="begin"/>
            </w:r>
            <w:r w:rsidR="004C426C">
              <w:rPr>
                <w:noProof/>
                <w:webHidden/>
              </w:rPr>
              <w:instrText xml:space="preserve"> PAGEREF _Toc148531120 \h </w:instrText>
            </w:r>
            <w:r w:rsidR="004C426C">
              <w:rPr>
                <w:noProof/>
                <w:webHidden/>
              </w:rPr>
            </w:r>
            <w:r w:rsidR="004C426C">
              <w:rPr>
                <w:noProof/>
                <w:webHidden/>
              </w:rPr>
              <w:fldChar w:fldCharType="separate"/>
            </w:r>
            <w:r>
              <w:rPr>
                <w:noProof/>
                <w:webHidden/>
              </w:rPr>
              <w:t>11</w:t>
            </w:r>
            <w:r w:rsidR="004C426C">
              <w:rPr>
                <w:noProof/>
                <w:webHidden/>
              </w:rPr>
              <w:fldChar w:fldCharType="end"/>
            </w:r>
          </w:hyperlink>
        </w:p>
        <w:p w14:paraId="3869FB8E" w14:textId="0227FEEB" w:rsidR="004C426C" w:rsidRDefault="00C857F3">
          <w:pPr>
            <w:pStyle w:val="TOC2"/>
            <w:rPr>
              <w:rFonts w:eastAsiaTheme="minorEastAsia"/>
              <w:noProof/>
              <w:lang w:eastAsia="en-AU"/>
            </w:rPr>
          </w:pPr>
          <w:hyperlink w:anchor="_Toc148531121" w:history="1">
            <w:r w:rsidR="004C426C" w:rsidRPr="000E194E">
              <w:rPr>
                <w:rStyle w:val="Hyperlink"/>
                <w:noProof/>
              </w:rPr>
              <w:t>5.</w:t>
            </w:r>
            <w:r w:rsidR="004C426C">
              <w:rPr>
                <w:rFonts w:eastAsiaTheme="minorEastAsia"/>
                <w:noProof/>
                <w:lang w:eastAsia="en-AU"/>
              </w:rPr>
              <w:tab/>
            </w:r>
            <w:r w:rsidR="004C426C" w:rsidRPr="000E194E">
              <w:rPr>
                <w:rStyle w:val="Hyperlink"/>
                <w:noProof/>
              </w:rPr>
              <w:t>Population</w:t>
            </w:r>
            <w:r w:rsidR="004C426C">
              <w:rPr>
                <w:noProof/>
                <w:webHidden/>
              </w:rPr>
              <w:tab/>
            </w:r>
            <w:r w:rsidR="004C426C">
              <w:rPr>
                <w:noProof/>
                <w:webHidden/>
              </w:rPr>
              <w:fldChar w:fldCharType="begin"/>
            </w:r>
            <w:r w:rsidR="004C426C">
              <w:rPr>
                <w:noProof/>
                <w:webHidden/>
              </w:rPr>
              <w:instrText xml:space="preserve"> PAGEREF _Toc148531121 \h </w:instrText>
            </w:r>
            <w:r w:rsidR="004C426C">
              <w:rPr>
                <w:noProof/>
                <w:webHidden/>
              </w:rPr>
            </w:r>
            <w:r w:rsidR="004C426C">
              <w:rPr>
                <w:noProof/>
                <w:webHidden/>
              </w:rPr>
              <w:fldChar w:fldCharType="separate"/>
            </w:r>
            <w:r>
              <w:rPr>
                <w:noProof/>
                <w:webHidden/>
              </w:rPr>
              <w:t>12</w:t>
            </w:r>
            <w:r w:rsidR="004C426C">
              <w:rPr>
                <w:noProof/>
                <w:webHidden/>
              </w:rPr>
              <w:fldChar w:fldCharType="end"/>
            </w:r>
          </w:hyperlink>
        </w:p>
        <w:p w14:paraId="54E453F2" w14:textId="50D0B6EE" w:rsidR="004C426C" w:rsidRDefault="00C857F3">
          <w:pPr>
            <w:pStyle w:val="TOC2"/>
            <w:rPr>
              <w:rFonts w:eastAsiaTheme="minorEastAsia"/>
              <w:noProof/>
              <w:lang w:eastAsia="en-AU"/>
            </w:rPr>
          </w:pPr>
          <w:hyperlink w:anchor="_Toc148531122" w:history="1">
            <w:r w:rsidR="004C426C" w:rsidRPr="000E194E">
              <w:rPr>
                <w:rStyle w:val="Hyperlink"/>
                <w:noProof/>
              </w:rPr>
              <w:t>6.</w:t>
            </w:r>
            <w:r w:rsidR="004C426C">
              <w:rPr>
                <w:rFonts w:eastAsiaTheme="minorEastAsia"/>
                <w:noProof/>
                <w:lang w:eastAsia="en-AU"/>
              </w:rPr>
              <w:tab/>
            </w:r>
            <w:r w:rsidR="004C426C" w:rsidRPr="000E194E">
              <w:rPr>
                <w:rStyle w:val="Hyperlink"/>
                <w:noProof/>
              </w:rPr>
              <w:t>Comparator</w:t>
            </w:r>
            <w:r w:rsidR="004C426C">
              <w:rPr>
                <w:noProof/>
                <w:webHidden/>
              </w:rPr>
              <w:tab/>
            </w:r>
            <w:r w:rsidR="004C426C">
              <w:rPr>
                <w:noProof/>
                <w:webHidden/>
              </w:rPr>
              <w:fldChar w:fldCharType="begin"/>
            </w:r>
            <w:r w:rsidR="004C426C">
              <w:rPr>
                <w:noProof/>
                <w:webHidden/>
              </w:rPr>
              <w:instrText xml:space="preserve"> PAGEREF _Toc148531122 \h </w:instrText>
            </w:r>
            <w:r w:rsidR="004C426C">
              <w:rPr>
                <w:noProof/>
                <w:webHidden/>
              </w:rPr>
            </w:r>
            <w:r w:rsidR="004C426C">
              <w:rPr>
                <w:noProof/>
                <w:webHidden/>
              </w:rPr>
              <w:fldChar w:fldCharType="separate"/>
            </w:r>
            <w:r>
              <w:rPr>
                <w:noProof/>
                <w:webHidden/>
              </w:rPr>
              <w:t>14</w:t>
            </w:r>
            <w:r w:rsidR="004C426C">
              <w:rPr>
                <w:noProof/>
                <w:webHidden/>
              </w:rPr>
              <w:fldChar w:fldCharType="end"/>
            </w:r>
          </w:hyperlink>
        </w:p>
        <w:p w14:paraId="56755131" w14:textId="04E06663" w:rsidR="004C426C" w:rsidRDefault="00C857F3">
          <w:pPr>
            <w:pStyle w:val="TOC2"/>
            <w:rPr>
              <w:rFonts w:eastAsiaTheme="minorEastAsia"/>
              <w:noProof/>
              <w:lang w:eastAsia="en-AU"/>
            </w:rPr>
          </w:pPr>
          <w:hyperlink w:anchor="_Toc148531123" w:history="1">
            <w:r w:rsidR="004C426C" w:rsidRPr="000E194E">
              <w:rPr>
                <w:rStyle w:val="Hyperlink"/>
                <w:noProof/>
              </w:rPr>
              <w:t>7.</w:t>
            </w:r>
            <w:r w:rsidR="004C426C">
              <w:rPr>
                <w:rFonts w:eastAsiaTheme="minorEastAsia"/>
                <w:noProof/>
                <w:lang w:eastAsia="en-AU"/>
              </w:rPr>
              <w:tab/>
            </w:r>
            <w:r w:rsidR="004C426C" w:rsidRPr="000E194E">
              <w:rPr>
                <w:rStyle w:val="Hyperlink"/>
                <w:noProof/>
              </w:rPr>
              <w:t>Summary of public consultation input</w:t>
            </w:r>
            <w:r w:rsidR="004C426C">
              <w:rPr>
                <w:noProof/>
                <w:webHidden/>
              </w:rPr>
              <w:tab/>
            </w:r>
            <w:r w:rsidR="004C426C">
              <w:rPr>
                <w:noProof/>
                <w:webHidden/>
              </w:rPr>
              <w:fldChar w:fldCharType="begin"/>
            </w:r>
            <w:r w:rsidR="004C426C">
              <w:rPr>
                <w:noProof/>
                <w:webHidden/>
              </w:rPr>
              <w:instrText xml:space="preserve"> PAGEREF _Toc148531123 \h </w:instrText>
            </w:r>
            <w:r w:rsidR="004C426C">
              <w:rPr>
                <w:noProof/>
                <w:webHidden/>
              </w:rPr>
            </w:r>
            <w:r w:rsidR="004C426C">
              <w:rPr>
                <w:noProof/>
                <w:webHidden/>
              </w:rPr>
              <w:fldChar w:fldCharType="separate"/>
            </w:r>
            <w:r>
              <w:rPr>
                <w:noProof/>
                <w:webHidden/>
              </w:rPr>
              <w:t>14</w:t>
            </w:r>
            <w:r w:rsidR="004C426C">
              <w:rPr>
                <w:noProof/>
                <w:webHidden/>
              </w:rPr>
              <w:fldChar w:fldCharType="end"/>
            </w:r>
          </w:hyperlink>
        </w:p>
        <w:p w14:paraId="6DB89C51" w14:textId="25BE8708" w:rsidR="004C426C" w:rsidRDefault="00C857F3">
          <w:pPr>
            <w:pStyle w:val="TOC2"/>
            <w:rPr>
              <w:rFonts w:eastAsiaTheme="minorEastAsia"/>
              <w:noProof/>
              <w:lang w:eastAsia="en-AU"/>
            </w:rPr>
          </w:pPr>
          <w:hyperlink w:anchor="_Toc148531124" w:history="1">
            <w:r w:rsidR="004C426C" w:rsidRPr="000E194E">
              <w:rPr>
                <w:rStyle w:val="Hyperlink"/>
                <w:noProof/>
              </w:rPr>
              <w:t>8.</w:t>
            </w:r>
            <w:r w:rsidR="004C426C">
              <w:rPr>
                <w:rFonts w:eastAsiaTheme="minorEastAsia"/>
                <w:noProof/>
                <w:lang w:eastAsia="en-AU"/>
              </w:rPr>
              <w:tab/>
            </w:r>
            <w:r w:rsidR="004C426C" w:rsidRPr="000E194E">
              <w:rPr>
                <w:rStyle w:val="Hyperlink"/>
                <w:noProof/>
              </w:rPr>
              <w:t>Characteristics of the evidence base</w:t>
            </w:r>
            <w:r w:rsidR="004C426C">
              <w:rPr>
                <w:noProof/>
                <w:webHidden/>
              </w:rPr>
              <w:tab/>
            </w:r>
            <w:r w:rsidR="004C426C">
              <w:rPr>
                <w:noProof/>
                <w:webHidden/>
              </w:rPr>
              <w:fldChar w:fldCharType="begin"/>
            </w:r>
            <w:r w:rsidR="004C426C">
              <w:rPr>
                <w:noProof/>
                <w:webHidden/>
              </w:rPr>
              <w:instrText xml:space="preserve"> PAGEREF _Toc148531124 \h </w:instrText>
            </w:r>
            <w:r w:rsidR="004C426C">
              <w:rPr>
                <w:noProof/>
                <w:webHidden/>
              </w:rPr>
            </w:r>
            <w:r w:rsidR="004C426C">
              <w:rPr>
                <w:noProof/>
                <w:webHidden/>
              </w:rPr>
              <w:fldChar w:fldCharType="separate"/>
            </w:r>
            <w:r>
              <w:rPr>
                <w:noProof/>
                <w:webHidden/>
              </w:rPr>
              <w:t>14</w:t>
            </w:r>
            <w:r w:rsidR="004C426C">
              <w:rPr>
                <w:noProof/>
                <w:webHidden/>
              </w:rPr>
              <w:fldChar w:fldCharType="end"/>
            </w:r>
          </w:hyperlink>
        </w:p>
        <w:p w14:paraId="5E51AF42" w14:textId="09299941" w:rsidR="004C426C" w:rsidRDefault="00C857F3">
          <w:pPr>
            <w:pStyle w:val="TOC2"/>
            <w:rPr>
              <w:rFonts w:eastAsiaTheme="minorEastAsia"/>
              <w:noProof/>
              <w:lang w:eastAsia="en-AU"/>
            </w:rPr>
          </w:pPr>
          <w:hyperlink w:anchor="_Toc148531125" w:history="1">
            <w:r w:rsidR="004C426C" w:rsidRPr="000E194E">
              <w:rPr>
                <w:rStyle w:val="Hyperlink"/>
                <w:noProof/>
              </w:rPr>
              <w:t>9.</w:t>
            </w:r>
            <w:r w:rsidR="004C426C">
              <w:rPr>
                <w:rFonts w:eastAsiaTheme="minorEastAsia"/>
                <w:noProof/>
                <w:lang w:eastAsia="en-AU"/>
              </w:rPr>
              <w:tab/>
            </w:r>
            <w:r w:rsidR="004C426C" w:rsidRPr="000E194E">
              <w:rPr>
                <w:rStyle w:val="Hyperlink"/>
                <w:noProof/>
              </w:rPr>
              <w:t>Comparative safety</w:t>
            </w:r>
            <w:r w:rsidR="004C426C">
              <w:rPr>
                <w:noProof/>
                <w:webHidden/>
              </w:rPr>
              <w:tab/>
            </w:r>
            <w:r w:rsidR="004C426C">
              <w:rPr>
                <w:noProof/>
                <w:webHidden/>
              </w:rPr>
              <w:fldChar w:fldCharType="begin"/>
            </w:r>
            <w:r w:rsidR="004C426C">
              <w:rPr>
                <w:noProof/>
                <w:webHidden/>
              </w:rPr>
              <w:instrText xml:space="preserve"> PAGEREF _Toc148531125 \h </w:instrText>
            </w:r>
            <w:r w:rsidR="004C426C">
              <w:rPr>
                <w:noProof/>
                <w:webHidden/>
              </w:rPr>
            </w:r>
            <w:r w:rsidR="004C426C">
              <w:rPr>
                <w:noProof/>
                <w:webHidden/>
              </w:rPr>
              <w:fldChar w:fldCharType="separate"/>
            </w:r>
            <w:r>
              <w:rPr>
                <w:noProof/>
                <w:webHidden/>
              </w:rPr>
              <w:t>16</w:t>
            </w:r>
            <w:r w:rsidR="004C426C">
              <w:rPr>
                <w:noProof/>
                <w:webHidden/>
              </w:rPr>
              <w:fldChar w:fldCharType="end"/>
            </w:r>
          </w:hyperlink>
        </w:p>
        <w:p w14:paraId="7EBD5D1A" w14:textId="554AF5A6" w:rsidR="004C426C" w:rsidRDefault="00C857F3">
          <w:pPr>
            <w:pStyle w:val="TOC2"/>
            <w:rPr>
              <w:rFonts w:eastAsiaTheme="minorEastAsia"/>
              <w:noProof/>
              <w:lang w:eastAsia="en-AU"/>
            </w:rPr>
          </w:pPr>
          <w:hyperlink w:anchor="_Toc148531126" w:history="1">
            <w:r w:rsidR="004C426C" w:rsidRPr="000E194E">
              <w:rPr>
                <w:rStyle w:val="Hyperlink"/>
                <w:noProof/>
              </w:rPr>
              <w:t>10.</w:t>
            </w:r>
            <w:r w:rsidR="004C426C">
              <w:rPr>
                <w:rFonts w:eastAsiaTheme="minorEastAsia"/>
                <w:noProof/>
                <w:lang w:eastAsia="en-AU"/>
              </w:rPr>
              <w:tab/>
            </w:r>
            <w:r w:rsidR="004C426C" w:rsidRPr="000E194E">
              <w:rPr>
                <w:rStyle w:val="Hyperlink"/>
                <w:noProof/>
              </w:rPr>
              <w:t>Comparative effectiveness</w:t>
            </w:r>
            <w:r w:rsidR="004C426C">
              <w:rPr>
                <w:noProof/>
                <w:webHidden/>
              </w:rPr>
              <w:tab/>
            </w:r>
            <w:r w:rsidR="004C426C">
              <w:rPr>
                <w:noProof/>
                <w:webHidden/>
              </w:rPr>
              <w:fldChar w:fldCharType="begin"/>
            </w:r>
            <w:r w:rsidR="004C426C">
              <w:rPr>
                <w:noProof/>
                <w:webHidden/>
              </w:rPr>
              <w:instrText xml:space="preserve"> PAGEREF _Toc148531126 \h </w:instrText>
            </w:r>
            <w:r w:rsidR="004C426C">
              <w:rPr>
                <w:noProof/>
                <w:webHidden/>
              </w:rPr>
            </w:r>
            <w:r w:rsidR="004C426C">
              <w:rPr>
                <w:noProof/>
                <w:webHidden/>
              </w:rPr>
              <w:fldChar w:fldCharType="separate"/>
            </w:r>
            <w:r>
              <w:rPr>
                <w:noProof/>
                <w:webHidden/>
              </w:rPr>
              <w:t>18</w:t>
            </w:r>
            <w:r w:rsidR="004C426C">
              <w:rPr>
                <w:noProof/>
                <w:webHidden/>
              </w:rPr>
              <w:fldChar w:fldCharType="end"/>
            </w:r>
          </w:hyperlink>
        </w:p>
        <w:p w14:paraId="41A99E63" w14:textId="2B188C60" w:rsidR="004C426C" w:rsidRDefault="00C857F3">
          <w:pPr>
            <w:pStyle w:val="TOC2"/>
            <w:rPr>
              <w:rFonts w:eastAsiaTheme="minorEastAsia"/>
              <w:noProof/>
              <w:lang w:eastAsia="en-AU"/>
            </w:rPr>
          </w:pPr>
          <w:hyperlink w:anchor="_Toc148531127" w:history="1">
            <w:r w:rsidR="004C426C" w:rsidRPr="000E194E">
              <w:rPr>
                <w:rStyle w:val="Hyperlink"/>
                <w:noProof/>
              </w:rPr>
              <w:t>11.</w:t>
            </w:r>
            <w:r w:rsidR="004C426C">
              <w:rPr>
                <w:rFonts w:eastAsiaTheme="minorEastAsia"/>
                <w:noProof/>
                <w:lang w:eastAsia="en-AU"/>
              </w:rPr>
              <w:tab/>
            </w:r>
            <w:r w:rsidR="004C426C" w:rsidRPr="000E194E">
              <w:rPr>
                <w:rStyle w:val="Hyperlink"/>
                <w:noProof/>
              </w:rPr>
              <w:t>Economic evaluation</w:t>
            </w:r>
            <w:r w:rsidR="004C426C">
              <w:rPr>
                <w:noProof/>
                <w:webHidden/>
              </w:rPr>
              <w:tab/>
            </w:r>
            <w:r w:rsidR="004C426C">
              <w:rPr>
                <w:noProof/>
                <w:webHidden/>
              </w:rPr>
              <w:fldChar w:fldCharType="begin"/>
            </w:r>
            <w:r w:rsidR="004C426C">
              <w:rPr>
                <w:noProof/>
                <w:webHidden/>
              </w:rPr>
              <w:instrText xml:space="preserve"> PAGEREF _Toc148531127 \h </w:instrText>
            </w:r>
            <w:r w:rsidR="004C426C">
              <w:rPr>
                <w:noProof/>
                <w:webHidden/>
              </w:rPr>
            </w:r>
            <w:r w:rsidR="004C426C">
              <w:rPr>
                <w:noProof/>
                <w:webHidden/>
              </w:rPr>
              <w:fldChar w:fldCharType="separate"/>
            </w:r>
            <w:r>
              <w:rPr>
                <w:noProof/>
                <w:webHidden/>
              </w:rPr>
              <w:t>24</w:t>
            </w:r>
            <w:r w:rsidR="004C426C">
              <w:rPr>
                <w:noProof/>
                <w:webHidden/>
              </w:rPr>
              <w:fldChar w:fldCharType="end"/>
            </w:r>
          </w:hyperlink>
        </w:p>
        <w:p w14:paraId="232E2431" w14:textId="64022AEA" w:rsidR="004C426C" w:rsidRDefault="00C857F3">
          <w:pPr>
            <w:pStyle w:val="TOC2"/>
            <w:rPr>
              <w:rFonts w:eastAsiaTheme="minorEastAsia"/>
              <w:noProof/>
              <w:lang w:eastAsia="en-AU"/>
            </w:rPr>
          </w:pPr>
          <w:hyperlink w:anchor="_Toc148531128" w:history="1">
            <w:r w:rsidR="004C426C" w:rsidRPr="000E194E">
              <w:rPr>
                <w:rStyle w:val="Hyperlink"/>
                <w:noProof/>
              </w:rPr>
              <w:t>12.</w:t>
            </w:r>
            <w:r w:rsidR="004C426C">
              <w:rPr>
                <w:rFonts w:eastAsiaTheme="minorEastAsia"/>
                <w:noProof/>
                <w:lang w:eastAsia="en-AU"/>
              </w:rPr>
              <w:tab/>
            </w:r>
            <w:r w:rsidR="004C426C" w:rsidRPr="000E194E">
              <w:rPr>
                <w:rStyle w:val="Hyperlink"/>
                <w:noProof/>
              </w:rPr>
              <w:t>Financial/budgetary impacts</w:t>
            </w:r>
            <w:r w:rsidR="004C426C">
              <w:rPr>
                <w:noProof/>
                <w:webHidden/>
              </w:rPr>
              <w:tab/>
            </w:r>
            <w:r w:rsidR="004C426C">
              <w:rPr>
                <w:noProof/>
                <w:webHidden/>
              </w:rPr>
              <w:fldChar w:fldCharType="begin"/>
            </w:r>
            <w:r w:rsidR="004C426C">
              <w:rPr>
                <w:noProof/>
                <w:webHidden/>
              </w:rPr>
              <w:instrText xml:space="preserve"> PAGEREF _Toc148531128 \h </w:instrText>
            </w:r>
            <w:r w:rsidR="004C426C">
              <w:rPr>
                <w:noProof/>
                <w:webHidden/>
              </w:rPr>
            </w:r>
            <w:r w:rsidR="004C426C">
              <w:rPr>
                <w:noProof/>
                <w:webHidden/>
              </w:rPr>
              <w:fldChar w:fldCharType="separate"/>
            </w:r>
            <w:r>
              <w:rPr>
                <w:noProof/>
                <w:webHidden/>
              </w:rPr>
              <w:t>31</w:t>
            </w:r>
            <w:r w:rsidR="004C426C">
              <w:rPr>
                <w:noProof/>
                <w:webHidden/>
              </w:rPr>
              <w:fldChar w:fldCharType="end"/>
            </w:r>
          </w:hyperlink>
        </w:p>
        <w:p w14:paraId="3C2F38AE" w14:textId="11B7DC73" w:rsidR="004C426C" w:rsidRDefault="00C857F3">
          <w:pPr>
            <w:pStyle w:val="TOC2"/>
            <w:rPr>
              <w:rFonts w:eastAsiaTheme="minorEastAsia"/>
              <w:noProof/>
              <w:lang w:eastAsia="en-AU"/>
            </w:rPr>
          </w:pPr>
          <w:hyperlink w:anchor="_Toc148531129" w:history="1">
            <w:r w:rsidR="004C426C" w:rsidRPr="000E194E">
              <w:rPr>
                <w:rStyle w:val="Hyperlink"/>
                <w:noProof/>
              </w:rPr>
              <w:t>13.</w:t>
            </w:r>
            <w:r w:rsidR="004C426C">
              <w:rPr>
                <w:rFonts w:eastAsiaTheme="minorEastAsia"/>
                <w:noProof/>
                <w:lang w:eastAsia="en-AU"/>
              </w:rPr>
              <w:tab/>
            </w:r>
            <w:r w:rsidR="004C426C" w:rsidRPr="000E194E">
              <w:rPr>
                <w:rStyle w:val="Hyperlink"/>
                <w:noProof/>
              </w:rPr>
              <w:t>Other relevant information</w:t>
            </w:r>
            <w:r w:rsidR="004C426C">
              <w:rPr>
                <w:noProof/>
                <w:webHidden/>
              </w:rPr>
              <w:tab/>
            </w:r>
            <w:r w:rsidR="004C426C">
              <w:rPr>
                <w:noProof/>
                <w:webHidden/>
              </w:rPr>
              <w:fldChar w:fldCharType="begin"/>
            </w:r>
            <w:r w:rsidR="004C426C">
              <w:rPr>
                <w:noProof/>
                <w:webHidden/>
              </w:rPr>
              <w:instrText xml:space="preserve"> PAGEREF _Toc148531129 \h </w:instrText>
            </w:r>
            <w:r w:rsidR="004C426C">
              <w:rPr>
                <w:noProof/>
                <w:webHidden/>
              </w:rPr>
            </w:r>
            <w:r w:rsidR="004C426C">
              <w:rPr>
                <w:noProof/>
                <w:webHidden/>
              </w:rPr>
              <w:fldChar w:fldCharType="separate"/>
            </w:r>
            <w:r>
              <w:rPr>
                <w:noProof/>
                <w:webHidden/>
              </w:rPr>
              <w:t>33</w:t>
            </w:r>
            <w:r w:rsidR="004C426C">
              <w:rPr>
                <w:noProof/>
                <w:webHidden/>
              </w:rPr>
              <w:fldChar w:fldCharType="end"/>
            </w:r>
          </w:hyperlink>
        </w:p>
        <w:p w14:paraId="7A9E2C9F" w14:textId="31B69899" w:rsidR="004C426C" w:rsidRDefault="00C857F3">
          <w:pPr>
            <w:pStyle w:val="TOC2"/>
            <w:rPr>
              <w:rFonts w:eastAsiaTheme="minorEastAsia"/>
              <w:noProof/>
              <w:lang w:eastAsia="en-AU"/>
            </w:rPr>
          </w:pPr>
          <w:hyperlink w:anchor="_Toc148531130" w:history="1">
            <w:r w:rsidR="004C426C" w:rsidRPr="000E194E">
              <w:rPr>
                <w:rStyle w:val="Hyperlink"/>
                <w:noProof/>
              </w:rPr>
              <w:t>14.</w:t>
            </w:r>
            <w:r w:rsidR="004C426C">
              <w:rPr>
                <w:rFonts w:eastAsiaTheme="minorEastAsia"/>
                <w:noProof/>
                <w:lang w:eastAsia="en-AU"/>
              </w:rPr>
              <w:tab/>
            </w:r>
            <w:r w:rsidR="004C426C" w:rsidRPr="000E194E">
              <w:rPr>
                <w:rStyle w:val="Hyperlink"/>
                <w:noProof/>
              </w:rPr>
              <w:t>Committee-in-confidence information</w:t>
            </w:r>
            <w:r w:rsidR="004C426C">
              <w:rPr>
                <w:noProof/>
                <w:webHidden/>
              </w:rPr>
              <w:tab/>
            </w:r>
            <w:r w:rsidR="004C426C">
              <w:rPr>
                <w:noProof/>
                <w:webHidden/>
              </w:rPr>
              <w:fldChar w:fldCharType="begin"/>
            </w:r>
            <w:r w:rsidR="004C426C">
              <w:rPr>
                <w:noProof/>
                <w:webHidden/>
              </w:rPr>
              <w:instrText xml:space="preserve"> PAGEREF _Toc148531130 \h </w:instrText>
            </w:r>
            <w:r w:rsidR="004C426C">
              <w:rPr>
                <w:noProof/>
                <w:webHidden/>
              </w:rPr>
            </w:r>
            <w:r w:rsidR="004C426C">
              <w:rPr>
                <w:noProof/>
                <w:webHidden/>
              </w:rPr>
              <w:fldChar w:fldCharType="separate"/>
            </w:r>
            <w:r>
              <w:rPr>
                <w:noProof/>
                <w:webHidden/>
              </w:rPr>
              <w:t>33</w:t>
            </w:r>
            <w:r w:rsidR="004C426C">
              <w:rPr>
                <w:noProof/>
                <w:webHidden/>
              </w:rPr>
              <w:fldChar w:fldCharType="end"/>
            </w:r>
          </w:hyperlink>
        </w:p>
        <w:p w14:paraId="2122BF8F" w14:textId="00FD14CC" w:rsidR="004C426C" w:rsidRDefault="00C857F3">
          <w:pPr>
            <w:pStyle w:val="TOC1"/>
            <w:rPr>
              <w:rFonts w:eastAsiaTheme="minorEastAsia"/>
              <w:b w:val="0"/>
              <w:noProof/>
              <w:lang w:eastAsia="en-AU"/>
            </w:rPr>
          </w:pPr>
          <w:hyperlink w:anchor="_Toc148531131" w:history="1">
            <w:r w:rsidR="004C426C" w:rsidRPr="000E194E">
              <w:rPr>
                <w:rStyle w:val="Hyperlink"/>
                <w:noProof/>
              </w:rPr>
              <w:t>Acronyms and abbreviations</w:t>
            </w:r>
            <w:r w:rsidR="004C426C">
              <w:rPr>
                <w:noProof/>
                <w:webHidden/>
              </w:rPr>
              <w:tab/>
            </w:r>
            <w:r w:rsidR="004C426C">
              <w:rPr>
                <w:noProof/>
                <w:webHidden/>
              </w:rPr>
              <w:fldChar w:fldCharType="begin"/>
            </w:r>
            <w:r w:rsidR="004C426C">
              <w:rPr>
                <w:noProof/>
                <w:webHidden/>
              </w:rPr>
              <w:instrText xml:space="preserve"> PAGEREF _Toc148531131 \h </w:instrText>
            </w:r>
            <w:r w:rsidR="004C426C">
              <w:rPr>
                <w:noProof/>
                <w:webHidden/>
              </w:rPr>
            </w:r>
            <w:r w:rsidR="004C426C">
              <w:rPr>
                <w:noProof/>
                <w:webHidden/>
              </w:rPr>
              <w:fldChar w:fldCharType="separate"/>
            </w:r>
            <w:r>
              <w:rPr>
                <w:noProof/>
                <w:webHidden/>
              </w:rPr>
              <w:t>34</w:t>
            </w:r>
            <w:r w:rsidR="004C426C">
              <w:rPr>
                <w:noProof/>
                <w:webHidden/>
              </w:rPr>
              <w:fldChar w:fldCharType="end"/>
            </w:r>
          </w:hyperlink>
        </w:p>
        <w:p w14:paraId="4D1B84B9" w14:textId="6E3C2C10" w:rsidR="004C426C" w:rsidRDefault="00C857F3">
          <w:pPr>
            <w:pStyle w:val="TOC1"/>
            <w:rPr>
              <w:rFonts w:eastAsiaTheme="minorEastAsia"/>
              <w:b w:val="0"/>
              <w:noProof/>
              <w:lang w:eastAsia="en-AU"/>
            </w:rPr>
          </w:pPr>
          <w:hyperlink w:anchor="_Toc148531132" w:history="1">
            <w:r w:rsidR="004C426C" w:rsidRPr="000E194E">
              <w:rPr>
                <w:rStyle w:val="Hyperlink"/>
                <w:noProof/>
              </w:rPr>
              <w:t>Section 1</w:t>
            </w:r>
            <w:r w:rsidR="004C426C">
              <w:rPr>
                <w:rFonts w:eastAsiaTheme="minorEastAsia"/>
                <w:b w:val="0"/>
                <w:noProof/>
                <w:lang w:eastAsia="en-AU"/>
              </w:rPr>
              <w:tab/>
            </w:r>
            <w:r w:rsidR="004C426C" w:rsidRPr="000E194E">
              <w:rPr>
                <w:rStyle w:val="Hyperlink"/>
                <w:noProof/>
              </w:rPr>
              <w:t>Context</w:t>
            </w:r>
            <w:r w:rsidR="004C426C">
              <w:rPr>
                <w:noProof/>
                <w:webHidden/>
              </w:rPr>
              <w:tab/>
            </w:r>
            <w:r w:rsidR="004C426C">
              <w:rPr>
                <w:noProof/>
                <w:webHidden/>
              </w:rPr>
              <w:fldChar w:fldCharType="begin"/>
            </w:r>
            <w:r w:rsidR="004C426C">
              <w:rPr>
                <w:noProof/>
                <w:webHidden/>
              </w:rPr>
              <w:instrText xml:space="preserve"> PAGEREF _Toc148531132 \h </w:instrText>
            </w:r>
            <w:r w:rsidR="004C426C">
              <w:rPr>
                <w:noProof/>
                <w:webHidden/>
              </w:rPr>
            </w:r>
            <w:r w:rsidR="004C426C">
              <w:rPr>
                <w:noProof/>
                <w:webHidden/>
              </w:rPr>
              <w:fldChar w:fldCharType="separate"/>
            </w:r>
            <w:r>
              <w:rPr>
                <w:noProof/>
                <w:webHidden/>
              </w:rPr>
              <w:t>36</w:t>
            </w:r>
            <w:r w:rsidR="004C426C">
              <w:rPr>
                <w:noProof/>
                <w:webHidden/>
              </w:rPr>
              <w:fldChar w:fldCharType="end"/>
            </w:r>
          </w:hyperlink>
        </w:p>
        <w:p w14:paraId="33BF9AC1" w14:textId="04662D9F" w:rsidR="004C426C" w:rsidRDefault="00C857F3">
          <w:pPr>
            <w:pStyle w:val="TOC2"/>
            <w:rPr>
              <w:rFonts w:eastAsiaTheme="minorEastAsia"/>
              <w:noProof/>
              <w:lang w:eastAsia="en-AU"/>
            </w:rPr>
          </w:pPr>
          <w:hyperlink w:anchor="_Toc148531133" w:history="1">
            <w:r w:rsidR="004C426C" w:rsidRPr="000E194E">
              <w:rPr>
                <w:rStyle w:val="Hyperlink"/>
                <w:noProof/>
              </w:rPr>
              <w:t>1.1</w:t>
            </w:r>
            <w:r w:rsidR="004C426C">
              <w:rPr>
                <w:rFonts w:eastAsiaTheme="minorEastAsia"/>
                <w:noProof/>
                <w:lang w:eastAsia="en-AU"/>
              </w:rPr>
              <w:tab/>
            </w:r>
            <w:r w:rsidR="004C426C" w:rsidRPr="000E194E">
              <w:rPr>
                <w:rStyle w:val="Hyperlink"/>
                <w:noProof/>
              </w:rPr>
              <w:t>Purpose of application</w:t>
            </w:r>
            <w:r w:rsidR="004C426C">
              <w:rPr>
                <w:noProof/>
                <w:webHidden/>
              </w:rPr>
              <w:tab/>
            </w:r>
            <w:r w:rsidR="004C426C">
              <w:rPr>
                <w:noProof/>
                <w:webHidden/>
              </w:rPr>
              <w:fldChar w:fldCharType="begin"/>
            </w:r>
            <w:r w:rsidR="004C426C">
              <w:rPr>
                <w:noProof/>
                <w:webHidden/>
              </w:rPr>
              <w:instrText xml:space="preserve"> PAGEREF _Toc148531133 \h </w:instrText>
            </w:r>
            <w:r w:rsidR="004C426C">
              <w:rPr>
                <w:noProof/>
                <w:webHidden/>
              </w:rPr>
            </w:r>
            <w:r w:rsidR="004C426C">
              <w:rPr>
                <w:noProof/>
                <w:webHidden/>
              </w:rPr>
              <w:fldChar w:fldCharType="separate"/>
            </w:r>
            <w:r>
              <w:rPr>
                <w:noProof/>
                <w:webHidden/>
              </w:rPr>
              <w:t>36</w:t>
            </w:r>
            <w:r w:rsidR="004C426C">
              <w:rPr>
                <w:noProof/>
                <w:webHidden/>
              </w:rPr>
              <w:fldChar w:fldCharType="end"/>
            </w:r>
          </w:hyperlink>
        </w:p>
        <w:p w14:paraId="58A0A704" w14:textId="5705D64B" w:rsidR="004C426C" w:rsidRDefault="00C857F3">
          <w:pPr>
            <w:pStyle w:val="TOC2"/>
            <w:rPr>
              <w:rFonts w:eastAsiaTheme="minorEastAsia"/>
              <w:noProof/>
              <w:lang w:eastAsia="en-AU"/>
            </w:rPr>
          </w:pPr>
          <w:hyperlink w:anchor="_Toc148531134" w:history="1">
            <w:r w:rsidR="004C426C" w:rsidRPr="000E194E">
              <w:rPr>
                <w:rStyle w:val="Hyperlink"/>
                <w:noProof/>
              </w:rPr>
              <w:t>1.2</w:t>
            </w:r>
            <w:r w:rsidR="004C426C">
              <w:rPr>
                <w:rFonts w:eastAsiaTheme="minorEastAsia"/>
                <w:noProof/>
                <w:lang w:eastAsia="en-AU"/>
              </w:rPr>
              <w:tab/>
            </w:r>
            <w:r w:rsidR="004C426C" w:rsidRPr="000E194E">
              <w:rPr>
                <w:rStyle w:val="Hyperlink"/>
                <w:noProof/>
              </w:rPr>
              <w:t>Background</w:t>
            </w:r>
            <w:r w:rsidR="004C426C">
              <w:rPr>
                <w:noProof/>
                <w:webHidden/>
              </w:rPr>
              <w:tab/>
            </w:r>
            <w:r w:rsidR="004C426C">
              <w:rPr>
                <w:noProof/>
                <w:webHidden/>
              </w:rPr>
              <w:fldChar w:fldCharType="begin"/>
            </w:r>
            <w:r w:rsidR="004C426C">
              <w:rPr>
                <w:noProof/>
                <w:webHidden/>
              </w:rPr>
              <w:instrText xml:space="preserve"> PAGEREF _Toc148531134 \h </w:instrText>
            </w:r>
            <w:r w:rsidR="004C426C">
              <w:rPr>
                <w:noProof/>
                <w:webHidden/>
              </w:rPr>
            </w:r>
            <w:r w:rsidR="004C426C">
              <w:rPr>
                <w:noProof/>
                <w:webHidden/>
              </w:rPr>
              <w:fldChar w:fldCharType="separate"/>
            </w:r>
            <w:r>
              <w:rPr>
                <w:noProof/>
                <w:webHidden/>
              </w:rPr>
              <w:t>36</w:t>
            </w:r>
            <w:r w:rsidR="004C426C">
              <w:rPr>
                <w:noProof/>
                <w:webHidden/>
              </w:rPr>
              <w:fldChar w:fldCharType="end"/>
            </w:r>
          </w:hyperlink>
        </w:p>
        <w:p w14:paraId="26343A8B" w14:textId="5285A1E5" w:rsidR="004C426C" w:rsidRDefault="00C857F3">
          <w:pPr>
            <w:pStyle w:val="TOC2"/>
            <w:rPr>
              <w:rFonts w:eastAsiaTheme="minorEastAsia"/>
              <w:noProof/>
              <w:lang w:eastAsia="en-AU"/>
            </w:rPr>
          </w:pPr>
          <w:hyperlink w:anchor="_Toc148531135" w:history="1">
            <w:r w:rsidR="004C426C" w:rsidRPr="000E194E">
              <w:rPr>
                <w:rStyle w:val="Hyperlink"/>
                <w:noProof/>
              </w:rPr>
              <w:t>1.3</w:t>
            </w:r>
            <w:r w:rsidR="004C426C">
              <w:rPr>
                <w:rFonts w:eastAsiaTheme="minorEastAsia"/>
                <w:noProof/>
                <w:lang w:eastAsia="en-AU"/>
              </w:rPr>
              <w:tab/>
            </w:r>
            <w:r w:rsidR="004C426C" w:rsidRPr="000E194E">
              <w:rPr>
                <w:rStyle w:val="Hyperlink"/>
                <w:noProof/>
              </w:rPr>
              <w:t>Prerequisites to implementation of any funding advice</w:t>
            </w:r>
            <w:r w:rsidR="004C426C">
              <w:rPr>
                <w:noProof/>
                <w:webHidden/>
              </w:rPr>
              <w:tab/>
            </w:r>
            <w:r w:rsidR="004C426C">
              <w:rPr>
                <w:noProof/>
                <w:webHidden/>
              </w:rPr>
              <w:fldChar w:fldCharType="begin"/>
            </w:r>
            <w:r w:rsidR="004C426C">
              <w:rPr>
                <w:noProof/>
                <w:webHidden/>
              </w:rPr>
              <w:instrText xml:space="preserve"> PAGEREF _Toc148531135 \h </w:instrText>
            </w:r>
            <w:r w:rsidR="004C426C">
              <w:rPr>
                <w:noProof/>
                <w:webHidden/>
              </w:rPr>
            </w:r>
            <w:r w:rsidR="004C426C">
              <w:rPr>
                <w:noProof/>
                <w:webHidden/>
              </w:rPr>
              <w:fldChar w:fldCharType="separate"/>
            </w:r>
            <w:r>
              <w:rPr>
                <w:noProof/>
                <w:webHidden/>
              </w:rPr>
              <w:t>38</w:t>
            </w:r>
            <w:r w:rsidR="004C426C">
              <w:rPr>
                <w:noProof/>
                <w:webHidden/>
              </w:rPr>
              <w:fldChar w:fldCharType="end"/>
            </w:r>
          </w:hyperlink>
        </w:p>
        <w:p w14:paraId="3CB6A42A" w14:textId="113ABFF7" w:rsidR="004C426C" w:rsidRDefault="00C857F3">
          <w:pPr>
            <w:pStyle w:val="TOC2"/>
            <w:rPr>
              <w:rFonts w:eastAsiaTheme="minorEastAsia"/>
              <w:noProof/>
              <w:lang w:eastAsia="en-AU"/>
            </w:rPr>
          </w:pPr>
          <w:hyperlink w:anchor="_Toc148531136" w:history="1">
            <w:r w:rsidR="004C426C" w:rsidRPr="000E194E">
              <w:rPr>
                <w:rStyle w:val="Hyperlink"/>
                <w:noProof/>
              </w:rPr>
              <w:t>1.4</w:t>
            </w:r>
            <w:r w:rsidR="004C426C">
              <w:rPr>
                <w:rFonts w:eastAsiaTheme="minorEastAsia"/>
                <w:noProof/>
                <w:lang w:eastAsia="en-AU"/>
              </w:rPr>
              <w:tab/>
            </w:r>
            <w:r w:rsidR="004C426C" w:rsidRPr="000E194E">
              <w:rPr>
                <w:rStyle w:val="Hyperlink"/>
                <w:noProof/>
              </w:rPr>
              <w:t>Population</w:t>
            </w:r>
            <w:r w:rsidR="004C426C">
              <w:rPr>
                <w:noProof/>
                <w:webHidden/>
              </w:rPr>
              <w:tab/>
            </w:r>
            <w:r w:rsidR="004C426C">
              <w:rPr>
                <w:noProof/>
                <w:webHidden/>
              </w:rPr>
              <w:fldChar w:fldCharType="begin"/>
            </w:r>
            <w:r w:rsidR="004C426C">
              <w:rPr>
                <w:noProof/>
                <w:webHidden/>
              </w:rPr>
              <w:instrText xml:space="preserve"> PAGEREF _Toc148531136 \h </w:instrText>
            </w:r>
            <w:r w:rsidR="004C426C">
              <w:rPr>
                <w:noProof/>
                <w:webHidden/>
              </w:rPr>
            </w:r>
            <w:r w:rsidR="004C426C">
              <w:rPr>
                <w:noProof/>
                <w:webHidden/>
              </w:rPr>
              <w:fldChar w:fldCharType="separate"/>
            </w:r>
            <w:r>
              <w:rPr>
                <w:noProof/>
                <w:webHidden/>
              </w:rPr>
              <w:t>39</w:t>
            </w:r>
            <w:r w:rsidR="004C426C">
              <w:rPr>
                <w:noProof/>
                <w:webHidden/>
              </w:rPr>
              <w:fldChar w:fldCharType="end"/>
            </w:r>
          </w:hyperlink>
        </w:p>
        <w:p w14:paraId="45C4A58A" w14:textId="4409B995" w:rsidR="004C426C" w:rsidRDefault="00C857F3">
          <w:pPr>
            <w:pStyle w:val="TOC2"/>
            <w:rPr>
              <w:rFonts w:eastAsiaTheme="minorEastAsia"/>
              <w:noProof/>
              <w:lang w:eastAsia="en-AU"/>
            </w:rPr>
          </w:pPr>
          <w:hyperlink w:anchor="_Toc148531137" w:history="1">
            <w:r w:rsidR="004C426C" w:rsidRPr="000E194E">
              <w:rPr>
                <w:rStyle w:val="Hyperlink"/>
                <w:noProof/>
              </w:rPr>
              <w:t>1.5</w:t>
            </w:r>
            <w:r w:rsidR="004C426C">
              <w:rPr>
                <w:rFonts w:eastAsiaTheme="minorEastAsia"/>
                <w:noProof/>
                <w:lang w:eastAsia="en-AU"/>
              </w:rPr>
              <w:tab/>
            </w:r>
            <w:r w:rsidR="004C426C" w:rsidRPr="000E194E">
              <w:rPr>
                <w:rStyle w:val="Hyperlink"/>
                <w:noProof/>
              </w:rPr>
              <w:t>Intervention</w:t>
            </w:r>
            <w:r w:rsidR="004C426C">
              <w:rPr>
                <w:noProof/>
                <w:webHidden/>
              </w:rPr>
              <w:tab/>
            </w:r>
            <w:r w:rsidR="004C426C">
              <w:rPr>
                <w:noProof/>
                <w:webHidden/>
              </w:rPr>
              <w:fldChar w:fldCharType="begin"/>
            </w:r>
            <w:r w:rsidR="004C426C">
              <w:rPr>
                <w:noProof/>
                <w:webHidden/>
              </w:rPr>
              <w:instrText xml:space="preserve"> PAGEREF _Toc148531137 \h </w:instrText>
            </w:r>
            <w:r w:rsidR="004C426C">
              <w:rPr>
                <w:noProof/>
                <w:webHidden/>
              </w:rPr>
            </w:r>
            <w:r w:rsidR="004C426C">
              <w:rPr>
                <w:noProof/>
                <w:webHidden/>
              </w:rPr>
              <w:fldChar w:fldCharType="separate"/>
            </w:r>
            <w:r>
              <w:rPr>
                <w:noProof/>
                <w:webHidden/>
              </w:rPr>
              <w:t>40</w:t>
            </w:r>
            <w:r w:rsidR="004C426C">
              <w:rPr>
                <w:noProof/>
                <w:webHidden/>
              </w:rPr>
              <w:fldChar w:fldCharType="end"/>
            </w:r>
          </w:hyperlink>
        </w:p>
        <w:p w14:paraId="240F8783" w14:textId="4F09DF56" w:rsidR="004C426C" w:rsidRDefault="00C857F3">
          <w:pPr>
            <w:pStyle w:val="TOC2"/>
            <w:rPr>
              <w:rFonts w:eastAsiaTheme="minorEastAsia"/>
              <w:noProof/>
              <w:lang w:eastAsia="en-AU"/>
            </w:rPr>
          </w:pPr>
          <w:hyperlink w:anchor="_Toc148531138" w:history="1">
            <w:r w:rsidR="004C426C" w:rsidRPr="000E194E">
              <w:rPr>
                <w:rStyle w:val="Hyperlink"/>
                <w:noProof/>
              </w:rPr>
              <w:t>1.6</w:t>
            </w:r>
            <w:r w:rsidR="004C426C">
              <w:rPr>
                <w:rFonts w:eastAsiaTheme="minorEastAsia"/>
                <w:noProof/>
                <w:lang w:eastAsia="en-AU"/>
              </w:rPr>
              <w:tab/>
            </w:r>
            <w:r w:rsidR="004C426C" w:rsidRPr="000E194E">
              <w:rPr>
                <w:rStyle w:val="Hyperlink"/>
                <w:noProof/>
              </w:rPr>
              <w:t>Comparator(s)</w:t>
            </w:r>
            <w:r w:rsidR="004C426C">
              <w:rPr>
                <w:noProof/>
                <w:webHidden/>
              </w:rPr>
              <w:tab/>
            </w:r>
            <w:r w:rsidR="004C426C">
              <w:rPr>
                <w:noProof/>
                <w:webHidden/>
              </w:rPr>
              <w:fldChar w:fldCharType="begin"/>
            </w:r>
            <w:r w:rsidR="004C426C">
              <w:rPr>
                <w:noProof/>
                <w:webHidden/>
              </w:rPr>
              <w:instrText xml:space="preserve"> PAGEREF _Toc148531138 \h </w:instrText>
            </w:r>
            <w:r w:rsidR="004C426C">
              <w:rPr>
                <w:noProof/>
                <w:webHidden/>
              </w:rPr>
            </w:r>
            <w:r w:rsidR="004C426C">
              <w:rPr>
                <w:noProof/>
                <w:webHidden/>
              </w:rPr>
              <w:fldChar w:fldCharType="separate"/>
            </w:r>
            <w:r>
              <w:rPr>
                <w:noProof/>
                <w:webHidden/>
              </w:rPr>
              <w:t>42</w:t>
            </w:r>
            <w:r w:rsidR="004C426C">
              <w:rPr>
                <w:noProof/>
                <w:webHidden/>
              </w:rPr>
              <w:fldChar w:fldCharType="end"/>
            </w:r>
          </w:hyperlink>
        </w:p>
        <w:p w14:paraId="02CE610B" w14:textId="7E7EBB70" w:rsidR="004C426C" w:rsidRDefault="00C857F3">
          <w:pPr>
            <w:pStyle w:val="TOC2"/>
            <w:rPr>
              <w:rFonts w:eastAsiaTheme="minorEastAsia"/>
              <w:noProof/>
              <w:lang w:eastAsia="en-AU"/>
            </w:rPr>
          </w:pPr>
          <w:hyperlink w:anchor="_Toc148531139" w:history="1">
            <w:r w:rsidR="004C426C" w:rsidRPr="000E194E">
              <w:rPr>
                <w:rStyle w:val="Hyperlink"/>
                <w:noProof/>
              </w:rPr>
              <w:t>1.7</w:t>
            </w:r>
            <w:r w:rsidR="004C426C">
              <w:rPr>
                <w:rFonts w:eastAsiaTheme="minorEastAsia"/>
                <w:noProof/>
                <w:lang w:eastAsia="en-AU"/>
              </w:rPr>
              <w:tab/>
            </w:r>
            <w:r w:rsidR="004C426C" w:rsidRPr="000E194E">
              <w:rPr>
                <w:rStyle w:val="Hyperlink"/>
                <w:noProof/>
              </w:rPr>
              <w:t>Summary of the PICO criteria</w:t>
            </w:r>
            <w:r w:rsidR="004C426C">
              <w:rPr>
                <w:noProof/>
                <w:webHidden/>
              </w:rPr>
              <w:tab/>
            </w:r>
            <w:r w:rsidR="004C426C">
              <w:rPr>
                <w:noProof/>
                <w:webHidden/>
              </w:rPr>
              <w:fldChar w:fldCharType="begin"/>
            </w:r>
            <w:r w:rsidR="004C426C">
              <w:rPr>
                <w:noProof/>
                <w:webHidden/>
              </w:rPr>
              <w:instrText xml:space="preserve"> PAGEREF _Toc148531139 \h </w:instrText>
            </w:r>
            <w:r w:rsidR="004C426C">
              <w:rPr>
                <w:noProof/>
                <w:webHidden/>
              </w:rPr>
            </w:r>
            <w:r w:rsidR="004C426C">
              <w:rPr>
                <w:noProof/>
                <w:webHidden/>
              </w:rPr>
              <w:fldChar w:fldCharType="separate"/>
            </w:r>
            <w:r>
              <w:rPr>
                <w:noProof/>
                <w:webHidden/>
              </w:rPr>
              <w:t>44</w:t>
            </w:r>
            <w:r w:rsidR="004C426C">
              <w:rPr>
                <w:noProof/>
                <w:webHidden/>
              </w:rPr>
              <w:fldChar w:fldCharType="end"/>
            </w:r>
          </w:hyperlink>
        </w:p>
        <w:p w14:paraId="426D9C2B" w14:textId="43F35D99" w:rsidR="004C426C" w:rsidRDefault="00C857F3">
          <w:pPr>
            <w:pStyle w:val="TOC2"/>
            <w:rPr>
              <w:rFonts w:eastAsiaTheme="minorEastAsia"/>
              <w:noProof/>
              <w:lang w:eastAsia="en-AU"/>
            </w:rPr>
          </w:pPr>
          <w:hyperlink w:anchor="_Toc148531140" w:history="1">
            <w:r w:rsidR="004C426C" w:rsidRPr="000E194E">
              <w:rPr>
                <w:rStyle w:val="Hyperlink"/>
                <w:noProof/>
              </w:rPr>
              <w:t>1.8</w:t>
            </w:r>
            <w:r w:rsidR="004C426C">
              <w:rPr>
                <w:rFonts w:eastAsiaTheme="minorEastAsia"/>
                <w:noProof/>
                <w:lang w:eastAsia="en-AU"/>
              </w:rPr>
              <w:tab/>
            </w:r>
            <w:r w:rsidR="004C426C" w:rsidRPr="000E194E">
              <w:rPr>
                <w:rStyle w:val="Hyperlink"/>
                <w:noProof/>
              </w:rPr>
              <w:t>Alignment with the PICO confirmation</w:t>
            </w:r>
            <w:r w:rsidR="004C426C">
              <w:rPr>
                <w:noProof/>
                <w:webHidden/>
              </w:rPr>
              <w:tab/>
            </w:r>
            <w:r w:rsidR="004C426C">
              <w:rPr>
                <w:noProof/>
                <w:webHidden/>
              </w:rPr>
              <w:fldChar w:fldCharType="begin"/>
            </w:r>
            <w:r w:rsidR="004C426C">
              <w:rPr>
                <w:noProof/>
                <w:webHidden/>
              </w:rPr>
              <w:instrText xml:space="preserve"> PAGEREF _Toc148531140 \h </w:instrText>
            </w:r>
            <w:r w:rsidR="004C426C">
              <w:rPr>
                <w:noProof/>
                <w:webHidden/>
              </w:rPr>
            </w:r>
            <w:r w:rsidR="004C426C">
              <w:rPr>
                <w:noProof/>
                <w:webHidden/>
              </w:rPr>
              <w:fldChar w:fldCharType="separate"/>
            </w:r>
            <w:r>
              <w:rPr>
                <w:noProof/>
                <w:webHidden/>
              </w:rPr>
              <w:t>45</w:t>
            </w:r>
            <w:r w:rsidR="004C426C">
              <w:rPr>
                <w:noProof/>
                <w:webHidden/>
              </w:rPr>
              <w:fldChar w:fldCharType="end"/>
            </w:r>
          </w:hyperlink>
        </w:p>
        <w:p w14:paraId="020CE7CE" w14:textId="2DF64155" w:rsidR="004C426C" w:rsidRDefault="00C857F3">
          <w:pPr>
            <w:pStyle w:val="TOC2"/>
            <w:rPr>
              <w:rFonts w:eastAsiaTheme="minorEastAsia"/>
              <w:noProof/>
              <w:lang w:eastAsia="en-AU"/>
            </w:rPr>
          </w:pPr>
          <w:hyperlink w:anchor="_Toc148531141" w:history="1">
            <w:r w:rsidR="004C426C" w:rsidRPr="000E194E">
              <w:rPr>
                <w:rStyle w:val="Hyperlink"/>
                <w:noProof/>
              </w:rPr>
              <w:t>1.9</w:t>
            </w:r>
            <w:r w:rsidR="004C426C">
              <w:rPr>
                <w:rFonts w:eastAsiaTheme="minorEastAsia"/>
                <w:noProof/>
                <w:lang w:eastAsia="en-AU"/>
              </w:rPr>
              <w:tab/>
            </w:r>
            <w:r w:rsidR="004C426C" w:rsidRPr="000E194E">
              <w:rPr>
                <w:rStyle w:val="Hyperlink"/>
                <w:noProof/>
              </w:rPr>
              <w:t>Clinical management algorithms</w:t>
            </w:r>
            <w:r w:rsidR="004C426C">
              <w:rPr>
                <w:noProof/>
                <w:webHidden/>
              </w:rPr>
              <w:tab/>
            </w:r>
            <w:r w:rsidR="004C426C">
              <w:rPr>
                <w:noProof/>
                <w:webHidden/>
              </w:rPr>
              <w:fldChar w:fldCharType="begin"/>
            </w:r>
            <w:r w:rsidR="004C426C">
              <w:rPr>
                <w:noProof/>
                <w:webHidden/>
              </w:rPr>
              <w:instrText xml:space="preserve"> PAGEREF _Toc148531141 \h </w:instrText>
            </w:r>
            <w:r w:rsidR="004C426C">
              <w:rPr>
                <w:noProof/>
                <w:webHidden/>
              </w:rPr>
            </w:r>
            <w:r w:rsidR="004C426C">
              <w:rPr>
                <w:noProof/>
                <w:webHidden/>
              </w:rPr>
              <w:fldChar w:fldCharType="separate"/>
            </w:r>
            <w:r>
              <w:rPr>
                <w:noProof/>
                <w:webHidden/>
              </w:rPr>
              <w:t>46</w:t>
            </w:r>
            <w:r w:rsidR="004C426C">
              <w:rPr>
                <w:noProof/>
                <w:webHidden/>
              </w:rPr>
              <w:fldChar w:fldCharType="end"/>
            </w:r>
          </w:hyperlink>
        </w:p>
        <w:p w14:paraId="44258D92" w14:textId="20EEA3F6" w:rsidR="004C426C" w:rsidRDefault="00C857F3">
          <w:pPr>
            <w:pStyle w:val="TOC2"/>
            <w:rPr>
              <w:rFonts w:eastAsiaTheme="minorEastAsia"/>
              <w:noProof/>
              <w:lang w:eastAsia="en-AU"/>
            </w:rPr>
          </w:pPr>
          <w:hyperlink w:anchor="_Toc148531142" w:history="1">
            <w:r w:rsidR="004C426C" w:rsidRPr="000E194E">
              <w:rPr>
                <w:rStyle w:val="Hyperlink"/>
                <w:noProof/>
              </w:rPr>
              <w:t>1.10</w:t>
            </w:r>
            <w:r w:rsidR="004C426C">
              <w:rPr>
                <w:rFonts w:eastAsiaTheme="minorEastAsia"/>
                <w:noProof/>
                <w:lang w:eastAsia="en-AU"/>
              </w:rPr>
              <w:tab/>
            </w:r>
            <w:r w:rsidR="004C426C" w:rsidRPr="000E194E">
              <w:rPr>
                <w:rStyle w:val="Hyperlink"/>
                <w:noProof/>
              </w:rPr>
              <w:t>Proposal for public funding</w:t>
            </w:r>
            <w:r w:rsidR="004C426C">
              <w:rPr>
                <w:noProof/>
                <w:webHidden/>
              </w:rPr>
              <w:tab/>
            </w:r>
            <w:r w:rsidR="004C426C">
              <w:rPr>
                <w:noProof/>
                <w:webHidden/>
              </w:rPr>
              <w:fldChar w:fldCharType="begin"/>
            </w:r>
            <w:r w:rsidR="004C426C">
              <w:rPr>
                <w:noProof/>
                <w:webHidden/>
              </w:rPr>
              <w:instrText xml:space="preserve"> PAGEREF _Toc148531142 \h </w:instrText>
            </w:r>
            <w:r w:rsidR="004C426C">
              <w:rPr>
                <w:noProof/>
                <w:webHidden/>
              </w:rPr>
            </w:r>
            <w:r w:rsidR="004C426C">
              <w:rPr>
                <w:noProof/>
                <w:webHidden/>
              </w:rPr>
              <w:fldChar w:fldCharType="separate"/>
            </w:r>
            <w:r>
              <w:rPr>
                <w:noProof/>
                <w:webHidden/>
              </w:rPr>
              <w:t>50</w:t>
            </w:r>
            <w:r w:rsidR="004C426C">
              <w:rPr>
                <w:noProof/>
                <w:webHidden/>
              </w:rPr>
              <w:fldChar w:fldCharType="end"/>
            </w:r>
          </w:hyperlink>
        </w:p>
        <w:p w14:paraId="6FB4FBAC" w14:textId="7FEFC7DE" w:rsidR="004C426C" w:rsidRDefault="00C857F3">
          <w:pPr>
            <w:pStyle w:val="TOC1"/>
            <w:rPr>
              <w:rFonts w:eastAsiaTheme="minorEastAsia"/>
              <w:b w:val="0"/>
              <w:noProof/>
              <w:lang w:eastAsia="en-AU"/>
            </w:rPr>
          </w:pPr>
          <w:hyperlink w:anchor="_Toc148531143" w:history="1">
            <w:r w:rsidR="004C426C" w:rsidRPr="000E194E">
              <w:rPr>
                <w:rStyle w:val="Hyperlink"/>
                <w:noProof/>
              </w:rPr>
              <w:t>Section 2</w:t>
            </w:r>
            <w:r w:rsidR="004C426C">
              <w:rPr>
                <w:rFonts w:eastAsiaTheme="minorEastAsia"/>
                <w:b w:val="0"/>
                <w:noProof/>
                <w:lang w:eastAsia="en-AU"/>
              </w:rPr>
              <w:tab/>
            </w:r>
            <w:r w:rsidR="004C426C" w:rsidRPr="000E194E">
              <w:rPr>
                <w:rStyle w:val="Hyperlink"/>
                <w:noProof/>
              </w:rPr>
              <w:t>Clinical evaluation of investigative technologies</w:t>
            </w:r>
            <w:r w:rsidR="004C426C">
              <w:rPr>
                <w:noProof/>
                <w:webHidden/>
              </w:rPr>
              <w:tab/>
            </w:r>
            <w:r w:rsidR="004C426C">
              <w:rPr>
                <w:noProof/>
                <w:webHidden/>
              </w:rPr>
              <w:fldChar w:fldCharType="begin"/>
            </w:r>
            <w:r w:rsidR="004C426C">
              <w:rPr>
                <w:noProof/>
                <w:webHidden/>
              </w:rPr>
              <w:instrText xml:space="preserve"> PAGEREF _Toc148531143 \h </w:instrText>
            </w:r>
            <w:r w:rsidR="004C426C">
              <w:rPr>
                <w:noProof/>
                <w:webHidden/>
              </w:rPr>
            </w:r>
            <w:r w:rsidR="004C426C">
              <w:rPr>
                <w:noProof/>
                <w:webHidden/>
              </w:rPr>
              <w:fldChar w:fldCharType="separate"/>
            </w:r>
            <w:r>
              <w:rPr>
                <w:noProof/>
                <w:webHidden/>
              </w:rPr>
              <w:t>53</w:t>
            </w:r>
            <w:r w:rsidR="004C426C">
              <w:rPr>
                <w:noProof/>
                <w:webHidden/>
              </w:rPr>
              <w:fldChar w:fldCharType="end"/>
            </w:r>
          </w:hyperlink>
        </w:p>
        <w:p w14:paraId="0D27D9F7" w14:textId="4B2B70FA" w:rsidR="004C426C" w:rsidRDefault="00C857F3">
          <w:pPr>
            <w:pStyle w:val="TOC2"/>
            <w:rPr>
              <w:rFonts w:eastAsiaTheme="minorEastAsia"/>
              <w:noProof/>
              <w:lang w:eastAsia="en-AU"/>
            </w:rPr>
          </w:pPr>
          <w:hyperlink w:anchor="_Toc148531144" w:history="1">
            <w:r w:rsidR="004C426C" w:rsidRPr="000E194E">
              <w:rPr>
                <w:rStyle w:val="Hyperlink"/>
                <w:noProof/>
              </w:rPr>
              <w:t>Methods for undertaking the assessment</w:t>
            </w:r>
            <w:r w:rsidR="004C426C">
              <w:rPr>
                <w:noProof/>
                <w:webHidden/>
              </w:rPr>
              <w:tab/>
            </w:r>
            <w:r w:rsidR="004C426C">
              <w:rPr>
                <w:noProof/>
                <w:webHidden/>
              </w:rPr>
              <w:fldChar w:fldCharType="begin"/>
            </w:r>
            <w:r w:rsidR="004C426C">
              <w:rPr>
                <w:noProof/>
                <w:webHidden/>
              </w:rPr>
              <w:instrText xml:space="preserve"> PAGEREF _Toc148531144 \h </w:instrText>
            </w:r>
            <w:r w:rsidR="004C426C">
              <w:rPr>
                <w:noProof/>
                <w:webHidden/>
              </w:rPr>
            </w:r>
            <w:r w:rsidR="004C426C">
              <w:rPr>
                <w:noProof/>
                <w:webHidden/>
              </w:rPr>
              <w:fldChar w:fldCharType="separate"/>
            </w:r>
            <w:r>
              <w:rPr>
                <w:noProof/>
                <w:webHidden/>
              </w:rPr>
              <w:t>53</w:t>
            </w:r>
            <w:r w:rsidR="004C426C">
              <w:rPr>
                <w:noProof/>
                <w:webHidden/>
              </w:rPr>
              <w:fldChar w:fldCharType="end"/>
            </w:r>
          </w:hyperlink>
        </w:p>
        <w:p w14:paraId="4CE1A289" w14:textId="1B434321" w:rsidR="004C426C" w:rsidRDefault="00C857F3">
          <w:pPr>
            <w:pStyle w:val="TOC2"/>
            <w:rPr>
              <w:rFonts w:eastAsiaTheme="minorEastAsia"/>
              <w:noProof/>
              <w:lang w:eastAsia="en-AU"/>
            </w:rPr>
          </w:pPr>
          <w:hyperlink w:anchor="_Toc148531145" w:history="1">
            <w:r w:rsidR="004C426C" w:rsidRPr="000E194E">
              <w:rPr>
                <w:rStyle w:val="Hyperlink"/>
                <w:noProof/>
              </w:rPr>
              <w:t>Assessment framework</w:t>
            </w:r>
            <w:r w:rsidR="004C426C">
              <w:rPr>
                <w:noProof/>
                <w:webHidden/>
              </w:rPr>
              <w:tab/>
            </w:r>
            <w:r w:rsidR="004C426C">
              <w:rPr>
                <w:noProof/>
                <w:webHidden/>
              </w:rPr>
              <w:fldChar w:fldCharType="begin"/>
            </w:r>
            <w:r w:rsidR="004C426C">
              <w:rPr>
                <w:noProof/>
                <w:webHidden/>
              </w:rPr>
              <w:instrText xml:space="preserve"> PAGEREF _Toc148531145 \h </w:instrText>
            </w:r>
            <w:r w:rsidR="004C426C">
              <w:rPr>
                <w:noProof/>
                <w:webHidden/>
              </w:rPr>
            </w:r>
            <w:r w:rsidR="004C426C">
              <w:rPr>
                <w:noProof/>
                <w:webHidden/>
              </w:rPr>
              <w:fldChar w:fldCharType="separate"/>
            </w:r>
            <w:r>
              <w:rPr>
                <w:noProof/>
                <w:webHidden/>
              </w:rPr>
              <w:t>53</w:t>
            </w:r>
            <w:r w:rsidR="004C426C">
              <w:rPr>
                <w:noProof/>
                <w:webHidden/>
              </w:rPr>
              <w:fldChar w:fldCharType="end"/>
            </w:r>
          </w:hyperlink>
        </w:p>
        <w:p w14:paraId="07253864" w14:textId="1E76F9F2" w:rsidR="004C426C" w:rsidRDefault="00C857F3">
          <w:pPr>
            <w:pStyle w:val="TOC2"/>
            <w:rPr>
              <w:rFonts w:eastAsiaTheme="minorEastAsia"/>
              <w:noProof/>
              <w:lang w:eastAsia="en-AU"/>
            </w:rPr>
          </w:pPr>
          <w:hyperlink w:anchor="_Toc148531146" w:history="1">
            <w:r w:rsidR="004C426C" w:rsidRPr="000E194E">
              <w:rPr>
                <w:rStyle w:val="Hyperlink"/>
                <w:noProof/>
              </w:rPr>
              <w:t>2.1</w:t>
            </w:r>
            <w:r w:rsidR="004C426C">
              <w:rPr>
                <w:rFonts w:eastAsiaTheme="minorEastAsia"/>
                <w:noProof/>
                <w:lang w:eastAsia="en-AU"/>
              </w:rPr>
              <w:tab/>
            </w:r>
            <w:r w:rsidR="004C426C" w:rsidRPr="000E194E">
              <w:rPr>
                <w:rStyle w:val="Hyperlink"/>
                <w:noProof/>
              </w:rPr>
              <w:t>Direct from test to health outcomes evidence</w:t>
            </w:r>
            <w:r w:rsidR="004C426C">
              <w:rPr>
                <w:noProof/>
                <w:webHidden/>
              </w:rPr>
              <w:tab/>
            </w:r>
            <w:r w:rsidR="004C426C">
              <w:rPr>
                <w:noProof/>
                <w:webHidden/>
              </w:rPr>
              <w:fldChar w:fldCharType="begin"/>
            </w:r>
            <w:r w:rsidR="004C426C">
              <w:rPr>
                <w:noProof/>
                <w:webHidden/>
              </w:rPr>
              <w:instrText xml:space="preserve"> PAGEREF _Toc148531146 \h </w:instrText>
            </w:r>
            <w:r w:rsidR="004C426C">
              <w:rPr>
                <w:noProof/>
                <w:webHidden/>
              </w:rPr>
            </w:r>
            <w:r w:rsidR="004C426C">
              <w:rPr>
                <w:noProof/>
                <w:webHidden/>
              </w:rPr>
              <w:fldChar w:fldCharType="separate"/>
            </w:r>
            <w:r>
              <w:rPr>
                <w:noProof/>
                <w:webHidden/>
              </w:rPr>
              <w:t>54</w:t>
            </w:r>
            <w:r w:rsidR="004C426C">
              <w:rPr>
                <w:noProof/>
                <w:webHidden/>
              </w:rPr>
              <w:fldChar w:fldCharType="end"/>
            </w:r>
          </w:hyperlink>
        </w:p>
        <w:p w14:paraId="39F106E8" w14:textId="4A4978EE" w:rsidR="004C426C" w:rsidRDefault="00C857F3">
          <w:pPr>
            <w:pStyle w:val="TOC3"/>
            <w:tabs>
              <w:tab w:val="left" w:pos="1540"/>
              <w:tab w:val="right" w:leader="dot" w:pos="9016"/>
            </w:tabs>
            <w:rPr>
              <w:rFonts w:eastAsiaTheme="minorEastAsia"/>
              <w:noProof/>
              <w:lang w:eastAsia="en-AU"/>
            </w:rPr>
          </w:pPr>
          <w:hyperlink w:anchor="_Toc148531147" w:history="1">
            <w:r w:rsidR="004C426C" w:rsidRPr="000E194E">
              <w:rPr>
                <w:rStyle w:val="Hyperlink"/>
                <w:noProof/>
              </w:rPr>
              <w:t>2.1.1</w:t>
            </w:r>
            <w:r w:rsidR="004C426C">
              <w:rPr>
                <w:rFonts w:eastAsiaTheme="minorEastAsia"/>
                <w:noProof/>
                <w:lang w:eastAsia="en-AU"/>
              </w:rPr>
              <w:tab/>
            </w:r>
            <w:r w:rsidR="004C426C" w:rsidRPr="000E194E">
              <w:rPr>
                <w:rStyle w:val="Hyperlink"/>
                <w:noProof/>
              </w:rPr>
              <w:t>Methods for undertaking the assessment</w:t>
            </w:r>
            <w:r w:rsidR="004C426C">
              <w:rPr>
                <w:noProof/>
                <w:webHidden/>
              </w:rPr>
              <w:tab/>
            </w:r>
            <w:r w:rsidR="004C426C">
              <w:rPr>
                <w:noProof/>
                <w:webHidden/>
              </w:rPr>
              <w:fldChar w:fldCharType="begin"/>
            </w:r>
            <w:r w:rsidR="004C426C">
              <w:rPr>
                <w:noProof/>
                <w:webHidden/>
              </w:rPr>
              <w:instrText xml:space="preserve"> PAGEREF _Toc148531147 \h </w:instrText>
            </w:r>
            <w:r w:rsidR="004C426C">
              <w:rPr>
                <w:noProof/>
                <w:webHidden/>
              </w:rPr>
            </w:r>
            <w:r w:rsidR="004C426C">
              <w:rPr>
                <w:noProof/>
                <w:webHidden/>
              </w:rPr>
              <w:fldChar w:fldCharType="separate"/>
            </w:r>
            <w:r>
              <w:rPr>
                <w:noProof/>
                <w:webHidden/>
              </w:rPr>
              <w:t>54</w:t>
            </w:r>
            <w:r w:rsidR="004C426C">
              <w:rPr>
                <w:noProof/>
                <w:webHidden/>
              </w:rPr>
              <w:fldChar w:fldCharType="end"/>
            </w:r>
          </w:hyperlink>
        </w:p>
        <w:p w14:paraId="6EA2BD0F" w14:textId="477DD451" w:rsidR="004C426C" w:rsidRDefault="00C857F3">
          <w:pPr>
            <w:pStyle w:val="TOC3"/>
            <w:tabs>
              <w:tab w:val="left" w:pos="1540"/>
              <w:tab w:val="right" w:leader="dot" w:pos="9016"/>
            </w:tabs>
            <w:rPr>
              <w:rFonts w:eastAsiaTheme="minorEastAsia"/>
              <w:noProof/>
              <w:lang w:eastAsia="en-AU"/>
            </w:rPr>
          </w:pPr>
          <w:hyperlink w:anchor="_Toc148531148" w:history="1">
            <w:r w:rsidR="004C426C" w:rsidRPr="000E194E">
              <w:rPr>
                <w:rStyle w:val="Hyperlink"/>
                <w:noProof/>
              </w:rPr>
              <w:t>2.1.2</w:t>
            </w:r>
            <w:r w:rsidR="004C426C">
              <w:rPr>
                <w:rFonts w:eastAsiaTheme="minorEastAsia"/>
                <w:noProof/>
                <w:lang w:eastAsia="en-AU"/>
              </w:rPr>
              <w:tab/>
            </w:r>
            <w:r w:rsidR="004C426C" w:rsidRPr="000E194E">
              <w:rPr>
                <w:rStyle w:val="Hyperlink"/>
                <w:noProof/>
              </w:rPr>
              <w:t>Characteristics of the evidence base</w:t>
            </w:r>
            <w:r w:rsidR="004C426C">
              <w:rPr>
                <w:noProof/>
                <w:webHidden/>
              </w:rPr>
              <w:tab/>
            </w:r>
            <w:r w:rsidR="004C426C">
              <w:rPr>
                <w:noProof/>
                <w:webHidden/>
              </w:rPr>
              <w:fldChar w:fldCharType="begin"/>
            </w:r>
            <w:r w:rsidR="004C426C">
              <w:rPr>
                <w:noProof/>
                <w:webHidden/>
              </w:rPr>
              <w:instrText xml:space="preserve"> PAGEREF _Toc148531148 \h </w:instrText>
            </w:r>
            <w:r w:rsidR="004C426C">
              <w:rPr>
                <w:noProof/>
                <w:webHidden/>
              </w:rPr>
            </w:r>
            <w:r w:rsidR="004C426C">
              <w:rPr>
                <w:noProof/>
                <w:webHidden/>
              </w:rPr>
              <w:fldChar w:fldCharType="separate"/>
            </w:r>
            <w:r>
              <w:rPr>
                <w:noProof/>
                <w:webHidden/>
              </w:rPr>
              <w:t>54</w:t>
            </w:r>
            <w:r w:rsidR="004C426C">
              <w:rPr>
                <w:noProof/>
                <w:webHidden/>
              </w:rPr>
              <w:fldChar w:fldCharType="end"/>
            </w:r>
          </w:hyperlink>
        </w:p>
        <w:p w14:paraId="743BCCED" w14:textId="5EFF3D3B" w:rsidR="004C426C" w:rsidRDefault="00C857F3">
          <w:pPr>
            <w:pStyle w:val="TOC3"/>
            <w:tabs>
              <w:tab w:val="left" w:pos="1540"/>
              <w:tab w:val="right" w:leader="dot" w:pos="9016"/>
            </w:tabs>
            <w:rPr>
              <w:rFonts w:eastAsiaTheme="minorEastAsia"/>
              <w:noProof/>
              <w:lang w:eastAsia="en-AU"/>
            </w:rPr>
          </w:pPr>
          <w:hyperlink w:anchor="_Toc148531149" w:history="1">
            <w:r w:rsidR="004C426C" w:rsidRPr="000E194E">
              <w:rPr>
                <w:rStyle w:val="Hyperlink"/>
                <w:noProof/>
              </w:rPr>
              <w:t>2.1.3</w:t>
            </w:r>
            <w:r w:rsidR="004C426C">
              <w:rPr>
                <w:rFonts w:eastAsiaTheme="minorEastAsia"/>
                <w:noProof/>
                <w:lang w:eastAsia="en-AU"/>
              </w:rPr>
              <w:tab/>
            </w:r>
            <w:r w:rsidR="004C426C" w:rsidRPr="000E194E">
              <w:rPr>
                <w:rStyle w:val="Hyperlink"/>
                <w:noProof/>
              </w:rPr>
              <w:t>Results</w:t>
            </w:r>
            <w:r w:rsidR="004C426C">
              <w:rPr>
                <w:noProof/>
                <w:webHidden/>
              </w:rPr>
              <w:tab/>
            </w:r>
            <w:r w:rsidR="004C426C">
              <w:rPr>
                <w:noProof/>
                <w:webHidden/>
              </w:rPr>
              <w:fldChar w:fldCharType="begin"/>
            </w:r>
            <w:r w:rsidR="004C426C">
              <w:rPr>
                <w:noProof/>
                <w:webHidden/>
              </w:rPr>
              <w:instrText xml:space="preserve"> PAGEREF _Toc148531149 \h </w:instrText>
            </w:r>
            <w:r w:rsidR="004C426C">
              <w:rPr>
                <w:noProof/>
                <w:webHidden/>
              </w:rPr>
            </w:r>
            <w:r w:rsidR="004C426C">
              <w:rPr>
                <w:noProof/>
                <w:webHidden/>
              </w:rPr>
              <w:fldChar w:fldCharType="separate"/>
            </w:r>
            <w:r>
              <w:rPr>
                <w:noProof/>
                <w:webHidden/>
              </w:rPr>
              <w:t>55</w:t>
            </w:r>
            <w:r w:rsidR="004C426C">
              <w:rPr>
                <w:noProof/>
                <w:webHidden/>
              </w:rPr>
              <w:fldChar w:fldCharType="end"/>
            </w:r>
          </w:hyperlink>
        </w:p>
        <w:p w14:paraId="35319044" w14:textId="374C1776" w:rsidR="004C426C" w:rsidRDefault="00C857F3">
          <w:pPr>
            <w:pStyle w:val="TOC2"/>
            <w:rPr>
              <w:rFonts w:eastAsiaTheme="minorEastAsia"/>
              <w:noProof/>
              <w:lang w:eastAsia="en-AU"/>
            </w:rPr>
          </w:pPr>
          <w:hyperlink w:anchor="_Toc148531150" w:history="1">
            <w:r w:rsidR="004C426C" w:rsidRPr="000E194E">
              <w:rPr>
                <w:rStyle w:val="Hyperlink"/>
                <w:noProof/>
              </w:rPr>
              <w:t>2.2</w:t>
            </w:r>
            <w:r w:rsidR="004C426C">
              <w:rPr>
                <w:rFonts w:eastAsiaTheme="minorEastAsia"/>
                <w:noProof/>
                <w:lang w:eastAsia="en-AU"/>
              </w:rPr>
              <w:tab/>
            </w:r>
            <w:r w:rsidR="004C426C" w:rsidRPr="000E194E">
              <w:rPr>
                <w:rStyle w:val="Hyperlink"/>
                <w:noProof/>
              </w:rPr>
              <w:t>Linked evidence of test performance</w:t>
            </w:r>
            <w:r w:rsidR="004C426C">
              <w:rPr>
                <w:noProof/>
                <w:webHidden/>
              </w:rPr>
              <w:tab/>
            </w:r>
            <w:r w:rsidR="004C426C">
              <w:rPr>
                <w:noProof/>
                <w:webHidden/>
              </w:rPr>
              <w:fldChar w:fldCharType="begin"/>
            </w:r>
            <w:r w:rsidR="004C426C">
              <w:rPr>
                <w:noProof/>
                <w:webHidden/>
              </w:rPr>
              <w:instrText xml:space="preserve"> PAGEREF _Toc148531150 \h </w:instrText>
            </w:r>
            <w:r w:rsidR="004C426C">
              <w:rPr>
                <w:noProof/>
                <w:webHidden/>
              </w:rPr>
            </w:r>
            <w:r w:rsidR="004C426C">
              <w:rPr>
                <w:noProof/>
                <w:webHidden/>
              </w:rPr>
              <w:fldChar w:fldCharType="separate"/>
            </w:r>
            <w:r>
              <w:rPr>
                <w:noProof/>
                <w:webHidden/>
              </w:rPr>
              <w:t>56</w:t>
            </w:r>
            <w:r w:rsidR="004C426C">
              <w:rPr>
                <w:noProof/>
                <w:webHidden/>
              </w:rPr>
              <w:fldChar w:fldCharType="end"/>
            </w:r>
          </w:hyperlink>
        </w:p>
        <w:p w14:paraId="49785765" w14:textId="3AB31BB9" w:rsidR="004C426C" w:rsidRDefault="00C857F3">
          <w:pPr>
            <w:pStyle w:val="TOC3"/>
            <w:tabs>
              <w:tab w:val="left" w:pos="1540"/>
              <w:tab w:val="right" w:leader="dot" w:pos="9016"/>
            </w:tabs>
            <w:rPr>
              <w:rFonts w:eastAsiaTheme="minorEastAsia"/>
              <w:noProof/>
              <w:lang w:eastAsia="en-AU"/>
            </w:rPr>
          </w:pPr>
          <w:hyperlink w:anchor="_Toc148531151" w:history="1">
            <w:r w:rsidR="004C426C" w:rsidRPr="000E194E">
              <w:rPr>
                <w:rStyle w:val="Hyperlink"/>
                <w:noProof/>
              </w:rPr>
              <w:t>2.2.1</w:t>
            </w:r>
            <w:r w:rsidR="004C426C">
              <w:rPr>
                <w:rFonts w:eastAsiaTheme="minorEastAsia"/>
                <w:noProof/>
                <w:lang w:eastAsia="en-AU"/>
              </w:rPr>
              <w:tab/>
            </w:r>
            <w:r w:rsidR="004C426C" w:rsidRPr="000E194E">
              <w:rPr>
                <w:rStyle w:val="Hyperlink"/>
                <w:noProof/>
              </w:rPr>
              <w:t>Methods for undertaking the assessment</w:t>
            </w:r>
            <w:r w:rsidR="004C426C">
              <w:rPr>
                <w:noProof/>
                <w:webHidden/>
              </w:rPr>
              <w:tab/>
            </w:r>
            <w:r w:rsidR="004C426C">
              <w:rPr>
                <w:noProof/>
                <w:webHidden/>
              </w:rPr>
              <w:fldChar w:fldCharType="begin"/>
            </w:r>
            <w:r w:rsidR="004C426C">
              <w:rPr>
                <w:noProof/>
                <w:webHidden/>
              </w:rPr>
              <w:instrText xml:space="preserve"> PAGEREF _Toc148531151 \h </w:instrText>
            </w:r>
            <w:r w:rsidR="004C426C">
              <w:rPr>
                <w:noProof/>
                <w:webHidden/>
              </w:rPr>
            </w:r>
            <w:r w:rsidR="004C426C">
              <w:rPr>
                <w:noProof/>
                <w:webHidden/>
              </w:rPr>
              <w:fldChar w:fldCharType="separate"/>
            </w:r>
            <w:r>
              <w:rPr>
                <w:noProof/>
                <w:webHidden/>
              </w:rPr>
              <w:t>56</w:t>
            </w:r>
            <w:r w:rsidR="004C426C">
              <w:rPr>
                <w:noProof/>
                <w:webHidden/>
              </w:rPr>
              <w:fldChar w:fldCharType="end"/>
            </w:r>
          </w:hyperlink>
        </w:p>
        <w:p w14:paraId="28BD9D9A" w14:textId="7469C0D3" w:rsidR="004C426C" w:rsidRDefault="00C857F3">
          <w:pPr>
            <w:pStyle w:val="TOC3"/>
            <w:tabs>
              <w:tab w:val="left" w:pos="1540"/>
              <w:tab w:val="right" w:leader="dot" w:pos="9016"/>
            </w:tabs>
            <w:rPr>
              <w:rFonts w:eastAsiaTheme="minorEastAsia"/>
              <w:noProof/>
              <w:lang w:eastAsia="en-AU"/>
            </w:rPr>
          </w:pPr>
          <w:hyperlink w:anchor="_Toc148531152" w:history="1">
            <w:r w:rsidR="004C426C" w:rsidRPr="000E194E">
              <w:rPr>
                <w:rStyle w:val="Hyperlink"/>
                <w:noProof/>
              </w:rPr>
              <w:t>2.2.2</w:t>
            </w:r>
            <w:r w:rsidR="004C426C">
              <w:rPr>
                <w:rFonts w:eastAsiaTheme="minorEastAsia"/>
                <w:noProof/>
                <w:lang w:eastAsia="en-AU"/>
              </w:rPr>
              <w:tab/>
            </w:r>
            <w:r w:rsidR="004C426C" w:rsidRPr="000E194E">
              <w:rPr>
                <w:rStyle w:val="Hyperlink"/>
                <w:noProof/>
              </w:rPr>
              <w:t>Clinical utility standard</w:t>
            </w:r>
            <w:r w:rsidR="004C426C">
              <w:rPr>
                <w:noProof/>
                <w:webHidden/>
              </w:rPr>
              <w:tab/>
            </w:r>
            <w:r w:rsidR="004C426C">
              <w:rPr>
                <w:noProof/>
                <w:webHidden/>
              </w:rPr>
              <w:fldChar w:fldCharType="begin"/>
            </w:r>
            <w:r w:rsidR="004C426C">
              <w:rPr>
                <w:noProof/>
                <w:webHidden/>
              </w:rPr>
              <w:instrText xml:space="preserve"> PAGEREF _Toc148531152 \h </w:instrText>
            </w:r>
            <w:r w:rsidR="004C426C">
              <w:rPr>
                <w:noProof/>
                <w:webHidden/>
              </w:rPr>
            </w:r>
            <w:r w:rsidR="004C426C">
              <w:rPr>
                <w:noProof/>
                <w:webHidden/>
              </w:rPr>
              <w:fldChar w:fldCharType="separate"/>
            </w:r>
            <w:r>
              <w:rPr>
                <w:noProof/>
                <w:webHidden/>
              </w:rPr>
              <w:t>57</w:t>
            </w:r>
            <w:r w:rsidR="004C426C">
              <w:rPr>
                <w:noProof/>
                <w:webHidden/>
              </w:rPr>
              <w:fldChar w:fldCharType="end"/>
            </w:r>
          </w:hyperlink>
        </w:p>
        <w:p w14:paraId="0D53E39B" w14:textId="4F8E381F" w:rsidR="004C426C" w:rsidRDefault="00C857F3">
          <w:pPr>
            <w:pStyle w:val="TOC3"/>
            <w:tabs>
              <w:tab w:val="left" w:pos="1540"/>
              <w:tab w:val="right" w:leader="dot" w:pos="9016"/>
            </w:tabs>
            <w:rPr>
              <w:rFonts w:eastAsiaTheme="minorEastAsia"/>
              <w:noProof/>
              <w:lang w:eastAsia="en-AU"/>
            </w:rPr>
          </w:pPr>
          <w:hyperlink w:anchor="_Toc148531153" w:history="1">
            <w:r w:rsidR="004C426C" w:rsidRPr="000E194E">
              <w:rPr>
                <w:rStyle w:val="Hyperlink"/>
                <w:noProof/>
              </w:rPr>
              <w:t>2.2.3</w:t>
            </w:r>
            <w:r w:rsidR="004C426C">
              <w:rPr>
                <w:rFonts w:eastAsiaTheme="minorEastAsia"/>
                <w:noProof/>
                <w:lang w:eastAsia="en-AU"/>
              </w:rPr>
              <w:tab/>
            </w:r>
            <w:r w:rsidR="004C426C" w:rsidRPr="000E194E">
              <w:rPr>
                <w:rStyle w:val="Hyperlink"/>
                <w:noProof/>
              </w:rPr>
              <w:t>Characteristics of the evidence base</w:t>
            </w:r>
            <w:r w:rsidR="004C426C">
              <w:rPr>
                <w:noProof/>
                <w:webHidden/>
              </w:rPr>
              <w:tab/>
            </w:r>
            <w:r w:rsidR="004C426C">
              <w:rPr>
                <w:noProof/>
                <w:webHidden/>
              </w:rPr>
              <w:fldChar w:fldCharType="begin"/>
            </w:r>
            <w:r w:rsidR="004C426C">
              <w:rPr>
                <w:noProof/>
                <w:webHidden/>
              </w:rPr>
              <w:instrText xml:space="preserve"> PAGEREF _Toc148531153 \h </w:instrText>
            </w:r>
            <w:r w:rsidR="004C426C">
              <w:rPr>
                <w:noProof/>
                <w:webHidden/>
              </w:rPr>
            </w:r>
            <w:r w:rsidR="004C426C">
              <w:rPr>
                <w:noProof/>
                <w:webHidden/>
              </w:rPr>
              <w:fldChar w:fldCharType="separate"/>
            </w:r>
            <w:r>
              <w:rPr>
                <w:noProof/>
                <w:webHidden/>
              </w:rPr>
              <w:t>57</w:t>
            </w:r>
            <w:r w:rsidR="004C426C">
              <w:rPr>
                <w:noProof/>
                <w:webHidden/>
              </w:rPr>
              <w:fldChar w:fldCharType="end"/>
            </w:r>
          </w:hyperlink>
        </w:p>
        <w:p w14:paraId="664F6FCC" w14:textId="479B2E5E" w:rsidR="004C426C" w:rsidRDefault="00C857F3">
          <w:pPr>
            <w:pStyle w:val="TOC3"/>
            <w:tabs>
              <w:tab w:val="left" w:pos="1540"/>
              <w:tab w:val="right" w:leader="dot" w:pos="9016"/>
            </w:tabs>
            <w:rPr>
              <w:rFonts w:eastAsiaTheme="minorEastAsia"/>
              <w:noProof/>
              <w:lang w:eastAsia="en-AU"/>
            </w:rPr>
          </w:pPr>
          <w:hyperlink w:anchor="_Toc148531154" w:history="1">
            <w:r w:rsidR="004C426C" w:rsidRPr="000E194E">
              <w:rPr>
                <w:rStyle w:val="Hyperlink"/>
                <w:noProof/>
              </w:rPr>
              <w:t>2.2.4</w:t>
            </w:r>
            <w:r w:rsidR="004C426C">
              <w:rPr>
                <w:rFonts w:eastAsiaTheme="minorEastAsia"/>
                <w:noProof/>
                <w:lang w:eastAsia="en-AU"/>
              </w:rPr>
              <w:tab/>
            </w:r>
            <w:r w:rsidR="004C426C" w:rsidRPr="000E194E">
              <w:rPr>
                <w:rStyle w:val="Hyperlink"/>
                <w:noProof/>
              </w:rPr>
              <w:t>Results</w:t>
            </w:r>
            <w:r w:rsidR="004C426C">
              <w:rPr>
                <w:noProof/>
                <w:webHidden/>
              </w:rPr>
              <w:tab/>
            </w:r>
            <w:r w:rsidR="004C426C">
              <w:rPr>
                <w:noProof/>
                <w:webHidden/>
              </w:rPr>
              <w:fldChar w:fldCharType="begin"/>
            </w:r>
            <w:r w:rsidR="004C426C">
              <w:rPr>
                <w:noProof/>
                <w:webHidden/>
              </w:rPr>
              <w:instrText xml:space="preserve"> PAGEREF _Toc148531154 \h </w:instrText>
            </w:r>
            <w:r w:rsidR="004C426C">
              <w:rPr>
                <w:noProof/>
                <w:webHidden/>
              </w:rPr>
            </w:r>
            <w:r w:rsidR="004C426C">
              <w:rPr>
                <w:noProof/>
                <w:webHidden/>
              </w:rPr>
              <w:fldChar w:fldCharType="separate"/>
            </w:r>
            <w:r>
              <w:rPr>
                <w:noProof/>
                <w:webHidden/>
              </w:rPr>
              <w:t>58</w:t>
            </w:r>
            <w:r w:rsidR="004C426C">
              <w:rPr>
                <w:noProof/>
                <w:webHidden/>
              </w:rPr>
              <w:fldChar w:fldCharType="end"/>
            </w:r>
          </w:hyperlink>
        </w:p>
        <w:p w14:paraId="1080D1AF" w14:textId="0E87D4FE" w:rsidR="004C426C" w:rsidRDefault="00C857F3">
          <w:pPr>
            <w:pStyle w:val="TOC2"/>
            <w:rPr>
              <w:rFonts w:eastAsiaTheme="minorEastAsia"/>
              <w:noProof/>
              <w:lang w:eastAsia="en-AU"/>
            </w:rPr>
          </w:pPr>
          <w:hyperlink w:anchor="_Toc148531155" w:history="1">
            <w:r w:rsidR="004C426C" w:rsidRPr="000E194E">
              <w:rPr>
                <w:rStyle w:val="Hyperlink"/>
                <w:noProof/>
              </w:rPr>
              <w:t>2.3</w:t>
            </w:r>
            <w:r w:rsidR="004C426C">
              <w:rPr>
                <w:rFonts w:eastAsiaTheme="minorEastAsia"/>
                <w:noProof/>
                <w:lang w:eastAsia="en-AU"/>
              </w:rPr>
              <w:tab/>
            </w:r>
            <w:r w:rsidR="004C426C" w:rsidRPr="000E194E">
              <w:rPr>
                <w:rStyle w:val="Hyperlink"/>
                <w:noProof/>
              </w:rPr>
              <w:t>Linked evidence of change in management</w:t>
            </w:r>
            <w:r w:rsidR="004C426C">
              <w:rPr>
                <w:noProof/>
                <w:webHidden/>
              </w:rPr>
              <w:tab/>
            </w:r>
            <w:r w:rsidR="004C426C">
              <w:rPr>
                <w:noProof/>
                <w:webHidden/>
              </w:rPr>
              <w:fldChar w:fldCharType="begin"/>
            </w:r>
            <w:r w:rsidR="004C426C">
              <w:rPr>
                <w:noProof/>
                <w:webHidden/>
              </w:rPr>
              <w:instrText xml:space="preserve"> PAGEREF _Toc148531155 \h </w:instrText>
            </w:r>
            <w:r w:rsidR="004C426C">
              <w:rPr>
                <w:noProof/>
                <w:webHidden/>
              </w:rPr>
            </w:r>
            <w:r w:rsidR="004C426C">
              <w:rPr>
                <w:noProof/>
                <w:webHidden/>
              </w:rPr>
              <w:fldChar w:fldCharType="separate"/>
            </w:r>
            <w:r>
              <w:rPr>
                <w:noProof/>
                <w:webHidden/>
              </w:rPr>
              <w:t>65</w:t>
            </w:r>
            <w:r w:rsidR="004C426C">
              <w:rPr>
                <w:noProof/>
                <w:webHidden/>
              </w:rPr>
              <w:fldChar w:fldCharType="end"/>
            </w:r>
          </w:hyperlink>
        </w:p>
        <w:p w14:paraId="38F8E19E" w14:textId="618AC45C" w:rsidR="004C426C" w:rsidRDefault="00C857F3">
          <w:pPr>
            <w:pStyle w:val="TOC3"/>
            <w:tabs>
              <w:tab w:val="left" w:pos="1540"/>
              <w:tab w:val="right" w:leader="dot" w:pos="9016"/>
            </w:tabs>
            <w:rPr>
              <w:rFonts w:eastAsiaTheme="minorEastAsia"/>
              <w:noProof/>
              <w:lang w:eastAsia="en-AU"/>
            </w:rPr>
          </w:pPr>
          <w:hyperlink w:anchor="_Toc148531156" w:history="1">
            <w:r w:rsidR="004C426C" w:rsidRPr="000E194E">
              <w:rPr>
                <w:rStyle w:val="Hyperlink"/>
                <w:noProof/>
              </w:rPr>
              <w:t>2.3.1</w:t>
            </w:r>
            <w:r w:rsidR="004C426C">
              <w:rPr>
                <w:rFonts w:eastAsiaTheme="minorEastAsia"/>
                <w:noProof/>
                <w:lang w:eastAsia="en-AU"/>
              </w:rPr>
              <w:tab/>
            </w:r>
            <w:r w:rsidR="004C426C" w:rsidRPr="000E194E">
              <w:rPr>
                <w:rStyle w:val="Hyperlink"/>
                <w:noProof/>
              </w:rPr>
              <w:t>Methods for undertaking the assessment</w:t>
            </w:r>
            <w:r w:rsidR="004C426C">
              <w:rPr>
                <w:noProof/>
                <w:webHidden/>
              </w:rPr>
              <w:tab/>
            </w:r>
            <w:r w:rsidR="004C426C">
              <w:rPr>
                <w:noProof/>
                <w:webHidden/>
              </w:rPr>
              <w:fldChar w:fldCharType="begin"/>
            </w:r>
            <w:r w:rsidR="004C426C">
              <w:rPr>
                <w:noProof/>
                <w:webHidden/>
              </w:rPr>
              <w:instrText xml:space="preserve"> PAGEREF _Toc148531156 \h </w:instrText>
            </w:r>
            <w:r w:rsidR="004C426C">
              <w:rPr>
                <w:noProof/>
                <w:webHidden/>
              </w:rPr>
            </w:r>
            <w:r w:rsidR="004C426C">
              <w:rPr>
                <w:noProof/>
                <w:webHidden/>
              </w:rPr>
              <w:fldChar w:fldCharType="separate"/>
            </w:r>
            <w:r>
              <w:rPr>
                <w:noProof/>
                <w:webHidden/>
              </w:rPr>
              <w:t>65</w:t>
            </w:r>
            <w:r w:rsidR="004C426C">
              <w:rPr>
                <w:noProof/>
                <w:webHidden/>
              </w:rPr>
              <w:fldChar w:fldCharType="end"/>
            </w:r>
          </w:hyperlink>
        </w:p>
        <w:p w14:paraId="3EF44955" w14:textId="30106F4F" w:rsidR="004C426C" w:rsidRDefault="00C857F3">
          <w:pPr>
            <w:pStyle w:val="TOC3"/>
            <w:tabs>
              <w:tab w:val="left" w:pos="1540"/>
              <w:tab w:val="right" w:leader="dot" w:pos="9016"/>
            </w:tabs>
            <w:rPr>
              <w:rFonts w:eastAsiaTheme="minorEastAsia"/>
              <w:noProof/>
              <w:lang w:eastAsia="en-AU"/>
            </w:rPr>
          </w:pPr>
          <w:hyperlink w:anchor="_Toc148531157" w:history="1">
            <w:r w:rsidR="004C426C" w:rsidRPr="000E194E">
              <w:rPr>
                <w:rStyle w:val="Hyperlink"/>
                <w:noProof/>
              </w:rPr>
              <w:t>2.3.2</w:t>
            </w:r>
            <w:r w:rsidR="004C426C">
              <w:rPr>
                <w:rFonts w:eastAsiaTheme="minorEastAsia"/>
                <w:noProof/>
                <w:lang w:eastAsia="en-AU"/>
              </w:rPr>
              <w:tab/>
            </w:r>
            <w:r w:rsidR="004C426C" w:rsidRPr="000E194E">
              <w:rPr>
                <w:rStyle w:val="Hyperlink"/>
                <w:noProof/>
              </w:rPr>
              <w:t>Characteristics of the evidence base</w:t>
            </w:r>
            <w:r w:rsidR="004C426C">
              <w:rPr>
                <w:noProof/>
                <w:webHidden/>
              </w:rPr>
              <w:tab/>
            </w:r>
            <w:r w:rsidR="004C426C">
              <w:rPr>
                <w:noProof/>
                <w:webHidden/>
              </w:rPr>
              <w:fldChar w:fldCharType="begin"/>
            </w:r>
            <w:r w:rsidR="004C426C">
              <w:rPr>
                <w:noProof/>
                <w:webHidden/>
              </w:rPr>
              <w:instrText xml:space="preserve"> PAGEREF _Toc148531157 \h </w:instrText>
            </w:r>
            <w:r w:rsidR="004C426C">
              <w:rPr>
                <w:noProof/>
                <w:webHidden/>
              </w:rPr>
            </w:r>
            <w:r w:rsidR="004C426C">
              <w:rPr>
                <w:noProof/>
                <w:webHidden/>
              </w:rPr>
              <w:fldChar w:fldCharType="separate"/>
            </w:r>
            <w:r>
              <w:rPr>
                <w:noProof/>
                <w:webHidden/>
              </w:rPr>
              <w:t>65</w:t>
            </w:r>
            <w:r w:rsidR="004C426C">
              <w:rPr>
                <w:noProof/>
                <w:webHidden/>
              </w:rPr>
              <w:fldChar w:fldCharType="end"/>
            </w:r>
          </w:hyperlink>
        </w:p>
        <w:p w14:paraId="3CAE210A" w14:textId="4D21F628" w:rsidR="004C426C" w:rsidRDefault="00C857F3">
          <w:pPr>
            <w:pStyle w:val="TOC3"/>
            <w:tabs>
              <w:tab w:val="left" w:pos="1540"/>
              <w:tab w:val="right" w:leader="dot" w:pos="9016"/>
            </w:tabs>
            <w:rPr>
              <w:rFonts w:eastAsiaTheme="minorEastAsia"/>
              <w:noProof/>
              <w:lang w:eastAsia="en-AU"/>
            </w:rPr>
          </w:pPr>
          <w:hyperlink w:anchor="_Toc148531158" w:history="1">
            <w:r w:rsidR="004C426C" w:rsidRPr="000E194E">
              <w:rPr>
                <w:rStyle w:val="Hyperlink"/>
                <w:noProof/>
              </w:rPr>
              <w:t>2.3.3</w:t>
            </w:r>
            <w:r w:rsidR="004C426C">
              <w:rPr>
                <w:rFonts w:eastAsiaTheme="minorEastAsia"/>
                <w:noProof/>
                <w:lang w:eastAsia="en-AU"/>
              </w:rPr>
              <w:tab/>
            </w:r>
            <w:r w:rsidR="004C426C" w:rsidRPr="000E194E">
              <w:rPr>
                <w:rStyle w:val="Hyperlink"/>
                <w:noProof/>
              </w:rPr>
              <w:t>Results</w:t>
            </w:r>
            <w:r w:rsidR="004C426C">
              <w:rPr>
                <w:noProof/>
                <w:webHidden/>
              </w:rPr>
              <w:tab/>
            </w:r>
            <w:r w:rsidR="004C426C">
              <w:rPr>
                <w:noProof/>
                <w:webHidden/>
              </w:rPr>
              <w:fldChar w:fldCharType="begin"/>
            </w:r>
            <w:r w:rsidR="004C426C">
              <w:rPr>
                <w:noProof/>
                <w:webHidden/>
              </w:rPr>
              <w:instrText xml:space="preserve"> PAGEREF _Toc148531158 \h </w:instrText>
            </w:r>
            <w:r w:rsidR="004C426C">
              <w:rPr>
                <w:noProof/>
                <w:webHidden/>
              </w:rPr>
            </w:r>
            <w:r w:rsidR="004C426C">
              <w:rPr>
                <w:noProof/>
                <w:webHidden/>
              </w:rPr>
              <w:fldChar w:fldCharType="separate"/>
            </w:r>
            <w:r>
              <w:rPr>
                <w:noProof/>
                <w:webHidden/>
              </w:rPr>
              <w:t>68</w:t>
            </w:r>
            <w:r w:rsidR="004C426C">
              <w:rPr>
                <w:noProof/>
                <w:webHidden/>
              </w:rPr>
              <w:fldChar w:fldCharType="end"/>
            </w:r>
          </w:hyperlink>
        </w:p>
        <w:p w14:paraId="7F364A54" w14:textId="6BE3B9C5" w:rsidR="004C426C" w:rsidRDefault="00C857F3">
          <w:pPr>
            <w:pStyle w:val="TOC2"/>
            <w:rPr>
              <w:rFonts w:eastAsiaTheme="minorEastAsia"/>
              <w:noProof/>
              <w:lang w:eastAsia="en-AU"/>
            </w:rPr>
          </w:pPr>
          <w:hyperlink w:anchor="_Toc148531159" w:history="1">
            <w:r w:rsidR="004C426C" w:rsidRPr="000E194E">
              <w:rPr>
                <w:rStyle w:val="Hyperlink"/>
                <w:noProof/>
              </w:rPr>
              <w:t>2.4</w:t>
            </w:r>
            <w:r w:rsidR="004C426C">
              <w:rPr>
                <w:rFonts w:eastAsiaTheme="minorEastAsia"/>
                <w:noProof/>
                <w:lang w:eastAsia="en-AU"/>
              </w:rPr>
              <w:tab/>
            </w:r>
            <w:r w:rsidR="004C426C" w:rsidRPr="000E194E">
              <w:rPr>
                <w:rStyle w:val="Hyperlink"/>
                <w:noProof/>
              </w:rPr>
              <w:t>Linked evidence of health outcomes</w:t>
            </w:r>
            <w:r w:rsidR="004C426C">
              <w:rPr>
                <w:noProof/>
                <w:webHidden/>
              </w:rPr>
              <w:tab/>
            </w:r>
            <w:r w:rsidR="004C426C">
              <w:rPr>
                <w:noProof/>
                <w:webHidden/>
              </w:rPr>
              <w:fldChar w:fldCharType="begin"/>
            </w:r>
            <w:r w:rsidR="004C426C">
              <w:rPr>
                <w:noProof/>
                <w:webHidden/>
              </w:rPr>
              <w:instrText xml:space="preserve"> PAGEREF _Toc148531159 \h </w:instrText>
            </w:r>
            <w:r w:rsidR="004C426C">
              <w:rPr>
                <w:noProof/>
                <w:webHidden/>
              </w:rPr>
            </w:r>
            <w:r w:rsidR="004C426C">
              <w:rPr>
                <w:noProof/>
                <w:webHidden/>
              </w:rPr>
              <w:fldChar w:fldCharType="separate"/>
            </w:r>
            <w:r>
              <w:rPr>
                <w:noProof/>
                <w:webHidden/>
              </w:rPr>
              <w:t>71</w:t>
            </w:r>
            <w:r w:rsidR="004C426C">
              <w:rPr>
                <w:noProof/>
                <w:webHidden/>
              </w:rPr>
              <w:fldChar w:fldCharType="end"/>
            </w:r>
          </w:hyperlink>
        </w:p>
        <w:p w14:paraId="60CE8694" w14:textId="25882BA5" w:rsidR="004C426C" w:rsidRDefault="00C857F3">
          <w:pPr>
            <w:pStyle w:val="TOC3"/>
            <w:tabs>
              <w:tab w:val="left" w:pos="1540"/>
              <w:tab w:val="right" w:leader="dot" w:pos="9016"/>
            </w:tabs>
            <w:rPr>
              <w:rFonts w:eastAsiaTheme="minorEastAsia"/>
              <w:noProof/>
              <w:lang w:eastAsia="en-AU"/>
            </w:rPr>
          </w:pPr>
          <w:hyperlink w:anchor="_Toc148531160" w:history="1">
            <w:r w:rsidR="004C426C" w:rsidRPr="000E194E">
              <w:rPr>
                <w:rStyle w:val="Hyperlink"/>
                <w:noProof/>
              </w:rPr>
              <w:t>2.4.1</w:t>
            </w:r>
            <w:r w:rsidR="004C426C">
              <w:rPr>
                <w:rFonts w:eastAsiaTheme="minorEastAsia"/>
                <w:noProof/>
                <w:lang w:eastAsia="en-AU"/>
              </w:rPr>
              <w:tab/>
            </w:r>
            <w:r w:rsidR="004C426C" w:rsidRPr="000E194E">
              <w:rPr>
                <w:rStyle w:val="Hyperlink"/>
                <w:noProof/>
              </w:rPr>
              <w:t>Methods for undertaking the assessment</w:t>
            </w:r>
            <w:r w:rsidR="004C426C">
              <w:rPr>
                <w:noProof/>
                <w:webHidden/>
              </w:rPr>
              <w:tab/>
            </w:r>
            <w:r w:rsidR="004C426C">
              <w:rPr>
                <w:noProof/>
                <w:webHidden/>
              </w:rPr>
              <w:fldChar w:fldCharType="begin"/>
            </w:r>
            <w:r w:rsidR="004C426C">
              <w:rPr>
                <w:noProof/>
                <w:webHidden/>
              </w:rPr>
              <w:instrText xml:space="preserve"> PAGEREF _Toc148531160 \h </w:instrText>
            </w:r>
            <w:r w:rsidR="004C426C">
              <w:rPr>
                <w:noProof/>
                <w:webHidden/>
              </w:rPr>
            </w:r>
            <w:r w:rsidR="004C426C">
              <w:rPr>
                <w:noProof/>
                <w:webHidden/>
              </w:rPr>
              <w:fldChar w:fldCharType="separate"/>
            </w:r>
            <w:r>
              <w:rPr>
                <w:noProof/>
                <w:webHidden/>
              </w:rPr>
              <w:t>72</w:t>
            </w:r>
            <w:r w:rsidR="004C426C">
              <w:rPr>
                <w:noProof/>
                <w:webHidden/>
              </w:rPr>
              <w:fldChar w:fldCharType="end"/>
            </w:r>
          </w:hyperlink>
        </w:p>
        <w:p w14:paraId="6E0DC496" w14:textId="1B248FB1" w:rsidR="004C426C" w:rsidRDefault="00C857F3">
          <w:pPr>
            <w:pStyle w:val="TOC3"/>
            <w:tabs>
              <w:tab w:val="left" w:pos="1540"/>
              <w:tab w:val="right" w:leader="dot" w:pos="9016"/>
            </w:tabs>
            <w:rPr>
              <w:rFonts w:eastAsiaTheme="minorEastAsia"/>
              <w:noProof/>
              <w:lang w:eastAsia="en-AU"/>
            </w:rPr>
          </w:pPr>
          <w:hyperlink w:anchor="_Toc148531161" w:history="1">
            <w:r w:rsidR="004C426C" w:rsidRPr="000E194E">
              <w:rPr>
                <w:rStyle w:val="Hyperlink"/>
                <w:noProof/>
              </w:rPr>
              <w:t>2.4.2</w:t>
            </w:r>
            <w:r w:rsidR="004C426C">
              <w:rPr>
                <w:rFonts w:eastAsiaTheme="minorEastAsia"/>
                <w:noProof/>
                <w:lang w:eastAsia="en-AU"/>
              </w:rPr>
              <w:tab/>
            </w:r>
            <w:r w:rsidR="004C426C" w:rsidRPr="000E194E">
              <w:rPr>
                <w:rStyle w:val="Hyperlink"/>
                <w:noProof/>
              </w:rPr>
              <w:t>Characteristics of the evidence base</w:t>
            </w:r>
            <w:r w:rsidR="004C426C">
              <w:rPr>
                <w:noProof/>
                <w:webHidden/>
              </w:rPr>
              <w:tab/>
            </w:r>
            <w:r w:rsidR="004C426C">
              <w:rPr>
                <w:noProof/>
                <w:webHidden/>
              </w:rPr>
              <w:fldChar w:fldCharType="begin"/>
            </w:r>
            <w:r w:rsidR="004C426C">
              <w:rPr>
                <w:noProof/>
                <w:webHidden/>
              </w:rPr>
              <w:instrText xml:space="preserve"> PAGEREF _Toc148531161 \h </w:instrText>
            </w:r>
            <w:r w:rsidR="004C426C">
              <w:rPr>
                <w:noProof/>
                <w:webHidden/>
              </w:rPr>
            </w:r>
            <w:r w:rsidR="004C426C">
              <w:rPr>
                <w:noProof/>
                <w:webHidden/>
              </w:rPr>
              <w:fldChar w:fldCharType="separate"/>
            </w:r>
            <w:r>
              <w:rPr>
                <w:noProof/>
                <w:webHidden/>
              </w:rPr>
              <w:t>72</w:t>
            </w:r>
            <w:r w:rsidR="004C426C">
              <w:rPr>
                <w:noProof/>
                <w:webHidden/>
              </w:rPr>
              <w:fldChar w:fldCharType="end"/>
            </w:r>
          </w:hyperlink>
        </w:p>
        <w:p w14:paraId="213BB31E" w14:textId="4ADC8C4F" w:rsidR="004C426C" w:rsidRDefault="00C857F3">
          <w:pPr>
            <w:pStyle w:val="TOC3"/>
            <w:tabs>
              <w:tab w:val="left" w:pos="1540"/>
              <w:tab w:val="right" w:leader="dot" w:pos="9016"/>
            </w:tabs>
            <w:rPr>
              <w:rFonts w:eastAsiaTheme="minorEastAsia"/>
              <w:noProof/>
              <w:lang w:eastAsia="en-AU"/>
            </w:rPr>
          </w:pPr>
          <w:hyperlink w:anchor="_Toc148531162" w:history="1">
            <w:r w:rsidR="004C426C" w:rsidRPr="000E194E">
              <w:rPr>
                <w:rStyle w:val="Hyperlink"/>
                <w:noProof/>
              </w:rPr>
              <w:t>2.4.3</w:t>
            </w:r>
            <w:r w:rsidR="004C426C">
              <w:rPr>
                <w:rFonts w:eastAsiaTheme="minorEastAsia"/>
                <w:noProof/>
                <w:lang w:eastAsia="en-AU"/>
              </w:rPr>
              <w:tab/>
            </w:r>
            <w:r w:rsidR="004C426C" w:rsidRPr="000E194E">
              <w:rPr>
                <w:rStyle w:val="Hyperlink"/>
                <w:noProof/>
              </w:rPr>
              <w:t>Results</w:t>
            </w:r>
            <w:r w:rsidR="004C426C">
              <w:rPr>
                <w:noProof/>
                <w:webHidden/>
              </w:rPr>
              <w:tab/>
            </w:r>
            <w:r w:rsidR="004C426C">
              <w:rPr>
                <w:noProof/>
                <w:webHidden/>
              </w:rPr>
              <w:fldChar w:fldCharType="begin"/>
            </w:r>
            <w:r w:rsidR="004C426C">
              <w:rPr>
                <w:noProof/>
                <w:webHidden/>
              </w:rPr>
              <w:instrText xml:space="preserve"> PAGEREF _Toc148531162 \h </w:instrText>
            </w:r>
            <w:r w:rsidR="004C426C">
              <w:rPr>
                <w:noProof/>
                <w:webHidden/>
              </w:rPr>
            </w:r>
            <w:r w:rsidR="004C426C">
              <w:rPr>
                <w:noProof/>
                <w:webHidden/>
              </w:rPr>
              <w:fldChar w:fldCharType="separate"/>
            </w:r>
            <w:r>
              <w:rPr>
                <w:noProof/>
                <w:webHidden/>
              </w:rPr>
              <w:t>75</w:t>
            </w:r>
            <w:r w:rsidR="004C426C">
              <w:rPr>
                <w:noProof/>
                <w:webHidden/>
              </w:rPr>
              <w:fldChar w:fldCharType="end"/>
            </w:r>
          </w:hyperlink>
        </w:p>
        <w:p w14:paraId="0A534CDC" w14:textId="29CB324F" w:rsidR="004C426C" w:rsidRDefault="00C857F3">
          <w:pPr>
            <w:pStyle w:val="TOC2"/>
            <w:rPr>
              <w:rFonts w:eastAsiaTheme="minorEastAsia"/>
              <w:noProof/>
              <w:lang w:eastAsia="en-AU"/>
            </w:rPr>
          </w:pPr>
          <w:hyperlink w:anchor="_Toc148531163" w:history="1">
            <w:r w:rsidR="004C426C" w:rsidRPr="000E194E">
              <w:rPr>
                <w:rStyle w:val="Hyperlink"/>
                <w:noProof/>
              </w:rPr>
              <w:t>2.5</w:t>
            </w:r>
            <w:r w:rsidR="004C426C">
              <w:rPr>
                <w:rFonts w:eastAsiaTheme="minorEastAsia"/>
                <w:noProof/>
                <w:lang w:eastAsia="en-AU"/>
              </w:rPr>
              <w:tab/>
            </w:r>
            <w:r w:rsidR="004C426C" w:rsidRPr="000E194E">
              <w:rPr>
                <w:rStyle w:val="Hyperlink"/>
                <w:noProof/>
              </w:rPr>
              <w:t>Conclusion</w:t>
            </w:r>
            <w:r w:rsidR="004C426C">
              <w:rPr>
                <w:noProof/>
                <w:webHidden/>
              </w:rPr>
              <w:tab/>
            </w:r>
            <w:r w:rsidR="004C426C">
              <w:rPr>
                <w:noProof/>
                <w:webHidden/>
              </w:rPr>
              <w:fldChar w:fldCharType="begin"/>
            </w:r>
            <w:r w:rsidR="004C426C">
              <w:rPr>
                <w:noProof/>
                <w:webHidden/>
              </w:rPr>
              <w:instrText xml:space="preserve"> PAGEREF _Toc148531163 \h </w:instrText>
            </w:r>
            <w:r w:rsidR="004C426C">
              <w:rPr>
                <w:noProof/>
                <w:webHidden/>
              </w:rPr>
            </w:r>
            <w:r w:rsidR="004C426C">
              <w:rPr>
                <w:noProof/>
                <w:webHidden/>
              </w:rPr>
              <w:fldChar w:fldCharType="separate"/>
            </w:r>
            <w:r>
              <w:rPr>
                <w:noProof/>
                <w:webHidden/>
              </w:rPr>
              <w:t>83</w:t>
            </w:r>
            <w:r w:rsidR="004C426C">
              <w:rPr>
                <w:noProof/>
                <w:webHidden/>
              </w:rPr>
              <w:fldChar w:fldCharType="end"/>
            </w:r>
          </w:hyperlink>
        </w:p>
        <w:p w14:paraId="38B847EC" w14:textId="3DD64704" w:rsidR="004C426C" w:rsidRDefault="00C857F3">
          <w:pPr>
            <w:pStyle w:val="TOC3"/>
            <w:tabs>
              <w:tab w:val="left" w:pos="1540"/>
              <w:tab w:val="right" w:leader="dot" w:pos="9016"/>
            </w:tabs>
            <w:rPr>
              <w:rFonts w:eastAsiaTheme="minorEastAsia"/>
              <w:noProof/>
              <w:lang w:eastAsia="en-AU"/>
            </w:rPr>
          </w:pPr>
          <w:hyperlink w:anchor="_Toc148531164" w:history="1">
            <w:r w:rsidR="004C426C" w:rsidRPr="000E194E">
              <w:rPr>
                <w:rStyle w:val="Hyperlink"/>
                <w:noProof/>
              </w:rPr>
              <w:t>2.5.1</w:t>
            </w:r>
            <w:r w:rsidR="004C426C">
              <w:rPr>
                <w:rFonts w:eastAsiaTheme="minorEastAsia"/>
                <w:noProof/>
                <w:lang w:eastAsia="en-AU"/>
              </w:rPr>
              <w:tab/>
            </w:r>
            <w:r w:rsidR="004C426C" w:rsidRPr="000E194E">
              <w:rPr>
                <w:rStyle w:val="Hyperlink"/>
                <w:noProof/>
              </w:rPr>
              <w:t>Evidence interpretation</w:t>
            </w:r>
            <w:r w:rsidR="004C426C">
              <w:rPr>
                <w:noProof/>
                <w:webHidden/>
              </w:rPr>
              <w:tab/>
            </w:r>
            <w:r w:rsidR="004C426C">
              <w:rPr>
                <w:noProof/>
                <w:webHidden/>
              </w:rPr>
              <w:fldChar w:fldCharType="begin"/>
            </w:r>
            <w:r w:rsidR="004C426C">
              <w:rPr>
                <w:noProof/>
                <w:webHidden/>
              </w:rPr>
              <w:instrText xml:space="preserve"> PAGEREF _Toc148531164 \h </w:instrText>
            </w:r>
            <w:r w:rsidR="004C426C">
              <w:rPr>
                <w:noProof/>
                <w:webHidden/>
              </w:rPr>
            </w:r>
            <w:r w:rsidR="004C426C">
              <w:rPr>
                <w:noProof/>
                <w:webHidden/>
              </w:rPr>
              <w:fldChar w:fldCharType="separate"/>
            </w:r>
            <w:r>
              <w:rPr>
                <w:noProof/>
                <w:webHidden/>
              </w:rPr>
              <w:t>83</w:t>
            </w:r>
            <w:r w:rsidR="004C426C">
              <w:rPr>
                <w:noProof/>
                <w:webHidden/>
              </w:rPr>
              <w:fldChar w:fldCharType="end"/>
            </w:r>
          </w:hyperlink>
        </w:p>
        <w:p w14:paraId="10AC04D3" w14:textId="2476AEC9" w:rsidR="004C426C" w:rsidRDefault="00C857F3">
          <w:pPr>
            <w:pStyle w:val="TOC3"/>
            <w:tabs>
              <w:tab w:val="left" w:pos="1540"/>
              <w:tab w:val="right" w:leader="dot" w:pos="9016"/>
            </w:tabs>
            <w:rPr>
              <w:rFonts w:eastAsiaTheme="minorEastAsia"/>
              <w:noProof/>
              <w:lang w:eastAsia="en-AU"/>
            </w:rPr>
          </w:pPr>
          <w:hyperlink w:anchor="_Toc148531165" w:history="1">
            <w:r w:rsidR="004C426C" w:rsidRPr="000E194E">
              <w:rPr>
                <w:rStyle w:val="Hyperlink"/>
                <w:noProof/>
              </w:rPr>
              <w:t>2.5.2</w:t>
            </w:r>
            <w:r w:rsidR="004C426C">
              <w:rPr>
                <w:rFonts w:eastAsiaTheme="minorEastAsia"/>
                <w:noProof/>
                <w:lang w:eastAsia="en-AU"/>
              </w:rPr>
              <w:tab/>
            </w:r>
            <w:r w:rsidR="004C426C" w:rsidRPr="000E194E">
              <w:rPr>
                <w:rStyle w:val="Hyperlink"/>
                <w:noProof/>
              </w:rPr>
              <w:t>Conclusion of the clinical claim</w:t>
            </w:r>
            <w:r w:rsidR="004C426C">
              <w:rPr>
                <w:noProof/>
                <w:webHidden/>
              </w:rPr>
              <w:tab/>
            </w:r>
            <w:r w:rsidR="004C426C">
              <w:rPr>
                <w:noProof/>
                <w:webHidden/>
              </w:rPr>
              <w:fldChar w:fldCharType="begin"/>
            </w:r>
            <w:r w:rsidR="004C426C">
              <w:rPr>
                <w:noProof/>
                <w:webHidden/>
              </w:rPr>
              <w:instrText xml:space="preserve"> PAGEREF _Toc148531165 \h </w:instrText>
            </w:r>
            <w:r w:rsidR="004C426C">
              <w:rPr>
                <w:noProof/>
                <w:webHidden/>
              </w:rPr>
            </w:r>
            <w:r w:rsidR="004C426C">
              <w:rPr>
                <w:noProof/>
                <w:webHidden/>
              </w:rPr>
              <w:fldChar w:fldCharType="separate"/>
            </w:r>
            <w:r>
              <w:rPr>
                <w:noProof/>
                <w:webHidden/>
              </w:rPr>
              <w:t>88</w:t>
            </w:r>
            <w:r w:rsidR="004C426C">
              <w:rPr>
                <w:noProof/>
                <w:webHidden/>
              </w:rPr>
              <w:fldChar w:fldCharType="end"/>
            </w:r>
          </w:hyperlink>
        </w:p>
        <w:p w14:paraId="3241CF32" w14:textId="69366282" w:rsidR="004C426C" w:rsidRDefault="00C857F3">
          <w:pPr>
            <w:pStyle w:val="TOC1"/>
            <w:rPr>
              <w:rFonts w:eastAsiaTheme="minorEastAsia"/>
              <w:b w:val="0"/>
              <w:noProof/>
              <w:lang w:eastAsia="en-AU"/>
            </w:rPr>
          </w:pPr>
          <w:hyperlink w:anchor="_Toc148531166" w:history="1">
            <w:r w:rsidR="004C426C" w:rsidRPr="000E194E">
              <w:rPr>
                <w:rStyle w:val="Hyperlink"/>
                <w:noProof/>
              </w:rPr>
              <w:t>Section 3</w:t>
            </w:r>
            <w:r w:rsidR="004C426C">
              <w:rPr>
                <w:rFonts w:eastAsiaTheme="minorEastAsia"/>
                <w:b w:val="0"/>
                <w:noProof/>
                <w:lang w:eastAsia="en-AU"/>
              </w:rPr>
              <w:tab/>
            </w:r>
            <w:r w:rsidR="004C426C" w:rsidRPr="000E194E">
              <w:rPr>
                <w:rStyle w:val="Hyperlink"/>
                <w:noProof/>
              </w:rPr>
              <w:t>Cost-effectiveness analysis</w:t>
            </w:r>
            <w:r w:rsidR="004C426C">
              <w:rPr>
                <w:noProof/>
                <w:webHidden/>
              </w:rPr>
              <w:tab/>
            </w:r>
            <w:r w:rsidR="004C426C">
              <w:rPr>
                <w:noProof/>
                <w:webHidden/>
              </w:rPr>
              <w:fldChar w:fldCharType="begin"/>
            </w:r>
            <w:r w:rsidR="004C426C">
              <w:rPr>
                <w:noProof/>
                <w:webHidden/>
              </w:rPr>
              <w:instrText xml:space="preserve"> PAGEREF _Toc148531166 \h </w:instrText>
            </w:r>
            <w:r w:rsidR="004C426C">
              <w:rPr>
                <w:noProof/>
                <w:webHidden/>
              </w:rPr>
            </w:r>
            <w:r w:rsidR="004C426C">
              <w:rPr>
                <w:noProof/>
                <w:webHidden/>
              </w:rPr>
              <w:fldChar w:fldCharType="separate"/>
            </w:r>
            <w:r>
              <w:rPr>
                <w:noProof/>
                <w:webHidden/>
              </w:rPr>
              <w:t>89</w:t>
            </w:r>
            <w:r w:rsidR="004C426C">
              <w:rPr>
                <w:noProof/>
                <w:webHidden/>
              </w:rPr>
              <w:fldChar w:fldCharType="end"/>
            </w:r>
          </w:hyperlink>
        </w:p>
        <w:p w14:paraId="21B68204" w14:textId="282D6F27" w:rsidR="004C426C" w:rsidRDefault="00C857F3">
          <w:pPr>
            <w:pStyle w:val="TOC2"/>
            <w:rPr>
              <w:rFonts w:eastAsiaTheme="minorEastAsia"/>
              <w:noProof/>
              <w:lang w:eastAsia="en-AU"/>
            </w:rPr>
          </w:pPr>
          <w:hyperlink w:anchor="_Toc148531167" w:history="1">
            <w:r w:rsidR="004C426C" w:rsidRPr="000E194E">
              <w:rPr>
                <w:rStyle w:val="Hyperlink"/>
                <w:noProof/>
              </w:rPr>
              <w:t>3.1</w:t>
            </w:r>
            <w:r w:rsidR="004C426C">
              <w:rPr>
                <w:rFonts w:eastAsiaTheme="minorEastAsia"/>
                <w:noProof/>
                <w:lang w:eastAsia="en-AU"/>
              </w:rPr>
              <w:tab/>
            </w:r>
            <w:r w:rsidR="004C426C" w:rsidRPr="000E194E">
              <w:rPr>
                <w:rStyle w:val="Hyperlink"/>
                <w:noProof/>
              </w:rPr>
              <w:t>Overview and rationale of the economic evaluation</w:t>
            </w:r>
            <w:r w:rsidR="004C426C">
              <w:rPr>
                <w:noProof/>
                <w:webHidden/>
              </w:rPr>
              <w:tab/>
            </w:r>
            <w:r w:rsidR="004C426C">
              <w:rPr>
                <w:noProof/>
                <w:webHidden/>
              </w:rPr>
              <w:fldChar w:fldCharType="begin"/>
            </w:r>
            <w:r w:rsidR="004C426C">
              <w:rPr>
                <w:noProof/>
                <w:webHidden/>
              </w:rPr>
              <w:instrText xml:space="preserve"> PAGEREF _Toc148531167 \h </w:instrText>
            </w:r>
            <w:r w:rsidR="004C426C">
              <w:rPr>
                <w:noProof/>
                <w:webHidden/>
              </w:rPr>
            </w:r>
            <w:r w:rsidR="004C426C">
              <w:rPr>
                <w:noProof/>
                <w:webHidden/>
              </w:rPr>
              <w:fldChar w:fldCharType="separate"/>
            </w:r>
            <w:r>
              <w:rPr>
                <w:noProof/>
                <w:webHidden/>
              </w:rPr>
              <w:t>89</w:t>
            </w:r>
            <w:r w:rsidR="004C426C">
              <w:rPr>
                <w:noProof/>
                <w:webHidden/>
              </w:rPr>
              <w:fldChar w:fldCharType="end"/>
            </w:r>
          </w:hyperlink>
        </w:p>
        <w:p w14:paraId="71A6868D" w14:textId="1B8A55F1" w:rsidR="004C426C" w:rsidRDefault="00C857F3">
          <w:pPr>
            <w:pStyle w:val="TOC2"/>
            <w:rPr>
              <w:rFonts w:eastAsiaTheme="minorEastAsia"/>
              <w:noProof/>
              <w:lang w:eastAsia="en-AU"/>
            </w:rPr>
          </w:pPr>
          <w:hyperlink w:anchor="_Toc148531168" w:history="1">
            <w:r w:rsidR="004C426C" w:rsidRPr="000E194E">
              <w:rPr>
                <w:rStyle w:val="Hyperlink"/>
                <w:noProof/>
              </w:rPr>
              <w:t>3.2</w:t>
            </w:r>
            <w:r w:rsidR="004C426C">
              <w:rPr>
                <w:rFonts w:eastAsiaTheme="minorEastAsia"/>
                <w:noProof/>
                <w:lang w:eastAsia="en-AU"/>
              </w:rPr>
              <w:tab/>
            </w:r>
            <w:r w:rsidR="004C426C" w:rsidRPr="000E194E">
              <w:rPr>
                <w:rStyle w:val="Hyperlink"/>
                <w:noProof/>
              </w:rPr>
              <w:t>Methods</w:t>
            </w:r>
            <w:r w:rsidR="004C426C">
              <w:rPr>
                <w:noProof/>
                <w:webHidden/>
              </w:rPr>
              <w:tab/>
            </w:r>
            <w:r w:rsidR="004C426C">
              <w:rPr>
                <w:noProof/>
                <w:webHidden/>
              </w:rPr>
              <w:fldChar w:fldCharType="begin"/>
            </w:r>
            <w:r w:rsidR="004C426C">
              <w:rPr>
                <w:noProof/>
                <w:webHidden/>
              </w:rPr>
              <w:instrText xml:space="preserve"> PAGEREF _Toc148531168 \h </w:instrText>
            </w:r>
            <w:r w:rsidR="004C426C">
              <w:rPr>
                <w:noProof/>
                <w:webHidden/>
              </w:rPr>
            </w:r>
            <w:r w:rsidR="004C426C">
              <w:rPr>
                <w:noProof/>
                <w:webHidden/>
              </w:rPr>
              <w:fldChar w:fldCharType="separate"/>
            </w:r>
            <w:r>
              <w:rPr>
                <w:noProof/>
                <w:webHidden/>
              </w:rPr>
              <w:t>92</w:t>
            </w:r>
            <w:r w:rsidR="004C426C">
              <w:rPr>
                <w:noProof/>
                <w:webHidden/>
              </w:rPr>
              <w:fldChar w:fldCharType="end"/>
            </w:r>
          </w:hyperlink>
        </w:p>
        <w:p w14:paraId="1C84CAC8" w14:textId="662D8836" w:rsidR="004C426C" w:rsidRDefault="00C857F3">
          <w:pPr>
            <w:pStyle w:val="TOC3"/>
            <w:tabs>
              <w:tab w:val="left" w:pos="1540"/>
              <w:tab w:val="right" w:leader="dot" w:pos="9016"/>
            </w:tabs>
            <w:rPr>
              <w:rFonts w:eastAsiaTheme="minorEastAsia"/>
              <w:noProof/>
              <w:lang w:eastAsia="en-AU"/>
            </w:rPr>
          </w:pPr>
          <w:hyperlink w:anchor="_Toc148531169" w:history="1">
            <w:r w:rsidR="004C426C" w:rsidRPr="000E194E">
              <w:rPr>
                <w:rStyle w:val="Hyperlink"/>
                <w:noProof/>
              </w:rPr>
              <w:t>3.2.1</w:t>
            </w:r>
            <w:r w:rsidR="004C426C">
              <w:rPr>
                <w:rFonts w:eastAsiaTheme="minorEastAsia"/>
                <w:noProof/>
                <w:lang w:eastAsia="en-AU"/>
              </w:rPr>
              <w:tab/>
            </w:r>
            <w:r w:rsidR="004C426C" w:rsidRPr="000E194E">
              <w:rPr>
                <w:rStyle w:val="Hyperlink"/>
                <w:noProof/>
              </w:rPr>
              <w:t>Summary table</w:t>
            </w:r>
            <w:r w:rsidR="004C426C">
              <w:rPr>
                <w:noProof/>
                <w:webHidden/>
              </w:rPr>
              <w:tab/>
            </w:r>
            <w:r w:rsidR="004C426C">
              <w:rPr>
                <w:noProof/>
                <w:webHidden/>
              </w:rPr>
              <w:fldChar w:fldCharType="begin"/>
            </w:r>
            <w:r w:rsidR="004C426C">
              <w:rPr>
                <w:noProof/>
                <w:webHidden/>
              </w:rPr>
              <w:instrText xml:space="preserve"> PAGEREF _Toc148531169 \h </w:instrText>
            </w:r>
            <w:r w:rsidR="004C426C">
              <w:rPr>
                <w:noProof/>
                <w:webHidden/>
              </w:rPr>
            </w:r>
            <w:r w:rsidR="004C426C">
              <w:rPr>
                <w:noProof/>
                <w:webHidden/>
              </w:rPr>
              <w:fldChar w:fldCharType="separate"/>
            </w:r>
            <w:r>
              <w:rPr>
                <w:noProof/>
                <w:webHidden/>
              </w:rPr>
              <w:t>92</w:t>
            </w:r>
            <w:r w:rsidR="004C426C">
              <w:rPr>
                <w:noProof/>
                <w:webHidden/>
              </w:rPr>
              <w:fldChar w:fldCharType="end"/>
            </w:r>
          </w:hyperlink>
        </w:p>
        <w:p w14:paraId="2D64225D" w14:textId="62562DBC" w:rsidR="004C426C" w:rsidRDefault="00C857F3">
          <w:pPr>
            <w:pStyle w:val="TOC3"/>
            <w:tabs>
              <w:tab w:val="left" w:pos="1540"/>
              <w:tab w:val="right" w:leader="dot" w:pos="9016"/>
            </w:tabs>
            <w:rPr>
              <w:rFonts w:eastAsiaTheme="minorEastAsia"/>
              <w:noProof/>
              <w:lang w:eastAsia="en-AU"/>
            </w:rPr>
          </w:pPr>
          <w:hyperlink w:anchor="_Toc148531170" w:history="1">
            <w:r w:rsidR="004C426C" w:rsidRPr="000E194E">
              <w:rPr>
                <w:rStyle w:val="Hyperlink"/>
                <w:noProof/>
              </w:rPr>
              <w:t>3.2.2</w:t>
            </w:r>
            <w:r w:rsidR="004C426C">
              <w:rPr>
                <w:rFonts w:eastAsiaTheme="minorEastAsia"/>
                <w:noProof/>
                <w:lang w:eastAsia="en-AU"/>
              </w:rPr>
              <w:tab/>
            </w:r>
            <w:r w:rsidR="004C426C" w:rsidRPr="000E194E">
              <w:rPr>
                <w:rStyle w:val="Hyperlink"/>
                <w:noProof/>
              </w:rPr>
              <w:t>Structure of the economic evaluation</w:t>
            </w:r>
            <w:r w:rsidR="004C426C">
              <w:rPr>
                <w:noProof/>
                <w:webHidden/>
              </w:rPr>
              <w:tab/>
            </w:r>
            <w:r w:rsidR="004C426C">
              <w:rPr>
                <w:noProof/>
                <w:webHidden/>
              </w:rPr>
              <w:fldChar w:fldCharType="begin"/>
            </w:r>
            <w:r w:rsidR="004C426C">
              <w:rPr>
                <w:noProof/>
                <w:webHidden/>
              </w:rPr>
              <w:instrText xml:space="preserve"> PAGEREF _Toc148531170 \h </w:instrText>
            </w:r>
            <w:r w:rsidR="004C426C">
              <w:rPr>
                <w:noProof/>
                <w:webHidden/>
              </w:rPr>
            </w:r>
            <w:r w:rsidR="004C426C">
              <w:rPr>
                <w:noProof/>
                <w:webHidden/>
              </w:rPr>
              <w:fldChar w:fldCharType="separate"/>
            </w:r>
            <w:r>
              <w:rPr>
                <w:noProof/>
                <w:webHidden/>
              </w:rPr>
              <w:t>93</w:t>
            </w:r>
            <w:r w:rsidR="004C426C">
              <w:rPr>
                <w:noProof/>
                <w:webHidden/>
              </w:rPr>
              <w:fldChar w:fldCharType="end"/>
            </w:r>
          </w:hyperlink>
        </w:p>
        <w:p w14:paraId="75871D1A" w14:textId="7B62E97B" w:rsidR="004C426C" w:rsidRDefault="00C857F3">
          <w:pPr>
            <w:pStyle w:val="TOC3"/>
            <w:tabs>
              <w:tab w:val="left" w:pos="1540"/>
              <w:tab w:val="right" w:leader="dot" w:pos="9016"/>
            </w:tabs>
            <w:rPr>
              <w:rFonts w:eastAsiaTheme="minorEastAsia"/>
              <w:noProof/>
              <w:lang w:eastAsia="en-AU"/>
            </w:rPr>
          </w:pPr>
          <w:hyperlink w:anchor="_Toc148531171" w:history="1">
            <w:r w:rsidR="004C426C" w:rsidRPr="000E194E">
              <w:rPr>
                <w:rStyle w:val="Hyperlink"/>
                <w:noProof/>
              </w:rPr>
              <w:t>3.2.3</w:t>
            </w:r>
            <w:r w:rsidR="004C426C">
              <w:rPr>
                <w:rFonts w:eastAsiaTheme="minorEastAsia"/>
                <w:noProof/>
                <w:lang w:eastAsia="en-AU"/>
              </w:rPr>
              <w:tab/>
            </w:r>
            <w:r w:rsidR="004C426C" w:rsidRPr="000E194E">
              <w:rPr>
                <w:rStyle w:val="Hyperlink"/>
                <w:noProof/>
              </w:rPr>
              <w:t>Model population and setting</w:t>
            </w:r>
            <w:r w:rsidR="004C426C">
              <w:rPr>
                <w:noProof/>
                <w:webHidden/>
              </w:rPr>
              <w:tab/>
            </w:r>
            <w:r w:rsidR="004C426C">
              <w:rPr>
                <w:noProof/>
                <w:webHidden/>
              </w:rPr>
              <w:fldChar w:fldCharType="begin"/>
            </w:r>
            <w:r w:rsidR="004C426C">
              <w:rPr>
                <w:noProof/>
                <w:webHidden/>
              </w:rPr>
              <w:instrText xml:space="preserve"> PAGEREF _Toc148531171 \h </w:instrText>
            </w:r>
            <w:r w:rsidR="004C426C">
              <w:rPr>
                <w:noProof/>
                <w:webHidden/>
              </w:rPr>
            </w:r>
            <w:r w:rsidR="004C426C">
              <w:rPr>
                <w:noProof/>
                <w:webHidden/>
              </w:rPr>
              <w:fldChar w:fldCharType="separate"/>
            </w:r>
            <w:r>
              <w:rPr>
                <w:noProof/>
                <w:webHidden/>
              </w:rPr>
              <w:t>97</w:t>
            </w:r>
            <w:r w:rsidR="004C426C">
              <w:rPr>
                <w:noProof/>
                <w:webHidden/>
              </w:rPr>
              <w:fldChar w:fldCharType="end"/>
            </w:r>
          </w:hyperlink>
        </w:p>
        <w:p w14:paraId="5B746E0C" w14:textId="5EA9F10E" w:rsidR="004C426C" w:rsidRDefault="00C857F3">
          <w:pPr>
            <w:pStyle w:val="TOC3"/>
            <w:tabs>
              <w:tab w:val="left" w:pos="1540"/>
              <w:tab w:val="right" w:leader="dot" w:pos="9016"/>
            </w:tabs>
            <w:rPr>
              <w:rFonts w:eastAsiaTheme="minorEastAsia"/>
              <w:noProof/>
              <w:lang w:eastAsia="en-AU"/>
            </w:rPr>
          </w:pPr>
          <w:hyperlink w:anchor="_Toc148531172" w:history="1">
            <w:r w:rsidR="004C426C" w:rsidRPr="000E194E">
              <w:rPr>
                <w:rStyle w:val="Hyperlink"/>
                <w:noProof/>
              </w:rPr>
              <w:t>3.2.4</w:t>
            </w:r>
            <w:r w:rsidR="004C426C">
              <w:rPr>
                <w:rFonts w:eastAsiaTheme="minorEastAsia"/>
                <w:noProof/>
                <w:lang w:eastAsia="en-AU"/>
              </w:rPr>
              <w:tab/>
            </w:r>
            <w:r w:rsidR="004C426C" w:rsidRPr="000E194E">
              <w:rPr>
                <w:rStyle w:val="Hyperlink"/>
                <w:noProof/>
              </w:rPr>
              <w:t>Model transition probabilities, variables and extrapolation</w:t>
            </w:r>
            <w:r w:rsidR="004C426C">
              <w:rPr>
                <w:noProof/>
                <w:webHidden/>
              </w:rPr>
              <w:tab/>
            </w:r>
            <w:r w:rsidR="004C426C">
              <w:rPr>
                <w:noProof/>
                <w:webHidden/>
              </w:rPr>
              <w:fldChar w:fldCharType="begin"/>
            </w:r>
            <w:r w:rsidR="004C426C">
              <w:rPr>
                <w:noProof/>
                <w:webHidden/>
              </w:rPr>
              <w:instrText xml:space="preserve"> PAGEREF _Toc148531172 \h </w:instrText>
            </w:r>
            <w:r w:rsidR="004C426C">
              <w:rPr>
                <w:noProof/>
                <w:webHidden/>
              </w:rPr>
            </w:r>
            <w:r w:rsidR="004C426C">
              <w:rPr>
                <w:noProof/>
                <w:webHidden/>
              </w:rPr>
              <w:fldChar w:fldCharType="separate"/>
            </w:r>
            <w:r>
              <w:rPr>
                <w:noProof/>
                <w:webHidden/>
              </w:rPr>
              <w:t>101</w:t>
            </w:r>
            <w:r w:rsidR="004C426C">
              <w:rPr>
                <w:noProof/>
                <w:webHidden/>
              </w:rPr>
              <w:fldChar w:fldCharType="end"/>
            </w:r>
          </w:hyperlink>
        </w:p>
        <w:p w14:paraId="1CAEA917" w14:textId="414FD3FC" w:rsidR="004C426C" w:rsidRDefault="00C857F3">
          <w:pPr>
            <w:pStyle w:val="TOC3"/>
            <w:tabs>
              <w:tab w:val="left" w:pos="1540"/>
              <w:tab w:val="right" w:leader="dot" w:pos="9016"/>
            </w:tabs>
            <w:rPr>
              <w:rFonts w:eastAsiaTheme="minorEastAsia"/>
              <w:noProof/>
              <w:lang w:eastAsia="en-AU"/>
            </w:rPr>
          </w:pPr>
          <w:hyperlink w:anchor="_Toc148531173" w:history="1">
            <w:r w:rsidR="004C426C" w:rsidRPr="000E194E">
              <w:rPr>
                <w:rStyle w:val="Hyperlink"/>
                <w:noProof/>
              </w:rPr>
              <w:t>3.2.5</w:t>
            </w:r>
            <w:r w:rsidR="004C426C">
              <w:rPr>
                <w:rFonts w:eastAsiaTheme="minorEastAsia"/>
                <w:noProof/>
                <w:lang w:eastAsia="en-AU"/>
              </w:rPr>
              <w:tab/>
            </w:r>
            <w:r w:rsidR="004C426C" w:rsidRPr="000E194E">
              <w:rPr>
                <w:rStyle w:val="Hyperlink"/>
                <w:noProof/>
              </w:rPr>
              <w:t>Health outcomes</w:t>
            </w:r>
            <w:r w:rsidR="004C426C">
              <w:rPr>
                <w:noProof/>
                <w:webHidden/>
              </w:rPr>
              <w:tab/>
            </w:r>
            <w:r w:rsidR="004C426C">
              <w:rPr>
                <w:noProof/>
                <w:webHidden/>
              </w:rPr>
              <w:fldChar w:fldCharType="begin"/>
            </w:r>
            <w:r w:rsidR="004C426C">
              <w:rPr>
                <w:noProof/>
                <w:webHidden/>
              </w:rPr>
              <w:instrText xml:space="preserve"> PAGEREF _Toc148531173 \h </w:instrText>
            </w:r>
            <w:r w:rsidR="004C426C">
              <w:rPr>
                <w:noProof/>
                <w:webHidden/>
              </w:rPr>
            </w:r>
            <w:r w:rsidR="004C426C">
              <w:rPr>
                <w:noProof/>
                <w:webHidden/>
              </w:rPr>
              <w:fldChar w:fldCharType="separate"/>
            </w:r>
            <w:r>
              <w:rPr>
                <w:noProof/>
                <w:webHidden/>
              </w:rPr>
              <w:t>104</w:t>
            </w:r>
            <w:r w:rsidR="004C426C">
              <w:rPr>
                <w:noProof/>
                <w:webHidden/>
              </w:rPr>
              <w:fldChar w:fldCharType="end"/>
            </w:r>
          </w:hyperlink>
        </w:p>
        <w:p w14:paraId="73998BF4" w14:textId="23547ABC" w:rsidR="004C426C" w:rsidRDefault="00C857F3">
          <w:pPr>
            <w:pStyle w:val="TOC3"/>
            <w:tabs>
              <w:tab w:val="left" w:pos="1540"/>
              <w:tab w:val="right" w:leader="dot" w:pos="9016"/>
            </w:tabs>
            <w:rPr>
              <w:rFonts w:eastAsiaTheme="minorEastAsia"/>
              <w:noProof/>
              <w:lang w:eastAsia="en-AU"/>
            </w:rPr>
          </w:pPr>
          <w:hyperlink w:anchor="_Toc148531174" w:history="1">
            <w:r w:rsidR="004C426C" w:rsidRPr="000E194E">
              <w:rPr>
                <w:rStyle w:val="Hyperlink"/>
                <w:noProof/>
              </w:rPr>
              <w:t>3.2.6</w:t>
            </w:r>
            <w:r w:rsidR="004C426C">
              <w:rPr>
                <w:rFonts w:eastAsiaTheme="minorEastAsia"/>
                <w:noProof/>
                <w:lang w:eastAsia="en-AU"/>
              </w:rPr>
              <w:tab/>
            </w:r>
            <w:r w:rsidR="004C426C" w:rsidRPr="000E194E">
              <w:rPr>
                <w:rStyle w:val="Hyperlink"/>
                <w:noProof/>
              </w:rPr>
              <w:t>Health care resource use and costs</w:t>
            </w:r>
            <w:r w:rsidR="004C426C">
              <w:rPr>
                <w:noProof/>
                <w:webHidden/>
              </w:rPr>
              <w:tab/>
            </w:r>
            <w:r w:rsidR="004C426C">
              <w:rPr>
                <w:noProof/>
                <w:webHidden/>
              </w:rPr>
              <w:fldChar w:fldCharType="begin"/>
            </w:r>
            <w:r w:rsidR="004C426C">
              <w:rPr>
                <w:noProof/>
                <w:webHidden/>
              </w:rPr>
              <w:instrText xml:space="preserve"> PAGEREF _Toc148531174 \h </w:instrText>
            </w:r>
            <w:r w:rsidR="004C426C">
              <w:rPr>
                <w:noProof/>
                <w:webHidden/>
              </w:rPr>
            </w:r>
            <w:r w:rsidR="004C426C">
              <w:rPr>
                <w:noProof/>
                <w:webHidden/>
              </w:rPr>
              <w:fldChar w:fldCharType="separate"/>
            </w:r>
            <w:r>
              <w:rPr>
                <w:noProof/>
                <w:webHidden/>
              </w:rPr>
              <w:t>104</w:t>
            </w:r>
            <w:r w:rsidR="004C426C">
              <w:rPr>
                <w:noProof/>
                <w:webHidden/>
              </w:rPr>
              <w:fldChar w:fldCharType="end"/>
            </w:r>
          </w:hyperlink>
        </w:p>
        <w:p w14:paraId="649AFD1C" w14:textId="2CDF1AF4" w:rsidR="004C426C" w:rsidRDefault="00C857F3">
          <w:pPr>
            <w:pStyle w:val="TOC3"/>
            <w:tabs>
              <w:tab w:val="left" w:pos="1540"/>
              <w:tab w:val="right" w:leader="dot" w:pos="9016"/>
            </w:tabs>
            <w:rPr>
              <w:rFonts w:eastAsiaTheme="minorEastAsia"/>
              <w:noProof/>
              <w:lang w:eastAsia="en-AU"/>
            </w:rPr>
          </w:pPr>
          <w:hyperlink w:anchor="_Toc148531175" w:history="1">
            <w:r w:rsidR="004C426C" w:rsidRPr="000E194E">
              <w:rPr>
                <w:rStyle w:val="Hyperlink"/>
                <w:noProof/>
              </w:rPr>
              <w:t>3.2.7</w:t>
            </w:r>
            <w:r w:rsidR="004C426C">
              <w:rPr>
                <w:rFonts w:eastAsiaTheme="minorEastAsia"/>
                <w:noProof/>
                <w:lang w:eastAsia="en-AU"/>
              </w:rPr>
              <w:tab/>
            </w:r>
            <w:r w:rsidR="004C426C" w:rsidRPr="000E194E">
              <w:rPr>
                <w:rStyle w:val="Hyperlink"/>
                <w:noProof/>
              </w:rPr>
              <w:t>Model validation</w:t>
            </w:r>
            <w:r w:rsidR="004C426C">
              <w:rPr>
                <w:noProof/>
                <w:webHidden/>
              </w:rPr>
              <w:tab/>
            </w:r>
            <w:r w:rsidR="004C426C">
              <w:rPr>
                <w:noProof/>
                <w:webHidden/>
              </w:rPr>
              <w:fldChar w:fldCharType="begin"/>
            </w:r>
            <w:r w:rsidR="004C426C">
              <w:rPr>
                <w:noProof/>
                <w:webHidden/>
              </w:rPr>
              <w:instrText xml:space="preserve"> PAGEREF _Toc148531175 \h </w:instrText>
            </w:r>
            <w:r w:rsidR="004C426C">
              <w:rPr>
                <w:noProof/>
                <w:webHidden/>
              </w:rPr>
            </w:r>
            <w:r w:rsidR="004C426C">
              <w:rPr>
                <w:noProof/>
                <w:webHidden/>
              </w:rPr>
              <w:fldChar w:fldCharType="separate"/>
            </w:r>
            <w:r>
              <w:rPr>
                <w:noProof/>
                <w:webHidden/>
              </w:rPr>
              <w:t>108</w:t>
            </w:r>
            <w:r w:rsidR="004C426C">
              <w:rPr>
                <w:noProof/>
                <w:webHidden/>
              </w:rPr>
              <w:fldChar w:fldCharType="end"/>
            </w:r>
          </w:hyperlink>
        </w:p>
        <w:p w14:paraId="28ED038C" w14:textId="2920ACE0" w:rsidR="004C426C" w:rsidRDefault="00C857F3">
          <w:pPr>
            <w:pStyle w:val="TOC2"/>
            <w:rPr>
              <w:rFonts w:eastAsiaTheme="minorEastAsia"/>
              <w:noProof/>
              <w:lang w:eastAsia="en-AU"/>
            </w:rPr>
          </w:pPr>
          <w:hyperlink w:anchor="_Toc148531176" w:history="1">
            <w:r w:rsidR="004C426C" w:rsidRPr="000E194E">
              <w:rPr>
                <w:rStyle w:val="Hyperlink"/>
                <w:noProof/>
              </w:rPr>
              <w:t>3.3</w:t>
            </w:r>
            <w:r w:rsidR="004C426C">
              <w:rPr>
                <w:rFonts w:eastAsiaTheme="minorEastAsia"/>
                <w:noProof/>
                <w:lang w:eastAsia="en-AU"/>
              </w:rPr>
              <w:tab/>
            </w:r>
            <w:r w:rsidR="004C426C" w:rsidRPr="000E194E">
              <w:rPr>
                <w:rStyle w:val="Hyperlink"/>
                <w:noProof/>
              </w:rPr>
              <w:t>Results</w:t>
            </w:r>
            <w:r w:rsidR="004C426C">
              <w:rPr>
                <w:noProof/>
                <w:webHidden/>
              </w:rPr>
              <w:tab/>
            </w:r>
            <w:r w:rsidR="004C426C">
              <w:rPr>
                <w:noProof/>
                <w:webHidden/>
              </w:rPr>
              <w:fldChar w:fldCharType="begin"/>
            </w:r>
            <w:r w:rsidR="004C426C">
              <w:rPr>
                <w:noProof/>
                <w:webHidden/>
              </w:rPr>
              <w:instrText xml:space="preserve"> PAGEREF _Toc148531176 \h </w:instrText>
            </w:r>
            <w:r w:rsidR="004C426C">
              <w:rPr>
                <w:noProof/>
                <w:webHidden/>
              </w:rPr>
            </w:r>
            <w:r w:rsidR="004C426C">
              <w:rPr>
                <w:noProof/>
                <w:webHidden/>
              </w:rPr>
              <w:fldChar w:fldCharType="separate"/>
            </w:r>
            <w:r>
              <w:rPr>
                <w:noProof/>
                <w:webHidden/>
              </w:rPr>
              <w:t>110</w:t>
            </w:r>
            <w:r w:rsidR="004C426C">
              <w:rPr>
                <w:noProof/>
                <w:webHidden/>
              </w:rPr>
              <w:fldChar w:fldCharType="end"/>
            </w:r>
          </w:hyperlink>
        </w:p>
        <w:p w14:paraId="27ADECAD" w14:textId="191E6132" w:rsidR="004C426C" w:rsidRDefault="00C857F3">
          <w:pPr>
            <w:pStyle w:val="TOC3"/>
            <w:tabs>
              <w:tab w:val="left" w:pos="1540"/>
              <w:tab w:val="right" w:leader="dot" w:pos="9016"/>
            </w:tabs>
            <w:rPr>
              <w:rFonts w:eastAsiaTheme="minorEastAsia"/>
              <w:noProof/>
              <w:lang w:eastAsia="en-AU"/>
            </w:rPr>
          </w:pPr>
          <w:hyperlink w:anchor="_Toc148531177" w:history="1">
            <w:r w:rsidR="004C426C" w:rsidRPr="000E194E">
              <w:rPr>
                <w:rStyle w:val="Hyperlink"/>
                <w:noProof/>
              </w:rPr>
              <w:t>3.3.1</w:t>
            </w:r>
            <w:r w:rsidR="004C426C">
              <w:rPr>
                <w:rFonts w:eastAsiaTheme="minorEastAsia"/>
                <w:noProof/>
                <w:lang w:eastAsia="en-AU"/>
              </w:rPr>
              <w:tab/>
            </w:r>
            <w:r w:rsidR="004C426C" w:rsidRPr="000E194E">
              <w:rPr>
                <w:rStyle w:val="Hyperlink"/>
                <w:noProof/>
              </w:rPr>
              <w:t>Base-case analysis</w:t>
            </w:r>
            <w:r w:rsidR="004C426C">
              <w:rPr>
                <w:noProof/>
                <w:webHidden/>
              </w:rPr>
              <w:tab/>
            </w:r>
            <w:r w:rsidR="004C426C">
              <w:rPr>
                <w:noProof/>
                <w:webHidden/>
              </w:rPr>
              <w:fldChar w:fldCharType="begin"/>
            </w:r>
            <w:r w:rsidR="004C426C">
              <w:rPr>
                <w:noProof/>
                <w:webHidden/>
              </w:rPr>
              <w:instrText xml:space="preserve"> PAGEREF _Toc148531177 \h </w:instrText>
            </w:r>
            <w:r w:rsidR="004C426C">
              <w:rPr>
                <w:noProof/>
                <w:webHidden/>
              </w:rPr>
            </w:r>
            <w:r w:rsidR="004C426C">
              <w:rPr>
                <w:noProof/>
                <w:webHidden/>
              </w:rPr>
              <w:fldChar w:fldCharType="separate"/>
            </w:r>
            <w:r>
              <w:rPr>
                <w:noProof/>
                <w:webHidden/>
              </w:rPr>
              <w:t>110</w:t>
            </w:r>
            <w:r w:rsidR="004C426C">
              <w:rPr>
                <w:noProof/>
                <w:webHidden/>
              </w:rPr>
              <w:fldChar w:fldCharType="end"/>
            </w:r>
          </w:hyperlink>
        </w:p>
        <w:p w14:paraId="565D6204" w14:textId="76385B3F" w:rsidR="004C426C" w:rsidRDefault="00C857F3">
          <w:pPr>
            <w:pStyle w:val="TOC3"/>
            <w:tabs>
              <w:tab w:val="right" w:leader="dot" w:pos="9016"/>
            </w:tabs>
            <w:rPr>
              <w:rFonts w:eastAsiaTheme="minorEastAsia"/>
              <w:noProof/>
              <w:lang w:eastAsia="en-AU"/>
            </w:rPr>
          </w:pPr>
          <w:hyperlink w:anchor="_Toc148531178" w:history="1">
            <w:r w:rsidR="004C426C" w:rsidRPr="000E194E">
              <w:rPr>
                <w:rStyle w:val="Hyperlink"/>
                <w:noProof/>
              </w:rPr>
              <w:t>3.3.2 Uncertainty analysis: model inputs, structure and assumptions</w:t>
            </w:r>
            <w:r w:rsidR="004C426C">
              <w:rPr>
                <w:noProof/>
                <w:webHidden/>
              </w:rPr>
              <w:tab/>
            </w:r>
            <w:r w:rsidR="004C426C">
              <w:rPr>
                <w:noProof/>
                <w:webHidden/>
              </w:rPr>
              <w:fldChar w:fldCharType="begin"/>
            </w:r>
            <w:r w:rsidR="004C426C">
              <w:rPr>
                <w:noProof/>
                <w:webHidden/>
              </w:rPr>
              <w:instrText xml:space="preserve"> PAGEREF _Toc148531178 \h </w:instrText>
            </w:r>
            <w:r w:rsidR="004C426C">
              <w:rPr>
                <w:noProof/>
                <w:webHidden/>
              </w:rPr>
            </w:r>
            <w:r w:rsidR="004C426C">
              <w:rPr>
                <w:noProof/>
                <w:webHidden/>
              </w:rPr>
              <w:fldChar w:fldCharType="separate"/>
            </w:r>
            <w:r>
              <w:rPr>
                <w:noProof/>
                <w:webHidden/>
              </w:rPr>
              <w:t>114</w:t>
            </w:r>
            <w:r w:rsidR="004C426C">
              <w:rPr>
                <w:noProof/>
                <w:webHidden/>
              </w:rPr>
              <w:fldChar w:fldCharType="end"/>
            </w:r>
          </w:hyperlink>
        </w:p>
        <w:p w14:paraId="578623FF" w14:textId="195A84E2" w:rsidR="004C426C" w:rsidRDefault="00C857F3">
          <w:pPr>
            <w:pStyle w:val="TOC2"/>
            <w:rPr>
              <w:rFonts w:eastAsiaTheme="minorEastAsia"/>
              <w:noProof/>
              <w:lang w:eastAsia="en-AU"/>
            </w:rPr>
          </w:pPr>
          <w:hyperlink w:anchor="_Toc148531179" w:history="1">
            <w:r w:rsidR="004C426C" w:rsidRPr="000E194E">
              <w:rPr>
                <w:rStyle w:val="Hyperlink"/>
                <w:noProof/>
              </w:rPr>
              <w:t>3.4</w:t>
            </w:r>
            <w:r w:rsidR="004C426C">
              <w:rPr>
                <w:rFonts w:eastAsiaTheme="minorEastAsia"/>
                <w:noProof/>
                <w:lang w:eastAsia="en-AU"/>
              </w:rPr>
              <w:tab/>
            </w:r>
            <w:r w:rsidR="004C426C" w:rsidRPr="000E194E">
              <w:rPr>
                <w:rStyle w:val="Hyperlink"/>
                <w:noProof/>
              </w:rPr>
              <w:t>Conclusions</w:t>
            </w:r>
            <w:r w:rsidR="004C426C">
              <w:rPr>
                <w:noProof/>
                <w:webHidden/>
              </w:rPr>
              <w:tab/>
            </w:r>
            <w:r w:rsidR="004C426C">
              <w:rPr>
                <w:noProof/>
                <w:webHidden/>
              </w:rPr>
              <w:fldChar w:fldCharType="begin"/>
            </w:r>
            <w:r w:rsidR="004C426C">
              <w:rPr>
                <w:noProof/>
                <w:webHidden/>
              </w:rPr>
              <w:instrText xml:space="preserve"> PAGEREF _Toc148531179 \h </w:instrText>
            </w:r>
            <w:r w:rsidR="004C426C">
              <w:rPr>
                <w:noProof/>
                <w:webHidden/>
              </w:rPr>
            </w:r>
            <w:r w:rsidR="004C426C">
              <w:rPr>
                <w:noProof/>
                <w:webHidden/>
              </w:rPr>
              <w:fldChar w:fldCharType="separate"/>
            </w:r>
            <w:r>
              <w:rPr>
                <w:noProof/>
                <w:webHidden/>
              </w:rPr>
              <w:t>116</w:t>
            </w:r>
            <w:r w:rsidR="004C426C">
              <w:rPr>
                <w:noProof/>
                <w:webHidden/>
              </w:rPr>
              <w:fldChar w:fldCharType="end"/>
            </w:r>
          </w:hyperlink>
        </w:p>
        <w:p w14:paraId="501FC0BB" w14:textId="1B0B1C99" w:rsidR="004C426C" w:rsidRDefault="00C857F3">
          <w:pPr>
            <w:pStyle w:val="TOC1"/>
            <w:rPr>
              <w:rFonts w:eastAsiaTheme="minorEastAsia"/>
              <w:b w:val="0"/>
              <w:noProof/>
              <w:lang w:eastAsia="en-AU"/>
            </w:rPr>
          </w:pPr>
          <w:hyperlink w:anchor="_Toc148531180" w:history="1">
            <w:r w:rsidR="004C426C" w:rsidRPr="000E194E">
              <w:rPr>
                <w:rStyle w:val="Hyperlink"/>
                <w:noProof/>
              </w:rPr>
              <w:t>Section 4</w:t>
            </w:r>
            <w:r w:rsidR="004C426C">
              <w:rPr>
                <w:rFonts w:eastAsiaTheme="minorEastAsia"/>
                <w:b w:val="0"/>
                <w:noProof/>
                <w:lang w:eastAsia="en-AU"/>
              </w:rPr>
              <w:tab/>
            </w:r>
            <w:r w:rsidR="004C426C" w:rsidRPr="000E194E">
              <w:rPr>
                <w:rStyle w:val="Hyperlink"/>
                <w:noProof/>
              </w:rPr>
              <w:t>Use of the health technology in practice</w:t>
            </w:r>
            <w:r w:rsidR="004C426C">
              <w:rPr>
                <w:noProof/>
                <w:webHidden/>
              </w:rPr>
              <w:tab/>
            </w:r>
            <w:r w:rsidR="004C426C">
              <w:rPr>
                <w:noProof/>
                <w:webHidden/>
              </w:rPr>
              <w:fldChar w:fldCharType="begin"/>
            </w:r>
            <w:r w:rsidR="004C426C">
              <w:rPr>
                <w:noProof/>
                <w:webHidden/>
              </w:rPr>
              <w:instrText xml:space="preserve"> PAGEREF _Toc148531180 \h </w:instrText>
            </w:r>
            <w:r w:rsidR="004C426C">
              <w:rPr>
                <w:noProof/>
                <w:webHidden/>
              </w:rPr>
            </w:r>
            <w:r w:rsidR="004C426C">
              <w:rPr>
                <w:noProof/>
                <w:webHidden/>
              </w:rPr>
              <w:fldChar w:fldCharType="separate"/>
            </w:r>
            <w:r>
              <w:rPr>
                <w:noProof/>
                <w:webHidden/>
              </w:rPr>
              <w:t>117</w:t>
            </w:r>
            <w:r w:rsidR="004C426C">
              <w:rPr>
                <w:noProof/>
                <w:webHidden/>
              </w:rPr>
              <w:fldChar w:fldCharType="end"/>
            </w:r>
          </w:hyperlink>
        </w:p>
        <w:p w14:paraId="6D31B0A1" w14:textId="14CA046F" w:rsidR="004C426C" w:rsidRDefault="00C857F3">
          <w:pPr>
            <w:pStyle w:val="TOC2"/>
            <w:rPr>
              <w:rFonts w:eastAsiaTheme="minorEastAsia"/>
              <w:noProof/>
              <w:lang w:eastAsia="en-AU"/>
            </w:rPr>
          </w:pPr>
          <w:hyperlink w:anchor="_Toc148531181" w:history="1">
            <w:r w:rsidR="004C426C" w:rsidRPr="000E194E">
              <w:rPr>
                <w:rStyle w:val="Hyperlink"/>
                <w:noProof/>
              </w:rPr>
              <w:t>4.1</w:t>
            </w:r>
            <w:r w:rsidR="004C426C">
              <w:rPr>
                <w:rFonts w:eastAsiaTheme="minorEastAsia"/>
                <w:noProof/>
                <w:lang w:eastAsia="en-AU"/>
              </w:rPr>
              <w:tab/>
            </w:r>
            <w:r w:rsidR="004C426C" w:rsidRPr="000E194E">
              <w:rPr>
                <w:rStyle w:val="Hyperlink"/>
                <w:noProof/>
              </w:rPr>
              <w:t>Justification of the selection of approach and data sources</w:t>
            </w:r>
            <w:r w:rsidR="004C426C">
              <w:rPr>
                <w:noProof/>
                <w:webHidden/>
              </w:rPr>
              <w:tab/>
            </w:r>
            <w:r w:rsidR="004C426C">
              <w:rPr>
                <w:noProof/>
                <w:webHidden/>
              </w:rPr>
              <w:fldChar w:fldCharType="begin"/>
            </w:r>
            <w:r w:rsidR="004C426C">
              <w:rPr>
                <w:noProof/>
                <w:webHidden/>
              </w:rPr>
              <w:instrText xml:space="preserve"> PAGEREF _Toc148531181 \h </w:instrText>
            </w:r>
            <w:r w:rsidR="004C426C">
              <w:rPr>
                <w:noProof/>
                <w:webHidden/>
              </w:rPr>
            </w:r>
            <w:r w:rsidR="004C426C">
              <w:rPr>
                <w:noProof/>
                <w:webHidden/>
              </w:rPr>
              <w:fldChar w:fldCharType="separate"/>
            </w:r>
            <w:r>
              <w:rPr>
                <w:noProof/>
                <w:webHidden/>
              </w:rPr>
              <w:t>117</w:t>
            </w:r>
            <w:r w:rsidR="004C426C">
              <w:rPr>
                <w:noProof/>
                <w:webHidden/>
              </w:rPr>
              <w:fldChar w:fldCharType="end"/>
            </w:r>
          </w:hyperlink>
        </w:p>
        <w:p w14:paraId="26520381" w14:textId="4483BDD1" w:rsidR="004C426C" w:rsidRDefault="00C857F3">
          <w:pPr>
            <w:pStyle w:val="TOC2"/>
            <w:rPr>
              <w:rFonts w:eastAsiaTheme="minorEastAsia"/>
              <w:noProof/>
              <w:lang w:eastAsia="en-AU"/>
            </w:rPr>
          </w:pPr>
          <w:hyperlink w:anchor="_Toc148531182" w:history="1">
            <w:r w:rsidR="004C426C" w:rsidRPr="000E194E">
              <w:rPr>
                <w:rStyle w:val="Hyperlink"/>
                <w:noProof/>
              </w:rPr>
              <w:t>4.2</w:t>
            </w:r>
            <w:r w:rsidR="004C426C">
              <w:rPr>
                <w:rFonts w:eastAsiaTheme="minorEastAsia"/>
                <w:noProof/>
                <w:lang w:eastAsia="en-AU"/>
              </w:rPr>
              <w:tab/>
            </w:r>
            <w:r w:rsidR="004C426C" w:rsidRPr="000E194E">
              <w:rPr>
                <w:rStyle w:val="Hyperlink"/>
                <w:noProof/>
              </w:rPr>
              <w:t>Estimation of use and financial impact of the proposed health technology</w:t>
            </w:r>
            <w:r w:rsidR="004C426C">
              <w:rPr>
                <w:noProof/>
                <w:webHidden/>
              </w:rPr>
              <w:tab/>
            </w:r>
            <w:r w:rsidR="004C426C">
              <w:rPr>
                <w:noProof/>
                <w:webHidden/>
              </w:rPr>
              <w:fldChar w:fldCharType="begin"/>
            </w:r>
            <w:r w:rsidR="004C426C">
              <w:rPr>
                <w:noProof/>
                <w:webHidden/>
              </w:rPr>
              <w:instrText xml:space="preserve"> PAGEREF _Toc148531182 \h </w:instrText>
            </w:r>
            <w:r w:rsidR="004C426C">
              <w:rPr>
                <w:noProof/>
                <w:webHidden/>
              </w:rPr>
            </w:r>
            <w:r w:rsidR="004C426C">
              <w:rPr>
                <w:noProof/>
                <w:webHidden/>
              </w:rPr>
              <w:fldChar w:fldCharType="separate"/>
            </w:r>
            <w:r>
              <w:rPr>
                <w:noProof/>
                <w:webHidden/>
              </w:rPr>
              <w:t>117</w:t>
            </w:r>
            <w:r w:rsidR="004C426C">
              <w:rPr>
                <w:noProof/>
                <w:webHidden/>
              </w:rPr>
              <w:fldChar w:fldCharType="end"/>
            </w:r>
          </w:hyperlink>
        </w:p>
        <w:p w14:paraId="335D3ECF" w14:textId="173A4FC7" w:rsidR="004C426C" w:rsidRDefault="00C857F3">
          <w:pPr>
            <w:pStyle w:val="TOC2"/>
            <w:rPr>
              <w:rFonts w:eastAsiaTheme="minorEastAsia"/>
              <w:noProof/>
              <w:lang w:eastAsia="en-AU"/>
            </w:rPr>
          </w:pPr>
          <w:hyperlink w:anchor="_Toc148531183" w:history="1">
            <w:r w:rsidR="004C426C" w:rsidRPr="000E194E">
              <w:rPr>
                <w:rStyle w:val="Hyperlink"/>
                <w:noProof/>
              </w:rPr>
              <w:t>4.3</w:t>
            </w:r>
            <w:r w:rsidR="004C426C">
              <w:rPr>
                <w:rFonts w:eastAsiaTheme="minorEastAsia"/>
                <w:noProof/>
                <w:lang w:eastAsia="en-AU"/>
              </w:rPr>
              <w:tab/>
            </w:r>
            <w:r w:rsidR="004C426C" w:rsidRPr="000E194E">
              <w:rPr>
                <w:rStyle w:val="Hyperlink"/>
                <w:noProof/>
              </w:rPr>
              <w:t>Estimation of changes in use and financial impact of other health technologies</w:t>
            </w:r>
            <w:r w:rsidR="004C426C">
              <w:rPr>
                <w:noProof/>
                <w:webHidden/>
              </w:rPr>
              <w:tab/>
            </w:r>
            <w:r w:rsidR="004C426C">
              <w:rPr>
                <w:noProof/>
                <w:webHidden/>
              </w:rPr>
              <w:fldChar w:fldCharType="begin"/>
            </w:r>
            <w:r w:rsidR="004C426C">
              <w:rPr>
                <w:noProof/>
                <w:webHidden/>
              </w:rPr>
              <w:instrText xml:space="preserve"> PAGEREF _Toc148531183 \h </w:instrText>
            </w:r>
            <w:r w:rsidR="004C426C">
              <w:rPr>
                <w:noProof/>
                <w:webHidden/>
              </w:rPr>
            </w:r>
            <w:r w:rsidR="004C426C">
              <w:rPr>
                <w:noProof/>
                <w:webHidden/>
              </w:rPr>
              <w:fldChar w:fldCharType="separate"/>
            </w:r>
            <w:r>
              <w:rPr>
                <w:noProof/>
                <w:webHidden/>
              </w:rPr>
              <w:t>120</w:t>
            </w:r>
            <w:r w:rsidR="004C426C">
              <w:rPr>
                <w:noProof/>
                <w:webHidden/>
              </w:rPr>
              <w:fldChar w:fldCharType="end"/>
            </w:r>
          </w:hyperlink>
        </w:p>
        <w:p w14:paraId="1B3F67F7" w14:textId="055E5942" w:rsidR="004C426C" w:rsidRDefault="00C857F3">
          <w:pPr>
            <w:pStyle w:val="TOC3"/>
            <w:tabs>
              <w:tab w:val="right" w:leader="dot" w:pos="9016"/>
            </w:tabs>
            <w:rPr>
              <w:rFonts w:eastAsiaTheme="minorEastAsia"/>
              <w:noProof/>
              <w:lang w:eastAsia="en-AU"/>
            </w:rPr>
          </w:pPr>
          <w:hyperlink w:anchor="_Toc148531184" w:history="1">
            <w:r w:rsidR="004C426C" w:rsidRPr="000E194E">
              <w:rPr>
                <w:rStyle w:val="Hyperlink"/>
                <w:noProof/>
              </w:rPr>
              <w:t xml:space="preserve">Change in use and cost of </w:t>
            </w:r>
            <w:r w:rsidR="004C426C" w:rsidRPr="000E194E">
              <w:rPr>
                <w:rStyle w:val="Hyperlink"/>
                <w:i/>
                <w:noProof/>
              </w:rPr>
              <w:t>EGFR</w:t>
            </w:r>
            <w:r w:rsidR="004C426C" w:rsidRPr="000E194E">
              <w:rPr>
                <w:rStyle w:val="Hyperlink"/>
                <w:noProof/>
              </w:rPr>
              <w:t xml:space="preserve"> services</w:t>
            </w:r>
            <w:r w:rsidR="004C426C">
              <w:rPr>
                <w:noProof/>
                <w:webHidden/>
              </w:rPr>
              <w:tab/>
            </w:r>
            <w:r w:rsidR="004C426C">
              <w:rPr>
                <w:noProof/>
                <w:webHidden/>
              </w:rPr>
              <w:fldChar w:fldCharType="begin"/>
            </w:r>
            <w:r w:rsidR="004C426C">
              <w:rPr>
                <w:noProof/>
                <w:webHidden/>
              </w:rPr>
              <w:instrText xml:space="preserve"> PAGEREF _Toc148531184 \h </w:instrText>
            </w:r>
            <w:r w:rsidR="004C426C">
              <w:rPr>
                <w:noProof/>
                <w:webHidden/>
              </w:rPr>
            </w:r>
            <w:r w:rsidR="004C426C">
              <w:rPr>
                <w:noProof/>
                <w:webHidden/>
              </w:rPr>
              <w:fldChar w:fldCharType="separate"/>
            </w:r>
            <w:r>
              <w:rPr>
                <w:noProof/>
                <w:webHidden/>
              </w:rPr>
              <w:t>120</w:t>
            </w:r>
            <w:r w:rsidR="004C426C">
              <w:rPr>
                <w:noProof/>
                <w:webHidden/>
              </w:rPr>
              <w:fldChar w:fldCharType="end"/>
            </w:r>
          </w:hyperlink>
        </w:p>
        <w:p w14:paraId="6A841D42" w14:textId="10F381EC" w:rsidR="004C426C" w:rsidRDefault="00C857F3">
          <w:pPr>
            <w:pStyle w:val="TOC3"/>
            <w:tabs>
              <w:tab w:val="right" w:leader="dot" w:pos="9016"/>
            </w:tabs>
            <w:rPr>
              <w:rFonts w:eastAsiaTheme="minorEastAsia"/>
              <w:noProof/>
              <w:lang w:eastAsia="en-AU"/>
            </w:rPr>
          </w:pPr>
          <w:hyperlink w:anchor="_Toc148531185" w:history="1">
            <w:r w:rsidR="004C426C" w:rsidRPr="000E194E">
              <w:rPr>
                <w:rStyle w:val="Hyperlink"/>
                <w:noProof/>
              </w:rPr>
              <w:t xml:space="preserve">Change in use and cost of </w:t>
            </w:r>
            <w:r w:rsidR="004C426C" w:rsidRPr="000E194E">
              <w:rPr>
                <w:rStyle w:val="Hyperlink"/>
                <w:i/>
                <w:noProof/>
              </w:rPr>
              <w:t>ALK</w:t>
            </w:r>
            <w:r w:rsidR="004C426C" w:rsidRPr="000E194E">
              <w:rPr>
                <w:rStyle w:val="Hyperlink"/>
                <w:noProof/>
              </w:rPr>
              <w:t xml:space="preserve"> and </w:t>
            </w:r>
            <w:r w:rsidR="004C426C" w:rsidRPr="000E194E">
              <w:rPr>
                <w:rStyle w:val="Hyperlink"/>
                <w:i/>
                <w:noProof/>
              </w:rPr>
              <w:t>ROS1</w:t>
            </w:r>
            <w:r w:rsidR="004C426C" w:rsidRPr="000E194E">
              <w:rPr>
                <w:rStyle w:val="Hyperlink"/>
                <w:noProof/>
              </w:rPr>
              <w:t xml:space="preserve"> FISH services</w:t>
            </w:r>
            <w:r w:rsidR="004C426C">
              <w:rPr>
                <w:noProof/>
                <w:webHidden/>
              </w:rPr>
              <w:tab/>
            </w:r>
            <w:r w:rsidR="004C426C">
              <w:rPr>
                <w:noProof/>
                <w:webHidden/>
              </w:rPr>
              <w:fldChar w:fldCharType="begin"/>
            </w:r>
            <w:r w:rsidR="004C426C">
              <w:rPr>
                <w:noProof/>
                <w:webHidden/>
              </w:rPr>
              <w:instrText xml:space="preserve"> PAGEREF _Toc148531185 \h </w:instrText>
            </w:r>
            <w:r w:rsidR="004C426C">
              <w:rPr>
                <w:noProof/>
                <w:webHidden/>
              </w:rPr>
            </w:r>
            <w:r w:rsidR="004C426C">
              <w:rPr>
                <w:noProof/>
                <w:webHidden/>
              </w:rPr>
              <w:fldChar w:fldCharType="separate"/>
            </w:r>
            <w:r>
              <w:rPr>
                <w:noProof/>
                <w:webHidden/>
              </w:rPr>
              <w:t>121</w:t>
            </w:r>
            <w:r w:rsidR="004C426C">
              <w:rPr>
                <w:noProof/>
                <w:webHidden/>
              </w:rPr>
              <w:fldChar w:fldCharType="end"/>
            </w:r>
          </w:hyperlink>
        </w:p>
        <w:p w14:paraId="69636576" w14:textId="72A69D7A" w:rsidR="004C426C" w:rsidRDefault="00C857F3">
          <w:pPr>
            <w:pStyle w:val="TOC3"/>
            <w:tabs>
              <w:tab w:val="right" w:leader="dot" w:pos="9016"/>
            </w:tabs>
            <w:rPr>
              <w:rFonts w:eastAsiaTheme="minorEastAsia"/>
              <w:noProof/>
              <w:lang w:eastAsia="en-AU"/>
            </w:rPr>
          </w:pPr>
          <w:hyperlink w:anchor="_Toc148531186" w:history="1">
            <w:r w:rsidR="004C426C" w:rsidRPr="000E194E">
              <w:rPr>
                <w:rStyle w:val="Hyperlink"/>
                <w:noProof/>
              </w:rPr>
              <w:t xml:space="preserve">Change in use and cost of </w:t>
            </w:r>
            <w:r w:rsidR="004C426C" w:rsidRPr="000E194E">
              <w:rPr>
                <w:rStyle w:val="Hyperlink"/>
                <w:i/>
                <w:noProof/>
              </w:rPr>
              <w:t>MET</w:t>
            </w:r>
            <w:r w:rsidR="004C426C" w:rsidRPr="000E194E">
              <w:rPr>
                <w:rStyle w:val="Hyperlink"/>
                <w:noProof/>
              </w:rPr>
              <w:t>ex14sk services</w:t>
            </w:r>
            <w:r w:rsidR="004C426C">
              <w:rPr>
                <w:noProof/>
                <w:webHidden/>
              </w:rPr>
              <w:tab/>
            </w:r>
            <w:r w:rsidR="004C426C">
              <w:rPr>
                <w:noProof/>
                <w:webHidden/>
              </w:rPr>
              <w:fldChar w:fldCharType="begin"/>
            </w:r>
            <w:r w:rsidR="004C426C">
              <w:rPr>
                <w:noProof/>
                <w:webHidden/>
              </w:rPr>
              <w:instrText xml:space="preserve"> PAGEREF _Toc148531186 \h </w:instrText>
            </w:r>
            <w:r w:rsidR="004C426C">
              <w:rPr>
                <w:noProof/>
                <w:webHidden/>
              </w:rPr>
            </w:r>
            <w:r w:rsidR="004C426C">
              <w:rPr>
                <w:noProof/>
                <w:webHidden/>
              </w:rPr>
              <w:fldChar w:fldCharType="separate"/>
            </w:r>
            <w:r>
              <w:rPr>
                <w:noProof/>
                <w:webHidden/>
              </w:rPr>
              <w:t>123</w:t>
            </w:r>
            <w:r w:rsidR="004C426C">
              <w:rPr>
                <w:noProof/>
                <w:webHidden/>
              </w:rPr>
              <w:fldChar w:fldCharType="end"/>
            </w:r>
          </w:hyperlink>
        </w:p>
        <w:p w14:paraId="25383CB5" w14:textId="40F17592" w:rsidR="004C426C" w:rsidRDefault="00C857F3">
          <w:pPr>
            <w:pStyle w:val="TOC3"/>
            <w:tabs>
              <w:tab w:val="right" w:leader="dot" w:pos="9016"/>
            </w:tabs>
            <w:rPr>
              <w:rFonts w:eastAsiaTheme="minorEastAsia"/>
              <w:noProof/>
              <w:lang w:eastAsia="en-AU"/>
            </w:rPr>
          </w:pPr>
          <w:hyperlink w:anchor="_Toc148531187" w:history="1">
            <w:r w:rsidR="004C426C" w:rsidRPr="000E194E">
              <w:rPr>
                <w:rStyle w:val="Hyperlink"/>
                <w:noProof/>
              </w:rPr>
              <w:t>Changes in the use and cost of other MBS services</w:t>
            </w:r>
            <w:r w:rsidR="004C426C">
              <w:rPr>
                <w:noProof/>
                <w:webHidden/>
              </w:rPr>
              <w:tab/>
            </w:r>
            <w:r w:rsidR="004C426C">
              <w:rPr>
                <w:noProof/>
                <w:webHidden/>
              </w:rPr>
              <w:fldChar w:fldCharType="begin"/>
            </w:r>
            <w:r w:rsidR="004C426C">
              <w:rPr>
                <w:noProof/>
                <w:webHidden/>
              </w:rPr>
              <w:instrText xml:space="preserve"> PAGEREF _Toc148531187 \h </w:instrText>
            </w:r>
            <w:r w:rsidR="004C426C">
              <w:rPr>
                <w:noProof/>
                <w:webHidden/>
              </w:rPr>
            </w:r>
            <w:r w:rsidR="004C426C">
              <w:rPr>
                <w:noProof/>
                <w:webHidden/>
              </w:rPr>
              <w:fldChar w:fldCharType="separate"/>
            </w:r>
            <w:r>
              <w:rPr>
                <w:noProof/>
                <w:webHidden/>
              </w:rPr>
              <w:t>124</w:t>
            </w:r>
            <w:r w:rsidR="004C426C">
              <w:rPr>
                <w:noProof/>
                <w:webHidden/>
              </w:rPr>
              <w:fldChar w:fldCharType="end"/>
            </w:r>
          </w:hyperlink>
        </w:p>
        <w:p w14:paraId="797DA140" w14:textId="27AC1773" w:rsidR="004C426C" w:rsidRDefault="00C857F3">
          <w:pPr>
            <w:pStyle w:val="TOC2"/>
            <w:rPr>
              <w:rFonts w:eastAsiaTheme="minorEastAsia"/>
              <w:noProof/>
              <w:lang w:eastAsia="en-AU"/>
            </w:rPr>
          </w:pPr>
          <w:hyperlink w:anchor="_Toc148531188" w:history="1">
            <w:r w:rsidR="004C426C" w:rsidRPr="000E194E">
              <w:rPr>
                <w:rStyle w:val="Hyperlink"/>
                <w:noProof/>
              </w:rPr>
              <w:t>4.4</w:t>
            </w:r>
            <w:r w:rsidR="004C426C">
              <w:rPr>
                <w:rFonts w:eastAsiaTheme="minorEastAsia"/>
                <w:noProof/>
                <w:lang w:eastAsia="en-AU"/>
              </w:rPr>
              <w:tab/>
            </w:r>
            <w:r w:rsidR="004C426C" w:rsidRPr="000E194E">
              <w:rPr>
                <w:rStyle w:val="Hyperlink"/>
                <w:noProof/>
              </w:rPr>
              <w:t>Net financial impact to the MBS</w:t>
            </w:r>
            <w:r w:rsidR="004C426C">
              <w:rPr>
                <w:noProof/>
                <w:webHidden/>
              </w:rPr>
              <w:tab/>
            </w:r>
            <w:r w:rsidR="004C426C">
              <w:rPr>
                <w:noProof/>
                <w:webHidden/>
              </w:rPr>
              <w:fldChar w:fldCharType="begin"/>
            </w:r>
            <w:r w:rsidR="004C426C">
              <w:rPr>
                <w:noProof/>
                <w:webHidden/>
              </w:rPr>
              <w:instrText xml:space="preserve"> PAGEREF _Toc148531188 \h </w:instrText>
            </w:r>
            <w:r w:rsidR="004C426C">
              <w:rPr>
                <w:noProof/>
                <w:webHidden/>
              </w:rPr>
            </w:r>
            <w:r w:rsidR="004C426C">
              <w:rPr>
                <w:noProof/>
                <w:webHidden/>
              </w:rPr>
              <w:fldChar w:fldCharType="separate"/>
            </w:r>
            <w:r>
              <w:rPr>
                <w:noProof/>
                <w:webHidden/>
              </w:rPr>
              <w:t>125</w:t>
            </w:r>
            <w:r w:rsidR="004C426C">
              <w:rPr>
                <w:noProof/>
                <w:webHidden/>
              </w:rPr>
              <w:fldChar w:fldCharType="end"/>
            </w:r>
          </w:hyperlink>
        </w:p>
        <w:p w14:paraId="63A0089D" w14:textId="46F5FE55" w:rsidR="004C426C" w:rsidRDefault="00C857F3">
          <w:pPr>
            <w:pStyle w:val="TOC2"/>
            <w:rPr>
              <w:rFonts w:eastAsiaTheme="minorEastAsia"/>
              <w:noProof/>
              <w:lang w:eastAsia="en-AU"/>
            </w:rPr>
          </w:pPr>
          <w:hyperlink w:anchor="_Toc148531189" w:history="1">
            <w:r w:rsidR="004C426C" w:rsidRPr="000E194E">
              <w:rPr>
                <w:rStyle w:val="Hyperlink"/>
                <w:noProof/>
              </w:rPr>
              <w:t>4.5</w:t>
            </w:r>
            <w:r w:rsidR="004C426C">
              <w:rPr>
                <w:rFonts w:eastAsiaTheme="minorEastAsia"/>
                <w:noProof/>
                <w:lang w:eastAsia="en-AU"/>
              </w:rPr>
              <w:tab/>
            </w:r>
            <w:r w:rsidR="004C426C" w:rsidRPr="000E194E">
              <w:rPr>
                <w:rStyle w:val="Hyperlink"/>
                <w:noProof/>
              </w:rPr>
              <w:t>Net financial impact to other health budgets</w:t>
            </w:r>
            <w:r w:rsidR="004C426C">
              <w:rPr>
                <w:noProof/>
                <w:webHidden/>
              </w:rPr>
              <w:tab/>
            </w:r>
            <w:r w:rsidR="004C426C">
              <w:rPr>
                <w:noProof/>
                <w:webHidden/>
              </w:rPr>
              <w:fldChar w:fldCharType="begin"/>
            </w:r>
            <w:r w:rsidR="004C426C">
              <w:rPr>
                <w:noProof/>
                <w:webHidden/>
              </w:rPr>
              <w:instrText xml:space="preserve"> PAGEREF _Toc148531189 \h </w:instrText>
            </w:r>
            <w:r w:rsidR="004C426C">
              <w:rPr>
                <w:noProof/>
                <w:webHidden/>
              </w:rPr>
            </w:r>
            <w:r w:rsidR="004C426C">
              <w:rPr>
                <w:noProof/>
                <w:webHidden/>
              </w:rPr>
              <w:fldChar w:fldCharType="separate"/>
            </w:r>
            <w:r>
              <w:rPr>
                <w:noProof/>
                <w:webHidden/>
              </w:rPr>
              <w:t>126</w:t>
            </w:r>
            <w:r w:rsidR="004C426C">
              <w:rPr>
                <w:noProof/>
                <w:webHidden/>
              </w:rPr>
              <w:fldChar w:fldCharType="end"/>
            </w:r>
          </w:hyperlink>
        </w:p>
        <w:p w14:paraId="0D774C53" w14:textId="1373E6C3" w:rsidR="004C426C" w:rsidRDefault="00C857F3">
          <w:pPr>
            <w:pStyle w:val="TOC2"/>
            <w:rPr>
              <w:rFonts w:eastAsiaTheme="minorEastAsia"/>
              <w:noProof/>
              <w:lang w:eastAsia="en-AU"/>
            </w:rPr>
          </w:pPr>
          <w:hyperlink w:anchor="_Toc148531190" w:history="1">
            <w:r w:rsidR="004C426C" w:rsidRPr="000E194E">
              <w:rPr>
                <w:rStyle w:val="Hyperlink"/>
                <w:noProof/>
              </w:rPr>
              <w:t>4.6</w:t>
            </w:r>
            <w:r w:rsidR="004C426C">
              <w:rPr>
                <w:rFonts w:eastAsiaTheme="minorEastAsia"/>
                <w:noProof/>
                <w:lang w:eastAsia="en-AU"/>
              </w:rPr>
              <w:tab/>
            </w:r>
            <w:r w:rsidR="004C426C" w:rsidRPr="000E194E">
              <w:rPr>
                <w:rStyle w:val="Hyperlink"/>
                <w:noProof/>
              </w:rPr>
              <w:t>Identification, estimation and reduction of uncertainty in the financial estimates</w:t>
            </w:r>
            <w:r w:rsidR="004C426C">
              <w:rPr>
                <w:noProof/>
                <w:webHidden/>
              </w:rPr>
              <w:tab/>
            </w:r>
            <w:r w:rsidR="004C426C">
              <w:rPr>
                <w:noProof/>
                <w:webHidden/>
              </w:rPr>
              <w:fldChar w:fldCharType="begin"/>
            </w:r>
            <w:r w:rsidR="004C426C">
              <w:rPr>
                <w:noProof/>
                <w:webHidden/>
              </w:rPr>
              <w:instrText xml:space="preserve"> PAGEREF _Toc148531190 \h </w:instrText>
            </w:r>
            <w:r w:rsidR="004C426C">
              <w:rPr>
                <w:noProof/>
                <w:webHidden/>
              </w:rPr>
            </w:r>
            <w:r w:rsidR="004C426C">
              <w:rPr>
                <w:noProof/>
                <w:webHidden/>
              </w:rPr>
              <w:fldChar w:fldCharType="separate"/>
            </w:r>
            <w:r>
              <w:rPr>
                <w:noProof/>
                <w:webHidden/>
              </w:rPr>
              <w:t>127</w:t>
            </w:r>
            <w:r w:rsidR="004C426C">
              <w:rPr>
                <w:noProof/>
                <w:webHidden/>
              </w:rPr>
              <w:fldChar w:fldCharType="end"/>
            </w:r>
          </w:hyperlink>
        </w:p>
        <w:p w14:paraId="34B7C519" w14:textId="25D56852" w:rsidR="004C426C" w:rsidRDefault="00C857F3">
          <w:pPr>
            <w:pStyle w:val="TOC1"/>
            <w:rPr>
              <w:rFonts w:eastAsiaTheme="minorEastAsia"/>
              <w:b w:val="0"/>
              <w:noProof/>
              <w:lang w:eastAsia="en-AU"/>
            </w:rPr>
          </w:pPr>
          <w:hyperlink w:anchor="_Toc148531191" w:history="1">
            <w:r w:rsidR="004C426C" w:rsidRPr="000E194E">
              <w:rPr>
                <w:rStyle w:val="Hyperlink"/>
                <w:noProof/>
              </w:rPr>
              <w:t>Section 5</w:t>
            </w:r>
            <w:r w:rsidR="004C426C">
              <w:rPr>
                <w:rFonts w:eastAsiaTheme="minorEastAsia"/>
                <w:b w:val="0"/>
                <w:noProof/>
                <w:lang w:eastAsia="en-AU"/>
              </w:rPr>
              <w:tab/>
            </w:r>
            <w:r w:rsidR="004C426C" w:rsidRPr="000E194E">
              <w:rPr>
                <w:rStyle w:val="Hyperlink"/>
                <w:noProof/>
              </w:rPr>
              <w:t>Other relevant information</w:t>
            </w:r>
            <w:r w:rsidR="004C426C">
              <w:rPr>
                <w:noProof/>
                <w:webHidden/>
              </w:rPr>
              <w:tab/>
            </w:r>
            <w:r w:rsidR="004C426C">
              <w:rPr>
                <w:noProof/>
                <w:webHidden/>
              </w:rPr>
              <w:fldChar w:fldCharType="begin"/>
            </w:r>
            <w:r w:rsidR="004C426C">
              <w:rPr>
                <w:noProof/>
                <w:webHidden/>
              </w:rPr>
              <w:instrText xml:space="preserve"> PAGEREF _Toc148531191 \h </w:instrText>
            </w:r>
            <w:r w:rsidR="004C426C">
              <w:rPr>
                <w:noProof/>
                <w:webHidden/>
              </w:rPr>
            </w:r>
            <w:r w:rsidR="004C426C">
              <w:rPr>
                <w:noProof/>
                <w:webHidden/>
              </w:rPr>
              <w:fldChar w:fldCharType="separate"/>
            </w:r>
            <w:r>
              <w:rPr>
                <w:noProof/>
                <w:webHidden/>
              </w:rPr>
              <w:t>129</w:t>
            </w:r>
            <w:r w:rsidR="004C426C">
              <w:rPr>
                <w:noProof/>
                <w:webHidden/>
              </w:rPr>
              <w:fldChar w:fldCharType="end"/>
            </w:r>
          </w:hyperlink>
        </w:p>
        <w:p w14:paraId="09112BB9" w14:textId="057C7772" w:rsidR="004C426C" w:rsidRDefault="00C857F3">
          <w:pPr>
            <w:pStyle w:val="TOC1"/>
            <w:rPr>
              <w:rFonts w:eastAsiaTheme="minorEastAsia"/>
              <w:b w:val="0"/>
              <w:noProof/>
              <w:lang w:eastAsia="en-AU"/>
            </w:rPr>
          </w:pPr>
          <w:hyperlink w:anchor="_Toc148531192" w:history="1">
            <w:r w:rsidR="004C426C" w:rsidRPr="000E194E">
              <w:rPr>
                <w:rStyle w:val="Hyperlink"/>
                <w:noProof/>
              </w:rPr>
              <w:t>References</w:t>
            </w:r>
            <w:r w:rsidR="004C426C">
              <w:rPr>
                <w:noProof/>
                <w:webHidden/>
              </w:rPr>
              <w:tab/>
            </w:r>
            <w:r w:rsidR="00F81BCE">
              <w:rPr>
                <w:noProof/>
                <w:webHidden/>
              </w:rPr>
              <w:t>……………………………………………………………………………………………………………………………….</w:t>
            </w:r>
            <w:r w:rsidR="004C426C">
              <w:rPr>
                <w:noProof/>
                <w:webHidden/>
              </w:rPr>
              <w:fldChar w:fldCharType="begin"/>
            </w:r>
            <w:r w:rsidR="004C426C">
              <w:rPr>
                <w:noProof/>
                <w:webHidden/>
              </w:rPr>
              <w:instrText xml:space="preserve"> PAGEREF _Toc148531192 \h </w:instrText>
            </w:r>
            <w:r w:rsidR="004C426C">
              <w:rPr>
                <w:noProof/>
                <w:webHidden/>
              </w:rPr>
            </w:r>
            <w:r w:rsidR="004C426C">
              <w:rPr>
                <w:noProof/>
                <w:webHidden/>
              </w:rPr>
              <w:fldChar w:fldCharType="separate"/>
            </w:r>
            <w:r>
              <w:rPr>
                <w:noProof/>
                <w:webHidden/>
              </w:rPr>
              <w:t>130</w:t>
            </w:r>
            <w:r w:rsidR="004C426C">
              <w:rPr>
                <w:noProof/>
                <w:webHidden/>
              </w:rPr>
              <w:fldChar w:fldCharType="end"/>
            </w:r>
          </w:hyperlink>
        </w:p>
        <w:p w14:paraId="72C7114D" w14:textId="5B08E1B9" w:rsidR="004C426C" w:rsidRDefault="00C857F3">
          <w:pPr>
            <w:pStyle w:val="TOC1"/>
            <w:rPr>
              <w:rFonts w:eastAsiaTheme="minorEastAsia"/>
              <w:b w:val="0"/>
              <w:noProof/>
              <w:lang w:eastAsia="en-AU"/>
            </w:rPr>
          </w:pPr>
          <w:hyperlink w:anchor="_Toc148531193" w:history="1">
            <w:r w:rsidR="004C426C" w:rsidRPr="000E194E">
              <w:rPr>
                <w:rStyle w:val="Hyperlink"/>
                <w:noProof/>
              </w:rPr>
              <w:t>Appendix A</w:t>
            </w:r>
            <w:r w:rsidR="004C426C">
              <w:rPr>
                <w:rFonts w:eastAsiaTheme="minorEastAsia"/>
                <w:b w:val="0"/>
                <w:noProof/>
                <w:lang w:eastAsia="en-AU"/>
              </w:rPr>
              <w:tab/>
            </w:r>
            <w:r w:rsidR="004C426C" w:rsidRPr="000E194E">
              <w:rPr>
                <w:rStyle w:val="Hyperlink"/>
                <w:noProof/>
              </w:rPr>
              <w:t>Systematic review methods</w:t>
            </w:r>
            <w:r w:rsidR="004C426C">
              <w:rPr>
                <w:noProof/>
                <w:webHidden/>
              </w:rPr>
              <w:tab/>
            </w:r>
            <w:r w:rsidR="004C426C">
              <w:rPr>
                <w:noProof/>
                <w:webHidden/>
              </w:rPr>
              <w:fldChar w:fldCharType="begin"/>
            </w:r>
            <w:r w:rsidR="004C426C">
              <w:rPr>
                <w:noProof/>
                <w:webHidden/>
              </w:rPr>
              <w:instrText xml:space="preserve"> PAGEREF _Toc148531193 \h </w:instrText>
            </w:r>
            <w:r w:rsidR="004C426C">
              <w:rPr>
                <w:noProof/>
                <w:webHidden/>
              </w:rPr>
            </w:r>
            <w:r w:rsidR="004C426C">
              <w:rPr>
                <w:noProof/>
                <w:webHidden/>
              </w:rPr>
              <w:fldChar w:fldCharType="separate"/>
            </w:r>
            <w:r>
              <w:rPr>
                <w:noProof/>
                <w:webHidden/>
              </w:rPr>
              <w:t>137</w:t>
            </w:r>
            <w:r w:rsidR="004C426C">
              <w:rPr>
                <w:noProof/>
                <w:webHidden/>
              </w:rPr>
              <w:fldChar w:fldCharType="end"/>
            </w:r>
          </w:hyperlink>
        </w:p>
        <w:p w14:paraId="59EFA08C" w14:textId="6A53F8BF" w:rsidR="004C426C" w:rsidRDefault="00C857F3">
          <w:pPr>
            <w:pStyle w:val="TOC2"/>
            <w:rPr>
              <w:rFonts w:eastAsiaTheme="minorEastAsia"/>
              <w:noProof/>
              <w:lang w:eastAsia="en-AU"/>
            </w:rPr>
          </w:pPr>
          <w:hyperlink w:anchor="_Toc148531194" w:history="1">
            <w:r w:rsidR="004C426C" w:rsidRPr="000E194E">
              <w:rPr>
                <w:rStyle w:val="Hyperlink"/>
                <w:noProof/>
              </w:rPr>
              <w:t>Method of assessment and research questions</w:t>
            </w:r>
            <w:r w:rsidR="004C426C">
              <w:rPr>
                <w:noProof/>
                <w:webHidden/>
              </w:rPr>
              <w:tab/>
            </w:r>
            <w:r w:rsidR="004C426C">
              <w:rPr>
                <w:noProof/>
                <w:webHidden/>
              </w:rPr>
              <w:fldChar w:fldCharType="begin"/>
            </w:r>
            <w:r w:rsidR="004C426C">
              <w:rPr>
                <w:noProof/>
                <w:webHidden/>
              </w:rPr>
              <w:instrText xml:space="preserve"> PAGEREF _Toc148531194 \h </w:instrText>
            </w:r>
            <w:r w:rsidR="004C426C">
              <w:rPr>
                <w:noProof/>
                <w:webHidden/>
              </w:rPr>
            </w:r>
            <w:r w:rsidR="004C426C">
              <w:rPr>
                <w:noProof/>
                <w:webHidden/>
              </w:rPr>
              <w:fldChar w:fldCharType="separate"/>
            </w:r>
            <w:r>
              <w:rPr>
                <w:noProof/>
                <w:webHidden/>
              </w:rPr>
              <w:t>137</w:t>
            </w:r>
            <w:r w:rsidR="004C426C">
              <w:rPr>
                <w:noProof/>
                <w:webHidden/>
              </w:rPr>
              <w:fldChar w:fldCharType="end"/>
            </w:r>
          </w:hyperlink>
        </w:p>
        <w:p w14:paraId="58EEF226" w14:textId="275AFF1E" w:rsidR="004C426C" w:rsidRDefault="00C857F3">
          <w:pPr>
            <w:pStyle w:val="TOC3"/>
            <w:tabs>
              <w:tab w:val="right" w:leader="dot" w:pos="9016"/>
            </w:tabs>
            <w:rPr>
              <w:rFonts w:eastAsiaTheme="minorEastAsia"/>
              <w:noProof/>
              <w:lang w:eastAsia="en-AU"/>
            </w:rPr>
          </w:pPr>
          <w:hyperlink w:anchor="_Toc148531195" w:history="1">
            <w:r w:rsidR="004C426C" w:rsidRPr="000E194E">
              <w:rPr>
                <w:rStyle w:val="Hyperlink"/>
                <w:noProof/>
              </w:rPr>
              <w:t>Systematic review questions</w:t>
            </w:r>
            <w:r w:rsidR="004C426C">
              <w:rPr>
                <w:noProof/>
                <w:webHidden/>
              </w:rPr>
              <w:tab/>
            </w:r>
            <w:r w:rsidR="004C426C">
              <w:rPr>
                <w:noProof/>
                <w:webHidden/>
              </w:rPr>
              <w:fldChar w:fldCharType="begin"/>
            </w:r>
            <w:r w:rsidR="004C426C">
              <w:rPr>
                <w:noProof/>
                <w:webHidden/>
              </w:rPr>
              <w:instrText xml:space="preserve"> PAGEREF _Toc148531195 \h </w:instrText>
            </w:r>
            <w:r w:rsidR="004C426C">
              <w:rPr>
                <w:noProof/>
                <w:webHidden/>
              </w:rPr>
            </w:r>
            <w:r w:rsidR="004C426C">
              <w:rPr>
                <w:noProof/>
                <w:webHidden/>
              </w:rPr>
              <w:fldChar w:fldCharType="separate"/>
            </w:r>
            <w:r>
              <w:rPr>
                <w:noProof/>
                <w:webHidden/>
              </w:rPr>
              <w:t>137</w:t>
            </w:r>
            <w:r w:rsidR="004C426C">
              <w:rPr>
                <w:noProof/>
                <w:webHidden/>
              </w:rPr>
              <w:fldChar w:fldCharType="end"/>
            </w:r>
          </w:hyperlink>
        </w:p>
        <w:p w14:paraId="61CC8D18" w14:textId="56EB2DF9" w:rsidR="004C426C" w:rsidRDefault="00C857F3">
          <w:pPr>
            <w:pStyle w:val="TOC2"/>
            <w:rPr>
              <w:rFonts w:eastAsiaTheme="minorEastAsia"/>
              <w:noProof/>
              <w:lang w:eastAsia="en-AU"/>
            </w:rPr>
          </w:pPr>
          <w:hyperlink w:anchor="_Toc148531196" w:history="1">
            <w:r w:rsidR="004C426C" w:rsidRPr="000E194E">
              <w:rPr>
                <w:rStyle w:val="Hyperlink"/>
                <w:noProof/>
              </w:rPr>
              <w:t>Development of a research protocol</w:t>
            </w:r>
            <w:r w:rsidR="004C426C">
              <w:rPr>
                <w:noProof/>
                <w:webHidden/>
              </w:rPr>
              <w:tab/>
            </w:r>
            <w:r w:rsidR="004C426C">
              <w:rPr>
                <w:noProof/>
                <w:webHidden/>
              </w:rPr>
              <w:fldChar w:fldCharType="begin"/>
            </w:r>
            <w:r w:rsidR="004C426C">
              <w:rPr>
                <w:noProof/>
                <w:webHidden/>
              </w:rPr>
              <w:instrText xml:space="preserve"> PAGEREF _Toc148531196 \h </w:instrText>
            </w:r>
            <w:r w:rsidR="004C426C">
              <w:rPr>
                <w:noProof/>
                <w:webHidden/>
              </w:rPr>
            </w:r>
            <w:r w:rsidR="004C426C">
              <w:rPr>
                <w:noProof/>
                <w:webHidden/>
              </w:rPr>
              <w:fldChar w:fldCharType="separate"/>
            </w:r>
            <w:r>
              <w:rPr>
                <w:noProof/>
                <w:webHidden/>
              </w:rPr>
              <w:t>138</w:t>
            </w:r>
            <w:r w:rsidR="004C426C">
              <w:rPr>
                <w:noProof/>
                <w:webHidden/>
              </w:rPr>
              <w:fldChar w:fldCharType="end"/>
            </w:r>
          </w:hyperlink>
        </w:p>
        <w:p w14:paraId="7F4DC421" w14:textId="61194485" w:rsidR="004C426C" w:rsidRDefault="00C857F3">
          <w:pPr>
            <w:pStyle w:val="TOC2"/>
            <w:rPr>
              <w:rFonts w:eastAsiaTheme="minorEastAsia"/>
              <w:noProof/>
              <w:lang w:eastAsia="en-AU"/>
            </w:rPr>
          </w:pPr>
          <w:hyperlink w:anchor="_Toc148531197" w:history="1">
            <w:r w:rsidR="004C426C" w:rsidRPr="000E194E">
              <w:rPr>
                <w:rStyle w:val="Hyperlink"/>
                <w:noProof/>
              </w:rPr>
              <w:t>PICO criteria</w:t>
            </w:r>
            <w:r w:rsidR="004C426C">
              <w:rPr>
                <w:noProof/>
                <w:webHidden/>
              </w:rPr>
              <w:tab/>
            </w:r>
            <w:r w:rsidR="00F81BCE">
              <w:rPr>
                <w:noProof/>
                <w:webHidden/>
              </w:rPr>
              <w:t>…</w:t>
            </w:r>
            <w:r w:rsidR="004C426C">
              <w:rPr>
                <w:noProof/>
                <w:webHidden/>
              </w:rPr>
              <w:fldChar w:fldCharType="begin"/>
            </w:r>
            <w:r w:rsidR="004C426C">
              <w:rPr>
                <w:noProof/>
                <w:webHidden/>
              </w:rPr>
              <w:instrText xml:space="preserve"> PAGEREF _Toc148531197 \h </w:instrText>
            </w:r>
            <w:r w:rsidR="004C426C">
              <w:rPr>
                <w:noProof/>
                <w:webHidden/>
              </w:rPr>
            </w:r>
            <w:r w:rsidR="004C426C">
              <w:rPr>
                <w:noProof/>
                <w:webHidden/>
              </w:rPr>
              <w:fldChar w:fldCharType="separate"/>
            </w:r>
            <w:r>
              <w:rPr>
                <w:noProof/>
                <w:webHidden/>
              </w:rPr>
              <w:t>138</w:t>
            </w:r>
            <w:r w:rsidR="004C426C">
              <w:rPr>
                <w:noProof/>
                <w:webHidden/>
              </w:rPr>
              <w:fldChar w:fldCharType="end"/>
            </w:r>
          </w:hyperlink>
        </w:p>
        <w:p w14:paraId="656A3433" w14:textId="76D4F83F" w:rsidR="004C426C" w:rsidRDefault="00C857F3">
          <w:pPr>
            <w:pStyle w:val="TOC2"/>
            <w:rPr>
              <w:rFonts w:eastAsiaTheme="minorEastAsia"/>
              <w:noProof/>
              <w:lang w:eastAsia="en-AU"/>
            </w:rPr>
          </w:pPr>
          <w:hyperlink w:anchor="_Toc148531198" w:history="1">
            <w:r w:rsidR="004C426C" w:rsidRPr="000E194E">
              <w:rPr>
                <w:rStyle w:val="Hyperlink"/>
                <w:noProof/>
              </w:rPr>
              <w:t>Literature sources and search strategies</w:t>
            </w:r>
            <w:r w:rsidR="004C426C">
              <w:rPr>
                <w:noProof/>
                <w:webHidden/>
              </w:rPr>
              <w:tab/>
            </w:r>
            <w:r w:rsidR="004C426C">
              <w:rPr>
                <w:noProof/>
                <w:webHidden/>
              </w:rPr>
              <w:fldChar w:fldCharType="begin"/>
            </w:r>
            <w:r w:rsidR="004C426C">
              <w:rPr>
                <w:noProof/>
                <w:webHidden/>
              </w:rPr>
              <w:instrText xml:space="preserve"> PAGEREF _Toc148531198 \h </w:instrText>
            </w:r>
            <w:r w:rsidR="004C426C">
              <w:rPr>
                <w:noProof/>
                <w:webHidden/>
              </w:rPr>
            </w:r>
            <w:r w:rsidR="004C426C">
              <w:rPr>
                <w:noProof/>
                <w:webHidden/>
              </w:rPr>
              <w:fldChar w:fldCharType="separate"/>
            </w:r>
            <w:r>
              <w:rPr>
                <w:noProof/>
                <w:webHidden/>
              </w:rPr>
              <w:t>141</w:t>
            </w:r>
            <w:r w:rsidR="004C426C">
              <w:rPr>
                <w:noProof/>
                <w:webHidden/>
              </w:rPr>
              <w:fldChar w:fldCharType="end"/>
            </w:r>
          </w:hyperlink>
        </w:p>
        <w:p w14:paraId="36617F70" w14:textId="580400D3" w:rsidR="004C426C" w:rsidRDefault="00C857F3">
          <w:pPr>
            <w:pStyle w:val="TOC2"/>
            <w:rPr>
              <w:rFonts w:eastAsiaTheme="minorEastAsia"/>
              <w:noProof/>
              <w:lang w:eastAsia="en-AU"/>
            </w:rPr>
          </w:pPr>
          <w:hyperlink w:anchor="_Toc148531199" w:history="1">
            <w:r w:rsidR="004C426C" w:rsidRPr="000E194E">
              <w:rPr>
                <w:rStyle w:val="Hyperlink"/>
                <w:noProof/>
              </w:rPr>
              <w:t>Study selection</w:t>
            </w:r>
            <w:r w:rsidR="004C426C">
              <w:rPr>
                <w:noProof/>
                <w:webHidden/>
              </w:rPr>
              <w:tab/>
            </w:r>
            <w:r w:rsidR="004C426C">
              <w:rPr>
                <w:noProof/>
                <w:webHidden/>
              </w:rPr>
              <w:fldChar w:fldCharType="begin"/>
            </w:r>
            <w:r w:rsidR="004C426C">
              <w:rPr>
                <w:noProof/>
                <w:webHidden/>
              </w:rPr>
              <w:instrText xml:space="preserve"> PAGEREF _Toc148531199 \h </w:instrText>
            </w:r>
            <w:r w:rsidR="004C426C">
              <w:rPr>
                <w:noProof/>
                <w:webHidden/>
              </w:rPr>
            </w:r>
            <w:r w:rsidR="004C426C">
              <w:rPr>
                <w:noProof/>
                <w:webHidden/>
              </w:rPr>
              <w:fldChar w:fldCharType="separate"/>
            </w:r>
            <w:r>
              <w:rPr>
                <w:noProof/>
                <w:webHidden/>
              </w:rPr>
              <w:t>142</w:t>
            </w:r>
            <w:r w:rsidR="004C426C">
              <w:rPr>
                <w:noProof/>
                <w:webHidden/>
              </w:rPr>
              <w:fldChar w:fldCharType="end"/>
            </w:r>
          </w:hyperlink>
        </w:p>
        <w:p w14:paraId="5562CFA4" w14:textId="24ED57EB" w:rsidR="004C426C" w:rsidRDefault="00C857F3">
          <w:pPr>
            <w:pStyle w:val="TOC2"/>
            <w:rPr>
              <w:rFonts w:eastAsiaTheme="minorEastAsia"/>
              <w:noProof/>
              <w:lang w:eastAsia="en-AU"/>
            </w:rPr>
          </w:pPr>
          <w:hyperlink w:anchor="_Toc148531200" w:history="1">
            <w:r w:rsidR="004C426C" w:rsidRPr="000E194E">
              <w:rPr>
                <w:rStyle w:val="Hyperlink"/>
                <w:noProof/>
              </w:rPr>
              <w:t>Appraisal of the evidence</w:t>
            </w:r>
            <w:r w:rsidR="004C426C">
              <w:rPr>
                <w:noProof/>
                <w:webHidden/>
              </w:rPr>
              <w:tab/>
            </w:r>
            <w:r w:rsidR="004C426C">
              <w:rPr>
                <w:noProof/>
                <w:webHidden/>
              </w:rPr>
              <w:fldChar w:fldCharType="begin"/>
            </w:r>
            <w:r w:rsidR="004C426C">
              <w:rPr>
                <w:noProof/>
                <w:webHidden/>
              </w:rPr>
              <w:instrText xml:space="preserve"> PAGEREF _Toc148531200 \h </w:instrText>
            </w:r>
            <w:r w:rsidR="004C426C">
              <w:rPr>
                <w:noProof/>
                <w:webHidden/>
              </w:rPr>
            </w:r>
            <w:r w:rsidR="004C426C">
              <w:rPr>
                <w:noProof/>
                <w:webHidden/>
              </w:rPr>
              <w:fldChar w:fldCharType="separate"/>
            </w:r>
            <w:r>
              <w:rPr>
                <w:noProof/>
                <w:webHidden/>
              </w:rPr>
              <w:t>142</w:t>
            </w:r>
            <w:r w:rsidR="004C426C">
              <w:rPr>
                <w:noProof/>
                <w:webHidden/>
              </w:rPr>
              <w:fldChar w:fldCharType="end"/>
            </w:r>
          </w:hyperlink>
        </w:p>
        <w:p w14:paraId="4AC4AC41" w14:textId="3D4F54AE" w:rsidR="004C426C" w:rsidRDefault="00C857F3">
          <w:pPr>
            <w:pStyle w:val="TOC1"/>
            <w:rPr>
              <w:rFonts w:eastAsiaTheme="minorEastAsia"/>
              <w:b w:val="0"/>
              <w:noProof/>
              <w:lang w:eastAsia="en-AU"/>
            </w:rPr>
          </w:pPr>
          <w:hyperlink w:anchor="_Toc148531201" w:history="1">
            <w:r w:rsidR="004C426C" w:rsidRPr="000E194E">
              <w:rPr>
                <w:rStyle w:val="Hyperlink"/>
                <w:noProof/>
              </w:rPr>
              <w:t>Appendix B</w:t>
            </w:r>
            <w:r w:rsidR="004C426C">
              <w:rPr>
                <w:rFonts w:eastAsiaTheme="minorEastAsia"/>
                <w:b w:val="0"/>
                <w:noProof/>
                <w:lang w:eastAsia="en-AU"/>
              </w:rPr>
              <w:tab/>
            </w:r>
            <w:r w:rsidR="004C426C" w:rsidRPr="000E194E">
              <w:rPr>
                <w:rStyle w:val="Hyperlink"/>
                <w:noProof/>
              </w:rPr>
              <w:t>Studies included in the systematic review</w:t>
            </w:r>
            <w:r w:rsidR="004C426C">
              <w:rPr>
                <w:noProof/>
                <w:webHidden/>
              </w:rPr>
              <w:tab/>
            </w:r>
            <w:r w:rsidR="004C426C">
              <w:rPr>
                <w:noProof/>
                <w:webHidden/>
              </w:rPr>
              <w:fldChar w:fldCharType="begin"/>
            </w:r>
            <w:r w:rsidR="004C426C">
              <w:rPr>
                <w:noProof/>
                <w:webHidden/>
              </w:rPr>
              <w:instrText xml:space="preserve"> PAGEREF _Toc148531201 \h </w:instrText>
            </w:r>
            <w:r w:rsidR="004C426C">
              <w:rPr>
                <w:noProof/>
                <w:webHidden/>
              </w:rPr>
            </w:r>
            <w:r w:rsidR="004C426C">
              <w:rPr>
                <w:noProof/>
                <w:webHidden/>
              </w:rPr>
              <w:fldChar w:fldCharType="separate"/>
            </w:r>
            <w:r>
              <w:rPr>
                <w:noProof/>
                <w:webHidden/>
              </w:rPr>
              <w:t>144</w:t>
            </w:r>
            <w:r w:rsidR="004C426C">
              <w:rPr>
                <w:noProof/>
                <w:webHidden/>
              </w:rPr>
              <w:fldChar w:fldCharType="end"/>
            </w:r>
          </w:hyperlink>
        </w:p>
        <w:p w14:paraId="7611261B" w14:textId="1E5D8087" w:rsidR="004C426C" w:rsidRDefault="00C857F3">
          <w:pPr>
            <w:pStyle w:val="TOC2"/>
            <w:rPr>
              <w:rFonts w:eastAsiaTheme="minorEastAsia"/>
              <w:noProof/>
              <w:lang w:eastAsia="en-AU"/>
            </w:rPr>
          </w:pPr>
          <w:hyperlink w:anchor="_Toc148531202" w:history="1">
            <w:r w:rsidR="004C426C" w:rsidRPr="000E194E">
              <w:rPr>
                <w:rStyle w:val="Hyperlink"/>
                <w:noProof/>
              </w:rPr>
              <w:t>PRISMA flowchart of included studies</w:t>
            </w:r>
            <w:r w:rsidR="004C426C">
              <w:rPr>
                <w:noProof/>
                <w:webHidden/>
              </w:rPr>
              <w:tab/>
            </w:r>
            <w:r w:rsidR="004C426C">
              <w:rPr>
                <w:noProof/>
                <w:webHidden/>
              </w:rPr>
              <w:fldChar w:fldCharType="begin"/>
            </w:r>
            <w:r w:rsidR="004C426C">
              <w:rPr>
                <w:noProof/>
                <w:webHidden/>
              </w:rPr>
              <w:instrText xml:space="preserve"> PAGEREF _Toc148531202 \h </w:instrText>
            </w:r>
            <w:r w:rsidR="004C426C">
              <w:rPr>
                <w:noProof/>
                <w:webHidden/>
              </w:rPr>
            </w:r>
            <w:r w:rsidR="004C426C">
              <w:rPr>
                <w:noProof/>
                <w:webHidden/>
              </w:rPr>
              <w:fldChar w:fldCharType="separate"/>
            </w:r>
            <w:r>
              <w:rPr>
                <w:noProof/>
                <w:webHidden/>
              </w:rPr>
              <w:t>144</w:t>
            </w:r>
            <w:r w:rsidR="004C426C">
              <w:rPr>
                <w:noProof/>
                <w:webHidden/>
              </w:rPr>
              <w:fldChar w:fldCharType="end"/>
            </w:r>
          </w:hyperlink>
        </w:p>
        <w:p w14:paraId="0AEFDA9D" w14:textId="3B87F122" w:rsidR="004C426C" w:rsidRDefault="00C857F3">
          <w:pPr>
            <w:pStyle w:val="TOC2"/>
            <w:rPr>
              <w:rFonts w:eastAsiaTheme="minorEastAsia"/>
              <w:noProof/>
              <w:lang w:eastAsia="en-AU"/>
            </w:rPr>
          </w:pPr>
          <w:hyperlink w:anchor="_Toc148531203" w:history="1">
            <w:r w:rsidR="004C426C" w:rsidRPr="000E194E">
              <w:rPr>
                <w:rStyle w:val="Hyperlink"/>
                <w:noProof/>
              </w:rPr>
              <w:t>Study profiles of included studies</w:t>
            </w:r>
            <w:r w:rsidR="004C426C">
              <w:rPr>
                <w:noProof/>
                <w:webHidden/>
              </w:rPr>
              <w:tab/>
            </w:r>
            <w:r w:rsidR="004C426C">
              <w:rPr>
                <w:noProof/>
                <w:webHidden/>
              </w:rPr>
              <w:fldChar w:fldCharType="begin"/>
            </w:r>
            <w:r w:rsidR="004C426C">
              <w:rPr>
                <w:noProof/>
                <w:webHidden/>
              </w:rPr>
              <w:instrText xml:space="preserve"> PAGEREF _Toc148531203 \h </w:instrText>
            </w:r>
            <w:r w:rsidR="004C426C">
              <w:rPr>
                <w:noProof/>
                <w:webHidden/>
              </w:rPr>
            </w:r>
            <w:r w:rsidR="004C426C">
              <w:rPr>
                <w:noProof/>
                <w:webHidden/>
              </w:rPr>
              <w:fldChar w:fldCharType="separate"/>
            </w:r>
            <w:r>
              <w:rPr>
                <w:noProof/>
                <w:webHidden/>
              </w:rPr>
              <w:t>146</w:t>
            </w:r>
            <w:r w:rsidR="004C426C">
              <w:rPr>
                <w:noProof/>
                <w:webHidden/>
              </w:rPr>
              <w:fldChar w:fldCharType="end"/>
            </w:r>
          </w:hyperlink>
        </w:p>
        <w:p w14:paraId="2EA275CE" w14:textId="009395FE" w:rsidR="004C426C" w:rsidRDefault="00C857F3">
          <w:pPr>
            <w:pStyle w:val="TOC1"/>
            <w:rPr>
              <w:rFonts w:eastAsiaTheme="minorEastAsia"/>
              <w:b w:val="0"/>
              <w:noProof/>
              <w:lang w:eastAsia="en-AU"/>
            </w:rPr>
          </w:pPr>
          <w:hyperlink w:anchor="_Toc148531204" w:history="1">
            <w:r w:rsidR="004C426C" w:rsidRPr="000E194E">
              <w:rPr>
                <w:rStyle w:val="Hyperlink"/>
                <w:noProof/>
              </w:rPr>
              <w:t>Appendix C</w:t>
            </w:r>
            <w:r w:rsidR="004C426C">
              <w:rPr>
                <w:rFonts w:eastAsiaTheme="minorEastAsia"/>
                <w:b w:val="0"/>
                <w:noProof/>
                <w:lang w:eastAsia="en-AU"/>
              </w:rPr>
              <w:tab/>
            </w:r>
            <w:r w:rsidR="004C426C" w:rsidRPr="000E194E">
              <w:rPr>
                <w:rStyle w:val="Hyperlink"/>
                <w:noProof/>
              </w:rPr>
              <w:t>Excluded studies</w:t>
            </w:r>
            <w:r w:rsidR="004C426C">
              <w:rPr>
                <w:noProof/>
                <w:webHidden/>
              </w:rPr>
              <w:tab/>
            </w:r>
            <w:r w:rsidR="004C426C">
              <w:rPr>
                <w:noProof/>
                <w:webHidden/>
              </w:rPr>
              <w:fldChar w:fldCharType="begin"/>
            </w:r>
            <w:r w:rsidR="004C426C">
              <w:rPr>
                <w:noProof/>
                <w:webHidden/>
              </w:rPr>
              <w:instrText xml:space="preserve"> PAGEREF _Toc148531204 \h </w:instrText>
            </w:r>
            <w:r w:rsidR="004C426C">
              <w:rPr>
                <w:noProof/>
                <w:webHidden/>
              </w:rPr>
            </w:r>
            <w:r w:rsidR="004C426C">
              <w:rPr>
                <w:noProof/>
                <w:webHidden/>
              </w:rPr>
              <w:fldChar w:fldCharType="separate"/>
            </w:r>
            <w:r>
              <w:rPr>
                <w:noProof/>
                <w:webHidden/>
              </w:rPr>
              <w:t>163</w:t>
            </w:r>
            <w:r w:rsidR="004C426C">
              <w:rPr>
                <w:noProof/>
                <w:webHidden/>
              </w:rPr>
              <w:fldChar w:fldCharType="end"/>
            </w:r>
          </w:hyperlink>
        </w:p>
        <w:p w14:paraId="298E1F3A" w14:textId="16626E79" w:rsidR="004C426C" w:rsidRDefault="00C857F3">
          <w:pPr>
            <w:pStyle w:val="TOC3"/>
            <w:tabs>
              <w:tab w:val="right" w:leader="dot" w:pos="9016"/>
            </w:tabs>
            <w:rPr>
              <w:rFonts w:eastAsiaTheme="minorEastAsia"/>
              <w:noProof/>
              <w:lang w:eastAsia="en-AU"/>
            </w:rPr>
          </w:pPr>
          <w:hyperlink w:anchor="_Toc148531205" w:history="1">
            <w:r w:rsidR="004C426C" w:rsidRPr="000E194E">
              <w:rPr>
                <w:rStyle w:val="Hyperlink"/>
                <w:noProof/>
              </w:rPr>
              <w:t>Conference abstract</w:t>
            </w:r>
            <w:r w:rsidR="004C426C">
              <w:rPr>
                <w:noProof/>
                <w:webHidden/>
              </w:rPr>
              <w:tab/>
            </w:r>
            <w:r w:rsidR="004C426C">
              <w:rPr>
                <w:noProof/>
                <w:webHidden/>
              </w:rPr>
              <w:fldChar w:fldCharType="begin"/>
            </w:r>
            <w:r w:rsidR="004C426C">
              <w:rPr>
                <w:noProof/>
                <w:webHidden/>
              </w:rPr>
              <w:instrText xml:space="preserve"> PAGEREF _Toc148531205 \h </w:instrText>
            </w:r>
            <w:r w:rsidR="004C426C">
              <w:rPr>
                <w:noProof/>
                <w:webHidden/>
              </w:rPr>
            </w:r>
            <w:r w:rsidR="004C426C">
              <w:rPr>
                <w:noProof/>
                <w:webHidden/>
              </w:rPr>
              <w:fldChar w:fldCharType="separate"/>
            </w:r>
            <w:r>
              <w:rPr>
                <w:noProof/>
                <w:webHidden/>
              </w:rPr>
              <w:t>163</w:t>
            </w:r>
            <w:r w:rsidR="004C426C">
              <w:rPr>
                <w:noProof/>
                <w:webHidden/>
              </w:rPr>
              <w:fldChar w:fldCharType="end"/>
            </w:r>
          </w:hyperlink>
        </w:p>
        <w:p w14:paraId="4C50C12C" w14:textId="5BB7989D" w:rsidR="004C426C" w:rsidRDefault="00C857F3">
          <w:pPr>
            <w:pStyle w:val="TOC3"/>
            <w:tabs>
              <w:tab w:val="right" w:leader="dot" w:pos="9016"/>
            </w:tabs>
            <w:rPr>
              <w:rFonts w:eastAsiaTheme="minorEastAsia"/>
              <w:noProof/>
              <w:lang w:eastAsia="en-AU"/>
            </w:rPr>
          </w:pPr>
          <w:hyperlink w:anchor="_Toc148531206" w:history="1">
            <w:r w:rsidR="004C426C" w:rsidRPr="000E194E">
              <w:rPr>
                <w:rStyle w:val="Hyperlink"/>
                <w:noProof/>
              </w:rPr>
              <w:t>Wrong study type (case series, case reports, non-systematic reviews)</w:t>
            </w:r>
            <w:r w:rsidR="004C426C">
              <w:rPr>
                <w:noProof/>
                <w:webHidden/>
              </w:rPr>
              <w:tab/>
            </w:r>
            <w:r w:rsidR="004C426C">
              <w:rPr>
                <w:noProof/>
                <w:webHidden/>
              </w:rPr>
              <w:fldChar w:fldCharType="begin"/>
            </w:r>
            <w:r w:rsidR="004C426C">
              <w:rPr>
                <w:noProof/>
                <w:webHidden/>
              </w:rPr>
              <w:instrText xml:space="preserve"> PAGEREF _Toc148531206 \h </w:instrText>
            </w:r>
            <w:r w:rsidR="004C426C">
              <w:rPr>
                <w:noProof/>
                <w:webHidden/>
              </w:rPr>
            </w:r>
            <w:r w:rsidR="004C426C">
              <w:rPr>
                <w:noProof/>
                <w:webHidden/>
              </w:rPr>
              <w:fldChar w:fldCharType="separate"/>
            </w:r>
            <w:r>
              <w:rPr>
                <w:noProof/>
                <w:webHidden/>
              </w:rPr>
              <w:t>175</w:t>
            </w:r>
            <w:r w:rsidR="004C426C">
              <w:rPr>
                <w:noProof/>
                <w:webHidden/>
              </w:rPr>
              <w:fldChar w:fldCharType="end"/>
            </w:r>
          </w:hyperlink>
        </w:p>
        <w:p w14:paraId="510F8B4D" w14:textId="5470D622" w:rsidR="004C426C" w:rsidRDefault="00C857F3">
          <w:pPr>
            <w:pStyle w:val="TOC3"/>
            <w:tabs>
              <w:tab w:val="right" w:leader="dot" w:pos="9016"/>
            </w:tabs>
            <w:rPr>
              <w:rFonts w:eastAsiaTheme="minorEastAsia"/>
              <w:noProof/>
              <w:lang w:eastAsia="en-AU"/>
            </w:rPr>
          </w:pPr>
          <w:hyperlink w:anchor="_Toc148531207" w:history="1">
            <w:r w:rsidR="004C426C" w:rsidRPr="000E194E">
              <w:rPr>
                <w:rStyle w:val="Hyperlink"/>
                <w:noProof/>
              </w:rPr>
              <w:t>Foreign language</w:t>
            </w:r>
            <w:r w:rsidR="004C426C">
              <w:rPr>
                <w:noProof/>
                <w:webHidden/>
              </w:rPr>
              <w:tab/>
            </w:r>
            <w:r w:rsidR="004C426C">
              <w:rPr>
                <w:noProof/>
                <w:webHidden/>
              </w:rPr>
              <w:fldChar w:fldCharType="begin"/>
            </w:r>
            <w:r w:rsidR="004C426C">
              <w:rPr>
                <w:noProof/>
                <w:webHidden/>
              </w:rPr>
              <w:instrText xml:space="preserve"> PAGEREF _Toc148531207 \h </w:instrText>
            </w:r>
            <w:r w:rsidR="004C426C">
              <w:rPr>
                <w:noProof/>
                <w:webHidden/>
              </w:rPr>
            </w:r>
            <w:r w:rsidR="004C426C">
              <w:rPr>
                <w:noProof/>
                <w:webHidden/>
              </w:rPr>
              <w:fldChar w:fldCharType="separate"/>
            </w:r>
            <w:r>
              <w:rPr>
                <w:noProof/>
                <w:webHidden/>
              </w:rPr>
              <w:t>179</w:t>
            </w:r>
            <w:r w:rsidR="004C426C">
              <w:rPr>
                <w:noProof/>
                <w:webHidden/>
              </w:rPr>
              <w:fldChar w:fldCharType="end"/>
            </w:r>
          </w:hyperlink>
        </w:p>
        <w:p w14:paraId="5C5FEC67" w14:textId="5E911FAE" w:rsidR="004C426C" w:rsidRDefault="00C857F3">
          <w:pPr>
            <w:pStyle w:val="TOC1"/>
            <w:rPr>
              <w:rFonts w:eastAsiaTheme="minorEastAsia"/>
              <w:b w:val="0"/>
              <w:noProof/>
              <w:lang w:eastAsia="en-AU"/>
            </w:rPr>
          </w:pPr>
          <w:hyperlink w:anchor="_Toc148531208" w:history="1">
            <w:r w:rsidR="004C426C" w:rsidRPr="000E194E">
              <w:rPr>
                <w:rStyle w:val="Hyperlink"/>
                <w:noProof/>
              </w:rPr>
              <w:t>Appendix D</w:t>
            </w:r>
            <w:r w:rsidR="004C426C">
              <w:rPr>
                <w:rFonts w:eastAsiaTheme="minorEastAsia"/>
                <w:b w:val="0"/>
                <w:noProof/>
                <w:lang w:eastAsia="en-AU"/>
              </w:rPr>
              <w:tab/>
            </w:r>
            <w:r w:rsidR="004C426C" w:rsidRPr="000E194E">
              <w:rPr>
                <w:rStyle w:val="Hyperlink"/>
                <w:noProof/>
              </w:rPr>
              <w:t>Additional details for Section 2</w:t>
            </w:r>
            <w:r w:rsidR="004C426C">
              <w:rPr>
                <w:noProof/>
                <w:webHidden/>
              </w:rPr>
              <w:tab/>
            </w:r>
            <w:r w:rsidR="004C426C">
              <w:rPr>
                <w:noProof/>
                <w:webHidden/>
              </w:rPr>
              <w:fldChar w:fldCharType="begin"/>
            </w:r>
            <w:r w:rsidR="004C426C">
              <w:rPr>
                <w:noProof/>
                <w:webHidden/>
              </w:rPr>
              <w:instrText xml:space="preserve"> PAGEREF _Toc148531208 \h </w:instrText>
            </w:r>
            <w:r w:rsidR="004C426C">
              <w:rPr>
                <w:noProof/>
                <w:webHidden/>
              </w:rPr>
            </w:r>
            <w:r w:rsidR="004C426C">
              <w:rPr>
                <w:noProof/>
                <w:webHidden/>
              </w:rPr>
              <w:fldChar w:fldCharType="separate"/>
            </w:r>
            <w:r>
              <w:rPr>
                <w:noProof/>
                <w:webHidden/>
              </w:rPr>
              <w:t>180</w:t>
            </w:r>
            <w:r w:rsidR="004C426C">
              <w:rPr>
                <w:noProof/>
                <w:webHidden/>
              </w:rPr>
              <w:fldChar w:fldCharType="end"/>
            </w:r>
          </w:hyperlink>
        </w:p>
        <w:p w14:paraId="66FD06AE" w14:textId="4509EAD3" w:rsidR="004C426C" w:rsidRDefault="00C857F3">
          <w:pPr>
            <w:pStyle w:val="TOC2"/>
            <w:rPr>
              <w:rFonts w:eastAsiaTheme="minorEastAsia"/>
              <w:noProof/>
              <w:lang w:eastAsia="en-AU"/>
            </w:rPr>
          </w:pPr>
          <w:hyperlink w:anchor="_Toc148531209" w:history="1">
            <w:r w:rsidR="004C426C" w:rsidRPr="000E194E">
              <w:rPr>
                <w:rStyle w:val="Hyperlink"/>
                <w:noProof/>
              </w:rPr>
              <w:t>Linked evidence of test performance</w:t>
            </w:r>
            <w:r w:rsidR="004C426C">
              <w:rPr>
                <w:noProof/>
                <w:webHidden/>
              </w:rPr>
              <w:tab/>
            </w:r>
            <w:r w:rsidR="004C426C">
              <w:rPr>
                <w:noProof/>
                <w:webHidden/>
              </w:rPr>
              <w:fldChar w:fldCharType="begin"/>
            </w:r>
            <w:r w:rsidR="004C426C">
              <w:rPr>
                <w:noProof/>
                <w:webHidden/>
              </w:rPr>
              <w:instrText xml:space="preserve"> PAGEREF _Toc148531209 \h </w:instrText>
            </w:r>
            <w:r w:rsidR="004C426C">
              <w:rPr>
                <w:noProof/>
                <w:webHidden/>
              </w:rPr>
            </w:r>
            <w:r w:rsidR="004C426C">
              <w:rPr>
                <w:noProof/>
                <w:webHidden/>
              </w:rPr>
              <w:fldChar w:fldCharType="separate"/>
            </w:r>
            <w:r>
              <w:rPr>
                <w:noProof/>
                <w:webHidden/>
              </w:rPr>
              <w:t>180</w:t>
            </w:r>
            <w:r w:rsidR="004C426C">
              <w:rPr>
                <w:noProof/>
                <w:webHidden/>
              </w:rPr>
              <w:fldChar w:fldCharType="end"/>
            </w:r>
          </w:hyperlink>
        </w:p>
        <w:p w14:paraId="13F62432" w14:textId="30DB8E53" w:rsidR="004C426C" w:rsidRDefault="00C857F3">
          <w:pPr>
            <w:pStyle w:val="TOC3"/>
            <w:tabs>
              <w:tab w:val="right" w:leader="dot" w:pos="9016"/>
            </w:tabs>
            <w:rPr>
              <w:rFonts w:eastAsiaTheme="minorEastAsia"/>
              <w:noProof/>
              <w:lang w:eastAsia="en-AU"/>
            </w:rPr>
          </w:pPr>
          <w:hyperlink w:anchor="_Toc148531210" w:history="1">
            <w:r w:rsidR="004C426C" w:rsidRPr="000E194E">
              <w:rPr>
                <w:rStyle w:val="Hyperlink"/>
                <w:noProof/>
              </w:rPr>
              <w:t>Characteristics of the evidence base</w:t>
            </w:r>
            <w:r w:rsidR="004C426C">
              <w:rPr>
                <w:noProof/>
                <w:webHidden/>
              </w:rPr>
              <w:tab/>
            </w:r>
            <w:r w:rsidR="004C426C">
              <w:rPr>
                <w:noProof/>
                <w:webHidden/>
              </w:rPr>
              <w:fldChar w:fldCharType="begin"/>
            </w:r>
            <w:r w:rsidR="004C426C">
              <w:rPr>
                <w:noProof/>
                <w:webHidden/>
              </w:rPr>
              <w:instrText xml:space="preserve"> PAGEREF _Toc148531210 \h </w:instrText>
            </w:r>
            <w:r w:rsidR="004C426C">
              <w:rPr>
                <w:noProof/>
                <w:webHidden/>
              </w:rPr>
            </w:r>
            <w:r w:rsidR="004C426C">
              <w:rPr>
                <w:noProof/>
                <w:webHidden/>
              </w:rPr>
              <w:fldChar w:fldCharType="separate"/>
            </w:r>
            <w:r>
              <w:rPr>
                <w:noProof/>
                <w:webHidden/>
              </w:rPr>
              <w:t>180</w:t>
            </w:r>
            <w:r w:rsidR="004C426C">
              <w:rPr>
                <w:noProof/>
                <w:webHidden/>
              </w:rPr>
              <w:fldChar w:fldCharType="end"/>
            </w:r>
          </w:hyperlink>
        </w:p>
        <w:p w14:paraId="64D7439D" w14:textId="18519D64" w:rsidR="004C426C" w:rsidRDefault="00C857F3">
          <w:pPr>
            <w:pStyle w:val="TOC3"/>
            <w:tabs>
              <w:tab w:val="right" w:leader="dot" w:pos="9016"/>
            </w:tabs>
            <w:rPr>
              <w:rFonts w:eastAsiaTheme="minorEastAsia"/>
              <w:noProof/>
              <w:lang w:eastAsia="en-AU"/>
            </w:rPr>
          </w:pPr>
          <w:hyperlink w:anchor="_Toc148531211" w:history="1">
            <w:r w:rsidR="004C426C" w:rsidRPr="000E194E">
              <w:rPr>
                <w:rStyle w:val="Hyperlink"/>
                <w:noProof/>
              </w:rPr>
              <w:t>Results</w:t>
            </w:r>
            <w:r w:rsidR="004C426C">
              <w:rPr>
                <w:noProof/>
                <w:webHidden/>
              </w:rPr>
              <w:tab/>
            </w:r>
            <w:r w:rsidR="004C426C">
              <w:rPr>
                <w:noProof/>
                <w:webHidden/>
              </w:rPr>
              <w:fldChar w:fldCharType="begin"/>
            </w:r>
            <w:r w:rsidR="004C426C">
              <w:rPr>
                <w:noProof/>
                <w:webHidden/>
              </w:rPr>
              <w:instrText xml:space="preserve"> PAGEREF _Toc148531211 \h </w:instrText>
            </w:r>
            <w:r w:rsidR="004C426C">
              <w:rPr>
                <w:noProof/>
                <w:webHidden/>
              </w:rPr>
            </w:r>
            <w:r w:rsidR="004C426C">
              <w:rPr>
                <w:noProof/>
                <w:webHidden/>
              </w:rPr>
              <w:fldChar w:fldCharType="separate"/>
            </w:r>
            <w:r>
              <w:rPr>
                <w:noProof/>
                <w:webHidden/>
              </w:rPr>
              <w:t>192</w:t>
            </w:r>
            <w:r w:rsidR="004C426C">
              <w:rPr>
                <w:noProof/>
                <w:webHidden/>
              </w:rPr>
              <w:fldChar w:fldCharType="end"/>
            </w:r>
          </w:hyperlink>
        </w:p>
        <w:p w14:paraId="3149D9BE" w14:textId="0DE0B51D" w:rsidR="004C426C" w:rsidRDefault="00C857F3">
          <w:pPr>
            <w:pStyle w:val="TOC2"/>
            <w:rPr>
              <w:rFonts w:eastAsiaTheme="minorEastAsia"/>
              <w:noProof/>
              <w:lang w:eastAsia="en-AU"/>
            </w:rPr>
          </w:pPr>
          <w:hyperlink w:anchor="_Toc148531212" w:history="1">
            <w:r w:rsidR="004C426C" w:rsidRPr="000E194E">
              <w:rPr>
                <w:rStyle w:val="Hyperlink"/>
                <w:noProof/>
              </w:rPr>
              <w:t>Linked evidence of change in management</w:t>
            </w:r>
            <w:r w:rsidR="004C426C">
              <w:rPr>
                <w:noProof/>
                <w:webHidden/>
              </w:rPr>
              <w:tab/>
            </w:r>
            <w:r w:rsidR="004C426C">
              <w:rPr>
                <w:noProof/>
                <w:webHidden/>
              </w:rPr>
              <w:fldChar w:fldCharType="begin"/>
            </w:r>
            <w:r w:rsidR="004C426C">
              <w:rPr>
                <w:noProof/>
                <w:webHidden/>
              </w:rPr>
              <w:instrText xml:space="preserve"> PAGEREF _Toc148531212 \h </w:instrText>
            </w:r>
            <w:r w:rsidR="004C426C">
              <w:rPr>
                <w:noProof/>
                <w:webHidden/>
              </w:rPr>
            </w:r>
            <w:r w:rsidR="004C426C">
              <w:rPr>
                <w:noProof/>
                <w:webHidden/>
              </w:rPr>
              <w:fldChar w:fldCharType="separate"/>
            </w:r>
            <w:r>
              <w:rPr>
                <w:noProof/>
                <w:webHidden/>
              </w:rPr>
              <w:t>210</w:t>
            </w:r>
            <w:r w:rsidR="004C426C">
              <w:rPr>
                <w:noProof/>
                <w:webHidden/>
              </w:rPr>
              <w:fldChar w:fldCharType="end"/>
            </w:r>
          </w:hyperlink>
        </w:p>
        <w:p w14:paraId="79332397" w14:textId="4D5DC60A" w:rsidR="004C426C" w:rsidRDefault="00C857F3">
          <w:pPr>
            <w:pStyle w:val="TOC1"/>
            <w:rPr>
              <w:rFonts w:eastAsiaTheme="minorEastAsia"/>
              <w:b w:val="0"/>
              <w:noProof/>
              <w:lang w:eastAsia="en-AU"/>
            </w:rPr>
          </w:pPr>
          <w:hyperlink w:anchor="_Toc148531213" w:history="1">
            <w:r w:rsidR="004C426C" w:rsidRPr="000E194E">
              <w:rPr>
                <w:rStyle w:val="Hyperlink"/>
                <w:noProof/>
              </w:rPr>
              <w:t>Appendix E</w:t>
            </w:r>
            <w:r w:rsidR="004C426C">
              <w:rPr>
                <w:rFonts w:eastAsiaTheme="minorEastAsia"/>
                <w:b w:val="0"/>
                <w:noProof/>
                <w:lang w:eastAsia="en-AU"/>
              </w:rPr>
              <w:tab/>
            </w:r>
            <w:r w:rsidR="004C426C" w:rsidRPr="000E194E">
              <w:rPr>
                <w:rStyle w:val="Hyperlink"/>
                <w:noProof/>
              </w:rPr>
              <w:t>Evidence profile tables</w:t>
            </w:r>
            <w:r w:rsidR="004C426C">
              <w:rPr>
                <w:noProof/>
                <w:webHidden/>
              </w:rPr>
              <w:tab/>
            </w:r>
            <w:r w:rsidR="004C426C">
              <w:rPr>
                <w:noProof/>
                <w:webHidden/>
              </w:rPr>
              <w:fldChar w:fldCharType="begin"/>
            </w:r>
            <w:r w:rsidR="004C426C">
              <w:rPr>
                <w:noProof/>
                <w:webHidden/>
              </w:rPr>
              <w:instrText xml:space="preserve"> PAGEREF _Toc148531213 \h </w:instrText>
            </w:r>
            <w:r w:rsidR="004C426C">
              <w:rPr>
                <w:noProof/>
                <w:webHidden/>
              </w:rPr>
            </w:r>
            <w:r w:rsidR="004C426C">
              <w:rPr>
                <w:noProof/>
                <w:webHidden/>
              </w:rPr>
              <w:fldChar w:fldCharType="separate"/>
            </w:r>
            <w:r>
              <w:rPr>
                <w:noProof/>
                <w:webHidden/>
              </w:rPr>
              <w:t>211</w:t>
            </w:r>
            <w:r w:rsidR="004C426C">
              <w:rPr>
                <w:noProof/>
                <w:webHidden/>
              </w:rPr>
              <w:fldChar w:fldCharType="end"/>
            </w:r>
          </w:hyperlink>
        </w:p>
        <w:p w14:paraId="39E94254" w14:textId="43909325" w:rsidR="004C426C" w:rsidRDefault="00C857F3">
          <w:pPr>
            <w:pStyle w:val="TOC1"/>
            <w:rPr>
              <w:rFonts w:eastAsiaTheme="minorEastAsia"/>
              <w:b w:val="0"/>
              <w:noProof/>
              <w:lang w:eastAsia="en-AU"/>
            </w:rPr>
          </w:pPr>
          <w:hyperlink w:anchor="_Toc148531214" w:history="1">
            <w:r w:rsidR="004C426C" w:rsidRPr="000E194E">
              <w:rPr>
                <w:rStyle w:val="Hyperlink"/>
                <w:noProof/>
              </w:rPr>
              <w:t>Appendix F</w:t>
            </w:r>
            <w:r w:rsidR="004C426C">
              <w:rPr>
                <w:rFonts w:eastAsiaTheme="minorEastAsia"/>
                <w:b w:val="0"/>
                <w:noProof/>
                <w:lang w:eastAsia="en-AU"/>
              </w:rPr>
              <w:tab/>
            </w:r>
            <w:r w:rsidR="004C426C" w:rsidRPr="000E194E">
              <w:rPr>
                <w:rStyle w:val="Hyperlink"/>
                <w:noProof/>
              </w:rPr>
              <w:t>Economic evaluation supporting evidence and additional analyses</w:t>
            </w:r>
            <w:r w:rsidR="004C426C">
              <w:rPr>
                <w:noProof/>
                <w:webHidden/>
              </w:rPr>
              <w:tab/>
            </w:r>
            <w:r w:rsidR="004C426C">
              <w:rPr>
                <w:noProof/>
                <w:webHidden/>
              </w:rPr>
              <w:fldChar w:fldCharType="begin"/>
            </w:r>
            <w:r w:rsidR="004C426C">
              <w:rPr>
                <w:noProof/>
                <w:webHidden/>
              </w:rPr>
              <w:instrText xml:space="preserve"> PAGEREF _Toc148531214 \h </w:instrText>
            </w:r>
            <w:r w:rsidR="004C426C">
              <w:rPr>
                <w:noProof/>
                <w:webHidden/>
              </w:rPr>
            </w:r>
            <w:r w:rsidR="004C426C">
              <w:rPr>
                <w:noProof/>
                <w:webHidden/>
              </w:rPr>
              <w:fldChar w:fldCharType="separate"/>
            </w:r>
            <w:r>
              <w:rPr>
                <w:noProof/>
                <w:webHidden/>
              </w:rPr>
              <w:t>216</w:t>
            </w:r>
            <w:r w:rsidR="004C426C">
              <w:rPr>
                <w:noProof/>
                <w:webHidden/>
              </w:rPr>
              <w:fldChar w:fldCharType="end"/>
            </w:r>
          </w:hyperlink>
        </w:p>
        <w:p w14:paraId="44A26EB3" w14:textId="2386840B" w:rsidR="004C426C" w:rsidRDefault="00C857F3">
          <w:pPr>
            <w:pStyle w:val="TOC3"/>
            <w:tabs>
              <w:tab w:val="right" w:leader="dot" w:pos="9016"/>
            </w:tabs>
            <w:rPr>
              <w:rFonts w:eastAsiaTheme="minorEastAsia"/>
              <w:noProof/>
              <w:lang w:eastAsia="en-AU"/>
            </w:rPr>
          </w:pPr>
          <w:hyperlink w:anchor="_Toc148531215" w:history="1">
            <w:r w:rsidR="004C426C" w:rsidRPr="000E194E">
              <w:rPr>
                <w:rStyle w:val="Hyperlink"/>
                <w:noProof/>
              </w:rPr>
              <w:t>Structure of the economic evaluation</w:t>
            </w:r>
            <w:r w:rsidR="004C426C">
              <w:rPr>
                <w:noProof/>
                <w:webHidden/>
              </w:rPr>
              <w:tab/>
            </w:r>
            <w:r w:rsidR="004C426C">
              <w:rPr>
                <w:noProof/>
                <w:webHidden/>
              </w:rPr>
              <w:fldChar w:fldCharType="begin"/>
            </w:r>
            <w:r w:rsidR="004C426C">
              <w:rPr>
                <w:noProof/>
                <w:webHidden/>
              </w:rPr>
              <w:instrText xml:space="preserve"> PAGEREF _Toc148531215 \h </w:instrText>
            </w:r>
            <w:r w:rsidR="004C426C">
              <w:rPr>
                <w:noProof/>
                <w:webHidden/>
              </w:rPr>
            </w:r>
            <w:r w:rsidR="004C426C">
              <w:rPr>
                <w:noProof/>
                <w:webHidden/>
              </w:rPr>
              <w:fldChar w:fldCharType="separate"/>
            </w:r>
            <w:r>
              <w:rPr>
                <w:noProof/>
                <w:webHidden/>
              </w:rPr>
              <w:t>216</w:t>
            </w:r>
            <w:r w:rsidR="004C426C">
              <w:rPr>
                <w:noProof/>
                <w:webHidden/>
              </w:rPr>
              <w:fldChar w:fldCharType="end"/>
            </w:r>
          </w:hyperlink>
        </w:p>
        <w:p w14:paraId="267DAF3B" w14:textId="43CA6808" w:rsidR="004C426C" w:rsidRDefault="00C857F3">
          <w:pPr>
            <w:pStyle w:val="TOC3"/>
            <w:tabs>
              <w:tab w:val="right" w:leader="dot" w:pos="9016"/>
            </w:tabs>
            <w:rPr>
              <w:rFonts w:eastAsiaTheme="minorEastAsia"/>
              <w:noProof/>
              <w:lang w:eastAsia="en-AU"/>
            </w:rPr>
          </w:pPr>
          <w:hyperlink w:anchor="_Toc148531216" w:history="1">
            <w:r w:rsidR="004C426C" w:rsidRPr="000E194E">
              <w:rPr>
                <w:rStyle w:val="Hyperlink"/>
                <w:noProof/>
              </w:rPr>
              <w:t>Health care resource use and costs</w:t>
            </w:r>
            <w:r w:rsidR="004C426C">
              <w:rPr>
                <w:noProof/>
                <w:webHidden/>
              </w:rPr>
              <w:tab/>
            </w:r>
            <w:r w:rsidR="004C426C">
              <w:rPr>
                <w:noProof/>
                <w:webHidden/>
              </w:rPr>
              <w:fldChar w:fldCharType="begin"/>
            </w:r>
            <w:r w:rsidR="004C426C">
              <w:rPr>
                <w:noProof/>
                <w:webHidden/>
              </w:rPr>
              <w:instrText xml:space="preserve"> PAGEREF _Toc148531216 \h </w:instrText>
            </w:r>
            <w:r w:rsidR="004C426C">
              <w:rPr>
                <w:noProof/>
                <w:webHidden/>
              </w:rPr>
            </w:r>
            <w:r w:rsidR="004C426C">
              <w:rPr>
                <w:noProof/>
                <w:webHidden/>
              </w:rPr>
              <w:fldChar w:fldCharType="separate"/>
            </w:r>
            <w:r>
              <w:rPr>
                <w:noProof/>
                <w:webHidden/>
              </w:rPr>
              <w:t>221</w:t>
            </w:r>
            <w:r w:rsidR="004C426C">
              <w:rPr>
                <w:noProof/>
                <w:webHidden/>
              </w:rPr>
              <w:fldChar w:fldCharType="end"/>
            </w:r>
          </w:hyperlink>
        </w:p>
        <w:p w14:paraId="3EB83AFB" w14:textId="4363D038" w:rsidR="004C426C" w:rsidRDefault="00C857F3">
          <w:pPr>
            <w:pStyle w:val="TOC3"/>
            <w:tabs>
              <w:tab w:val="right" w:leader="dot" w:pos="9016"/>
            </w:tabs>
            <w:rPr>
              <w:rFonts w:eastAsiaTheme="minorEastAsia"/>
              <w:noProof/>
              <w:lang w:eastAsia="en-AU"/>
            </w:rPr>
          </w:pPr>
          <w:hyperlink w:anchor="_Toc148531217" w:history="1">
            <w:r w:rsidR="004C426C" w:rsidRPr="000E194E">
              <w:rPr>
                <w:rStyle w:val="Hyperlink"/>
                <w:noProof/>
              </w:rPr>
              <w:t>Model validation</w:t>
            </w:r>
            <w:r w:rsidR="004C426C">
              <w:rPr>
                <w:noProof/>
                <w:webHidden/>
              </w:rPr>
              <w:tab/>
            </w:r>
            <w:r w:rsidR="004C426C">
              <w:rPr>
                <w:noProof/>
                <w:webHidden/>
              </w:rPr>
              <w:fldChar w:fldCharType="begin"/>
            </w:r>
            <w:r w:rsidR="004C426C">
              <w:rPr>
                <w:noProof/>
                <w:webHidden/>
              </w:rPr>
              <w:instrText xml:space="preserve"> PAGEREF _Toc148531217 \h </w:instrText>
            </w:r>
            <w:r w:rsidR="004C426C">
              <w:rPr>
                <w:noProof/>
                <w:webHidden/>
              </w:rPr>
            </w:r>
            <w:r w:rsidR="004C426C">
              <w:rPr>
                <w:noProof/>
                <w:webHidden/>
              </w:rPr>
              <w:fldChar w:fldCharType="separate"/>
            </w:r>
            <w:r>
              <w:rPr>
                <w:noProof/>
                <w:webHidden/>
              </w:rPr>
              <w:t>223</w:t>
            </w:r>
            <w:r w:rsidR="004C426C">
              <w:rPr>
                <w:noProof/>
                <w:webHidden/>
              </w:rPr>
              <w:fldChar w:fldCharType="end"/>
            </w:r>
          </w:hyperlink>
        </w:p>
        <w:p w14:paraId="6582AE80" w14:textId="6052D0BF" w:rsidR="004A7A52" w:rsidRPr="00CE28E3" w:rsidRDefault="00C857F3" w:rsidP="004C426C">
          <w:pPr>
            <w:pStyle w:val="TOC3"/>
            <w:tabs>
              <w:tab w:val="right" w:leader="dot" w:pos="9016"/>
            </w:tabs>
            <w:sectPr w:rsidR="004A7A52" w:rsidRPr="00CE28E3" w:rsidSect="005723D6">
              <w:type w:val="oddPage"/>
              <w:pgSz w:w="11906" w:h="16838" w:code="9"/>
              <w:pgMar w:top="1440" w:right="1440" w:bottom="1440" w:left="1440" w:header="709" w:footer="709" w:gutter="0"/>
              <w:cols w:space="708"/>
              <w:docGrid w:linePitch="360"/>
            </w:sectPr>
          </w:pPr>
          <w:hyperlink w:anchor="_Toc148531218" w:history="1">
            <w:r w:rsidR="004C426C" w:rsidRPr="000E194E">
              <w:rPr>
                <w:rStyle w:val="Hyperlink"/>
                <w:noProof/>
              </w:rPr>
              <w:t>Uncertainty analysis: model inputs, structure and assumptions</w:t>
            </w:r>
            <w:r w:rsidR="004C426C">
              <w:rPr>
                <w:noProof/>
                <w:webHidden/>
              </w:rPr>
              <w:tab/>
            </w:r>
            <w:r w:rsidR="004C426C">
              <w:rPr>
                <w:noProof/>
                <w:webHidden/>
              </w:rPr>
              <w:fldChar w:fldCharType="begin"/>
            </w:r>
            <w:r w:rsidR="004C426C">
              <w:rPr>
                <w:noProof/>
                <w:webHidden/>
              </w:rPr>
              <w:instrText xml:space="preserve"> PAGEREF _Toc148531218 \h </w:instrText>
            </w:r>
            <w:r w:rsidR="004C426C">
              <w:rPr>
                <w:noProof/>
                <w:webHidden/>
              </w:rPr>
            </w:r>
            <w:r w:rsidR="004C426C">
              <w:rPr>
                <w:noProof/>
                <w:webHidden/>
              </w:rPr>
              <w:fldChar w:fldCharType="separate"/>
            </w:r>
            <w:r>
              <w:rPr>
                <w:noProof/>
                <w:webHidden/>
              </w:rPr>
              <w:t>224</w:t>
            </w:r>
            <w:r w:rsidR="004C426C">
              <w:rPr>
                <w:noProof/>
                <w:webHidden/>
              </w:rPr>
              <w:fldChar w:fldCharType="end"/>
            </w:r>
          </w:hyperlink>
          <w:r w:rsidR="00DE7099" w:rsidRPr="00CE28E3">
            <w:rPr>
              <w:b/>
              <w:bCs/>
              <w:noProof/>
            </w:rPr>
            <w:fldChar w:fldCharType="end"/>
          </w:r>
          <w:r w:rsidR="00F81BCE">
            <w:rPr>
              <w:b/>
              <w:bCs/>
              <w:noProof/>
            </w:rPr>
            <w:tab/>
            <w:t xml:space="preserve"> </w:t>
          </w:r>
        </w:p>
      </w:sdtContent>
    </w:sdt>
    <w:p w14:paraId="7269E8DF" w14:textId="77777777" w:rsidR="00772829" w:rsidRPr="00C81543" w:rsidRDefault="00772829" w:rsidP="00C50AE1">
      <w:pPr>
        <w:spacing w:after="240"/>
        <w:jc w:val="center"/>
        <w:rPr>
          <w:b/>
          <w:i/>
          <w:szCs w:val="24"/>
        </w:rPr>
      </w:pPr>
      <w:r w:rsidRPr="00CE28E3">
        <w:rPr>
          <w:rFonts w:ascii="Arial" w:hAnsi="Arial" w:cs="Arial"/>
          <w:b/>
          <w:noProof/>
          <w:color w:val="000080"/>
          <w:sz w:val="28"/>
          <w:szCs w:val="28"/>
          <w:lang w:eastAsia="en-AU"/>
        </w:rPr>
        <w:lastRenderedPageBreak/>
        <w:drawing>
          <wp:inline distT="0" distB="0" distL="0" distR="0" wp14:anchorId="6632E2AE" wp14:editId="492F13DD">
            <wp:extent cx="2627630" cy="1078865"/>
            <wp:effectExtent l="0" t="0" r="1270" b="6985"/>
            <wp:docPr id="6" name="Picture 6"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6417A49A" w14:textId="063CE5F5" w:rsidR="00772829" w:rsidRPr="00C72177" w:rsidRDefault="00772829" w:rsidP="000A2DA8">
      <w:pPr>
        <w:pStyle w:val="Heading1"/>
        <w:numPr>
          <w:ilvl w:val="0"/>
          <w:numId w:val="0"/>
        </w:numPr>
        <w:pBdr>
          <w:bottom w:val="none" w:sz="0" w:space="0" w:color="auto"/>
        </w:pBdr>
        <w:spacing w:before="480" w:after="240"/>
        <w:ind w:left="788"/>
        <w:jc w:val="center"/>
        <w:rPr>
          <w:rFonts w:ascii="Arial" w:hAnsi="Arial" w:cs="Arial"/>
          <w:b/>
          <w:bCs/>
          <w:color w:val="000080"/>
          <w:sz w:val="36"/>
          <w:szCs w:val="36"/>
        </w:rPr>
      </w:pPr>
      <w:bookmarkStart w:id="4" w:name="_Hlk68005436"/>
      <w:bookmarkStart w:id="5" w:name="_Toc148531116"/>
      <w:r w:rsidRPr="00C72177">
        <w:rPr>
          <w:rFonts w:ascii="Arial" w:hAnsi="Arial" w:cs="Arial"/>
          <w:b/>
          <w:bCs/>
          <w:color w:val="000080"/>
          <w:sz w:val="36"/>
          <w:szCs w:val="36"/>
        </w:rPr>
        <w:t>DCAR Executive Summary</w:t>
      </w:r>
      <w:bookmarkEnd w:id="4"/>
      <w:bookmarkEnd w:id="5"/>
    </w:p>
    <w:p w14:paraId="7A128FDE" w14:textId="1A46D87C" w:rsidR="00772829" w:rsidRPr="00CE28E3" w:rsidRDefault="00772829" w:rsidP="00772829">
      <w:pPr>
        <w:pStyle w:val="Subtitle"/>
      </w:pPr>
      <w:r w:rsidRPr="00CE28E3">
        <w:t xml:space="preserve">Application No. </w:t>
      </w:r>
      <w:r w:rsidR="00364DA4">
        <w:t>1721 Small gene panel testing for NSCLC</w:t>
      </w:r>
    </w:p>
    <w:p w14:paraId="35263561" w14:textId="13B1080F" w:rsidR="00772829" w:rsidRPr="00CE28E3" w:rsidRDefault="00772829" w:rsidP="00772829">
      <w:pPr>
        <w:tabs>
          <w:tab w:val="left" w:pos="3686"/>
        </w:tabs>
        <w:spacing w:after="240"/>
        <w:rPr>
          <w:rFonts w:ascii="Arial" w:hAnsi="Arial" w:cs="Arial"/>
          <w:b/>
          <w:szCs w:val="24"/>
        </w:rPr>
      </w:pPr>
      <w:r w:rsidRPr="00CE28E3">
        <w:rPr>
          <w:rFonts w:ascii="Arial" w:hAnsi="Arial" w:cs="Arial"/>
          <w:b/>
          <w:szCs w:val="24"/>
        </w:rPr>
        <w:t>Applicant:</w:t>
      </w:r>
      <w:r w:rsidRPr="00CE28E3">
        <w:rPr>
          <w:rFonts w:ascii="Arial" w:hAnsi="Arial" w:cs="Arial"/>
          <w:b/>
          <w:szCs w:val="24"/>
        </w:rPr>
        <w:tab/>
      </w:r>
      <w:r w:rsidR="00364DA4">
        <w:rPr>
          <w:rFonts w:ascii="Arial" w:hAnsi="Arial" w:cs="Arial"/>
          <w:b/>
          <w:szCs w:val="24"/>
        </w:rPr>
        <w:t>Royal College of Pathologists of Australasia</w:t>
      </w:r>
    </w:p>
    <w:p w14:paraId="15DA9C4A" w14:textId="2DF23114" w:rsidR="009A3778" w:rsidRPr="00C81543" w:rsidRDefault="00772829" w:rsidP="00772829">
      <w:pPr>
        <w:tabs>
          <w:tab w:val="left" w:pos="3686"/>
        </w:tabs>
        <w:spacing w:after="360"/>
        <w:rPr>
          <w:rFonts w:ascii="Arial" w:hAnsi="Arial" w:cs="Arial"/>
          <w:b/>
          <w:szCs w:val="24"/>
        </w:rPr>
      </w:pPr>
      <w:r w:rsidRPr="00CE28E3">
        <w:rPr>
          <w:rFonts w:ascii="Arial" w:hAnsi="Arial" w:cs="Arial"/>
          <w:b/>
          <w:szCs w:val="24"/>
        </w:rPr>
        <w:t>Date of MSAC consideration:</w:t>
      </w:r>
      <w:r w:rsidRPr="00CE28E3">
        <w:rPr>
          <w:rFonts w:ascii="Arial" w:hAnsi="Arial" w:cs="Arial"/>
          <w:b/>
          <w:szCs w:val="24"/>
        </w:rPr>
        <w:tab/>
        <w:t xml:space="preserve">MSAC </w:t>
      </w:r>
      <w:r w:rsidR="00BD1966" w:rsidRPr="00CF7864">
        <w:rPr>
          <w:rFonts w:ascii="Arial" w:hAnsi="Arial" w:cs="Arial"/>
          <w:b/>
          <w:szCs w:val="24"/>
        </w:rPr>
        <w:t>86</w:t>
      </w:r>
      <w:r w:rsidRPr="00CF7864">
        <w:rPr>
          <w:rFonts w:ascii="Arial" w:hAnsi="Arial" w:cs="Arial"/>
          <w:b/>
          <w:szCs w:val="24"/>
        </w:rPr>
        <w:t>th</w:t>
      </w:r>
      <w:r w:rsidRPr="00CE28E3">
        <w:rPr>
          <w:rFonts w:ascii="Arial" w:hAnsi="Arial" w:cs="Arial"/>
          <w:b/>
          <w:szCs w:val="24"/>
        </w:rPr>
        <w:t xml:space="preserve"> Meeting</w:t>
      </w:r>
      <w:r w:rsidRPr="001326D0">
        <w:rPr>
          <w:rFonts w:ascii="Arial" w:hAnsi="Arial" w:cs="Arial"/>
          <w:b/>
          <w:szCs w:val="24"/>
        </w:rPr>
        <w:t xml:space="preserve">, </w:t>
      </w:r>
      <w:r w:rsidR="001326D0" w:rsidRPr="001326D0">
        <w:rPr>
          <w:rFonts w:ascii="Arial" w:hAnsi="Arial" w:cs="Arial"/>
          <w:b/>
          <w:szCs w:val="24"/>
        </w:rPr>
        <w:t>24-25 November 2022</w:t>
      </w:r>
    </w:p>
    <w:tbl>
      <w:tblPr>
        <w:tblStyle w:val="TableGrid"/>
        <w:tblW w:w="0" w:type="auto"/>
        <w:tblLook w:val="04A0" w:firstRow="1" w:lastRow="0" w:firstColumn="1" w:lastColumn="0" w:noHBand="0" w:noVBand="1"/>
        <w:tblCaption w:val="Main issues for MSAC consideration"/>
        <w:tblDescription w:val="Main issues for MSAC consideration"/>
      </w:tblPr>
      <w:tblGrid>
        <w:gridCol w:w="9016"/>
      </w:tblGrid>
      <w:tr w:rsidR="00E21B03" w:rsidRPr="00CE28E3" w14:paraId="2ED094E6" w14:textId="77777777" w:rsidTr="00956452">
        <w:trPr>
          <w:trHeight w:val="555"/>
          <w:tblHeader/>
        </w:trPr>
        <w:tc>
          <w:tcPr>
            <w:tcW w:w="9016" w:type="dxa"/>
            <w:tcBorders>
              <w:bottom w:val="nil"/>
            </w:tcBorders>
          </w:tcPr>
          <w:p w14:paraId="321D72F9" w14:textId="52866E38" w:rsidR="00A20449" w:rsidRPr="004E63D6" w:rsidRDefault="00E21B03" w:rsidP="008967C4">
            <w:pPr>
              <w:spacing w:before="240" w:after="240"/>
              <w:rPr>
                <w:rFonts w:eastAsia="Calibri" w:cs="Times New Roman"/>
              </w:rPr>
            </w:pPr>
            <w:bookmarkStart w:id="6" w:name="_Hlk69734340"/>
            <w:r w:rsidRPr="008967C4">
              <w:rPr>
                <w:b/>
                <w:bCs/>
                <w:sz w:val="24"/>
                <w:szCs w:val="24"/>
              </w:rPr>
              <w:t>Main issues for MSAC consideration</w:t>
            </w:r>
          </w:p>
        </w:tc>
      </w:tr>
      <w:tr w:rsidR="00AA589A" w:rsidRPr="00CE28E3" w14:paraId="57C52784" w14:textId="77777777" w:rsidTr="00956452">
        <w:trPr>
          <w:trHeight w:val="7453"/>
        </w:trPr>
        <w:tc>
          <w:tcPr>
            <w:tcW w:w="9016" w:type="dxa"/>
            <w:tcBorders>
              <w:top w:val="nil"/>
            </w:tcBorders>
          </w:tcPr>
          <w:p w14:paraId="3BBA74F4" w14:textId="49429F07" w:rsidR="00AA589A" w:rsidRDefault="00AA589A" w:rsidP="00956452">
            <w:pPr>
              <w:spacing w:before="240" w:after="240"/>
              <w:rPr>
                <w:b/>
              </w:rPr>
            </w:pPr>
            <w:r w:rsidRPr="00CE28E3">
              <w:rPr>
                <w:b/>
              </w:rPr>
              <w:t>Clinical issues:</w:t>
            </w:r>
          </w:p>
          <w:p w14:paraId="7B258928" w14:textId="77777777" w:rsidR="00AA589A" w:rsidRDefault="00AA589A" w:rsidP="00AA589A">
            <w:pPr>
              <w:pStyle w:val="ListParagraph"/>
              <w:numPr>
                <w:ilvl w:val="0"/>
                <w:numId w:val="25"/>
              </w:numPr>
              <w:spacing w:before="0" w:line="256" w:lineRule="auto"/>
              <w:rPr>
                <w:rFonts w:eastAsia="Calibri" w:cs="Times New Roman"/>
              </w:rPr>
            </w:pPr>
            <w:r>
              <w:rPr>
                <w:rFonts w:eastAsia="Calibri" w:cs="Times New Roman"/>
              </w:rPr>
              <w:t xml:space="preserve">The applicants requested up to 3 new items be added to the MBS (1 for a combined DNA/RNA panel, and/or 2 for sequential DNA and RNA panels). There was insufficient evidence to guide MSAC on the differential effectiveness of one versus two panels. </w:t>
            </w:r>
          </w:p>
          <w:p w14:paraId="6A0BBF89" w14:textId="2B9BE443" w:rsidR="00AA589A" w:rsidRDefault="00AA589A" w:rsidP="00AA589A">
            <w:pPr>
              <w:pStyle w:val="ListParagraph"/>
              <w:numPr>
                <w:ilvl w:val="0"/>
                <w:numId w:val="25"/>
              </w:numPr>
              <w:spacing w:before="0" w:line="256" w:lineRule="auto"/>
              <w:rPr>
                <w:rFonts w:eastAsia="Calibri" w:cs="Times New Roman"/>
              </w:rPr>
            </w:pPr>
            <w:r>
              <w:rPr>
                <w:rFonts w:eastAsia="Calibri" w:cs="Times New Roman"/>
              </w:rPr>
              <w:t xml:space="preserve">This assessment focused </w:t>
            </w:r>
            <w:r w:rsidR="000208FE">
              <w:rPr>
                <w:rFonts w:eastAsia="Calibri" w:cs="Times New Roman"/>
              </w:rPr>
              <w:t xml:space="preserve">on </w:t>
            </w:r>
            <w:r>
              <w:rPr>
                <w:rFonts w:eastAsia="Calibri" w:cs="Times New Roman"/>
              </w:rPr>
              <w:t xml:space="preserve">patients with non-squamous or not otherwise specified non-small cell lung cancer (NSCLC). Although the majority of studies on the concordance of testing included both squamous and non-squamous tumours, the key evidence was focused on non-squamous NSCLC, as was the economics and financial analysis. </w:t>
            </w:r>
          </w:p>
          <w:p w14:paraId="5E72BD7A" w14:textId="487D1345" w:rsidR="00AA589A" w:rsidRPr="00546D11" w:rsidRDefault="00AA589A" w:rsidP="00AA589A">
            <w:pPr>
              <w:pStyle w:val="ListParagraph"/>
              <w:numPr>
                <w:ilvl w:val="0"/>
                <w:numId w:val="25"/>
              </w:numPr>
              <w:spacing w:before="0" w:line="256" w:lineRule="auto"/>
            </w:pPr>
            <w:r w:rsidRPr="00DD2819">
              <w:rPr>
                <w:rFonts w:eastAsia="Calibri" w:cs="Times New Roman"/>
              </w:rPr>
              <w:t xml:space="preserve">The evidence available on </w:t>
            </w:r>
            <w:r>
              <w:rPr>
                <w:rFonts w:eastAsia="Calibri" w:cs="Times New Roman"/>
              </w:rPr>
              <w:t>the proportion of samples successfully tested, (i.e. the inverse of the test failure rate) using</w:t>
            </w:r>
            <w:r w:rsidRPr="00DD2819">
              <w:rPr>
                <w:rFonts w:eastAsia="Calibri" w:cs="Times New Roman"/>
              </w:rPr>
              <w:t xml:space="preserve"> NGS versus sequential single-gene testing, was not explicit about the method of NGS testing (i.e. whether </w:t>
            </w:r>
            <w:r>
              <w:rPr>
                <w:rFonts w:eastAsia="Calibri" w:cs="Times New Roman"/>
              </w:rPr>
              <w:t>a simultaneous DNA/RNA panel was used, or sequential DNA ± RNA panels were used). This reduces the certainty that the reported benefits would be replicated in the Australian setting, where sequential panels are expected to be more common than simultaneous DNA/RNA testing in the near future.</w:t>
            </w:r>
          </w:p>
          <w:p w14:paraId="72DBCCCE" w14:textId="3D3A31E5" w:rsidR="00AA589A" w:rsidRDefault="00AA589A" w:rsidP="00AA589A">
            <w:pPr>
              <w:pStyle w:val="ListParagraph"/>
              <w:numPr>
                <w:ilvl w:val="0"/>
                <w:numId w:val="25"/>
              </w:numPr>
              <w:spacing w:before="0" w:line="256" w:lineRule="auto"/>
              <w:rPr>
                <w:rFonts w:eastAsia="Calibri" w:cs="Times New Roman"/>
              </w:rPr>
            </w:pPr>
            <w:r>
              <w:rPr>
                <w:rFonts w:eastAsia="Calibri" w:cs="Times New Roman"/>
              </w:rPr>
              <w:t xml:space="preserve">NGS panels were found to be superior to sequential single-gene testing </w:t>
            </w:r>
            <w:r w:rsidR="007A00F4">
              <w:rPr>
                <w:rFonts w:eastAsia="Calibri" w:cs="Times New Roman"/>
              </w:rPr>
              <w:t xml:space="preserve">in </w:t>
            </w:r>
            <w:r>
              <w:rPr>
                <w:rFonts w:eastAsia="Calibri" w:cs="Times New Roman"/>
              </w:rPr>
              <w:t xml:space="preserve">detecting </w:t>
            </w:r>
            <w:r>
              <w:rPr>
                <w:rFonts w:eastAsia="Calibri" w:cs="Times New Roman"/>
                <w:i/>
              </w:rPr>
              <w:t xml:space="preserve">EGFR </w:t>
            </w:r>
            <w:r>
              <w:rPr>
                <w:rFonts w:eastAsia="Calibri" w:cs="Times New Roman"/>
              </w:rPr>
              <w:t xml:space="preserve">variants, due to a higher level of analytical sensitivity (i.e. finding in-scope variants at a low allelic frequency), and/or due to being more comprehensive (i.e. detecting variants outside of the scope of single-gene testing), </w:t>
            </w:r>
            <w:r w:rsidR="007A00F4">
              <w:rPr>
                <w:rFonts w:eastAsia="Calibri" w:cs="Times New Roman"/>
              </w:rPr>
              <w:t xml:space="preserve">out of which </w:t>
            </w:r>
            <w:r>
              <w:rPr>
                <w:rFonts w:eastAsia="Calibri" w:cs="Times New Roman"/>
              </w:rPr>
              <w:t xml:space="preserve">only some would be considered to confer sensitivity to </w:t>
            </w:r>
            <w:r>
              <w:rPr>
                <w:rFonts w:eastAsia="Calibri" w:cs="Times New Roman"/>
                <w:i/>
              </w:rPr>
              <w:t xml:space="preserve">EGFR </w:t>
            </w:r>
            <w:r>
              <w:rPr>
                <w:rFonts w:eastAsia="Calibri" w:cs="Times New Roman"/>
              </w:rPr>
              <w:t>tyrosine kinase inhibitors (TKIs). T</w:t>
            </w:r>
            <w:r w:rsidRPr="00DD2819">
              <w:rPr>
                <w:rFonts w:eastAsia="Calibri" w:cs="Times New Roman"/>
              </w:rPr>
              <w:t>he additional cases detected may not respond to targeted treatments to the same e</w:t>
            </w:r>
            <w:r>
              <w:rPr>
                <w:rFonts w:eastAsia="Calibri" w:cs="Times New Roman"/>
              </w:rPr>
              <w:t xml:space="preserve">xtent as those with common </w:t>
            </w:r>
            <w:r>
              <w:rPr>
                <w:rFonts w:eastAsia="Calibri" w:cs="Times New Roman"/>
                <w:i/>
              </w:rPr>
              <w:t>EGFR</w:t>
            </w:r>
            <w:r>
              <w:rPr>
                <w:rFonts w:eastAsia="Calibri" w:cs="Times New Roman"/>
              </w:rPr>
              <w:t xml:space="preserve"> variants (L858R and exon 19 deletions, or resistant variant T790M), or in those with higher variant allele frequency. </w:t>
            </w:r>
          </w:p>
          <w:p w14:paraId="754CF2B8" w14:textId="77777777" w:rsidR="00AA589A" w:rsidRPr="00DD2819" w:rsidRDefault="00AA589A" w:rsidP="00AA589A">
            <w:pPr>
              <w:pStyle w:val="ListParagraph"/>
              <w:numPr>
                <w:ilvl w:val="0"/>
                <w:numId w:val="25"/>
              </w:numPr>
              <w:spacing w:before="0" w:line="256" w:lineRule="auto"/>
              <w:rPr>
                <w:rFonts w:eastAsia="Calibri" w:cs="Times New Roman"/>
              </w:rPr>
            </w:pPr>
            <w:r>
              <w:rPr>
                <w:rFonts w:eastAsia="Calibri" w:cs="Times New Roman"/>
              </w:rPr>
              <w:t xml:space="preserve">There was no comparative evidence to support or negate a conclusion that NGS panel testing would reduce the rate of tissue rebiopsy, as international evidence (where liquid biopsies are recommended if insufficient tissue is available) is not applicable to the Australian setting (where PBS restrictions require alterations to be found in tumour tissue). Note, liquid biopsies are out of scope of this application. </w:t>
            </w:r>
          </w:p>
          <w:p w14:paraId="24086EA9" w14:textId="77777777" w:rsidR="00AA589A" w:rsidRPr="00DB3E00" w:rsidRDefault="00AA589A" w:rsidP="00AA589A">
            <w:pPr>
              <w:rPr>
                <w:b/>
              </w:rPr>
            </w:pPr>
            <w:r w:rsidRPr="00CE28E3">
              <w:rPr>
                <w:b/>
              </w:rPr>
              <w:lastRenderedPageBreak/>
              <w:t>Economic issues:</w:t>
            </w:r>
          </w:p>
          <w:p w14:paraId="728A1FEF" w14:textId="77777777" w:rsidR="00AA589A" w:rsidRPr="00D61853" w:rsidRDefault="00AA589A" w:rsidP="00AA589A">
            <w:pPr>
              <w:pStyle w:val="ListParagraph"/>
              <w:numPr>
                <w:ilvl w:val="0"/>
                <w:numId w:val="25"/>
              </w:numPr>
              <w:spacing w:before="0" w:line="256" w:lineRule="auto"/>
              <w:rPr>
                <w:rFonts w:eastAsia="Calibri" w:cs="Times New Roman"/>
              </w:rPr>
            </w:pPr>
            <w:r w:rsidRPr="00D61853">
              <w:rPr>
                <w:rFonts w:eastAsia="Calibri" w:cs="Times New Roman"/>
              </w:rPr>
              <w:t xml:space="preserve">Small gene panel testing was associated with a small incremental cost per patient receiving testing. This was driven by the cost of proposed panel testing, and was offset by a reduction in use and cost of current tests and rebiopsies. Incremental costs were driven by the assumption that RNA panels cannot be used where </w:t>
            </w:r>
            <w:r w:rsidRPr="004A3184">
              <w:rPr>
                <w:rFonts w:eastAsia="Calibri" w:cs="Times New Roman"/>
                <w:i/>
              </w:rPr>
              <w:t>KRAS</w:t>
            </w:r>
            <w:r w:rsidRPr="00D61853">
              <w:rPr>
                <w:rFonts w:eastAsia="Calibri" w:cs="Times New Roman"/>
              </w:rPr>
              <w:t xml:space="preserve"> and </w:t>
            </w:r>
            <w:r w:rsidRPr="004A3184">
              <w:rPr>
                <w:rFonts w:eastAsia="Calibri" w:cs="Times New Roman"/>
                <w:i/>
              </w:rPr>
              <w:t>BRAF</w:t>
            </w:r>
            <w:r w:rsidRPr="00D61853">
              <w:rPr>
                <w:rFonts w:eastAsia="Calibri" w:cs="Times New Roman"/>
              </w:rPr>
              <w:t xml:space="preserve"> activating variants are identified (which do not have associated targeted therapies) and assumptions regarding the use and cost of rebiopsy.</w:t>
            </w:r>
          </w:p>
          <w:p w14:paraId="37F80C29" w14:textId="7C98F674" w:rsidR="00AA589A" w:rsidRPr="00D61853" w:rsidRDefault="00AA589A" w:rsidP="00AA589A">
            <w:pPr>
              <w:pStyle w:val="ListParagraph"/>
              <w:numPr>
                <w:ilvl w:val="0"/>
                <w:numId w:val="25"/>
              </w:numPr>
              <w:spacing w:before="0" w:line="256" w:lineRule="auto"/>
              <w:rPr>
                <w:rFonts w:eastAsia="Calibri" w:cs="Times New Roman"/>
              </w:rPr>
            </w:pPr>
            <w:r w:rsidRPr="00D61853">
              <w:rPr>
                <w:rFonts w:eastAsia="Calibri" w:cs="Times New Roman"/>
              </w:rPr>
              <w:t xml:space="preserve">While small gene panel testing was associated with </w:t>
            </w:r>
            <w:r>
              <w:rPr>
                <w:rFonts w:eastAsia="Calibri" w:cs="Times New Roman"/>
              </w:rPr>
              <w:t xml:space="preserve">identifying </w:t>
            </w:r>
            <w:r w:rsidRPr="00D61853">
              <w:rPr>
                <w:rFonts w:eastAsia="Calibri" w:cs="Times New Roman"/>
              </w:rPr>
              <w:t xml:space="preserve">more patients with actionable variants eligible for targeted therapy, this was driven by an increase in patients with </w:t>
            </w:r>
            <w:r>
              <w:rPr>
                <w:rFonts w:eastAsia="Calibri" w:cs="Times New Roman"/>
              </w:rPr>
              <w:t>incremental</w:t>
            </w:r>
            <w:r w:rsidRPr="00D61853">
              <w:rPr>
                <w:rFonts w:eastAsia="Calibri" w:cs="Times New Roman"/>
              </w:rPr>
              <w:t xml:space="preserve"> actionable variants identified</w:t>
            </w:r>
            <w:r>
              <w:rPr>
                <w:rFonts w:eastAsia="Calibri" w:cs="Times New Roman"/>
              </w:rPr>
              <w:t xml:space="preserve">, including </w:t>
            </w:r>
            <w:r w:rsidRPr="00F467E2">
              <w:t xml:space="preserve">“in scope” variants </w:t>
            </w:r>
            <w:r>
              <w:t xml:space="preserve">due to detection </w:t>
            </w:r>
            <w:r w:rsidR="000208FE">
              <w:t>at</w:t>
            </w:r>
            <w:r>
              <w:t xml:space="preserve"> lower variant allelic frequency </w:t>
            </w:r>
            <w:r w:rsidRPr="00F467E2">
              <w:t>and “beyond restriction” variants</w:t>
            </w:r>
            <w:r>
              <w:t>, which were unable to be distinguished from one another in the analysis</w:t>
            </w:r>
            <w:r w:rsidRPr="00D61853">
              <w:rPr>
                <w:rFonts w:eastAsia="Calibri" w:cs="Times New Roman"/>
              </w:rPr>
              <w:t xml:space="preserve">. </w:t>
            </w:r>
            <w:r>
              <w:rPr>
                <w:rFonts w:eastAsia="Calibri" w:cs="Times New Roman"/>
              </w:rPr>
              <w:t xml:space="preserve">Interpretation of this outcome is therefore difficult due to the uncertain effectiveness, and therefore cost-effectiveness, of targeted therapy in </w:t>
            </w:r>
            <w:r w:rsidRPr="00D61853">
              <w:rPr>
                <w:rFonts w:eastAsia="Calibri" w:cs="Times New Roman"/>
              </w:rPr>
              <w:t>these additional cases.</w:t>
            </w:r>
          </w:p>
          <w:p w14:paraId="41F74FF2" w14:textId="182C91F0" w:rsidR="00AA589A" w:rsidRPr="000D0F0C" w:rsidRDefault="00AA589A" w:rsidP="00AA589A">
            <w:pPr>
              <w:pStyle w:val="ListParagraph"/>
              <w:numPr>
                <w:ilvl w:val="0"/>
                <w:numId w:val="25"/>
              </w:numPr>
              <w:spacing w:before="0" w:line="256" w:lineRule="auto"/>
              <w:rPr>
                <w:rFonts w:eastAsia="Calibri" w:cs="Times New Roman"/>
              </w:rPr>
            </w:pPr>
            <w:r w:rsidRPr="00D61853">
              <w:rPr>
                <w:rFonts w:eastAsia="Calibri" w:cs="Times New Roman"/>
              </w:rPr>
              <w:t xml:space="preserve">Given the uncertainties in the effectiveness of targeted therapies in patients with </w:t>
            </w:r>
            <w:r>
              <w:rPr>
                <w:rFonts w:eastAsia="Calibri" w:cs="Times New Roman"/>
              </w:rPr>
              <w:t>incremental</w:t>
            </w:r>
            <w:r w:rsidRPr="00D61853">
              <w:rPr>
                <w:rFonts w:eastAsia="Calibri" w:cs="Times New Roman"/>
              </w:rPr>
              <w:t xml:space="preserve"> actionable variants identified, the model presented </w:t>
            </w:r>
            <w:r>
              <w:rPr>
                <w:rFonts w:eastAsia="Calibri" w:cs="Times New Roman"/>
              </w:rPr>
              <w:t xml:space="preserve">was </w:t>
            </w:r>
            <w:r w:rsidRPr="00D61853">
              <w:rPr>
                <w:rFonts w:eastAsia="Calibri" w:cs="Times New Roman"/>
              </w:rPr>
              <w:t>truncated at the point of treatment.</w:t>
            </w:r>
          </w:p>
          <w:p w14:paraId="47C2C297" w14:textId="77777777" w:rsidR="00AA589A" w:rsidRDefault="00AA589A" w:rsidP="00AA589A">
            <w:pPr>
              <w:rPr>
                <w:b/>
              </w:rPr>
            </w:pPr>
            <w:r w:rsidRPr="00CE28E3">
              <w:rPr>
                <w:b/>
              </w:rPr>
              <w:t>Financial issues:</w:t>
            </w:r>
          </w:p>
          <w:p w14:paraId="15B0063B" w14:textId="77777777" w:rsidR="00AA589A" w:rsidRDefault="00AA589A" w:rsidP="00AA589A">
            <w:pPr>
              <w:pStyle w:val="ListParagraph"/>
              <w:numPr>
                <w:ilvl w:val="0"/>
                <w:numId w:val="25"/>
              </w:numPr>
              <w:spacing w:before="0" w:line="256" w:lineRule="auto"/>
              <w:rPr>
                <w:rFonts w:eastAsia="Calibri" w:cs="Times New Roman"/>
              </w:rPr>
            </w:pPr>
            <w:r w:rsidRPr="004E63D6">
              <w:rPr>
                <w:rFonts w:eastAsia="Calibri" w:cs="Times New Roman"/>
              </w:rPr>
              <w:t xml:space="preserve">A market-share approach based on current utilisation of </w:t>
            </w:r>
            <w:r w:rsidRPr="00340DFF">
              <w:rPr>
                <w:rFonts w:eastAsia="Calibri" w:cs="Times New Roman"/>
                <w:i/>
              </w:rPr>
              <w:t>EGFR</w:t>
            </w:r>
            <w:r w:rsidRPr="004E63D6">
              <w:rPr>
                <w:rFonts w:eastAsia="Calibri" w:cs="Times New Roman"/>
              </w:rPr>
              <w:t xml:space="preserve"> services was used to estimate the financial impact of listing small gene panel testing on the MBS. No market growth was assumed. The analysis was sensitive to variations in the distribution of use of combined or sequential small gene panels and whether separate RNA panels are allowed in those found to have </w:t>
            </w:r>
            <w:r w:rsidRPr="00340DFF">
              <w:rPr>
                <w:rFonts w:eastAsia="Calibri" w:cs="Times New Roman"/>
                <w:i/>
              </w:rPr>
              <w:t>KRAS</w:t>
            </w:r>
            <w:r w:rsidRPr="004E63D6">
              <w:rPr>
                <w:rFonts w:eastAsia="Calibri" w:cs="Times New Roman"/>
              </w:rPr>
              <w:t xml:space="preserve"> or </w:t>
            </w:r>
            <w:r w:rsidRPr="00340DFF">
              <w:rPr>
                <w:rFonts w:eastAsia="Calibri" w:cs="Times New Roman"/>
                <w:i/>
              </w:rPr>
              <w:t>BRAF</w:t>
            </w:r>
            <w:r w:rsidRPr="004E63D6">
              <w:rPr>
                <w:rFonts w:eastAsia="Calibri" w:cs="Times New Roman"/>
              </w:rPr>
              <w:t xml:space="preserve"> activating variants.</w:t>
            </w:r>
          </w:p>
          <w:p w14:paraId="2407BC07" w14:textId="36F87F6D" w:rsidR="00AA589A" w:rsidRPr="008967C4" w:rsidRDefault="00AA589A" w:rsidP="00AA589A">
            <w:pPr>
              <w:pStyle w:val="ListParagraph"/>
              <w:numPr>
                <w:ilvl w:val="0"/>
                <w:numId w:val="25"/>
              </w:numPr>
              <w:spacing w:before="0" w:line="256" w:lineRule="auto"/>
              <w:rPr>
                <w:b/>
                <w:bCs/>
                <w:sz w:val="24"/>
                <w:szCs w:val="24"/>
              </w:rPr>
            </w:pPr>
            <w:r>
              <w:t>If there is substantial growth in the market due to the listing of small gene panels (e.g. if some testing currently is being funded through the state system, and this shifts to the MBS), then the net impact to the MBS may be higher. However</w:t>
            </w:r>
            <w:r w:rsidR="003B62CF">
              <w:t>,</w:t>
            </w:r>
            <w:r>
              <w:t xml:space="preserve"> the extent of this shift is unknown.</w:t>
            </w:r>
          </w:p>
        </w:tc>
      </w:tr>
      <w:bookmarkEnd w:id="6"/>
    </w:tbl>
    <w:p w14:paraId="5F91530E" w14:textId="77777777" w:rsidR="00E76AE0" w:rsidRDefault="00E76AE0" w:rsidP="00223664">
      <w:r>
        <w:lastRenderedPageBreak/>
        <w:br w:type="page"/>
      </w:r>
    </w:p>
    <w:p w14:paraId="7EAA7262" w14:textId="77335A16" w:rsidR="00772829" w:rsidRPr="00CE28E3" w:rsidRDefault="00C36633" w:rsidP="00C36633">
      <w:pPr>
        <w:pStyle w:val="Heading2"/>
        <w:numPr>
          <w:ilvl w:val="0"/>
          <w:numId w:val="0"/>
        </w:numPr>
      </w:pPr>
      <w:bookmarkStart w:id="7" w:name="_Toc148531117"/>
      <w:r>
        <w:lastRenderedPageBreak/>
        <w:t>1.</w:t>
      </w:r>
      <w:r>
        <w:tab/>
      </w:r>
      <w:r w:rsidR="00772829" w:rsidRPr="00CE28E3">
        <w:t xml:space="preserve">Purpose </w:t>
      </w:r>
      <w:r w:rsidR="00772829" w:rsidRPr="00CE28E3">
        <w:rPr>
          <w:szCs w:val="32"/>
        </w:rPr>
        <w:t>of</w:t>
      </w:r>
      <w:r w:rsidR="00772829" w:rsidRPr="00CE28E3">
        <w:t xml:space="preserve"> application</w:t>
      </w:r>
      <w:bookmarkEnd w:id="7"/>
    </w:p>
    <w:p w14:paraId="691D7AFA" w14:textId="066B89A9" w:rsidR="00772829" w:rsidRDefault="00772829" w:rsidP="00772829">
      <w:pPr>
        <w:spacing w:after="240"/>
        <w:rPr>
          <w:iCs/>
        </w:rPr>
      </w:pPr>
      <w:bookmarkStart w:id="8" w:name="_Hlk69734469"/>
      <w:r w:rsidRPr="009A3778">
        <w:rPr>
          <w:iCs/>
        </w:rPr>
        <w:t>An application re</w:t>
      </w:r>
      <w:r w:rsidRPr="0075288D">
        <w:rPr>
          <w:iCs/>
        </w:rPr>
        <w:t xml:space="preserve">questing Medicare Benefits Schedule (MBS) listing </w:t>
      </w:r>
      <w:r w:rsidR="0075288D" w:rsidRPr="0075288D">
        <w:rPr>
          <w:iCs/>
        </w:rPr>
        <w:t>for</w:t>
      </w:r>
      <w:r w:rsidR="0075288D">
        <w:rPr>
          <w:iCs/>
        </w:rPr>
        <w:t xml:space="preserve"> small next generation sequencing (NGS) panels</w:t>
      </w:r>
      <w:r w:rsidRPr="009A3778">
        <w:rPr>
          <w:iCs/>
        </w:rPr>
        <w:t xml:space="preserve"> for </w:t>
      </w:r>
      <w:r w:rsidR="0075288D">
        <w:rPr>
          <w:iCs/>
        </w:rPr>
        <w:t>biomarker testing of patients with non-squamous (or histology not otherwise specified) non-small cell lung cancer (NSCLC)</w:t>
      </w:r>
      <w:r w:rsidR="006908CC">
        <w:rPr>
          <w:iCs/>
        </w:rPr>
        <w:t>,</w:t>
      </w:r>
      <w:r w:rsidR="0075288D">
        <w:rPr>
          <w:iCs/>
        </w:rPr>
        <w:t xml:space="preserve"> </w:t>
      </w:r>
      <w:r w:rsidRPr="009A3778">
        <w:rPr>
          <w:iCs/>
        </w:rPr>
        <w:t xml:space="preserve">was received from the </w:t>
      </w:r>
      <w:r w:rsidR="0075288D">
        <w:rPr>
          <w:iCs/>
        </w:rPr>
        <w:t>Royal College of Pathologists of Australasia (RCPA)</w:t>
      </w:r>
      <w:r w:rsidRPr="009A3778">
        <w:rPr>
          <w:iCs/>
        </w:rPr>
        <w:t xml:space="preserve"> by the Department of Health</w:t>
      </w:r>
      <w:r w:rsidR="008A5CBE">
        <w:rPr>
          <w:iCs/>
        </w:rPr>
        <w:t xml:space="preserve"> and Aged Care</w:t>
      </w:r>
      <w:r w:rsidRPr="009A3778">
        <w:rPr>
          <w:iCs/>
        </w:rPr>
        <w:t>.</w:t>
      </w:r>
      <w:r w:rsidR="002F0F80">
        <w:rPr>
          <w:iCs/>
        </w:rPr>
        <w:t xml:space="preserve"> </w:t>
      </w:r>
      <w:r w:rsidR="00EF20C8">
        <w:rPr>
          <w:iCs/>
        </w:rPr>
        <w:t>In this case, b</w:t>
      </w:r>
      <w:r w:rsidR="002F0F80">
        <w:rPr>
          <w:iCs/>
        </w:rPr>
        <w:t xml:space="preserve">iomarker testing is for the purposes of determining suitability for targeted treatments </w:t>
      </w:r>
      <w:r w:rsidR="00EF20C8">
        <w:rPr>
          <w:iCs/>
        </w:rPr>
        <w:t xml:space="preserve">for non-squamous NSCLC, </w:t>
      </w:r>
      <w:r w:rsidR="002F0F80">
        <w:rPr>
          <w:iCs/>
        </w:rPr>
        <w:t xml:space="preserve">available through the </w:t>
      </w:r>
      <w:r w:rsidR="00EF20C8">
        <w:rPr>
          <w:iCs/>
        </w:rPr>
        <w:t>Pharmaceutical Benefits Scheme (PBS)</w:t>
      </w:r>
      <w:r w:rsidR="002F0F80">
        <w:rPr>
          <w:iCs/>
        </w:rPr>
        <w:t>.</w:t>
      </w:r>
    </w:p>
    <w:p w14:paraId="5026B71F" w14:textId="792CD59D" w:rsidR="0075288D" w:rsidRDefault="0075288D" w:rsidP="00772829">
      <w:pPr>
        <w:spacing w:after="240"/>
        <w:rPr>
          <w:iCs/>
        </w:rPr>
      </w:pPr>
      <w:r>
        <w:rPr>
          <w:iCs/>
        </w:rPr>
        <w:t xml:space="preserve">The </w:t>
      </w:r>
      <w:r w:rsidR="006908CC">
        <w:rPr>
          <w:iCs/>
        </w:rPr>
        <w:t xml:space="preserve">clinical </w:t>
      </w:r>
      <w:r>
        <w:rPr>
          <w:iCs/>
        </w:rPr>
        <w:t xml:space="preserve">claim is that the use of either a small combined deoxyribonucleic acid (DNA) and ribonucleic acid (RNA) NGS panel, or sequential use of a DNA panel and (if required) an RNA panel, would be superior in effectiveness and safety compared to sequential single-gene testing for biomarkers in patients with NSCLC. </w:t>
      </w:r>
      <w:r w:rsidR="006908CC">
        <w:rPr>
          <w:iCs/>
        </w:rPr>
        <w:t>This is due to a small panel (or two) making more efficient use of tumour tissue, resulting in fewer re-biopsies being required, a more rapid turnaround time, and faster initiation of targeted treatment.</w:t>
      </w:r>
    </w:p>
    <w:p w14:paraId="3EE00E3C" w14:textId="04993073" w:rsidR="006908CC" w:rsidRPr="009A3778" w:rsidRDefault="006908CC" w:rsidP="00772829">
      <w:pPr>
        <w:spacing w:after="240"/>
        <w:rPr>
          <w:iCs/>
        </w:rPr>
      </w:pPr>
      <w:r>
        <w:rPr>
          <w:iCs/>
        </w:rPr>
        <w:t xml:space="preserve">This Department Contracted Assessment Report (DCAR) assessed the safety, effectiveness, and cost-effectiveness of small NGS panels compared to sequential single gene testing, to provide the evidence-base for the Medical Services Advisory Committee (MSAC) to </w:t>
      </w:r>
      <w:r w:rsidR="00225941">
        <w:rPr>
          <w:iCs/>
        </w:rPr>
        <w:t>decide its advice</w:t>
      </w:r>
      <w:r>
        <w:rPr>
          <w:iCs/>
        </w:rPr>
        <w:t xml:space="preserve"> regarding funding on the MBS.</w:t>
      </w:r>
    </w:p>
    <w:p w14:paraId="6710B69D" w14:textId="3E0B6B28" w:rsidR="00772829" w:rsidRDefault="00C36633" w:rsidP="002A18BE">
      <w:pPr>
        <w:pStyle w:val="Heading2"/>
        <w:numPr>
          <w:ilvl w:val="0"/>
          <w:numId w:val="0"/>
        </w:numPr>
      </w:pPr>
      <w:bookmarkStart w:id="9" w:name="_Toc148531118"/>
      <w:bookmarkEnd w:id="8"/>
      <w:r>
        <w:t>2.</w:t>
      </w:r>
      <w:r>
        <w:tab/>
      </w:r>
      <w:r w:rsidR="00772829" w:rsidRPr="00CE28E3">
        <w:t>Background</w:t>
      </w:r>
      <w:bookmarkEnd w:id="9"/>
    </w:p>
    <w:p w14:paraId="0A94624B" w14:textId="70B500DE" w:rsidR="00E45C27" w:rsidRDefault="009E07C2" w:rsidP="006908CC">
      <w:r>
        <w:t>MSAC has not previously considered any panel testing for NSCLC.</w:t>
      </w:r>
    </w:p>
    <w:p w14:paraId="0235C8D0" w14:textId="6F79CBAA" w:rsidR="006908CC" w:rsidRDefault="006908CC" w:rsidP="006908CC">
      <w:r>
        <w:t xml:space="preserve">A similar </w:t>
      </w:r>
      <w:r w:rsidR="001F5425">
        <w:t xml:space="preserve">assessment for a somatic tumour panel test </w:t>
      </w:r>
      <w:r w:rsidR="001D0109">
        <w:t xml:space="preserve">(that was not histology-specific) </w:t>
      </w:r>
      <w:r w:rsidR="001F5425">
        <w:t>was initiated in 2018 (</w:t>
      </w:r>
      <w:r w:rsidR="00CE7702">
        <w:t>MSAC assessment</w:t>
      </w:r>
      <w:r w:rsidR="001F5425">
        <w:t xml:space="preserve"> 1495), but was withdrawn prior to being considered by MSAC, as no single somatic tumour panel test could appropriately assess</w:t>
      </w:r>
      <w:r w:rsidR="00CE7702">
        <w:t xml:space="preserve"> epidermal growth factor receptor</w:t>
      </w:r>
      <w:r w:rsidR="001F5425">
        <w:t xml:space="preserve"> </w:t>
      </w:r>
      <w:r w:rsidR="00CE7702">
        <w:t>(</w:t>
      </w:r>
      <w:r w:rsidR="001F5425">
        <w:rPr>
          <w:i/>
        </w:rPr>
        <w:t>EGFR</w:t>
      </w:r>
      <w:r w:rsidR="00CE7702">
        <w:rPr>
          <w:i/>
        </w:rPr>
        <w:t>)</w:t>
      </w:r>
      <w:r w:rsidR="001F5425">
        <w:rPr>
          <w:i/>
        </w:rPr>
        <w:t xml:space="preserve">, </w:t>
      </w:r>
      <w:r w:rsidR="00CE7702">
        <w:t>anaplastic lymphoma kinase (</w:t>
      </w:r>
      <w:r w:rsidR="001F5425">
        <w:rPr>
          <w:i/>
        </w:rPr>
        <w:t>ALK</w:t>
      </w:r>
      <w:r w:rsidR="00CE7702">
        <w:rPr>
          <w:i/>
        </w:rPr>
        <w:t>)</w:t>
      </w:r>
      <w:r w:rsidR="001F5425">
        <w:rPr>
          <w:i/>
        </w:rPr>
        <w:t xml:space="preserve"> </w:t>
      </w:r>
      <w:r w:rsidR="001F5425">
        <w:t xml:space="preserve">and </w:t>
      </w:r>
      <w:r w:rsidR="00CE7702">
        <w:t>ROS proto-oncogene 1 (</w:t>
      </w:r>
      <w:r w:rsidR="001F5425">
        <w:rPr>
          <w:i/>
        </w:rPr>
        <w:t>ROS1</w:t>
      </w:r>
      <w:r w:rsidR="00CE7702">
        <w:rPr>
          <w:i/>
        </w:rPr>
        <w:t>)</w:t>
      </w:r>
      <w:r w:rsidR="001F5425">
        <w:t xml:space="preserve"> variants at the time. In </w:t>
      </w:r>
      <w:r w:rsidR="009E07C2">
        <w:t>the same year</w:t>
      </w:r>
      <w:r w:rsidR="001F5425">
        <w:t xml:space="preserve">, an application </w:t>
      </w:r>
      <w:r w:rsidR="005634F0">
        <w:t xml:space="preserve">(MSAC assessment 1634) </w:t>
      </w:r>
      <w:r w:rsidR="001F5425">
        <w:t xml:space="preserve">was also made by Roche Diagnostics for </w:t>
      </w:r>
      <w:r w:rsidR="00296E4F">
        <w:t xml:space="preserve">MBS listing of </w:t>
      </w:r>
      <w:r w:rsidR="001F5425">
        <w:t xml:space="preserve">a comprehensive gene panel </w:t>
      </w:r>
      <w:r w:rsidR="001D0109">
        <w:t xml:space="preserve">of over 300 genes </w:t>
      </w:r>
      <w:r w:rsidR="001F5425">
        <w:t>for use in squamous and non-squamous NSCLC, which was revised in 2020 to focus on non-squamous NSCLC</w:t>
      </w:r>
      <w:r w:rsidR="000056A4">
        <w:t>. During the PICO development</w:t>
      </w:r>
      <w:r w:rsidR="00656726">
        <w:t>,</w:t>
      </w:r>
      <w:r w:rsidR="000056A4">
        <w:t xml:space="preserve"> the applicant </w:t>
      </w:r>
      <w:r w:rsidR="005634F0">
        <w:t xml:space="preserve">for 1634 </w:t>
      </w:r>
      <w:r w:rsidR="000056A4">
        <w:t xml:space="preserve">nominated the application </w:t>
      </w:r>
      <w:r w:rsidR="00933A57">
        <w:t>would</w:t>
      </w:r>
      <w:r w:rsidR="000056A4">
        <w:t xml:space="preserve"> proceed as an ADAR </w:t>
      </w:r>
      <w:r w:rsidR="00933A57">
        <w:t>for</w:t>
      </w:r>
      <w:r w:rsidR="001F5425">
        <w:t xml:space="preserve"> consider</w:t>
      </w:r>
      <w:r w:rsidR="00933A57">
        <w:t>ation</w:t>
      </w:r>
      <w:r w:rsidR="001F5425">
        <w:t xml:space="preserve"> at a</w:t>
      </w:r>
      <w:r w:rsidR="005634F0">
        <w:t>n</w:t>
      </w:r>
      <w:r w:rsidR="001F5425">
        <w:t xml:space="preserve"> MSAC meeting in late 2022. </w:t>
      </w:r>
      <w:r w:rsidR="000056A4">
        <w:t>However, in May 2022</w:t>
      </w:r>
      <w:r w:rsidR="005634F0">
        <w:t>,</w:t>
      </w:r>
      <w:r w:rsidR="000056A4">
        <w:t xml:space="preserve"> the applicant</w:t>
      </w:r>
      <w:r w:rsidR="00933A57">
        <w:t xml:space="preserve"> notified </w:t>
      </w:r>
      <w:r w:rsidR="003C1B22">
        <w:t xml:space="preserve">the </w:t>
      </w:r>
      <w:r w:rsidR="006D342D">
        <w:t>D</w:t>
      </w:r>
      <w:r w:rsidR="003C1B22">
        <w:t xml:space="preserve">epartment </w:t>
      </w:r>
      <w:r w:rsidR="00933A57">
        <w:t xml:space="preserve">that </w:t>
      </w:r>
      <w:r w:rsidR="00FB6FE3">
        <w:t>it</w:t>
      </w:r>
      <w:r w:rsidR="00933A57">
        <w:t xml:space="preserve"> </w:t>
      </w:r>
      <w:r w:rsidR="00296E4F">
        <w:t>would</w:t>
      </w:r>
      <w:r w:rsidR="00933A57">
        <w:t xml:space="preserve"> be </w:t>
      </w:r>
      <w:r w:rsidR="00296E4F">
        <w:t xml:space="preserve">delaying the submission of its </w:t>
      </w:r>
      <w:r w:rsidR="00933A57">
        <w:t>ADAR.</w:t>
      </w:r>
    </w:p>
    <w:p w14:paraId="2FA3E7A2" w14:textId="2E871BBD" w:rsidR="009E07C2" w:rsidRDefault="009E07C2" w:rsidP="009E07C2">
      <w:pPr>
        <w:pStyle w:val="NormalBeforeBullet"/>
      </w:pPr>
      <w:r>
        <w:t xml:space="preserve">MSAC </w:t>
      </w:r>
      <w:r w:rsidR="002C2B3D">
        <w:t xml:space="preserve">has </w:t>
      </w:r>
      <w:r>
        <w:t>considered individual single gene tests for biomarker assessment in patients with NSCLC, and in November 2017</w:t>
      </w:r>
      <w:r w:rsidRPr="006A5183">
        <w:rPr>
          <w:rStyle w:val="QuoteChar"/>
        </w:rPr>
        <w:t xml:space="preserve">, “MSAC noted that the sequential testing of EGFR, ALK and ROS1 yield mutually exclusive treatment pathways and that sequential testing wastes tissue sample, time and is more expensive than a single panel of tests. MSAC recommended that the Department conduct a cost-utility review of gene panel and/or next generation sequencing (NGS) test options to inform these first-line therapy options”. “MSAC advised that any MBS funding should be based on a gene panel or NGS test of equivalent or better analytical performance to sequential IHC and FISH testing and assurance that the average gene panel or NGS test is no more costly than the average cost of the sequential testing that it would replace. MSAC noted that overall testing may still require more than one gene panel test due to differences in lung cancer gene aberrations as somatic mutations are tested in genomic DNA, whereas gene fusions (such as ROS1) are usually tested in cDNA </w:t>
      </w:r>
      <w:r w:rsidR="008142C9">
        <w:rPr>
          <w:rStyle w:val="QuoteChar"/>
        </w:rPr>
        <w:t xml:space="preserve">[complementary DNA] </w:t>
      </w:r>
      <w:r w:rsidRPr="006A5183">
        <w:rPr>
          <w:rStyle w:val="QuoteChar"/>
        </w:rPr>
        <w:t>prepared from RNA.”</w:t>
      </w:r>
      <w:r w:rsidRPr="002510F0">
        <w:rPr>
          <w:lang w:val="en-US"/>
        </w:rPr>
        <w:t xml:space="preserve"> (</w:t>
      </w:r>
      <w:hyperlink r:id="rId20" w:history="1">
        <w:r w:rsidRPr="009E07C2">
          <w:rPr>
            <w:rStyle w:val="Hyperlink"/>
            <w:lang w:val="en-US"/>
          </w:rPr>
          <w:t>Public Summary Document, ADAR 1454</w:t>
        </w:r>
      </w:hyperlink>
      <w:r>
        <w:rPr>
          <w:lang w:val="en-US"/>
        </w:rPr>
        <w:t xml:space="preserve">, </w:t>
      </w:r>
      <w:r w:rsidRPr="002510F0">
        <w:rPr>
          <w:lang w:val="en-US"/>
        </w:rPr>
        <w:t>November 2017, p3).</w:t>
      </w:r>
    </w:p>
    <w:p w14:paraId="2C527706" w14:textId="58DA9A15" w:rsidR="00F57885" w:rsidRPr="00310C3F" w:rsidRDefault="009E07C2" w:rsidP="009E07C2">
      <w:r>
        <w:t>A summary of how th</w:t>
      </w:r>
      <w:r w:rsidR="008142C9">
        <w:t>is</w:t>
      </w:r>
      <w:r>
        <w:t xml:space="preserve"> DCAR </w:t>
      </w:r>
      <w:r w:rsidR="008142C9">
        <w:t xml:space="preserve">has </w:t>
      </w:r>
      <w:r>
        <w:t>addresse</w:t>
      </w:r>
      <w:r w:rsidR="007C57E1">
        <w:t>d</w:t>
      </w:r>
      <w:r>
        <w:t xml:space="preserve"> the suggestions by MSAC is shown in </w:t>
      </w:r>
      <w:r>
        <w:fldChar w:fldCharType="begin"/>
      </w:r>
      <w:r>
        <w:instrText xml:space="preserve"> REF _Ref69480768 \h </w:instrText>
      </w:r>
      <w:r>
        <w:fldChar w:fldCharType="separate"/>
      </w:r>
      <w:r w:rsidR="00C857F3" w:rsidRPr="00CE28E3">
        <w:t>Table</w:t>
      </w:r>
      <w:r w:rsidR="00C857F3">
        <w:t> </w:t>
      </w:r>
      <w:r w:rsidR="00C857F3">
        <w:rPr>
          <w:noProof/>
        </w:rPr>
        <w:t>1</w:t>
      </w:r>
      <w:r>
        <w:fldChar w:fldCharType="end"/>
      </w:r>
      <w:r>
        <w:t>.</w:t>
      </w:r>
      <w:bookmarkStart w:id="10" w:name="_Hlk69734494"/>
    </w:p>
    <w:p w14:paraId="6EC12EDF" w14:textId="7FD87B89" w:rsidR="0068682C" w:rsidRPr="00CE28E3" w:rsidRDefault="0068682C" w:rsidP="0068682C">
      <w:pPr>
        <w:pStyle w:val="Caption"/>
      </w:pPr>
      <w:bookmarkStart w:id="11" w:name="_Ref69480768"/>
      <w:bookmarkStart w:id="12" w:name="_Hlk69734557"/>
      <w:bookmarkEnd w:id="10"/>
      <w:r w:rsidRPr="00CE28E3">
        <w:lastRenderedPageBreak/>
        <w:t>Table</w:t>
      </w:r>
      <w:r w:rsidR="004A4FDF">
        <w:t> </w:t>
      </w:r>
      <w:fldSimple w:instr=" SEQ Table \* ARABIC ">
        <w:r w:rsidR="00C857F3">
          <w:rPr>
            <w:noProof/>
          </w:rPr>
          <w:t>1</w:t>
        </w:r>
      </w:fldSimple>
      <w:bookmarkEnd w:id="11"/>
      <w:r w:rsidRPr="00CE28E3">
        <w:tab/>
        <w:t>Summary of key matters of concern</w:t>
      </w:r>
      <w:r w:rsidR="009E07C2">
        <w:t xml:space="preserve"> from MSAC 1454 PSD, November 2017, p3</w:t>
      </w:r>
    </w:p>
    <w:tbl>
      <w:tblPr>
        <w:tblStyle w:val="TableGrid1"/>
        <w:tblW w:w="5000" w:type="pct"/>
        <w:tblLook w:val="04A0" w:firstRow="1" w:lastRow="0" w:firstColumn="1" w:lastColumn="0" w:noHBand="0" w:noVBand="1"/>
        <w:tblCaption w:val="Summary of key matters of concern from MSAC 1454 PSD"/>
        <w:tblDescription w:val="A summary of the issues that MSAC raised in the Public Summary Document for MSAC 1454, and how they are addressed in the DCAR"/>
      </w:tblPr>
      <w:tblGrid>
        <w:gridCol w:w="1414"/>
        <w:gridCol w:w="3969"/>
        <w:gridCol w:w="3633"/>
      </w:tblGrid>
      <w:tr w:rsidR="00F57885" w:rsidRPr="00CE28E3" w14:paraId="2BDCC27B" w14:textId="77777777" w:rsidTr="003515CE">
        <w:trPr>
          <w:cnfStyle w:val="100000000000" w:firstRow="1" w:lastRow="0" w:firstColumn="0" w:lastColumn="0" w:oddVBand="0" w:evenVBand="0" w:oddHBand="0" w:evenHBand="0" w:firstRowFirstColumn="0" w:firstRowLastColumn="0" w:lastRowFirstColumn="0" w:lastRowLastColumn="0"/>
          <w:cantSplit/>
          <w:tblHeader/>
        </w:trPr>
        <w:tc>
          <w:tcPr>
            <w:tcW w:w="784" w:type="pct"/>
            <w:shd w:val="clear" w:color="auto" w:fill="auto"/>
          </w:tcPr>
          <w:p w14:paraId="58F6A808" w14:textId="77777777" w:rsidR="00F57885" w:rsidRPr="00CE28E3" w:rsidRDefault="00F57885" w:rsidP="00824458">
            <w:pPr>
              <w:pStyle w:val="In-tableHeading"/>
            </w:pPr>
            <w:bookmarkStart w:id="13" w:name="ColumnTitle_Table1"/>
            <w:bookmarkStart w:id="14" w:name="_Hlk68275590"/>
            <w:bookmarkEnd w:id="13"/>
            <w:r w:rsidRPr="00CE28E3">
              <w:t>Component</w:t>
            </w:r>
          </w:p>
        </w:tc>
        <w:tc>
          <w:tcPr>
            <w:tcW w:w="2201" w:type="pct"/>
            <w:shd w:val="clear" w:color="auto" w:fill="auto"/>
          </w:tcPr>
          <w:p w14:paraId="09992FB9" w14:textId="77777777" w:rsidR="00F57885" w:rsidRPr="00CE28E3" w:rsidRDefault="00F57885" w:rsidP="00824458">
            <w:pPr>
              <w:pStyle w:val="In-tableHeading"/>
            </w:pPr>
            <w:r w:rsidRPr="00CE28E3">
              <w:t>Matter of concern</w:t>
            </w:r>
          </w:p>
        </w:tc>
        <w:tc>
          <w:tcPr>
            <w:tcW w:w="2015" w:type="pct"/>
            <w:shd w:val="clear" w:color="auto" w:fill="auto"/>
          </w:tcPr>
          <w:p w14:paraId="54C88680" w14:textId="77777777" w:rsidR="00F57885" w:rsidRPr="00CE28E3" w:rsidRDefault="00F57885" w:rsidP="00824458">
            <w:pPr>
              <w:pStyle w:val="In-tableHeading"/>
            </w:pPr>
            <w:r w:rsidRPr="00CE28E3">
              <w:t>How the current assessment report addresses it</w:t>
            </w:r>
          </w:p>
        </w:tc>
      </w:tr>
      <w:tr w:rsidR="009E07C2" w:rsidRPr="00CE28E3" w14:paraId="0D0A7682" w14:textId="77777777" w:rsidTr="003515CE">
        <w:trPr>
          <w:cantSplit/>
        </w:trPr>
        <w:tc>
          <w:tcPr>
            <w:tcW w:w="784" w:type="pct"/>
          </w:tcPr>
          <w:p w14:paraId="4F1DA453" w14:textId="0B1168ED" w:rsidR="009E07C2" w:rsidRPr="00CE28E3" w:rsidRDefault="009E07C2" w:rsidP="009E07C2">
            <w:pPr>
              <w:pStyle w:val="TableText"/>
            </w:pPr>
            <w:r>
              <w:rPr>
                <w:lang w:val="en-US"/>
              </w:rPr>
              <w:t>Overarching DCAR</w:t>
            </w:r>
          </w:p>
        </w:tc>
        <w:tc>
          <w:tcPr>
            <w:tcW w:w="2201" w:type="pct"/>
          </w:tcPr>
          <w:p w14:paraId="3F35F478" w14:textId="48A200C9" w:rsidR="009E07C2" w:rsidRPr="00CE28E3" w:rsidRDefault="009E07C2" w:rsidP="009E07C2">
            <w:pPr>
              <w:pStyle w:val="TableText"/>
            </w:pPr>
            <w:r w:rsidRPr="007209B2">
              <w:rPr>
                <w:lang w:val="en-US"/>
              </w:rPr>
              <w:t xml:space="preserve">MSAC recommended that the Department conduct a cost-utility review of gene panel </w:t>
            </w:r>
            <w:r>
              <w:rPr>
                <w:lang w:val="en-US"/>
              </w:rPr>
              <w:t xml:space="preserve">and/or next generation sequencing (NGS) </w:t>
            </w:r>
            <w:r w:rsidRPr="007209B2">
              <w:rPr>
                <w:lang w:val="en-US"/>
              </w:rPr>
              <w:t>test</w:t>
            </w:r>
            <w:r>
              <w:rPr>
                <w:lang w:val="en-US"/>
              </w:rPr>
              <w:t xml:space="preserve"> options to inform these first-line therapy option.</w:t>
            </w:r>
          </w:p>
        </w:tc>
        <w:tc>
          <w:tcPr>
            <w:tcW w:w="2015" w:type="pct"/>
            <w:vAlign w:val="center"/>
          </w:tcPr>
          <w:p w14:paraId="248C1ED5" w14:textId="7E5BBD53" w:rsidR="007C57E1" w:rsidRDefault="009E07C2" w:rsidP="009E07C2">
            <w:pPr>
              <w:pStyle w:val="TableText"/>
            </w:pPr>
            <w:r>
              <w:t>Addressed.</w:t>
            </w:r>
          </w:p>
          <w:p w14:paraId="13F08427" w14:textId="34F48B2D" w:rsidR="009E07C2" w:rsidRPr="00CE28E3" w:rsidRDefault="009E07C2" w:rsidP="009E07C2">
            <w:pPr>
              <w:pStyle w:val="TableText"/>
            </w:pPr>
            <w:r>
              <w:t>Current DCAR assessing small NGS panel.</w:t>
            </w:r>
          </w:p>
        </w:tc>
      </w:tr>
      <w:tr w:rsidR="009E07C2" w:rsidRPr="00CE28E3" w14:paraId="4C3B6A2C" w14:textId="77777777" w:rsidTr="003515CE">
        <w:trPr>
          <w:cantSplit/>
        </w:trPr>
        <w:tc>
          <w:tcPr>
            <w:tcW w:w="784" w:type="pct"/>
          </w:tcPr>
          <w:p w14:paraId="3ADC1FC4" w14:textId="7835A980" w:rsidR="009E07C2" w:rsidRPr="00CE28E3" w:rsidRDefault="009E07C2" w:rsidP="009E07C2">
            <w:pPr>
              <w:pStyle w:val="TableText"/>
            </w:pPr>
            <w:r>
              <w:rPr>
                <w:lang w:val="en-US"/>
              </w:rPr>
              <w:t>Intervention</w:t>
            </w:r>
          </w:p>
        </w:tc>
        <w:tc>
          <w:tcPr>
            <w:tcW w:w="2201" w:type="pct"/>
          </w:tcPr>
          <w:p w14:paraId="29BB6916" w14:textId="09C075E2" w:rsidR="009E07C2" w:rsidRPr="00CE28E3" w:rsidRDefault="009E07C2" w:rsidP="009E07C2">
            <w:pPr>
              <w:pStyle w:val="TableText"/>
              <w:rPr>
                <w:rFonts w:cs="Arial"/>
                <w:snapToGrid w:val="0"/>
              </w:rPr>
            </w:pPr>
            <w:r w:rsidRPr="002510F0">
              <w:rPr>
                <w:lang w:val="en-US"/>
              </w:rPr>
              <w:t xml:space="preserve">MSAC noted that overall testing may still require more than one gene panel test due to differences in lung cancer gene aberrations as somatic mutations are tested in genomic DNA, whereas gene fusions (such as </w:t>
            </w:r>
            <w:r w:rsidRPr="002510F0">
              <w:rPr>
                <w:i/>
                <w:lang w:val="en-US"/>
              </w:rPr>
              <w:t>ROS1</w:t>
            </w:r>
            <w:r w:rsidRPr="002510F0">
              <w:rPr>
                <w:lang w:val="en-US"/>
              </w:rPr>
              <w:t>) are usually tested in c</w:t>
            </w:r>
            <w:r w:rsidR="008142C9">
              <w:rPr>
                <w:lang w:val="en-US"/>
              </w:rPr>
              <w:t xml:space="preserve">omplementary </w:t>
            </w:r>
            <w:r w:rsidRPr="002510F0">
              <w:rPr>
                <w:lang w:val="en-US"/>
              </w:rPr>
              <w:t>DNA prepared from RNA.</w:t>
            </w:r>
          </w:p>
        </w:tc>
        <w:tc>
          <w:tcPr>
            <w:tcW w:w="2015" w:type="pct"/>
            <w:vAlign w:val="center"/>
          </w:tcPr>
          <w:p w14:paraId="2CDC3B69" w14:textId="207B0A39" w:rsidR="007C57E1" w:rsidRDefault="009E07C2" w:rsidP="009E07C2">
            <w:pPr>
              <w:pStyle w:val="TableText"/>
            </w:pPr>
            <w:r>
              <w:t>Addressed.</w:t>
            </w:r>
          </w:p>
          <w:p w14:paraId="15BB4464" w14:textId="0F43889A" w:rsidR="009E07C2" w:rsidRPr="00CE28E3" w:rsidRDefault="009E07C2" w:rsidP="009E07C2">
            <w:pPr>
              <w:pStyle w:val="TableText"/>
              <w:rPr>
                <w:rFonts w:cs="Arial"/>
                <w:bCs/>
                <w:snapToGrid w:val="0"/>
              </w:rPr>
            </w:pPr>
            <w:r>
              <w:t>Intervention proposed as both DNA and RNA testing, or sequential DNA then RNA testing.</w:t>
            </w:r>
          </w:p>
        </w:tc>
      </w:tr>
      <w:tr w:rsidR="009E07C2" w:rsidRPr="00CE28E3" w14:paraId="3B9AD9C3" w14:textId="77777777" w:rsidTr="003515CE">
        <w:trPr>
          <w:cantSplit/>
        </w:trPr>
        <w:tc>
          <w:tcPr>
            <w:tcW w:w="784" w:type="pct"/>
          </w:tcPr>
          <w:p w14:paraId="23382853" w14:textId="3A9DDD20" w:rsidR="009E07C2" w:rsidRPr="00CE28E3" w:rsidRDefault="009E07C2" w:rsidP="009E07C2">
            <w:pPr>
              <w:pStyle w:val="TableText"/>
            </w:pPr>
            <w:r w:rsidRPr="008D356D">
              <w:rPr>
                <w:lang w:val="en-US"/>
              </w:rPr>
              <w:t>Test performance</w:t>
            </w:r>
          </w:p>
        </w:tc>
        <w:tc>
          <w:tcPr>
            <w:tcW w:w="2201" w:type="pct"/>
          </w:tcPr>
          <w:p w14:paraId="3C6FBFDC" w14:textId="03C2412D" w:rsidR="009E07C2" w:rsidRPr="00CE28E3" w:rsidRDefault="009E07C2" w:rsidP="009E07C2">
            <w:pPr>
              <w:pStyle w:val="TableText"/>
            </w:pPr>
            <w:r>
              <w:rPr>
                <w:lang w:val="en-US"/>
              </w:rPr>
              <w:t xml:space="preserve">Any MBS funding should be based on </w:t>
            </w:r>
            <w:r w:rsidRPr="007209B2">
              <w:rPr>
                <w:lang w:val="en-US"/>
              </w:rPr>
              <w:t xml:space="preserve">a </w:t>
            </w:r>
            <w:r>
              <w:rPr>
                <w:lang w:val="en-US"/>
              </w:rPr>
              <w:t xml:space="preserve">gene </w:t>
            </w:r>
            <w:r w:rsidRPr="007209B2">
              <w:rPr>
                <w:lang w:val="en-US"/>
              </w:rPr>
              <w:t xml:space="preserve">panel </w:t>
            </w:r>
            <w:r>
              <w:rPr>
                <w:lang w:val="en-US"/>
              </w:rPr>
              <w:t xml:space="preserve">or NGS </w:t>
            </w:r>
            <w:r w:rsidRPr="007209B2">
              <w:rPr>
                <w:lang w:val="en-US"/>
              </w:rPr>
              <w:t xml:space="preserve">test of equivalent or better </w:t>
            </w:r>
            <w:r>
              <w:rPr>
                <w:lang w:val="en-US"/>
              </w:rPr>
              <w:t xml:space="preserve">analytical </w:t>
            </w:r>
            <w:r w:rsidRPr="007209B2">
              <w:rPr>
                <w:lang w:val="en-US"/>
              </w:rPr>
              <w:t>performance to sequential IHC and FISH testing</w:t>
            </w:r>
            <w:r>
              <w:rPr>
                <w:lang w:val="en-US"/>
              </w:rPr>
              <w:t>.</w:t>
            </w:r>
          </w:p>
        </w:tc>
        <w:tc>
          <w:tcPr>
            <w:tcW w:w="2015" w:type="pct"/>
            <w:vAlign w:val="center"/>
          </w:tcPr>
          <w:p w14:paraId="0A65D924" w14:textId="2B43E3EE" w:rsidR="007C57E1" w:rsidRDefault="009E07C2" w:rsidP="009E07C2">
            <w:pPr>
              <w:pStyle w:val="TableText"/>
            </w:pPr>
            <w:r>
              <w:t>Addressed.</w:t>
            </w:r>
          </w:p>
          <w:p w14:paraId="26202E3E" w14:textId="759258CE" w:rsidR="009E07C2" w:rsidRPr="00CE28E3" w:rsidRDefault="009E07C2" w:rsidP="009E07C2">
            <w:pPr>
              <w:pStyle w:val="TableText"/>
              <w:rPr>
                <w:rFonts w:cs="Arial"/>
                <w:bCs/>
                <w:snapToGrid w:val="0"/>
              </w:rPr>
            </w:pPr>
            <w:r>
              <w:t>NGS has superior or equivalent analytical performance compared to single-gene assays or IHC and FISH testing.</w:t>
            </w:r>
          </w:p>
        </w:tc>
      </w:tr>
      <w:tr w:rsidR="009E07C2" w:rsidRPr="00CE28E3" w14:paraId="7C026CCF" w14:textId="77777777" w:rsidTr="003515CE">
        <w:trPr>
          <w:cantSplit/>
        </w:trPr>
        <w:tc>
          <w:tcPr>
            <w:tcW w:w="784" w:type="pct"/>
          </w:tcPr>
          <w:p w14:paraId="06B00B94" w14:textId="041536FE" w:rsidR="009E07C2" w:rsidRPr="008D356D" w:rsidRDefault="009E07C2" w:rsidP="009E07C2">
            <w:pPr>
              <w:pStyle w:val="TableText"/>
              <w:rPr>
                <w:lang w:val="en-US"/>
              </w:rPr>
            </w:pPr>
            <w:r>
              <w:rPr>
                <w:lang w:val="en-US"/>
              </w:rPr>
              <w:t>Cost-minimisation</w:t>
            </w:r>
          </w:p>
        </w:tc>
        <w:tc>
          <w:tcPr>
            <w:tcW w:w="2201" w:type="pct"/>
          </w:tcPr>
          <w:p w14:paraId="2AB8EFD4" w14:textId="2A6B72F2" w:rsidR="009E07C2" w:rsidRDefault="009E07C2" w:rsidP="009E07C2">
            <w:pPr>
              <w:pStyle w:val="TableText"/>
              <w:rPr>
                <w:lang w:val="en-US"/>
              </w:rPr>
            </w:pPr>
            <w:r>
              <w:rPr>
                <w:lang w:val="en-US"/>
              </w:rPr>
              <w:t>T</w:t>
            </w:r>
            <w:r w:rsidRPr="007209B2">
              <w:rPr>
                <w:lang w:val="en-US"/>
              </w:rPr>
              <w:t xml:space="preserve">he average </w:t>
            </w:r>
            <w:r>
              <w:rPr>
                <w:lang w:val="en-US"/>
              </w:rPr>
              <w:t xml:space="preserve">gene </w:t>
            </w:r>
            <w:r w:rsidRPr="007209B2">
              <w:rPr>
                <w:lang w:val="en-US"/>
              </w:rPr>
              <w:t xml:space="preserve">panel </w:t>
            </w:r>
            <w:r>
              <w:rPr>
                <w:lang w:val="en-US"/>
              </w:rPr>
              <w:t xml:space="preserve">or NGS </w:t>
            </w:r>
            <w:r w:rsidRPr="002510F0">
              <w:rPr>
                <w:lang w:val="en-US"/>
              </w:rPr>
              <w:t>test is no more costly than the average cost of the sequential testing that it would replace</w:t>
            </w:r>
            <w:r>
              <w:rPr>
                <w:lang w:val="en-US"/>
              </w:rPr>
              <w:t>.</w:t>
            </w:r>
          </w:p>
        </w:tc>
        <w:tc>
          <w:tcPr>
            <w:tcW w:w="2015" w:type="pct"/>
            <w:vAlign w:val="center"/>
          </w:tcPr>
          <w:p w14:paraId="13D5614C" w14:textId="60EF57A8" w:rsidR="009E07C2" w:rsidRDefault="003515CE" w:rsidP="009E07C2">
            <w:pPr>
              <w:pStyle w:val="TableText"/>
            </w:pPr>
            <w:r>
              <w:t>At the proposed items fees, small gene panel testing is associated with additional costs. This may be reasonable if the claim of superior effectiveness is accepted.</w:t>
            </w:r>
          </w:p>
        </w:tc>
      </w:tr>
    </w:tbl>
    <w:bookmarkEnd w:id="12"/>
    <w:bookmarkEnd w:id="14"/>
    <w:p w14:paraId="5A943643" w14:textId="0EAD50A4" w:rsidR="009E07C2" w:rsidRPr="006D7211" w:rsidRDefault="009E07C2" w:rsidP="009E07C2">
      <w:pPr>
        <w:pStyle w:val="TableFigureFooter"/>
        <w:spacing w:after="120"/>
      </w:pPr>
      <w:r>
        <w:t xml:space="preserve">DCAR = Department Contracted Assessment Report; </w:t>
      </w:r>
      <w:r w:rsidRPr="002412BE">
        <w:t xml:space="preserve">DNA = deoxyribonucleic acid; FISH = fluorescence </w:t>
      </w:r>
      <w:r w:rsidRPr="00956452">
        <w:rPr>
          <w:i/>
        </w:rPr>
        <w:t>in situ</w:t>
      </w:r>
      <w:r w:rsidRPr="002412BE">
        <w:t xml:space="preserve"> hybridisation; IHC = immunohistochemistry;</w:t>
      </w:r>
      <w:r>
        <w:t xml:space="preserve"> MBS = Medicare Benefits Schedule; </w:t>
      </w:r>
      <w:r w:rsidRPr="006D7211">
        <w:t xml:space="preserve">MSAC = Medical Services Advisory Committee; </w:t>
      </w:r>
      <w:r>
        <w:t xml:space="preserve">NGS = next generation sequencing; </w:t>
      </w:r>
      <w:r w:rsidRPr="006D7211">
        <w:t>PSD = Public Summary Document</w:t>
      </w:r>
      <w:r>
        <w:t xml:space="preserve">; </w:t>
      </w:r>
      <w:r w:rsidRPr="00380685">
        <w:rPr>
          <w:i/>
        </w:rPr>
        <w:t>ROS1</w:t>
      </w:r>
      <w:r>
        <w:t xml:space="preserve"> = ROS proto-oncogene 1; RNA = ribonucleic acid.</w:t>
      </w:r>
    </w:p>
    <w:p w14:paraId="6F52500A" w14:textId="4243C39F" w:rsidR="00772829" w:rsidRPr="00CE28E3" w:rsidRDefault="00C36633" w:rsidP="002A18BE">
      <w:pPr>
        <w:pStyle w:val="Heading2"/>
        <w:numPr>
          <w:ilvl w:val="0"/>
          <w:numId w:val="0"/>
        </w:numPr>
      </w:pPr>
      <w:bookmarkStart w:id="15" w:name="_Toc148531119"/>
      <w:r>
        <w:t>3.</w:t>
      </w:r>
      <w:r>
        <w:tab/>
      </w:r>
      <w:r w:rsidR="00772829" w:rsidRPr="00CE28E3">
        <w:t>Prerequisites to implementation of any funding advice</w:t>
      </w:r>
      <w:bookmarkEnd w:id="15"/>
    </w:p>
    <w:p w14:paraId="6B6796AE" w14:textId="2ACBBFCF" w:rsidR="00310C3F" w:rsidRDefault="002F0F80" w:rsidP="00E76AE0">
      <w:pPr>
        <w:pStyle w:val="Instructionaltext"/>
        <w:rPr>
          <w:color w:val="auto"/>
        </w:rPr>
      </w:pPr>
      <w:r w:rsidRPr="002F0F80">
        <w:rPr>
          <w:color w:val="auto"/>
        </w:rPr>
        <w:t>Small DNA/RNA or DNA and RNA NGS panel testing would occur in a National Association of Testing Authorities (NATA)</w:t>
      </w:r>
      <w:r>
        <w:rPr>
          <w:color w:val="auto"/>
        </w:rPr>
        <w:t xml:space="preserve"> </w:t>
      </w:r>
      <w:r w:rsidRPr="002F0F80">
        <w:rPr>
          <w:color w:val="auto"/>
        </w:rPr>
        <w:t>accredited laboratory in accordance with National Pathology Accreditation Advisory Council (NPAAC) guidelines</w:t>
      </w:r>
      <w:r w:rsidR="00852BFE">
        <w:rPr>
          <w:color w:val="auto"/>
        </w:rPr>
        <w:t>:</w:t>
      </w:r>
      <w:r w:rsidRPr="002F0F80">
        <w:rPr>
          <w:color w:val="auto"/>
        </w:rPr>
        <w:t xml:space="preserve"> </w:t>
      </w:r>
      <w:r w:rsidR="00EF20C8">
        <w:rPr>
          <w:color w:val="auto"/>
        </w:rPr>
        <w:t>‘</w:t>
      </w:r>
      <w:hyperlink r:id="rId21" w:history="1">
        <w:r w:rsidRPr="002F0F80">
          <w:rPr>
            <w:rStyle w:val="Hyperlink"/>
          </w:rPr>
          <w:t>Requirements for human medical genome testing utilising massively parallel sequencing technologies</w:t>
        </w:r>
      </w:hyperlink>
      <w:r w:rsidR="00FB6FE3">
        <w:rPr>
          <w:rStyle w:val="Hyperlink"/>
        </w:rPr>
        <w:t xml:space="preserve"> (First Edition 2017)</w:t>
      </w:r>
      <w:r w:rsidR="00EF20C8">
        <w:rPr>
          <w:color w:val="auto"/>
        </w:rPr>
        <w:t>’</w:t>
      </w:r>
      <w:r w:rsidRPr="002F0F80">
        <w:rPr>
          <w:color w:val="auto"/>
        </w:rPr>
        <w:t>.</w:t>
      </w:r>
    </w:p>
    <w:p w14:paraId="2469E14E" w14:textId="7D665E1A" w:rsidR="002F0F80" w:rsidRDefault="000269A2" w:rsidP="00E76AE0">
      <w:pPr>
        <w:pStyle w:val="Instructionaltext"/>
        <w:rPr>
          <w:color w:val="auto"/>
        </w:rPr>
      </w:pPr>
      <w:r>
        <w:rPr>
          <w:color w:val="auto"/>
        </w:rPr>
        <w:t>Currently, there are no</w:t>
      </w:r>
      <w:r w:rsidR="002F0F80">
        <w:rPr>
          <w:color w:val="auto"/>
        </w:rPr>
        <w:t xml:space="preserve"> NGS assays approved by the Therapeutic Goods Administration (TGA) for the purposes of </w:t>
      </w:r>
      <w:r w:rsidR="00EF20C8">
        <w:rPr>
          <w:color w:val="auto"/>
        </w:rPr>
        <w:t xml:space="preserve">detecting biomarkers for targeted treatment of patients with NSCLC. There are several NGS assays available in Australia for ‘Research Use Only’ (RUO), and local laboratories will be able to purchase RUO products and develop an </w:t>
      </w:r>
      <w:r w:rsidR="00EF20C8" w:rsidRPr="00852BFE">
        <w:rPr>
          <w:i/>
          <w:iCs/>
          <w:color w:val="auto"/>
        </w:rPr>
        <w:t>in vitro</w:t>
      </w:r>
      <w:r w:rsidR="00EF20C8">
        <w:rPr>
          <w:color w:val="auto"/>
        </w:rPr>
        <w:t xml:space="preserve"> test medical device </w:t>
      </w:r>
      <w:r w:rsidR="0039710C">
        <w:rPr>
          <w:color w:val="auto"/>
        </w:rPr>
        <w:t xml:space="preserve">approved by the National Association of Testing Authorities (NATA) </w:t>
      </w:r>
      <w:r w:rsidR="00EF20C8">
        <w:rPr>
          <w:color w:val="auto"/>
        </w:rPr>
        <w:t>as per the framework in ‘</w:t>
      </w:r>
      <w:hyperlink r:id="rId22" w:history="1">
        <w:r w:rsidR="00EF20C8" w:rsidRPr="00EF20C8">
          <w:rPr>
            <w:rStyle w:val="Hyperlink"/>
          </w:rPr>
          <w:t xml:space="preserve">Requirements for the development and use of in-house </w:t>
        </w:r>
        <w:r w:rsidR="00EF20C8" w:rsidRPr="00852BFE">
          <w:rPr>
            <w:rStyle w:val="Hyperlink"/>
            <w:i/>
            <w:iCs/>
          </w:rPr>
          <w:t>in vitro</w:t>
        </w:r>
        <w:r w:rsidR="00EF20C8" w:rsidRPr="00EF20C8">
          <w:rPr>
            <w:rStyle w:val="Hyperlink"/>
          </w:rPr>
          <w:t xml:space="preserve"> diagnostic medical devices (IVDs) (Fourth Edition 2018)</w:t>
        </w:r>
      </w:hyperlink>
      <w:r w:rsidR="00EF20C8">
        <w:rPr>
          <w:color w:val="auto"/>
        </w:rPr>
        <w:t>’.</w:t>
      </w:r>
    </w:p>
    <w:p w14:paraId="49DEBF50" w14:textId="50489F5E" w:rsidR="00871829" w:rsidRPr="00BD3606" w:rsidRDefault="00871829" w:rsidP="00BD3606">
      <w:pPr>
        <w:spacing w:after="240"/>
        <w:rPr>
          <w:rFonts w:cs="Arial"/>
        </w:rPr>
      </w:pPr>
      <w:r>
        <w:rPr>
          <w:rFonts w:cs="Arial"/>
        </w:rPr>
        <w:t xml:space="preserve">Currently, the PBS restrictions for most of the </w:t>
      </w:r>
      <w:r w:rsidR="00BD3606">
        <w:rPr>
          <w:rFonts w:cs="Arial"/>
        </w:rPr>
        <w:t>drugs</w:t>
      </w:r>
      <w:r>
        <w:rPr>
          <w:rFonts w:cs="Arial"/>
        </w:rPr>
        <w:t xml:space="preserve"> targeting </w:t>
      </w:r>
      <w:r w:rsidRPr="00F57034">
        <w:rPr>
          <w:rFonts w:cs="Arial"/>
          <w:i/>
        </w:rPr>
        <w:t>ALK</w:t>
      </w:r>
      <w:r>
        <w:rPr>
          <w:rFonts w:cs="Arial"/>
        </w:rPr>
        <w:t xml:space="preserve"> or </w:t>
      </w:r>
      <w:r w:rsidRPr="00F57034">
        <w:rPr>
          <w:rFonts w:cs="Arial"/>
          <w:i/>
        </w:rPr>
        <w:t>ROS1</w:t>
      </w:r>
      <w:r>
        <w:rPr>
          <w:rFonts w:cs="Arial"/>
        </w:rPr>
        <w:t xml:space="preserve"> gene rearrangements (all except second-line lorlatinib) specify the method of determining the variants </w:t>
      </w:r>
      <w:r w:rsidR="0039710C">
        <w:rPr>
          <w:rFonts w:cs="Arial"/>
        </w:rPr>
        <w:t xml:space="preserve">and the threshold separating a positive result from a negative result </w:t>
      </w:r>
      <w:r>
        <w:rPr>
          <w:rFonts w:cs="Arial"/>
        </w:rPr>
        <w:t>(</w:t>
      </w:r>
      <w:r w:rsidR="008D2EFA">
        <w:rPr>
          <w:rFonts w:cs="Arial"/>
        </w:rPr>
        <w:t>i.e.,</w:t>
      </w:r>
      <w:r>
        <w:rPr>
          <w:rFonts w:cs="Arial"/>
        </w:rPr>
        <w:t xml:space="preserve"> patients must have evidence of an </w:t>
      </w:r>
      <w:r w:rsidRPr="00F57034">
        <w:rPr>
          <w:rFonts w:cs="Arial"/>
          <w:i/>
        </w:rPr>
        <w:t>ALK</w:t>
      </w:r>
      <w:r>
        <w:rPr>
          <w:rFonts w:cs="Arial"/>
        </w:rPr>
        <w:t xml:space="preserve"> gene rearrangement or </w:t>
      </w:r>
      <w:r w:rsidRPr="00F57034">
        <w:rPr>
          <w:rFonts w:cs="Arial"/>
          <w:i/>
        </w:rPr>
        <w:t>ROS1</w:t>
      </w:r>
      <w:r>
        <w:rPr>
          <w:rFonts w:cs="Arial"/>
        </w:rPr>
        <w:t xml:space="preserve"> gene rearrangement in tumour material, defined as 15% (or greater) positive cells by fluorescence </w:t>
      </w:r>
      <w:r w:rsidRPr="004D0CBD">
        <w:rPr>
          <w:rFonts w:cs="Arial"/>
          <w:i/>
        </w:rPr>
        <w:t>in situ</w:t>
      </w:r>
      <w:r>
        <w:rPr>
          <w:rFonts w:cs="Arial"/>
        </w:rPr>
        <w:t xml:space="preserve"> hybridisation (FISH</w:t>
      </w:r>
      <w:r w:rsidR="00BD3606">
        <w:rPr>
          <w:rFonts w:cs="Arial"/>
        </w:rPr>
        <w:t xml:space="preserve">) testing). If the proposed </w:t>
      </w:r>
      <w:r>
        <w:rPr>
          <w:rFonts w:cs="Arial"/>
        </w:rPr>
        <w:t>item</w:t>
      </w:r>
      <w:r w:rsidR="00BD3606">
        <w:rPr>
          <w:rFonts w:cs="Arial"/>
        </w:rPr>
        <w:t>s</w:t>
      </w:r>
      <w:r>
        <w:rPr>
          <w:rFonts w:cs="Arial"/>
        </w:rPr>
        <w:t xml:space="preserve"> for </w:t>
      </w:r>
      <w:r w:rsidR="00BD3606">
        <w:rPr>
          <w:rFonts w:cs="Arial"/>
        </w:rPr>
        <w:t>small DNA ± RNA NGS panels are</w:t>
      </w:r>
      <w:r>
        <w:rPr>
          <w:rFonts w:cs="Arial"/>
        </w:rPr>
        <w:t xml:space="preserve"> listed on the MBS, </w:t>
      </w:r>
      <w:r w:rsidR="0039710C">
        <w:rPr>
          <w:rFonts w:cs="Arial"/>
        </w:rPr>
        <w:t>coordinated amendments</w:t>
      </w:r>
      <w:r>
        <w:rPr>
          <w:rFonts w:cs="Arial"/>
        </w:rPr>
        <w:t xml:space="preserve"> to the restrictions listed on the PBS would be required to allow for </w:t>
      </w:r>
      <w:r w:rsidR="00BD3606">
        <w:rPr>
          <w:rFonts w:cs="Arial"/>
        </w:rPr>
        <w:t xml:space="preserve">biomarkers to be detected using </w:t>
      </w:r>
      <w:r>
        <w:rPr>
          <w:rFonts w:cs="Arial"/>
        </w:rPr>
        <w:t xml:space="preserve">either FISH </w:t>
      </w:r>
      <w:r w:rsidR="008643F9">
        <w:rPr>
          <w:rFonts w:cs="Arial"/>
        </w:rPr>
        <w:t xml:space="preserve">(with the current restriction to ≥15% of positive cells) </w:t>
      </w:r>
      <w:r w:rsidRPr="00956452">
        <w:rPr>
          <w:rFonts w:cs="Arial"/>
          <w:i/>
        </w:rPr>
        <w:t>or NGS</w:t>
      </w:r>
      <w:r>
        <w:rPr>
          <w:rFonts w:cs="Arial"/>
        </w:rPr>
        <w:t xml:space="preserve"> </w:t>
      </w:r>
      <w:r w:rsidR="008643F9">
        <w:rPr>
          <w:rFonts w:cs="Arial"/>
        </w:rPr>
        <w:t xml:space="preserve">(without the same threshold) </w:t>
      </w:r>
      <w:r>
        <w:rPr>
          <w:rFonts w:cs="Arial"/>
        </w:rPr>
        <w:t>in the criteria for crizotinib, ceritin</w:t>
      </w:r>
      <w:r w:rsidR="00BD3606">
        <w:rPr>
          <w:rFonts w:cs="Arial"/>
        </w:rPr>
        <w:t>ib, alectinib, and entrectinib.</w:t>
      </w:r>
      <w:r w:rsidR="0039710C">
        <w:rPr>
          <w:rFonts w:cs="Arial"/>
        </w:rPr>
        <w:t xml:space="preserve"> If this application is supported by MSAC, the necessary coordination may most efficiently </w:t>
      </w:r>
      <w:r w:rsidR="00062B0B">
        <w:rPr>
          <w:rFonts w:cs="Arial"/>
        </w:rPr>
        <w:t xml:space="preserve">be </w:t>
      </w:r>
      <w:r w:rsidR="0039710C">
        <w:rPr>
          <w:rFonts w:cs="Arial"/>
        </w:rPr>
        <w:t>achieved by MSAC referring the related amendments to the PBAC for consideration at its December 2022 Intracycle meeting.</w:t>
      </w:r>
    </w:p>
    <w:p w14:paraId="44C3B242" w14:textId="1D6171A6" w:rsidR="00772829" w:rsidRPr="00CE28E3" w:rsidRDefault="00C36633" w:rsidP="002A18BE">
      <w:pPr>
        <w:pStyle w:val="Heading2"/>
        <w:numPr>
          <w:ilvl w:val="0"/>
          <w:numId w:val="0"/>
        </w:numPr>
      </w:pPr>
      <w:bookmarkStart w:id="16" w:name="_Toc148531120"/>
      <w:r>
        <w:lastRenderedPageBreak/>
        <w:t>4.</w:t>
      </w:r>
      <w:r>
        <w:tab/>
      </w:r>
      <w:r w:rsidR="00772829" w:rsidRPr="00CE28E3">
        <w:t>Proposal for public funding</w:t>
      </w:r>
      <w:bookmarkEnd w:id="16"/>
    </w:p>
    <w:p w14:paraId="4E5A359A" w14:textId="67119676" w:rsidR="00BA4B60" w:rsidRDefault="00BA4B60" w:rsidP="00BA4B60">
      <w:pPr>
        <w:pStyle w:val="NormalBeforeBullet"/>
      </w:pPr>
      <w:r>
        <w:t xml:space="preserve">The proposal is for </w:t>
      </w:r>
      <w:r w:rsidR="001E3FBC">
        <w:t xml:space="preserve">up to </w:t>
      </w:r>
      <w:r>
        <w:t xml:space="preserve">three new MBS items to be listed: one for a nucleic acid-based test of both DNA and RNA for simultaneous testing, and two additional items for separate DNA and RNA testing (as not many laboratories currently have the capacity to perform simultaneous testing). Consistent with current items for </w:t>
      </w:r>
      <w:r>
        <w:rPr>
          <w:i/>
        </w:rPr>
        <w:t>EGFR</w:t>
      </w:r>
      <w:r>
        <w:t xml:space="preserve"> testing, IHC testing for ALK and ROS1, and FISH testing for </w:t>
      </w:r>
      <w:r>
        <w:rPr>
          <w:i/>
        </w:rPr>
        <w:t xml:space="preserve">ALK </w:t>
      </w:r>
      <w:r>
        <w:t xml:space="preserve">and </w:t>
      </w:r>
      <w:r>
        <w:rPr>
          <w:i/>
        </w:rPr>
        <w:t>ROS1</w:t>
      </w:r>
      <w:r>
        <w:t>, the items are proposed to be pathologist-determinable.</w:t>
      </w:r>
    </w:p>
    <w:p w14:paraId="164DA6BD" w14:textId="106A9DE4" w:rsidR="00BA4B60" w:rsidRPr="00BA4B60" w:rsidRDefault="00BA4B60" w:rsidP="00BA4B60">
      <w:pPr>
        <w:pStyle w:val="NormalBeforeBullet"/>
      </w:pPr>
      <w:r>
        <w:t>The proposed fees are based on the cost of delivering the tests, including extraction, pathologist assessment, quality control, curation and reporting (</w:t>
      </w:r>
      <w:hyperlink r:id="rId23" w:history="1">
        <w:r w:rsidRPr="00BA4B60">
          <w:rPr>
            <w:rStyle w:val="Hyperlink"/>
          </w:rPr>
          <w:t>MSAC application 1721</w:t>
        </w:r>
      </w:hyperlink>
      <w:r>
        <w:t>).</w:t>
      </w:r>
    </w:p>
    <w:p w14:paraId="39392CFD" w14:textId="3322DD7B" w:rsidR="003328A9" w:rsidRPr="00CE28E3" w:rsidRDefault="00310C3F" w:rsidP="00310C3F">
      <w:pPr>
        <w:pStyle w:val="Caption"/>
        <w:rPr>
          <w:rFonts w:cs="Arial"/>
        </w:rPr>
      </w:pPr>
      <w:bookmarkStart w:id="17" w:name="_Ref69481033"/>
      <w:r>
        <w:t>Table</w:t>
      </w:r>
      <w:r w:rsidR="004A4FDF">
        <w:t> </w:t>
      </w:r>
      <w:fldSimple w:instr=" SEQ Table \* ARABIC ">
        <w:r w:rsidR="00C857F3">
          <w:rPr>
            <w:noProof/>
          </w:rPr>
          <w:t>2</w:t>
        </w:r>
      </w:fldSimple>
      <w:bookmarkEnd w:id="17"/>
      <w:r w:rsidR="003328A9" w:rsidRPr="00CE28E3">
        <w:rPr>
          <w:rFonts w:cs="Arial"/>
        </w:rPr>
        <w:tab/>
      </w:r>
      <w:r w:rsidR="000620D5">
        <w:rPr>
          <w:rFonts w:cs="Arial"/>
        </w:rPr>
        <w:t xml:space="preserve">Applicant </w:t>
      </w:r>
      <w:r w:rsidR="00B26622" w:rsidRPr="00CE28E3">
        <w:rPr>
          <w:rFonts w:cs="Arial"/>
        </w:rPr>
        <w:t>proposed MBS item</w:t>
      </w:r>
      <w:r w:rsidR="000F1E25">
        <w:rPr>
          <w:rFonts w:cs="Arial"/>
        </w:rPr>
        <w:t>s</w:t>
      </w:r>
      <w:r w:rsidR="003C0F59">
        <w:rPr>
          <w:rFonts w:cs="Arial"/>
        </w:rPr>
        <w:t xml:space="preserve"> with </w:t>
      </w:r>
      <w:r w:rsidR="001E289A">
        <w:rPr>
          <w:rFonts w:cs="Arial"/>
        </w:rPr>
        <w:t xml:space="preserve">suggested </w:t>
      </w:r>
      <w:r w:rsidR="003C0F59">
        <w:rPr>
          <w:rFonts w:cs="Arial"/>
        </w:rPr>
        <w:t>modifications</w:t>
      </w:r>
    </w:p>
    <w:tbl>
      <w:tblPr>
        <w:tblStyle w:val="TableGrid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Newly proposed MBS items "/>
        <w:tblDescription w:val="MBS items, as proposed by the applicants, including their fees. "/>
      </w:tblPr>
      <w:tblGrid>
        <w:gridCol w:w="9016"/>
      </w:tblGrid>
      <w:tr w:rsidR="003328A9" w:rsidRPr="00CE28E3" w14:paraId="7A70B700" w14:textId="77777777" w:rsidTr="00170D5B">
        <w:trPr>
          <w:cnfStyle w:val="100000000000" w:firstRow="1" w:lastRow="0" w:firstColumn="0" w:lastColumn="0" w:oddVBand="0" w:evenVBand="0" w:oddHBand="0" w:evenHBand="0" w:firstRowFirstColumn="0" w:firstRowLastColumn="0" w:lastRowFirstColumn="0" w:lastRowLastColumn="0"/>
          <w:trHeight w:val="351"/>
          <w:tblHeader/>
        </w:trPr>
        <w:tc>
          <w:tcPr>
            <w:tcW w:w="5000" w:type="pct"/>
            <w:tcBorders>
              <w:top w:val="single" w:sz="4" w:space="0" w:color="000000"/>
              <w:left w:val="single" w:sz="4" w:space="0" w:color="000000"/>
              <w:bottom w:val="single" w:sz="4" w:space="0" w:color="000000"/>
              <w:right w:val="single" w:sz="4" w:space="0" w:color="000000"/>
            </w:tcBorders>
            <w:hideMark/>
          </w:tcPr>
          <w:p w14:paraId="617FAF30" w14:textId="7C3141B8" w:rsidR="003328A9" w:rsidRPr="00CE28E3" w:rsidRDefault="000F1E25" w:rsidP="00824458">
            <w:pPr>
              <w:pStyle w:val="TableText"/>
              <w:rPr>
                <w:sz w:val="24"/>
              </w:rPr>
            </w:pPr>
            <w:r w:rsidRPr="000F1E25">
              <w:rPr>
                <w:b/>
              </w:rPr>
              <w:t>Category 6 – Genetics P7</w:t>
            </w:r>
          </w:p>
        </w:tc>
      </w:tr>
      <w:tr w:rsidR="003328A9" w:rsidRPr="005D749D" w14:paraId="190EE027" w14:textId="77777777" w:rsidTr="00170D5B">
        <w:tc>
          <w:tcPr>
            <w:tcW w:w="5000" w:type="pct"/>
            <w:tcBorders>
              <w:top w:val="single" w:sz="4" w:space="0" w:color="000000"/>
              <w:left w:val="single" w:sz="4" w:space="0" w:color="000000"/>
              <w:bottom w:val="single" w:sz="4" w:space="0" w:color="000000"/>
              <w:right w:val="single" w:sz="4" w:space="0" w:color="000000"/>
            </w:tcBorders>
            <w:vAlign w:val="center"/>
            <w:hideMark/>
          </w:tcPr>
          <w:p w14:paraId="1847374C" w14:textId="77777777" w:rsidR="000F1E25" w:rsidRPr="00ED251B" w:rsidRDefault="000F1E25" w:rsidP="000F1E25">
            <w:pPr>
              <w:pStyle w:val="TableText"/>
              <w:rPr>
                <w:b/>
              </w:rPr>
            </w:pPr>
            <w:r w:rsidRPr="00ED251B">
              <w:rPr>
                <w:b/>
              </w:rPr>
              <w:t>AAAA</w:t>
            </w:r>
          </w:p>
          <w:p w14:paraId="7F2121F7" w14:textId="77777777" w:rsidR="000F1E25" w:rsidRPr="00714B8D" w:rsidRDefault="000F1E25" w:rsidP="000F1E25">
            <w:pPr>
              <w:pStyle w:val="TableText"/>
            </w:pPr>
            <w:r w:rsidRPr="00714B8D">
              <w:t>A nucleic acid-based multi-gene panel test of tumour tissue from a patient diagnosed with non-small cell lung cancer, shown to have non-squamous histology or histology not otherwise specified, requested by, or on behalf of, a specialist or consultant physician, to detect:</w:t>
            </w:r>
          </w:p>
          <w:p w14:paraId="1B438D3D" w14:textId="77777777" w:rsidR="00B37E0D" w:rsidRPr="00714B8D" w:rsidRDefault="00B37E0D" w:rsidP="00B37E0D">
            <w:pPr>
              <w:pStyle w:val="TableText"/>
              <w:numPr>
                <w:ilvl w:val="0"/>
                <w:numId w:val="16"/>
              </w:numPr>
            </w:pPr>
            <w:r w:rsidRPr="00714B8D">
              <w:t xml:space="preserve">variants in at least </w:t>
            </w:r>
            <w:r w:rsidRPr="00871829">
              <w:rPr>
                <w:i/>
              </w:rPr>
              <w:t>EGFR, BRAF, KRAS</w:t>
            </w:r>
            <w:r w:rsidRPr="00714B8D">
              <w:t xml:space="preserve"> and </w:t>
            </w:r>
            <w:r w:rsidRPr="00871829">
              <w:rPr>
                <w:i/>
              </w:rPr>
              <w:t>MET</w:t>
            </w:r>
            <w:r w:rsidRPr="00714B8D">
              <w:t xml:space="preserve"> exon 14 to determine access to specific therapies listed on the Pharmaceutical Benefits Scheme (PBS); and</w:t>
            </w:r>
          </w:p>
          <w:p w14:paraId="098E1788" w14:textId="77777777" w:rsidR="00B37E0D" w:rsidRPr="00714B8D" w:rsidRDefault="00B37E0D" w:rsidP="00B37E0D">
            <w:pPr>
              <w:pStyle w:val="TableText"/>
              <w:numPr>
                <w:ilvl w:val="0"/>
                <w:numId w:val="16"/>
              </w:numPr>
            </w:pPr>
            <w:r w:rsidRPr="00714B8D">
              <w:t xml:space="preserve">the fusion status of at least </w:t>
            </w:r>
            <w:r w:rsidRPr="00871829">
              <w:rPr>
                <w:i/>
              </w:rPr>
              <w:t>ALK, ROS1, RET</w:t>
            </w:r>
            <w:r w:rsidRPr="00714B8D">
              <w:t xml:space="preserve">, and </w:t>
            </w:r>
            <w:r w:rsidRPr="00871829">
              <w:rPr>
                <w:i/>
              </w:rPr>
              <w:t>NTRK</w:t>
            </w:r>
            <w:r w:rsidRPr="00714B8D">
              <w:t xml:space="preserve"> to determine access to specific therapies listed on the PBS; or</w:t>
            </w:r>
          </w:p>
          <w:p w14:paraId="2B2982FE" w14:textId="5280B5B0" w:rsidR="00B37E0D" w:rsidRPr="00714B8D" w:rsidRDefault="00B37E0D" w:rsidP="00B37E0D">
            <w:pPr>
              <w:pStyle w:val="TableText"/>
              <w:numPr>
                <w:ilvl w:val="0"/>
                <w:numId w:val="16"/>
              </w:numPr>
            </w:pPr>
            <w:r w:rsidRPr="00714B8D">
              <w:t xml:space="preserve">if the requirements relating to </w:t>
            </w:r>
            <w:r w:rsidRPr="00871829">
              <w:rPr>
                <w:i/>
              </w:rPr>
              <w:t>EGFR, ALK</w:t>
            </w:r>
            <w:r w:rsidRPr="00714B8D">
              <w:t xml:space="preserve"> and </w:t>
            </w:r>
            <w:r w:rsidRPr="00871829">
              <w:rPr>
                <w:i/>
              </w:rPr>
              <w:t xml:space="preserve">ROS1 </w:t>
            </w:r>
            <w:r w:rsidRPr="00714B8D">
              <w:t xml:space="preserve">status for access to </w:t>
            </w:r>
            <w:r w:rsidR="003C0F59" w:rsidRPr="00716EAB">
              <w:rPr>
                <w:color w:val="C00000"/>
              </w:rPr>
              <w:t xml:space="preserve">a PD-(L)1 immunotherapy </w:t>
            </w:r>
            <w:r w:rsidR="00062B0B" w:rsidRPr="00716EAB">
              <w:rPr>
                <w:strike/>
                <w:color w:val="C00000"/>
              </w:rPr>
              <w:t>pembrolizumab</w:t>
            </w:r>
            <w:r w:rsidR="00716EAB">
              <w:rPr>
                <w:strike/>
                <w:color w:val="FF0000"/>
              </w:rPr>
              <w:t xml:space="preserve"> </w:t>
            </w:r>
            <w:r w:rsidRPr="00714B8D">
              <w:t>under the PBS are fulfilled.</w:t>
            </w:r>
          </w:p>
          <w:p w14:paraId="729301CB" w14:textId="77777777" w:rsidR="00B37E0D" w:rsidRPr="00714B8D" w:rsidRDefault="00B37E0D" w:rsidP="00B37E0D">
            <w:pPr>
              <w:pStyle w:val="TableText"/>
            </w:pPr>
            <w:r w:rsidRPr="00714B8D">
              <w:t>Maximum one test per episode of disease</w:t>
            </w:r>
          </w:p>
          <w:p w14:paraId="0CB8B971" w14:textId="77777777" w:rsidR="00B37E0D" w:rsidRPr="005A4926" w:rsidRDefault="00B37E0D" w:rsidP="00B37E0D">
            <w:pPr>
              <w:pStyle w:val="TableText"/>
              <w:rPr>
                <w:color w:val="C00000"/>
              </w:rPr>
            </w:pPr>
            <w:r w:rsidRPr="00714B8D">
              <w:t>This item cannot be claimed in addition to MBS items</w:t>
            </w:r>
            <w:r>
              <w:t xml:space="preserve"> BBBB, CCCC,</w:t>
            </w:r>
            <w:r w:rsidRPr="00714B8D">
              <w:t xml:space="preserve"> 73337</w:t>
            </w:r>
            <w:r>
              <w:t>,</w:t>
            </w:r>
            <w:r w:rsidRPr="005A4926">
              <w:rPr>
                <w:color w:val="C00000"/>
              </w:rPr>
              <w:t xml:space="preserve"> 73341, 73344, </w:t>
            </w:r>
            <w:r>
              <w:rPr>
                <w:color w:val="C00000"/>
              </w:rPr>
              <w:t xml:space="preserve">or </w:t>
            </w:r>
            <w:r w:rsidRPr="005A4926">
              <w:rPr>
                <w:color w:val="C00000"/>
              </w:rPr>
              <w:t xml:space="preserve">MBS item for </w:t>
            </w:r>
            <w:r w:rsidRPr="005A4926">
              <w:rPr>
                <w:i/>
                <w:color w:val="C00000"/>
              </w:rPr>
              <w:t>MET</w:t>
            </w:r>
            <w:r w:rsidRPr="005A4926">
              <w:rPr>
                <w:color w:val="C00000"/>
              </w:rPr>
              <w:t>ex14sk testing</w:t>
            </w:r>
          </w:p>
          <w:p w14:paraId="5AEEDFDC" w14:textId="25AEDEB9" w:rsidR="00B37E0D" w:rsidRPr="005D749D" w:rsidRDefault="00B37E0D" w:rsidP="00B37E0D">
            <w:pPr>
              <w:pStyle w:val="TableText"/>
            </w:pPr>
            <w:r w:rsidRPr="009009D3">
              <w:rPr>
                <w:b/>
                <w:bCs/>
              </w:rPr>
              <w:t>Fee:</w:t>
            </w:r>
            <w:r w:rsidRPr="009009D3">
              <w:t xml:space="preserve">  $1,247</w:t>
            </w:r>
            <w:r w:rsidRPr="009009D3">
              <w:tab/>
            </w:r>
            <w:r w:rsidRPr="009009D3">
              <w:rPr>
                <w:b/>
                <w:bCs/>
              </w:rPr>
              <w:t>Benefit:</w:t>
            </w:r>
            <w:r w:rsidRPr="009009D3">
              <w:t xml:space="preserve"> 75% = $935.25</w:t>
            </w:r>
            <w:r w:rsidRPr="009009D3">
              <w:tab/>
              <w:t>85% = $</w:t>
            </w:r>
            <w:r w:rsidRPr="005A4926">
              <w:rPr>
                <w:color w:val="C00000"/>
              </w:rPr>
              <w:t>1,159.10</w:t>
            </w:r>
            <w:r w:rsidRPr="005A4926">
              <w:rPr>
                <w:color w:val="C00000"/>
                <w:vertAlign w:val="superscript"/>
              </w:rPr>
              <w:t>a</w:t>
            </w:r>
          </w:p>
        </w:tc>
      </w:tr>
      <w:tr w:rsidR="00B37E0D" w:rsidRPr="005D749D" w14:paraId="108F7AD8" w14:textId="77777777" w:rsidTr="00170D5B">
        <w:tc>
          <w:tcPr>
            <w:tcW w:w="5000" w:type="pct"/>
            <w:tcBorders>
              <w:top w:val="single" w:sz="4" w:space="0" w:color="000000"/>
              <w:left w:val="single" w:sz="4" w:space="0" w:color="000000"/>
              <w:bottom w:val="single" w:sz="4" w:space="0" w:color="000000"/>
              <w:right w:val="single" w:sz="4" w:space="0" w:color="000000"/>
            </w:tcBorders>
            <w:vAlign w:val="center"/>
          </w:tcPr>
          <w:p w14:paraId="72ED4772" w14:textId="77777777" w:rsidR="00B37E0D" w:rsidRPr="00ED251B" w:rsidRDefault="00B37E0D" w:rsidP="00B37E0D">
            <w:pPr>
              <w:pStyle w:val="TableText"/>
              <w:rPr>
                <w:b/>
              </w:rPr>
            </w:pPr>
            <w:r>
              <w:rPr>
                <w:b/>
              </w:rPr>
              <w:t>BBBB</w:t>
            </w:r>
          </w:p>
          <w:p w14:paraId="13DAE723" w14:textId="77777777" w:rsidR="00B37E0D" w:rsidRPr="00ED251B" w:rsidRDefault="00B37E0D" w:rsidP="00B37E0D">
            <w:pPr>
              <w:pStyle w:val="TableText"/>
            </w:pPr>
            <w:r w:rsidRPr="00ED251B">
              <w:t>A DNA-based multi-gene panel test of tumour tissue from a patient diagnosed with non-small cell lung cancer, shown to have non-squamous histology or histology not otherwise specified, requested by, or on behalf of, a specialist or consultant physician, to detect:</w:t>
            </w:r>
          </w:p>
          <w:p w14:paraId="4FE1F3F8" w14:textId="77777777" w:rsidR="00B37E0D" w:rsidRPr="00ED251B" w:rsidRDefault="00B37E0D" w:rsidP="00B37E0D">
            <w:pPr>
              <w:pStyle w:val="TableText"/>
              <w:numPr>
                <w:ilvl w:val="0"/>
                <w:numId w:val="17"/>
              </w:numPr>
            </w:pPr>
            <w:r w:rsidRPr="00ED251B">
              <w:rPr>
                <w:bCs/>
              </w:rPr>
              <w:t xml:space="preserve">variants in at least </w:t>
            </w:r>
            <w:r w:rsidRPr="00ED251B">
              <w:rPr>
                <w:i/>
                <w:iCs/>
              </w:rPr>
              <w:t>EGFR</w:t>
            </w:r>
            <w:r w:rsidRPr="00ED251B">
              <w:rPr>
                <w:bCs/>
              </w:rPr>
              <w:t xml:space="preserve">, </w:t>
            </w:r>
            <w:r w:rsidRPr="00ED251B">
              <w:rPr>
                <w:i/>
                <w:iCs/>
              </w:rPr>
              <w:t>BRAF, KRAS</w:t>
            </w:r>
            <w:r w:rsidRPr="00ED251B">
              <w:rPr>
                <w:bCs/>
              </w:rPr>
              <w:t xml:space="preserve"> and </w:t>
            </w:r>
            <w:r w:rsidRPr="00ED251B">
              <w:rPr>
                <w:i/>
                <w:iCs/>
              </w:rPr>
              <w:t>MET</w:t>
            </w:r>
            <w:r w:rsidRPr="00ED251B">
              <w:rPr>
                <w:bCs/>
              </w:rPr>
              <w:t xml:space="preserve"> exon 14 to determine access to specific therapies listed on the Pharmaceutical Benefits Scheme (PBS)</w:t>
            </w:r>
            <w:r w:rsidRPr="00ED251B">
              <w:t>; or</w:t>
            </w:r>
          </w:p>
          <w:p w14:paraId="2A594B29" w14:textId="360DCBA4" w:rsidR="00B37E0D" w:rsidRPr="00ED251B" w:rsidRDefault="00B37E0D" w:rsidP="00B37E0D">
            <w:pPr>
              <w:pStyle w:val="TableText"/>
              <w:numPr>
                <w:ilvl w:val="0"/>
                <w:numId w:val="17"/>
              </w:numPr>
            </w:pPr>
            <w:r w:rsidRPr="00ED251B">
              <w:t xml:space="preserve">if the requirements relating to </w:t>
            </w:r>
            <w:r w:rsidRPr="00ED251B">
              <w:rPr>
                <w:i/>
                <w:iCs/>
              </w:rPr>
              <w:t>EGFR</w:t>
            </w:r>
            <w:r w:rsidRPr="00ED251B">
              <w:t xml:space="preserve"> status for access to </w:t>
            </w:r>
            <w:r w:rsidR="003C0F59" w:rsidRPr="00716EAB">
              <w:rPr>
                <w:color w:val="C00000"/>
              </w:rPr>
              <w:t xml:space="preserve">a PD-(L)1 immunotherapy </w:t>
            </w:r>
            <w:r w:rsidR="00716EAB" w:rsidRPr="00716EAB">
              <w:rPr>
                <w:strike/>
                <w:color w:val="C00000"/>
              </w:rPr>
              <w:t>pembrolizumab</w:t>
            </w:r>
            <w:r w:rsidR="00716EAB" w:rsidRPr="00716EAB">
              <w:rPr>
                <w:color w:val="C00000"/>
              </w:rPr>
              <w:t xml:space="preserve"> </w:t>
            </w:r>
            <w:r w:rsidRPr="00ED251B">
              <w:t>under the PBS are fulfilled.</w:t>
            </w:r>
          </w:p>
          <w:p w14:paraId="3EA5241C" w14:textId="77777777" w:rsidR="00B37E0D" w:rsidRPr="00ED251B" w:rsidRDefault="00B37E0D" w:rsidP="00B37E0D">
            <w:pPr>
              <w:pStyle w:val="TableText"/>
            </w:pPr>
            <w:r w:rsidRPr="00ED251B">
              <w:t>Maximum one test per episode of disease</w:t>
            </w:r>
          </w:p>
          <w:p w14:paraId="60671332" w14:textId="77777777" w:rsidR="00B37E0D" w:rsidRDefault="00B37E0D" w:rsidP="00B37E0D">
            <w:pPr>
              <w:pStyle w:val="TableText"/>
            </w:pPr>
            <w:r w:rsidRPr="00ED251B">
              <w:t xml:space="preserve">This item cannot be claimed in addition to MBS item </w:t>
            </w:r>
            <w:r w:rsidRPr="005A4926">
              <w:rPr>
                <w:color w:val="C00000"/>
              </w:rPr>
              <w:t>AAAA</w:t>
            </w:r>
            <w:r>
              <w:t xml:space="preserve">, </w:t>
            </w:r>
            <w:r w:rsidRPr="00ED251B">
              <w:t>73337</w:t>
            </w:r>
            <w:r w:rsidRPr="005A4926">
              <w:rPr>
                <w:color w:val="C00000"/>
              </w:rPr>
              <w:t xml:space="preserve">, or MBS item for </w:t>
            </w:r>
            <w:r w:rsidRPr="005A4926">
              <w:rPr>
                <w:i/>
                <w:color w:val="C00000"/>
              </w:rPr>
              <w:t>MET</w:t>
            </w:r>
            <w:r w:rsidRPr="005A4926">
              <w:rPr>
                <w:color w:val="C00000"/>
              </w:rPr>
              <w:t>ex14sk testing</w:t>
            </w:r>
          </w:p>
          <w:p w14:paraId="6D585AE0" w14:textId="77777777" w:rsidR="00B37E0D" w:rsidRPr="00ED251B" w:rsidRDefault="00B37E0D" w:rsidP="00B37E0D">
            <w:pPr>
              <w:pStyle w:val="TableText"/>
            </w:pPr>
          </w:p>
          <w:p w14:paraId="6FFB238B" w14:textId="71A32AEC" w:rsidR="00B37E0D" w:rsidRDefault="00B37E0D" w:rsidP="00B37E0D">
            <w:pPr>
              <w:pStyle w:val="TableText"/>
              <w:rPr>
                <w:b/>
              </w:rPr>
            </w:pPr>
            <w:r w:rsidRPr="00ED251B">
              <w:rPr>
                <w:b/>
                <w:bCs/>
              </w:rPr>
              <w:t>Fee:</w:t>
            </w:r>
            <w:r w:rsidRPr="00AE1188">
              <w:t xml:space="preserve">  $</w:t>
            </w:r>
            <w:r>
              <w:t>682.35</w:t>
            </w:r>
            <w:r w:rsidRPr="00ED251B">
              <w:tab/>
            </w:r>
            <w:r w:rsidRPr="00ED251B">
              <w:rPr>
                <w:b/>
                <w:bCs/>
              </w:rPr>
              <w:t>Benefit:</w:t>
            </w:r>
            <w:r w:rsidRPr="00ED251B">
              <w:t xml:space="preserve"> 75% = $511.7</w:t>
            </w:r>
            <w:r>
              <w:t>5</w:t>
            </w:r>
            <w:r w:rsidRPr="00ED251B">
              <w:tab/>
              <w:t>85% = $</w:t>
            </w:r>
            <w:r w:rsidRPr="005A4926">
              <w:rPr>
                <w:color w:val="C00000"/>
              </w:rPr>
              <w:t>594.45</w:t>
            </w:r>
            <w:r w:rsidRPr="005A4926">
              <w:rPr>
                <w:color w:val="C00000"/>
                <w:vertAlign w:val="superscript"/>
              </w:rPr>
              <w:t>a</w:t>
            </w:r>
          </w:p>
        </w:tc>
      </w:tr>
      <w:tr w:rsidR="00B37E0D" w:rsidRPr="005D749D" w14:paraId="5F3D12AE" w14:textId="77777777" w:rsidTr="00170D5B">
        <w:tc>
          <w:tcPr>
            <w:tcW w:w="5000" w:type="pct"/>
            <w:tcBorders>
              <w:top w:val="single" w:sz="4" w:space="0" w:color="000000"/>
              <w:left w:val="single" w:sz="4" w:space="0" w:color="000000"/>
              <w:bottom w:val="single" w:sz="4" w:space="0" w:color="000000"/>
              <w:right w:val="single" w:sz="4" w:space="0" w:color="000000"/>
            </w:tcBorders>
            <w:vAlign w:val="center"/>
          </w:tcPr>
          <w:p w14:paraId="54E7BDA5" w14:textId="77777777" w:rsidR="00B37E0D" w:rsidRPr="00ED251B" w:rsidRDefault="00B37E0D" w:rsidP="00B37E0D">
            <w:pPr>
              <w:pStyle w:val="TableText"/>
              <w:rPr>
                <w:b/>
              </w:rPr>
            </w:pPr>
            <w:r>
              <w:rPr>
                <w:b/>
              </w:rPr>
              <w:t>CCCC</w:t>
            </w:r>
          </w:p>
          <w:p w14:paraId="59633E94" w14:textId="576B7A8A" w:rsidR="00B37E0D" w:rsidRPr="00ED251B" w:rsidRDefault="00B37E0D" w:rsidP="00B37E0D">
            <w:pPr>
              <w:pStyle w:val="TableText"/>
            </w:pPr>
            <w:r w:rsidRPr="00ED251B">
              <w:t xml:space="preserve">A nucleic acid-based multi-gene panel test of tumour tissue from a patient diagnosed with non-small cell lung cancer, shown to have non-squamous histology or histology not otherwise specified, and with documented absence of activating </w:t>
            </w:r>
            <w:r w:rsidRPr="00956452">
              <w:rPr>
                <w:strike/>
                <w:color w:val="C00000"/>
              </w:rPr>
              <w:t>mutations</w:t>
            </w:r>
            <w:r w:rsidRPr="00956452">
              <w:rPr>
                <w:color w:val="C00000"/>
              </w:rPr>
              <w:t xml:space="preserve"> variants </w:t>
            </w:r>
            <w:r w:rsidRPr="00ED251B">
              <w:t xml:space="preserve">of the </w:t>
            </w:r>
            <w:r w:rsidRPr="00871829">
              <w:rPr>
                <w:i/>
              </w:rPr>
              <w:t>EGFR</w:t>
            </w:r>
            <w:r w:rsidRPr="00ED251B">
              <w:t xml:space="preserve"> gene, </w:t>
            </w:r>
            <w:r w:rsidRPr="00871829">
              <w:rPr>
                <w:i/>
              </w:rPr>
              <w:t>KRAS, BRAF</w:t>
            </w:r>
            <w:r w:rsidRPr="00ED251B">
              <w:t xml:space="preserve"> and </w:t>
            </w:r>
            <w:r w:rsidRPr="00871829">
              <w:rPr>
                <w:i/>
              </w:rPr>
              <w:t>MET</w:t>
            </w:r>
            <w:r w:rsidRPr="00ED251B">
              <w:t xml:space="preserve"> exon14, requested by, or on behalf of, a specialist or consultant physician, to detect:</w:t>
            </w:r>
          </w:p>
          <w:p w14:paraId="4F649339" w14:textId="77777777" w:rsidR="00B37E0D" w:rsidRPr="00ED251B" w:rsidRDefault="00B37E0D" w:rsidP="00B37E0D">
            <w:pPr>
              <w:pStyle w:val="TableText"/>
              <w:numPr>
                <w:ilvl w:val="0"/>
                <w:numId w:val="18"/>
              </w:numPr>
            </w:pPr>
            <w:r w:rsidRPr="00ED251B">
              <w:t xml:space="preserve">the fusion status of at least </w:t>
            </w:r>
            <w:r w:rsidRPr="00ED251B">
              <w:rPr>
                <w:i/>
                <w:iCs/>
              </w:rPr>
              <w:t>ALK, ROS1, RET</w:t>
            </w:r>
            <w:r w:rsidRPr="00ED251B">
              <w:t xml:space="preserve">, and </w:t>
            </w:r>
            <w:r w:rsidRPr="00ED251B">
              <w:rPr>
                <w:i/>
                <w:iCs/>
              </w:rPr>
              <w:t>NTRK</w:t>
            </w:r>
            <w:r w:rsidRPr="00ED251B">
              <w:t xml:space="preserve"> to determine access to specific therapies listed on</w:t>
            </w:r>
            <w:r w:rsidRPr="00ED251B" w:rsidDel="008A61CD">
              <w:t xml:space="preserve"> </w:t>
            </w:r>
            <w:r w:rsidRPr="00ED251B">
              <w:t>the Pharmaceutical Benefits Scheme (PBS) are fulfilled; or</w:t>
            </w:r>
          </w:p>
          <w:p w14:paraId="6070DB48" w14:textId="4DD2672F" w:rsidR="00B37E0D" w:rsidRPr="00ED251B" w:rsidRDefault="00B37E0D" w:rsidP="00B37E0D">
            <w:pPr>
              <w:pStyle w:val="TableText"/>
              <w:numPr>
                <w:ilvl w:val="0"/>
                <w:numId w:val="18"/>
              </w:numPr>
              <w:rPr>
                <w:bCs/>
              </w:rPr>
            </w:pPr>
            <w:r w:rsidRPr="00ED251B">
              <w:t xml:space="preserve">if the requirements relating to </w:t>
            </w:r>
            <w:r w:rsidRPr="00ED251B">
              <w:rPr>
                <w:i/>
                <w:iCs/>
              </w:rPr>
              <w:t>ALK</w:t>
            </w:r>
            <w:r w:rsidRPr="00ED251B">
              <w:t xml:space="preserve"> and </w:t>
            </w:r>
            <w:r w:rsidRPr="00ED251B">
              <w:rPr>
                <w:i/>
                <w:iCs/>
              </w:rPr>
              <w:t>ROS1</w:t>
            </w:r>
            <w:r w:rsidRPr="00ED251B">
              <w:t xml:space="preserve"> status for access to </w:t>
            </w:r>
            <w:r w:rsidR="003C0F59" w:rsidRPr="00716EAB">
              <w:rPr>
                <w:color w:val="C00000"/>
              </w:rPr>
              <w:t xml:space="preserve">a PD-(L)1 immunotherapy </w:t>
            </w:r>
            <w:r w:rsidR="00716EAB" w:rsidRPr="00716EAB">
              <w:rPr>
                <w:strike/>
                <w:color w:val="C00000"/>
              </w:rPr>
              <w:t>pembrolizumab</w:t>
            </w:r>
            <w:r w:rsidR="00716EAB" w:rsidRPr="00716EAB">
              <w:rPr>
                <w:color w:val="C00000"/>
              </w:rPr>
              <w:t xml:space="preserve"> </w:t>
            </w:r>
            <w:r w:rsidRPr="00ED251B">
              <w:t>under the PBS are fulfilled.</w:t>
            </w:r>
          </w:p>
          <w:p w14:paraId="6499305F" w14:textId="77777777" w:rsidR="00B37E0D" w:rsidRPr="00ED251B" w:rsidRDefault="00B37E0D" w:rsidP="00B37E0D">
            <w:pPr>
              <w:pStyle w:val="TableText"/>
            </w:pPr>
            <w:r w:rsidRPr="00ED251B">
              <w:t>Maximum one test per episode of disease</w:t>
            </w:r>
          </w:p>
          <w:p w14:paraId="63E196D5" w14:textId="5D53F114" w:rsidR="00B37E0D" w:rsidRDefault="00B37E0D" w:rsidP="00B37E0D">
            <w:pPr>
              <w:pStyle w:val="TableText"/>
            </w:pPr>
            <w:r w:rsidRPr="00ED251B">
              <w:t>This item can only be claimed if</w:t>
            </w:r>
            <w:r>
              <w:t xml:space="preserve"> </w:t>
            </w:r>
            <w:r w:rsidRPr="00956452">
              <w:rPr>
                <w:color w:val="C00000"/>
              </w:rPr>
              <w:t xml:space="preserve">the result from MBS </w:t>
            </w:r>
            <w:r w:rsidRPr="00ED251B">
              <w:t xml:space="preserve">item number </w:t>
            </w:r>
            <w:r>
              <w:t>BBBB</w:t>
            </w:r>
            <w:r w:rsidRPr="00ED251B">
              <w:t xml:space="preserve"> is negative, and cannot be claimed in addition to MBS items </w:t>
            </w:r>
            <w:r w:rsidRPr="00956452">
              <w:rPr>
                <w:color w:val="C00000"/>
              </w:rPr>
              <w:t>AAAA</w:t>
            </w:r>
            <w:r>
              <w:t xml:space="preserve">, </w:t>
            </w:r>
            <w:r w:rsidRPr="00ED251B">
              <w:t>73341, 73344</w:t>
            </w:r>
          </w:p>
          <w:p w14:paraId="60645FEA" w14:textId="77777777" w:rsidR="00B37E0D" w:rsidRPr="00ED251B" w:rsidRDefault="00B37E0D" w:rsidP="00B37E0D">
            <w:pPr>
              <w:pStyle w:val="TableText"/>
            </w:pPr>
          </w:p>
          <w:p w14:paraId="5D2E95FE" w14:textId="5509F149" w:rsidR="00B37E0D" w:rsidRPr="00956452" w:rsidRDefault="00B37E0D" w:rsidP="00B37E0D">
            <w:pPr>
              <w:pStyle w:val="TableText"/>
              <w:rPr>
                <w:b/>
                <w:vertAlign w:val="superscript"/>
              </w:rPr>
            </w:pPr>
            <w:r w:rsidRPr="00ED251B">
              <w:rPr>
                <w:bCs/>
              </w:rPr>
              <w:lastRenderedPageBreak/>
              <w:t>Fee:</w:t>
            </w:r>
            <w:r w:rsidRPr="00ED251B">
              <w:t xml:space="preserve">  $682.35</w:t>
            </w:r>
            <w:r w:rsidRPr="00ED251B">
              <w:tab/>
            </w:r>
            <w:r w:rsidRPr="00ED251B">
              <w:rPr>
                <w:bCs/>
              </w:rPr>
              <w:t>Benefit:</w:t>
            </w:r>
            <w:r w:rsidRPr="00ED251B">
              <w:t xml:space="preserve"> 75% = $511.7</w:t>
            </w:r>
            <w:r>
              <w:t>5</w:t>
            </w:r>
            <w:r w:rsidRPr="00ED251B">
              <w:tab/>
              <w:t>85% = $</w:t>
            </w:r>
            <w:r w:rsidRPr="00956452">
              <w:rPr>
                <w:color w:val="C00000"/>
              </w:rPr>
              <w:t>594.45</w:t>
            </w:r>
            <w:r w:rsidRPr="00956452">
              <w:rPr>
                <w:color w:val="C00000"/>
                <w:vertAlign w:val="superscript"/>
              </w:rPr>
              <w:t>a</w:t>
            </w:r>
          </w:p>
        </w:tc>
      </w:tr>
    </w:tbl>
    <w:p w14:paraId="5F645879" w14:textId="5FFC466B" w:rsidR="0095267B" w:rsidRPr="0095267B" w:rsidRDefault="000F1E25" w:rsidP="0095267B">
      <w:pPr>
        <w:pStyle w:val="TableFooter"/>
        <w:rPr>
          <w:szCs w:val="18"/>
        </w:rPr>
      </w:pPr>
      <w:r>
        <w:rPr>
          <w:vertAlign w:val="superscript"/>
        </w:rPr>
        <w:lastRenderedPageBreak/>
        <w:t>a</w:t>
      </w:r>
      <w:r w:rsidR="0046081C" w:rsidRPr="0046081C">
        <w:rPr>
          <w:szCs w:val="18"/>
        </w:rPr>
        <w:t xml:space="preserve"> </w:t>
      </w:r>
      <w:r w:rsidR="0046081C">
        <w:rPr>
          <w:szCs w:val="18"/>
        </w:rPr>
        <w:t>Reflects the 1 November 2021 Greatest Permissible Gap (GPG) of $87.90. A</w:t>
      </w:r>
      <w:r w:rsidR="0046081C" w:rsidRPr="00D07F41">
        <w:rPr>
          <w:szCs w:val="18"/>
        </w:rPr>
        <w:t>ll out-of-hospital Medicare services which have an MBS fee of $586.20 or more will attract a benefit that is greater than 85% of the MBS fee</w:t>
      </w:r>
      <w:r w:rsidR="0046081C">
        <w:rPr>
          <w:szCs w:val="18"/>
        </w:rPr>
        <w:t xml:space="preserve"> – being the schedule fee less the GPG amount. </w:t>
      </w:r>
      <w:r w:rsidR="0046081C" w:rsidRPr="00D07F41">
        <w:rPr>
          <w:szCs w:val="18"/>
        </w:rPr>
        <w:t>The GPG amount is indexed annually on 1 November in line with the Consumer Price Index (CPI) (June quarter)</w:t>
      </w:r>
      <w:r w:rsidR="0095267B">
        <w:rPr>
          <w:szCs w:val="18"/>
        </w:rPr>
        <w:t>.</w:t>
      </w:r>
      <w:r w:rsidR="0095267B" w:rsidRPr="0095267B">
        <w:t xml:space="preserve"> </w:t>
      </w:r>
      <w:r w:rsidR="0095267B" w:rsidRPr="0095267B">
        <w:rPr>
          <w:szCs w:val="18"/>
        </w:rPr>
        <w:t xml:space="preserve">Suggested changes to the MBS items are shown in red </w:t>
      </w:r>
      <w:r w:rsidR="00B701ED">
        <w:rPr>
          <w:szCs w:val="18"/>
        </w:rPr>
        <w:t xml:space="preserve">and strikethrough </w:t>
      </w:r>
      <w:r w:rsidR="0095267B" w:rsidRPr="0095267B">
        <w:rPr>
          <w:szCs w:val="18"/>
        </w:rPr>
        <w:t xml:space="preserve">text. </w:t>
      </w:r>
    </w:p>
    <w:p w14:paraId="0883E0F3" w14:textId="27A2F2E6" w:rsidR="0046081C" w:rsidRPr="009009D3" w:rsidRDefault="0046081C" w:rsidP="000F1E25">
      <w:pPr>
        <w:pStyle w:val="TableFooter"/>
      </w:pPr>
    </w:p>
    <w:p w14:paraId="4776D0B5" w14:textId="2BA56A33" w:rsidR="00871829" w:rsidRDefault="00871829" w:rsidP="00871829">
      <w:pPr>
        <w:pStyle w:val="NormalBeforeBullet"/>
      </w:pPr>
      <w:r>
        <w:t xml:space="preserve">The </w:t>
      </w:r>
      <w:r w:rsidR="00BD3606">
        <w:t>proposal</w:t>
      </w:r>
      <w:r>
        <w:t xml:space="preserve"> is that item CCCC (for RNA testing) would only be used if targetable biomarkers are not already detected by item BBBB (DNA testing). Although additional genes may be tested as part of the panels (as those listed are the minimum), a variant identified in other genes on the DNA panel (for which there is not a PBS-listed treatment available) is not intended to prohibit further testing of the RNA.</w:t>
      </w:r>
      <w:r w:rsidR="0046081C">
        <w:t xml:space="preserve"> </w:t>
      </w:r>
    </w:p>
    <w:p w14:paraId="16FEE7DC" w14:textId="3D6CB965" w:rsidR="0046081C" w:rsidRDefault="0046081C">
      <w:pPr>
        <w:pStyle w:val="NormalBeforeBullet"/>
      </w:pPr>
      <w:r>
        <w:t xml:space="preserve">Note, the proposed items include testing of genes which currently do not have PBS-listed specific therapies </w:t>
      </w:r>
      <w:r w:rsidR="00DB1C40">
        <w:t xml:space="preserve">for NSCLC </w:t>
      </w:r>
      <w:r>
        <w:t xml:space="preserve">(i.e. </w:t>
      </w:r>
      <w:r w:rsidR="00DB1C40">
        <w:rPr>
          <w:i/>
        </w:rPr>
        <w:t>KRAS, BRAF</w:t>
      </w:r>
      <w:r w:rsidR="00E33627">
        <w:t xml:space="preserve">, </w:t>
      </w:r>
      <w:r w:rsidR="0063232E" w:rsidRPr="0063232E">
        <w:rPr>
          <w:i/>
        </w:rPr>
        <w:t>MET</w:t>
      </w:r>
      <w:r w:rsidR="0063232E">
        <w:t>exon 14,</w:t>
      </w:r>
      <w:r w:rsidR="0063232E">
        <w:rPr>
          <w:i/>
        </w:rPr>
        <w:t xml:space="preserve"> </w:t>
      </w:r>
      <w:r w:rsidR="00E33627" w:rsidRPr="00956452">
        <w:rPr>
          <w:i/>
        </w:rPr>
        <w:t xml:space="preserve">RET </w:t>
      </w:r>
      <w:r w:rsidR="00E33627">
        <w:t xml:space="preserve">and </w:t>
      </w:r>
      <w:r w:rsidR="00E33627">
        <w:rPr>
          <w:i/>
        </w:rPr>
        <w:t>NTRK)</w:t>
      </w:r>
      <w:r w:rsidR="002D3645">
        <w:rPr>
          <w:i/>
        </w:rPr>
        <w:t xml:space="preserve">, </w:t>
      </w:r>
      <w:r w:rsidR="002D3645">
        <w:t>although</w:t>
      </w:r>
      <w:r w:rsidR="00E33627">
        <w:rPr>
          <w:i/>
        </w:rPr>
        <w:t xml:space="preserve"> </w:t>
      </w:r>
      <w:r w:rsidR="00DB1C40">
        <w:rPr>
          <w:i/>
        </w:rPr>
        <w:t>MET</w:t>
      </w:r>
      <w:r w:rsidR="00DB1C40">
        <w:t>ex14sk</w:t>
      </w:r>
      <w:r w:rsidR="0063232E">
        <w:t xml:space="preserve"> has a PBAC</w:t>
      </w:r>
      <w:r w:rsidR="000624F0">
        <w:t>-recommended specific therapy</w:t>
      </w:r>
      <w:r w:rsidR="0063232E">
        <w:t xml:space="preserve">, which is not yet PBS-listed. The applicants justified the additional genes by referencing international guidelines, which recommend the inclusion of the specified genes as a minimum (given targeted therapies are available for </w:t>
      </w:r>
      <w:r w:rsidR="00D35E7F">
        <w:t xml:space="preserve">NSCLC </w:t>
      </w:r>
      <w:r w:rsidR="0063232E">
        <w:t xml:space="preserve">tumours with variants in the specified genes, even if they are not PBS-listed). </w:t>
      </w:r>
      <w:r w:rsidR="002D3645">
        <w:t xml:space="preserve">This should future-proof the items in case the targeted therapies become PBS-listed in the near future. </w:t>
      </w:r>
      <w:r w:rsidR="0063232E">
        <w:t>Concurrent variants in the l</w:t>
      </w:r>
      <w:r w:rsidR="002D3645">
        <w:t xml:space="preserve">isted genes are rare, so identifying pathogenic variants in the </w:t>
      </w:r>
      <w:r w:rsidR="002D3645">
        <w:rPr>
          <w:i/>
        </w:rPr>
        <w:t xml:space="preserve">KRAS, BRAF, RET </w:t>
      </w:r>
      <w:r w:rsidR="002D3645">
        <w:t xml:space="preserve">or </w:t>
      </w:r>
      <w:r w:rsidR="002D3645">
        <w:rPr>
          <w:i/>
        </w:rPr>
        <w:t>NTRK</w:t>
      </w:r>
      <w:r w:rsidR="002D3645">
        <w:t xml:space="preserve"> genes is highly likely to rule out the presence of rearrangements in </w:t>
      </w:r>
      <w:r w:rsidR="002D3645">
        <w:rPr>
          <w:i/>
        </w:rPr>
        <w:t>ALK</w:t>
      </w:r>
      <w:r w:rsidR="002D3645">
        <w:t xml:space="preserve"> or </w:t>
      </w:r>
      <w:r w:rsidR="002D3645">
        <w:rPr>
          <w:i/>
        </w:rPr>
        <w:t xml:space="preserve">ROS1 </w:t>
      </w:r>
      <w:r w:rsidR="002D3645">
        <w:t xml:space="preserve">genes. The additional genes are therefore reasonable to include, although it may result in a very small number of patients with </w:t>
      </w:r>
      <w:r w:rsidR="002D3645">
        <w:rPr>
          <w:i/>
        </w:rPr>
        <w:t>ALK</w:t>
      </w:r>
      <w:r w:rsidR="002D3645">
        <w:t xml:space="preserve"> or </w:t>
      </w:r>
      <w:r w:rsidR="002D3645">
        <w:rPr>
          <w:i/>
        </w:rPr>
        <w:t>ROS1</w:t>
      </w:r>
      <w:r w:rsidR="002D3645">
        <w:t xml:space="preserve"> variants in their tumour not being identified, and </w:t>
      </w:r>
      <w:r w:rsidR="00827A66">
        <w:t xml:space="preserve">consequently </w:t>
      </w:r>
      <w:r w:rsidR="002D3645">
        <w:t xml:space="preserve">missing out on </w:t>
      </w:r>
      <w:r w:rsidR="00A606BF">
        <w:t xml:space="preserve">receiving </w:t>
      </w:r>
      <w:r w:rsidR="00827A66">
        <w:t>a</w:t>
      </w:r>
      <w:r w:rsidR="00A606BF">
        <w:t>n</w:t>
      </w:r>
      <w:r w:rsidR="00827A66">
        <w:t xml:space="preserve"> appropriate </w:t>
      </w:r>
      <w:r w:rsidR="002D3645">
        <w:t xml:space="preserve">targeted therapy. </w:t>
      </w:r>
    </w:p>
    <w:p w14:paraId="0F113402" w14:textId="00208181" w:rsidR="003C0F59" w:rsidRDefault="003C0F59" w:rsidP="003F6D26">
      <w:pPr>
        <w:pStyle w:val="NormalBeforeBullet"/>
      </w:pPr>
      <w:r>
        <w:t>The proposal to refer to a PD-(L)1 immunotherapy rather than pembrol</w:t>
      </w:r>
      <w:r w:rsidR="003F6D26">
        <w:t>i</w:t>
      </w:r>
      <w:r>
        <w:t xml:space="preserve">zumab reflects the fact that the PBS restriction </w:t>
      </w:r>
      <w:r w:rsidR="003F6D26">
        <w:t xml:space="preserve">for NSCLC </w:t>
      </w:r>
      <w:r>
        <w:t xml:space="preserve">of several of these medicines require </w:t>
      </w:r>
      <w:r w:rsidR="003F6D26">
        <w:t xml:space="preserve">that the “condition must not have evidence of an activating epidermal growth factor receptor (EGFR) gene or an anaplastic lymphoma kinase (ALK) gene rearrangement in tumour”. If MSAC supports this suggestion, then it is requested that MSAC also support the related changes to existing MBS items </w:t>
      </w:r>
      <w:r w:rsidR="003F6D26" w:rsidRPr="003F6D26">
        <w:t>73337, 73341</w:t>
      </w:r>
      <w:r w:rsidR="003F6D26">
        <w:t xml:space="preserve"> and</w:t>
      </w:r>
      <w:r w:rsidR="003F6D26" w:rsidRPr="003F6D26">
        <w:t xml:space="preserve"> 73344</w:t>
      </w:r>
      <w:r w:rsidR="003F6D26">
        <w:t>.</w:t>
      </w:r>
    </w:p>
    <w:p w14:paraId="424DFD44" w14:textId="447EBA36" w:rsidR="008543F0" w:rsidRPr="00956452" w:rsidRDefault="008543F0">
      <w:pPr>
        <w:pStyle w:val="NormalBeforeBullet"/>
      </w:pPr>
      <w:r>
        <w:t xml:space="preserve">Sensitivity analyses were performed to assess the impact of allowing patients with </w:t>
      </w:r>
      <w:r>
        <w:rPr>
          <w:i/>
        </w:rPr>
        <w:t xml:space="preserve">KRAS </w:t>
      </w:r>
      <w:r>
        <w:t xml:space="preserve">or </w:t>
      </w:r>
      <w:r>
        <w:rPr>
          <w:i/>
        </w:rPr>
        <w:t>BRAF</w:t>
      </w:r>
      <w:r>
        <w:t xml:space="preserve"> variants to undergo RNA testing. </w:t>
      </w:r>
    </w:p>
    <w:p w14:paraId="34E0B08F" w14:textId="48C03C18" w:rsidR="00772829" w:rsidRPr="00CE28E3" w:rsidRDefault="00C36633" w:rsidP="002A18BE">
      <w:pPr>
        <w:pStyle w:val="Heading2"/>
        <w:numPr>
          <w:ilvl w:val="0"/>
          <w:numId w:val="0"/>
        </w:numPr>
      </w:pPr>
      <w:bookmarkStart w:id="18" w:name="_Toc148531121"/>
      <w:r>
        <w:t>5.</w:t>
      </w:r>
      <w:r>
        <w:tab/>
      </w:r>
      <w:r w:rsidR="00772829" w:rsidRPr="00CE28E3">
        <w:t>Population</w:t>
      </w:r>
      <w:bookmarkEnd w:id="18"/>
    </w:p>
    <w:p w14:paraId="02AB4786" w14:textId="163FF93D" w:rsidR="00451EA3" w:rsidRDefault="00C7422C" w:rsidP="00C7422C">
      <w:pPr>
        <w:pStyle w:val="NormalBeforeBullet"/>
      </w:pPr>
      <w:r>
        <w:t>The target population are those diagnosed with non-squamous or not otherwise specified (NOS) NSCLC. It is estimated that in 2021, there were 11,738 newly diagnosed cases of NSCLC in Australia.</w:t>
      </w:r>
    </w:p>
    <w:p w14:paraId="07006A2D" w14:textId="66D2096A" w:rsidR="00F82F35" w:rsidRDefault="00451EA3" w:rsidP="00C7422C">
      <w:pPr>
        <w:pStyle w:val="NormalBeforeBullet"/>
      </w:pPr>
      <w:r>
        <w:t xml:space="preserve">There are a number of different somatic variants which are important to identify in NSCLC tumours, as they may be the primary cause of the cancer growing and dividing. For many </w:t>
      </w:r>
      <w:r w:rsidR="00F82F35">
        <w:t>variants</w:t>
      </w:r>
      <w:r>
        <w:t xml:space="preserve"> in NSCLC tumours, there are </w:t>
      </w:r>
      <w:r w:rsidR="00F82F35">
        <w:t xml:space="preserve">targeted </w:t>
      </w:r>
      <w:r>
        <w:t>trea</w:t>
      </w:r>
      <w:r w:rsidR="00F82F35">
        <w:t xml:space="preserve">tments which have been found effective, and </w:t>
      </w:r>
      <w:r w:rsidR="00D010AA">
        <w:t xml:space="preserve">identification of </w:t>
      </w:r>
      <w:r w:rsidR="00F82F35">
        <w:t>the biomarker can therefore allow optimal treatment of the tumour. The targeted treatments currently listed on the PBS are:</w:t>
      </w:r>
    </w:p>
    <w:p w14:paraId="0E9580DB" w14:textId="77777777" w:rsidR="00F82F35" w:rsidRDefault="00F82F35" w:rsidP="00F82F35">
      <w:pPr>
        <w:pStyle w:val="NormalBeforeBullet"/>
        <w:numPr>
          <w:ilvl w:val="0"/>
          <w:numId w:val="45"/>
        </w:numPr>
      </w:pPr>
      <w:r>
        <w:t xml:space="preserve">erlotinib, gefitinib, afatinib, osimertinib (for </w:t>
      </w:r>
      <w:r>
        <w:rPr>
          <w:i/>
        </w:rPr>
        <w:t xml:space="preserve">EGFR </w:t>
      </w:r>
      <w:r>
        <w:t>activating variants),</w:t>
      </w:r>
    </w:p>
    <w:p w14:paraId="32748DB1" w14:textId="472A24B6" w:rsidR="00F82F35" w:rsidRDefault="00F82F35" w:rsidP="00F82F35">
      <w:pPr>
        <w:pStyle w:val="NormalBeforeBullet"/>
        <w:numPr>
          <w:ilvl w:val="0"/>
          <w:numId w:val="45"/>
        </w:numPr>
      </w:pPr>
      <w:r>
        <w:t xml:space="preserve">osimertinib (for </w:t>
      </w:r>
      <w:r>
        <w:rPr>
          <w:i/>
        </w:rPr>
        <w:t xml:space="preserve">EGFR </w:t>
      </w:r>
      <w:r>
        <w:t xml:space="preserve">T790m variant after prior </w:t>
      </w:r>
      <w:r w:rsidRPr="00F82F35">
        <w:t>EGFR</w:t>
      </w:r>
      <w:r>
        <w:t xml:space="preserve"> targeted treatment),</w:t>
      </w:r>
    </w:p>
    <w:p w14:paraId="3737A7C6" w14:textId="36CF3036" w:rsidR="00F82F35" w:rsidRDefault="00F82F35" w:rsidP="00F82F35">
      <w:pPr>
        <w:pStyle w:val="NormalBeforeBullet"/>
        <w:numPr>
          <w:ilvl w:val="0"/>
          <w:numId w:val="45"/>
        </w:numPr>
      </w:pPr>
      <w:r w:rsidRPr="00F82F35">
        <w:t>crizotinib</w:t>
      </w:r>
      <w:r>
        <w:t xml:space="preserve">, ceritinib, alectinib, brigatinib, lorlatinib (for </w:t>
      </w:r>
      <w:r>
        <w:rPr>
          <w:i/>
        </w:rPr>
        <w:t>ALK</w:t>
      </w:r>
      <w:r>
        <w:t xml:space="preserve"> rearrangements),</w:t>
      </w:r>
    </w:p>
    <w:p w14:paraId="044C00FB" w14:textId="45795624" w:rsidR="00F82F35" w:rsidRDefault="00F82F35" w:rsidP="00F82F35">
      <w:pPr>
        <w:pStyle w:val="NormalBeforeBullet"/>
        <w:numPr>
          <w:ilvl w:val="0"/>
          <w:numId w:val="45"/>
        </w:numPr>
      </w:pPr>
      <w:r>
        <w:lastRenderedPageBreak/>
        <w:t xml:space="preserve">crizotinib and entrectinib (for </w:t>
      </w:r>
      <w:r>
        <w:rPr>
          <w:i/>
        </w:rPr>
        <w:t>ROS1</w:t>
      </w:r>
      <w:r>
        <w:t xml:space="preserve"> rearrangements), and</w:t>
      </w:r>
    </w:p>
    <w:p w14:paraId="21EA6F34" w14:textId="01E435E8" w:rsidR="00F82F35" w:rsidRDefault="003F6D26" w:rsidP="00F82F35">
      <w:pPr>
        <w:pStyle w:val="NormalBeforeBullet"/>
        <w:numPr>
          <w:ilvl w:val="0"/>
          <w:numId w:val="45"/>
        </w:numPr>
      </w:pPr>
      <w:r>
        <w:t>PD-(L)1 immunotherapies</w:t>
      </w:r>
      <w:r w:rsidR="00F82F35">
        <w:t xml:space="preserve"> (for those with an absence of activating </w:t>
      </w:r>
      <w:r w:rsidR="00F82F35">
        <w:rPr>
          <w:i/>
        </w:rPr>
        <w:t>EGFR</w:t>
      </w:r>
      <w:r w:rsidR="00F82F35">
        <w:t xml:space="preserve"> variants, </w:t>
      </w:r>
      <w:r w:rsidR="00F82F35">
        <w:rPr>
          <w:i/>
        </w:rPr>
        <w:t xml:space="preserve">ALK </w:t>
      </w:r>
      <w:r w:rsidR="00F82F35">
        <w:t xml:space="preserve">rearrangements or </w:t>
      </w:r>
      <w:r w:rsidR="00F82F35">
        <w:rPr>
          <w:i/>
        </w:rPr>
        <w:t>ROS1</w:t>
      </w:r>
      <w:r w:rsidR="00F82F35">
        <w:t xml:space="preserve"> rearrangements</w:t>
      </w:r>
      <w:r>
        <w:t>)</w:t>
      </w:r>
      <w:r w:rsidR="00F82F35">
        <w:t>.</w:t>
      </w:r>
    </w:p>
    <w:p w14:paraId="4D99E1B2" w14:textId="6C681FCF" w:rsidR="00F82F35" w:rsidRDefault="00F82F35" w:rsidP="00F82F35">
      <w:pPr>
        <w:pStyle w:val="NormalBeforeBullet"/>
      </w:pPr>
      <w:r>
        <w:t xml:space="preserve">Tepotinib has also been recommended for those with </w:t>
      </w:r>
      <w:r w:rsidRPr="00956452">
        <w:rPr>
          <w:i/>
          <w:iCs/>
        </w:rPr>
        <w:t>MET</w:t>
      </w:r>
      <w:r>
        <w:t>ex14sk alterations.</w:t>
      </w:r>
    </w:p>
    <w:p w14:paraId="19FF22D5" w14:textId="1D80E3D2" w:rsidR="00C7422C" w:rsidRDefault="00F82F35" w:rsidP="00C7422C">
      <w:pPr>
        <w:pStyle w:val="NormalBeforeBullet"/>
      </w:pPr>
      <w:r>
        <w:t xml:space="preserve">Currently, the testing for the relevant biomarkers is done in a sequential manner, </w:t>
      </w:r>
      <w:r w:rsidR="00732AC4">
        <w:t xml:space="preserve">with </w:t>
      </w:r>
      <w:r w:rsidR="00732AC4">
        <w:rPr>
          <w:i/>
        </w:rPr>
        <w:t>EGFR</w:t>
      </w:r>
      <w:r w:rsidR="00732AC4">
        <w:t xml:space="preserve"> variants the first to be tested (testing pathologist-determinable, and </w:t>
      </w:r>
      <w:r w:rsidR="00732AC4">
        <w:rPr>
          <w:i/>
        </w:rPr>
        <w:t xml:space="preserve">EGFR </w:t>
      </w:r>
      <w:r w:rsidR="00732AC4">
        <w:t>testing may occur as soon as NSCLC which is non-squamous or NOS is diagnosed).</w:t>
      </w:r>
      <w:r w:rsidR="00C7422C">
        <w:t xml:space="preserve"> As small NGS gene panels are expected to replace the use of single gene testing, the projected number of patients who would use the proposed intervention can be estimated based on historical use of </w:t>
      </w:r>
      <w:r w:rsidR="00C7422C">
        <w:rPr>
          <w:i/>
        </w:rPr>
        <w:t>EGFR</w:t>
      </w:r>
      <w:r w:rsidR="00C7422C">
        <w:t xml:space="preserve"> testing under MBS item 73337.</w:t>
      </w:r>
      <w:r w:rsidR="007406E3">
        <w:t xml:space="preserve"> </w:t>
      </w:r>
      <w:r w:rsidR="00D97A4A">
        <w:t xml:space="preserve">A survey performed for the purposes of </w:t>
      </w:r>
      <w:hyperlink r:id="rId24" w:history="1">
        <w:r w:rsidR="00D97A4A" w:rsidRPr="00D97A4A">
          <w:rPr>
            <w:rStyle w:val="Hyperlink"/>
          </w:rPr>
          <w:t>P</w:t>
        </w:r>
        <w:r w:rsidR="00D97A4A">
          <w:rPr>
            <w:rStyle w:val="Hyperlink"/>
          </w:rPr>
          <w:t>ICO confirmation 1669</w:t>
        </w:r>
        <w:r w:rsidR="00D97A4A" w:rsidRPr="00D97A4A">
          <w:rPr>
            <w:rStyle w:val="Hyperlink"/>
          </w:rPr>
          <w:t xml:space="preserve"> </w:t>
        </w:r>
      </w:hyperlink>
      <w:r w:rsidR="00D97A4A">
        <w:t>reported that most laboratories are already using small DNA panels. If the proposed separate DNA and RNA panels are added to the MBS, then the small</w:t>
      </w:r>
      <w:r w:rsidR="00EC5E6B">
        <w:t xml:space="preserve"> DNA panel item is likely to be able to </w:t>
      </w:r>
      <w:r w:rsidR="00535408">
        <w:t xml:space="preserve">be </w:t>
      </w:r>
      <w:r w:rsidR="00EC5E6B">
        <w:t>used by most laboratories from the time of listing (</w:t>
      </w:r>
      <w:r w:rsidR="00EC5E6B">
        <w:fldChar w:fldCharType="begin"/>
      </w:r>
      <w:r w:rsidR="00EC5E6B">
        <w:instrText xml:space="preserve"> REF _Ref111023996 \h </w:instrText>
      </w:r>
      <w:r w:rsidR="00EC5E6B">
        <w:fldChar w:fldCharType="separate"/>
      </w:r>
      <w:r w:rsidR="00C857F3">
        <w:t xml:space="preserve">Table </w:t>
      </w:r>
      <w:r w:rsidR="00C857F3">
        <w:rPr>
          <w:noProof/>
        </w:rPr>
        <w:t>4</w:t>
      </w:r>
      <w:r w:rsidR="00EC5E6B">
        <w:fldChar w:fldCharType="end"/>
      </w:r>
      <w:r w:rsidR="00EC5E6B">
        <w:t xml:space="preserve">). However, capacity to perform small RNA panels is more restricted, and </w:t>
      </w:r>
      <w:r w:rsidR="00D5595B">
        <w:t xml:space="preserve">in the near future, </w:t>
      </w:r>
      <w:r w:rsidR="00EC5E6B">
        <w:t xml:space="preserve">laboratories may either </w:t>
      </w:r>
      <w:r w:rsidR="00661CC5">
        <w:t xml:space="preserve">transfer the tissue to another laboratory for RNA testing or continue to use IHC and FISH for the assessment of </w:t>
      </w:r>
      <w:r w:rsidR="00661CC5">
        <w:rPr>
          <w:i/>
        </w:rPr>
        <w:t xml:space="preserve">ALK </w:t>
      </w:r>
      <w:r w:rsidR="00661CC5">
        <w:t xml:space="preserve">and </w:t>
      </w:r>
      <w:r w:rsidR="00661CC5">
        <w:rPr>
          <w:i/>
        </w:rPr>
        <w:t xml:space="preserve">ROS1. </w:t>
      </w:r>
      <w:r w:rsidR="00661CC5">
        <w:t xml:space="preserve">The applicants have also stated that some patients will have insufficient tumour tissue available for RNA to be extracted, so 5-10% of cases may continue to be tested using FISH rather than an NGS panel. </w:t>
      </w:r>
    </w:p>
    <w:p w14:paraId="72D917DD" w14:textId="625B399A" w:rsidR="0072663D" w:rsidRPr="00661CC5" w:rsidRDefault="0072663D" w:rsidP="00C7422C">
      <w:pPr>
        <w:pStyle w:val="NormalBeforeBullet"/>
      </w:pPr>
      <w:r>
        <w:t xml:space="preserve">Prior testing, and projections of use only consider testing in patients with non-squamous (or not otherwise specified) histology, and do not consider the utilisation if patients with squamous NSCLC are also tested. This is estimated to increase the projections by 15%. </w:t>
      </w:r>
    </w:p>
    <w:p w14:paraId="7F954BE2" w14:textId="66F90FF4" w:rsidR="00C7422C" w:rsidRDefault="00C7422C" w:rsidP="00C7422C">
      <w:pPr>
        <w:pStyle w:val="Caption"/>
      </w:pPr>
      <w:r w:rsidRPr="00CE28E3">
        <w:t>Table</w:t>
      </w:r>
      <w:r>
        <w:t> </w:t>
      </w:r>
      <w:fldSimple w:instr=" SEQ Table \* ARABIC ">
        <w:r w:rsidR="00C857F3">
          <w:rPr>
            <w:noProof/>
          </w:rPr>
          <w:t>3</w:t>
        </w:r>
      </w:fldSimple>
      <w:r w:rsidRPr="00CE28E3">
        <w:tab/>
      </w:r>
      <w:r>
        <w:t>Use of MBS item 73337, 2015−2021</w:t>
      </w:r>
    </w:p>
    <w:tbl>
      <w:tblPr>
        <w:tblStyle w:val="TableGrid"/>
        <w:tblW w:w="0" w:type="auto"/>
        <w:tblLook w:val="04A0" w:firstRow="1" w:lastRow="0" w:firstColumn="1" w:lastColumn="0" w:noHBand="0" w:noVBand="1"/>
        <w:tblCaption w:val="Use of MBS item 73337, 2015−2021"/>
        <w:tblDescription w:val="Historical use of the EGFR testing item"/>
      </w:tblPr>
      <w:tblGrid>
        <w:gridCol w:w="1413"/>
        <w:gridCol w:w="1086"/>
        <w:gridCol w:w="1086"/>
        <w:gridCol w:w="1086"/>
        <w:gridCol w:w="1086"/>
        <w:gridCol w:w="1086"/>
        <w:gridCol w:w="1086"/>
        <w:gridCol w:w="1087"/>
      </w:tblGrid>
      <w:tr w:rsidR="00C7422C" w:rsidRPr="00507A6B" w14:paraId="7A10CFC8" w14:textId="77777777" w:rsidTr="003A6029">
        <w:trPr>
          <w:tblHeader/>
        </w:trPr>
        <w:tc>
          <w:tcPr>
            <w:tcW w:w="1413" w:type="dxa"/>
          </w:tcPr>
          <w:p w14:paraId="1D8D2B9E" w14:textId="77777777" w:rsidR="00C7422C" w:rsidRPr="00507A6B" w:rsidRDefault="00C7422C" w:rsidP="00F82F35">
            <w:pPr>
              <w:pStyle w:val="TableHeading"/>
              <w:jc w:val="center"/>
            </w:pPr>
          </w:p>
        </w:tc>
        <w:tc>
          <w:tcPr>
            <w:tcW w:w="1086" w:type="dxa"/>
          </w:tcPr>
          <w:p w14:paraId="4BCF1275" w14:textId="77777777" w:rsidR="00C7422C" w:rsidRPr="00507A6B" w:rsidRDefault="00C7422C" w:rsidP="00F82F35">
            <w:pPr>
              <w:pStyle w:val="TableHeading"/>
              <w:jc w:val="center"/>
            </w:pPr>
            <w:r w:rsidRPr="00507A6B">
              <w:t>2015</w:t>
            </w:r>
          </w:p>
        </w:tc>
        <w:tc>
          <w:tcPr>
            <w:tcW w:w="1086" w:type="dxa"/>
          </w:tcPr>
          <w:p w14:paraId="6203E5F9" w14:textId="77777777" w:rsidR="00C7422C" w:rsidRPr="00507A6B" w:rsidRDefault="00C7422C" w:rsidP="00F82F35">
            <w:pPr>
              <w:pStyle w:val="TableHeading"/>
              <w:jc w:val="center"/>
            </w:pPr>
            <w:r w:rsidRPr="00507A6B">
              <w:t>2016</w:t>
            </w:r>
          </w:p>
        </w:tc>
        <w:tc>
          <w:tcPr>
            <w:tcW w:w="1086" w:type="dxa"/>
          </w:tcPr>
          <w:p w14:paraId="4A9A68A2" w14:textId="77777777" w:rsidR="00C7422C" w:rsidRPr="00507A6B" w:rsidRDefault="00C7422C" w:rsidP="00F82F35">
            <w:pPr>
              <w:pStyle w:val="TableHeading"/>
              <w:jc w:val="center"/>
            </w:pPr>
            <w:r w:rsidRPr="00507A6B">
              <w:t>2017</w:t>
            </w:r>
          </w:p>
        </w:tc>
        <w:tc>
          <w:tcPr>
            <w:tcW w:w="1086" w:type="dxa"/>
          </w:tcPr>
          <w:p w14:paraId="20ACED43" w14:textId="77777777" w:rsidR="00C7422C" w:rsidRPr="00507A6B" w:rsidRDefault="00C7422C" w:rsidP="00F82F35">
            <w:pPr>
              <w:pStyle w:val="TableHeading"/>
              <w:jc w:val="center"/>
            </w:pPr>
            <w:r w:rsidRPr="00507A6B">
              <w:t>2018</w:t>
            </w:r>
          </w:p>
        </w:tc>
        <w:tc>
          <w:tcPr>
            <w:tcW w:w="1086" w:type="dxa"/>
          </w:tcPr>
          <w:p w14:paraId="2516F816" w14:textId="77777777" w:rsidR="00C7422C" w:rsidRPr="00507A6B" w:rsidRDefault="00C7422C" w:rsidP="00F82F35">
            <w:pPr>
              <w:pStyle w:val="TableHeading"/>
              <w:jc w:val="center"/>
            </w:pPr>
            <w:r w:rsidRPr="00507A6B">
              <w:t>2019</w:t>
            </w:r>
          </w:p>
        </w:tc>
        <w:tc>
          <w:tcPr>
            <w:tcW w:w="1086" w:type="dxa"/>
          </w:tcPr>
          <w:p w14:paraId="7D38282C" w14:textId="77777777" w:rsidR="00C7422C" w:rsidRPr="00507A6B" w:rsidRDefault="00C7422C" w:rsidP="00F82F35">
            <w:pPr>
              <w:pStyle w:val="TableHeading"/>
              <w:jc w:val="center"/>
            </w:pPr>
            <w:r w:rsidRPr="00507A6B">
              <w:t>2020</w:t>
            </w:r>
          </w:p>
        </w:tc>
        <w:tc>
          <w:tcPr>
            <w:tcW w:w="1087" w:type="dxa"/>
          </w:tcPr>
          <w:p w14:paraId="6E6A2B6C" w14:textId="77777777" w:rsidR="00C7422C" w:rsidRPr="00507A6B" w:rsidRDefault="00C7422C" w:rsidP="00F82F35">
            <w:pPr>
              <w:pStyle w:val="TableHeading"/>
              <w:jc w:val="center"/>
            </w:pPr>
            <w:r w:rsidRPr="00507A6B">
              <w:t>2021</w:t>
            </w:r>
          </w:p>
        </w:tc>
      </w:tr>
      <w:tr w:rsidR="00C7422C" w:rsidRPr="00507A6B" w14:paraId="4CF7A500" w14:textId="77777777" w:rsidTr="00F82F35">
        <w:tc>
          <w:tcPr>
            <w:tcW w:w="1413" w:type="dxa"/>
          </w:tcPr>
          <w:p w14:paraId="72002E1B" w14:textId="77777777" w:rsidR="00C7422C" w:rsidRPr="00507A6B" w:rsidRDefault="00C7422C" w:rsidP="00F82F35">
            <w:pPr>
              <w:pStyle w:val="TableText"/>
            </w:pPr>
            <w:r w:rsidRPr="00507A6B">
              <w:t>No. services</w:t>
            </w:r>
          </w:p>
        </w:tc>
        <w:tc>
          <w:tcPr>
            <w:tcW w:w="1086" w:type="dxa"/>
          </w:tcPr>
          <w:p w14:paraId="0BF5A4CB" w14:textId="77777777" w:rsidR="00C7422C" w:rsidRPr="00507A6B" w:rsidRDefault="00C7422C" w:rsidP="00F82F35">
            <w:pPr>
              <w:pStyle w:val="TableText"/>
              <w:jc w:val="center"/>
            </w:pPr>
            <w:r w:rsidRPr="00507A6B">
              <w:t>3,368</w:t>
            </w:r>
          </w:p>
        </w:tc>
        <w:tc>
          <w:tcPr>
            <w:tcW w:w="1086" w:type="dxa"/>
          </w:tcPr>
          <w:p w14:paraId="69BFB145" w14:textId="77777777" w:rsidR="00C7422C" w:rsidRPr="00507A6B" w:rsidRDefault="00C7422C" w:rsidP="00F82F35">
            <w:pPr>
              <w:pStyle w:val="TableText"/>
              <w:jc w:val="center"/>
            </w:pPr>
            <w:r w:rsidRPr="00507A6B">
              <w:t>3,419</w:t>
            </w:r>
          </w:p>
        </w:tc>
        <w:tc>
          <w:tcPr>
            <w:tcW w:w="1086" w:type="dxa"/>
          </w:tcPr>
          <w:p w14:paraId="7A00A6BD" w14:textId="77777777" w:rsidR="00C7422C" w:rsidRPr="00507A6B" w:rsidRDefault="00C7422C" w:rsidP="00F82F35">
            <w:pPr>
              <w:pStyle w:val="TableText"/>
              <w:jc w:val="center"/>
            </w:pPr>
            <w:r w:rsidRPr="00507A6B">
              <w:t>3,863</w:t>
            </w:r>
          </w:p>
        </w:tc>
        <w:tc>
          <w:tcPr>
            <w:tcW w:w="1086" w:type="dxa"/>
          </w:tcPr>
          <w:p w14:paraId="06099879" w14:textId="77777777" w:rsidR="00C7422C" w:rsidRPr="00507A6B" w:rsidRDefault="00C7422C" w:rsidP="00F82F35">
            <w:pPr>
              <w:pStyle w:val="TableText"/>
              <w:jc w:val="center"/>
            </w:pPr>
            <w:r w:rsidRPr="00507A6B">
              <w:t>4,147</w:t>
            </w:r>
          </w:p>
        </w:tc>
        <w:tc>
          <w:tcPr>
            <w:tcW w:w="1086" w:type="dxa"/>
          </w:tcPr>
          <w:p w14:paraId="392B1E84" w14:textId="77777777" w:rsidR="00C7422C" w:rsidRPr="00507A6B" w:rsidRDefault="00C7422C" w:rsidP="00F82F35">
            <w:pPr>
              <w:pStyle w:val="TableText"/>
              <w:jc w:val="center"/>
            </w:pPr>
            <w:r w:rsidRPr="00507A6B">
              <w:t>4,603</w:t>
            </w:r>
          </w:p>
        </w:tc>
        <w:tc>
          <w:tcPr>
            <w:tcW w:w="1086" w:type="dxa"/>
          </w:tcPr>
          <w:p w14:paraId="463E8F82" w14:textId="77777777" w:rsidR="00C7422C" w:rsidRPr="00507A6B" w:rsidRDefault="00C7422C" w:rsidP="00F82F35">
            <w:pPr>
              <w:pStyle w:val="TableText"/>
              <w:jc w:val="center"/>
            </w:pPr>
            <w:r w:rsidRPr="00507A6B">
              <w:t>4,697</w:t>
            </w:r>
          </w:p>
        </w:tc>
        <w:tc>
          <w:tcPr>
            <w:tcW w:w="1087" w:type="dxa"/>
          </w:tcPr>
          <w:p w14:paraId="69145B18" w14:textId="77777777" w:rsidR="00C7422C" w:rsidRPr="00507A6B" w:rsidRDefault="00C7422C" w:rsidP="00F82F35">
            <w:pPr>
              <w:pStyle w:val="TableText"/>
              <w:jc w:val="center"/>
            </w:pPr>
            <w:r w:rsidRPr="00507A6B">
              <w:t>4,854</w:t>
            </w:r>
          </w:p>
        </w:tc>
      </w:tr>
    </w:tbl>
    <w:p w14:paraId="5381BF73" w14:textId="77777777" w:rsidR="00C7422C" w:rsidRDefault="00C7422C" w:rsidP="00C7422C">
      <w:pPr>
        <w:pStyle w:val="TableFooter"/>
      </w:pPr>
      <w:r>
        <w:t>Source: Services Australia</w:t>
      </w:r>
    </w:p>
    <w:p w14:paraId="7BFB3265" w14:textId="21FB6F59" w:rsidR="00C7422C" w:rsidRDefault="00C7422C" w:rsidP="00C7422C">
      <w:pPr>
        <w:pStyle w:val="Caption"/>
      </w:pPr>
      <w:bookmarkStart w:id="19" w:name="_Ref111023996"/>
      <w:r>
        <w:t xml:space="preserve">Table </w:t>
      </w:r>
      <w:fldSimple w:instr=" SEQ Table \* ARABIC ">
        <w:r w:rsidR="00C857F3">
          <w:rPr>
            <w:noProof/>
          </w:rPr>
          <w:t>4</w:t>
        </w:r>
      </w:fldSimple>
      <w:bookmarkEnd w:id="19"/>
      <w:r>
        <w:tab/>
        <w:t>Projected use of small gene panel testing (assuming 100% market share)</w:t>
      </w:r>
    </w:p>
    <w:tbl>
      <w:tblPr>
        <w:tblStyle w:val="TableGrid1"/>
        <w:tblW w:w="5000" w:type="pct"/>
        <w:tblLook w:val="04A0" w:firstRow="1" w:lastRow="0" w:firstColumn="1" w:lastColumn="0" w:noHBand="0" w:noVBand="1"/>
        <w:tblCaption w:val="Projected use of small gene panel testing (assuming 100% market share)"/>
        <w:tblDescription w:val="Estimated future use of NGS panels (based on past EGFR testing item use)"/>
      </w:tblPr>
      <w:tblGrid>
        <w:gridCol w:w="3869"/>
        <w:gridCol w:w="858"/>
        <w:gridCol w:w="858"/>
        <w:gridCol w:w="858"/>
        <w:gridCol w:w="858"/>
        <w:gridCol w:w="858"/>
        <w:gridCol w:w="857"/>
      </w:tblGrid>
      <w:tr w:rsidR="00C7422C" w:rsidRPr="00B0078B" w14:paraId="04D10D53" w14:textId="77777777" w:rsidTr="003A6029">
        <w:trPr>
          <w:cnfStyle w:val="100000000000" w:firstRow="1" w:lastRow="0" w:firstColumn="0" w:lastColumn="0" w:oddVBand="0" w:evenVBand="0" w:oddHBand="0" w:evenHBand="0" w:firstRowFirstColumn="0" w:firstRowLastColumn="0" w:lastRowFirstColumn="0" w:lastRowLastColumn="0"/>
          <w:trHeight w:val="300"/>
          <w:tblHeader/>
        </w:trPr>
        <w:tc>
          <w:tcPr>
            <w:tcW w:w="2145" w:type="pct"/>
            <w:noWrap/>
            <w:hideMark/>
          </w:tcPr>
          <w:p w14:paraId="43E19E3F" w14:textId="77777777" w:rsidR="00C7422C" w:rsidRPr="00B0078B" w:rsidRDefault="00C7422C" w:rsidP="00F82F35">
            <w:pPr>
              <w:pStyle w:val="TableHeading"/>
              <w:jc w:val="center"/>
            </w:pPr>
          </w:p>
        </w:tc>
        <w:tc>
          <w:tcPr>
            <w:tcW w:w="476" w:type="pct"/>
            <w:noWrap/>
            <w:hideMark/>
          </w:tcPr>
          <w:p w14:paraId="41809D9F" w14:textId="77777777" w:rsidR="00C7422C" w:rsidRPr="00B0078B" w:rsidRDefault="00C7422C" w:rsidP="00F82F35">
            <w:pPr>
              <w:pStyle w:val="TableHeading"/>
              <w:jc w:val="center"/>
            </w:pPr>
            <w:r w:rsidRPr="00B0078B">
              <w:t>2023</w:t>
            </w:r>
          </w:p>
        </w:tc>
        <w:tc>
          <w:tcPr>
            <w:tcW w:w="476" w:type="pct"/>
            <w:noWrap/>
            <w:hideMark/>
          </w:tcPr>
          <w:p w14:paraId="7E2BA237" w14:textId="77777777" w:rsidR="00C7422C" w:rsidRPr="00B0078B" w:rsidRDefault="00C7422C" w:rsidP="00F82F35">
            <w:pPr>
              <w:pStyle w:val="TableHeading"/>
              <w:jc w:val="center"/>
            </w:pPr>
            <w:r w:rsidRPr="00B0078B">
              <w:t>2024</w:t>
            </w:r>
          </w:p>
        </w:tc>
        <w:tc>
          <w:tcPr>
            <w:tcW w:w="476" w:type="pct"/>
            <w:noWrap/>
            <w:hideMark/>
          </w:tcPr>
          <w:p w14:paraId="6AFB26CB" w14:textId="77777777" w:rsidR="00C7422C" w:rsidRPr="00B0078B" w:rsidRDefault="00C7422C" w:rsidP="00F82F35">
            <w:pPr>
              <w:pStyle w:val="TableHeading"/>
              <w:jc w:val="center"/>
            </w:pPr>
            <w:r w:rsidRPr="00B0078B">
              <w:t>2025</w:t>
            </w:r>
          </w:p>
        </w:tc>
        <w:tc>
          <w:tcPr>
            <w:tcW w:w="476" w:type="pct"/>
            <w:noWrap/>
            <w:hideMark/>
          </w:tcPr>
          <w:p w14:paraId="400C1BAD" w14:textId="77777777" w:rsidR="00C7422C" w:rsidRPr="00B0078B" w:rsidRDefault="00C7422C" w:rsidP="00F82F35">
            <w:pPr>
              <w:pStyle w:val="TableHeading"/>
              <w:jc w:val="center"/>
            </w:pPr>
            <w:r w:rsidRPr="00B0078B">
              <w:t>2026</w:t>
            </w:r>
          </w:p>
        </w:tc>
        <w:tc>
          <w:tcPr>
            <w:tcW w:w="476" w:type="pct"/>
            <w:noWrap/>
            <w:hideMark/>
          </w:tcPr>
          <w:p w14:paraId="2B8EA546" w14:textId="77777777" w:rsidR="00C7422C" w:rsidRPr="00B0078B" w:rsidRDefault="00C7422C" w:rsidP="00F82F35">
            <w:pPr>
              <w:pStyle w:val="TableHeading"/>
              <w:jc w:val="center"/>
            </w:pPr>
            <w:r w:rsidRPr="00B0078B">
              <w:t>2027</w:t>
            </w:r>
          </w:p>
        </w:tc>
        <w:tc>
          <w:tcPr>
            <w:tcW w:w="475" w:type="pct"/>
            <w:noWrap/>
            <w:hideMark/>
          </w:tcPr>
          <w:p w14:paraId="1A6737B6" w14:textId="77777777" w:rsidR="00C7422C" w:rsidRPr="00B0078B" w:rsidRDefault="00C7422C" w:rsidP="00F82F35">
            <w:pPr>
              <w:pStyle w:val="TableHeading"/>
              <w:jc w:val="center"/>
            </w:pPr>
            <w:r w:rsidRPr="00B0078B">
              <w:t>2028</w:t>
            </w:r>
          </w:p>
        </w:tc>
      </w:tr>
      <w:tr w:rsidR="00C7422C" w:rsidRPr="00B0078B" w14:paraId="1E50877C" w14:textId="77777777" w:rsidTr="00C7422C">
        <w:trPr>
          <w:trHeight w:val="300"/>
        </w:trPr>
        <w:tc>
          <w:tcPr>
            <w:tcW w:w="2145" w:type="pct"/>
            <w:noWrap/>
            <w:hideMark/>
          </w:tcPr>
          <w:p w14:paraId="7EA55022" w14:textId="77777777" w:rsidR="00C7422C" w:rsidRPr="00B0078B" w:rsidRDefault="00C7422C" w:rsidP="00F82F35">
            <w:pPr>
              <w:pStyle w:val="TableText"/>
            </w:pPr>
            <w:r w:rsidRPr="00B0078B">
              <w:t xml:space="preserve">Projected </w:t>
            </w:r>
            <w:r>
              <w:t>use of item 73337</w:t>
            </w:r>
          </w:p>
        </w:tc>
        <w:tc>
          <w:tcPr>
            <w:tcW w:w="476" w:type="pct"/>
            <w:noWrap/>
            <w:hideMark/>
          </w:tcPr>
          <w:p w14:paraId="2700257C" w14:textId="77777777" w:rsidR="00C7422C" w:rsidRPr="00B0078B" w:rsidRDefault="00C7422C" w:rsidP="00F82F35">
            <w:pPr>
              <w:pStyle w:val="TableText"/>
              <w:jc w:val="right"/>
            </w:pPr>
            <w:r w:rsidRPr="00B0078B">
              <w:t>5,521</w:t>
            </w:r>
          </w:p>
        </w:tc>
        <w:tc>
          <w:tcPr>
            <w:tcW w:w="476" w:type="pct"/>
            <w:noWrap/>
            <w:hideMark/>
          </w:tcPr>
          <w:p w14:paraId="4BAAC6B6" w14:textId="77777777" w:rsidR="00C7422C" w:rsidRPr="00B0078B" w:rsidRDefault="00C7422C" w:rsidP="00F82F35">
            <w:pPr>
              <w:pStyle w:val="TableText"/>
              <w:jc w:val="right"/>
            </w:pPr>
            <w:r w:rsidRPr="00B0078B">
              <w:t>5,797</w:t>
            </w:r>
          </w:p>
        </w:tc>
        <w:tc>
          <w:tcPr>
            <w:tcW w:w="476" w:type="pct"/>
            <w:noWrap/>
            <w:hideMark/>
          </w:tcPr>
          <w:p w14:paraId="71960496" w14:textId="77777777" w:rsidR="00C7422C" w:rsidRPr="00B0078B" w:rsidRDefault="00C7422C" w:rsidP="00F82F35">
            <w:pPr>
              <w:pStyle w:val="TableText"/>
              <w:jc w:val="right"/>
            </w:pPr>
            <w:r w:rsidRPr="00B0078B">
              <w:t>6,074</w:t>
            </w:r>
          </w:p>
        </w:tc>
        <w:tc>
          <w:tcPr>
            <w:tcW w:w="476" w:type="pct"/>
            <w:noWrap/>
            <w:hideMark/>
          </w:tcPr>
          <w:p w14:paraId="233AF1D8" w14:textId="77777777" w:rsidR="00C7422C" w:rsidRPr="00B0078B" w:rsidRDefault="00C7422C" w:rsidP="00F82F35">
            <w:pPr>
              <w:pStyle w:val="TableText"/>
              <w:jc w:val="right"/>
            </w:pPr>
            <w:r w:rsidRPr="00B0078B">
              <w:t>6,351</w:t>
            </w:r>
          </w:p>
        </w:tc>
        <w:tc>
          <w:tcPr>
            <w:tcW w:w="476" w:type="pct"/>
            <w:noWrap/>
            <w:hideMark/>
          </w:tcPr>
          <w:p w14:paraId="275CAEFB" w14:textId="77777777" w:rsidR="00C7422C" w:rsidRPr="00B0078B" w:rsidRDefault="00C7422C" w:rsidP="00F82F35">
            <w:pPr>
              <w:pStyle w:val="TableText"/>
              <w:jc w:val="right"/>
            </w:pPr>
            <w:r w:rsidRPr="00B0078B">
              <w:t>6,628</w:t>
            </w:r>
          </w:p>
        </w:tc>
        <w:tc>
          <w:tcPr>
            <w:tcW w:w="475" w:type="pct"/>
            <w:noWrap/>
            <w:hideMark/>
          </w:tcPr>
          <w:p w14:paraId="29B19FE9" w14:textId="77777777" w:rsidR="00C7422C" w:rsidRPr="00B0078B" w:rsidRDefault="00C7422C" w:rsidP="00F82F35">
            <w:pPr>
              <w:pStyle w:val="TableText"/>
              <w:jc w:val="right"/>
            </w:pPr>
            <w:r w:rsidRPr="00B0078B">
              <w:t>6,905</w:t>
            </w:r>
          </w:p>
        </w:tc>
      </w:tr>
    </w:tbl>
    <w:p w14:paraId="097ECF3F" w14:textId="6D1DA997" w:rsidR="00C7422C" w:rsidRDefault="00732AC4" w:rsidP="00C76F30">
      <w:pPr>
        <w:pStyle w:val="NormalBeforeBullet"/>
        <w:spacing w:before="160"/>
      </w:pPr>
      <w:r>
        <w:t xml:space="preserve">If a patient has a biomarker identified by the small NGS gene panel (or the comparator), they may then be eligible for targeted treatment if they </w:t>
      </w:r>
      <w:r w:rsidR="00312501">
        <w:t>have</w:t>
      </w:r>
      <w:r>
        <w:t xml:space="preserve"> locally advanced </w:t>
      </w:r>
      <w:r w:rsidR="00C7422C">
        <w:t>(stage IIIB) or metastatic (stage IV) NSCLC</w:t>
      </w:r>
      <w:r>
        <w:t xml:space="preserve"> at the point of diagnosis, or once they progress to having locally advanced or metastatic disease.</w:t>
      </w:r>
    </w:p>
    <w:p w14:paraId="10640FD1" w14:textId="1475D851" w:rsidR="00C7422C" w:rsidRPr="00732AC4" w:rsidRDefault="00C7422C" w:rsidP="00C7422C">
      <w:pPr>
        <w:pStyle w:val="NormalBeforeBullet"/>
      </w:pPr>
      <w:r>
        <w:t>If patients progress while on treatment, they may be suspected of having developed intolerance to treat</w:t>
      </w:r>
      <w:r w:rsidR="00732AC4">
        <w:t>ment due to resistance-</w:t>
      </w:r>
      <w:r w:rsidR="00312501">
        <w:t>variants and</w:t>
      </w:r>
      <w:r w:rsidR="00732AC4">
        <w:t xml:space="preserve"> may be tested for the </w:t>
      </w:r>
      <w:r w:rsidR="00732AC4">
        <w:rPr>
          <w:i/>
        </w:rPr>
        <w:t xml:space="preserve">EGFR </w:t>
      </w:r>
      <w:r w:rsidR="00732AC4">
        <w:t>T790M resistance variant. This use of test is not expected to alter with the introduction of small NGS panels.</w:t>
      </w:r>
    </w:p>
    <w:p w14:paraId="29CA981B" w14:textId="22C01B0D" w:rsidR="005161E7" w:rsidRPr="005161E7" w:rsidRDefault="005161E7" w:rsidP="00E76AE0">
      <w:pPr>
        <w:pStyle w:val="Instructionaltext"/>
        <w:rPr>
          <w:color w:val="auto"/>
        </w:rPr>
      </w:pPr>
      <w:r w:rsidRPr="005161E7">
        <w:rPr>
          <w:color w:val="auto"/>
        </w:rPr>
        <w:t>The studies in the systematic review were included if at least 8</w:t>
      </w:r>
      <w:r w:rsidR="00D52CEA">
        <w:rPr>
          <w:color w:val="auto"/>
        </w:rPr>
        <w:t>0</w:t>
      </w:r>
      <w:r w:rsidRPr="005161E7">
        <w:rPr>
          <w:color w:val="auto"/>
        </w:rPr>
        <w:t>% of the patient</w:t>
      </w:r>
      <w:r w:rsidR="00D52CEA">
        <w:rPr>
          <w:color w:val="auto"/>
        </w:rPr>
        <w:t>s h</w:t>
      </w:r>
      <w:r w:rsidRPr="005161E7">
        <w:rPr>
          <w:color w:val="auto"/>
        </w:rPr>
        <w:t>ad non-squamous NSCLC (i.e. studies with a small proportion of squamous NSCLC were allowed as it was considered they would not influence the results significantly</w:t>
      </w:r>
      <w:r w:rsidR="00312501">
        <w:rPr>
          <w:color w:val="auto"/>
        </w:rPr>
        <w:t>)</w:t>
      </w:r>
      <w:r w:rsidRPr="005161E7">
        <w:rPr>
          <w:color w:val="auto"/>
        </w:rPr>
        <w:t>.</w:t>
      </w:r>
    </w:p>
    <w:p w14:paraId="66BDFCC1" w14:textId="3DA0E80D" w:rsidR="00772829" w:rsidRPr="00CE28E3" w:rsidRDefault="00C36633" w:rsidP="002A18BE">
      <w:pPr>
        <w:pStyle w:val="Heading2"/>
        <w:numPr>
          <w:ilvl w:val="0"/>
          <w:numId w:val="0"/>
        </w:numPr>
      </w:pPr>
      <w:bookmarkStart w:id="20" w:name="_Toc148531122"/>
      <w:r>
        <w:lastRenderedPageBreak/>
        <w:t>6.</w:t>
      </w:r>
      <w:r>
        <w:tab/>
      </w:r>
      <w:r w:rsidR="00772829" w:rsidRPr="00CE28E3">
        <w:t>Comparator</w:t>
      </w:r>
      <w:bookmarkEnd w:id="20"/>
    </w:p>
    <w:p w14:paraId="6C1DA842" w14:textId="77777777" w:rsidR="00367F95" w:rsidRDefault="00367F95" w:rsidP="00367F95">
      <w:pPr>
        <w:pStyle w:val="NormalBeforeBullet"/>
      </w:pPr>
      <w:r w:rsidRPr="00255E20">
        <w:t xml:space="preserve">The comparator to </w:t>
      </w:r>
      <w:r>
        <w:t>(one or two) small</w:t>
      </w:r>
      <w:r w:rsidRPr="00255E20">
        <w:t xml:space="preserve"> NGS </w:t>
      </w:r>
      <w:r>
        <w:t>panels</w:t>
      </w:r>
      <w:r w:rsidRPr="00255E20">
        <w:t xml:space="preserve"> is the use of sequential testing of biomarkers for targeted therapies for NSCLC using items currently available on the MBS</w:t>
      </w:r>
      <w:r>
        <w:t xml:space="preserve"> (or in the near future)</w:t>
      </w:r>
      <w:r w:rsidRPr="00255E20">
        <w:t xml:space="preserve">. </w:t>
      </w:r>
      <w:r>
        <w:t>Specifically, this is:</w:t>
      </w:r>
    </w:p>
    <w:p w14:paraId="48CCDF84" w14:textId="77777777" w:rsidR="00367F95" w:rsidRPr="002A257B" w:rsidRDefault="00367F95" w:rsidP="00367F95">
      <w:pPr>
        <w:pStyle w:val="NormalBeforeBullet"/>
        <w:numPr>
          <w:ilvl w:val="0"/>
          <w:numId w:val="14"/>
        </w:numPr>
      </w:pPr>
      <w:r w:rsidRPr="002A257B">
        <w:t xml:space="preserve">Testing of </w:t>
      </w:r>
      <w:r w:rsidRPr="008A754B">
        <w:rPr>
          <w:i/>
        </w:rPr>
        <w:t xml:space="preserve">EGFR </w:t>
      </w:r>
      <w:r>
        <w:t>activating variant</w:t>
      </w:r>
      <w:r w:rsidRPr="002A257B">
        <w:t xml:space="preserve"> status</w:t>
      </w:r>
      <w:r>
        <w:t xml:space="preserve"> (MBS item 73337)</w:t>
      </w:r>
    </w:p>
    <w:p w14:paraId="76A7A863" w14:textId="5E533140" w:rsidR="00367F95" w:rsidRPr="000A6CCF" w:rsidRDefault="00367F95" w:rsidP="00367F95">
      <w:pPr>
        <w:pStyle w:val="NormalBeforeBullet"/>
        <w:numPr>
          <w:ilvl w:val="0"/>
          <w:numId w:val="14"/>
        </w:numPr>
      </w:pPr>
      <w:r w:rsidRPr="002A257B">
        <w:t xml:space="preserve">Immunohistochemistry </w:t>
      </w:r>
      <w:r>
        <w:t xml:space="preserve">(IHC) </w:t>
      </w:r>
      <w:r w:rsidRPr="002A257B">
        <w:t>testing as triage ALK testing</w:t>
      </w:r>
      <w:r>
        <w:t xml:space="preserve"> and triage ROS1 testing (most </w:t>
      </w:r>
      <w:r w:rsidRPr="000A6CCF">
        <w:t xml:space="preserve">likely </w:t>
      </w:r>
      <w:r w:rsidRPr="00C929A4">
        <w:t>included under</w:t>
      </w:r>
      <w:r w:rsidRPr="000A6CCF">
        <w:t xml:space="preserve"> MBS item </w:t>
      </w:r>
      <w:r w:rsidR="00614AE7">
        <w:t>72846</w:t>
      </w:r>
      <w:r w:rsidRPr="000A6CCF">
        <w:t xml:space="preserve"> </w:t>
      </w:r>
      <w:r w:rsidRPr="00C929A4">
        <w:t>at the time of initial diagnosis</w:t>
      </w:r>
      <w:r w:rsidRPr="000A6CCF">
        <w:t>)</w:t>
      </w:r>
    </w:p>
    <w:p w14:paraId="18F3CB37" w14:textId="77777777" w:rsidR="00367F95" w:rsidRPr="002A257B" w:rsidRDefault="00367F95" w:rsidP="00367F95">
      <w:pPr>
        <w:pStyle w:val="NormalBeforeBullet"/>
        <w:numPr>
          <w:ilvl w:val="0"/>
          <w:numId w:val="14"/>
        </w:numPr>
      </w:pPr>
      <w:r w:rsidRPr="002A257B">
        <w:t xml:space="preserve">Testing of </w:t>
      </w:r>
      <w:r w:rsidRPr="008A754B">
        <w:rPr>
          <w:i/>
        </w:rPr>
        <w:t xml:space="preserve">ALK </w:t>
      </w:r>
      <w:r w:rsidRPr="002A257B">
        <w:t>gene rearrangement status by FISH</w:t>
      </w:r>
      <w:r>
        <w:t xml:space="preserve"> (MBS item 73341)</w:t>
      </w:r>
    </w:p>
    <w:p w14:paraId="5BC7AA29" w14:textId="77777777" w:rsidR="00367F95" w:rsidRDefault="00367F95" w:rsidP="00367F95">
      <w:pPr>
        <w:pStyle w:val="NormalBeforeBullet"/>
        <w:numPr>
          <w:ilvl w:val="0"/>
          <w:numId w:val="14"/>
        </w:numPr>
      </w:pPr>
      <w:r w:rsidRPr="002A257B">
        <w:t xml:space="preserve">Testing of </w:t>
      </w:r>
      <w:r w:rsidRPr="008A754B">
        <w:rPr>
          <w:i/>
        </w:rPr>
        <w:t>ROS1</w:t>
      </w:r>
      <w:r w:rsidRPr="002A257B">
        <w:t xml:space="preserve"> gene rearrangement status by FISH</w:t>
      </w:r>
      <w:r>
        <w:t xml:space="preserve"> (MBS item 73344)</w:t>
      </w:r>
    </w:p>
    <w:p w14:paraId="15D7D50B" w14:textId="77777777" w:rsidR="00367F95" w:rsidRPr="002A257B" w:rsidRDefault="00367F95" w:rsidP="00367F95">
      <w:pPr>
        <w:pStyle w:val="NormalBeforeBullet"/>
        <w:numPr>
          <w:ilvl w:val="0"/>
          <w:numId w:val="14"/>
        </w:numPr>
      </w:pPr>
      <w:r>
        <w:t xml:space="preserve">Testing of </w:t>
      </w:r>
      <w:r>
        <w:rPr>
          <w:i/>
        </w:rPr>
        <w:t>MET</w:t>
      </w:r>
      <w:r>
        <w:t>ex14 skipping alterations (recommended by MSAC)</w:t>
      </w:r>
    </w:p>
    <w:p w14:paraId="1414BAED" w14:textId="739B7154" w:rsidR="00367F95" w:rsidRDefault="00367F95" w:rsidP="00367F95">
      <w:pPr>
        <w:pStyle w:val="NormalBeforeBullet"/>
      </w:pPr>
      <w:r>
        <w:t>At the point of diagnosis, patients are test</w:t>
      </w:r>
      <w:r w:rsidR="00686F03">
        <w:t>ed</w:t>
      </w:r>
      <w:r>
        <w:t xml:space="preserve"> for </w:t>
      </w:r>
      <w:r>
        <w:rPr>
          <w:i/>
        </w:rPr>
        <w:t>EGFR</w:t>
      </w:r>
      <w:r>
        <w:t xml:space="preserve"> activating variants using a single gene </w:t>
      </w:r>
      <w:r w:rsidR="005F3B24">
        <w:t xml:space="preserve">test </w:t>
      </w:r>
      <w:r w:rsidR="0086385E">
        <w:t>and</w:t>
      </w:r>
      <w:r>
        <w:t xml:space="preserve"> with IHC for ALK and ROS1</w:t>
      </w:r>
      <w:r w:rsidR="005F3B24">
        <w:t xml:space="preserve"> protein expression</w:t>
      </w:r>
      <w:r>
        <w:t>. MSAC ha</w:t>
      </w:r>
      <w:r w:rsidR="001770E8">
        <w:t>s</w:t>
      </w:r>
      <w:r>
        <w:t xml:space="preserve"> recommended that testing for </w:t>
      </w:r>
      <w:r>
        <w:rPr>
          <w:i/>
        </w:rPr>
        <w:t>MET</w:t>
      </w:r>
      <w:r>
        <w:t xml:space="preserve">ex14 skipping </w:t>
      </w:r>
      <w:r w:rsidR="00D21013">
        <w:t>(</w:t>
      </w:r>
      <w:r w:rsidR="00D21013">
        <w:rPr>
          <w:i/>
        </w:rPr>
        <w:t>MET</w:t>
      </w:r>
      <w:r w:rsidR="00D21013">
        <w:t xml:space="preserve">ex14sk) </w:t>
      </w:r>
      <w:r>
        <w:t xml:space="preserve">alterations be performed without the absence of other NSCLC biomarkers being a pre-requisite (Public Summary Document, ADAR 1660, p1). Although </w:t>
      </w:r>
      <w:r>
        <w:rPr>
          <w:i/>
        </w:rPr>
        <w:t>MET</w:t>
      </w:r>
      <w:r>
        <w:t xml:space="preserve">ex14sk testing is limited to patients with locally advanced or metastatic disease, the majority of patients meet this criteria at the point of diagnosis, so are assumed to be tested for </w:t>
      </w:r>
      <w:r>
        <w:rPr>
          <w:i/>
        </w:rPr>
        <w:t>MET</w:t>
      </w:r>
      <w:r>
        <w:t>ex14sk at the point of diagnosis.</w:t>
      </w:r>
    </w:p>
    <w:p w14:paraId="7A53C4DA" w14:textId="50555430" w:rsidR="00367F95" w:rsidRDefault="00367F95" w:rsidP="00367F95">
      <w:r>
        <w:t xml:space="preserve">If </w:t>
      </w:r>
      <w:r w:rsidR="00686F03">
        <w:t>the patient</w:t>
      </w:r>
      <w:r w:rsidR="0032121E">
        <w:t>’</w:t>
      </w:r>
      <w:r w:rsidR="00686F03">
        <w:t>s tumour is</w:t>
      </w:r>
      <w:r>
        <w:t xml:space="preserve"> </w:t>
      </w:r>
      <w:r w:rsidRPr="005127FD">
        <w:rPr>
          <w:i/>
        </w:rPr>
        <w:t>EGFR</w:t>
      </w:r>
      <w:r w:rsidRPr="005127FD">
        <w:t xml:space="preserve"> </w:t>
      </w:r>
      <w:r>
        <w:t xml:space="preserve">activating variant negative, but positive or equivocal on ALK IHC triage testing (staining intensity score &gt;0), they may </w:t>
      </w:r>
      <w:r w:rsidR="00686F03">
        <w:t>undergo confirmatory</w:t>
      </w:r>
      <w:r w:rsidR="00686F03" w:rsidRPr="00F57034">
        <w:rPr>
          <w:i/>
        </w:rPr>
        <w:t xml:space="preserve"> </w:t>
      </w:r>
      <w:r w:rsidRPr="00F57034">
        <w:rPr>
          <w:i/>
        </w:rPr>
        <w:t>ALK</w:t>
      </w:r>
      <w:r>
        <w:t xml:space="preserve"> gene rearrangement testing using FISH if/when they have locally advanced or metastatic disease.</w:t>
      </w:r>
    </w:p>
    <w:p w14:paraId="7AB3C638" w14:textId="44839E28" w:rsidR="00367F95" w:rsidRDefault="00367F95" w:rsidP="00367F95">
      <w:r>
        <w:t xml:space="preserve">Likewise, if </w:t>
      </w:r>
      <w:r w:rsidR="00252D32">
        <w:t xml:space="preserve">the </w:t>
      </w:r>
      <w:r>
        <w:t>patient</w:t>
      </w:r>
      <w:r w:rsidR="0032121E">
        <w:t>’</w:t>
      </w:r>
      <w:r>
        <w:t xml:space="preserve">s </w:t>
      </w:r>
      <w:r w:rsidR="00252D32">
        <w:t>tumour is</w:t>
      </w:r>
      <w:r>
        <w:t xml:space="preserve"> </w:t>
      </w:r>
      <w:r>
        <w:rPr>
          <w:i/>
        </w:rPr>
        <w:t>EGFR</w:t>
      </w:r>
      <w:r>
        <w:t xml:space="preserve"> variant negative, but positive or equivocal on ROS1 IHC triage testing (staining intensity score of 2+ or 3+), they may </w:t>
      </w:r>
      <w:r w:rsidR="004B58C8">
        <w:t xml:space="preserve">undergo confirmatory </w:t>
      </w:r>
      <w:r w:rsidRPr="00F57034">
        <w:rPr>
          <w:i/>
        </w:rPr>
        <w:t>ROS1</w:t>
      </w:r>
      <w:r>
        <w:t xml:space="preserve"> gene rearrangement testing using FISH if/when they have locally advanced or metastatic disease.</w:t>
      </w:r>
    </w:p>
    <w:p w14:paraId="5DC84941" w14:textId="0857371B" w:rsidR="00367F95" w:rsidRDefault="00367F95" w:rsidP="00367F95">
      <w:r>
        <w:t xml:space="preserve">If patients </w:t>
      </w:r>
      <w:r w:rsidR="00252D32">
        <w:t>do</w:t>
      </w:r>
      <w:r>
        <w:t xml:space="preserve"> not</w:t>
      </w:r>
      <w:r w:rsidR="00252D32">
        <w:t xml:space="preserve"> have</w:t>
      </w:r>
      <w:r>
        <w:t xml:space="preserve"> locally advanced or metastatic </w:t>
      </w:r>
      <w:r w:rsidR="00252D32">
        <w:t xml:space="preserve">disease </w:t>
      </w:r>
      <w:r>
        <w:t xml:space="preserve">at the time of diagnosis, then a block retrieval item (MBS item 72860) </w:t>
      </w:r>
      <w:r w:rsidRPr="000A6CCF">
        <w:t>may be required</w:t>
      </w:r>
      <w:r>
        <w:t xml:space="preserve"> if referral to an outside laboratory is required for the FISH testing.</w:t>
      </w:r>
    </w:p>
    <w:p w14:paraId="750C074B" w14:textId="44FE47CA" w:rsidR="00AC7D26" w:rsidRDefault="00AC7D26" w:rsidP="00367F95">
      <w:r>
        <w:t xml:space="preserve">Small NGS panels are expected to replace all of these separate </w:t>
      </w:r>
      <w:r w:rsidR="00252D32">
        <w:t xml:space="preserve">genetic </w:t>
      </w:r>
      <w:r>
        <w:t xml:space="preserve">tests. Other tests which co-occur at the point of diagnosis (but will not be affected by the introduction of NGS), are IHC </w:t>
      </w:r>
      <w:r w:rsidR="00D436DE">
        <w:t xml:space="preserve">to determine </w:t>
      </w:r>
      <w:r w:rsidR="00D52CEA">
        <w:t>programmed death-ligan</w:t>
      </w:r>
      <w:r w:rsidR="002316C8">
        <w:t>d 1 (</w:t>
      </w:r>
      <w:r w:rsidR="00D436DE">
        <w:t>PD-L1</w:t>
      </w:r>
      <w:r w:rsidR="002316C8">
        <w:t>)</w:t>
      </w:r>
      <w:r w:rsidR="00D436DE">
        <w:t xml:space="preserve"> levels</w:t>
      </w:r>
      <w:r w:rsidR="003C1E4B">
        <w:t xml:space="preserve"> (noting that the PBS restriction </w:t>
      </w:r>
      <w:r w:rsidR="00BA1A9B">
        <w:t xml:space="preserve">for pembrolizumab in NSCLC </w:t>
      </w:r>
      <w:r w:rsidR="003C1E4B">
        <w:t>is now agnostic for PD</w:t>
      </w:r>
      <w:r w:rsidR="00BA1A9B">
        <w:t>-</w:t>
      </w:r>
      <w:r w:rsidR="003C1E4B">
        <w:t>L1 status)</w:t>
      </w:r>
      <w:r w:rsidR="00D436DE">
        <w:t>.</w:t>
      </w:r>
    </w:p>
    <w:p w14:paraId="47BC3A84" w14:textId="336CB888" w:rsidR="00772829" w:rsidRPr="00CE28E3" w:rsidRDefault="00C36633" w:rsidP="002A18BE">
      <w:pPr>
        <w:pStyle w:val="Heading2"/>
        <w:numPr>
          <w:ilvl w:val="0"/>
          <w:numId w:val="0"/>
        </w:numPr>
      </w:pPr>
      <w:bookmarkStart w:id="21" w:name="_Toc148531123"/>
      <w:r>
        <w:t>7.</w:t>
      </w:r>
      <w:r>
        <w:tab/>
      </w:r>
      <w:r w:rsidR="00772829" w:rsidRPr="00CE28E3">
        <w:t xml:space="preserve">Summary of public consultation </w:t>
      </w:r>
      <w:r w:rsidR="0052575D">
        <w:t>input</w:t>
      </w:r>
      <w:bookmarkEnd w:id="21"/>
    </w:p>
    <w:p w14:paraId="507A6D80" w14:textId="33C664E1" w:rsidR="00772829" w:rsidRPr="009062F6" w:rsidRDefault="009062F6" w:rsidP="0000109A">
      <w:pPr>
        <w:pStyle w:val="Instructionaltext"/>
        <w:rPr>
          <w:i/>
          <w:color w:val="auto"/>
        </w:rPr>
      </w:pPr>
      <w:r w:rsidRPr="009062F6">
        <w:rPr>
          <w:i/>
          <w:color w:val="auto"/>
        </w:rPr>
        <w:t>Placeholder in case public consultation received prior to MSAC.</w:t>
      </w:r>
    </w:p>
    <w:p w14:paraId="03C7A1F1" w14:textId="0C0BA6D7" w:rsidR="00772829" w:rsidRPr="00CE28E3" w:rsidRDefault="00C36633" w:rsidP="002A18BE">
      <w:pPr>
        <w:pStyle w:val="Heading2"/>
        <w:numPr>
          <w:ilvl w:val="0"/>
          <w:numId w:val="0"/>
        </w:numPr>
      </w:pPr>
      <w:bookmarkStart w:id="22" w:name="_Toc148531124"/>
      <w:r>
        <w:t>8.</w:t>
      </w:r>
      <w:r>
        <w:tab/>
      </w:r>
      <w:r w:rsidR="00772829" w:rsidRPr="00CE28E3">
        <w:t>Characteristics of the evidence base</w:t>
      </w:r>
      <w:bookmarkEnd w:id="22"/>
    </w:p>
    <w:p w14:paraId="14F0E05A" w14:textId="5783808A" w:rsidR="00546A04" w:rsidRDefault="00FC058D" w:rsidP="00E76AE0">
      <w:pPr>
        <w:pStyle w:val="Instructionaltext"/>
        <w:rPr>
          <w:color w:val="auto"/>
        </w:rPr>
      </w:pPr>
      <w:r>
        <w:rPr>
          <w:color w:val="auto"/>
        </w:rPr>
        <w:t>A total of 49 studies were identified from the systematic review, assessing the direct from test to health outcomes evidence, test performance, and change in management. The majority of the evidence was on test performance (k=40), with 30 studies reporting on the concordance of NGS with single gene tests. Conclusions on the concordance of the tests could therefore be made with high cer</w:t>
      </w:r>
      <w:r w:rsidR="001D78CF">
        <w:rPr>
          <w:color w:val="auto"/>
        </w:rPr>
        <w:t xml:space="preserve">tainty. The </w:t>
      </w:r>
      <w:r w:rsidR="006640AF">
        <w:rPr>
          <w:color w:val="auto"/>
        </w:rPr>
        <w:t xml:space="preserve">proportion of samples successfully tested </w:t>
      </w:r>
      <w:r w:rsidR="001D78CF">
        <w:rPr>
          <w:color w:val="auto"/>
        </w:rPr>
        <w:t>(</w:t>
      </w:r>
      <w:r w:rsidR="006640AF">
        <w:rPr>
          <w:color w:val="auto"/>
        </w:rPr>
        <w:t>based on having sufficient</w:t>
      </w:r>
      <w:r w:rsidR="0033354A">
        <w:rPr>
          <w:color w:val="auto"/>
        </w:rPr>
        <w:t xml:space="preserve"> tissue/DNA/RNA for testing</w:t>
      </w:r>
      <w:r w:rsidR="001D78CF">
        <w:rPr>
          <w:color w:val="auto"/>
        </w:rPr>
        <w:t xml:space="preserve">) was assessed in only one between-patient study, although this was </w:t>
      </w:r>
      <w:r w:rsidR="001D78CF">
        <w:rPr>
          <w:color w:val="auto"/>
        </w:rPr>
        <w:lastRenderedPageBreak/>
        <w:t>large (n=4040) and had low to moderate risk of bias. However, the evidence may not be directly applicable, as the healthcare setting in the Netherlands used a combination of DNA NGS with fusion testing performed by IHC or FISH or RNA NGS rather than just DNA and RNA NGS.</w:t>
      </w:r>
    </w:p>
    <w:p w14:paraId="7A113356" w14:textId="21EB50B5" w:rsidR="001D78CF" w:rsidRPr="00FC058D" w:rsidRDefault="001D78CF" w:rsidP="00E76AE0">
      <w:pPr>
        <w:pStyle w:val="Instructionaltext"/>
        <w:rPr>
          <w:color w:val="auto"/>
        </w:rPr>
      </w:pPr>
      <w:r>
        <w:rPr>
          <w:color w:val="auto"/>
        </w:rPr>
        <w:t xml:space="preserve">Change in management data </w:t>
      </w:r>
      <w:r w:rsidR="00DF7F13">
        <w:rPr>
          <w:color w:val="auto"/>
        </w:rPr>
        <w:t xml:space="preserve">(predictive yield and </w:t>
      </w:r>
      <w:r w:rsidR="006640AF">
        <w:rPr>
          <w:color w:val="auto"/>
        </w:rPr>
        <w:t>uptake of rebiopsy</w:t>
      </w:r>
      <w:r w:rsidR="00DF7F13">
        <w:rPr>
          <w:color w:val="auto"/>
        </w:rPr>
        <w:t xml:space="preserve">) </w:t>
      </w:r>
      <w:r>
        <w:rPr>
          <w:color w:val="auto"/>
        </w:rPr>
        <w:t>and test</w:t>
      </w:r>
      <w:r w:rsidR="00252D32">
        <w:rPr>
          <w:color w:val="auto"/>
        </w:rPr>
        <w:t>-</w:t>
      </w:r>
      <w:r>
        <w:rPr>
          <w:color w:val="auto"/>
        </w:rPr>
        <w:t>to</w:t>
      </w:r>
      <w:r w:rsidR="00252D32">
        <w:rPr>
          <w:color w:val="auto"/>
        </w:rPr>
        <w:t>-</w:t>
      </w:r>
      <w:r>
        <w:rPr>
          <w:color w:val="auto"/>
        </w:rPr>
        <w:t xml:space="preserve">health outcomes data </w:t>
      </w:r>
      <w:r w:rsidR="00252D32">
        <w:rPr>
          <w:color w:val="auto"/>
        </w:rPr>
        <w:t>(</w:t>
      </w:r>
      <w:r w:rsidR="00BA1A9B">
        <w:rPr>
          <w:color w:val="auto"/>
        </w:rPr>
        <w:t>clinical utility</w:t>
      </w:r>
      <w:r w:rsidR="00252D32">
        <w:rPr>
          <w:color w:val="auto"/>
        </w:rPr>
        <w:t xml:space="preserve">) </w:t>
      </w:r>
      <w:r>
        <w:rPr>
          <w:color w:val="auto"/>
        </w:rPr>
        <w:t xml:space="preserve">were very limited. However, the last step of linked evidence (assessing the impact of the change of management) was supplemented by targeted (non-systematic) searches, which provided reasonable certainty in regards to the harms associated with rebiopsy, and low certainty evidence that the additional targetable variants identified by NGS are likely to respond to targeted therapies. The economic analysis incorporates the test performance data (concordance and </w:t>
      </w:r>
      <w:r w:rsidR="006640AF">
        <w:rPr>
          <w:color w:val="auto"/>
        </w:rPr>
        <w:t xml:space="preserve">proportion of </w:t>
      </w:r>
      <w:r>
        <w:rPr>
          <w:color w:val="auto"/>
        </w:rPr>
        <w:t>test</w:t>
      </w:r>
      <w:r w:rsidR="006640AF">
        <w:rPr>
          <w:color w:val="auto"/>
        </w:rPr>
        <w:t>s performed</w:t>
      </w:r>
      <w:r>
        <w:rPr>
          <w:color w:val="auto"/>
        </w:rPr>
        <w:t xml:space="preserve"> success</w:t>
      </w:r>
      <w:r w:rsidR="006640AF">
        <w:rPr>
          <w:color w:val="auto"/>
        </w:rPr>
        <w:t>fully</w:t>
      </w:r>
      <w:r>
        <w:rPr>
          <w:color w:val="auto"/>
        </w:rPr>
        <w:t xml:space="preserve">) and </w:t>
      </w:r>
      <w:r w:rsidR="006640AF">
        <w:rPr>
          <w:color w:val="auto"/>
        </w:rPr>
        <w:t xml:space="preserve">proportion of samples </w:t>
      </w:r>
      <w:r>
        <w:rPr>
          <w:color w:val="auto"/>
        </w:rPr>
        <w:t>rebiops</w:t>
      </w:r>
      <w:r w:rsidR="006640AF">
        <w:rPr>
          <w:color w:val="auto"/>
        </w:rPr>
        <w:t>ied</w:t>
      </w:r>
      <w:r>
        <w:rPr>
          <w:color w:val="auto"/>
        </w:rPr>
        <w:t>.</w:t>
      </w:r>
    </w:p>
    <w:p w14:paraId="6C08D9BD" w14:textId="5B83F848" w:rsidR="00B01AD7" w:rsidRPr="00B01AD7" w:rsidRDefault="00B01AD7" w:rsidP="00E76AE0">
      <w:pPr>
        <w:pStyle w:val="Instructionaltext"/>
        <w:rPr>
          <w:color w:val="auto"/>
        </w:rPr>
      </w:pPr>
      <w:r w:rsidRPr="00B01AD7">
        <w:rPr>
          <w:color w:val="auto"/>
        </w:rPr>
        <w:t>Although the target population was non-squamous NSCLC (or NOS), studies were included if no more than 15% of the included sample</w:t>
      </w:r>
      <w:r w:rsidR="0072663D">
        <w:rPr>
          <w:color w:val="auto"/>
        </w:rPr>
        <w:t>s</w:t>
      </w:r>
      <w:r w:rsidRPr="00B01AD7">
        <w:rPr>
          <w:color w:val="auto"/>
        </w:rPr>
        <w:t xml:space="preserve"> </w:t>
      </w:r>
      <w:r w:rsidR="0072663D" w:rsidRPr="00B01AD7">
        <w:rPr>
          <w:color w:val="auto"/>
        </w:rPr>
        <w:t>w</w:t>
      </w:r>
      <w:r w:rsidR="0072663D">
        <w:rPr>
          <w:color w:val="auto"/>
        </w:rPr>
        <w:t>ere</w:t>
      </w:r>
      <w:r w:rsidR="0072663D" w:rsidRPr="00B01AD7">
        <w:rPr>
          <w:color w:val="auto"/>
        </w:rPr>
        <w:t xml:space="preserve"> </w:t>
      </w:r>
      <w:r w:rsidRPr="00B01AD7">
        <w:rPr>
          <w:color w:val="auto"/>
        </w:rPr>
        <w:t>squamous. Where data could be extracted separately for patients with non-squamous tumours, this was done (such as for some of the key evidence provided by Steegh</w:t>
      </w:r>
      <w:r w:rsidR="0053485A">
        <w:rPr>
          <w:color w:val="auto"/>
        </w:rPr>
        <w:t>s</w:t>
      </w:r>
      <w:r w:rsidRPr="00B01AD7">
        <w:rPr>
          <w:color w:val="auto"/>
        </w:rPr>
        <w:t xml:space="preserve"> et al. (2022)</w:t>
      </w:r>
      <w:r w:rsidR="006F7632">
        <w:rPr>
          <w:color w:val="auto"/>
        </w:rPr>
        <w:t>)</w:t>
      </w:r>
      <w:r w:rsidRPr="00B01AD7">
        <w:rPr>
          <w:color w:val="auto"/>
        </w:rPr>
        <w:t>, but the majority of studies did not provide subgroup analyses.</w:t>
      </w:r>
    </w:p>
    <w:p w14:paraId="005968B3" w14:textId="4B01927E" w:rsidR="00956ACE" w:rsidRPr="00CE28E3" w:rsidRDefault="00956ACE" w:rsidP="009A06F4">
      <w:pPr>
        <w:pStyle w:val="Caption"/>
        <w:rPr>
          <w:sz w:val="16"/>
          <w:szCs w:val="16"/>
        </w:rPr>
      </w:pPr>
      <w:bookmarkStart w:id="23" w:name="_Ref69725659"/>
      <w:r w:rsidRPr="00CE28E3">
        <w:t>Table</w:t>
      </w:r>
      <w:r w:rsidR="004A4FDF">
        <w:t> </w:t>
      </w:r>
      <w:fldSimple w:instr=" SEQ Table \* ARABIC ">
        <w:r w:rsidR="00C857F3">
          <w:rPr>
            <w:noProof/>
          </w:rPr>
          <w:t>5</w:t>
        </w:r>
      </w:fldSimple>
      <w:bookmarkEnd w:id="23"/>
      <w:r w:rsidRPr="00CE28E3">
        <w:tab/>
        <w:t xml:space="preserve">Key features of the included evidence </w:t>
      </w:r>
    </w:p>
    <w:tbl>
      <w:tblPr>
        <w:tblStyle w:val="TableGrid1"/>
        <w:tblW w:w="5000" w:type="pct"/>
        <w:tblLook w:val="04A0" w:firstRow="1" w:lastRow="0" w:firstColumn="1" w:lastColumn="0" w:noHBand="0" w:noVBand="1"/>
        <w:tblCaption w:val="Key features of the included evidence "/>
        <w:tblDescription w:val="summary of the number of studies and patients informing each section of the clinical assessment"/>
      </w:tblPr>
      <w:tblGrid>
        <w:gridCol w:w="1816"/>
        <w:gridCol w:w="3325"/>
        <w:gridCol w:w="1938"/>
        <w:gridCol w:w="1937"/>
      </w:tblGrid>
      <w:tr w:rsidR="00956ACE" w:rsidRPr="00CE28E3" w14:paraId="530E3954" w14:textId="77777777" w:rsidTr="00B8535F">
        <w:trPr>
          <w:cnfStyle w:val="100000000000" w:firstRow="1" w:lastRow="0" w:firstColumn="0" w:lastColumn="0" w:oddVBand="0" w:evenVBand="0" w:oddHBand="0" w:evenHBand="0" w:firstRowFirstColumn="0" w:firstRowLastColumn="0" w:lastRowFirstColumn="0" w:lastRowLastColumn="0"/>
          <w:tblHeader/>
        </w:trPr>
        <w:tc>
          <w:tcPr>
            <w:tcW w:w="1007" w:type="pct"/>
            <w:tcBorders>
              <w:top w:val="single" w:sz="4" w:space="0" w:color="auto"/>
              <w:left w:val="single" w:sz="4" w:space="0" w:color="auto"/>
              <w:bottom w:val="single" w:sz="4" w:space="0" w:color="auto"/>
              <w:right w:val="single" w:sz="4" w:space="0" w:color="auto"/>
            </w:tcBorders>
            <w:vAlign w:val="bottom"/>
          </w:tcPr>
          <w:p w14:paraId="0112563A" w14:textId="3CE1178E" w:rsidR="00956ACE" w:rsidRPr="00CE28E3" w:rsidRDefault="00BC4972" w:rsidP="00670650">
            <w:pPr>
              <w:pStyle w:val="TableText"/>
              <w:keepNext/>
              <w:rPr>
                <w:b/>
              </w:rPr>
            </w:pPr>
            <w:bookmarkStart w:id="24" w:name="ColumnTitle_Table4"/>
            <w:bookmarkStart w:id="25" w:name="_Hlk68276288"/>
            <w:bookmarkEnd w:id="24"/>
            <w:r>
              <w:rPr>
                <w:b/>
              </w:rPr>
              <w:t>Criteri</w:t>
            </w:r>
            <w:r w:rsidR="004D4425">
              <w:rPr>
                <w:b/>
              </w:rPr>
              <w:t>on</w:t>
            </w:r>
          </w:p>
        </w:tc>
        <w:tc>
          <w:tcPr>
            <w:tcW w:w="1844" w:type="pct"/>
            <w:tcBorders>
              <w:top w:val="single" w:sz="4" w:space="0" w:color="auto"/>
              <w:left w:val="single" w:sz="4" w:space="0" w:color="auto"/>
              <w:bottom w:val="single" w:sz="4" w:space="0" w:color="auto"/>
              <w:right w:val="single" w:sz="4" w:space="0" w:color="auto"/>
            </w:tcBorders>
            <w:vAlign w:val="bottom"/>
            <w:hideMark/>
          </w:tcPr>
          <w:p w14:paraId="37828F38" w14:textId="77777777" w:rsidR="00956ACE" w:rsidRPr="00CE28E3" w:rsidRDefault="00956ACE" w:rsidP="00670650">
            <w:pPr>
              <w:pStyle w:val="TableText"/>
              <w:keepNext/>
              <w:rPr>
                <w:b/>
              </w:rPr>
            </w:pPr>
            <w:r w:rsidRPr="00CE28E3">
              <w:rPr>
                <w:b/>
              </w:rPr>
              <w:t>Type of evidence supplied</w:t>
            </w:r>
          </w:p>
        </w:tc>
        <w:tc>
          <w:tcPr>
            <w:tcW w:w="1075" w:type="pct"/>
            <w:tcBorders>
              <w:top w:val="single" w:sz="4" w:space="0" w:color="auto"/>
              <w:left w:val="single" w:sz="4" w:space="0" w:color="auto"/>
              <w:bottom w:val="single" w:sz="4" w:space="0" w:color="auto"/>
              <w:right w:val="single" w:sz="4" w:space="0" w:color="auto"/>
            </w:tcBorders>
            <w:vAlign w:val="bottom"/>
            <w:hideMark/>
          </w:tcPr>
          <w:p w14:paraId="26BD1646" w14:textId="77777777" w:rsidR="00956ACE" w:rsidRPr="00CE28E3" w:rsidRDefault="00956ACE" w:rsidP="00670650">
            <w:pPr>
              <w:pStyle w:val="TableText"/>
              <w:keepNext/>
              <w:rPr>
                <w:b/>
              </w:rPr>
            </w:pPr>
            <w:r w:rsidRPr="00CE28E3">
              <w:rPr>
                <w:b/>
              </w:rPr>
              <w:t>Extent of evidence supplied</w:t>
            </w:r>
          </w:p>
        </w:tc>
        <w:tc>
          <w:tcPr>
            <w:tcW w:w="1074" w:type="pct"/>
            <w:tcBorders>
              <w:top w:val="single" w:sz="4" w:space="0" w:color="auto"/>
              <w:left w:val="single" w:sz="4" w:space="0" w:color="auto"/>
              <w:bottom w:val="single" w:sz="4" w:space="0" w:color="auto"/>
              <w:right w:val="single" w:sz="4" w:space="0" w:color="auto"/>
            </w:tcBorders>
            <w:vAlign w:val="bottom"/>
            <w:hideMark/>
          </w:tcPr>
          <w:p w14:paraId="3F0C39B2" w14:textId="77777777" w:rsidR="00956ACE" w:rsidRPr="00CE28E3" w:rsidRDefault="00956ACE" w:rsidP="00670650">
            <w:pPr>
              <w:pStyle w:val="TableText"/>
              <w:keepNext/>
              <w:rPr>
                <w:b/>
              </w:rPr>
            </w:pPr>
            <w:r w:rsidRPr="00CE28E3">
              <w:rPr>
                <w:b/>
              </w:rPr>
              <w:t>Overall risk of bias in evidence base</w:t>
            </w:r>
          </w:p>
        </w:tc>
      </w:tr>
      <w:tr w:rsidR="00956ACE" w:rsidRPr="00CE28E3" w14:paraId="34571304" w14:textId="77777777" w:rsidTr="00824458">
        <w:tc>
          <w:tcPr>
            <w:tcW w:w="1007" w:type="pct"/>
            <w:tcBorders>
              <w:top w:val="single" w:sz="4" w:space="0" w:color="auto"/>
              <w:left w:val="single" w:sz="4" w:space="0" w:color="auto"/>
              <w:bottom w:val="single" w:sz="4" w:space="0" w:color="auto"/>
              <w:right w:val="single" w:sz="4" w:space="0" w:color="auto"/>
            </w:tcBorders>
            <w:hideMark/>
          </w:tcPr>
          <w:p w14:paraId="63BA3949" w14:textId="77777777" w:rsidR="00956ACE" w:rsidRPr="00CE28E3" w:rsidRDefault="00956ACE" w:rsidP="00670650">
            <w:pPr>
              <w:pStyle w:val="TableText"/>
              <w:keepNext/>
            </w:pPr>
            <w:r w:rsidRPr="00CE28E3">
              <w:t>Accuracy and performance of the test (cross-sectional accuracy)</w:t>
            </w:r>
          </w:p>
        </w:tc>
        <w:tc>
          <w:tcPr>
            <w:tcW w:w="1844" w:type="pct"/>
            <w:tcBorders>
              <w:top w:val="single" w:sz="4" w:space="0" w:color="auto"/>
              <w:left w:val="single" w:sz="4" w:space="0" w:color="auto"/>
              <w:bottom w:val="single" w:sz="4" w:space="0" w:color="auto"/>
              <w:right w:val="single" w:sz="4" w:space="0" w:color="auto"/>
            </w:tcBorders>
            <w:hideMark/>
          </w:tcPr>
          <w:p w14:paraId="30506173" w14:textId="4A015DFC" w:rsidR="00956ACE" w:rsidRPr="00FC0388" w:rsidRDefault="00572332" w:rsidP="00670650">
            <w:pPr>
              <w:pStyle w:val="TableText"/>
              <w:keepNext/>
              <w:rPr>
                <w:color w:val="000000" w:themeColor="text1"/>
              </w:rPr>
            </w:pPr>
            <w:r>
              <w:rPr>
                <w:color w:val="000000" w:themeColor="text1"/>
              </w:rPr>
              <w:t>Evidence that NGS is highly concordant with single-gene testing</w:t>
            </w:r>
            <w:r w:rsidR="00546A04">
              <w:rPr>
                <w:color w:val="000000" w:themeColor="text1"/>
              </w:rPr>
              <w:t xml:space="preserve">, and </w:t>
            </w:r>
            <w:r>
              <w:rPr>
                <w:color w:val="000000" w:themeColor="text1"/>
              </w:rPr>
              <w:t>detects more extra cases than it misses</w:t>
            </w:r>
          </w:p>
          <w:p w14:paraId="7A348354" w14:textId="4A73C079" w:rsidR="00FC0388" w:rsidRPr="00CE28E3" w:rsidRDefault="00572332" w:rsidP="006640AF">
            <w:pPr>
              <w:pStyle w:val="TableText"/>
              <w:keepNext/>
            </w:pPr>
            <w:r>
              <w:rPr>
                <w:color w:val="000000" w:themeColor="text1"/>
              </w:rPr>
              <w:t xml:space="preserve">Evidence that NGS has </w:t>
            </w:r>
            <w:r w:rsidR="006640AF">
              <w:rPr>
                <w:color w:val="000000" w:themeColor="text1"/>
              </w:rPr>
              <w:t xml:space="preserve">a </w:t>
            </w:r>
            <w:r>
              <w:rPr>
                <w:color w:val="000000" w:themeColor="text1"/>
              </w:rPr>
              <w:t xml:space="preserve">higher </w:t>
            </w:r>
            <w:r w:rsidR="006640AF">
              <w:rPr>
                <w:color w:val="000000" w:themeColor="text1"/>
              </w:rPr>
              <w:t xml:space="preserve">proportion of samples </w:t>
            </w:r>
            <w:r>
              <w:rPr>
                <w:color w:val="000000" w:themeColor="text1"/>
              </w:rPr>
              <w:t>success</w:t>
            </w:r>
            <w:r w:rsidR="006640AF">
              <w:rPr>
                <w:color w:val="000000" w:themeColor="text1"/>
              </w:rPr>
              <w:t>fully</w:t>
            </w:r>
            <w:r>
              <w:rPr>
                <w:color w:val="000000" w:themeColor="text1"/>
              </w:rPr>
              <w:t xml:space="preserve"> test</w:t>
            </w:r>
            <w:r w:rsidR="006640AF">
              <w:rPr>
                <w:color w:val="000000" w:themeColor="text1"/>
              </w:rPr>
              <w:t>ed</w:t>
            </w:r>
            <w:r w:rsidR="00546A04">
              <w:rPr>
                <w:color w:val="000000" w:themeColor="text1"/>
              </w:rPr>
              <w:t xml:space="preserve"> (better use of tumour tissue)</w:t>
            </w:r>
          </w:p>
        </w:tc>
        <w:tc>
          <w:tcPr>
            <w:tcW w:w="1075" w:type="pct"/>
            <w:tcBorders>
              <w:top w:val="single" w:sz="4" w:space="0" w:color="auto"/>
              <w:left w:val="single" w:sz="4" w:space="0" w:color="auto"/>
              <w:bottom w:val="single" w:sz="4" w:space="0" w:color="auto"/>
              <w:right w:val="single" w:sz="4" w:space="0" w:color="auto"/>
            </w:tcBorders>
            <w:hideMark/>
          </w:tcPr>
          <w:p w14:paraId="38E7818D" w14:textId="6127E0B0" w:rsidR="00956ACE" w:rsidRDefault="00FC0388" w:rsidP="00670650">
            <w:pPr>
              <w:pStyle w:val="TableText"/>
              <w:keepNext/>
            </w:pPr>
            <w:r>
              <w:rPr>
                <w:rFonts w:ascii="MS Gothic" w:eastAsia="MS Gothic" w:hAnsi="MS Gothic" w:hint="eastAsia"/>
              </w:rPr>
              <w:t>☒</w:t>
            </w:r>
            <w:r w:rsidR="00956ACE" w:rsidRPr="00CE28E3">
              <w:tab/>
              <w:t>k=</w:t>
            </w:r>
            <w:r>
              <w:t>30</w:t>
            </w:r>
            <w:r w:rsidR="00956ACE" w:rsidRPr="00CE28E3">
              <w:tab/>
              <w:t>n=</w:t>
            </w:r>
            <w:r>
              <w:t>4081</w:t>
            </w:r>
          </w:p>
          <w:p w14:paraId="4B9F173D" w14:textId="667EA4FE" w:rsidR="00FC0388" w:rsidRPr="00CE28E3" w:rsidRDefault="00FC0388" w:rsidP="00670650">
            <w:pPr>
              <w:pStyle w:val="TableText"/>
              <w:keepNext/>
            </w:pPr>
            <w:r>
              <w:rPr>
                <w:rFonts w:ascii="MS Gothic" w:eastAsia="MS Gothic" w:hAnsi="MS Gothic" w:hint="eastAsia"/>
              </w:rPr>
              <w:t>☒</w:t>
            </w:r>
            <w:r w:rsidRPr="00CE28E3">
              <w:tab/>
              <w:t>k=</w:t>
            </w:r>
            <w:r>
              <w:t>1</w:t>
            </w:r>
            <w:r w:rsidRPr="00CE28E3">
              <w:tab/>
              <w:t>n=</w:t>
            </w:r>
            <w:r>
              <w:t>4040</w:t>
            </w:r>
          </w:p>
        </w:tc>
        <w:tc>
          <w:tcPr>
            <w:tcW w:w="1074" w:type="pct"/>
            <w:tcBorders>
              <w:top w:val="single" w:sz="4" w:space="0" w:color="auto"/>
              <w:left w:val="single" w:sz="4" w:space="0" w:color="auto"/>
              <w:bottom w:val="single" w:sz="4" w:space="0" w:color="auto"/>
              <w:right w:val="single" w:sz="4" w:space="0" w:color="auto"/>
            </w:tcBorders>
            <w:hideMark/>
          </w:tcPr>
          <w:p w14:paraId="314B6464" w14:textId="42D9DF7C" w:rsidR="00FC0388" w:rsidRPr="00B06759" w:rsidRDefault="00FC0388" w:rsidP="00103594">
            <w:pPr>
              <w:pStyle w:val="TableText"/>
              <w:keepNext/>
              <w:rPr>
                <w:color w:val="000000" w:themeColor="text1"/>
              </w:rPr>
            </w:pPr>
            <w:r w:rsidRPr="00FC0388">
              <w:rPr>
                <w:color w:val="000000" w:themeColor="text1"/>
              </w:rPr>
              <w:t>Low to moderate risk of bias (QUADAS 2)</w:t>
            </w:r>
          </w:p>
        </w:tc>
      </w:tr>
      <w:tr w:rsidR="00956ACE" w:rsidRPr="00CE28E3" w14:paraId="020F989B" w14:textId="77777777" w:rsidTr="00715326">
        <w:tc>
          <w:tcPr>
            <w:tcW w:w="1007" w:type="pct"/>
            <w:tcBorders>
              <w:top w:val="single" w:sz="4" w:space="0" w:color="auto"/>
              <w:left w:val="single" w:sz="4" w:space="0" w:color="auto"/>
              <w:bottom w:val="single" w:sz="4" w:space="0" w:color="auto"/>
              <w:right w:val="single" w:sz="4" w:space="0" w:color="auto"/>
            </w:tcBorders>
            <w:hideMark/>
          </w:tcPr>
          <w:p w14:paraId="252A909C" w14:textId="46437185" w:rsidR="00956ACE" w:rsidRPr="00CE28E3" w:rsidRDefault="00956ACE" w:rsidP="00670650">
            <w:pPr>
              <w:pStyle w:val="TableText"/>
              <w:keepNext/>
            </w:pPr>
            <w:r w:rsidRPr="00CE28E3">
              <w:t>Change in patient management</w:t>
            </w:r>
          </w:p>
        </w:tc>
        <w:tc>
          <w:tcPr>
            <w:tcW w:w="1844" w:type="pct"/>
            <w:tcBorders>
              <w:top w:val="single" w:sz="4" w:space="0" w:color="auto"/>
              <w:left w:val="single" w:sz="4" w:space="0" w:color="auto"/>
              <w:bottom w:val="single" w:sz="4" w:space="0" w:color="auto"/>
              <w:right w:val="single" w:sz="4" w:space="0" w:color="auto"/>
            </w:tcBorders>
            <w:hideMark/>
          </w:tcPr>
          <w:p w14:paraId="4F44F0E5" w14:textId="04E1C534" w:rsidR="00956ACE" w:rsidRPr="00572332" w:rsidRDefault="00572332" w:rsidP="00670650">
            <w:pPr>
              <w:pStyle w:val="TableText"/>
              <w:keepNext/>
              <w:rPr>
                <w:color w:val="000000" w:themeColor="text1"/>
              </w:rPr>
            </w:pPr>
            <w:r w:rsidRPr="00572332">
              <w:rPr>
                <w:color w:val="000000" w:themeColor="text1"/>
              </w:rPr>
              <w:t xml:space="preserve">Evidence that shows that use of NGS </w:t>
            </w:r>
            <w:r>
              <w:rPr>
                <w:color w:val="000000" w:themeColor="text1"/>
              </w:rPr>
              <w:t>influences</w:t>
            </w:r>
            <w:r w:rsidRPr="00572332">
              <w:rPr>
                <w:color w:val="000000" w:themeColor="text1"/>
              </w:rPr>
              <w:t xml:space="preserve"> the treatments given in those with discordant results. </w:t>
            </w:r>
          </w:p>
          <w:p w14:paraId="6CFA7EE5" w14:textId="5C2020C2" w:rsidR="00572332" w:rsidRPr="00CE28E3" w:rsidRDefault="00572332" w:rsidP="00670650">
            <w:pPr>
              <w:pStyle w:val="TableText"/>
              <w:keepNext/>
            </w:pPr>
            <w:r w:rsidRPr="00572332">
              <w:rPr>
                <w:color w:val="000000" w:themeColor="text1"/>
              </w:rPr>
              <w:t>Evidence that shows that some patients with insufficient tissue are rebiopsied</w:t>
            </w:r>
          </w:p>
        </w:tc>
        <w:tc>
          <w:tcPr>
            <w:tcW w:w="1075" w:type="pct"/>
            <w:tcBorders>
              <w:top w:val="single" w:sz="4" w:space="0" w:color="auto"/>
              <w:left w:val="single" w:sz="4" w:space="0" w:color="auto"/>
              <w:bottom w:val="single" w:sz="4" w:space="0" w:color="auto"/>
              <w:right w:val="single" w:sz="4" w:space="0" w:color="auto"/>
            </w:tcBorders>
            <w:hideMark/>
          </w:tcPr>
          <w:p w14:paraId="7F7E9DBE" w14:textId="269E0431" w:rsidR="00956ACE" w:rsidRDefault="00572332" w:rsidP="00670650">
            <w:pPr>
              <w:pStyle w:val="TableText"/>
              <w:keepNext/>
            </w:pPr>
            <w:r>
              <w:rPr>
                <w:rFonts w:ascii="MS Gothic" w:eastAsia="MS Gothic" w:hAnsi="MS Gothic" w:hint="eastAsia"/>
              </w:rPr>
              <w:t>☒</w:t>
            </w:r>
            <w:r w:rsidR="00956ACE" w:rsidRPr="00CE28E3">
              <w:tab/>
              <w:t>k=</w:t>
            </w:r>
            <w:r>
              <w:t>6</w:t>
            </w:r>
            <w:r w:rsidR="00956ACE" w:rsidRPr="00CE28E3">
              <w:tab/>
              <w:t>n=</w:t>
            </w:r>
            <w:r>
              <w:t>99</w:t>
            </w:r>
          </w:p>
          <w:p w14:paraId="60E3094E" w14:textId="6663B938" w:rsidR="00572332" w:rsidRPr="00CE28E3" w:rsidRDefault="00572332" w:rsidP="00670650">
            <w:pPr>
              <w:pStyle w:val="TableText"/>
              <w:keepNext/>
            </w:pPr>
            <w:r>
              <w:rPr>
                <w:rFonts w:ascii="MS Gothic" w:eastAsia="MS Gothic" w:hAnsi="MS Gothic" w:hint="eastAsia"/>
              </w:rPr>
              <w:t>☒</w:t>
            </w:r>
            <w:r w:rsidRPr="00CE28E3">
              <w:tab/>
              <w:t>k=</w:t>
            </w:r>
            <w:r>
              <w:t>2</w:t>
            </w:r>
            <w:r w:rsidRPr="00CE28E3">
              <w:tab/>
              <w:t>n=</w:t>
            </w:r>
            <w:r>
              <w:t>225</w:t>
            </w:r>
          </w:p>
        </w:tc>
        <w:tc>
          <w:tcPr>
            <w:tcW w:w="1074" w:type="pct"/>
            <w:tcBorders>
              <w:top w:val="single" w:sz="4" w:space="0" w:color="auto"/>
              <w:left w:val="single" w:sz="4" w:space="0" w:color="auto"/>
              <w:bottom w:val="single" w:sz="4" w:space="0" w:color="auto"/>
              <w:right w:val="single" w:sz="4" w:space="0" w:color="auto"/>
            </w:tcBorders>
            <w:hideMark/>
          </w:tcPr>
          <w:p w14:paraId="78DED9B1" w14:textId="77777777" w:rsidR="003B1CF1" w:rsidRDefault="003B1CF1" w:rsidP="003B1CF1">
            <w:pPr>
              <w:pStyle w:val="TableText"/>
              <w:keepNext/>
              <w:rPr>
                <w:color w:val="000000" w:themeColor="text1"/>
              </w:rPr>
            </w:pPr>
            <w:r w:rsidRPr="00FC0388">
              <w:rPr>
                <w:color w:val="000000" w:themeColor="text1"/>
              </w:rPr>
              <w:t>Low to moderate risk of bias (QUADAS 2)</w:t>
            </w:r>
          </w:p>
          <w:p w14:paraId="00E8E7C1" w14:textId="6AF61C99" w:rsidR="00956ACE" w:rsidRPr="00D133CF" w:rsidRDefault="001D78CF" w:rsidP="00670650">
            <w:pPr>
              <w:pStyle w:val="TableText"/>
              <w:keepNext/>
              <w:rPr>
                <w:color w:val="000000" w:themeColor="text1"/>
              </w:rPr>
            </w:pPr>
            <w:r>
              <w:rPr>
                <w:color w:val="000000" w:themeColor="text1"/>
              </w:rPr>
              <w:t>(However, very small heterogeneous studies)</w:t>
            </w:r>
          </w:p>
        </w:tc>
      </w:tr>
      <w:tr w:rsidR="00956ACE" w:rsidRPr="00CE28E3" w14:paraId="0A575DD3" w14:textId="77777777" w:rsidTr="00715326">
        <w:tc>
          <w:tcPr>
            <w:tcW w:w="1007" w:type="pct"/>
            <w:tcBorders>
              <w:top w:val="single" w:sz="4" w:space="0" w:color="auto"/>
              <w:left w:val="single" w:sz="4" w:space="0" w:color="auto"/>
              <w:bottom w:val="single" w:sz="4" w:space="0" w:color="auto"/>
              <w:right w:val="single" w:sz="4" w:space="0" w:color="auto"/>
            </w:tcBorders>
            <w:hideMark/>
          </w:tcPr>
          <w:p w14:paraId="2B5E1C59" w14:textId="3A2F5E5A" w:rsidR="00956ACE" w:rsidRPr="00CE28E3" w:rsidRDefault="00956ACE" w:rsidP="00670650">
            <w:pPr>
              <w:pStyle w:val="TableText"/>
              <w:keepNext/>
            </w:pPr>
            <w:r w:rsidRPr="00CE28E3">
              <w:t>Health outcomes</w:t>
            </w:r>
          </w:p>
        </w:tc>
        <w:tc>
          <w:tcPr>
            <w:tcW w:w="1844" w:type="pct"/>
            <w:tcBorders>
              <w:top w:val="single" w:sz="4" w:space="0" w:color="auto"/>
              <w:left w:val="single" w:sz="4" w:space="0" w:color="auto"/>
              <w:bottom w:val="single" w:sz="4" w:space="0" w:color="auto"/>
              <w:right w:val="single" w:sz="4" w:space="0" w:color="auto"/>
            </w:tcBorders>
          </w:tcPr>
          <w:p w14:paraId="7CD6C294" w14:textId="77777777" w:rsidR="00956ACE" w:rsidRPr="007C547B" w:rsidRDefault="00572332" w:rsidP="00670650">
            <w:pPr>
              <w:pStyle w:val="TableText"/>
              <w:keepNext/>
              <w:rPr>
                <w:color w:val="000000" w:themeColor="text1"/>
              </w:rPr>
            </w:pPr>
            <w:r w:rsidRPr="007C547B">
              <w:rPr>
                <w:color w:val="000000" w:themeColor="text1"/>
              </w:rPr>
              <w:t>Evidence that extra cases detected by NGS are likely to respond to TKIs</w:t>
            </w:r>
          </w:p>
          <w:p w14:paraId="54723D7C" w14:textId="4E2482D7" w:rsidR="00572332" w:rsidRPr="00CE28E3" w:rsidRDefault="00572332" w:rsidP="00670650">
            <w:pPr>
              <w:pStyle w:val="TableText"/>
              <w:keepNext/>
            </w:pPr>
            <w:r w:rsidRPr="007C547B">
              <w:rPr>
                <w:color w:val="000000" w:themeColor="text1"/>
              </w:rPr>
              <w:t>Evidence that avoiding rebiopsies is safer than undergoing rebiopsy</w:t>
            </w:r>
          </w:p>
        </w:tc>
        <w:tc>
          <w:tcPr>
            <w:tcW w:w="1075" w:type="pct"/>
            <w:tcBorders>
              <w:top w:val="single" w:sz="4" w:space="0" w:color="auto"/>
              <w:left w:val="single" w:sz="4" w:space="0" w:color="auto"/>
              <w:bottom w:val="single" w:sz="4" w:space="0" w:color="auto"/>
              <w:right w:val="single" w:sz="4" w:space="0" w:color="auto"/>
            </w:tcBorders>
          </w:tcPr>
          <w:p w14:paraId="3DADA39D" w14:textId="4E3B8957" w:rsidR="00956ACE" w:rsidRPr="00CE28E3" w:rsidRDefault="00572332" w:rsidP="00670650">
            <w:pPr>
              <w:pStyle w:val="TableText"/>
              <w:keepNext/>
            </w:pPr>
            <w:r>
              <w:rPr>
                <w:rFonts w:ascii="MS Gothic" w:eastAsia="MS Gothic" w:hAnsi="MS Gothic" w:hint="eastAsia"/>
              </w:rPr>
              <w:t>☒</w:t>
            </w:r>
            <w:r w:rsidR="00956ACE" w:rsidRPr="00CE28E3">
              <w:tab/>
              <w:t>k=</w:t>
            </w:r>
            <w:r w:rsidR="00546A04">
              <w:t>8</w:t>
            </w:r>
            <w:r w:rsidR="00956ACE" w:rsidRPr="00CE28E3">
              <w:tab/>
              <w:t>n=</w:t>
            </w:r>
            <w:r w:rsidR="00546A04">
              <w:t>2921</w:t>
            </w:r>
          </w:p>
          <w:p w14:paraId="496A8CDC" w14:textId="3B5F7F73" w:rsidR="00956ACE" w:rsidRPr="00CE28E3" w:rsidRDefault="00572332" w:rsidP="00103594">
            <w:pPr>
              <w:pStyle w:val="TableText"/>
              <w:keepNext/>
            </w:pPr>
            <w:r>
              <w:rPr>
                <w:rFonts w:ascii="MS Gothic" w:eastAsia="MS Gothic" w:hAnsi="MS Gothic" w:hint="eastAsia"/>
              </w:rPr>
              <w:t>☒</w:t>
            </w:r>
            <w:r w:rsidRPr="00CE28E3">
              <w:tab/>
              <w:t>k=</w:t>
            </w:r>
            <w:r w:rsidR="00546A04">
              <w:t>16</w:t>
            </w:r>
            <w:r w:rsidRPr="00CE28E3">
              <w:tab/>
              <w:t>n=</w:t>
            </w:r>
            <w:r w:rsidR="00546A04">
              <w:t>2326</w:t>
            </w:r>
          </w:p>
        </w:tc>
        <w:tc>
          <w:tcPr>
            <w:tcW w:w="1074" w:type="pct"/>
            <w:tcBorders>
              <w:top w:val="single" w:sz="4" w:space="0" w:color="auto"/>
              <w:left w:val="single" w:sz="4" w:space="0" w:color="auto"/>
              <w:bottom w:val="single" w:sz="4" w:space="0" w:color="auto"/>
              <w:right w:val="single" w:sz="4" w:space="0" w:color="auto"/>
            </w:tcBorders>
            <w:hideMark/>
          </w:tcPr>
          <w:p w14:paraId="17AAB10F" w14:textId="4734C5CD" w:rsidR="00956ACE" w:rsidRPr="00CE28E3" w:rsidRDefault="00D133CF" w:rsidP="00670650">
            <w:pPr>
              <w:pStyle w:val="TableText"/>
              <w:keepNext/>
            </w:pPr>
            <w:r w:rsidRPr="00D133CF">
              <w:t>Moderate risk of bias (NHLBI for case series, AMSTAR 2 for SRs)</w:t>
            </w:r>
          </w:p>
        </w:tc>
      </w:tr>
      <w:tr w:rsidR="00956ACE" w:rsidRPr="00CE28E3" w14:paraId="08C1132B" w14:textId="77777777" w:rsidTr="00103594">
        <w:trPr>
          <w:trHeight w:val="706"/>
        </w:trPr>
        <w:tc>
          <w:tcPr>
            <w:tcW w:w="1007" w:type="pct"/>
            <w:tcBorders>
              <w:top w:val="single" w:sz="4" w:space="0" w:color="auto"/>
              <w:left w:val="single" w:sz="4" w:space="0" w:color="auto"/>
              <w:bottom w:val="single" w:sz="4" w:space="0" w:color="auto"/>
              <w:right w:val="single" w:sz="4" w:space="0" w:color="auto"/>
            </w:tcBorders>
          </w:tcPr>
          <w:p w14:paraId="1119C155" w14:textId="2466D874" w:rsidR="00956ACE" w:rsidRPr="00CE28E3" w:rsidRDefault="00956ACE" w:rsidP="00670650">
            <w:pPr>
              <w:pStyle w:val="TableText"/>
              <w:keepNext/>
            </w:pPr>
            <w:r w:rsidRPr="00CE28E3">
              <w:t>Predictive effect</w:t>
            </w:r>
            <w:r w:rsidR="00BC4972">
              <w:t xml:space="preserve"> </w:t>
            </w:r>
            <w:r w:rsidRPr="00CE28E3">
              <w:t>(treatment effect variation)</w:t>
            </w:r>
          </w:p>
        </w:tc>
        <w:tc>
          <w:tcPr>
            <w:tcW w:w="1844" w:type="pct"/>
            <w:tcBorders>
              <w:top w:val="single" w:sz="4" w:space="0" w:color="auto"/>
              <w:left w:val="single" w:sz="4" w:space="0" w:color="auto"/>
              <w:bottom w:val="single" w:sz="4" w:space="0" w:color="auto"/>
              <w:right w:val="single" w:sz="4" w:space="0" w:color="auto"/>
            </w:tcBorders>
          </w:tcPr>
          <w:p w14:paraId="241AA423" w14:textId="36CFD6FA" w:rsidR="00956ACE" w:rsidRPr="00572332" w:rsidRDefault="00572332" w:rsidP="00FC0388">
            <w:pPr>
              <w:pStyle w:val="TableText"/>
              <w:keepNext/>
            </w:pPr>
            <w:r>
              <w:t xml:space="preserve">Evidence that NGS-selection of patients for </w:t>
            </w:r>
            <w:r>
              <w:rPr>
                <w:i/>
              </w:rPr>
              <w:t>ALK</w:t>
            </w:r>
            <w:r>
              <w:t xml:space="preserve"> TKIs is superior to IHC- or FISH- selection for </w:t>
            </w:r>
            <w:r>
              <w:rPr>
                <w:i/>
              </w:rPr>
              <w:t xml:space="preserve">ALK </w:t>
            </w:r>
            <w:r>
              <w:t>TKIs</w:t>
            </w:r>
          </w:p>
        </w:tc>
        <w:tc>
          <w:tcPr>
            <w:tcW w:w="1075" w:type="pct"/>
            <w:tcBorders>
              <w:top w:val="single" w:sz="4" w:space="0" w:color="auto"/>
              <w:left w:val="single" w:sz="4" w:space="0" w:color="auto"/>
              <w:bottom w:val="single" w:sz="4" w:space="0" w:color="auto"/>
              <w:right w:val="single" w:sz="4" w:space="0" w:color="auto"/>
            </w:tcBorders>
          </w:tcPr>
          <w:p w14:paraId="7A8C7715" w14:textId="196036C5" w:rsidR="00956ACE" w:rsidRPr="00CE28E3" w:rsidRDefault="00FC0388" w:rsidP="00670650">
            <w:pPr>
              <w:pStyle w:val="TableText"/>
              <w:keepNext/>
            </w:pPr>
            <w:r>
              <w:rPr>
                <w:rFonts w:ascii="MS Gothic" w:eastAsia="MS Gothic" w:hAnsi="MS Gothic" w:hint="eastAsia"/>
              </w:rPr>
              <w:t>☒</w:t>
            </w:r>
            <w:r w:rsidR="00956ACE" w:rsidRPr="00CE28E3">
              <w:tab/>
              <w:t>k=</w:t>
            </w:r>
            <w:r>
              <w:t>1</w:t>
            </w:r>
            <w:r w:rsidR="00956ACE" w:rsidRPr="00CE28E3">
              <w:tab/>
              <w:t>n=</w:t>
            </w:r>
            <w:r>
              <w:t>50</w:t>
            </w:r>
          </w:p>
        </w:tc>
        <w:tc>
          <w:tcPr>
            <w:tcW w:w="1074" w:type="pct"/>
            <w:tcBorders>
              <w:top w:val="single" w:sz="4" w:space="0" w:color="auto"/>
              <w:left w:val="single" w:sz="4" w:space="0" w:color="auto"/>
              <w:bottom w:val="single" w:sz="4" w:space="0" w:color="auto"/>
              <w:right w:val="single" w:sz="4" w:space="0" w:color="auto"/>
            </w:tcBorders>
          </w:tcPr>
          <w:p w14:paraId="79C15404" w14:textId="7ABD9C18" w:rsidR="00956ACE" w:rsidRPr="00CE28E3" w:rsidRDefault="00B06759" w:rsidP="00670650">
            <w:pPr>
              <w:pStyle w:val="TableText"/>
              <w:keepNext/>
            </w:pPr>
            <w:r w:rsidRPr="00B06759">
              <w:t>Moderate to high risk (QUIPS checklist)</w:t>
            </w:r>
          </w:p>
        </w:tc>
      </w:tr>
    </w:tbl>
    <w:p w14:paraId="36B53B57" w14:textId="460E5D98" w:rsidR="00956ACE" w:rsidRDefault="000F181F" w:rsidP="00B8535F">
      <w:pPr>
        <w:pStyle w:val="TableFigureFooter"/>
        <w:rPr>
          <w:color w:val="258221"/>
        </w:rPr>
      </w:pPr>
      <w:bookmarkStart w:id="26" w:name="_Hlk68276301"/>
      <w:bookmarkEnd w:id="25"/>
      <w:r w:rsidRPr="007C7AB1">
        <w:rPr>
          <w:i/>
        </w:rPr>
        <w:t>ALK</w:t>
      </w:r>
      <w:r>
        <w:t xml:space="preserve"> = </w:t>
      </w:r>
      <w:r w:rsidRPr="00561C5F">
        <w:t>anaplastic lymphoma kinase</w:t>
      </w:r>
      <w:r>
        <w:t xml:space="preserve">; </w:t>
      </w:r>
      <w:r w:rsidR="00D133CF">
        <w:t xml:space="preserve">AMSTAR 2 = Assessing the Methodological Quality of Systematic Reviews; </w:t>
      </w:r>
      <w:r>
        <w:t xml:space="preserve">FISH = fluorescent </w:t>
      </w:r>
      <w:r w:rsidRPr="00357441">
        <w:rPr>
          <w:i/>
          <w:iCs/>
        </w:rPr>
        <w:t>in situ</w:t>
      </w:r>
      <w:r>
        <w:t xml:space="preserve"> hybridisation; IHC = immunohistochemistry; </w:t>
      </w:r>
      <w:r w:rsidR="00956ACE" w:rsidRPr="00CE28E3">
        <w:t>k=number of studies, n=number of patients</w:t>
      </w:r>
      <w:r>
        <w:t>; NGS = next generation sequencing</w:t>
      </w:r>
      <w:r w:rsidRPr="000F181F">
        <w:t>;</w:t>
      </w:r>
      <w:r w:rsidR="00D133CF">
        <w:t xml:space="preserve"> QUADAS 2 = Quality assessment tool for diagnostic accuracy studies; QUIPS = Quality of Prognostic Studies tool;</w:t>
      </w:r>
      <w:r w:rsidRPr="000F181F">
        <w:t xml:space="preserve"> </w:t>
      </w:r>
      <w:r w:rsidR="00D133CF">
        <w:t xml:space="preserve">SRs = systematic reviews; </w:t>
      </w:r>
      <w:r w:rsidRPr="000F181F">
        <w:t>TKI = tyrosine kinase inhibitor (therapy)</w:t>
      </w:r>
    </w:p>
    <w:p w14:paraId="4876DC91" w14:textId="7A981B5A" w:rsidR="000F181F" w:rsidRDefault="00392088" w:rsidP="000F181F">
      <w:pPr>
        <w:pStyle w:val="TableFigureFooter"/>
        <w:keepNext/>
      </w:pPr>
      <w:r w:rsidRPr="00392088">
        <w:rPr>
          <w:noProof/>
        </w:rPr>
        <w:lastRenderedPageBreak/>
        <w:drawing>
          <wp:inline distT="0" distB="0" distL="0" distR="0" wp14:anchorId="771441B9" wp14:editId="1C9547D3">
            <wp:extent cx="5731510" cy="3688715"/>
            <wp:effectExtent l="0" t="0" r="2540" b="6985"/>
            <wp:docPr id="40" name="Picture 40" descr="Assessment framework for small DNA/RNA NGS panel vs sequential single gene testing in patients with non-squamous (or NOS) NSCLC" title="Assessment framework for small DNA/RNA NGS panel vs sequential single gene testing in patients with non-squamous (or NOS)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88715"/>
                    </a:xfrm>
                    <a:prstGeom prst="rect">
                      <a:avLst/>
                    </a:prstGeom>
                  </pic:spPr>
                </pic:pic>
              </a:graphicData>
            </a:graphic>
          </wp:inline>
        </w:drawing>
      </w:r>
    </w:p>
    <w:p w14:paraId="4C7ED2F3" w14:textId="02AB4B35" w:rsidR="008D59D0" w:rsidRDefault="000F181F" w:rsidP="000F181F">
      <w:pPr>
        <w:pStyle w:val="Caption"/>
      </w:pPr>
      <w:r>
        <w:t xml:space="preserve">Figure </w:t>
      </w:r>
      <w:fldSimple w:instr=" SEQ Figure \* ARABIC ">
        <w:r w:rsidR="00C857F3">
          <w:rPr>
            <w:noProof/>
          </w:rPr>
          <w:t>1</w:t>
        </w:r>
      </w:fldSimple>
      <w:r>
        <w:tab/>
        <w:t>Assessment framework for small DNA/RNA NGS panel vs sequential single gene testing in patients with non-squamous (or NOS) NSCLC</w:t>
      </w:r>
    </w:p>
    <w:p w14:paraId="6E26C932" w14:textId="003520C5" w:rsidR="000F181F" w:rsidRPr="000F181F" w:rsidRDefault="000F181F" w:rsidP="000F181F">
      <w:pPr>
        <w:pStyle w:val="TableFigureFooter"/>
      </w:pPr>
      <w:r w:rsidRPr="00CE28E3">
        <w:t xml:space="preserve">Figure notes: 1: direct from test to health outcomes evidence; 2: test </w:t>
      </w:r>
      <w:r>
        <w:t xml:space="preserve">performance; 3: change in </w:t>
      </w:r>
      <w:r w:rsidRPr="00CE28E3">
        <w:t>treatment/management; 4:</w:t>
      </w:r>
      <w:r>
        <w:t> </w:t>
      </w:r>
      <w:r w:rsidRPr="00CE28E3">
        <w:t>influence of the change i</w:t>
      </w:r>
      <w:r w:rsidR="009115B2">
        <w:t>n management on health outcomes</w:t>
      </w:r>
    </w:p>
    <w:p w14:paraId="3B9FC2AD" w14:textId="3F398142" w:rsidR="00772829" w:rsidRDefault="00C36633" w:rsidP="002A18BE">
      <w:pPr>
        <w:pStyle w:val="Heading2"/>
        <w:numPr>
          <w:ilvl w:val="0"/>
          <w:numId w:val="0"/>
        </w:numPr>
      </w:pPr>
      <w:bookmarkStart w:id="27" w:name="_Toc148531125"/>
      <w:bookmarkEnd w:id="26"/>
      <w:r>
        <w:t>9.</w:t>
      </w:r>
      <w:r>
        <w:tab/>
      </w:r>
      <w:r w:rsidR="00772829" w:rsidRPr="00CE28E3">
        <w:t>Comparative safety</w:t>
      </w:r>
      <w:bookmarkEnd w:id="27"/>
    </w:p>
    <w:p w14:paraId="55248B5E" w14:textId="4FE121AE" w:rsidR="008E14B6" w:rsidRDefault="00A75CE2" w:rsidP="00A75CE2">
      <w:r>
        <w:t>No studies directly compared the safety of NGS testing with sequential single-gene testing. However, the evidence supported the claim that NGS had a higher</w:t>
      </w:r>
      <w:r w:rsidR="00DA3BB8">
        <w:t xml:space="preserve"> proportion of samples being successfully tested (i.e. making more efficient use of the available tissue to get a test result)</w:t>
      </w:r>
      <w:r>
        <w:t xml:space="preserve"> than sequential single-gene testing, which should correspond to a lower rate of rebiopsy. </w:t>
      </w:r>
      <w:r w:rsidR="008E14B6">
        <w:t>A single between-patient comparison was identified in a retrospective cohort study with a low to moderate risk of bias</w:t>
      </w:r>
      <w:r w:rsidR="008E14B6">
        <w:rPr>
          <w:rStyle w:val="FootnoteReference"/>
        </w:rPr>
        <w:footnoteReference w:id="2"/>
      </w:r>
      <w:r w:rsidR="008E14B6">
        <w:t xml:space="preserve"> (a further three studies provided within-patient comparisons, but these were considered to not be as informative, as the volume of tissue used for one method of testing would influence the volume of tissue </w:t>
      </w:r>
      <w:r w:rsidR="00F005BA">
        <w:t xml:space="preserve">remaining </w:t>
      </w:r>
      <w:r w:rsidR="008E14B6">
        <w:t xml:space="preserve">for the alternative method of testing, and the ordering of testing would highly bias the </w:t>
      </w:r>
      <w:r w:rsidR="00DA3BB8">
        <w:t xml:space="preserve">proportion of samples </w:t>
      </w:r>
      <w:r w:rsidR="008E14B6">
        <w:t>success</w:t>
      </w:r>
      <w:r w:rsidR="00DA3BB8">
        <w:t>fully tested</w:t>
      </w:r>
      <w:r w:rsidR="008E14B6">
        <w:t>). Steegh</w:t>
      </w:r>
      <w:r w:rsidR="00F005BA">
        <w:t>s</w:t>
      </w:r>
      <w:r w:rsidR="008E14B6">
        <w:t xml:space="preserve"> et al. (2022) reported that NGS methods </w:t>
      </w:r>
      <w:r w:rsidR="00C66FEA">
        <w:t>were successful in 97.2% of cases, whereas non-NGS methods were successful in 94.6% of cases</w:t>
      </w:r>
      <w:r w:rsidR="00F005BA">
        <w:t xml:space="preserve"> (</w:t>
      </w:r>
      <w:r w:rsidR="00F005BA">
        <w:fldChar w:fldCharType="begin"/>
      </w:r>
      <w:r w:rsidR="00F005BA">
        <w:instrText xml:space="preserve"> REF _Ref108597496 \h </w:instrText>
      </w:r>
      <w:r w:rsidR="00F005BA">
        <w:fldChar w:fldCharType="separate"/>
      </w:r>
      <w:r w:rsidR="00C857F3">
        <w:t xml:space="preserve">Figure </w:t>
      </w:r>
      <w:r w:rsidR="00C857F3">
        <w:rPr>
          <w:noProof/>
        </w:rPr>
        <w:t>2</w:t>
      </w:r>
      <w:r w:rsidR="00F005BA">
        <w:fldChar w:fldCharType="end"/>
      </w:r>
      <w:r w:rsidR="00F005BA">
        <w:t>)</w:t>
      </w:r>
      <w:r w:rsidR="00C66FEA">
        <w:t>.</w:t>
      </w:r>
    </w:p>
    <w:p w14:paraId="081F8EA5" w14:textId="77777777" w:rsidR="008E14B6" w:rsidRDefault="008E14B6" w:rsidP="008E14B6">
      <w:pPr>
        <w:keepNext/>
      </w:pPr>
      <w:r w:rsidRPr="00EC5C1B">
        <w:rPr>
          <w:noProof/>
          <w:lang w:eastAsia="en-AU"/>
        </w:rPr>
        <w:lastRenderedPageBreak/>
        <w:drawing>
          <wp:inline distT="0" distB="0" distL="0" distR="0" wp14:anchorId="51354375" wp14:editId="47D1D65B">
            <wp:extent cx="4848902" cy="2810267"/>
            <wp:effectExtent l="0" t="0" r="8890" b="9525"/>
            <wp:docPr id="29" name="Picture 29" descr="Comparison of pathogenic variants identified by NGS vs non-NGS methods (Sanger sequencing, HRM, MassARRAY, Pyrosequencing, Idylla, Cobas, ddPCR, FISH, IHC and/or RNA-based sequencing) in patients with adenocarcinoma. " title="Comparison of pathogenic variants identified by NGS vs non-NGS methods (Sanger sequencing, HRM, MassARRAY, Pyrosequencing, Idylla, Cobas, ddPCR, FISH, IHC and/or RNA-based sequencing) in patients with adenocarcino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8902" cy="2810267"/>
                    </a:xfrm>
                    <a:prstGeom prst="rect">
                      <a:avLst/>
                    </a:prstGeom>
                  </pic:spPr>
                </pic:pic>
              </a:graphicData>
            </a:graphic>
          </wp:inline>
        </w:drawing>
      </w:r>
    </w:p>
    <w:p w14:paraId="3DB015C6" w14:textId="2098715C" w:rsidR="008E14B6" w:rsidRDefault="008E14B6" w:rsidP="008E14B6">
      <w:pPr>
        <w:pStyle w:val="Caption"/>
      </w:pPr>
      <w:bookmarkStart w:id="28" w:name="_Ref108597496"/>
      <w:r>
        <w:t xml:space="preserve">Figure </w:t>
      </w:r>
      <w:fldSimple w:instr=" SEQ Figure \* ARABIC ">
        <w:r w:rsidR="00C857F3">
          <w:rPr>
            <w:noProof/>
          </w:rPr>
          <w:t>2</w:t>
        </w:r>
      </w:fldSimple>
      <w:bookmarkEnd w:id="28"/>
      <w:r>
        <w:tab/>
        <w:t xml:space="preserve">Comparison of pathogenic variants identified by NGS vs non-NGS methods (Sanger sequencing, HRM, MassARRAY, Pyrosequencing, Idylla, Cobas, ddPCR, FISH, IHC and/or RNA-based sequencing) in patients with adenocarcinoma. </w:t>
      </w:r>
    </w:p>
    <w:p w14:paraId="274031DC" w14:textId="0987C94B" w:rsidR="008E14B6" w:rsidRDefault="008E14B6" w:rsidP="008E14B6">
      <w:pPr>
        <w:pStyle w:val="TableFooter"/>
      </w:pPr>
      <w:r>
        <w:t xml:space="preserve">Source: </w:t>
      </w:r>
      <w:r w:rsidRPr="00EC5C1B">
        <w:t>Steeghs</w:t>
      </w:r>
      <w:r w:rsidR="00C66FEA">
        <w:t xml:space="preserve"> et al, 2022</w:t>
      </w:r>
      <w:r>
        <w:t xml:space="preserve">, </w:t>
      </w:r>
      <w:r w:rsidR="00535408">
        <w:t xml:space="preserve">p91. </w:t>
      </w:r>
      <w:r>
        <w:t xml:space="preserve">Reproduced with permission under Creative Common CC-BY license. </w:t>
      </w:r>
    </w:p>
    <w:p w14:paraId="23973B0E" w14:textId="5A7CE35A" w:rsidR="008E14B6" w:rsidRDefault="00612A99" w:rsidP="00380685">
      <w:pPr>
        <w:pStyle w:val="Tablenotes"/>
      </w:pPr>
      <w:r w:rsidRPr="007C7AB1">
        <w:rPr>
          <w:i/>
        </w:rPr>
        <w:t>ALK</w:t>
      </w:r>
      <w:r>
        <w:t xml:space="preserve"> = </w:t>
      </w:r>
      <w:r w:rsidRPr="00561C5F">
        <w:t>anaplastic lymphoma kinase</w:t>
      </w:r>
      <w:r>
        <w:t xml:space="preserve">; </w:t>
      </w:r>
      <w:r w:rsidRPr="00152F12">
        <w:rPr>
          <w:i/>
        </w:rPr>
        <w:t>BRAF</w:t>
      </w:r>
      <w:r>
        <w:t xml:space="preserve"> = proto-oncogene B-Raf and v-Raf murine sarcoma viral oncogene homolog B; </w:t>
      </w:r>
      <w:r w:rsidR="008E14B6">
        <w:t xml:space="preserve">ddPCR = digital droplet polymerase chain reaction; </w:t>
      </w:r>
      <w:r w:rsidRPr="007C7AB1">
        <w:rPr>
          <w:i/>
        </w:rPr>
        <w:t>EGFR</w:t>
      </w:r>
      <w:r>
        <w:t xml:space="preserve"> = epidermal growth factor receptor; </w:t>
      </w:r>
      <w:r w:rsidR="00380685" w:rsidRPr="00152F12">
        <w:rPr>
          <w:i/>
        </w:rPr>
        <w:t>ERBB2</w:t>
      </w:r>
      <w:r w:rsidR="00380685">
        <w:t xml:space="preserve"> = erb-b2 receptor tyrosine kinase 2; </w:t>
      </w:r>
      <w:r w:rsidR="008E14B6">
        <w:t xml:space="preserve">FISH = fluorescent </w:t>
      </w:r>
      <w:r w:rsidR="008E14B6" w:rsidRPr="00357441">
        <w:rPr>
          <w:i/>
          <w:iCs/>
        </w:rPr>
        <w:t>in situ</w:t>
      </w:r>
      <w:r w:rsidR="008E14B6">
        <w:t xml:space="preserve"> hybridisation; HRM = high resolution melting; IHC = immunohistochemistry; </w:t>
      </w:r>
      <w:r w:rsidRPr="00152F12">
        <w:rPr>
          <w:i/>
        </w:rPr>
        <w:t>KRAS</w:t>
      </w:r>
      <w:r>
        <w:t xml:space="preserve"> = Kirsten rat sarcoma; </w:t>
      </w:r>
      <w:r w:rsidR="00380685" w:rsidRPr="00CE4DC5">
        <w:rPr>
          <w:i/>
        </w:rPr>
        <w:t>MET</w:t>
      </w:r>
      <w:r w:rsidR="00380685" w:rsidRPr="00CE4DC5">
        <w:t xml:space="preserve"> =</w:t>
      </w:r>
      <w:r w:rsidR="00380685">
        <w:t xml:space="preserve"> </w:t>
      </w:r>
      <w:r w:rsidR="00380685" w:rsidRPr="008F67AF">
        <w:rPr>
          <w:szCs w:val="18"/>
        </w:rPr>
        <w:t>mesenchymal-epithelial transition</w:t>
      </w:r>
      <w:r w:rsidR="00380685">
        <w:rPr>
          <w:szCs w:val="18"/>
        </w:rPr>
        <w:t xml:space="preserve">; </w:t>
      </w:r>
      <w:r w:rsidR="008E14B6">
        <w:t xml:space="preserve">NGS = next generation sequencing; </w:t>
      </w:r>
      <w:r w:rsidR="00380685" w:rsidRPr="00152F12">
        <w:rPr>
          <w:i/>
        </w:rPr>
        <w:t>RET</w:t>
      </w:r>
      <w:r w:rsidR="00380685">
        <w:t xml:space="preserve"> = rearranged during transfection; </w:t>
      </w:r>
      <w:r w:rsidR="008E14B6">
        <w:t>RNA = ribonucleic acid</w:t>
      </w:r>
      <w:r w:rsidR="00380685">
        <w:t xml:space="preserve">; </w:t>
      </w:r>
      <w:r w:rsidR="00380685" w:rsidRPr="00380685">
        <w:rPr>
          <w:i/>
        </w:rPr>
        <w:t>ROS1</w:t>
      </w:r>
      <w:r w:rsidR="00380685">
        <w:t xml:space="preserve"> = ROS proto-oncogene 1; </w:t>
      </w:r>
      <w:r w:rsidR="008E14B6">
        <w:t>If multiple variants were identified in one patient, only the first variant was included in the pie chart (so that the</w:t>
      </w:r>
      <w:r w:rsidR="00C66FEA">
        <w:t xml:space="preserve"> sum = 100%), **p&lt;0.01, *p&lt;0.05</w:t>
      </w:r>
    </w:p>
    <w:p w14:paraId="6F196966" w14:textId="394206A8" w:rsidR="00A75CE2" w:rsidRDefault="00A75CE2" w:rsidP="00A75CE2">
      <w:r>
        <w:t>The relationship between insufficient tissue</w:t>
      </w:r>
      <w:r w:rsidR="00C66FEA">
        <w:t xml:space="preserve"> for testing</w:t>
      </w:r>
      <w:r>
        <w:t>, or test failure due to insufficient DNA or RNA and subsequent rebiopsy is uncertain, as some international guidelines now recommend the use of liquid biopsy (</w:t>
      </w:r>
      <w:r w:rsidR="003C0D95">
        <w:t>i.e.,</w:t>
      </w:r>
      <w:r>
        <w:t xml:space="preserve"> using a blood sample) </w:t>
      </w:r>
      <w:r w:rsidR="00DA0688">
        <w:t xml:space="preserve">when tumour tissue is insufficient, </w:t>
      </w:r>
      <w:r>
        <w:t xml:space="preserve">rather than performing a second biopsy of tumour tissue/cytology. </w:t>
      </w:r>
      <w:r w:rsidR="00C66FEA">
        <w:t xml:space="preserve">Two case series reported that 13% and 43% of patients with insufficient tissue for NGS or testing </w:t>
      </w:r>
      <w:r w:rsidR="00C66FEA">
        <w:rPr>
          <w:i/>
        </w:rPr>
        <w:t>EGFR</w:t>
      </w:r>
      <w:r w:rsidR="00C66FEA">
        <w:t xml:space="preserve"> and </w:t>
      </w:r>
      <w:r w:rsidR="00C66FEA">
        <w:rPr>
          <w:i/>
        </w:rPr>
        <w:t xml:space="preserve">ALK </w:t>
      </w:r>
      <w:r w:rsidR="00C66FEA">
        <w:t>(by an unspecified method) had a rebiopsy performed, with the remainder either having plasma NGS, or not having their tumour further biomarker-tested</w:t>
      </w:r>
      <w:r w:rsidR="00C66FEA">
        <w:rPr>
          <w:rStyle w:val="FootnoteReference"/>
        </w:rPr>
        <w:footnoteReference w:id="3"/>
      </w:r>
      <w:r w:rsidR="00C66FEA">
        <w:t xml:space="preserve">. </w:t>
      </w:r>
      <w:r w:rsidR="00791C9E">
        <w:t xml:space="preserve">No Australian guidelines were able to be identified on the role </w:t>
      </w:r>
      <w:r w:rsidR="0028189C">
        <w:t xml:space="preserve">of </w:t>
      </w:r>
      <w:r w:rsidR="00535408">
        <w:t>rebiopsy</w:t>
      </w:r>
      <w:r w:rsidR="0028189C">
        <w:t xml:space="preserve"> versus </w:t>
      </w:r>
      <w:r w:rsidR="00791C9E">
        <w:t xml:space="preserve">liquid biopsies in the absence of sufficient tissue from the initial biopsy. </w:t>
      </w:r>
      <w:r w:rsidR="00C66FEA">
        <w:t xml:space="preserve">However, these </w:t>
      </w:r>
      <w:r w:rsidR="0028189C">
        <w:t xml:space="preserve">case series </w:t>
      </w:r>
      <w:r w:rsidR="00C66FEA">
        <w:t xml:space="preserve">data are unlikely to be relevant to the current Australian setting, as the PBS restrictions for targeted therapies in NSCLC require the biomarkers to be identified in </w:t>
      </w:r>
      <w:r w:rsidR="00C66FEA" w:rsidRPr="00956452">
        <w:rPr>
          <w:i/>
        </w:rPr>
        <w:t>tumour tissue</w:t>
      </w:r>
      <w:r w:rsidR="00C66FEA">
        <w:t>. A higher proportion of failed tests are therefore likely to proceed to rebiopsy than reported in the</w:t>
      </w:r>
      <w:r w:rsidR="00CD6B40">
        <w:t>se case series</w:t>
      </w:r>
      <w:r w:rsidR="00C66FEA">
        <w:t>.</w:t>
      </w:r>
    </w:p>
    <w:p w14:paraId="720FDE2A" w14:textId="159DFCCC" w:rsidR="0013778E" w:rsidRDefault="003C0D95" w:rsidP="00A75CE2">
      <w:r>
        <w:t xml:space="preserve">With each </w:t>
      </w:r>
      <w:r w:rsidR="00C66FEA">
        <w:t xml:space="preserve">rebiopsy, </w:t>
      </w:r>
      <w:r>
        <w:t xml:space="preserve">there </w:t>
      </w:r>
      <w:r w:rsidR="00C66FEA">
        <w:t>is a risk of</w:t>
      </w:r>
      <w:r>
        <w:t xml:space="preserve"> additional</w:t>
      </w:r>
      <w:r w:rsidR="00C66FEA">
        <w:t xml:space="preserve"> adverse events. A systematic review </w:t>
      </w:r>
      <w:r w:rsidR="004B0802">
        <w:t xml:space="preserve">of 16 studies in patients </w:t>
      </w:r>
      <w:r w:rsidR="002C16CB">
        <w:t xml:space="preserve">with NSCLC </w:t>
      </w:r>
      <w:r w:rsidR="004B0802">
        <w:t xml:space="preserve">undergoing </w:t>
      </w:r>
      <w:r w:rsidR="002C16CB">
        <w:t xml:space="preserve">percutaneous transthoracic needle </w:t>
      </w:r>
      <w:r w:rsidR="004B0802">
        <w:t>biopsies</w:t>
      </w:r>
      <w:r w:rsidR="002C16CB">
        <w:t xml:space="preserve"> (PTNBs)</w:t>
      </w:r>
      <w:r w:rsidR="004B0802">
        <w:t xml:space="preserve"> or rebiopsies</w:t>
      </w:r>
      <w:r w:rsidR="002C16CB">
        <w:t xml:space="preserve"> for biomarker testing, reported that the risk of any adverse event was 17% (95%CI 12%, 23%). The most common complication was pneumothorax (collapsed lung), with a pooled </w:t>
      </w:r>
      <w:r w:rsidR="002C16CB">
        <w:lastRenderedPageBreak/>
        <w:t>incidence of 9.2% (95%CI 4.0%, 15.7%)</w:t>
      </w:r>
      <w:r w:rsidR="002C16CB">
        <w:rPr>
          <w:rStyle w:val="FootnoteReference"/>
        </w:rPr>
        <w:footnoteReference w:id="4"/>
      </w:r>
      <w:r w:rsidR="002C16CB">
        <w:t xml:space="preserve">. </w:t>
      </w:r>
      <w:r w:rsidR="00D52CEA">
        <w:t xml:space="preserve">Severe adverse events (pneumothorax requiring chest tube, massive </w:t>
      </w:r>
      <w:r w:rsidR="00A71B48">
        <w:t>haemoptysis</w:t>
      </w:r>
      <w:r w:rsidR="00D52CEA">
        <w:t xml:space="preserve">, air embolism and death) occurred in less than 1%. </w:t>
      </w:r>
      <w:r w:rsidR="002C16CB">
        <w:t xml:space="preserve">Although the authors of meta-analysis reported that PTNBs were safe, it is </w:t>
      </w:r>
      <w:r w:rsidR="0013778E">
        <w:t>clear</w:t>
      </w:r>
      <w:r w:rsidR="002C16CB">
        <w:t xml:space="preserve"> that a reduction in the need for rebiopsy would reduce the risk of adverse events associated with biopsies.</w:t>
      </w:r>
    </w:p>
    <w:p w14:paraId="734D7385" w14:textId="2EA97B21" w:rsidR="00C66FEA" w:rsidRPr="00C66FEA" w:rsidRDefault="0013778E" w:rsidP="00A75CE2">
      <w:r>
        <w:t>Linked</w:t>
      </w:r>
      <w:r w:rsidR="002C16CB">
        <w:t xml:space="preserve"> evidence</w:t>
      </w:r>
      <w:r>
        <w:t xml:space="preserve"> (of </w:t>
      </w:r>
      <w:r w:rsidR="00DA3BB8">
        <w:t xml:space="preserve">proportion of samples successfully tested, the </w:t>
      </w:r>
      <w:r>
        <w:t xml:space="preserve"> </w:t>
      </w:r>
      <w:r w:rsidR="00D5595B">
        <w:t xml:space="preserve">frequency </w:t>
      </w:r>
      <w:r>
        <w:t xml:space="preserve">of rebiopsy, and </w:t>
      </w:r>
      <w:r w:rsidR="00D5595B">
        <w:t xml:space="preserve">risk </w:t>
      </w:r>
      <w:r>
        <w:t>of adverse events due to rebiopsy)</w:t>
      </w:r>
      <w:r w:rsidR="002C16CB">
        <w:t xml:space="preserve"> therefore supported the claim that NGS has superior safety to sequential single-gene testing. </w:t>
      </w:r>
      <w:r w:rsidR="001D348E">
        <w:t>The key uncertainties are</w:t>
      </w:r>
      <w:r w:rsidR="002C16CB">
        <w:t xml:space="preserve"> the extent to which patients in Australia currently undergo rebiopsy</w:t>
      </w:r>
      <w:r w:rsidR="001D348E">
        <w:t xml:space="preserve"> when the volume of tissue available is insufficient, and</w:t>
      </w:r>
      <w:r w:rsidR="002C16CB">
        <w:t xml:space="preserve"> whether practice in Australia will change in the near future to incorporate liquid biopsy as an alternative to tissue rebiopsy.</w:t>
      </w:r>
    </w:p>
    <w:p w14:paraId="3717AA01" w14:textId="24201EEC" w:rsidR="00772829" w:rsidRDefault="00C36633" w:rsidP="002A18BE">
      <w:pPr>
        <w:pStyle w:val="Heading2"/>
        <w:numPr>
          <w:ilvl w:val="0"/>
          <w:numId w:val="0"/>
        </w:numPr>
      </w:pPr>
      <w:bookmarkStart w:id="29" w:name="_Toc148531126"/>
      <w:r>
        <w:t>10.</w:t>
      </w:r>
      <w:r>
        <w:tab/>
      </w:r>
      <w:r w:rsidR="00772829" w:rsidRPr="00CE28E3">
        <w:t>Comparative effectiveness</w:t>
      </w:r>
      <w:bookmarkEnd w:id="29"/>
    </w:p>
    <w:p w14:paraId="1BD5BE47" w14:textId="36E55E21" w:rsidR="00D651D7" w:rsidRDefault="00D651D7" w:rsidP="00DA0688">
      <w:r>
        <w:t>The claims made by the applicant</w:t>
      </w:r>
      <w:r w:rsidR="00CD6B40">
        <w:t xml:space="preserve"> wa</w:t>
      </w:r>
      <w:r>
        <w:t xml:space="preserve">s that NGS is superior to </w:t>
      </w:r>
      <w:r w:rsidR="00CD4284">
        <w:t xml:space="preserve">sequential </w:t>
      </w:r>
      <w:r>
        <w:t xml:space="preserve">single-gene testing, as it makes </w:t>
      </w:r>
      <w:r w:rsidR="00CD4284">
        <w:t>more efficient</w:t>
      </w:r>
      <w:r>
        <w:t xml:space="preserve"> use of tumour tissue</w:t>
      </w:r>
      <w:r w:rsidR="00DB4DC5">
        <w:t xml:space="preserve">. This results </w:t>
      </w:r>
      <w:r>
        <w:t xml:space="preserve">in a higher proportion of patients being </w:t>
      </w:r>
      <w:r w:rsidR="00CD4284">
        <w:t xml:space="preserve">successfully tested, having biomarkers identified, and </w:t>
      </w:r>
      <w:r>
        <w:t>able to receive targeted treatment (which should result in superior health outcomes)</w:t>
      </w:r>
      <w:r w:rsidR="00CD4284">
        <w:t xml:space="preserve">. NGS </w:t>
      </w:r>
      <w:r>
        <w:t xml:space="preserve">may </w:t>
      </w:r>
      <w:r w:rsidR="00CD4284">
        <w:t xml:space="preserve">also </w:t>
      </w:r>
      <w:r>
        <w:t>detect concurrent variants</w:t>
      </w:r>
      <w:r w:rsidR="00CD4284">
        <w:t>, which is unlikely with sequential single-gene testing as testing is halted once a</w:t>
      </w:r>
      <w:r w:rsidR="003B3336">
        <w:t xml:space="preserve"> targetable biomarker is identifie</w:t>
      </w:r>
      <w:r w:rsidR="00CD4284">
        <w:t xml:space="preserve">d (concurrent variants </w:t>
      </w:r>
      <w:r>
        <w:t>may influence treatment or provide prognostic information)</w:t>
      </w:r>
      <w:r w:rsidR="00CD4284">
        <w:t xml:space="preserve">. NGS may also provide </w:t>
      </w:r>
      <w:r>
        <w:t xml:space="preserve">faster results </w:t>
      </w:r>
      <w:r w:rsidR="00CD4284">
        <w:t xml:space="preserve">than sequential single-gene testing </w:t>
      </w:r>
      <w:r>
        <w:t xml:space="preserve">(resulting in faster access to targeted treatment and superior health outcomes). </w:t>
      </w:r>
      <w:r w:rsidR="00CD4284">
        <w:t>The evidence addressing these claims was examined.</w:t>
      </w:r>
    </w:p>
    <w:p w14:paraId="2A855A41" w14:textId="28841534" w:rsidR="00556F02" w:rsidRDefault="00CD4284" w:rsidP="00DA0688">
      <w:r>
        <w:t xml:space="preserve">As outlined in the safety section, a single between-patient study was identified which provided </w:t>
      </w:r>
      <w:r w:rsidR="00D5595B">
        <w:t xml:space="preserve">the proportion of samples </w:t>
      </w:r>
      <w:r>
        <w:t>success</w:t>
      </w:r>
      <w:r w:rsidR="00D5595B">
        <w:t>fully tested</w:t>
      </w:r>
      <w:r>
        <w:t>, favouring NGS over sequential single-gene testing (97.2% vs 94.6%).</w:t>
      </w:r>
    </w:p>
    <w:p w14:paraId="1CAE73EF" w14:textId="548853EB" w:rsidR="001C5601" w:rsidRDefault="009E2078" w:rsidP="00DA0688">
      <w:r>
        <w:t>In order to test how concordant NGS and sequential single-gene testing are, within-patient studies were required, which provide data</w:t>
      </w:r>
      <w:r w:rsidR="00E61E82">
        <w:t xml:space="preserve"> to compile a 2x2 table</w:t>
      </w:r>
      <w:r>
        <w:t xml:space="preserve">. </w:t>
      </w:r>
      <w:r w:rsidR="005E4C31">
        <w:t xml:space="preserve">A total of 30 relevant studies were identified in patients with NSCLC, with results separated per gene (rather than per person or per variant). </w:t>
      </w:r>
      <w:r>
        <w:t xml:space="preserve">The positive percent agreement (akin to the concept of sensitivity) and negative percent agreement (akin to the concept of specificity) were </w:t>
      </w:r>
      <w:r w:rsidR="00BA6E5F">
        <w:t xml:space="preserve">meta-analysed (where possible). These data were then </w:t>
      </w:r>
      <w:r w:rsidR="005E4C31">
        <w:t xml:space="preserve">transformed back into 2x2 data (per 1000 patients), using prevalence figures appropriate to Australia. </w:t>
      </w:r>
      <w:r w:rsidR="00BA6E5F">
        <w:t xml:space="preserve">The summary of these results is shown in </w:t>
      </w:r>
      <w:r w:rsidR="00BA6E5F">
        <w:fldChar w:fldCharType="begin"/>
      </w:r>
      <w:r w:rsidR="00BA6E5F">
        <w:instrText xml:space="preserve"> REF _Ref108619549 \h </w:instrText>
      </w:r>
      <w:r w:rsidR="00BA6E5F">
        <w:fldChar w:fldCharType="separate"/>
      </w:r>
      <w:r w:rsidR="00C857F3">
        <w:t xml:space="preserve">Table </w:t>
      </w:r>
      <w:r w:rsidR="00C857F3">
        <w:rPr>
          <w:noProof/>
        </w:rPr>
        <w:t>6</w:t>
      </w:r>
      <w:r w:rsidR="00BA6E5F">
        <w:fldChar w:fldCharType="end"/>
      </w:r>
      <w:r w:rsidR="00BA6E5F">
        <w:t>.</w:t>
      </w:r>
    </w:p>
    <w:p w14:paraId="236331F8" w14:textId="181B003C" w:rsidR="001C5601" w:rsidRDefault="000860FE" w:rsidP="00DA0688">
      <w:r>
        <w:t xml:space="preserve">In </w:t>
      </w:r>
      <w:r w:rsidR="001C5601">
        <w:t>cases</w:t>
      </w:r>
      <w:r>
        <w:t xml:space="preserve"> successfully tested by both testing strategies, </w:t>
      </w:r>
      <w:r w:rsidR="001C5601">
        <w:t xml:space="preserve">NGS and sequential single-gene testing were highly concordant, with 95.7% of cases receiving the same test result from both strategies (22.4% with a biomarker, and 73.3% without biomarkers). </w:t>
      </w:r>
      <w:r w:rsidR="00451CE6">
        <w:t xml:space="preserve">Overall, NGS was estimated to result in </w:t>
      </w:r>
      <w:r w:rsidR="003C1E4B">
        <w:t xml:space="preserve">an additional </w:t>
      </w:r>
      <w:r w:rsidR="00451CE6">
        <w:t>35 cases per 1000 tested with variants identified which would have been missed by single-gene testing, with 8 cases per 1000 having a biomarker missed by NGS, which would have been detected by single-gene testing.</w:t>
      </w:r>
    </w:p>
    <w:p w14:paraId="72B760E8" w14:textId="075B536F" w:rsidR="00472C37" w:rsidRPr="007377C5" w:rsidRDefault="00451CE6" w:rsidP="006434C3">
      <w:r>
        <w:t xml:space="preserve">The largest impact which NGS would have (in raw numbers), is an additional 2.5% of patients being found with </w:t>
      </w:r>
      <w:r>
        <w:rPr>
          <w:i/>
        </w:rPr>
        <w:t>EGFR</w:t>
      </w:r>
      <w:r>
        <w:t xml:space="preserve"> variants. This was due </w:t>
      </w:r>
      <w:r w:rsidR="00E667B1">
        <w:t xml:space="preserve">in part </w:t>
      </w:r>
      <w:r>
        <w:t xml:space="preserve">to </w:t>
      </w:r>
      <w:r w:rsidR="000860FE">
        <w:t xml:space="preserve">NGS having a higher level of analytical sensitivity (a lower threshold of detection) than Sanger sequencing, the cobas assay and some other PCR tests, although NGS had a higher threshold of detection than ARMS-PCR. </w:t>
      </w:r>
      <w:r w:rsidR="00B94F87">
        <w:t xml:space="preserve">The population criteria for </w:t>
      </w:r>
      <w:r w:rsidR="00B94F87">
        <w:rPr>
          <w:i/>
        </w:rPr>
        <w:t xml:space="preserve">EGFR </w:t>
      </w:r>
      <w:r w:rsidR="005E36AE">
        <w:t>TKIs on the PBS do not specify</w:t>
      </w:r>
      <w:r w:rsidR="00B94F87">
        <w:t xml:space="preserve"> a threshold</w:t>
      </w:r>
      <w:r w:rsidR="005E36AE">
        <w:t xml:space="preserve"> for positivity</w:t>
      </w:r>
      <w:r w:rsidR="00B94F87">
        <w:t xml:space="preserve">, so </w:t>
      </w:r>
      <w:r w:rsidR="00472C37">
        <w:t xml:space="preserve">the use of tests with a higher level of sensitivity </w:t>
      </w:r>
      <w:r w:rsidR="00B94F87">
        <w:t>would identify more patients eligible</w:t>
      </w:r>
      <w:r w:rsidR="005E36AE">
        <w:t xml:space="preserve"> for TKIs</w:t>
      </w:r>
      <w:r w:rsidR="00B94F87">
        <w:t xml:space="preserve">, </w:t>
      </w:r>
      <w:r w:rsidR="005E36AE">
        <w:t>despite</w:t>
      </w:r>
      <w:r w:rsidR="00B94F87">
        <w:t xml:space="preserve"> </w:t>
      </w:r>
      <w:r w:rsidR="00B94F87">
        <w:lastRenderedPageBreak/>
        <w:t xml:space="preserve">these patients </w:t>
      </w:r>
      <w:r w:rsidR="005E36AE">
        <w:t>potentially</w:t>
      </w:r>
      <w:r w:rsidR="00B94F87">
        <w:t xml:space="preserve"> hav</w:t>
      </w:r>
      <w:r w:rsidR="00EC33DD">
        <w:t>ing</w:t>
      </w:r>
      <w:r w:rsidR="00B94F87">
        <w:t xml:space="preserve"> a different spectrum of disease than those in the </w:t>
      </w:r>
      <w:r w:rsidR="00472C37">
        <w:t xml:space="preserve">key trials used to establish the </w:t>
      </w:r>
      <w:r w:rsidR="00B94F87">
        <w:t xml:space="preserve">clinical utility </w:t>
      </w:r>
      <w:r w:rsidR="00472C37">
        <w:t>of the test-drug codependency</w:t>
      </w:r>
      <w:r w:rsidR="00B94F87">
        <w:t xml:space="preserve">. </w:t>
      </w:r>
      <w:r w:rsidR="00E667B1">
        <w:t>In addition</w:t>
      </w:r>
      <w:r w:rsidR="000860FE">
        <w:t xml:space="preserve">, NGS detected some rare variants not able to be detected by </w:t>
      </w:r>
      <w:r w:rsidR="00F67A0C">
        <w:t xml:space="preserve">all the methods of </w:t>
      </w:r>
      <w:r w:rsidR="000860FE">
        <w:t xml:space="preserve">single-gene testing. </w:t>
      </w:r>
      <w:r w:rsidR="007377C5">
        <w:t xml:space="preserve">For example, Tan et al. (2020) reported that NGS identified an additional 12 variants, or which 7 (58%) were common variants (ex19del, L858R or T790M), and 5 (42%) were rare variants. </w:t>
      </w:r>
      <w:r w:rsidR="00C9311C">
        <w:t xml:space="preserve">Similarly, Park et al. (2020) reported that of the 16 incremental </w:t>
      </w:r>
      <w:r w:rsidR="00C9311C">
        <w:rPr>
          <w:i/>
        </w:rPr>
        <w:t xml:space="preserve">EGFR </w:t>
      </w:r>
      <w:r w:rsidR="00C9311C">
        <w:t xml:space="preserve">variants identified by NGS, 8 were in hotspot locations (in regions tested by PCR, but below the sensitivity threshold), and the remaining 8 were in locations not tested by PCR, although half of the rare variants identified were considered actionable, and </w:t>
      </w:r>
      <w:r w:rsidR="00C9311C">
        <w:rPr>
          <w:i/>
        </w:rPr>
        <w:t>EGFR</w:t>
      </w:r>
      <w:r w:rsidR="00C9311C">
        <w:t xml:space="preserve"> TKIs were administered. </w:t>
      </w:r>
      <w:r w:rsidR="007377C5">
        <w:t xml:space="preserve">The majority (but not all) of the additional 2.5% with </w:t>
      </w:r>
      <w:r w:rsidR="007377C5">
        <w:rPr>
          <w:i/>
        </w:rPr>
        <w:t xml:space="preserve">EGFR </w:t>
      </w:r>
      <w:r w:rsidR="007377C5">
        <w:t xml:space="preserve">variants would therefore be considered to have </w:t>
      </w:r>
      <w:r w:rsidR="007A4AAA">
        <w:t xml:space="preserve">“activating variants” conferring sensitivity to </w:t>
      </w:r>
      <w:r w:rsidR="007A4AAA">
        <w:rPr>
          <w:i/>
        </w:rPr>
        <w:t xml:space="preserve">EGFR </w:t>
      </w:r>
      <w:r w:rsidR="007A4AAA">
        <w:t>TKIs.</w:t>
      </w:r>
      <w:r w:rsidR="007377C5">
        <w:t xml:space="preserve"> </w:t>
      </w:r>
    </w:p>
    <w:p w14:paraId="5E809A5B" w14:textId="7C8418C6" w:rsidR="000860FE" w:rsidRPr="00CD6B40" w:rsidRDefault="00451CE6" w:rsidP="00DA0688">
      <w:pPr>
        <w:rPr>
          <w:iCs/>
        </w:rPr>
      </w:pPr>
      <w:r>
        <w:t xml:space="preserve">The largest relative difference was the number of patients identified with </w:t>
      </w:r>
      <w:r>
        <w:rPr>
          <w:i/>
        </w:rPr>
        <w:t>ALK</w:t>
      </w:r>
      <w:r>
        <w:t xml:space="preserve"> rearrangements. </w:t>
      </w:r>
      <w:r w:rsidR="003A4CD1">
        <w:t xml:space="preserve">Four studies used the same threshold for positivity as the PBS restrictions for </w:t>
      </w:r>
      <w:r w:rsidR="003A4CD1" w:rsidRPr="003A4CD1">
        <w:rPr>
          <w:i/>
        </w:rPr>
        <w:t>ALK</w:t>
      </w:r>
      <w:r w:rsidR="003A4CD1">
        <w:rPr>
          <w:i/>
        </w:rPr>
        <w:t xml:space="preserve"> </w:t>
      </w:r>
      <w:r w:rsidR="003A4CD1">
        <w:t xml:space="preserve">TKIs (≥15% of cells with staining on FISH), and had similar results </w:t>
      </w:r>
      <w:r w:rsidR="00F83434">
        <w:t xml:space="preserve">(PPA 91%, NPA 99%) </w:t>
      </w:r>
      <w:r w:rsidR="003A4CD1">
        <w:t>to studies which used a lower threshold (≥10%, k=2) or did not specify the threshold for positivity (k=5)</w:t>
      </w:r>
      <w:r w:rsidR="00F83434">
        <w:t xml:space="preserve"> (PPA 92%, NPA 99%)</w:t>
      </w:r>
      <w:r w:rsidR="003A4CD1">
        <w:t xml:space="preserve">. </w:t>
      </w:r>
      <w:r w:rsidRPr="003A4CD1">
        <w:t>Results</w:t>
      </w:r>
      <w:r>
        <w:t xml:space="preserve"> for </w:t>
      </w:r>
      <w:r>
        <w:rPr>
          <w:i/>
        </w:rPr>
        <w:t xml:space="preserve">ROS1 </w:t>
      </w:r>
      <w:r>
        <w:t xml:space="preserve">and </w:t>
      </w:r>
      <w:r>
        <w:rPr>
          <w:i/>
        </w:rPr>
        <w:t>MET</w:t>
      </w:r>
      <w:r>
        <w:t xml:space="preserve">ex14sk were </w:t>
      </w:r>
      <w:r w:rsidR="000F6C10">
        <w:t>highly</w:t>
      </w:r>
      <w:r>
        <w:t xml:space="preserve"> concordant between testing methods.</w:t>
      </w:r>
    </w:p>
    <w:p w14:paraId="30E8FF50" w14:textId="72262225" w:rsidR="000860FE" w:rsidRDefault="000860FE" w:rsidP="000860FE">
      <w:pPr>
        <w:pStyle w:val="Caption"/>
      </w:pPr>
      <w:bookmarkStart w:id="30" w:name="_Ref108619549"/>
      <w:r>
        <w:t xml:space="preserve">Table </w:t>
      </w:r>
      <w:fldSimple w:instr=" SEQ Table \* ARABIC ">
        <w:r w:rsidR="00C857F3">
          <w:rPr>
            <w:noProof/>
          </w:rPr>
          <w:t>6</w:t>
        </w:r>
      </w:fldSimple>
      <w:bookmarkEnd w:id="30"/>
      <w:r>
        <w:tab/>
        <w:t>Summary of concordance data between NGS and single-gene testing</w:t>
      </w:r>
    </w:p>
    <w:tbl>
      <w:tblPr>
        <w:tblStyle w:val="TableGrid"/>
        <w:tblW w:w="5000" w:type="pct"/>
        <w:tblLayout w:type="fixed"/>
        <w:tblLook w:val="04A0" w:firstRow="1" w:lastRow="0" w:firstColumn="1" w:lastColumn="0" w:noHBand="0" w:noVBand="1"/>
        <w:tblCaption w:val="Summary of concordance data between NGS and single-gene testing"/>
        <w:tblDescription w:val="Table showing the concordance (by gene) of NGS and single-gene testing, with an overall calculation of the concordance per person. Data were transformed to suit the Australian prevalence of variants. "/>
      </w:tblPr>
      <w:tblGrid>
        <w:gridCol w:w="704"/>
        <w:gridCol w:w="852"/>
        <w:gridCol w:w="849"/>
        <w:gridCol w:w="851"/>
        <w:gridCol w:w="1134"/>
        <w:gridCol w:w="707"/>
        <w:gridCol w:w="710"/>
        <w:gridCol w:w="709"/>
        <w:gridCol w:w="710"/>
        <w:gridCol w:w="822"/>
        <w:gridCol w:w="968"/>
      </w:tblGrid>
      <w:tr w:rsidR="00B94F87" w:rsidRPr="00796D44" w14:paraId="0F41E42F" w14:textId="50B67163" w:rsidTr="00956452">
        <w:trPr>
          <w:tblHeader/>
        </w:trPr>
        <w:tc>
          <w:tcPr>
            <w:tcW w:w="390" w:type="pct"/>
            <w:vMerge w:val="restart"/>
          </w:tcPr>
          <w:p w14:paraId="75976C90" w14:textId="77777777" w:rsidR="006B378E" w:rsidRPr="00796D44" w:rsidRDefault="006B378E" w:rsidP="003515CE">
            <w:pPr>
              <w:pStyle w:val="In-tableHeading"/>
            </w:pPr>
            <w:r>
              <w:t>Gene</w:t>
            </w:r>
          </w:p>
        </w:tc>
        <w:tc>
          <w:tcPr>
            <w:tcW w:w="472" w:type="pct"/>
            <w:vMerge w:val="restart"/>
          </w:tcPr>
          <w:p w14:paraId="4D2CBB9C" w14:textId="77777777" w:rsidR="006B378E" w:rsidRPr="00796D44" w:rsidRDefault="006B378E" w:rsidP="003515CE">
            <w:pPr>
              <w:pStyle w:val="In-tableHeading"/>
            </w:pPr>
            <w:r w:rsidRPr="00796D44">
              <w:t>Evidence base</w:t>
            </w:r>
          </w:p>
        </w:tc>
        <w:tc>
          <w:tcPr>
            <w:tcW w:w="471" w:type="pct"/>
            <w:vMerge w:val="restart"/>
          </w:tcPr>
          <w:p w14:paraId="48262DB5" w14:textId="2267257F" w:rsidR="006B378E" w:rsidRPr="00796D44" w:rsidRDefault="006B378E" w:rsidP="003515CE">
            <w:pPr>
              <w:pStyle w:val="In-tableHeading"/>
            </w:pPr>
            <w:r w:rsidRPr="00796D44">
              <w:t>PPA</w:t>
            </w:r>
            <w:r w:rsidR="00B94F87">
              <w:t xml:space="preserve"> (95%CI)</w:t>
            </w:r>
          </w:p>
        </w:tc>
        <w:tc>
          <w:tcPr>
            <w:tcW w:w="472" w:type="pct"/>
            <w:vMerge w:val="restart"/>
          </w:tcPr>
          <w:p w14:paraId="7BB45104" w14:textId="17A115F9" w:rsidR="006B378E" w:rsidRPr="00796D44" w:rsidRDefault="006B378E" w:rsidP="003515CE">
            <w:pPr>
              <w:pStyle w:val="In-tableHeading"/>
            </w:pPr>
            <w:r w:rsidRPr="00796D44">
              <w:t>NPA</w:t>
            </w:r>
            <w:r w:rsidR="00B94F87">
              <w:t xml:space="preserve"> (95%CI)</w:t>
            </w:r>
          </w:p>
        </w:tc>
        <w:tc>
          <w:tcPr>
            <w:tcW w:w="629" w:type="pct"/>
            <w:vMerge w:val="restart"/>
          </w:tcPr>
          <w:p w14:paraId="4F95059B" w14:textId="77777777" w:rsidR="006B378E" w:rsidRPr="00796D44" w:rsidRDefault="006B378E" w:rsidP="003515CE">
            <w:pPr>
              <w:pStyle w:val="In-tableHeading"/>
            </w:pPr>
            <w:r w:rsidRPr="00796D44">
              <w:t>Prevalence</w:t>
            </w:r>
          </w:p>
        </w:tc>
        <w:tc>
          <w:tcPr>
            <w:tcW w:w="1573" w:type="pct"/>
            <w:gridSpan w:val="4"/>
          </w:tcPr>
          <w:p w14:paraId="2304EE97" w14:textId="750CCCFD" w:rsidR="006B378E" w:rsidRPr="00796D44" w:rsidRDefault="006B378E" w:rsidP="003515CE">
            <w:pPr>
              <w:pStyle w:val="In-tableHeading"/>
            </w:pPr>
            <w:r>
              <w:t>Per 1000 successfully tested</w:t>
            </w:r>
            <w:r w:rsidR="00B94F87">
              <w:t xml:space="preserve"> (95%CI)</w:t>
            </w:r>
          </w:p>
        </w:tc>
        <w:tc>
          <w:tcPr>
            <w:tcW w:w="456" w:type="pct"/>
            <w:vMerge w:val="restart"/>
          </w:tcPr>
          <w:p w14:paraId="3FCFC840" w14:textId="6B94A592" w:rsidR="006B378E" w:rsidRDefault="006B378E" w:rsidP="003515CE">
            <w:pPr>
              <w:pStyle w:val="In-tableHeading"/>
            </w:pPr>
            <w:r>
              <w:t>PPV</w:t>
            </w:r>
            <w:r w:rsidR="00B94F87">
              <w:t xml:space="preserve"> (95%CI)</w:t>
            </w:r>
          </w:p>
        </w:tc>
        <w:tc>
          <w:tcPr>
            <w:tcW w:w="537" w:type="pct"/>
            <w:vMerge w:val="restart"/>
          </w:tcPr>
          <w:p w14:paraId="0228C460" w14:textId="4D312046" w:rsidR="006B378E" w:rsidRDefault="006B378E" w:rsidP="003515CE">
            <w:pPr>
              <w:pStyle w:val="In-tableHeading"/>
            </w:pPr>
            <w:r>
              <w:t>NPV</w:t>
            </w:r>
            <w:r w:rsidR="00B94F87">
              <w:t xml:space="preserve"> (95%CI)</w:t>
            </w:r>
          </w:p>
        </w:tc>
      </w:tr>
      <w:tr w:rsidR="00B94F87" w:rsidRPr="00796D44" w14:paraId="617843AA" w14:textId="71024F71" w:rsidTr="00956452">
        <w:trPr>
          <w:tblHeader/>
        </w:trPr>
        <w:tc>
          <w:tcPr>
            <w:tcW w:w="390" w:type="pct"/>
            <w:vMerge/>
          </w:tcPr>
          <w:p w14:paraId="6DDBA3EE" w14:textId="77777777" w:rsidR="006B378E" w:rsidRPr="00796D44" w:rsidRDefault="006B378E" w:rsidP="003515CE">
            <w:pPr>
              <w:pStyle w:val="In-tableHeading"/>
            </w:pPr>
          </w:p>
        </w:tc>
        <w:tc>
          <w:tcPr>
            <w:tcW w:w="472" w:type="pct"/>
            <w:vMerge/>
          </w:tcPr>
          <w:p w14:paraId="1E2CDEE5" w14:textId="77777777" w:rsidR="006B378E" w:rsidRPr="00796D44" w:rsidRDefault="006B378E" w:rsidP="003515CE">
            <w:pPr>
              <w:pStyle w:val="In-tableHeading"/>
            </w:pPr>
          </w:p>
        </w:tc>
        <w:tc>
          <w:tcPr>
            <w:tcW w:w="471" w:type="pct"/>
            <w:vMerge/>
          </w:tcPr>
          <w:p w14:paraId="3A6FAD5D" w14:textId="77777777" w:rsidR="006B378E" w:rsidRPr="00796D44" w:rsidRDefault="006B378E" w:rsidP="003515CE">
            <w:pPr>
              <w:pStyle w:val="In-tableHeading"/>
            </w:pPr>
          </w:p>
        </w:tc>
        <w:tc>
          <w:tcPr>
            <w:tcW w:w="472" w:type="pct"/>
            <w:vMerge/>
          </w:tcPr>
          <w:p w14:paraId="695AAF23" w14:textId="77777777" w:rsidR="006B378E" w:rsidRPr="00796D44" w:rsidRDefault="006B378E" w:rsidP="003515CE">
            <w:pPr>
              <w:pStyle w:val="In-tableHeading"/>
            </w:pPr>
          </w:p>
        </w:tc>
        <w:tc>
          <w:tcPr>
            <w:tcW w:w="629" w:type="pct"/>
            <w:vMerge/>
          </w:tcPr>
          <w:p w14:paraId="56FDB033" w14:textId="77777777" w:rsidR="006B378E" w:rsidRPr="00796D44" w:rsidRDefault="006B378E" w:rsidP="003515CE">
            <w:pPr>
              <w:pStyle w:val="In-tableHeading"/>
            </w:pPr>
          </w:p>
        </w:tc>
        <w:tc>
          <w:tcPr>
            <w:tcW w:w="392" w:type="pct"/>
          </w:tcPr>
          <w:p w14:paraId="5D5D703D" w14:textId="77777777" w:rsidR="006B378E" w:rsidRPr="00796D44" w:rsidRDefault="006B378E" w:rsidP="003515CE">
            <w:pPr>
              <w:pStyle w:val="In-tableHeading"/>
            </w:pPr>
            <w:r w:rsidRPr="00796D44">
              <w:t>NGS+ /SG+</w:t>
            </w:r>
          </w:p>
        </w:tc>
        <w:tc>
          <w:tcPr>
            <w:tcW w:w="394" w:type="pct"/>
          </w:tcPr>
          <w:p w14:paraId="64A7BA96" w14:textId="77777777" w:rsidR="006B378E" w:rsidRPr="00796D44" w:rsidRDefault="006B378E" w:rsidP="003515CE">
            <w:pPr>
              <w:pStyle w:val="In-tableHeading"/>
            </w:pPr>
            <w:r w:rsidRPr="00796D44">
              <w:t>NGS+ /SG-</w:t>
            </w:r>
          </w:p>
        </w:tc>
        <w:tc>
          <w:tcPr>
            <w:tcW w:w="393" w:type="pct"/>
          </w:tcPr>
          <w:p w14:paraId="11ADF1F3" w14:textId="77777777" w:rsidR="006B378E" w:rsidRPr="00796D44" w:rsidRDefault="006B378E" w:rsidP="003515CE">
            <w:pPr>
              <w:pStyle w:val="In-tableHeading"/>
            </w:pPr>
            <w:r w:rsidRPr="00796D44">
              <w:t>NGS- /SG+</w:t>
            </w:r>
          </w:p>
        </w:tc>
        <w:tc>
          <w:tcPr>
            <w:tcW w:w="394" w:type="pct"/>
          </w:tcPr>
          <w:p w14:paraId="5927A881" w14:textId="77777777" w:rsidR="006B378E" w:rsidRPr="00796D44" w:rsidRDefault="006B378E" w:rsidP="003515CE">
            <w:pPr>
              <w:pStyle w:val="In-tableHeading"/>
            </w:pPr>
            <w:r w:rsidRPr="00796D44">
              <w:t>NGS- /SG-</w:t>
            </w:r>
          </w:p>
        </w:tc>
        <w:tc>
          <w:tcPr>
            <w:tcW w:w="456" w:type="pct"/>
            <w:vMerge/>
          </w:tcPr>
          <w:p w14:paraId="7C81FEC9" w14:textId="77777777" w:rsidR="006B378E" w:rsidRPr="00796D44" w:rsidRDefault="006B378E" w:rsidP="003515CE">
            <w:pPr>
              <w:pStyle w:val="In-tableHeading"/>
            </w:pPr>
          </w:p>
        </w:tc>
        <w:tc>
          <w:tcPr>
            <w:tcW w:w="537" w:type="pct"/>
            <w:vMerge/>
          </w:tcPr>
          <w:p w14:paraId="00AEA794" w14:textId="77777777" w:rsidR="006B378E" w:rsidRPr="00796D44" w:rsidRDefault="006B378E" w:rsidP="003515CE">
            <w:pPr>
              <w:pStyle w:val="In-tableHeading"/>
            </w:pPr>
          </w:p>
        </w:tc>
      </w:tr>
      <w:tr w:rsidR="00B94F87" w:rsidRPr="00796D44" w14:paraId="4C71B82D" w14:textId="475F972E" w:rsidTr="00956452">
        <w:tc>
          <w:tcPr>
            <w:tcW w:w="390" w:type="pct"/>
          </w:tcPr>
          <w:p w14:paraId="5DC8B2B0" w14:textId="77777777" w:rsidR="006B378E" w:rsidRPr="006F53B4" w:rsidRDefault="006B378E" w:rsidP="006B378E">
            <w:pPr>
              <w:pStyle w:val="Tabletext0"/>
              <w:rPr>
                <w:i/>
              </w:rPr>
            </w:pPr>
            <w:r w:rsidRPr="006F53B4">
              <w:rPr>
                <w:i/>
              </w:rPr>
              <w:t>EGFR</w:t>
            </w:r>
          </w:p>
        </w:tc>
        <w:tc>
          <w:tcPr>
            <w:tcW w:w="472" w:type="pct"/>
          </w:tcPr>
          <w:p w14:paraId="777BF349" w14:textId="77777777" w:rsidR="006B378E" w:rsidRPr="00796D44" w:rsidRDefault="006B378E" w:rsidP="006B378E">
            <w:pPr>
              <w:pStyle w:val="Tabletext0"/>
            </w:pPr>
            <w:r w:rsidRPr="00796D44">
              <w:t>n=2611</w:t>
            </w:r>
          </w:p>
          <w:p w14:paraId="69312031" w14:textId="77777777" w:rsidR="006B378E" w:rsidRPr="00796D44" w:rsidRDefault="006B378E" w:rsidP="006B378E">
            <w:pPr>
              <w:pStyle w:val="Tabletext0"/>
            </w:pPr>
            <w:r w:rsidRPr="00796D44">
              <w:t>k=22</w:t>
            </w:r>
          </w:p>
        </w:tc>
        <w:tc>
          <w:tcPr>
            <w:tcW w:w="471" w:type="pct"/>
          </w:tcPr>
          <w:p w14:paraId="1CACEE91" w14:textId="77777777" w:rsidR="006B378E" w:rsidRPr="00796D44" w:rsidRDefault="006B378E" w:rsidP="006B378E">
            <w:pPr>
              <w:pStyle w:val="Tabletext0"/>
            </w:pPr>
            <w:r w:rsidRPr="00796D44">
              <w:t>0.98 (0.95, 0.99)</w:t>
            </w:r>
          </w:p>
        </w:tc>
        <w:tc>
          <w:tcPr>
            <w:tcW w:w="472" w:type="pct"/>
          </w:tcPr>
          <w:p w14:paraId="3148E055" w14:textId="77777777" w:rsidR="006B378E" w:rsidRPr="00796D44" w:rsidRDefault="006B378E" w:rsidP="006B378E">
            <w:pPr>
              <w:pStyle w:val="Tabletext0"/>
            </w:pPr>
            <w:r w:rsidRPr="00796D44">
              <w:t>0.97 (0.95, 0.99)</w:t>
            </w:r>
          </w:p>
        </w:tc>
        <w:tc>
          <w:tcPr>
            <w:tcW w:w="629" w:type="pct"/>
          </w:tcPr>
          <w:p w14:paraId="53D2E46F" w14:textId="77777777" w:rsidR="006B378E" w:rsidRPr="00B26AFD" w:rsidRDefault="006B378E" w:rsidP="006B378E">
            <w:pPr>
              <w:pStyle w:val="Tabletext0"/>
              <w:rPr>
                <w:vertAlign w:val="superscript"/>
              </w:rPr>
            </w:pPr>
            <w:r w:rsidRPr="00796D44">
              <w:t>15%</w:t>
            </w:r>
            <w:r>
              <w:rPr>
                <w:vertAlign w:val="superscript"/>
              </w:rPr>
              <w:t>a</w:t>
            </w:r>
          </w:p>
        </w:tc>
        <w:tc>
          <w:tcPr>
            <w:tcW w:w="392" w:type="pct"/>
          </w:tcPr>
          <w:p w14:paraId="5C926212" w14:textId="77777777" w:rsidR="006B378E" w:rsidRPr="00796D44" w:rsidRDefault="006B378E" w:rsidP="006B378E">
            <w:pPr>
              <w:pStyle w:val="Tabletext0"/>
              <w:jc w:val="left"/>
            </w:pPr>
            <w:r w:rsidRPr="00796D44">
              <w:t>147 (143, 149)</w:t>
            </w:r>
          </w:p>
        </w:tc>
        <w:tc>
          <w:tcPr>
            <w:tcW w:w="394" w:type="pct"/>
          </w:tcPr>
          <w:p w14:paraId="76C92E05" w14:textId="77777777" w:rsidR="006B378E" w:rsidRPr="00796D44" w:rsidRDefault="006B378E" w:rsidP="006B378E">
            <w:pPr>
              <w:pStyle w:val="Tabletext0"/>
            </w:pPr>
            <w:r w:rsidRPr="00796D44">
              <w:t>25 (8, 42)</w:t>
            </w:r>
          </w:p>
        </w:tc>
        <w:tc>
          <w:tcPr>
            <w:tcW w:w="393" w:type="pct"/>
          </w:tcPr>
          <w:p w14:paraId="1EF75BB9" w14:textId="77777777" w:rsidR="006B378E" w:rsidRPr="00796D44" w:rsidRDefault="006B378E" w:rsidP="006B378E">
            <w:pPr>
              <w:pStyle w:val="Tabletext0"/>
            </w:pPr>
            <w:r w:rsidRPr="00796D44">
              <w:t>3 (1, 7)</w:t>
            </w:r>
          </w:p>
        </w:tc>
        <w:tc>
          <w:tcPr>
            <w:tcW w:w="394" w:type="pct"/>
          </w:tcPr>
          <w:p w14:paraId="12867CE2" w14:textId="77777777" w:rsidR="006B378E" w:rsidRPr="00796D44" w:rsidRDefault="006B378E" w:rsidP="006B378E">
            <w:pPr>
              <w:pStyle w:val="Tabletext0"/>
            </w:pPr>
            <w:r w:rsidRPr="00796D44">
              <w:t>825 (808, 842)</w:t>
            </w:r>
          </w:p>
        </w:tc>
        <w:tc>
          <w:tcPr>
            <w:tcW w:w="456" w:type="pct"/>
          </w:tcPr>
          <w:p w14:paraId="1EFB35EB" w14:textId="138FB749" w:rsidR="006B378E" w:rsidRPr="00796D44" w:rsidRDefault="006B378E" w:rsidP="006B378E">
            <w:pPr>
              <w:pStyle w:val="Tabletext0"/>
            </w:pPr>
            <w:r>
              <w:t>0.85</w:t>
            </w:r>
          </w:p>
        </w:tc>
        <w:tc>
          <w:tcPr>
            <w:tcW w:w="537" w:type="pct"/>
          </w:tcPr>
          <w:p w14:paraId="3937A551" w14:textId="0B773567" w:rsidR="006B378E" w:rsidRPr="00796D44" w:rsidRDefault="006B378E" w:rsidP="006B378E">
            <w:pPr>
              <w:pStyle w:val="Tabletext0"/>
            </w:pPr>
            <w:r>
              <w:t>1.00</w:t>
            </w:r>
          </w:p>
        </w:tc>
      </w:tr>
      <w:tr w:rsidR="00B94F87" w:rsidRPr="00796D44" w14:paraId="2A5DA9E3" w14:textId="26CDDF0E" w:rsidTr="00956452">
        <w:tc>
          <w:tcPr>
            <w:tcW w:w="390" w:type="pct"/>
          </w:tcPr>
          <w:p w14:paraId="41B37A87" w14:textId="77777777" w:rsidR="006B378E" w:rsidRPr="006F53B4" w:rsidRDefault="006B378E" w:rsidP="006B378E">
            <w:pPr>
              <w:pStyle w:val="Tabletext0"/>
              <w:rPr>
                <w:i/>
              </w:rPr>
            </w:pPr>
            <w:r w:rsidRPr="006F53B4">
              <w:rPr>
                <w:i/>
              </w:rPr>
              <w:t>ALK</w:t>
            </w:r>
          </w:p>
        </w:tc>
        <w:tc>
          <w:tcPr>
            <w:tcW w:w="472" w:type="pct"/>
          </w:tcPr>
          <w:p w14:paraId="1D706144" w14:textId="77777777" w:rsidR="006B378E" w:rsidRDefault="006B378E" w:rsidP="006B378E">
            <w:pPr>
              <w:pStyle w:val="Tabletext0"/>
            </w:pPr>
            <w:r>
              <w:t>n=1464</w:t>
            </w:r>
          </w:p>
          <w:p w14:paraId="7B502778" w14:textId="77777777" w:rsidR="006B378E" w:rsidRPr="00796D44" w:rsidRDefault="006B378E" w:rsidP="006B378E">
            <w:pPr>
              <w:pStyle w:val="Tabletext0"/>
            </w:pPr>
            <w:r>
              <w:t>k=11</w:t>
            </w:r>
          </w:p>
        </w:tc>
        <w:tc>
          <w:tcPr>
            <w:tcW w:w="471" w:type="pct"/>
          </w:tcPr>
          <w:p w14:paraId="4D072885" w14:textId="77777777" w:rsidR="006B378E" w:rsidRPr="00796D44" w:rsidRDefault="006B378E" w:rsidP="006B378E">
            <w:pPr>
              <w:pStyle w:val="Tabletext0"/>
            </w:pPr>
            <w:r>
              <w:t>0.92 (0.77, 0.97)</w:t>
            </w:r>
          </w:p>
        </w:tc>
        <w:tc>
          <w:tcPr>
            <w:tcW w:w="472" w:type="pct"/>
          </w:tcPr>
          <w:p w14:paraId="26AA4EF5" w14:textId="77777777" w:rsidR="006B378E" w:rsidRPr="00796D44" w:rsidRDefault="006B378E" w:rsidP="006B378E">
            <w:pPr>
              <w:pStyle w:val="Tabletext0"/>
            </w:pPr>
            <w:r>
              <w:t>0.99 (0.93, 1.00)</w:t>
            </w:r>
          </w:p>
        </w:tc>
        <w:tc>
          <w:tcPr>
            <w:tcW w:w="629" w:type="pct"/>
          </w:tcPr>
          <w:p w14:paraId="6EA3E245" w14:textId="77777777" w:rsidR="006B378E" w:rsidRPr="00B26AFD" w:rsidRDefault="006B378E" w:rsidP="006B378E">
            <w:pPr>
              <w:pStyle w:val="Tabletext0"/>
              <w:rPr>
                <w:vertAlign w:val="superscript"/>
              </w:rPr>
            </w:pPr>
            <w:r>
              <w:t>3%</w:t>
            </w:r>
            <w:r>
              <w:rPr>
                <w:vertAlign w:val="superscript"/>
              </w:rPr>
              <w:t>b</w:t>
            </w:r>
          </w:p>
        </w:tc>
        <w:tc>
          <w:tcPr>
            <w:tcW w:w="392" w:type="pct"/>
          </w:tcPr>
          <w:p w14:paraId="202C6608" w14:textId="77777777" w:rsidR="006B378E" w:rsidRPr="00796D44" w:rsidRDefault="006B378E" w:rsidP="006B378E">
            <w:pPr>
              <w:pStyle w:val="Tabletext0"/>
              <w:jc w:val="left"/>
            </w:pPr>
            <w:r>
              <w:t>28 (23, 29)</w:t>
            </w:r>
          </w:p>
        </w:tc>
        <w:tc>
          <w:tcPr>
            <w:tcW w:w="394" w:type="pct"/>
          </w:tcPr>
          <w:p w14:paraId="62530936" w14:textId="77777777" w:rsidR="006B378E" w:rsidRPr="00796D44" w:rsidRDefault="006B378E" w:rsidP="006B378E">
            <w:pPr>
              <w:pStyle w:val="Tabletext0"/>
            </w:pPr>
            <w:r>
              <w:t>10 (0, 68)</w:t>
            </w:r>
          </w:p>
        </w:tc>
        <w:tc>
          <w:tcPr>
            <w:tcW w:w="393" w:type="pct"/>
          </w:tcPr>
          <w:p w14:paraId="26954153" w14:textId="77777777" w:rsidR="006B378E" w:rsidRPr="00796D44" w:rsidRDefault="006B378E" w:rsidP="006B378E">
            <w:pPr>
              <w:pStyle w:val="Tabletext0"/>
            </w:pPr>
            <w:r>
              <w:t>2 (1, 7)</w:t>
            </w:r>
          </w:p>
        </w:tc>
        <w:tc>
          <w:tcPr>
            <w:tcW w:w="394" w:type="pct"/>
          </w:tcPr>
          <w:p w14:paraId="46F7C56C" w14:textId="77777777" w:rsidR="006B378E" w:rsidRPr="00796D44" w:rsidRDefault="006B378E" w:rsidP="006B378E">
            <w:pPr>
              <w:pStyle w:val="Tabletext0"/>
            </w:pPr>
            <w:r>
              <w:t>960 (902, 97)</w:t>
            </w:r>
          </w:p>
        </w:tc>
        <w:tc>
          <w:tcPr>
            <w:tcW w:w="456" w:type="pct"/>
          </w:tcPr>
          <w:p w14:paraId="703E2C81" w14:textId="774867A3" w:rsidR="006B378E" w:rsidRDefault="006B378E" w:rsidP="006B378E">
            <w:pPr>
              <w:pStyle w:val="Tabletext0"/>
            </w:pPr>
            <w:r>
              <w:t>0.74</w:t>
            </w:r>
          </w:p>
        </w:tc>
        <w:tc>
          <w:tcPr>
            <w:tcW w:w="537" w:type="pct"/>
          </w:tcPr>
          <w:p w14:paraId="42F2F2A1" w14:textId="2FBCD366" w:rsidR="006B378E" w:rsidRDefault="006B378E" w:rsidP="006B378E">
            <w:pPr>
              <w:pStyle w:val="Tabletext0"/>
            </w:pPr>
            <w:r>
              <w:t>1.00</w:t>
            </w:r>
          </w:p>
        </w:tc>
      </w:tr>
      <w:tr w:rsidR="00B94F87" w:rsidRPr="00796D44" w14:paraId="40B4C3F7" w14:textId="7D52DC75" w:rsidTr="00956452">
        <w:tc>
          <w:tcPr>
            <w:tcW w:w="390" w:type="pct"/>
          </w:tcPr>
          <w:p w14:paraId="664B2149" w14:textId="77777777" w:rsidR="006B378E" w:rsidRPr="006F53B4" w:rsidRDefault="006B378E" w:rsidP="006B378E">
            <w:pPr>
              <w:pStyle w:val="Tabletext0"/>
              <w:rPr>
                <w:i/>
              </w:rPr>
            </w:pPr>
            <w:r w:rsidRPr="006F53B4">
              <w:rPr>
                <w:i/>
              </w:rPr>
              <w:t>ROS1</w:t>
            </w:r>
          </w:p>
        </w:tc>
        <w:tc>
          <w:tcPr>
            <w:tcW w:w="472" w:type="pct"/>
          </w:tcPr>
          <w:p w14:paraId="6B48D3B8" w14:textId="77777777" w:rsidR="006B378E" w:rsidRDefault="006B378E" w:rsidP="006B378E">
            <w:pPr>
              <w:pStyle w:val="Tabletext0"/>
            </w:pPr>
            <w:r>
              <w:t>n=830</w:t>
            </w:r>
          </w:p>
          <w:p w14:paraId="63EF30C1" w14:textId="77777777" w:rsidR="006B378E" w:rsidRPr="00796D44" w:rsidRDefault="006B378E" w:rsidP="006B378E">
            <w:pPr>
              <w:pStyle w:val="Tabletext0"/>
            </w:pPr>
            <w:r>
              <w:t>k=6</w:t>
            </w:r>
          </w:p>
        </w:tc>
        <w:tc>
          <w:tcPr>
            <w:tcW w:w="471" w:type="pct"/>
          </w:tcPr>
          <w:p w14:paraId="6A2E4024" w14:textId="77777777" w:rsidR="006B378E" w:rsidRPr="00796D44" w:rsidRDefault="006B378E" w:rsidP="006B378E">
            <w:pPr>
              <w:pStyle w:val="Tabletext0"/>
            </w:pPr>
            <w:r>
              <w:t>0.86 (0.63, 0.96)</w:t>
            </w:r>
          </w:p>
        </w:tc>
        <w:tc>
          <w:tcPr>
            <w:tcW w:w="472" w:type="pct"/>
          </w:tcPr>
          <w:p w14:paraId="0B5F91BA" w14:textId="77777777" w:rsidR="006B378E" w:rsidRPr="00796D44" w:rsidRDefault="006B378E" w:rsidP="006B378E">
            <w:pPr>
              <w:pStyle w:val="Tabletext0"/>
            </w:pPr>
            <w:r>
              <w:t>1.00 (0.99, 1.00)</w:t>
            </w:r>
          </w:p>
        </w:tc>
        <w:tc>
          <w:tcPr>
            <w:tcW w:w="629" w:type="pct"/>
          </w:tcPr>
          <w:p w14:paraId="6C664E94" w14:textId="77777777" w:rsidR="006B378E" w:rsidRPr="00B26AFD" w:rsidRDefault="006B378E" w:rsidP="006B378E">
            <w:pPr>
              <w:pStyle w:val="Tabletext0"/>
              <w:rPr>
                <w:vertAlign w:val="superscript"/>
              </w:rPr>
            </w:pPr>
            <w:r>
              <w:t>1.61%</w:t>
            </w:r>
            <w:r>
              <w:rPr>
                <w:vertAlign w:val="superscript"/>
              </w:rPr>
              <w:t>c</w:t>
            </w:r>
          </w:p>
        </w:tc>
        <w:tc>
          <w:tcPr>
            <w:tcW w:w="392" w:type="pct"/>
          </w:tcPr>
          <w:p w14:paraId="2BE184F2" w14:textId="77777777" w:rsidR="006B378E" w:rsidRPr="00796D44" w:rsidRDefault="006B378E" w:rsidP="006B378E">
            <w:pPr>
              <w:pStyle w:val="Tabletext0"/>
              <w:jc w:val="left"/>
            </w:pPr>
            <w:r>
              <w:t>14 (10, 15)</w:t>
            </w:r>
          </w:p>
        </w:tc>
        <w:tc>
          <w:tcPr>
            <w:tcW w:w="394" w:type="pct"/>
          </w:tcPr>
          <w:p w14:paraId="05B5F117" w14:textId="77777777" w:rsidR="006B378E" w:rsidRPr="00796D44" w:rsidRDefault="006B378E" w:rsidP="006B378E">
            <w:pPr>
              <w:pStyle w:val="Tabletext0"/>
            </w:pPr>
            <w:r>
              <w:t>0 (0, 10)</w:t>
            </w:r>
          </w:p>
        </w:tc>
        <w:tc>
          <w:tcPr>
            <w:tcW w:w="393" w:type="pct"/>
          </w:tcPr>
          <w:p w14:paraId="2FEEA32C" w14:textId="77777777" w:rsidR="006B378E" w:rsidRPr="00796D44" w:rsidRDefault="006B378E" w:rsidP="006B378E">
            <w:pPr>
              <w:pStyle w:val="Tabletext0"/>
            </w:pPr>
            <w:r>
              <w:t>2 (1, 6)</w:t>
            </w:r>
          </w:p>
        </w:tc>
        <w:tc>
          <w:tcPr>
            <w:tcW w:w="394" w:type="pct"/>
          </w:tcPr>
          <w:p w14:paraId="70F6A214" w14:textId="77777777" w:rsidR="006B378E" w:rsidRPr="00796D44" w:rsidRDefault="006B378E" w:rsidP="006B378E">
            <w:pPr>
              <w:pStyle w:val="Tabletext0"/>
            </w:pPr>
            <w:r>
              <w:t>984 (974, 984)</w:t>
            </w:r>
          </w:p>
        </w:tc>
        <w:tc>
          <w:tcPr>
            <w:tcW w:w="456" w:type="pct"/>
          </w:tcPr>
          <w:p w14:paraId="1D59EF45" w14:textId="7A06BB34" w:rsidR="006B378E" w:rsidRDefault="006B378E" w:rsidP="006B378E">
            <w:pPr>
              <w:pStyle w:val="Tabletext0"/>
            </w:pPr>
            <w:r>
              <w:t>1.00</w:t>
            </w:r>
          </w:p>
        </w:tc>
        <w:tc>
          <w:tcPr>
            <w:tcW w:w="537" w:type="pct"/>
          </w:tcPr>
          <w:p w14:paraId="6EE069C4" w14:textId="6F48C135" w:rsidR="006B378E" w:rsidRDefault="006B378E" w:rsidP="006B378E">
            <w:pPr>
              <w:pStyle w:val="Tabletext0"/>
            </w:pPr>
            <w:r>
              <w:t>1.00</w:t>
            </w:r>
          </w:p>
        </w:tc>
      </w:tr>
      <w:tr w:rsidR="00B94F87" w:rsidRPr="00796D44" w14:paraId="5A54CE24" w14:textId="32466862" w:rsidTr="00956452">
        <w:tc>
          <w:tcPr>
            <w:tcW w:w="390" w:type="pct"/>
          </w:tcPr>
          <w:p w14:paraId="71CEA761" w14:textId="17CCC754" w:rsidR="006B378E" w:rsidRPr="006F53B4" w:rsidRDefault="006B378E" w:rsidP="006B378E">
            <w:pPr>
              <w:pStyle w:val="Tabletext0"/>
              <w:rPr>
                <w:i/>
              </w:rPr>
            </w:pPr>
            <w:r w:rsidRPr="006F53B4">
              <w:rPr>
                <w:i/>
              </w:rPr>
              <w:t>MET</w:t>
            </w:r>
            <w:r w:rsidR="00DE2E12">
              <w:rPr>
                <w:i/>
              </w:rPr>
              <w:t xml:space="preserve"> </w:t>
            </w:r>
            <w:r w:rsidRPr="006F53B4">
              <w:t>ex14s</w:t>
            </w:r>
            <w:r w:rsidRPr="006F53B4">
              <w:rPr>
                <w:i/>
              </w:rPr>
              <w:t>k</w:t>
            </w:r>
          </w:p>
        </w:tc>
        <w:tc>
          <w:tcPr>
            <w:tcW w:w="472" w:type="pct"/>
          </w:tcPr>
          <w:p w14:paraId="1FF82D79" w14:textId="77777777" w:rsidR="006B378E" w:rsidRDefault="006B378E" w:rsidP="006B378E">
            <w:pPr>
              <w:pStyle w:val="Tabletext0"/>
            </w:pPr>
            <w:r>
              <w:t>n=99</w:t>
            </w:r>
          </w:p>
          <w:p w14:paraId="0EF550E7" w14:textId="77777777" w:rsidR="006B378E" w:rsidRPr="00796D44" w:rsidRDefault="006B378E" w:rsidP="006B378E">
            <w:pPr>
              <w:pStyle w:val="Tabletext0"/>
            </w:pPr>
            <w:r>
              <w:t>k=1</w:t>
            </w:r>
          </w:p>
        </w:tc>
        <w:tc>
          <w:tcPr>
            <w:tcW w:w="471" w:type="pct"/>
          </w:tcPr>
          <w:p w14:paraId="742D6E81" w14:textId="77777777" w:rsidR="006B378E" w:rsidRPr="00796D44" w:rsidRDefault="006B378E" w:rsidP="006B378E">
            <w:pPr>
              <w:pStyle w:val="Tabletext0"/>
            </w:pPr>
            <w:r>
              <w:t>0.98 (0.89, 1.00)</w:t>
            </w:r>
          </w:p>
        </w:tc>
        <w:tc>
          <w:tcPr>
            <w:tcW w:w="472" w:type="pct"/>
          </w:tcPr>
          <w:p w14:paraId="0DF53ABC" w14:textId="77777777" w:rsidR="006B378E" w:rsidRPr="00796D44" w:rsidRDefault="006B378E" w:rsidP="006B378E">
            <w:pPr>
              <w:pStyle w:val="Tabletext0"/>
            </w:pPr>
            <w:r>
              <w:t>1.00 (0.93, 1.00)</w:t>
            </w:r>
          </w:p>
        </w:tc>
        <w:tc>
          <w:tcPr>
            <w:tcW w:w="629" w:type="pct"/>
          </w:tcPr>
          <w:p w14:paraId="13DAF91E" w14:textId="77777777" w:rsidR="006B378E" w:rsidRPr="00B26AFD" w:rsidRDefault="006B378E" w:rsidP="006B378E">
            <w:pPr>
              <w:pStyle w:val="Tabletext0"/>
              <w:rPr>
                <w:vertAlign w:val="superscript"/>
              </w:rPr>
            </w:pPr>
            <w:r>
              <w:t>3.6%</w:t>
            </w:r>
            <w:r>
              <w:rPr>
                <w:vertAlign w:val="superscript"/>
              </w:rPr>
              <w:t>d</w:t>
            </w:r>
          </w:p>
        </w:tc>
        <w:tc>
          <w:tcPr>
            <w:tcW w:w="392" w:type="pct"/>
          </w:tcPr>
          <w:p w14:paraId="5293BDED" w14:textId="77777777" w:rsidR="006B378E" w:rsidRPr="00796D44" w:rsidRDefault="006B378E" w:rsidP="006B378E">
            <w:pPr>
              <w:pStyle w:val="Tabletext0"/>
              <w:jc w:val="left"/>
            </w:pPr>
            <w:r>
              <w:t>35 (32, 36)</w:t>
            </w:r>
          </w:p>
        </w:tc>
        <w:tc>
          <w:tcPr>
            <w:tcW w:w="394" w:type="pct"/>
          </w:tcPr>
          <w:p w14:paraId="08EA18A0" w14:textId="77777777" w:rsidR="006B378E" w:rsidRPr="00796D44" w:rsidRDefault="006B378E" w:rsidP="006B378E">
            <w:pPr>
              <w:pStyle w:val="Tabletext0"/>
            </w:pPr>
            <w:r>
              <w:t>0 (0, 69)</w:t>
            </w:r>
          </w:p>
        </w:tc>
        <w:tc>
          <w:tcPr>
            <w:tcW w:w="393" w:type="pct"/>
          </w:tcPr>
          <w:p w14:paraId="17BF5857" w14:textId="77777777" w:rsidR="006B378E" w:rsidRPr="00796D44" w:rsidRDefault="006B378E" w:rsidP="006B378E">
            <w:pPr>
              <w:pStyle w:val="Tabletext0"/>
            </w:pPr>
            <w:r>
              <w:t>1 (0, 4)</w:t>
            </w:r>
          </w:p>
        </w:tc>
        <w:tc>
          <w:tcPr>
            <w:tcW w:w="394" w:type="pct"/>
          </w:tcPr>
          <w:p w14:paraId="22ACCD83" w14:textId="77777777" w:rsidR="006B378E" w:rsidRPr="00796D44" w:rsidRDefault="006B378E" w:rsidP="006B378E">
            <w:pPr>
              <w:pStyle w:val="Tabletext0"/>
            </w:pPr>
            <w:r>
              <w:t>964 (895, 964)</w:t>
            </w:r>
          </w:p>
        </w:tc>
        <w:tc>
          <w:tcPr>
            <w:tcW w:w="456" w:type="pct"/>
          </w:tcPr>
          <w:p w14:paraId="1F739606" w14:textId="55291041" w:rsidR="006B378E" w:rsidRDefault="006B378E" w:rsidP="006B378E">
            <w:pPr>
              <w:pStyle w:val="Tabletext0"/>
            </w:pPr>
            <w:r>
              <w:t>1.00</w:t>
            </w:r>
          </w:p>
        </w:tc>
        <w:tc>
          <w:tcPr>
            <w:tcW w:w="537" w:type="pct"/>
          </w:tcPr>
          <w:p w14:paraId="521F4BE5" w14:textId="23616D26" w:rsidR="006B378E" w:rsidRDefault="006B378E" w:rsidP="006B378E">
            <w:pPr>
              <w:pStyle w:val="Tabletext0"/>
            </w:pPr>
            <w:r>
              <w:t>1.00</w:t>
            </w:r>
          </w:p>
        </w:tc>
      </w:tr>
      <w:tr w:rsidR="00B94F87" w:rsidRPr="00796D44" w14:paraId="1E1BC142" w14:textId="15AF774C" w:rsidTr="00956452">
        <w:tc>
          <w:tcPr>
            <w:tcW w:w="390" w:type="pct"/>
          </w:tcPr>
          <w:p w14:paraId="027513B9" w14:textId="249F1159" w:rsidR="006B378E" w:rsidRDefault="006B378E" w:rsidP="006B378E">
            <w:pPr>
              <w:pStyle w:val="Tabletext0"/>
            </w:pPr>
            <w:r>
              <w:t>Total</w:t>
            </w:r>
          </w:p>
        </w:tc>
        <w:tc>
          <w:tcPr>
            <w:tcW w:w="472" w:type="pct"/>
          </w:tcPr>
          <w:p w14:paraId="60824F1C" w14:textId="77777777" w:rsidR="006B378E" w:rsidRDefault="006B378E" w:rsidP="006B378E">
            <w:pPr>
              <w:pStyle w:val="Tabletext0"/>
            </w:pPr>
          </w:p>
        </w:tc>
        <w:tc>
          <w:tcPr>
            <w:tcW w:w="471" w:type="pct"/>
          </w:tcPr>
          <w:p w14:paraId="0221DA24" w14:textId="77777777" w:rsidR="006B378E" w:rsidRDefault="006B378E" w:rsidP="006B378E">
            <w:pPr>
              <w:pStyle w:val="Tabletext0"/>
            </w:pPr>
          </w:p>
        </w:tc>
        <w:tc>
          <w:tcPr>
            <w:tcW w:w="472" w:type="pct"/>
          </w:tcPr>
          <w:p w14:paraId="67BA4FF2" w14:textId="77777777" w:rsidR="006B378E" w:rsidRDefault="006B378E" w:rsidP="006B378E">
            <w:pPr>
              <w:pStyle w:val="Tabletext0"/>
            </w:pPr>
          </w:p>
        </w:tc>
        <w:tc>
          <w:tcPr>
            <w:tcW w:w="629" w:type="pct"/>
          </w:tcPr>
          <w:p w14:paraId="7199F1F2" w14:textId="77777777" w:rsidR="006B378E" w:rsidRDefault="006B378E" w:rsidP="006B378E">
            <w:pPr>
              <w:pStyle w:val="Tabletext0"/>
            </w:pPr>
          </w:p>
        </w:tc>
        <w:tc>
          <w:tcPr>
            <w:tcW w:w="392" w:type="pct"/>
          </w:tcPr>
          <w:p w14:paraId="39E3CB7F" w14:textId="77777777" w:rsidR="006B378E" w:rsidRDefault="006B378E" w:rsidP="006B378E">
            <w:pPr>
              <w:pStyle w:val="Tabletext0"/>
            </w:pPr>
            <w:r>
              <w:t>224</w:t>
            </w:r>
          </w:p>
        </w:tc>
        <w:tc>
          <w:tcPr>
            <w:tcW w:w="394" w:type="pct"/>
          </w:tcPr>
          <w:p w14:paraId="7302A744" w14:textId="77777777" w:rsidR="006B378E" w:rsidRDefault="006B378E" w:rsidP="006B378E">
            <w:pPr>
              <w:pStyle w:val="Tabletext0"/>
            </w:pPr>
            <w:r>
              <w:t>35</w:t>
            </w:r>
          </w:p>
        </w:tc>
        <w:tc>
          <w:tcPr>
            <w:tcW w:w="393" w:type="pct"/>
          </w:tcPr>
          <w:p w14:paraId="47D7DDA1" w14:textId="77777777" w:rsidR="006B378E" w:rsidRDefault="006B378E" w:rsidP="006B378E">
            <w:pPr>
              <w:pStyle w:val="Tabletext0"/>
            </w:pPr>
            <w:r>
              <w:t>8</w:t>
            </w:r>
          </w:p>
        </w:tc>
        <w:tc>
          <w:tcPr>
            <w:tcW w:w="394" w:type="pct"/>
          </w:tcPr>
          <w:p w14:paraId="3F5E4221" w14:textId="77777777" w:rsidR="006B378E" w:rsidRDefault="006B378E" w:rsidP="006B378E">
            <w:pPr>
              <w:pStyle w:val="Tabletext0"/>
            </w:pPr>
            <w:r>
              <w:t>733</w:t>
            </w:r>
          </w:p>
        </w:tc>
        <w:tc>
          <w:tcPr>
            <w:tcW w:w="456" w:type="pct"/>
          </w:tcPr>
          <w:p w14:paraId="69368C91" w14:textId="77777777" w:rsidR="006B378E" w:rsidRDefault="006B378E" w:rsidP="006B378E">
            <w:pPr>
              <w:pStyle w:val="Tabletext0"/>
            </w:pPr>
          </w:p>
        </w:tc>
        <w:tc>
          <w:tcPr>
            <w:tcW w:w="537" w:type="pct"/>
          </w:tcPr>
          <w:p w14:paraId="07804FB1" w14:textId="77777777" w:rsidR="006B378E" w:rsidRDefault="006B378E" w:rsidP="006B378E">
            <w:pPr>
              <w:pStyle w:val="Tabletext0"/>
            </w:pPr>
          </w:p>
        </w:tc>
      </w:tr>
    </w:tbl>
    <w:p w14:paraId="29D1CF94" w14:textId="2D62796A" w:rsidR="000860FE" w:rsidRPr="00B26AFD" w:rsidRDefault="000860FE" w:rsidP="000860FE">
      <w:pPr>
        <w:pStyle w:val="TableFooter"/>
      </w:pPr>
      <w:r w:rsidRPr="00B26AFD">
        <w:rPr>
          <w:vertAlign w:val="superscript"/>
        </w:rPr>
        <w:t>a</w:t>
      </w:r>
      <w:r w:rsidRPr="00B26AFD">
        <w:t xml:space="preserve">Based on p18 </w:t>
      </w:r>
      <w:hyperlink r:id="rId27" w:history="1">
        <w:r w:rsidRPr="000C5912">
          <w:rPr>
            <w:rStyle w:val="Hyperlink"/>
          </w:rPr>
          <w:t>MSAC 1161 PSD</w:t>
        </w:r>
      </w:hyperlink>
      <w:r w:rsidRPr="00B26AFD">
        <w:t>, November 2012</w:t>
      </w:r>
    </w:p>
    <w:p w14:paraId="711528FE" w14:textId="35D8A655" w:rsidR="000860FE" w:rsidRPr="00B26AFD" w:rsidRDefault="000860FE" w:rsidP="000860FE">
      <w:pPr>
        <w:pStyle w:val="TableFooter"/>
      </w:pPr>
      <w:r w:rsidRPr="00B26AFD">
        <w:rPr>
          <w:vertAlign w:val="superscript"/>
        </w:rPr>
        <w:t>b</w:t>
      </w:r>
      <w:r w:rsidRPr="00B26AFD">
        <w:t xml:space="preserve">Based on p5 </w:t>
      </w:r>
      <w:hyperlink r:id="rId28" w:history="1">
        <w:r w:rsidRPr="000C5912">
          <w:rPr>
            <w:rStyle w:val="Hyperlink"/>
          </w:rPr>
          <w:t>MSAC 1250.1 PSD</w:t>
        </w:r>
      </w:hyperlink>
      <w:r w:rsidRPr="00B26AFD">
        <w:t>, November 2014</w:t>
      </w:r>
    </w:p>
    <w:p w14:paraId="53D29C5F" w14:textId="5371E804" w:rsidR="000860FE" w:rsidRPr="00B26AFD" w:rsidRDefault="000860FE" w:rsidP="000860FE">
      <w:pPr>
        <w:pStyle w:val="TableFooter"/>
      </w:pPr>
      <w:r w:rsidRPr="00B26AFD">
        <w:rPr>
          <w:vertAlign w:val="superscript"/>
        </w:rPr>
        <w:t>c</w:t>
      </w:r>
      <w:r w:rsidRPr="00B26AFD">
        <w:t xml:space="preserve">Based on p12 </w:t>
      </w:r>
      <w:hyperlink r:id="rId29" w:history="1">
        <w:r w:rsidRPr="000C5912">
          <w:rPr>
            <w:rStyle w:val="Hyperlink"/>
          </w:rPr>
          <w:t>MSAC 1</w:t>
        </w:r>
        <w:r w:rsidR="000C5912" w:rsidRPr="000C5912">
          <w:rPr>
            <w:rStyle w:val="Hyperlink"/>
          </w:rPr>
          <w:t>4</w:t>
        </w:r>
        <w:r w:rsidRPr="000C5912">
          <w:rPr>
            <w:rStyle w:val="Hyperlink"/>
          </w:rPr>
          <w:t>54 PSD</w:t>
        </w:r>
      </w:hyperlink>
      <w:r w:rsidRPr="00B26AFD">
        <w:t>, July 2018</w:t>
      </w:r>
    </w:p>
    <w:p w14:paraId="51C5CB57" w14:textId="53DEB2D3" w:rsidR="000860FE" w:rsidRPr="00B26AFD" w:rsidRDefault="000860FE" w:rsidP="000860FE">
      <w:pPr>
        <w:pStyle w:val="TableFooter"/>
      </w:pPr>
      <w:r w:rsidRPr="00B26AFD">
        <w:rPr>
          <w:vertAlign w:val="superscript"/>
        </w:rPr>
        <w:t>d</w:t>
      </w:r>
      <w:r w:rsidRPr="00B26AFD">
        <w:t xml:space="preserve">Based on Table 11, p27 </w:t>
      </w:r>
      <w:hyperlink r:id="rId30" w:history="1">
        <w:r w:rsidRPr="000C5912">
          <w:rPr>
            <w:rStyle w:val="Hyperlink"/>
          </w:rPr>
          <w:t>Tepotinib PBAC PSD</w:t>
        </w:r>
      </w:hyperlink>
      <w:r w:rsidRPr="00B26AFD">
        <w:t>, November 2021</w:t>
      </w:r>
    </w:p>
    <w:p w14:paraId="2C16B8D9" w14:textId="019EE16E" w:rsidR="000860FE" w:rsidRDefault="000860FE" w:rsidP="000860FE">
      <w:pPr>
        <w:pStyle w:val="TableFooter"/>
      </w:pPr>
      <w:r w:rsidRPr="007C7AB1">
        <w:rPr>
          <w:i/>
        </w:rPr>
        <w:t>ALK</w:t>
      </w:r>
      <w:r>
        <w:t xml:space="preserve"> = </w:t>
      </w:r>
      <w:r w:rsidRPr="00561C5F">
        <w:t>anaplastic lymphoma kinase</w:t>
      </w:r>
      <w:r>
        <w:t xml:space="preserve">; </w:t>
      </w:r>
      <w:r w:rsidRPr="007C7AB1">
        <w:rPr>
          <w:i/>
        </w:rPr>
        <w:t>EGFR</w:t>
      </w:r>
      <w:r>
        <w:t xml:space="preserve"> = epidermal growth factor receptor; </w:t>
      </w:r>
      <w:r w:rsidRPr="00CE4DC5">
        <w:rPr>
          <w:i/>
        </w:rPr>
        <w:t>MET</w:t>
      </w:r>
      <w:r w:rsidRPr="00CE4DC5">
        <w:t xml:space="preserve"> =</w:t>
      </w:r>
      <w:r>
        <w:t xml:space="preserve"> </w:t>
      </w:r>
      <w:r w:rsidRPr="008F67AF">
        <w:rPr>
          <w:szCs w:val="18"/>
        </w:rPr>
        <w:t>mesenchymal-epithelial transition</w:t>
      </w:r>
      <w:r>
        <w:rPr>
          <w:szCs w:val="18"/>
        </w:rPr>
        <w:t xml:space="preserve">; </w:t>
      </w:r>
      <w:r>
        <w:t xml:space="preserve">NGS = next generation sequencing; NPA = negative percent agreement; </w:t>
      </w:r>
      <w:r w:rsidR="00910771">
        <w:t xml:space="preserve">NPV= negative predictive value; </w:t>
      </w:r>
      <w:r>
        <w:t>PPA = positive percent agreement;</w:t>
      </w:r>
      <w:r w:rsidRPr="00A9721D">
        <w:rPr>
          <w:i/>
        </w:rPr>
        <w:t xml:space="preserve"> </w:t>
      </w:r>
      <w:r w:rsidR="00910771">
        <w:t xml:space="preserve">PPV = positive predictive value; </w:t>
      </w:r>
      <w:r w:rsidRPr="00380685">
        <w:rPr>
          <w:i/>
        </w:rPr>
        <w:t>ROS1</w:t>
      </w:r>
      <w:r>
        <w:t xml:space="preserve"> = ROS proto-oncogene 1; SG = single-gene testing</w:t>
      </w:r>
      <w:r w:rsidR="00C42A6A">
        <w:t xml:space="preserve"> </w:t>
      </w:r>
    </w:p>
    <w:p w14:paraId="4972EB06" w14:textId="04A90093" w:rsidR="001F2EFF" w:rsidRDefault="00556F02" w:rsidP="00DA0688">
      <w:r>
        <w:t xml:space="preserve">The superiority of targeted therapies over non-targeted therapies for those with biomarkers has been demonstrated in submissions to the PBS for </w:t>
      </w:r>
      <w:r w:rsidR="00B61408">
        <w:t xml:space="preserve">erlotinib, gefitinib, afatinib, osimertinib, crizotinib, ceritinib, alectinib, brigatinib, lorlatinib, entrectinib, and tepotinib. </w:t>
      </w:r>
      <w:r w:rsidR="004B61F0">
        <w:t>Steeghs et al. (2022) reported that NGS had a higher success rate</w:t>
      </w:r>
      <w:r w:rsidR="00AA1B90">
        <w:t>, higher sensitivity, and was more comprehensive</w:t>
      </w:r>
      <w:r w:rsidR="004B61F0">
        <w:t xml:space="preserve"> than sequential single-gene testing, and consequently, a higher yield of actionable variants</w:t>
      </w:r>
      <w:r w:rsidR="00AA1B90">
        <w:t>.</w:t>
      </w:r>
      <w:r w:rsidR="00313E9E">
        <w:t xml:space="preserve"> </w:t>
      </w:r>
      <w:r w:rsidR="004B61F0">
        <w:t>This should therefore result in a higher proportion of patients receiving targeted therapies, and result in superior health outcomes.</w:t>
      </w:r>
    </w:p>
    <w:p w14:paraId="34F38940" w14:textId="0A964C08" w:rsidR="00323B70" w:rsidRDefault="00323B70" w:rsidP="00DA0688">
      <w:r>
        <w:t>Change in management data were scant (six small before-and-after case series</w:t>
      </w:r>
      <w:r w:rsidR="000F6C10">
        <w:t>) but</w:t>
      </w:r>
      <w:r>
        <w:t xml:space="preserve"> suggested that in cases where NGS identified actionable variants missed by sequential single gene testing, targeted treatment was initiated in a median of 50% of cases (range 17.6% to 100%).</w:t>
      </w:r>
      <w:r w:rsidR="00CC28AB">
        <w:t xml:space="preserve"> (Note, </w:t>
      </w:r>
      <w:r w:rsidR="00CC28AB">
        <w:lastRenderedPageBreak/>
        <w:t xml:space="preserve">insufficient information was provided to determine whether those variants considered actionable in the studies would also be considered eligible for PBS-listed targeted treatments). </w:t>
      </w:r>
    </w:p>
    <w:p w14:paraId="510A89F4" w14:textId="3166D317" w:rsidR="00B01AD7" w:rsidRDefault="00B01AD7" w:rsidP="00DA0688">
      <w:r>
        <w:t xml:space="preserve">Targeted searches were performed to identify evidence on whether patients with low allele frequency or rare variants responded to </w:t>
      </w:r>
      <w:r>
        <w:rPr>
          <w:i/>
        </w:rPr>
        <w:t>EGFR</w:t>
      </w:r>
      <w:r>
        <w:t xml:space="preserve"> TKIs in the same manner as patients selected by the clinical utility standards. A systematic review was identified comparing </w:t>
      </w:r>
      <w:r>
        <w:rPr>
          <w:i/>
        </w:rPr>
        <w:t xml:space="preserve">EGFR </w:t>
      </w:r>
      <w:r>
        <w:t xml:space="preserve">TKI treatment effectiveness in those with common </w:t>
      </w:r>
      <w:r w:rsidR="006434C3">
        <w:t xml:space="preserve">sensitising variants </w:t>
      </w:r>
      <w:r w:rsidR="004C1C8D">
        <w:t>(ex19del</w:t>
      </w:r>
      <w:r w:rsidR="00D76D25">
        <w:t xml:space="preserve"> or</w:t>
      </w:r>
      <w:r w:rsidR="004C1C8D">
        <w:t xml:space="preserve"> L858R</w:t>
      </w:r>
      <w:r w:rsidR="00D76D25">
        <w:rPr>
          <w:rStyle w:val="FootnoteReference"/>
        </w:rPr>
        <w:footnoteReference w:id="5"/>
      </w:r>
      <w:r w:rsidR="006434C3">
        <w:t>), the common resistance conferring variant (</w:t>
      </w:r>
      <w:r w:rsidR="004C1C8D">
        <w:t>T790M) and rare variants (any other variants)</w:t>
      </w:r>
      <w:r w:rsidR="00AF277D" w:rsidRPr="00AF277D">
        <w:rPr>
          <w:rStyle w:val="FootnoteReference"/>
        </w:rPr>
        <w:t xml:space="preserve"> </w:t>
      </w:r>
      <w:r w:rsidR="00AF277D">
        <w:rPr>
          <w:rStyle w:val="FootnoteReference"/>
        </w:rPr>
        <w:footnoteReference w:id="6"/>
      </w:r>
      <w:r w:rsidR="004C1C8D">
        <w:t>. The results were heterogeneous, and not meta-analysed due to differences in the method of grouping variants. Those with exon 20 variants were less likely to respond to</w:t>
      </w:r>
      <w:r w:rsidR="00AF277D">
        <w:t xml:space="preserve"> the listed</w:t>
      </w:r>
      <w:r w:rsidR="004C1C8D">
        <w:t xml:space="preserve"> </w:t>
      </w:r>
      <w:r w:rsidR="004C1C8D">
        <w:rPr>
          <w:i/>
        </w:rPr>
        <w:t>EGFR</w:t>
      </w:r>
      <w:r w:rsidR="004C1C8D">
        <w:t xml:space="preserve"> TKIs than those with common </w:t>
      </w:r>
      <w:r w:rsidR="006434C3">
        <w:t xml:space="preserve">sensitising </w:t>
      </w:r>
      <w:r w:rsidR="004C1C8D">
        <w:t>variants</w:t>
      </w:r>
      <w:r w:rsidR="00D76D25">
        <w:t xml:space="preserve">, and a number of exon 20 insertions were considered to have some evidence of conferring resistance to </w:t>
      </w:r>
      <w:r w:rsidR="00D76D25">
        <w:rPr>
          <w:i/>
        </w:rPr>
        <w:t xml:space="preserve">EGFR </w:t>
      </w:r>
      <w:r w:rsidR="00D76D25">
        <w:t>TKI</w:t>
      </w:r>
      <w:r w:rsidR="00CC28AB">
        <w:t>s</w:t>
      </w:r>
      <w:r w:rsidR="00D76D25">
        <w:t>.</w:t>
      </w:r>
      <w:r w:rsidR="004C1C8D">
        <w:t xml:space="preserve"> Those with variants in exon 18 </w:t>
      </w:r>
      <w:r w:rsidR="00D76D25">
        <w:t xml:space="preserve">(such as variant G719X) </w:t>
      </w:r>
      <w:r w:rsidR="00AF277D">
        <w:t xml:space="preserve">frequently responded well to </w:t>
      </w:r>
      <w:r w:rsidR="00AF277D">
        <w:rPr>
          <w:i/>
        </w:rPr>
        <w:t xml:space="preserve">EGFR </w:t>
      </w:r>
      <w:r w:rsidR="00AF277D">
        <w:t>TKIs</w:t>
      </w:r>
      <w:r w:rsidR="00D76D25">
        <w:t xml:space="preserve">, </w:t>
      </w:r>
      <w:r w:rsidR="00BB2AE4">
        <w:t>so this variant may now be considered l</w:t>
      </w:r>
      <w:r w:rsidR="00D76D25">
        <w:t xml:space="preserve">ikely to confer sensitivity to </w:t>
      </w:r>
      <w:r w:rsidR="00D76D25">
        <w:rPr>
          <w:i/>
        </w:rPr>
        <w:t xml:space="preserve">EGFR </w:t>
      </w:r>
      <w:r w:rsidR="00D76D25">
        <w:t>TKIs</w:t>
      </w:r>
      <w:r w:rsidR="00AF277D">
        <w:t xml:space="preserve">. Therefore, currently, the benefit of having additional rare variants identified due to using NGS is mixed. </w:t>
      </w:r>
      <w:r w:rsidR="00917D25">
        <w:t>Eligi</w:t>
      </w:r>
      <w:r w:rsidR="00DE60C3">
        <w:t>bi</w:t>
      </w:r>
      <w:r w:rsidR="00917D25">
        <w:t xml:space="preserve">lity for </w:t>
      </w:r>
      <w:r w:rsidR="00917D25">
        <w:rPr>
          <w:i/>
        </w:rPr>
        <w:t xml:space="preserve">EGFR </w:t>
      </w:r>
      <w:r w:rsidR="00BB2AE4">
        <w:t>TKIs will depend on whether the report provided by pathologists to the treating clinician, defines the actionability of the identified variants</w:t>
      </w:r>
      <w:r w:rsidR="00917D25">
        <w:t xml:space="preserve">. </w:t>
      </w:r>
      <w:r w:rsidR="00A10C4A">
        <w:t>I</w:t>
      </w:r>
      <w:r w:rsidR="00AF277D">
        <w:t>n the future, it is expected that targeted treatment for those with exon 20 insertions will become available in Australia, which should increase the proportion of patients who benefit from having rare variants identified.</w:t>
      </w:r>
    </w:p>
    <w:p w14:paraId="2F7A591B" w14:textId="5BE65F3D" w:rsidR="00B94248" w:rsidRDefault="00B94248" w:rsidP="00B94248">
      <w:pPr>
        <w:pStyle w:val="TableFooter"/>
      </w:pPr>
      <w:r w:rsidRPr="00DF30B2">
        <w:rPr>
          <w:noProof/>
          <w:lang w:eastAsia="en-AU"/>
        </w:rPr>
        <w:lastRenderedPageBreak/>
        <w:drawing>
          <wp:inline distT="0" distB="0" distL="0" distR="0" wp14:anchorId="623E91AC" wp14:editId="2FE07D7B">
            <wp:extent cx="6081823" cy="7724420"/>
            <wp:effectExtent l="0" t="0" r="0" b="0"/>
            <wp:docPr id="37" name="Picture 37" descr="Progression free survival in patients with common or uncommon EGFR variants receiving EGFR-TKI as first-line therapy " title="Progression free survival in patients with common or uncommon EGFR variants receiving EGFR-TKI as first-line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93" t="931"/>
                    <a:stretch/>
                  </pic:blipFill>
                  <pic:spPr bwMode="auto">
                    <a:xfrm>
                      <a:off x="0" y="0"/>
                      <a:ext cx="6097978" cy="7744938"/>
                    </a:xfrm>
                    <a:prstGeom prst="rect">
                      <a:avLst/>
                    </a:prstGeom>
                    <a:ln>
                      <a:noFill/>
                    </a:ln>
                    <a:extLst>
                      <a:ext uri="{53640926-AAD7-44D8-BBD7-CCE9431645EC}">
                        <a14:shadowObscured xmlns:a14="http://schemas.microsoft.com/office/drawing/2010/main"/>
                      </a:ext>
                    </a:extLst>
                  </pic:spPr>
                </pic:pic>
              </a:graphicData>
            </a:graphic>
          </wp:inline>
        </w:drawing>
      </w:r>
    </w:p>
    <w:p w14:paraId="03B91C88" w14:textId="74B32767" w:rsidR="00B94248" w:rsidRDefault="00B94248" w:rsidP="00B94248">
      <w:pPr>
        <w:pStyle w:val="Caption"/>
      </w:pPr>
      <w:r>
        <w:t xml:space="preserve">Figure </w:t>
      </w:r>
      <w:fldSimple w:instr=" SEQ Figure \* ARABIC ">
        <w:r w:rsidR="00C857F3">
          <w:rPr>
            <w:noProof/>
          </w:rPr>
          <w:t>3</w:t>
        </w:r>
      </w:fldSimple>
      <w:r>
        <w:tab/>
        <w:t xml:space="preserve">Progression free survival in patients with common or uncommon </w:t>
      </w:r>
      <w:r>
        <w:rPr>
          <w:i/>
        </w:rPr>
        <w:t>EGFR</w:t>
      </w:r>
      <w:r>
        <w:t xml:space="preserve"> variants receiving </w:t>
      </w:r>
      <w:r>
        <w:rPr>
          <w:i/>
        </w:rPr>
        <w:t>EGFR</w:t>
      </w:r>
      <w:r>
        <w:t>-TKI as first-line therapy</w:t>
      </w:r>
    </w:p>
    <w:p w14:paraId="6F8837F7" w14:textId="23FDF0CB" w:rsidR="00B94248" w:rsidRDefault="00B94248" w:rsidP="00B94248">
      <w:pPr>
        <w:pStyle w:val="TableFooter"/>
      </w:pPr>
      <w:r>
        <w:t>NB: p-values denote comparison between common and uncommon variants.</w:t>
      </w:r>
    </w:p>
    <w:p w14:paraId="0F991F69" w14:textId="300A2B6D" w:rsidR="00B94248" w:rsidRPr="00D147B7" w:rsidRDefault="00B94248" w:rsidP="00B94248">
      <w:pPr>
        <w:pStyle w:val="TableFooter"/>
      </w:pPr>
      <w:r>
        <w:t>Liang et al. “compound mutations” refers to two uncommon variants. Wu et al. (2018): L858R cohort includes four patients with both L858R and Ex19del. Ho et al. (2019): exact uncommon mutations are G719X/G719X + S7681/G719X + T790M/Ex19del + Ex20ins/Ex20ins. Lee et al. (2013) and Leduc et al. (2017): “Exon 20 mutations” do not include T790M.</w:t>
      </w:r>
    </w:p>
    <w:p w14:paraId="0056A7C3" w14:textId="1130D33C" w:rsidR="00B94248" w:rsidRDefault="00B94248" w:rsidP="00B94248">
      <w:pPr>
        <w:pStyle w:val="TableFooter"/>
      </w:pPr>
      <w:r>
        <w:lastRenderedPageBreak/>
        <w:t xml:space="preserve">Source: </w:t>
      </w:r>
      <w:r w:rsidRPr="00D147B7">
        <w:t>John</w:t>
      </w:r>
      <w:r>
        <w:t xml:space="preserve"> et al, 2022</w:t>
      </w:r>
      <w:r>
        <w:rPr>
          <w:rStyle w:val="FootnoteReference"/>
        </w:rPr>
        <w:footnoteReference w:id="7"/>
      </w:r>
      <w:r>
        <w:t xml:space="preserve"> Reproduced under Creative Commons CC-BY license.</w:t>
      </w:r>
    </w:p>
    <w:p w14:paraId="402D82DC" w14:textId="69D27186" w:rsidR="00B01AD7" w:rsidRPr="00D7619E" w:rsidRDefault="00281BAA" w:rsidP="00DA0688">
      <w:pPr>
        <w:rPr>
          <w:iCs/>
        </w:rPr>
      </w:pPr>
      <w:r>
        <w:t>Targeted (</w:t>
      </w:r>
      <w:r w:rsidR="000F6C10">
        <w:t>non-systematic</w:t>
      </w:r>
      <w:r>
        <w:t xml:space="preserve">) searches were performed to assess whether patients with low allele frequency in tumour tissue (likely only detected by high sensitivity testing methods), responded to </w:t>
      </w:r>
      <w:r w:rsidRPr="00D7619E">
        <w:rPr>
          <w:iCs/>
        </w:rPr>
        <w:t>EGFR</w:t>
      </w:r>
      <w:r>
        <w:rPr>
          <w:i/>
        </w:rPr>
        <w:t xml:space="preserve"> </w:t>
      </w:r>
      <w:r>
        <w:t xml:space="preserve">TKIs in the same manner as those with high allele frequency. </w:t>
      </w:r>
      <w:r w:rsidR="00D76D25">
        <w:t xml:space="preserve">Note that for </w:t>
      </w:r>
      <w:r w:rsidR="00D76D25">
        <w:rPr>
          <w:i/>
        </w:rPr>
        <w:t xml:space="preserve">EGFR </w:t>
      </w:r>
      <w:r w:rsidR="00D76D25">
        <w:t xml:space="preserve">TKIs, no threshold </w:t>
      </w:r>
      <w:r w:rsidR="00735BFC">
        <w:t>i</w:t>
      </w:r>
      <w:r w:rsidR="00D76D25">
        <w:t xml:space="preserve">s defined for positivity in PBS restrictions. </w:t>
      </w:r>
      <w:r>
        <w:t xml:space="preserve">Three observational studies were identified, which suggested that those with </w:t>
      </w:r>
      <w:r w:rsidR="00EC45BC">
        <w:t xml:space="preserve">a high allele frequency </w:t>
      </w:r>
      <w:r w:rsidR="00750C8D">
        <w:t>(</w:t>
      </w:r>
      <w:r w:rsidR="000F6C10">
        <w:t>i.e.,</w:t>
      </w:r>
      <w:r w:rsidR="00750C8D">
        <w:t xml:space="preserve"> a high proportion of tumour cells which have the variant identified) </w:t>
      </w:r>
      <w:r w:rsidR="00EC45BC">
        <w:t xml:space="preserve">responded better to </w:t>
      </w:r>
      <w:r w:rsidR="00EC45BC" w:rsidRPr="00D7619E">
        <w:rPr>
          <w:iCs/>
        </w:rPr>
        <w:t>EGFR</w:t>
      </w:r>
      <w:r w:rsidR="00EC45BC">
        <w:rPr>
          <w:i/>
        </w:rPr>
        <w:t xml:space="preserve"> </w:t>
      </w:r>
      <w:r w:rsidR="00EC45BC">
        <w:t>TKIs than those</w:t>
      </w:r>
      <w:r w:rsidR="00D73D3A">
        <w:t xml:space="preserve"> with low allele frequency. Low levels of T790M variants identified concurrently with activating </w:t>
      </w:r>
      <w:r w:rsidR="00D73D3A">
        <w:rPr>
          <w:i/>
        </w:rPr>
        <w:t xml:space="preserve">EGFR </w:t>
      </w:r>
      <w:r w:rsidR="00D73D3A">
        <w:t xml:space="preserve">variants did not significantly impact on treatment effectiveness of </w:t>
      </w:r>
      <w:r w:rsidR="00D73D3A" w:rsidRPr="00D7619E">
        <w:rPr>
          <w:iCs/>
        </w:rPr>
        <w:t>EGFR</w:t>
      </w:r>
      <w:r w:rsidR="00D73D3A">
        <w:rPr>
          <w:i/>
        </w:rPr>
        <w:t xml:space="preserve"> </w:t>
      </w:r>
      <w:r w:rsidR="00D73D3A">
        <w:t xml:space="preserve">TKIs. </w:t>
      </w:r>
      <w:r w:rsidR="00DD6540">
        <w:t>Some of the additional variants detected by small NGS panels may therefore not respond to targeted therapy in the same manner as those detected by sequential single-gene testing.</w:t>
      </w:r>
    </w:p>
    <w:p w14:paraId="25F58AC2" w14:textId="02CA0FF2" w:rsidR="00281BAA" w:rsidRDefault="00281BAA" w:rsidP="00281BAA">
      <w:pPr>
        <w:pStyle w:val="Caption"/>
      </w:pPr>
      <w:r>
        <w:t xml:space="preserve">Table </w:t>
      </w:r>
      <w:fldSimple w:instr=" SEQ Table \* ARABIC ">
        <w:r w:rsidR="00C857F3">
          <w:rPr>
            <w:noProof/>
          </w:rPr>
          <w:t>7</w:t>
        </w:r>
      </w:fldSimple>
      <w:r>
        <w:tab/>
        <w:t>Association between variant allele frequency and response to treatment</w:t>
      </w:r>
    </w:p>
    <w:tbl>
      <w:tblPr>
        <w:tblStyle w:val="TableGrid"/>
        <w:tblW w:w="0" w:type="auto"/>
        <w:tblLook w:val="04A0" w:firstRow="1" w:lastRow="0" w:firstColumn="1" w:lastColumn="0" w:noHBand="0" w:noVBand="1"/>
        <w:tblCaption w:val="Association between variant allele frequency and response to treatment"/>
        <w:tblDescription w:val="table reporting that those with high allelic frequency have better response to targeted treatment than those with low allelic frequency. Low allelic frequency of resistance variant does not influence treatment response. "/>
      </w:tblPr>
      <w:tblGrid>
        <w:gridCol w:w="1137"/>
        <w:gridCol w:w="1977"/>
        <w:gridCol w:w="1559"/>
        <w:gridCol w:w="992"/>
        <w:gridCol w:w="3351"/>
      </w:tblGrid>
      <w:tr w:rsidR="00281BAA" w14:paraId="07BD5EEF" w14:textId="77777777" w:rsidTr="00D7619E">
        <w:trPr>
          <w:tblHeader/>
        </w:trPr>
        <w:tc>
          <w:tcPr>
            <w:tcW w:w="1137" w:type="dxa"/>
          </w:tcPr>
          <w:p w14:paraId="57D8E986" w14:textId="77777777" w:rsidR="00281BAA" w:rsidRDefault="00281BAA" w:rsidP="00411551">
            <w:pPr>
              <w:pStyle w:val="TableHeading"/>
            </w:pPr>
            <w:r>
              <w:t>Study</w:t>
            </w:r>
          </w:p>
        </w:tc>
        <w:tc>
          <w:tcPr>
            <w:tcW w:w="1977" w:type="dxa"/>
          </w:tcPr>
          <w:p w14:paraId="3783AA99" w14:textId="77777777" w:rsidR="00281BAA" w:rsidRDefault="00281BAA" w:rsidP="00411551">
            <w:pPr>
              <w:pStyle w:val="TableHeading"/>
            </w:pPr>
            <w:r>
              <w:t>Population</w:t>
            </w:r>
          </w:p>
        </w:tc>
        <w:tc>
          <w:tcPr>
            <w:tcW w:w="1559" w:type="dxa"/>
          </w:tcPr>
          <w:p w14:paraId="51347F28" w14:textId="77777777" w:rsidR="00281BAA" w:rsidRDefault="00281BAA" w:rsidP="00411551">
            <w:pPr>
              <w:pStyle w:val="TableHeading"/>
            </w:pPr>
            <w:r>
              <w:t>Intervention</w:t>
            </w:r>
          </w:p>
        </w:tc>
        <w:tc>
          <w:tcPr>
            <w:tcW w:w="992" w:type="dxa"/>
          </w:tcPr>
          <w:p w14:paraId="65FEF79F" w14:textId="77777777" w:rsidR="00281BAA" w:rsidRDefault="00281BAA" w:rsidP="00411551">
            <w:pPr>
              <w:pStyle w:val="TableHeading"/>
            </w:pPr>
            <w:r>
              <w:t>Outcome</w:t>
            </w:r>
          </w:p>
        </w:tc>
        <w:tc>
          <w:tcPr>
            <w:tcW w:w="3351" w:type="dxa"/>
          </w:tcPr>
          <w:p w14:paraId="016E83A7" w14:textId="77777777" w:rsidR="00281BAA" w:rsidRDefault="00281BAA" w:rsidP="00411551">
            <w:pPr>
              <w:pStyle w:val="TableHeading"/>
            </w:pPr>
            <w:r>
              <w:t>Results</w:t>
            </w:r>
          </w:p>
        </w:tc>
      </w:tr>
      <w:tr w:rsidR="00281BAA" w14:paraId="4B19766F" w14:textId="77777777" w:rsidTr="00D7619E">
        <w:tc>
          <w:tcPr>
            <w:tcW w:w="1137" w:type="dxa"/>
            <w:vMerge w:val="restart"/>
          </w:tcPr>
          <w:p w14:paraId="06EFB253" w14:textId="29F3AD70" w:rsidR="00281BAA" w:rsidRDefault="00DE6731" w:rsidP="00411551">
            <w:pPr>
              <w:pStyle w:val="TableText"/>
            </w:pPr>
            <w:r>
              <w:t>Friedlaender et al. (2021)</w:t>
            </w:r>
            <w:r>
              <w:rPr>
                <w:rStyle w:val="FootnoteReference"/>
              </w:rPr>
              <w:footnoteReference w:id="8"/>
            </w:r>
          </w:p>
          <w:p w14:paraId="3498BB4F" w14:textId="77777777" w:rsidR="00281BAA" w:rsidRDefault="00281BAA" w:rsidP="00411551">
            <w:pPr>
              <w:pStyle w:val="TableText"/>
            </w:pPr>
            <w:r>
              <w:t>Switzerland</w:t>
            </w:r>
          </w:p>
        </w:tc>
        <w:tc>
          <w:tcPr>
            <w:tcW w:w="1977" w:type="dxa"/>
            <w:vMerge w:val="restart"/>
          </w:tcPr>
          <w:p w14:paraId="62569AC7" w14:textId="77777777" w:rsidR="00281BAA" w:rsidRDefault="00281BAA" w:rsidP="00411551">
            <w:pPr>
              <w:pStyle w:val="TableText"/>
            </w:pPr>
            <w:r>
              <w:t xml:space="preserve">42 patients with NSCLC and </w:t>
            </w:r>
            <w:r>
              <w:rPr>
                <w:i/>
              </w:rPr>
              <w:t xml:space="preserve">EGFR </w:t>
            </w:r>
            <w:r>
              <w:t>variants</w:t>
            </w:r>
          </w:p>
          <w:p w14:paraId="2F7CBB05" w14:textId="77777777" w:rsidR="00281BAA" w:rsidRPr="00C75DF4" w:rsidRDefault="00281BAA" w:rsidP="00411551">
            <w:pPr>
              <w:pStyle w:val="TableText"/>
            </w:pPr>
            <w:r>
              <w:t>Threshold for high vs low allelic frequency: 0.30</w:t>
            </w:r>
          </w:p>
        </w:tc>
        <w:tc>
          <w:tcPr>
            <w:tcW w:w="1559" w:type="dxa"/>
            <w:vMerge w:val="restart"/>
          </w:tcPr>
          <w:p w14:paraId="5F1F6E34" w14:textId="51CBFDA7" w:rsidR="00281BAA" w:rsidRDefault="00281BAA" w:rsidP="00411551">
            <w:pPr>
              <w:pStyle w:val="TableText"/>
            </w:pPr>
            <w:r>
              <w:t>NGS using IonAmpliseq Hotspot Panel V2</w:t>
            </w:r>
          </w:p>
          <w:p w14:paraId="53D3B45B" w14:textId="77777777" w:rsidR="00281BAA" w:rsidRPr="00BC1BBA" w:rsidRDefault="00281BAA" w:rsidP="00411551">
            <w:pPr>
              <w:pStyle w:val="TableText"/>
            </w:pPr>
            <w:r>
              <w:t xml:space="preserve">Treatment with </w:t>
            </w:r>
            <w:r w:rsidRPr="00D7619E">
              <w:rPr>
                <w:iCs/>
              </w:rPr>
              <w:t>EGFR</w:t>
            </w:r>
            <w:r>
              <w:t xml:space="preserve"> TKI</w:t>
            </w:r>
          </w:p>
        </w:tc>
        <w:tc>
          <w:tcPr>
            <w:tcW w:w="992" w:type="dxa"/>
          </w:tcPr>
          <w:p w14:paraId="7BBADD5F" w14:textId="77777777" w:rsidR="00281BAA" w:rsidRDefault="00281BAA" w:rsidP="00411551">
            <w:pPr>
              <w:pStyle w:val="TableText"/>
            </w:pPr>
            <w:r>
              <w:t>PFS</w:t>
            </w:r>
          </w:p>
        </w:tc>
        <w:tc>
          <w:tcPr>
            <w:tcW w:w="3351" w:type="dxa"/>
          </w:tcPr>
          <w:p w14:paraId="4ACB8F4E" w14:textId="77777777" w:rsidR="00281BAA" w:rsidRDefault="00281BAA" w:rsidP="00411551">
            <w:pPr>
              <w:pStyle w:val="TableText"/>
            </w:pPr>
            <w:r>
              <w:t>High vs low:</w:t>
            </w:r>
          </w:p>
          <w:p w14:paraId="7E457EAC" w14:textId="77777777" w:rsidR="00281BAA" w:rsidRPr="00BC1BBA" w:rsidRDefault="00281BAA" w:rsidP="00411551">
            <w:pPr>
              <w:pStyle w:val="TableText"/>
            </w:pPr>
            <w:r>
              <w:t>HR = 0.27 (95%CI 0.09, 0.79, p=0.017)</w:t>
            </w:r>
          </w:p>
        </w:tc>
      </w:tr>
      <w:tr w:rsidR="00281BAA" w14:paraId="502A75F2" w14:textId="77777777" w:rsidTr="00D7619E">
        <w:tc>
          <w:tcPr>
            <w:tcW w:w="1137" w:type="dxa"/>
            <w:vMerge/>
          </w:tcPr>
          <w:p w14:paraId="2AE1542C" w14:textId="77777777" w:rsidR="00281BAA" w:rsidRPr="00B83443" w:rsidRDefault="00281BAA" w:rsidP="00411551">
            <w:pPr>
              <w:pStyle w:val="TableText"/>
            </w:pPr>
          </w:p>
        </w:tc>
        <w:tc>
          <w:tcPr>
            <w:tcW w:w="1977" w:type="dxa"/>
            <w:vMerge/>
          </w:tcPr>
          <w:p w14:paraId="2166D947" w14:textId="77777777" w:rsidR="00281BAA" w:rsidRDefault="00281BAA" w:rsidP="00411551">
            <w:pPr>
              <w:pStyle w:val="TableText"/>
            </w:pPr>
          </w:p>
        </w:tc>
        <w:tc>
          <w:tcPr>
            <w:tcW w:w="1559" w:type="dxa"/>
            <w:vMerge/>
          </w:tcPr>
          <w:p w14:paraId="01AA429A" w14:textId="77777777" w:rsidR="00281BAA" w:rsidRDefault="00281BAA" w:rsidP="00411551">
            <w:pPr>
              <w:pStyle w:val="TableText"/>
            </w:pPr>
          </w:p>
        </w:tc>
        <w:tc>
          <w:tcPr>
            <w:tcW w:w="992" w:type="dxa"/>
          </w:tcPr>
          <w:p w14:paraId="7BC9BE32" w14:textId="77777777" w:rsidR="00281BAA" w:rsidRDefault="00281BAA" w:rsidP="00411551">
            <w:pPr>
              <w:pStyle w:val="TableText"/>
            </w:pPr>
            <w:r>
              <w:t>OS</w:t>
            </w:r>
          </w:p>
        </w:tc>
        <w:tc>
          <w:tcPr>
            <w:tcW w:w="3351" w:type="dxa"/>
          </w:tcPr>
          <w:p w14:paraId="05928379" w14:textId="77777777" w:rsidR="00281BAA" w:rsidRDefault="00281BAA" w:rsidP="00411551">
            <w:pPr>
              <w:pStyle w:val="TableText"/>
            </w:pPr>
            <w:r>
              <w:t xml:space="preserve">High vs low: </w:t>
            </w:r>
          </w:p>
          <w:p w14:paraId="60CA68FC" w14:textId="77777777" w:rsidR="00281BAA" w:rsidRDefault="00281BAA" w:rsidP="00411551">
            <w:pPr>
              <w:pStyle w:val="TableText"/>
            </w:pPr>
            <w:r>
              <w:t>HR = 0.47 (95%CI 0.17, 1.30, p=0.14)</w:t>
            </w:r>
          </w:p>
        </w:tc>
      </w:tr>
      <w:tr w:rsidR="00281BAA" w14:paraId="43FB9ED3" w14:textId="77777777" w:rsidTr="00D7619E">
        <w:tc>
          <w:tcPr>
            <w:tcW w:w="1137" w:type="dxa"/>
            <w:vMerge w:val="restart"/>
          </w:tcPr>
          <w:p w14:paraId="07FB9C0F" w14:textId="166EA138" w:rsidR="00281BAA" w:rsidRDefault="00DE6731" w:rsidP="00411551">
            <w:pPr>
              <w:pStyle w:val="TableText"/>
            </w:pPr>
            <w:r>
              <w:t>Gieszer et al. (2021)</w:t>
            </w:r>
            <w:r>
              <w:rPr>
                <w:rStyle w:val="FootnoteReference"/>
              </w:rPr>
              <w:footnoteReference w:id="9"/>
            </w:r>
            <w:r>
              <w:t xml:space="preserve"> </w:t>
            </w:r>
          </w:p>
          <w:p w14:paraId="5A9EA871" w14:textId="77777777" w:rsidR="00281BAA" w:rsidRDefault="00281BAA" w:rsidP="00411551">
            <w:pPr>
              <w:pStyle w:val="TableText"/>
            </w:pPr>
            <w:r>
              <w:t>Hungary</w:t>
            </w:r>
          </w:p>
        </w:tc>
        <w:tc>
          <w:tcPr>
            <w:tcW w:w="1977" w:type="dxa"/>
            <w:vMerge w:val="restart"/>
          </w:tcPr>
          <w:p w14:paraId="13B0CB59" w14:textId="77777777" w:rsidR="00281BAA" w:rsidRDefault="00281BAA" w:rsidP="00411551">
            <w:pPr>
              <w:pStyle w:val="TableText"/>
            </w:pPr>
            <w:r>
              <w:t xml:space="preserve">89 Caucasian patients with NSCLC (adenocarcinomas), and </w:t>
            </w:r>
            <w:r>
              <w:rPr>
                <w:i/>
              </w:rPr>
              <w:t xml:space="preserve">EGFR </w:t>
            </w:r>
            <w:r>
              <w:t>variants</w:t>
            </w:r>
          </w:p>
          <w:p w14:paraId="0075D613" w14:textId="77777777" w:rsidR="00281BAA" w:rsidRPr="00BC1BBA" w:rsidRDefault="00281BAA" w:rsidP="00411551">
            <w:pPr>
              <w:pStyle w:val="TableText"/>
            </w:pPr>
            <w:r>
              <w:t>Adjusted VAF (aVAF) = VAF/TC% x 100</w:t>
            </w:r>
          </w:p>
        </w:tc>
        <w:tc>
          <w:tcPr>
            <w:tcW w:w="1559" w:type="dxa"/>
            <w:vMerge w:val="restart"/>
          </w:tcPr>
          <w:p w14:paraId="43A247FB" w14:textId="77777777" w:rsidR="00281BAA" w:rsidRDefault="00281BAA" w:rsidP="00411551">
            <w:pPr>
              <w:pStyle w:val="TableText"/>
            </w:pPr>
            <w:r>
              <w:t xml:space="preserve">Therascreen </w:t>
            </w:r>
            <w:r w:rsidRPr="00A72938">
              <w:rPr>
                <w:i/>
              </w:rPr>
              <w:t xml:space="preserve">EGFR </w:t>
            </w:r>
            <w:r>
              <w:t>Pyro assay</w:t>
            </w:r>
          </w:p>
          <w:p w14:paraId="43B0410D" w14:textId="77777777" w:rsidR="00281BAA" w:rsidRDefault="00281BAA" w:rsidP="00411551">
            <w:pPr>
              <w:pStyle w:val="TableText"/>
            </w:pPr>
            <w:r>
              <w:t>Erlotinib or gefitinib as first- or second-line treatment</w:t>
            </w:r>
          </w:p>
        </w:tc>
        <w:tc>
          <w:tcPr>
            <w:tcW w:w="992" w:type="dxa"/>
          </w:tcPr>
          <w:p w14:paraId="5BBC5EFF" w14:textId="77777777" w:rsidR="00281BAA" w:rsidRDefault="00281BAA" w:rsidP="00411551">
            <w:pPr>
              <w:pStyle w:val="TableText"/>
            </w:pPr>
            <w:r>
              <w:t>PFS</w:t>
            </w:r>
          </w:p>
        </w:tc>
        <w:tc>
          <w:tcPr>
            <w:tcW w:w="3351" w:type="dxa"/>
          </w:tcPr>
          <w:p w14:paraId="64953D38" w14:textId="77777777" w:rsidR="00281BAA" w:rsidRDefault="00281BAA" w:rsidP="00411551">
            <w:pPr>
              <w:pStyle w:val="TableText"/>
            </w:pPr>
            <w:r>
              <w:t>Positive linear correlation between aVAF and PFS:</w:t>
            </w:r>
          </w:p>
          <w:p w14:paraId="4C5A6C5A" w14:textId="77777777" w:rsidR="00281BAA" w:rsidRDefault="00281BAA" w:rsidP="00411551">
            <w:pPr>
              <w:pStyle w:val="TableText"/>
            </w:pPr>
            <w:r>
              <w:t>r = 0.319, p=0.003, Spearman’s correlation</w:t>
            </w:r>
          </w:p>
        </w:tc>
      </w:tr>
      <w:tr w:rsidR="00281BAA" w14:paraId="5B564108" w14:textId="77777777" w:rsidTr="00D7619E">
        <w:tc>
          <w:tcPr>
            <w:tcW w:w="1137" w:type="dxa"/>
            <w:vMerge/>
          </w:tcPr>
          <w:p w14:paraId="2708CE3C" w14:textId="77777777" w:rsidR="00281BAA" w:rsidRPr="00BC1BBA" w:rsidRDefault="00281BAA" w:rsidP="00411551">
            <w:pPr>
              <w:pStyle w:val="TableText"/>
            </w:pPr>
          </w:p>
        </w:tc>
        <w:tc>
          <w:tcPr>
            <w:tcW w:w="1977" w:type="dxa"/>
            <w:vMerge/>
          </w:tcPr>
          <w:p w14:paraId="17DC9583" w14:textId="77777777" w:rsidR="00281BAA" w:rsidRDefault="00281BAA" w:rsidP="00411551">
            <w:pPr>
              <w:pStyle w:val="TableText"/>
            </w:pPr>
          </w:p>
        </w:tc>
        <w:tc>
          <w:tcPr>
            <w:tcW w:w="1559" w:type="dxa"/>
            <w:vMerge/>
          </w:tcPr>
          <w:p w14:paraId="04608189" w14:textId="77777777" w:rsidR="00281BAA" w:rsidRDefault="00281BAA" w:rsidP="00411551">
            <w:pPr>
              <w:pStyle w:val="TableText"/>
            </w:pPr>
          </w:p>
        </w:tc>
        <w:tc>
          <w:tcPr>
            <w:tcW w:w="992" w:type="dxa"/>
          </w:tcPr>
          <w:p w14:paraId="05560811" w14:textId="77777777" w:rsidR="00281BAA" w:rsidRDefault="00281BAA" w:rsidP="00411551">
            <w:pPr>
              <w:pStyle w:val="TableText"/>
            </w:pPr>
            <w:r>
              <w:t>PFS</w:t>
            </w:r>
          </w:p>
        </w:tc>
        <w:tc>
          <w:tcPr>
            <w:tcW w:w="3351" w:type="dxa"/>
          </w:tcPr>
          <w:p w14:paraId="5080167E" w14:textId="684BC816" w:rsidR="00281BAA" w:rsidRDefault="00281BAA" w:rsidP="00411551">
            <w:pPr>
              <w:pStyle w:val="TableText"/>
            </w:pPr>
            <w:r>
              <w:t>Adjusting for clinicopathological variables (age, gender, variant, treatment, treatment line)</w:t>
            </w:r>
            <w:r w:rsidR="00D7619E">
              <w:t>:</w:t>
            </w:r>
          </w:p>
          <w:p w14:paraId="5CEBC0F4" w14:textId="05B6A765" w:rsidR="00281BAA" w:rsidRDefault="00281BAA" w:rsidP="00411551">
            <w:pPr>
              <w:pStyle w:val="TableText"/>
            </w:pPr>
            <w:r>
              <w:t>HR = 0.991 (95%CI 0.982, 0.999, p=0.042</w:t>
            </w:r>
            <w:r w:rsidR="00D7619E">
              <w:t>)</w:t>
            </w:r>
          </w:p>
        </w:tc>
      </w:tr>
      <w:tr w:rsidR="00281BAA" w14:paraId="245840A1" w14:textId="77777777" w:rsidTr="00D7619E">
        <w:tc>
          <w:tcPr>
            <w:tcW w:w="1137" w:type="dxa"/>
            <w:vMerge/>
          </w:tcPr>
          <w:p w14:paraId="1709BB6E" w14:textId="77777777" w:rsidR="00281BAA" w:rsidRPr="00BC1BBA" w:rsidRDefault="00281BAA" w:rsidP="00411551">
            <w:pPr>
              <w:pStyle w:val="TableText"/>
            </w:pPr>
          </w:p>
        </w:tc>
        <w:tc>
          <w:tcPr>
            <w:tcW w:w="1977" w:type="dxa"/>
            <w:vMerge/>
          </w:tcPr>
          <w:p w14:paraId="6B683789" w14:textId="77777777" w:rsidR="00281BAA" w:rsidRDefault="00281BAA" w:rsidP="00411551">
            <w:pPr>
              <w:pStyle w:val="TableText"/>
            </w:pPr>
          </w:p>
        </w:tc>
        <w:tc>
          <w:tcPr>
            <w:tcW w:w="1559" w:type="dxa"/>
            <w:vMerge/>
          </w:tcPr>
          <w:p w14:paraId="1827750A" w14:textId="77777777" w:rsidR="00281BAA" w:rsidRDefault="00281BAA" w:rsidP="00411551">
            <w:pPr>
              <w:pStyle w:val="TableText"/>
            </w:pPr>
          </w:p>
        </w:tc>
        <w:tc>
          <w:tcPr>
            <w:tcW w:w="992" w:type="dxa"/>
          </w:tcPr>
          <w:p w14:paraId="3CC1B442" w14:textId="77777777" w:rsidR="00281BAA" w:rsidRDefault="00281BAA" w:rsidP="00411551">
            <w:pPr>
              <w:pStyle w:val="TableText"/>
            </w:pPr>
            <w:r>
              <w:t>OS</w:t>
            </w:r>
          </w:p>
        </w:tc>
        <w:tc>
          <w:tcPr>
            <w:tcW w:w="3351" w:type="dxa"/>
          </w:tcPr>
          <w:p w14:paraId="6E2D2795" w14:textId="77777777" w:rsidR="00281BAA" w:rsidRDefault="00281BAA" w:rsidP="00411551">
            <w:pPr>
              <w:pStyle w:val="TableText"/>
            </w:pPr>
            <w:r>
              <w:t>High vs low aVAF</w:t>
            </w:r>
          </w:p>
          <w:p w14:paraId="555476A3" w14:textId="77777777" w:rsidR="00281BAA" w:rsidRDefault="00281BAA" w:rsidP="00411551">
            <w:pPr>
              <w:pStyle w:val="TableText"/>
            </w:pPr>
            <w:r>
              <w:t>median 94 vs 57 weeks, p=0.011</w:t>
            </w:r>
          </w:p>
        </w:tc>
      </w:tr>
      <w:tr w:rsidR="00281BAA" w14:paraId="1EE43D22" w14:textId="77777777" w:rsidTr="00D7619E">
        <w:tc>
          <w:tcPr>
            <w:tcW w:w="1137" w:type="dxa"/>
          </w:tcPr>
          <w:p w14:paraId="630F32A1" w14:textId="43414E95" w:rsidR="00281BAA" w:rsidRPr="00BC1BBA" w:rsidRDefault="00DE6731" w:rsidP="00DE6731">
            <w:pPr>
              <w:pStyle w:val="TableText"/>
            </w:pPr>
            <w:r>
              <w:t>Ye et al. (2021)</w:t>
            </w:r>
            <w:r>
              <w:rPr>
                <w:rStyle w:val="FootnoteReference"/>
              </w:rPr>
              <w:footnoteReference w:id="10"/>
            </w:r>
            <w:r>
              <w:t xml:space="preserve"> </w:t>
            </w:r>
            <w:r w:rsidR="00281BAA">
              <w:t>Australia</w:t>
            </w:r>
          </w:p>
        </w:tc>
        <w:tc>
          <w:tcPr>
            <w:tcW w:w="1977" w:type="dxa"/>
          </w:tcPr>
          <w:p w14:paraId="59162F7E" w14:textId="77777777" w:rsidR="00281BAA" w:rsidRDefault="00281BAA" w:rsidP="00411551">
            <w:pPr>
              <w:pStyle w:val="TableText"/>
            </w:pPr>
            <w:r>
              <w:t xml:space="preserve">64 patients with NSCLC and </w:t>
            </w:r>
            <w:r>
              <w:rPr>
                <w:i/>
              </w:rPr>
              <w:t>EGFR</w:t>
            </w:r>
            <w:r>
              <w:t xml:space="preserve"> variants, with stage IV disease</w:t>
            </w:r>
          </w:p>
          <w:p w14:paraId="4328C8EB" w14:textId="77777777" w:rsidR="00281BAA" w:rsidRDefault="00281BAA" w:rsidP="00411551">
            <w:pPr>
              <w:pStyle w:val="TableText"/>
            </w:pPr>
            <w:r>
              <w:t>14 VAF &lt;0.1%</w:t>
            </w:r>
          </w:p>
          <w:p w14:paraId="0EB0B88A" w14:textId="2B69052B" w:rsidR="00281BAA" w:rsidRDefault="00281BAA" w:rsidP="00411551">
            <w:pPr>
              <w:pStyle w:val="TableText"/>
            </w:pPr>
            <w:r>
              <w:t>28 VAF ≥0.1%</w:t>
            </w:r>
          </w:p>
          <w:p w14:paraId="2CA43F74" w14:textId="77777777" w:rsidR="00281BAA" w:rsidRPr="00683C3A" w:rsidRDefault="00281BAA" w:rsidP="00411551">
            <w:pPr>
              <w:pStyle w:val="TableText"/>
            </w:pPr>
            <w:r>
              <w:t>1 detectable by SS, VAF = 28.5%</w:t>
            </w:r>
          </w:p>
        </w:tc>
        <w:tc>
          <w:tcPr>
            <w:tcW w:w="1559" w:type="dxa"/>
          </w:tcPr>
          <w:p w14:paraId="34231D42" w14:textId="19CEBE58" w:rsidR="00281BAA" w:rsidRDefault="00281BAA" w:rsidP="00411551">
            <w:pPr>
              <w:pStyle w:val="TableText"/>
            </w:pPr>
            <w:r>
              <w:t>Digital PCR</w:t>
            </w:r>
          </w:p>
          <w:p w14:paraId="422637D5" w14:textId="77777777" w:rsidR="00281BAA" w:rsidRDefault="00281BAA" w:rsidP="00411551">
            <w:pPr>
              <w:pStyle w:val="TableText"/>
            </w:pPr>
            <w:r>
              <w:t>Erlotinib or gefitinib</w:t>
            </w:r>
          </w:p>
        </w:tc>
        <w:tc>
          <w:tcPr>
            <w:tcW w:w="992" w:type="dxa"/>
          </w:tcPr>
          <w:p w14:paraId="4F38AB76" w14:textId="77777777" w:rsidR="00281BAA" w:rsidRDefault="00281BAA" w:rsidP="00411551">
            <w:pPr>
              <w:pStyle w:val="TableText"/>
            </w:pPr>
            <w:r>
              <w:t>PFS</w:t>
            </w:r>
          </w:p>
        </w:tc>
        <w:tc>
          <w:tcPr>
            <w:tcW w:w="3351" w:type="dxa"/>
          </w:tcPr>
          <w:p w14:paraId="4C16B9D7" w14:textId="7AC6B15A" w:rsidR="00281BAA" w:rsidRDefault="00281BAA" w:rsidP="00411551">
            <w:pPr>
              <w:pStyle w:val="TableText"/>
            </w:pPr>
            <w:r>
              <w:t>No significant difference by T790M status (log rank test p = 0.897), or T790M allele frequency (&lt;0.1 vs ≥0.1%, p=0.515)</w:t>
            </w:r>
          </w:p>
        </w:tc>
      </w:tr>
    </w:tbl>
    <w:p w14:paraId="3509F487" w14:textId="7252DF14" w:rsidR="00281BAA" w:rsidRPr="003A2CFD" w:rsidRDefault="00281BAA" w:rsidP="00281BAA">
      <w:pPr>
        <w:pStyle w:val="TableFooter"/>
      </w:pPr>
      <w:r>
        <w:t xml:space="preserve">HR = hazard ratio; NSCLC = non-small cell lung cancer; OS = overall survival; </w:t>
      </w:r>
      <w:r w:rsidR="00EC45BC">
        <w:t xml:space="preserve">PCR = polymerase chain reaction; </w:t>
      </w:r>
      <w:r>
        <w:t xml:space="preserve">PFS = progression free survival; </w:t>
      </w:r>
      <w:r w:rsidR="00DD6540">
        <w:t xml:space="preserve">SS = Sanger sequencing; </w:t>
      </w:r>
      <w:r>
        <w:t>TC = estimated percentage of neoplastic cells; VAF = variant allele frequency, percentage of alleles determined by the assay</w:t>
      </w:r>
      <w:r w:rsidR="00EC45BC">
        <w:t xml:space="preserve"> to have </w:t>
      </w:r>
      <w:r w:rsidR="00EC45BC">
        <w:rPr>
          <w:i/>
        </w:rPr>
        <w:t xml:space="preserve">EGFR </w:t>
      </w:r>
      <w:r w:rsidR="00EC45BC">
        <w:t>variants</w:t>
      </w:r>
    </w:p>
    <w:p w14:paraId="6F78ED4D" w14:textId="10D59D6B" w:rsidR="00062D82" w:rsidRDefault="00DD6540" w:rsidP="00DA0688">
      <w:r>
        <w:t xml:space="preserve">One of the claims made by the applicant was that NGS returns results faster than sequential single-gene testing. </w:t>
      </w:r>
      <w:r w:rsidR="005D1843">
        <w:t xml:space="preserve">Three cohort studies were identified which compared turnaround </w:t>
      </w:r>
      <w:r w:rsidR="00991D54">
        <w:t>times and</w:t>
      </w:r>
      <w:r w:rsidR="005D1843">
        <w:t xml:space="preserve"> reported that NGS was 0 to 3 days faster than sequential single-gene testing strategies. The </w:t>
      </w:r>
      <w:r w:rsidR="00991D54">
        <w:t>3-</w:t>
      </w:r>
      <w:r w:rsidR="00991D54">
        <w:lastRenderedPageBreak/>
        <w:t>day</w:t>
      </w:r>
      <w:r w:rsidR="005D1843">
        <w:t xml:space="preserve"> saving in turnaround time was reported when a combined DNA and RNA panel was used</w:t>
      </w:r>
      <w:r w:rsidR="005D1843">
        <w:rPr>
          <w:rStyle w:val="FootnoteReference"/>
        </w:rPr>
        <w:footnoteReference w:id="11"/>
      </w:r>
      <w:r w:rsidR="005D1843">
        <w:t>. In a large study from the Netherlands, no difference to sequential single gene testing was reported, when a DNA panel was used in combination with either IHC, FISH or an RNA panel</w:t>
      </w:r>
      <w:r w:rsidR="005D1843">
        <w:rPr>
          <w:rStyle w:val="FootnoteReference"/>
        </w:rPr>
        <w:footnoteReference w:id="12"/>
      </w:r>
      <w:r w:rsidR="005D1843">
        <w:t xml:space="preserve">. </w:t>
      </w:r>
      <w:r w:rsidR="00062D82">
        <w:t>These data are likely to be more applicable to the Australian setting in the near future, as not many laboratories are currently able to use NGS on both DNA and RNA simultaneously. However, as more laboratories develop the ability to perform simultaneous NGS testing, and as more biomarkers are deemed relevant by MSAC/PBAC, the difference in turnaround time between NGS and sequential single gene testing is expected to increase.</w:t>
      </w:r>
    </w:p>
    <w:p w14:paraId="33AE30A1" w14:textId="41B000FA" w:rsidR="00062D82" w:rsidRDefault="00062D82" w:rsidP="00062D82">
      <w:pPr>
        <w:pStyle w:val="Caption"/>
      </w:pPr>
      <w:r>
        <w:t xml:space="preserve">Table </w:t>
      </w:r>
      <w:fldSimple w:instr=" SEQ Table \* ARABIC ">
        <w:r w:rsidR="00C857F3">
          <w:rPr>
            <w:noProof/>
          </w:rPr>
          <w:t>8</w:t>
        </w:r>
      </w:fldSimple>
      <w:r>
        <w:t xml:space="preserve"> Turnaround time for NGS vs sequential single-gene testing strategy </w:t>
      </w:r>
    </w:p>
    <w:tbl>
      <w:tblPr>
        <w:tblStyle w:val="TableGrid"/>
        <w:tblW w:w="5000" w:type="pct"/>
        <w:tblLook w:val="04A0" w:firstRow="1" w:lastRow="0" w:firstColumn="1" w:lastColumn="0" w:noHBand="0" w:noVBand="1"/>
        <w:tblCaption w:val="Turnaround time for NGS vs sequential single-gene testing strategy "/>
        <w:tblDescription w:val="Table summarising 3 studies with turnaround time, with NGS saving up to 3 days compared to sequential single gene testing. "/>
      </w:tblPr>
      <w:tblGrid>
        <w:gridCol w:w="1018"/>
        <w:gridCol w:w="1538"/>
        <w:gridCol w:w="1351"/>
        <w:gridCol w:w="1655"/>
        <w:gridCol w:w="1297"/>
        <w:gridCol w:w="1138"/>
        <w:gridCol w:w="1019"/>
      </w:tblGrid>
      <w:tr w:rsidR="00DE6731" w:rsidRPr="00606456" w14:paraId="6919310A" w14:textId="77777777" w:rsidTr="003A6029">
        <w:trPr>
          <w:trHeight w:val="818"/>
          <w:tblHeader/>
        </w:trPr>
        <w:tc>
          <w:tcPr>
            <w:tcW w:w="565" w:type="pct"/>
          </w:tcPr>
          <w:p w14:paraId="3C8C4FA7" w14:textId="77777777" w:rsidR="00062D82" w:rsidRPr="00606456" w:rsidRDefault="00062D82" w:rsidP="00411551">
            <w:pPr>
              <w:pStyle w:val="TableHeading"/>
            </w:pPr>
            <w:r>
              <w:t>Study</w:t>
            </w:r>
          </w:p>
        </w:tc>
        <w:tc>
          <w:tcPr>
            <w:tcW w:w="853" w:type="pct"/>
          </w:tcPr>
          <w:p w14:paraId="6DD8983A" w14:textId="77777777" w:rsidR="00062D82" w:rsidRDefault="00062D82" w:rsidP="00411551">
            <w:pPr>
              <w:pStyle w:val="TableHeading"/>
            </w:pPr>
            <w:r>
              <w:t>Population</w:t>
            </w:r>
          </w:p>
        </w:tc>
        <w:tc>
          <w:tcPr>
            <w:tcW w:w="749" w:type="pct"/>
          </w:tcPr>
          <w:p w14:paraId="2954CBC1" w14:textId="77777777" w:rsidR="00062D82" w:rsidRPr="00606456" w:rsidRDefault="00062D82" w:rsidP="00411551">
            <w:pPr>
              <w:pStyle w:val="TableHeading"/>
            </w:pPr>
            <w:r>
              <w:t>Intervention (NGS)</w:t>
            </w:r>
          </w:p>
        </w:tc>
        <w:tc>
          <w:tcPr>
            <w:tcW w:w="918" w:type="pct"/>
          </w:tcPr>
          <w:p w14:paraId="35196722" w14:textId="77777777" w:rsidR="00062D82" w:rsidRPr="00606456" w:rsidRDefault="00062D82" w:rsidP="00411551">
            <w:pPr>
              <w:pStyle w:val="TableHeading"/>
            </w:pPr>
            <w:r>
              <w:t>Comparator (SG)</w:t>
            </w:r>
          </w:p>
        </w:tc>
        <w:tc>
          <w:tcPr>
            <w:tcW w:w="719" w:type="pct"/>
          </w:tcPr>
          <w:p w14:paraId="2A9649C9" w14:textId="77777777" w:rsidR="00062D82" w:rsidRPr="00606456" w:rsidRDefault="00062D82" w:rsidP="00411551">
            <w:pPr>
              <w:pStyle w:val="TableHeading"/>
            </w:pPr>
            <w:r>
              <w:t>Turnaround time for NGS</w:t>
            </w:r>
          </w:p>
        </w:tc>
        <w:tc>
          <w:tcPr>
            <w:tcW w:w="631" w:type="pct"/>
          </w:tcPr>
          <w:p w14:paraId="629973F7" w14:textId="77777777" w:rsidR="00062D82" w:rsidRPr="00606456" w:rsidRDefault="00062D82" w:rsidP="00411551">
            <w:pPr>
              <w:pStyle w:val="TableHeading"/>
            </w:pPr>
            <w:r>
              <w:t>Turnaround time for comparator</w:t>
            </w:r>
          </w:p>
        </w:tc>
        <w:tc>
          <w:tcPr>
            <w:tcW w:w="565" w:type="pct"/>
          </w:tcPr>
          <w:p w14:paraId="3402C3AA" w14:textId="0B5D3874" w:rsidR="00062D82" w:rsidRPr="00606456" w:rsidRDefault="00062D82" w:rsidP="00411551">
            <w:pPr>
              <w:pStyle w:val="TableHeading"/>
            </w:pPr>
            <w:r>
              <w:t>Difference</w:t>
            </w:r>
          </w:p>
        </w:tc>
      </w:tr>
      <w:tr w:rsidR="00DE6731" w:rsidRPr="00606456" w14:paraId="78E32806" w14:textId="77777777" w:rsidTr="00411551">
        <w:trPr>
          <w:trHeight w:val="243"/>
        </w:trPr>
        <w:tc>
          <w:tcPr>
            <w:tcW w:w="565" w:type="pct"/>
          </w:tcPr>
          <w:p w14:paraId="067B3623" w14:textId="4BF5DC02" w:rsidR="00062D82" w:rsidRPr="00105FA9" w:rsidRDefault="00DE6731" w:rsidP="00DE6731">
            <w:pPr>
              <w:pStyle w:val="TableText"/>
            </w:pPr>
            <w:r>
              <w:t>Dall’Olio et al. (2020)</w:t>
            </w:r>
            <w:r w:rsidR="00787717" w:rsidRPr="00DE6731">
              <w:rPr>
                <w:rStyle w:val="FootnoteReference"/>
                <w:sz w:val="18"/>
                <w:szCs w:val="18"/>
              </w:rPr>
              <w:t xml:space="preserve"> </w:t>
            </w:r>
            <w:r w:rsidRPr="00DE6731">
              <w:rPr>
                <w:rStyle w:val="FootnoteReference"/>
                <w:sz w:val="18"/>
                <w:szCs w:val="18"/>
              </w:rPr>
              <w:t xml:space="preserve"> </w:t>
            </w:r>
          </w:p>
        </w:tc>
        <w:tc>
          <w:tcPr>
            <w:tcW w:w="853" w:type="pct"/>
          </w:tcPr>
          <w:p w14:paraId="3FD8869A" w14:textId="719F64BE" w:rsidR="00062D82" w:rsidRDefault="00062D82" w:rsidP="00411551">
            <w:pPr>
              <w:spacing w:before="0" w:after="120"/>
            </w:pPr>
            <w:r w:rsidRPr="7579F35B">
              <w:rPr>
                <w:rFonts w:ascii="Arial Narrow" w:eastAsia="Arial Narrow" w:hAnsi="Arial Narrow" w:cs="Arial Narrow"/>
                <w:sz w:val="20"/>
                <w:szCs w:val="20"/>
              </w:rPr>
              <w:t>N=537</w:t>
            </w:r>
          </w:p>
          <w:p w14:paraId="3FABFE58" w14:textId="7956A0A1" w:rsidR="00062D82" w:rsidRPr="00105FA9" w:rsidRDefault="00062D82" w:rsidP="00062D82">
            <w:pPr>
              <w:spacing w:before="0" w:after="120"/>
            </w:pPr>
            <w:r w:rsidRPr="7579F35B">
              <w:rPr>
                <w:rFonts w:ascii="Arial Narrow" w:eastAsia="Arial Narrow" w:hAnsi="Arial Narrow" w:cs="Arial Narrow"/>
                <w:sz w:val="20"/>
                <w:szCs w:val="20"/>
              </w:rPr>
              <w:t>Consecutive NSCLC (adenocarcinoma) patients</w:t>
            </w:r>
          </w:p>
        </w:tc>
        <w:tc>
          <w:tcPr>
            <w:tcW w:w="749" w:type="pct"/>
          </w:tcPr>
          <w:p w14:paraId="44493AAE" w14:textId="77777777" w:rsidR="00062D82" w:rsidRPr="00105FA9" w:rsidRDefault="00062D82" w:rsidP="00411551">
            <w:pPr>
              <w:pStyle w:val="TableText"/>
            </w:pPr>
            <w:r w:rsidRPr="00105FA9">
              <w:t>Oncomine Focus Assay on DNA and RNA</w:t>
            </w:r>
          </w:p>
        </w:tc>
        <w:tc>
          <w:tcPr>
            <w:tcW w:w="918" w:type="pct"/>
          </w:tcPr>
          <w:p w14:paraId="485CEE57" w14:textId="124B6647" w:rsidR="00062D82" w:rsidRPr="00105FA9" w:rsidRDefault="00062D82" w:rsidP="00411551">
            <w:pPr>
              <w:pStyle w:val="TableText"/>
            </w:pPr>
            <w:r w:rsidRPr="00105FA9">
              <w:t>Single gene (</w:t>
            </w:r>
            <w:r w:rsidRPr="00EF5DC7">
              <w:rPr>
                <w:i/>
              </w:rPr>
              <w:t>EGFR, KRAS, BRAF, MET or HER2),</w:t>
            </w:r>
            <w:r w:rsidRPr="00105FA9">
              <w:t xml:space="preserve"> IHC and FISH</w:t>
            </w:r>
          </w:p>
        </w:tc>
        <w:tc>
          <w:tcPr>
            <w:tcW w:w="719" w:type="pct"/>
          </w:tcPr>
          <w:p w14:paraId="3030643C" w14:textId="77777777" w:rsidR="00062D82" w:rsidRPr="00105FA9" w:rsidRDefault="00062D82" w:rsidP="00411551">
            <w:pPr>
              <w:pStyle w:val="TableText"/>
            </w:pPr>
            <w:r w:rsidRPr="00105FA9">
              <w:t>Mean 10 working days</w:t>
            </w:r>
          </w:p>
        </w:tc>
        <w:tc>
          <w:tcPr>
            <w:tcW w:w="631" w:type="pct"/>
          </w:tcPr>
          <w:p w14:paraId="4B822976" w14:textId="77777777" w:rsidR="00062D82" w:rsidRPr="00105FA9" w:rsidRDefault="00062D82" w:rsidP="00411551">
            <w:pPr>
              <w:pStyle w:val="TableText"/>
            </w:pPr>
            <w:r w:rsidRPr="00105FA9">
              <w:t>Mean 13.15 days</w:t>
            </w:r>
          </w:p>
        </w:tc>
        <w:tc>
          <w:tcPr>
            <w:tcW w:w="565" w:type="pct"/>
          </w:tcPr>
          <w:p w14:paraId="5B7D81A3" w14:textId="77777777" w:rsidR="00062D82" w:rsidRPr="00105FA9" w:rsidRDefault="00062D82" w:rsidP="00411551">
            <w:pPr>
              <w:pStyle w:val="TableText"/>
            </w:pPr>
            <w:r w:rsidRPr="00105FA9">
              <w:t>-3.15 days</w:t>
            </w:r>
          </w:p>
        </w:tc>
      </w:tr>
      <w:tr w:rsidR="00DE6731" w:rsidRPr="00606456" w14:paraId="0FE6C786" w14:textId="77777777" w:rsidTr="00411551">
        <w:trPr>
          <w:trHeight w:val="243"/>
        </w:trPr>
        <w:tc>
          <w:tcPr>
            <w:tcW w:w="565" w:type="pct"/>
          </w:tcPr>
          <w:p w14:paraId="3D8357E7" w14:textId="3233CC66" w:rsidR="00F12879" w:rsidRPr="00105FA9" w:rsidRDefault="00DE6731" w:rsidP="00E55378">
            <w:pPr>
              <w:pStyle w:val="TableText"/>
            </w:pPr>
            <w:r>
              <w:t>Li et al. (2021)</w:t>
            </w:r>
            <w:r>
              <w:rPr>
                <w:rStyle w:val="FootnoteReference"/>
              </w:rPr>
              <w:footnoteReference w:id="13"/>
            </w:r>
          </w:p>
        </w:tc>
        <w:tc>
          <w:tcPr>
            <w:tcW w:w="853" w:type="pct"/>
          </w:tcPr>
          <w:p w14:paraId="35215A7E" w14:textId="0AE8BAA6" w:rsidR="00062D82" w:rsidRPr="00105FA9" w:rsidRDefault="00062D82" w:rsidP="00411551">
            <w:pPr>
              <w:pStyle w:val="Tabletext0"/>
              <w:spacing w:before="0" w:after="120"/>
              <w:jc w:val="left"/>
            </w:pPr>
            <w:r>
              <w:t>884 newly diagnose</w:t>
            </w:r>
            <w:r w:rsidR="00E55378">
              <w:t>d</w:t>
            </w:r>
            <w:r>
              <w:t>, treatment-naïve metastatic NSCLC patients with limited tissue sample</w:t>
            </w:r>
          </w:p>
        </w:tc>
        <w:tc>
          <w:tcPr>
            <w:tcW w:w="749" w:type="pct"/>
          </w:tcPr>
          <w:p w14:paraId="5B9960B9" w14:textId="77777777" w:rsidR="00062D82" w:rsidRPr="00105FA9" w:rsidRDefault="00062D82" w:rsidP="00411551">
            <w:pPr>
              <w:pStyle w:val="TableText"/>
            </w:pPr>
            <w:r w:rsidRPr="00105FA9">
              <w:t>NGS on DNA only</w:t>
            </w:r>
          </w:p>
        </w:tc>
        <w:tc>
          <w:tcPr>
            <w:tcW w:w="918" w:type="pct"/>
          </w:tcPr>
          <w:p w14:paraId="262087F4" w14:textId="77777777" w:rsidR="00062D82" w:rsidRPr="00105FA9" w:rsidRDefault="00062D82" w:rsidP="00411551">
            <w:pPr>
              <w:pStyle w:val="TableText"/>
            </w:pPr>
            <w:r w:rsidRPr="00105FA9">
              <w:t>ARMS-PCR and IHC/FISH</w:t>
            </w:r>
          </w:p>
        </w:tc>
        <w:tc>
          <w:tcPr>
            <w:tcW w:w="719" w:type="pct"/>
          </w:tcPr>
          <w:p w14:paraId="490C60F3" w14:textId="77777777" w:rsidR="00062D82" w:rsidRPr="00105FA9" w:rsidRDefault="00062D82" w:rsidP="00411551">
            <w:pPr>
              <w:pStyle w:val="TableText"/>
            </w:pPr>
            <w:r w:rsidRPr="00105FA9">
              <w:t>Median 12 business days (range 5 - 79 days)</w:t>
            </w:r>
          </w:p>
        </w:tc>
        <w:tc>
          <w:tcPr>
            <w:tcW w:w="631" w:type="pct"/>
          </w:tcPr>
          <w:p w14:paraId="7AF024CA" w14:textId="77777777" w:rsidR="00062D82" w:rsidRPr="00105FA9" w:rsidRDefault="00062D82" w:rsidP="00411551">
            <w:pPr>
              <w:pStyle w:val="TableText"/>
            </w:pPr>
            <w:r w:rsidRPr="00105FA9">
              <w:t>Median 13 business days (range 9 – 86)</w:t>
            </w:r>
          </w:p>
        </w:tc>
        <w:tc>
          <w:tcPr>
            <w:tcW w:w="565" w:type="pct"/>
          </w:tcPr>
          <w:p w14:paraId="69C04367" w14:textId="77777777" w:rsidR="00062D82" w:rsidRPr="00105FA9" w:rsidRDefault="00062D82" w:rsidP="00411551">
            <w:pPr>
              <w:pStyle w:val="TableText"/>
            </w:pPr>
            <w:r w:rsidRPr="00105FA9">
              <w:t>-1 day</w:t>
            </w:r>
          </w:p>
        </w:tc>
      </w:tr>
      <w:tr w:rsidR="00DE6731" w:rsidRPr="00606456" w14:paraId="18659BFF" w14:textId="77777777" w:rsidTr="00411551">
        <w:trPr>
          <w:trHeight w:val="243"/>
        </w:trPr>
        <w:tc>
          <w:tcPr>
            <w:tcW w:w="565" w:type="pct"/>
          </w:tcPr>
          <w:p w14:paraId="238111E2" w14:textId="74417256" w:rsidR="00F12879" w:rsidRPr="00105FA9" w:rsidRDefault="00F12879" w:rsidP="00F12879">
            <w:pPr>
              <w:pStyle w:val="TableText"/>
            </w:pPr>
            <w:r>
              <w:t>Steeghs et al. (2022)</w:t>
            </w:r>
            <w:r>
              <w:rPr>
                <w:rStyle w:val="FootnoteReference"/>
              </w:rPr>
              <w:footnoteReference w:id="14"/>
            </w:r>
          </w:p>
        </w:tc>
        <w:tc>
          <w:tcPr>
            <w:tcW w:w="853" w:type="pct"/>
          </w:tcPr>
          <w:p w14:paraId="2997D967" w14:textId="77777777" w:rsidR="00062D82" w:rsidRDefault="00062D82" w:rsidP="00411551">
            <w:pPr>
              <w:pStyle w:val="Tabletext0"/>
              <w:jc w:val="left"/>
            </w:pPr>
            <w:r>
              <w:t>Stage IV NSCLC patients. 3343 NGS patients, 698 non-NGS patients</w:t>
            </w:r>
          </w:p>
        </w:tc>
        <w:tc>
          <w:tcPr>
            <w:tcW w:w="749" w:type="pct"/>
          </w:tcPr>
          <w:p w14:paraId="417C1724" w14:textId="77777777" w:rsidR="00062D82" w:rsidRPr="00105FA9" w:rsidRDefault="00062D82" w:rsidP="00411551">
            <w:pPr>
              <w:pStyle w:val="TableText"/>
            </w:pPr>
            <w:r>
              <w:t>NGS on DNA, plus fusions tested by IHC, FISH or RNA NGS</w:t>
            </w:r>
          </w:p>
        </w:tc>
        <w:tc>
          <w:tcPr>
            <w:tcW w:w="918" w:type="pct"/>
          </w:tcPr>
          <w:p w14:paraId="509087EF" w14:textId="77777777" w:rsidR="00062D82" w:rsidRPr="00105FA9" w:rsidRDefault="00062D82" w:rsidP="00411551">
            <w:pPr>
              <w:pStyle w:val="TableText"/>
            </w:pPr>
            <w:r>
              <w:t>Various non-NGS single gene testing such as ICH and FISH used throughout clinical practice in the Netherlands</w:t>
            </w:r>
          </w:p>
        </w:tc>
        <w:tc>
          <w:tcPr>
            <w:tcW w:w="719" w:type="pct"/>
          </w:tcPr>
          <w:p w14:paraId="53BBBD15" w14:textId="77777777" w:rsidR="00062D82" w:rsidRPr="00105FA9" w:rsidRDefault="00062D82" w:rsidP="00411551">
            <w:pPr>
              <w:pStyle w:val="TableText"/>
            </w:pPr>
            <w:r>
              <w:t>Median 10 days (range 0 - 495; IQR 7 – 14)</w:t>
            </w:r>
          </w:p>
        </w:tc>
        <w:tc>
          <w:tcPr>
            <w:tcW w:w="631" w:type="pct"/>
          </w:tcPr>
          <w:p w14:paraId="64519FA0" w14:textId="77777777" w:rsidR="00062D82" w:rsidRPr="00105FA9" w:rsidRDefault="00062D82" w:rsidP="00411551">
            <w:pPr>
              <w:pStyle w:val="TableText"/>
            </w:pPr>
            <w:r>
              <w:t>Median 10 days (range 2 – 63; IQR 7 – 13)</w:t>
            </w:r>
          </w:p>
        </w:tc>
        <w:tc>
          <w:tcPr>
            <w:tcW w:w="565" w:type="pct"/>
          </w:tcPr>
          <w:p w14:paraId="2A65A487" w14:textId="77777777" w:rsidR="00062D82" w:rsidRPr="00105FA9" w:rsidRDefault="00062D82" w:rsidP="00411551">
            <w:pPr>
              <w:pStyle w:val="TableText"/>
            </w:pPr>
            <w:r>
              <w:t>0 days</w:t>
            </w:r>
          </w:p>
        </w:tc>
      </w:tr>
    </w:tbl>
    <w:p w14:paraId="0D1E4E05" w14:textId="77777777" w:rsidR="00062D82" w:rsidRDefault="00062D82" w:rsidP="00062D82">
      <w:pPr>
        <w:pStyle w:val="TableFooter"/>
      </w:pPr>
      <w:r>
        <w:t>ARMS-PCR = amplification-refractory mutation system polymerase chain reaction;</w:t>
      </w:r>
      <w:r w:rsidRPr="00152F12">
        <w:rPr>
          <w:i/>
        </w:rPr>
        <w:t xml:space="preserve"> </w:t>
      </w:r>
      <w:r w:rsidRPr="002412BE">
        <w:t>DNA = deoxyribonucleic acid;</w:t>
      </w:r>
      <w:r w:rsidRPr="00EF5DC7">
        <w:rPr>
          <w:i/>
        </w:rPr>
        <w:t xml:space="preserve"> </w:t>
      </w:r>
      <w:r w:rsidRPr="007C7AB1">
        <w:rPr>
          <w:i/>
        </w:rPr>
        <w:t>EGFR</w:t>
      </w:r>
      <w:r>
        <w:t xml:space="preserve"> = epidermal growth factor receptor; FISH = fluorescent </w:t>
      </w:r>
      <w:r w:rsidRPr="00357441">
        <w:rPr>
          <w:i/>
          <w:iCs/>
        </w:rPr>
        <w:t>in situ</w:t>
      </w:r>
      <w:r>
        <w:t xml:space="preserve"> hybridisation; IHC = immunohistochemistry;</w:t>
      </w:r>
      <w:r w:rsidRPr="00152F12">
        <w:rPr>
          <w:i/>
        </w:rPr>
        <w:t xml:space="preserve"> KRAS</w:t>
      </w:r>
      <w:r>
        <w:t xml:space="preserve"> = Kirsten rat sarcoma</w:t>
      </w:r>
      <w:r w:rsidRPr="006D7211">
        <w:t xml:space="preserve">; </w:t>
      </w:r>
      <w:r>
        <w:t>NGS = next generation sequencing;</w:t>
      </w:r>
      <w:r w:rsidRPr="00EF5DC7">
        <w:t xml:space="preserve"> </w:t>
      </w:r>
      <w:r>
        <w:t>NSCLC = non-small cell lung cancer; RNA = ribonucleic acid; SG = single-gene testing</w:t>
      </w:r>
    </w:p>
    <w:p w14:paraId="6006A51F" w14:textId="1342BCC5" w:rsidR="00062D82" w:rsidRDefault="00062D82" w:rsidP="00DA0688">
      <w:r>
        <w:t xml:space="preserve">The clinical implications of faster initiation of targeted treatment are unclear. </w:t>
      </w:r>
      <w:r w:rsidR="000C04D7">
        <w:t>No studies could be found which focused on the health implications of the timeliness of targeted treatments</w:t>
      </w:r>
      <w:r w:rsidR="00FB10F4">
        <w:t xml:space="preserve"> (i.e. prompt vs delayed targeted treatment)</w:t>
      </w:r>
      <w:r w:rsidR="000C04D7">
        <w:t>. However, a</w:t>
      </w:r>
      <w:r>
        <w:t xml:space="preserve"> systematic review was identified which compared health outcomes in those with advanced NSCLC who received timely vs untimely first-line </w:t>
      </w:r>
      <w:r w:rsidR="00E7288D">
        <w:t xml:space="preserve">untargeted </w:t>
      </w:r>
      <w:r>
        <w:t>treatment</w:t>
      </w:r>
      <w:r w:rsidR="00A01A5E">
        <w:t xml:space="preserve"> (surgery, radiotherapy, chemotherapy, or any treatment)</w:t>
      </w:r>
      <w:r>
        <w:t xml:space="preserve">, </w:t>
      </w:r>
      <w:r w:rsidR="00FB10F4">
        <w:t xml:space="preserve">and </w:t>
      </w:r>
      <w:r>
        <w:t>reported that those treated faster had worse outcomes</w:t>
      </w:r>
      <w:r w:rsidR="00206217">
        <w:rPr>
          <w:rStyle w:val="FootnoteReference"/>
        </w:rPr>
        <w:footnoteReference w:id="15"/>
      </w:r>
      <w:r>
        <w:t xml:space="preserve">. This “waiting time paradox” is likely due to </w:t>
      </w:r>
      <w:r>
        <w:lastRenderedPageBreak/>
        <w:t>patients with more symptoms (and worse p</w:t>
      </w:r>
      <w:r w:rsidR="00E7288D">
        <w:t>rognosis) being treated faster, and those treated palliatively receiving more timely care than those treated with curative intent.</w:t>
      </w:r>
      <w:r w:rsidR="00FB10F4">
        <w:t xml:space="preserve"> </w:t>
      </w:r>
    </w:p>
    <w:p w14:paraId="213924C6" w14:textId="11D5654C" w:rsidR="00772829" w:rsidRPr="00223664" w:rsidRDefault="00772829" w:rsidP="00223664">
      <w:pPr>
        <w:tabs>
          <w:tab w:val="left" w:pos="720"/>
          <w:tab w:val="left" w:pos="1140"/>
        </w:tabs>
        <w:spacing w:before="240" w:after="120"/>
        <w:rPr>
          <w:b/>
          <w:bCs/>
        </w:rPr>
      </w:pPr>
      <w:r w:rsidRPr="00223664">
        <w:rPr>
          <w:b/>
          <w:bCs/>
        </w:rPr>
        <w:t>Clinical claim</w:t>
      </w:r>
    </w:p>
    <w:p w14:paraId="1F4D6428" w14:textId="079D6587" w:rsidR="00E7288D" w:rsidRDefault="00BB2B3F" w:rsidP="00E76AE0">
      <w:pPr>
        <w:pStyle w:val="Instructionaltext"/>
        <w:rPr>
          <w:color w:val="000000" w:themeColor="text1"/>
        </w:rPr>
      </w:pPr>
      <w:r>
        <w:rPr>
          <w:color w:val="000000" w:themeColor="text1"/>
        </w:rPr>
        <w:t xml:space="preserve">The evidence supported the clinical claim of superior effectiveness </w:t>
      </w:r>
      <w:r w:rsidR="00E7288D">
        <w:rPr>
          <w:color w:val="000000" w:themeColor="text1"/>
        </w:rPr>
        <w:t xml:space="preserve">due to more patients being identified with variants by small NGS panels than sequential single gene testing (moderate level of confidence). </w:t>
      </w:r>
      <w:r w:rsidR="00FB10F4">
        <w:rPr>
          <w:color w:val="000000" w:themeColor="text1"/>
        </w:rPr>
        <w:t xml:space="preserve">The majority of these additional patients would be considered eligible for PBS-listed targeted treatments with the proposed changes to restrictions. </w:t>
      </w:r>
      <w:r w:rsidR="00E7288D">
        <w:rPr>
          <w:color w:val="000000" w:themeColor="text1"/>
        </w:rPr>
        <w:t xml:space="preserve">The additional patients with </w:t>
      </w:r>
      <w:r w:rsidR="00FB10F4">
        <w:rPr>
          <w:color w:val="000000" w:themeColor="text1"/>
        </w:rPr>
        <w:t xml:space="preserve">actionable </w:t>
      </w:r>
      <w:r w:rsidR="00E7288D">
        <w:rPr>
          <w:color w:val="000000" w:themeColor="text1"/>
        </w:rPr>
        <w:t>variants identified are then able to be managed</w:t>
      </w:r>
      <w:r w:rsidR="00E92BDD">
        <w:rPr>
          <w:color w:val="000000" w:themeColor="text1"/>
        </w:rPr>
        <w:t xml:space="preserve"> </w:t>
      </w:r>
      <w:r w:rsidR="00E7288D">
        <w:rPr>
          <w:color w:val="000000" w:themeColor="text1"/>
        </w:rPr>
        <w:t>with targeted treatment, which may result in superior health outcomes (low confidence).</w:t>
      </w:r>
    </w:p>
    <w:p w14:paraId="15F09AD9" w14:textId="60E43642" w:rsidR="00E7288D" w:rsidRDefault="00E7288D" w:rsidP="00E76AE0">
      <w:pPr>
        <w:pStyle w:val="Instructionaltext"/>
        <w:rPr>
          <w:color w:val="000000" w:themeColor="text1"/>
        </w:rPr>
      </w:pPr>
      <w:r>
        <w:rPr>
          <w:color w:val="000000" w:themeColor="text1"/>
        </w:rPr>
        <w:t xml:space="preserve">The evidence also supported the clinical claim of superior safety, due to the likelihood that the more efficient use of tumour tissue by NGS </w:t>
      </w:r>
      <w:r w:rsidR="000C04D7">
        <w:rPr>
          <w:color w:val="000000" w:themeColor="text1"/>
        </w:rPr>
        <w:t>than</w:t>
      </w:r>
      <w:r>
        <w:rPr>
          <w:color w:val="000000" w:themeColor="text1"/>
        </w:rPr>
        <w:t xml:space="preserve"> sequential single gene testing </w:t>
      </w:r>
      <w:r w:rsidR="00E92BDD">
        <w:rPr>
          <w:color w:val="000000" w:themeColor="text1"/>
        </w:rPr>
        <w:t xml:space="preserve">(moderate confidence) </w:t>
      </w:r>
      <w:r>
        <w:rPr>
          <w:color w:val="000000" w:themeColor="text1"/>
        </w:rPr>
        <w:t>would result in fewer rebiopsies being performed</w:t>
      </w:r>
      <w:r w:rsidR="00E92BDD">
        <w:rPr>
          <w:color w:val="000000" w:themeColor="text1"/>
        </w:rPr>
        <w:t xml:space="preserve"> (low confidence</w:t>
      </w:r>
      <w:r w:rsidR="00991D54">
        <w:rPr>
          <w:color w:val="000000" w:themeColor="text1"/>
        </w:rPr>
        <w:t>) and</w:t>
      </w:r>
      <w:r>
        <w:rPr>
          <w:color w:val="000000" w:themeColor="text1"/>
        </w:rPr>
        <w:t xml:space="preserve"> avoiding biopsies would reduce the risk of adverse events associated with biopsies</w:t>
      </w:r>
      <w:r w:rsidR="00E92BDD">
        <w:rPr>
          <w:color w:val="000000" w:themeColor="text1"/>
        </w:rPr>
        <w:t xml:space="preserve"> (moderate confidence)</w:t>
      </w:r>
      <w:r>
        <w:rPr>
          <w:color w:val="000000" w:themeColor="text1"/>
        </w:rPr>
        <w:t>.</w:t>
      </w:r>
    </w:p>
    <w:p w14:paraId="0D09C9E4" w14:textId="6AB5B780" w:rsidR="00772829" w:rsidRPr="00CE28E3" w:rsidRDefault="00C36633" w:rsidP="002A18BE">
      <w:pPr>
        <w:pStyle w:val="Heading2"/>
        <w:numPr>
          <w:ilvl w:val="0"/>
          <w:numId w:val="0"/>
        </w:numPr>
      </w:pPr>
      <w:bookmarkStart w:id="31" w:name="_Toc148531127"/>
      <w:r>
        <w:t>11.</w:t>
      </w:r>
      <w:r>
        <w:tab/>
      </w:r>
      <w:r w:rsidR="00772829" w:rsidRPr="00CE28E3">
        <w:t>Economic evaluation</w:t>
      </w:r>
      <w:bookmarkEnd w:id="31"/>
    </w:p>
    <w:p w14:paraId="34316A3E" w14:textId="77777777" w:rsidR="004E63D6" w:rsidRDefault="004E63D6" w:rsidP="004E63D6">
      <w:pPr>
        <w:pStyle w:val="NormalBeforeBullet"/>
      </w:pPr>
      <w:r>
        <w:t>The clinical claim of superiority was made based on:</w:t>
      </w:r>
    </w:p>
    <w:p w14:paraId="66C5937A" w14:textId="2E025B98" w:rsidR="004E63D6" w:rsidRDefault="004E63D6" w:rsidP="004E63D6">
      <w:pPr>
        <w:pStyle w:val="NormalBeforeBullet"/>
        <w:numPr>
          <w:ilvl w:val="0"/>
          <w:numId w:val="29"/>
        </w:numPr>
      </w:pPr>
      <w:r>
        <w:t>an improvement in the test success rate (i.e., more samples with sufficient quantity and/or quality to be able to be successfully tested for variants); and</w:t>
      </w:r>
    </w:p>
    <w:p w14:paraId="44B7B00C" w14:textId="58881A01" w:rsidR="004E63D6" w:rsidRDefault="004E63D6" w:rsidP="004E63D6">
      <w:pPr>
        <w:pStyle w:val="NormalBeforeBullet"/>
        <w:numPr>
          <w:ilvl w:val="0"/>
          <w:numId w:val="29"/>
        </w:numPr>
      </w:pPr>
      <w:r>
        <w:t>an improvement in the yield of variants identified</w:t>
      </w:r>
      <w:r w:rsidR="00F467E2">
        <w:t xml:space="preserve"> </w:t>
      </w:r>
      <w:r w:rsidR="00F467E2" w:rsidRPr="00F467E2">
        <w:t xml:space="preserve">due to being more comprehensive (identifying “in scope” and “beyond restriction” variants) and more sensitive (detecting </w:t>
      </w:r>
      <w:r w:rsidR="000208FE">
        <w:t xml:space="preserve">in-scope variants at </w:t>
      </w:r>
      <w:r w:rsidR="00F467E2" w:rsidRPr="00F467E2">
        <w:t>a lower variant allelic frequency)</w:t>
      </w:r>
      <w:r w:rsidRPr="00F467E2">
        <w:t>.</w:t>
      </w:r>
    </w:p>
    <w:p w14:paraId="55E99872" w14:textId="77777777" w:rsidR="004E63D6" w:rsidRDefault="004E63D6" w:rsidP="004E63D6">
      <w:pPr>
        <w:pStyle w:val="NormalBeforeBullet"/>
      </w:pPr>
      <w:r>
        <w:t xml:space="preserve">Therefore, a cost-effectiveness analysis was presented based on the results of the linked evidence approach. No evidence was identified to enable modelling changes in treatment, and given the following uncertainties, the model presented </w:t>
      </w:r>
      <w:r w:rsidR="00B0533C">
        <w:t xml:space="preserve">was </w:t>
      </w:r>
      <w:r>
        <w:t>truncated at the point of treatment:</w:t>
      </w:r>
    </w:p>
    <w:p w14:paraId="7D8A3051" w14:textId="09EFD54C" w:rsidR="004E63D6" w:rsidRPr="00F467E2" w:rsidRDefault="00D2764B" w:rsidP="004E63D6">
      <w:pPr>
        <w:pStyle w:val="NormalBeforeBullet"/>
        <w:numPr>
          <w:ilvl w:val="0"/>
          <w:numId w:val="37"/>
        </w:numPr>
      </w:pPr>
      <w:r w:rsidRPr="00F467E2">
        <w:t>V</w:t>
      </w:r>
      <w:r w:rsidR="000D1167" w:rsidRPr="00F467E2">
        <w:t xml:space="preserve">ariants that can be identified by either current or proposed </w:t>
      </w:r>
      <w:r w:rsidR="00F26815" w:rsidRPr="00F467E2">
        <w:t>testing (referred to in the an</w:t>
      </w:r>
      <w:r w:rsidR="000D1167" w:rsidRPr="00F467E2">
        <w:t>a</w:t>
      </w:r>
      <w:r w:rsidR="00F26815" w:rsidRPr="00F467E2">
        <w:t>l</w:t>
      </w:r>
      <w:r w:rsidR="000D1167" w:rsidRPr="00F467E2">
        <w:t xml:space="preserve">ysis as “common” variants) </w:t>
      </w:r>
      <w:r w:rsidR="004E63D6" w:rsidRPr="00F467E2">
        <w:t>result in the use of targeted therapies. In patients with common variants that are missed by proposed small gene panel testing</w:t>
      </w:r>
      <w:r w:rsidR="00F26815" w:rsidRPr="00F467E2">
        <w:t xml:space="preserve"> (due to discordant results or unsuc</w:t>
      </w:r>
      <w:r w:rsidR="00625519">
        <w:t>c</w:t>
      </w:r>
      <w:r w:rsidR="00F26815" w:rsidRPr="00F467E2">
        <w:t xml:space="preserve">essful testing and </w:t>
      </w:r>
      <w:r w:rsidR="00CE5100" w:rsidRPr="00F467E2">
        <w:t xml:space="preserve">unsuccessful </w:t>
      </w:r>
      <w:r w:rsidR="00F26815" w:rsidRPr="00F467E2">
        <w:t>rebiopsy)</w:t>
      </w:r>
      <w:r w:rsidR="004E63D6" w:rsidRPr="00F467E2">
        <w:t xml:space="preserve"> or </w:t>
      </w:r>
      <w:r w:rsidR="00F26815" w:rsidRPr="00F467E2">
        <w:t xml:space="preserve">those that </w:t>
      </w:r>
      <w:r w:rsidR="004E63D6" w:rsidRPr="00F467E2">
        <w:t xml:space="preserve">are missed by current testing </w:t>
      </w:r>
      <w:r w:rsidR="00F26815" w:rsidRPr="00F467E2">
        <w:t>(</w:t>
      </w:r>
      <w:r w:rsidR="004E63D6" w:rsidRPr="00F467E2">
        <w:t xml:space="preserve">due to </w:t>
      </w:r>
      <w:r w:rsidR="00F26815" w:rsidRPr="00F467E2">
        <w:t>IHC triage or</w:t>
      </w:r>
      <w:r w:rsidR="000D1167" w:rsidRPr="00F467E2">
        <w:t xml:space="preserve"> </w:t>
      </w:r>
      <w:r w:rsidR="004E63D6" w:rsidRPr="00F467E2">
        <w:t>unsuccessful testing and unsuccessful rebiopsy</w:t>
      </w:r>
      <w:r w:rsidR="00F26815" w:rsidRPr="00F467E2">
        <w:t>)</w:t>
      </w:r>
      <w:r w:rsidR="004E63D6" w:rsidRPr="00F467E2">
        <w:t xml:space="preserve">, patients may receive </w:t>
      </w:r>
      <w:r w:rsidR="00B0533C" w:rsidRPr="00F467E2">
        <w:t>standard of care</w:t>
      </w:r>
      <w:r w:rsidR="004E63D6" w:rsidRPr="00F467E2">
        <w:t xml:space="preserve"> </w:t>
      </w:r>
      <w:r w:rsidR="00B0533C" w:rsidRPr="00F467E2">
        <w:t>(</w:t>
      </w:r>
      <w:r w:rsidR="004E63D6" w:rsidRPr="00F467E2">
        <w:t>SoC</w:t>
      </w:r>
      <w:r w:rsidR="00B0533C" w:rsidRPr="00F467E2">
        <w:t>)</w:t>
      </w:r>
      <w:r w:rsidR="004E63D6" w:rsidRPr="00F467E2">
        <w:t xml:space="preserve"> in place of targeted therapies. Quantifying the foregone benefit associated with the treatment of common variants with SoC is difficult because, in many cases, SoC has evolved since the initial trials of targeted therapies. No evidence was identified in the clinical evaluation to quantify the benefit of targeted therapies compared with SoC in patients with common variants.</w:t>
      </w:r>
    </w:p>
    <w:p w14:paraId="396C8AA3" w14:textId="03989FAA" w:rsidR="004E63D6" w:rsidRPr="00F467E2" w:rsidRDefault="00D2764B" w:rsidP="00B37D9A">
      <w:pPr>
        <w:pStyle w:val="NormalBeforeBullet"/>
        <w:numPr>
          <w:ilvl w:val="0"/>
          <w:numId w:val="37"/>
        </w:numPr>
      </w:pPr>
      <w:r w:rsidRPr="00F467E2">
        <w:t>V</w:t>
      </w:r>
      <w:r w:rsidR="000D1167" w:rsidRPr="00F467E2">
        <w:t xml:space="preserve">ariants that can only be </w:t>
      </w:r>
      <w:r w:rsidR="004E63D6" w:rsidRPr="00F467E2">
        <w:t>identified through small gene panel testing</w:t>
      </w:r>
      <w:r w:rsidR="000D1167" w:rsidRPr="00F467E2">
        <w:t xml:space="preserve"> are referred to in the analysis as “</w:t>
      </w:r>
      <w:r w:rsidR="00F467E2" w:rsidRPr="00F467E2">
        <w:t>incremental</w:t>
      </w:r>
      <w:r w:rsidR="000D1167" w:rsidRPr="00F467E2">
        <w:t>” variants</w:t>
      </w:r>
      <w:r w:rsidR="00F26815" w:rsidRPr="00F467E2">
        <w:t>, and include variants both within the current scope of eligibility to PBS-listed targeted therapies</w:t>
      </w:r>
      <w:r w:rsidR="00B37D9A" w:rsidRPr="00F467E2">
        <w:t xml:space="preserve"> (due to detection of lower allelic frequencies</w:t>
      </w:r>
      <w:r w:rsidR="00992639">
        <w:t xml:space="preserve"> and some additional </w:t>
      </w:r>
      <w:r w:rsidR="00992639">
        <w:rPr>
          <w:i/>
        </w:rPr>
        <w:t xml:space="preserve">EGFR </w:t>
      </w:r>
      <w:r w:rsidR="00992639">
        <w:t>variants known to confer sensitivity to TKIs</w:t>
      </w:r>
      <w:r w:rsidR="00B37D9A" w:rsidRPr="00F467E2">
        <w:t>)</w:t>
      </w:r>
      <w:r w:rsidR="00F26815" w:rsidRPr="00F467E2">
        <w:t>, and those beyond</w:t>
      </w:r>
      <w:r w:rsidR="00CE5100" w:rsidRPr="00F467E2">
        <w:t xml:space="preserve"> current</w:t>
      </w:r>
      <w:r w:rsidR="00F26815" w:rsidRPr="00F467E2">
        <w:t xml:space="preserve"> PBS restriction</w:t>
      </w:r>
      <w:r w:rsidR="00CE5100" w:rsidRPr="00F467E2">
        <w:t>s</w:t>
      </w:r>
      <w:r w:rsidR="004E63D6" w:rsidRPr="00F467E2">
        <w:t xml:space="preserve">. </w:t>
      </w:r>
      <w:r w:rsidR="00F26815" w:rsidRPr="00F467E2">
        <w:t>Best estimates from the clinical evidence base suggest that</w:t>
      </w:r>
      <w:r w:rsidR="000D1167" w:rsidRPr="00F467E2">
        <w:t xml:space="preserve"> the majority of </w:t>
      </w:r>
      <w:r w:rsidR="00F26815" w:rsidRPr="00F467E2">
        <w:t xml:space="preserve">these </w:t>
      </w:r>
      <w:r w:rsidR="000D1167" w:rsidRPr="00F467E2">
        <w:t>patients would be eligible for PBS-listed targeted treatments</w:t>
      </w:r>
      <w:r w:rsidR="00F26815" w:rsidRPr="00F467E2">
        <w:t>;</w:t>
      </w:r>
      <w:r w:rsidR="000D1167" w:rsidRPr="00F467E2">
        <w:t xml:space="preserve"> </w:t>
      </w:r>
      <w:r w:rsidR="00F26815" w:rsidRPr="00F467E2">
        <w:t>h</w:t>
      </w:r>
      <w:r w:rsidR="000D1167" w:rsidRPr="00F467E2">
        <w:t xml:space="preserve">owever, </w:t>
      </w:r>
      <w:r w:rsidR="000208FE">
        <w:t xml:space="preserve">these patients </w:t>
      </w:r>
      <w:r w:rsidR="000D1167" w:rsidRPr="00F467E2">
        <w:t xml:space="preserve">may </w:t>
      </w:r>
      <w:r w:rsidR="00F26815" w:rsidRPr="00F467E2">
        <w:t xml:space="preserve">have </w:t>
      </w:r>
      <w:r w:rsidR="000D1167" w:rsidRPr="00F467E2">
        <w:t>a different spectrum of disease than those in the key trials of the targeted therapies</w:t>
      </w:r>
      <w:r w:rsidR="00F26815" w:rsidRPr="00F467E2">
        <w:t>.</w:t>
      </w:r>
      <w:r w:rsidR="000D1167" w:rsidRPr="00F467E2">
        <w:t xml:space="preserve"> </w:t>
      </w:r>
      <w:r w:rsidR="00F26815" w:rsidRPr="00F467E2">
        <w:t xml:space="preserve">Therefore, </w:t>
      </w:r>
      <w:r w:rsidR="004E63D6" w:rsidRPr="00F467E2">
        <w:t xml:space="preserve">treatment response and duration of </w:t>
      </w:r>
      <w:r w:rsidR="00F26815" w:rsidRPr="00F467E2">
        <w:t xml:space="preserve">treatment in </w:t>
      </w:r>
      <w:r w:rsidR="004E63D6" w:rsidRPr="00F467E2">
        <w:t xml:space="preserve">patients with </w:t>
      </w:r>
      <w:r w:rsidR="000D1167" w:rsidRPr="00F467E2">
        <w:t xml:space="preserve">these </w:t>
      </w:r>
      <w:r w:rsidR="00D90915">
        <w:t>incremental</w:t>
      </w:r>
      <w:r w:rsidR="00D90915" w:rsidRPr="00F467E2">
        <w:t xml:space="preserve"> </w:t>
      </w:r>
      <w:r w:rsidR="004E63D6" w:rsidRPr="00F467E2">
        <w:t>variants to both targeted therapy and SoC is uncertain</w:t>
      </w:r>
      <w:r w:rsidR="00F26815" w:rsidRPr="00F467E2">
        <w:t xml:space="preserve">, </w:t>
      </w:r>
      <w:r w:rsidR="00F26815" w:rsidRPr="00F467E2">
        <w:lastRenderedPageBreak/>
        <w:t>and so</w:t>
      </w:r>
      <w:r w:rsidR="004E63D6" w:rsidRPr="00F467E2">
        <w:t xml:space="preserve"> the incremental benefits and costs that may be associated with changing treatment from SoC to targeted therapy are </w:t>
      </w:r>
      <w:r w:rsidR="00F26815" w:rsidRPr="00F467E2">
        <w:t xml:space="preserve">also </w:t>
      </w:r>
      <w:r w:rsidR="004E63D6" w:rsidRPr="00F467E2">
        <w:t>uncertain.</w:t>
      </w:r>
    </w:p>
    <w:p w14:paraId="140F68C2" w14:textId="77777777" w:rsidR="004E63D6" w:rsidRDefault="004E63D6" w:rsidP="004E63D6">
      <w:pPr>
        <w:pStyle w:val="NormalBeforeBullet"/>
        <w:numPr>
          <w:ilvl w:val="0"/>
          <w:numId w:val="37"/>
        </w:numPr>
      </w:pPr>
      <w:r w:rsidRPr="006C7F84">
        <w:t>In addition to the issues regarding quantifying the differences in outcomes with proposed small gene panel testing, the modelled costs of any analyses that attempt to capture outcomes due to changes in treatment would likely be affected by existing special price arrangements for targeted therapies and immunotherapies. Analyses based on the published prices would not reflect the accepted cost-effectiveness of the included therapies, and the cost-effectiveness of proposed small gene panel testing would be influenced by confidential discounts applied to both targeted therapies and immunotherapies.</w:t>
      </w:r>
    </w:p>
    <w:p w14:paraId="2E329047" w14:textId="42E3CA24" w:rsidR="004E63D6" w:rsidRDefault="004E63D6" w:rsidP="004E63D6">
      <w:pPr>
        <w:pStyle w:val="NormalBeforeBullet"/>
      </w:pPr>
      <w:r w:rsidRPr="00086D18">
        <w:t xml:space="preserve">The analysis presented </w:t>
      </w:r>
      <w:r>
        <w:t>was therefore a cost-effectiveness analysis where t</w:t>
      </w:r>
      <w:r w:rsidRPr="00086D18">
        <w:t xml:space="preserve">he primary outcome </w:t>
      </w:r>
      <w:r>
        <w:t xml:space="preserve">reported was </w:t>
      </w:r>
      <w:r w:rsidRPr="00086D18">
        <w:t xml:space="preserve">the net change in patients </w:t>
      </w:r>
      <w:r w:rsidR="008219FC">
        <w:t xml:space="preserve">determined to be </w:t>
      </w:r>
      <w:r w:rsidRPr="00086D18">
        <w:t>eligible for targeted therapy</w:t>
      </w:r>
      <w:r>
        <w:t xml:space="preserve">. This outcome was disaggregated by </w:t>
      </w:r>
      <w:r w:rsidRPr="00086D18">
        <w:t>type o</w:t>
      </w:r>
      <w:r>
        <w:t>f actionable variant identified</w:t>
      </w:r>
      <w:r w:rsidR="00D90915">
        <w:t xml:space="preserve"> (i.e. common or incremental)</w:t>
      </w:r>
      <w:r>
        <w:t>.</w:t>
      </w:r>
    </w:p>
    <w:p w14:paraId="64D5B74D" w14:textId="4859DD4D" w:rsidR="004E63D6" w:rsidRDefault="004E63D6" w:rsidP="004E63D6">
      <w:pPr>
        <w:pStyle w:val="NormalBeforeBullet"/>
      </w:pPr>
      <w:r>
        <w:t>A stepped approach wa</w:t>
      </w:r>
      <w:r w:rsidRPr="00086D18">
        <w:t>s used to generate the base case analysis</w:t>
      </w:r>
      <w:r>
        <w:t xml:space="preserve"> that</w:t>
      </w:r>
      <w:r w:rsidRPr="00086D18">
        <w:t xml:space="preserve"> incorporate</w:t>
      </w:r>
      <w:r>
        <w:t>d</w:t>
      </w:r>
      <w:r w:rsidRPr="00086D18">
        <w:t xml:space="preserve"> </w:t>
      </w:r>
      <w:r w:rsidRPr="009A7628">
        <w:t xml:space="preserve">different aspects of the linked evidence separately to distinguish the effect of </w:t>
      </w:r>
      <w:r>
        <w:t xml:space="preserve">each of </w:t>
      </w:r>
      <w:r w:rsidRPr="009A7628">
        <w:t>these on the results.</w:t>
      </w:r>
      <w:r w:rsidR="00D90915">
        <w:t xml:space="preserve"> Further, incremental yield data with proposed panel testing have been adjusted in the economic analysis to reflect some IHC ± FISH expected in practice and to reflect comparisons to the clinical utility standard. Test success data have also been transformed to reflect implications of rebiopsies due to insufficient quantity or quality of tissue. These translations of the clinical evidence for use in the model have been added in separate steps. Other key model assumptions – RNA panel use restricted to an absence of </w:t>
      </w:r>
      <w:r w:rsidR="00D90915" w:rsidRPr="002204AD">
        <w:rPr>
          <w:i/>
        </w:rPr>
        <w:t>KRAS</w:t>
      </w:r>
      <w:r w:rsidR="00D90915">
        <w:t xml:space="preserve"> and </w:t>
      </w:r>
      <w:r w:rsidR="00D90915" w:rsidRPr="002204AD">
        <w:rPr>
          <w:i/>
        </w:rPr>
        <w:t>BRAF</w:t>
      </w:r>
      <w:r w:rsidR="00D90915">
        <w:t xml:space="preserve"> variants, and use of testing in patients who do not progress to advanced disease – have also been incorporated in separate steps.</w:t>
      </w:r>
    </w:p>
    <w:p w14:paraId="75E5F80F" w14:textId="27EB2A51" w:rsidR="004E63D6" w:rsidRDefault="004E63D6" w:rsidP="004E63D6">
      <w:pPr>
        <w:pStyle w:val="NormalBeforeBullet"/>
      </w:pPr>
      <w:r w:rsidRPr="00086D18">
        <w:t>A summary of the key components of the economic evaluation is presented in</w:t>
      </w:r>
      <w:r>
        <w:t xml:space="preserve"> </w:t>
      </w:r>
      <w:r>
        <w:fldChar w:fldCharType="begin"/>
      </w:r>
      <w:r>
        <w:instrText xml:space="preserve"> REF _Ref69725820 \h </w:instrText>
      </w:r>
      <w:r>
        <w:fldChar w:fldCharType="separate"/>
      </w:r>
      <w:r w:rsidR="00C857F3" w:rsidRPr="00CE28E3">
        <w:t>Table</w:t>
      </w:r>
      <w:r w:rsidR="00C857F3">
        <w:t> </w:t>
      </w:r>
      <w:r w:rsidR="00C857F3">
        <w:rPr>
          <w:noProof/>
        </w:rPr>
        <w:t>9</w:t>
      </w:r>
      <w:r>
        <w:fldChar w:fldCharType="end"/>
      </w:r>
      <w:r>
        <w:t>.</w:t>
      </w:r>
    </w:p>
    <w:p w14:paraId="126A57A8" w14:textId="606B6580" w:rsidR="004E63D6" w:rsidRPr="00CE28E3" w:rsidRDefault="004E63D6" w:rsidP="004E63D6">
      <w:pPr>
        <w:pStyle w:val="Caption"/>
        <w:tabs>
          <w:tab w:val="left" w:pos="1134"/>
        </w:tabs>
        <w:ind w:left="1134" w:hanging="1134"/>
      </w:pPr>
      <w:bookmarkStart w:id="32" w:name="_Ref69725820"/>
      <w:r w:rsidRPr="00CE28E3">
        <w:lastRenderedPageBreak/>
        <w:t>Table</w:t>
      </w:r>
      <w:r>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9</w:t>
      </w:r>
      <w:r w:rsidRPr="00CE28E3">
        <w:rPr>
          <w:noProof/>
        </w:rPr>
        <w:fldChar w:fldCharType="end"/>
      </w:r>
      <w:bookmarkEnd w:id="32"/>
      <w:r w:rsidRPr="00CE28E3">
        <w:tab/>
        <w:t>Summary of the economic evaluation</w:t>
      </w:r>
    </w:p>
    <w:tbl>
      <w:tblPr>
        <w:tblStyle w:val="TableGrid1"/>
        <w:tblW w:w="5000" w:type="pct"/>
        <w:tblLook w:val="04A0" w:firstRow="1" w:lastRow="0" w:firstColumn="1" w:lastColumn="0" w:noHBand="0" w:noVBand="1"/>
        <w:tblCaption w:val="Summary of the economic evaluation "/>
        <w:tblDescription w:val="Summary of the economic evaluation "/>
      </w:tblPr>
      <w:tblGrid>
        <w:gridCol w:w="1980"/>
        <w:gridCol w:w="7036"/>
      </w:tblGrid>
      <w:tr w:rsidR="004E63D6" w:rsidRPr="00CE28E3" w14:paraId="47A6D3C1"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098" w:type="pct"/>
          </w:tcPr>
          <w:p w14:paraId="14B1736B" w14:textId="77777777" w:rsidR="004E63D6" w:rsidRPr="000449D1" w:rsidRDefault="004E63D6" w:rsidP="00CA410A">
            <w:pPr>
              <w:pStyle w:val="TableHeading"/>
              <w:rPr>
                <w:rFonts w:cs="Courier New"/>
              </w:rPr>
            </w:pPr>
            <w:bookmarkStart w:id="33" w:name="Title_Table5"/>
            <w:bookmarkEnd w:id="33"/>
            <w:r w:rsidRPr="000449D1">
              <w:rPr>
                <w:rFonts w:cs="Courier New"/>
              </w:rPr>
              <w:t>Component</w:t>
            </w:r>
          </w:p>
        </w:tc>
        <w:tc>
          <w:tcPr>
            <w:tcW w:w="3902" w:type="pct"/>
          </w:tcPr>
          <w:p w14:paraId="76A589DD" w14:textId="77777777" w:rsidR="004E63D6" w:rsidRPr="000449D1" w:rsidRDefault="004E63D6" w:rsidP="00CA410A">
            <w:pPr>
              <w:pStyle w:val="TableHeading"/>
              <w:rPr>
                <w:rFonts w:cs="Courier New"/>
              </w:rPr>
            </w:pPr>
            <w:r w:rsidRPr="000449D1">
              <w:rPr>
                <w:rFonts w:cs="Courier New"/>
              </w:rPr>
              <w:t>Description</w:t>
            </w:r>
          </w:p>
        </w:tc>
      </w:tr>
      <w:tr w:rsidR="004E63D6" w:rsidRPr="000449D1" w14:paraId="33DCF45A" w14:textId="77777777" w:rsidTr="00CA410A">
        <w:tc>
          <w:tcPr>
            <w:tcW w:w="1098" w:type="pct"/>
          </w:tcPr>
          <w:p w14:paraId="66165F50" w14:textId="77777777" w:rsidR="004E63D6" w:rsidRPr="000449D1" w:rsidRDefault="004E63D6" w:rsidP="00CA410A">
            <w:pPr>
              <w:pStyle w:val="TableText"/>
              <w:keepNext/>
              <w:rPr>
                <w:rFonts w:cs="Courier New"/>
              </w:rPr>
            </w:pPr>
            <w:r w:rsidRPr="000449D1">
              <w:rPr>
                <w:rFonts w:cs="Courier New"/>
              </w:rPr>
              <w:t>Perspective</w:t>
            </w:r>
          </w:p>
        </w:tc>
        <w:tc>
          <w:tcPr>
            <w:tcW w:w="3902" w:type="pct"/>
          </w:tcPr>
          <w:p w14:paraId="035375DB" w14:textId="77777777" w:rsidR="004E63D6" w:rsidRPr="000449D1" w:rsidRDefault="004E63D6" w:rsidP="00CA410A">
            <w:pPr>
              <w:pStyle w:val="TableText"/>
              <w:keepNext/>
              <w:rPr>
                <w:rFonts w:cs="Courier New"/>
              </w:rPr>
            </w:pPr>
            <w:r>
              <w:rPr>
                <w:rFonts w:cs="Courier New"/>
              </w:rPr>
              <w:t>Health care system perspective</w:t>
            </w:r>
          </w:p>
        </w:tc>
      </w:tr>
      <w:tr w:rsidR="004E63D6" w:rsidRPr="000449D1" w14:paraId="64B8EA38" w14:textId="77777777" w:rsidTr="00CA410A">
        <w:trPr>
          <w:tblHeader/>
        </w:trPr>
        <w:tc>
          <w:tcPr>
            <w:tcW w:w="1098" w:type="pct"/>
          </w:tcPr>
          <w:p w14:paraId="3E96F777" w14:textId="77777777" w:rsidR="004E63D6" w:rsidRPr="000449D1" w:rsidRDefault="004E63D6" w:rsidP="00CA410A">
            <w:pPr>
              <w:pStyle w:val="TableText"/>
              <w:keepNext/>
              <w:rPr>
                <w:rFonts w:cs="Courier New"/>
              </w:rPr>
            </w:pPr>
            <w:r w:rsidRPr="000449D1">
              <w:rPr>
                <w:rFonts w:cs="Courier New"/>
              </w:rPr>
              <w:t>Population</w:t>
            </w:r>
          </w:p>
        </w:tc>
        <w:tc>
          <w:tcPr>
            <w:tcW w:w="3902" w:type="pct"/>
          </w:tcPr>
          <w:p w14:paraId="40A067BF" w14:textId="77777777" w:rsidR="004E63D6" w:rsidRPr="0004605B" w:rsidRDefault="004E63D6" w:rsidP="00CA410A">
            <w:pPr>
              <w:pStyle w:val="TableText"/>
              <w:keepNext/>
            </w:pPr>
            <w:r>
              <w:t>Patients with non-squamous or NOS NSCLC</w:t>
            </w:r>
          </w:p>
        </w:tc>
      </w:tr>
      <w:tr w:rsidR="004E63D6" w:rsidRPr="000449D1" w14:paraId="1BBE10F5" w14:textId="77777777" w:rsidTr="00CA410A">
        <w:tc>
          <w:tcPr>
            <w:tcW w:w="1098" w:type="pct"/>
          </w:tcPr>
          <w:p w14:paraId="24FE4C66" w14:textId="77777777" w:rsidR="004E63D6" w:rsidRPr="000449D1" w:rsidRDefault="004E63D6" w:rsidP="00CA410A">
            <w:pPr>
              <w:pStyle w:val="TableText"/>
              <w:keepNext/>
              <w:rPr>
                <w:rFonts w:cs="Courier New"/>
              </w:rPr>
            </w:pPr>
            <w:r w:rsidRPr="000449D1">
              <w:rPr>
                <w:rFonts w:cs="Courier New"/>
              </w:rPr>
              <w:t>Prior testing</w:t>
            </w:r>
          </w:p>
        </w:tc>
        <w:tc>
          <w:tcPr>
            <w:tcW w:w="3902" w:type="pct"/>
          </w:tcPr>
          <w:p w14:paraId="4AC5A7AA" w14:textId="77777777" w:rsidR="004E63D6" w:rsidRPr="000449D1" w:rsidRDefault="004E63D6" w:rsidP="00CA410A">
            <w:pPr>
              <w:pStyle w:val="TableText"/>
              <w:keepNext/>
              <w:rPr>
                <w:rFonts w:cs="Courier New"/>
              </w:rPr>
            </w:pPr>
            <w:r>
              <w:rPr>
                <w:rFonts w:cs="Courier New"/>
              </w:rPr>
              <w:t>Histopathology testing to confirm tumour histology</w:t>
            </w:r>
          </w:p>
        </w:tc>
      </w:tr>
      <w:tr w:rsidR="004E63D6" w:rsidRPr="000449D1" w14:paraId="7BEE7E43" w14:textId="77777777" w:rsidTr="00CA410A">
        <w:tc>
          <w:tcPr>
            <w:tcW w:w="1098" w:type="pct"/>
          </w:tcPr>
          <w:p w14:paraId="659D4591" w14:textId="77777777" w:rsidR="004E63D6" w:rsidRPr="000449D1" w:rsidRDefault="004E63D6" w:rsidP="00CA410A">
            <w:pPr>
              <w:pStyle w:val="TableText"/>
              <w:keepNext/>
              <w:rPr>
                <w:rFonts w:cs="Courier New"/>
              </w:rPr>
            </w:pPr>
            <w:r w:rsidRPr="000449D1">
              <w:rPr>
                <w:rFonts w:cs="Courier New"/>
              </w:rPr>
              <w:t>Comparator</w:t>
            </w:r>
          </w:p>
        </w:tc>
        <w:tc>
          <w:tcPr>
            <w:tcW w:w="3902" w:type="pct"/>
          </w:tcPr>
          <w:p w14:paraId="5D82BF37" w14:textId="77777777" w:rsidR="004E63D6" w:rsidRPr="000449D1" w:rsidRDefault="004E63D6" w:rsidP="00CA410A">
            <w:pPr>
              <w:pStyle w:val="TableText"/>
              <w:keepNext/>
              <w:rPr>
                <w:rFonts w:cs="Courier New"/>
              </w:rPr>
            </w:pPr>
            <w:r>
              <w:rPr>
                <w:rFonts w:cs="Courier New"/>
              </w:rPr>
              <w:t xml:space="preserve">Single gene testing (reflex </w:t>
            </w:r>
            <w:r w:rsidRPr="00336456">
              <w:rPr>
                <w:rFonts w:cs="Courier New"/>
                <w:i/>
              </w:rPr>
              <w:t>EGFR</w:t>
            </w:r>
            <w:r>
              <w:rPr>
                <w:rFonts w:cs="Courier New"/>
              </w:rPr>
              <w:t xml:space="preserve">, </w:t>
            </w:r>
            <w:r w:rsidRPr="00A75F36">
              <w:rPr>
                <w:rFonts w:cs="Courier New"/>
              </w:rPr>
              <w:t>ALK</w:t>
            </w:r>
            <w:r w:rsidRPr="00336456">
              <w:rPr>
                <w:rFonts w:cs="Courier New"/>
                <w:i/>
              </w:rPr>
              <w:t xml:space="preserve"> </w:t>
            </w:r>
            <w:r>
              <w:rPr>
                <w:rFonts w:cs="Courier New"/>
              </w:rPr>
              <w:t xml:space="preserve">IHC and </w:t>
            </w:r>
            <w:r w:rsidRPr="00A75F36">
              <w:rPr>
                <w:rFonts w:cs="Courier New"/>
              </w:rPr>
              <w:t>ROS1</w:t>
            </w:r>
            <w:r w:rsidRPr="00336456">
              <w:rPr>
                <w:rFonts w:cs="Courier New"/>
                <w:i/>
              </w:rPr>
              <w:t xml:space="preserve"> </w:t>
            </w:r>
            <w:r>
              <w:rPr>
                <w:rFonts w:cs="Courier New"/>
              </w:rPr>
              <w:t xml:space="preserve">IHC, followed by, if relevant, reflex </w:t>
            </w:r>
            <w:r w:rsidRPr="00336456">
              <w:rPr>
                <w:rFonts w:cs="Courier New"/>
                <w:i/>
              </w:rPr>
              <w:t xml:space="preserve">ALK </w:t>
            </w:r>
            <w:r>
              <w:rPr>
                <w:rFonts w:cs="Courier New"/>
              </w:rPr>
              <w:t xml:space="preserve">FISH and/or </w:t>
            </w:r>
            <w:r w:rsidRPr="00336456">
              <w:rPr>
                <w:rFonts w:cs="Courier New"/>
                <w:i/>
              </w:rPr>
              <w:t xml:space="preserve">ROS1 </w:t>
            </w:r>
            <w:r>
              <w:rPr>
                <w:rFonts w:cs="Courier New"/>
              </w:rPr>
              <w:t xml:space="preserve">FISH, and </w:t>
            </w:r>
            <w:r w:rsidRPr="00336456">
              <w:rPr>
                <w:rFonts w:cs="Courier New"/>
                <w:i/>
              </w:rPr>
              <w:t>MET</w:t>
            </w:r>
            <w:r>
              <w:rPr>
                <w:rFonts w:cs="Courier New"/>
              </w:rPr>
              <w:t>ex14sk testing)</w:t>
            </w:r>
          </w:p>
        </w:tc>
      </w:tr>
      <w:tr w:rsidR="004E63D6" w:rsidRPr="000449D1" w14:paraId="3C961B08" w14:textId="77777777" w:rsidTr="00CA410A">
        <w:tc>
          <w:tcPr>
            <w:tcW w:w="1098" w:type="pct"/>
          </w:tcPr>
          <w:p w14:paraId="076ED604" w14:textId="77777777" w:rsidR="004E63D6" w:rsidRPr="000449D1" w:rsidRDefault="004E63D6" w:rsidP="00CA410A">
            <w:pPr>
              <w:pStyle w:val="TableText"/>
              <w:keepNext/>
              <w:rPr>
                <w:rFonts w:cs="Courier New"/>
              </w:rPr>
            </w:pPr>
            <w:r w:rsidRPr="000449D1">
              <w:rPr>
                <w:rFonts w:cs="Courier New"/>
              </w:rPr>
              <w:t>Type(s) of analysis</w:t>
            </w:r>
          </w:p>
        </w:tc>
        <w:tc>
          <w:tcPr>
            <w:tcW w:w="3902" w:type="pct"/>
          </w:tcPr>
          <w:p w14:paraId="42150CBA" w14:textId="77777777" w:rsidR="004E63D6" w:rsidRPr="000449D1" w:rsidRDefault="004E63D6" w:rsidP="00CA410A">
            <w:pPr>
              <w:pStyle w:val="TableText"/>
              <w:keepNext/>
              <w:rPr>
                <w:rFonts w:cs="Courier New"/>
              </w:rPr>
            </w:pPr>
            <w:r>
              <w:rPr>
                <w:rFonts w:cs="Courier New"/>
              </w:rPr>
              <w:t>C</w:t>
            </w:r>
            <w:r w:rsidRPr="000449D1">
              <w:rPr>
                <w:rFonts w:cs="Courier New"/>
              </w:rPr>
              <w:t>ost-effectiveness analysis</w:t>
            </w:r>
          </w:p>
        </w:tc>
      </w:tr>
      <w:tr w:rsidR="004E63D6" w:rsidRPr="000449D1" w14:paraId="24382119" w14:textId="77777777" w:rsidTr="00CA410A">
        <w:tc>
          <w:tcPr>
            <w:tcW w:w="1098" w:type="pct"/>
          </w:tcPr>
          <w:p w14:paraId="6597C51D" w14:textId="77777777" w:rsidR="004E63D6" w:rsidRPr="000449D1" w:rsidRDefault="004E63D6" w:rsidP="00CA410A">
            <w:pPr>
              <w:pStyle w:val="TableText"/>
              <w:keepNext/>
              <w:rPr>
                <w:rFonts w:cs="Courier New"/>
              </w:rPr>
            </w:pPr>
            <w:r w:rsidRPr="000449D1">
              <w:rPr>
                <w:rFonts w:cs="Courier New"/>
              </w:rPr>
              <w:t>Outcomes</w:t>
            </w:r>
          </w:p>
        </w:tc>
        <w:tc>
          <w:tcPr>
            <w:tcW w:w="3902" w:type="pct"/>
          </w:tcPr>
          <w:p w14:paraId="0A71E71E" w14:textId="3A8BA2D9" w:rsidR="004E63D6" w:rsidRDefault="004E63D6" w:rsidP="00CA410A">
            <w:pPr>
              <w:pStyle w:val="TableText"/>
              <w:keepNext/>
              <w:rPr>
                <w:rFonts w:cs="Courier New"/>
              </w:rPr>
            </w:pPr>
            <w:r>
              <w:rPr>
                <w:rFonts w:cs="Courier New"/>
              </w:rPr>
              <w:t xml:space="preserve">Primary: Patients eligible for targeted therapy, disaggregated by patients with common and </w:t>
            </w:r>
            <w:r w:rsidR="00625519">
              <w:rPr>
                <w:rFonts w:cs="Courier New"/>
              </w:rPr>
              <w:t>incremental</w:t>
            </w:r>
            <w:r>
              <w:rPr>
                <w:rFonts w:cs="Courier New"/>
              </w:rPr>
              <w:t xml:space="preserve"> variants identified</w:t>
            </w:r>
          </w:p>
          <w:p w14:paraId="4EBC2DDC" w14:textId="3B28E876" w:rsidR="004E63D6" w:rsidRPr="000449D1" w:rsidRDefault="004E63D6" w:rsidP="00CA410A">
            <w:pPr>
              <w:pStyle w:val="TableText"/>
              <w:keepNext/>
              <w:rPr>
                <w:rFonts w:cs="Courier New"/>
              </w:rPr>
            </w:pPr>
            <w:r>
              <w:rPr>
                <w:rFonts w:cs="Courier New"/>
              </w:rPr>
              <w:t xml:space="preserve">Additional: Patients with </w:t>
            </w:r>
            <w:r w:rsidR="00094AA8">
              <w:rPr>
                <w:rFonts w:cs="Courier New"/>
              </w:rPr>
              <w:t xml:space="preserve">actionable (i.e. common and incremental variants) variants identified, patients with </w:t>
            </w:r>
            <w:r>
              <w:rPr>
                <w:rFonts w:cs="Courier New"/>
              </w:rPr>
              <w:t>known biomarker status; changes in rebiopsies required</w:t>
            </w:r>
          </w:p>
        </w:tc>
      </w:tr>
      <w:tr w:rsidR="004E63D6" w:rsidRPr="000449D1" w14:paraId="25F2FF41" w14:textId="77777777" w:rsidTr="00CA410A">
        <w:tc>
          <w:tcPr>
            <w:tcW w:w="1098" w:type="pct"/>
          </w:tcPr>
          <w:p w14:paraId="185A7D33" w14:textId="77777777" w:rsidR="004E63D6" w:rsidRPr="000449D1" w:rsidRDefault="004E63D6" w:rsidP="00CA410A">
            <w:pPr>
              <w:pStyle w:val="TableText"/>
              <w:keepNext/>
              <w:rPr>
                <w:rFonts w:cs="Courier New"/>
              </w:rPr>
            </w:pPr>
            <w:r w:rsidRPr="000449D1">
              <w:rPr>
                <w:rFonts w:cs="Courier New"/>
              </w:rPr>
              <w:t>Time horizon</w:t>
            </w:r>
          </w:p>
        </w:tc>
        <w:tc>
          <w:tcPr>
            <w:tcW w:w="3902" w:type="pct"/>
          </w:tcPr>
          <w:p w14:paraId="6281BB15" w14:textId="77777777" w:rsidR="004E63D6" w:rsidRPr="000449D1" w:rsidRDefault="004E63D6" w:rsidP="00CA410A">
            <w:pPr>
              <w:pStyle w:val="TableText"/>
              <w:keepNext/>
              <w:rPr>
                <w:rFonts w:cs="Courier New"/>
              </w:rPr>
            </w:pPr>
            <w:r>
              <w:rPr>
                <w:rFonts w:cs="Courier New"/>
              </w:rPr>
              <w:t>Time to first-line treatment decisions in the advanced NSCLC setting</w:t>
            </w:r>
          </w:p>
        </w:tc>
      </w:tr>
      <w:tr w:rsidR="004E63D6" w:rsidRPr="000449D1" w14:paraId="6DE7D170" w14:textId="77777777" w:rsidTr="00CA410A">
        <w:tc>
          <w:tcPr>
            <w:tcW w:w="1098" w:type="pct"/>
          </w:tcPr>
          <w:p w14:paraId="7637264B" w14:textId="77777777" w:rsidR="004E63D6" w:rsidRPr="000449D1" w:rsidRDefault="004E63D6" w:rsidP="00CA410A">
            <w:pPr>
              <w:pStyle w:val="TableText"/>
              <w:keepNext/>
              <w:rPr>
                <w:rFonts w:cs="Courier New"/>
              </w:rPr>
            </w:pPr>
            <w:r w:rsidRPr="000449D1">
              <w:rPr>
                <w:rFonts w:cs="Courier New"/>
              </w:rPr>
              <w:t>Computational method</w:t>
            </w:r>
          </w:p>
        </w:tc>
        <w:tc>
          <w:tcPr>
            <w:tcW w:w="3902" w:type="pct"/>
          </w:tcPr>
          <w:p w14:paraId="3CC5089A" w14:textId="77777777" w:rsidR="004E63D6" w:rsidRPr="000449D1" w:rsidRDefault="004E63D6" w:rsidP="00CA410A">
            <w:pPr>
              <w:pStyle w:val="TableText"/>
              <w:keepNext/>
              <w:rPr>
                <w:rFonts w:cs="Courier New"/>
              </w:rPr>
            </w:pPr>
            <w:r>
              <w:rPr>
                <w:rFonts w:cs="Courier New"/>
              </w:rPr>
              <w:t>Decision analytic</w:t>
            </w:r>
          </w:p>
        </w:tc>
      </w:tr>
      <w:tr w:rsidR="004E63D6" w:rsidRPr="000449D1" w14:paraId="7C1A44D6" w14:textId="77777777" w:rsidTr="00CA410A">
        <w:tc>
          <w:tcPr>
            <w:tcW w:w="1098" w:type="pct"/>
          </w:tcPr>
          <w:p w14:paraId="715A9931" w14:textId="77777777" w:rsidR="004E63D6" w:rsidRPr="000449D1" w:rsidRDefault="004E63D6" w:rsidP="00CA410A">
            <w:pPr>
              <w:pStyle w:val="TableText"/>
              <w:keepNext/>
              <w:rPr>
                <w:rFonts w:cs="Courier New"/>
              </w:rPr>
            </w:pPr>
            <w:r w:rsidRPr="000449D1">
              <w:rPr>
                <w:rFonts w:cs="Courier New"/>
              </w:rPr>
              <w:t>Generation of the base case</w:t>
            </w:r>
          </w:p>
        </w:tc>
        <w:tc>
          <w:tcPr>
            <w:tcW w:w="3902" w:type="pct"/>
          </w:tcPr>
          <w:p w14:paraId="3BB3CF08" w14:textId="77777777" w:rsidR="004E63D6" w:rsidRPr="000449D1" w:rsidRDefault="004E63D6" w:rsidP="00CA410A">
            <w:pPr>
              <w:pStyle w:val="TableText"/>
              <w:keepNext/>
              <w:rPr>
                <w:rFonts w:cs="Courier New"/>
              </w:rPr>
            </w:pPr>
            <w:r>
              <w:rPr>
                <w:rFonts w:cs="Courier New"/>
              </w:rPr>
              <w:t>M</w:t>
            </w:r>
            <w:r w:rsidRPr="000449D1">
              <w:rPr>
                <w:rFonts w:cs="Courier New"/>
              </w:rPr>
              <w:t>odelled</w:t>
            </w:r>
            <w:r>
              <w:rPr>
                <w:rFonts w:cs="Courier New"/>
              </w:rPr>
              <w:t xml:space="preserve"> stepped analysis, incorporating </w:t>
            </w:r>
            <w:r w:rsidRPr="00511217">
              <w:rPr>
                <w:rFonts w:cs="Courier New"/>
              </w:rPr>
              <w:t>different aspects of the linked evidence, translations of the clinical evidence and other key model assumptions separately to distinguish the effect of each of these on the results.</w:t>
            </w:r>
          </w:p>
        </w:tc>
      </w:tr>
      <w:tr w:rsidR="004E63D6" w:rsidRPr="000449D1" w14:paraId="600E3B81" w14:textId="77777777" w:rsidTr="00CA410A">
        <w:tc>
          <w:tcPr>
            <w:tcW w:w="1098" w:type="pct"/>
          </w:tcPr>
          <w:p w14:paraId="16CFCB44" w14:textId="77777777" w:rsidR="004E63D6" w:rsidRPr="000449D1" w:rsidRDefault="004E63D6" w:rsidP="00CA410A">
            <w:pPr>
              <w:pStyle w:val="TableText"/>
              <w:keepNext/>
              <w:rPr>
                <w:rFonts w:cs="Courier New"/>
              </w:rPr>
            </w:pPr>
            <w:r w:rsidRPr="000449D1">
              <w:rPr>
                <w:rFonts w:cs="Courier New"/>
              </w:rPr>
              <w:t>Transition probabilities</w:t>
            </w:r>
          </w:p>
        </w:tc>
        <w:tc>
          <w:tcPr>
            <w:tcW w:w="3902" w:type="pct"/>
          </w:tcPr>
          <w:p w14:paraId="3CB5BD8E" w14:textId="2F54306F" w:rsidR="004E63D6" w:rsidRDefault="004E63D6" w:rsidP="00CA410A">
            <w:pPr>
              <w:pStyle w:val="TableText"/>
              <w:keepNext/>
              <w:rPr>
                <w:rFonts w:cs="Courier New"/>
              </w:rPr>
            </w:pPr>
            <w:r>
              <w:rPr>
                <w:rFonts w:cs="Courier New"/>
              </w:rPr>
              <w:t>Yield of actionable variants: Accepted estimates of variant yield as identified by the clinical utility standard (‘common’ variants), adjusted for additional variants identified by small gene panel testing in the same biomarker (‘</w:t>
            </w:r>
            <w:r w:rsidR="006055B3">
              <w:rPr>
                <w:rFonts w:cs="Courier New"/>
              </w:rPr>
              <w:t xml:space="preserve">incremental’ </w:t>
            </w:r>
            <w:r>
              <w:rPr>
                <w:rFonts w:cs="Courier New"/>
              </w:rPr>
              <w:t>variants) using concordance estimates derived in the clinical evaluation. Yield estimates were adjusted to reflect some IHC ± FISH use following small DNA panel testing (in instances where tissue quantity or quality is insufficient for RNA panel testing).</w:t>
            </w:r>
          </w:p>
          <w:p w14:paraId="2335BFDD" w14:textId="77777777" w:rsidR="004E63D6" w:rsidRPr="00807F3E" w:rsidRDefault="004E63D6" w:rsidP="00CA410A">
            <w:pPr>
              <w:pStyle w:val="TableText"/>
              <w:keepNext/>
              <w:rPr>
                <w:rFonts w:cs="Courier New"/>
              </w:rPr>
            </w:pPr>
            <w:r>
              <w:rPr>
                <w:rFonts w:cs="Courier New"/>
              </w:rPr>
              <w:t>Success of testing was also based on estimates presented in the clinical evaluation.</w:t>
            </w:r>
          </w:p>
        </w:tc>
      </w:tr>
      <w:tr w:rsidR="004E63D6" w:rsidRPr="000449D1" w14:paraId="1939CDA9" w14:textId="77777777" w:rsidTr="00CA410A">
        <w:tc>
          <w:tcPr>
            <w:tcW w:w="1098" w:type="pct"/>
          </w:tcPr>
          <w:p w14:paraId="1D0DA2E0" w14:textId="77777777" w:rsidR="004E63D6" w:rsidRPr="000449D1" w:rsidRDefault="004E63D6" w:rsidP="00CA410A">
            <w:pPr>
              <w:pStyle w:val="TableText"/>
              <w:keepNext/>
              <w:rPr>
                <w:rFonts w:cs="Courier New"/>
              </w:rPr>
            </w:pPr>
            <w:r w:rsidRPr="000449D1">
              <w:rPr>
                <w:rFonts w:cs="Courier New"/>
              </w:rPr>
              <w:t>Discount rate</w:t>
            </w:r>
          </w:p>
        </w:tc>
        <w:tc>
          <w:tcPr>
            <w:tcW w:w="3902" w:type="pct"/>
          </w:tcPr>
          <w:p w14:paraId="2F2E2B24" w14:textId="77777777" w:rsidR="004E63D6" w:rsidRPr="000449D1" w:rsidRDefault="004E63D6" w:rsidP="00CA410A">
            <w:pPr>
              <w:pStyle w:val="TableText"/>
              <w:keepNext/>
              <w:rPr>
                <w:rFonts w:cs="Courier New"/>
              </w:rPr>
            </w:pPr>
            <w:r>
              <w:rPr>
                <w:rFonts w:cs="Courier New"/>
              </w:rPr>
              <w:t>Not applicable</w:t>
            </w:r>
          </w:p>
        </w:tc>
      </w:tr>
      <w:tr w:rsidR="004E63D6" w:rsidRPr="000449D1" w14:paraId="2AAF2D31" w14:textId="77777777" w:rsidTr="00CA410A">
        <w:tc>
          <w:tcPr>
            <w:tcW w:w="1098" w:type="pct"/>
          </w:tcPr>
          <w:p w14:paraId="59938E1B" w14:textId="77777777" w:rsidR="004E63D6" w:rsidRPr="000449D1" w:rsidRDefault="004E63D6" w:rsidP="00CA410A">
            <w:pPr>
              <w:pStyle w:val="TableText"/>
              <w:keepNext/>
              <w:rPr>
                <w:rFonts w:cs="Courier New"/>
              </w:rPr>
            </w:pPr>
            <w:r w:rsidRPr="000449D1">
              <w:rPr>
                <w:rFonts w:cs="Courier New"/>
              </w:rPr>
              <w:t>Software</w:t>
            </w:r>
          </w:p>
        </w:tc>
        <w:tc>
          <w:tcPr>
            <w:tcW w:w="3902" w:type="pct"/>
          </w:tcPr>
          <w:p w14:paraId="0CBF871D" w14:textId="77777777" w:rsidR="004E63D6" w:rsidRPr="000449D1" w:rsidRDefault="004E63D6" w:rsidP="00CA410A">
            <w:pPr>
              <w:pStyle w:val="TableText"/>
              <w:keepNext/>
              <w:rPr>
                <w:rFonts w:cs="Courier New"/>
              </w:rPr>
            </w:pPr>
            <w:r>
              <w:rPr>
                <w:rFonts w:cs="Courier New"/>
              </w:rPr>
              <w:t>TreeAge Pro and</w:t>
            </w:r>
            <w:r w:rsidRPr="00A41FD7">
              <w:rPr>
                <w:rFonts w:cs="Courier New"/>
              </w:rPr>
              <w:t xml:space="preserve"> Microsoft Excel</w:t>
            </w:r>
          </w:p>
        </w:tc>
      </w:tr>
    </w:tbl>
    <w:p w14:paraId="1D65797C" w14:textId="77777777" w:rsidR="004E63D6" w:rsidRDefault="004E63D6" w:rsidP="004E63D6">
      <w:pPr>
        <w:pStyle w:val="TableFooter"/>
      </w:pPr>
      <w:r>
        <w:rPr>
          <w:i/>
        </w:rPr>
        <w:t>ALK</w:t>
      </w:r>
      <w:r>
        <w:t xml:space="preserve"> = </w:t>
      </w:r>
      <w:r w:rsidRPr="003316EF">
        <w:t>anaplastic lymphoma kinase</w:t>
      </w:r>
      <w:r>
        <w:t xml:space="preserve">; DNA = deoxyribose nucleic acid; </w:t>
      </w:r>
      <w:r w:rsidRPr="00A81F01">
        <w:rPr>
          <w:i/>
        </w:rPr>
        <w:t>EGFR</w:t>
      </w:r>
      <w:r>
        <w:t xml:space="preserve"> = </w:t>
      </w:r>
      <w:r w:rsidRPr="00A81F01">
        <w:t>epidermal growth factor receptor</w:t>
      </w:r>
      <w:r>
        <w:t>; FISH = f</w:t>
      </w:r>
      <w:r w:rsidRPr="003316EF">
        <w:t xml:space="preserve">luorescence </w:t>
      </w:r>
      <w:r w:rsidRPr="00357441">
        <w:rPr>
          <w:i/>
          <w:iCs/>
        </w:rPr>
        <w:t>in situ</w:t>
      </w:r>
      <w:r w:rsidRPr="003316EF">
        <w:t xml:space="preserve"> hybridisation</w:t>
      </w:r>
      <w:r>
        <w:t xml:space="preserve">; IHC = immunohistochemistry; </w:t>
      </w:r>
      <w:r w:rsidRPr="00336456">
        <w:rPr>
          <w:i/>
        </w:rPr>
        <w:t>MET</w:t>
      </w:r>
      <w:r>
        <w:t xml:space="preserve">ex14sk = MET proto-oncogene, receptor tyrosine kinase exon 14 skipping alterations; NOS = not otherwise specified; NSCLC = non-small cell lung cancer; RNA = ribonucleic acid; </w:t>
      </w:r>
      <w:r w:rsidRPr="00743D1B">
        <w:rPr>
          <w:i/>
        </w:rPr>
        <w:t>ROS1</w:t>
      </w:r>
      <w:r>
        <w:t xml:space="preserve"> = ROS proto-oncogene 1.</w:t>
      </w:r>
    </w:p>
    <w:p w14:paraId="6148C2AD" w14:textId="291BC83B" w:rsidR="004E63D6" w:rsidRPr="003251C2" w:rsidRDefault="004E63D6" w:rsidP="008219FC">
      <w:pPr>
        <w:pStyle w:val="NormalBeforeBullet"/>
        <w:spacing w:before="160"/>
      </w:pPr>
      <w:r w:rsidRPr="009A7628">
        <w:t xml:space="preserve">The results of </w:t>
      </w:r>
      <w:r>
        <w:t>the</w:t>
      </w:r>
      <w:r w:rsidRPr="009A7628">
        <w:t xml:space="preserve"> stepped analysis </w:t>
      </w:r>
      <w:r>
        <w:t>to generate</w:t>
      </w:r>
      <w:r w:rsidRPr="009A7628">
        <w:t xml:space="preserve"> the base case economic evaluation is presented in</w:t>
      </w:r>
      <w:r>
        <w:t xml:space="preserve"> </w:t>
      </w:r>
      <w:r>
        <w:fldChar w:fldCharType="begin"/>
      </w:r>
      <w:r>
        <w:instrText xml:space="preserve"> REF _Ref69725876 \h  \* MERGEFORMAT </w:instrText>
      </w:r>
      <w:r>
        <w:fldChar w:fldCharType="separate"/>
      </w:r>
      <w:r w:rsidR="00C857F3" w:rsidRPr="00CE28E3">
        <w:t>Table</w:t>
      </w:r>
      <w:r w:rsidR="00C857F3">
        <w:t> 10</w:t>
      </w:r>
      <w:r>
        <w:fldChar w:fldCharType="end"/>
      </w:r>
      <w:r>
        <w:t xml:space="preserve">. The steps that had the most effect on the results of the analysis included restricting RNA-only panel testing to those without </w:t>
      </w:r>
      <w:r w:rsidRPr="00A75F36">
        <w:rPr>
          <w:i/>
        </w:rPr>
        <w:t>KRAS</w:t>
      </w:r>
      <w:r>
        <w:t xml:space="preserve"> and </w:t>
      </w:r>
      <w:r w:rsidRPr="00A75F36">
        <w:rPr>
          <w:i/>
        </w:rPr>
        <w:t>BRAF</w:t>
      </w:r>
      <w:r>
        <w:t xml:space="preserve"> activating variants; applying an increase in variant yield with panel testing, the inclusion of patients tested with early-stage disease who do not progress; and including costs and outcomes related to rebiopsy.</w:t>
      </w:r>
    </w:p>
    <w:p w14:paraId="3F61525F" w14:textId="46A5C08F" w:rsidR="004E63D6" w:rsidRPr="00CE28E3" w:rsidRDefault="004E63D6" w:rsidP="004E63D6">
      <w:pPr>
        <w:pStyle w:val="Caption"/>
      </w:pPr>
      <w:bookmarkStart w:id="34" w:name="_Ref69725876"/>
      <w:r w:rsidRPr="00CE28E3">
        <w:t>Table</w:t>
      </w:r>
      <w:r>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10</w:t>
      </w:r>
      <w:r w:rsidRPr="00CE28E3">
        <w:rPr>
          <w:noProof/>
        </w:rPr>
        <w:fldChar w:fldCharType="end"/>
      </w:r>
      <w:bookmarkEnd w:id="34"/>
      <w:r w:rsidRPr="00CE28E3">
        <w:t xml:space="preserve"> </w:t>
      </w:r>
      <w:r w:rsidRPr="00CE28E3">
        <w:tab/>
        <w:t>Results of the stepped economic analysis</w:t>
      </w:r>
    </w:p>
    <w:tbl>
      <w:tblPr>
        <w:tblStyle w:val="TableGrid1"/>
        <w:tblW w:w="5000" w:type="pct"/>
        <w:tblLayout w:type="fixed"/>
        <w:tblLook w:val="04A0" w:firstRow="1" w:lastRow="0" w:firstColumn="1" w:lastColumn="0" w:noHBand="0" w:noVBand="1"/>
        <w:tblCaption w:val="Results of the stepped economic analysis"/>
        <w:tblDescription w:val="Results of the stepped economic analysis"/>
      </w:tblPr>
      <w:tblGrid>
        <w:gridCol w:w="5521"/>
        <w:gridCol w:w="1205"/>
        <w:gridCol w:w="1206"/>
        <w:gridCol w:w="1084"/>
      </w:tblGrid>
      <w:tr w:rsidR="004E63D6" w:rsidRPr="00373827" w14:paraId="5BCBC5DC" w14:textId="77777777" w:rsidTr="00F56CC8">
        <w:trPr>
          <w:cnfStyle w:val="100000000000" w:firstRow="1" w:lastRow="0" w:firstColumn="0" w:lastColumn="0" w:oddVBand="0" w:evenVBand="0" w:oddHBand="0" w:evenHBand="0" w:firstRowFirstColumn="0" w:firstRowLastColumn="0" w:lastRowFirstColumn="0" w:lastRowLastColumn="0"/>
          <w:trHeight w:val="300"/>
          <w:tblHeader/>
        </w:trPr>
        <w:tc>
          <w:tcPr>
            <w:tcW w:w="3062" w:type="pct"/>
            <w:tcBorders>
              <w:bottom w:val="single" w:sz="4" w:space="0" w:color="auto"/>
            </w:tcBorders>
            <w:noWrap/>
            <w:hideMark/>
          </w:tcPr>
          <w:p w14:paraId="13A1D317" w14:textId="77777777" w:rsidR="004E63D6" w:rsidRPr="00373827" w:rsidRDefault="004E63D6" w:rsidP="00152404">
            <w:pPr>
              <w:pStyle w:val="TableHeading"/>
              <w:keepNext w:val="0"/>
            </w:pPr>
          </w:p>
        </w:tc>
        <w:tc>
          <w:tcPr>
            <w:tcW w:w="668" w:type="pct"/>
            <w:tcBorders>
              <w:bottom w:val="single" w:sz="4" w:space="0" w:color="auto"/>
            </w:tcBorders>
            <w:noWrap/>
            <w:hideMark/>
          </w:tcPr>
          <w:p w14:paraId="422BE542" w14:textId="77777777" w:rsidR="004E63D6" w:rsidRPr="00373827" w:rsidRDefault="004E63D6" w:rsidP="00152404">
            <w:pPr>
              <w:pStyle w:val="TableHeading"/>
              <w:keepNext w:val="0"/>
              <w:jc w:val="center"/>
            </w:pPr>
            <w:r w:rsidRPr="00373827">
              <w:t>Small gene panel testing</w:t>
            </w:r>
          </w:p>
        </w:tc>
        <w:tc>
          <w:tcPr>
            <w:tcW w:w="669" w:type="pct"/>
            <w:tcBorders>
              <w:bottom w:val="single" w:sz="4" w:space="0" w:color="auto"/>
            </w:tcBorders>
            <w:noWrap/>
            <w:hideMark/>
          </w:tcPr>
          <w:p w14:paraId="2906EEE4" w14:textId="77777777" w:rsidR="004E63D6" w:rsidRPr="00373827" w:rsidRDefault="004E63D6" w:rsidP="00152404">
            <w:pPr>
              <w:pStyle w:val="TableHeading"/>
              <w:keepNext w:val="0"/>
              <w:jc w:val="center"/>
            </w:pPr>
            <w:r w:rsidRPr="00373827">
              <w:t>Single gene testing</w:t>
            </w:r>
          </w:p>
        </w:tc>
        <w:tc>
          <w:tcPr>
            <w:tcW w:w="601" w:type="pct"/>
            <w:tcBorders>
              <w:bottom w:val="single" w:sz="4" w:space="0" w:color="auto"/>
            </w:tcBorders>
            <w:noWrap/>
            <w:hideMark/>
          </w:tcPr>
          <w:p w14:paraId="0A077979" w14:textId="77777777" w:rsidR="004E63D6" w:rsidRPr="00373827" w:rsidRDefault="004E63D6" w:rsidP="00152404">
            <w:pPr>
              <w:pStyle w:val="TableHeading"/>
              <w:keepNext w:val="0"/>
              <w:jc w:val="center"/>
            </w:pPr>
            <w:r w:rsidRPr="00373827">
              <w:t>Increment</w:t>
            </w:r>
          </w:p>
        </w:tc>
      </w:tr>
      <w:tr w:rsidR="00152404" w:rsidRPr="00373827" w14:paraId="02ED33AB" w14:textId="77777777" w:rsidTr="00152404">
        <w:trPr>
          <w:trHeight w:val="300"/>
        </w:trPr>
        <w:tc>
          <w:tcPr>
            <w:tcW w:w="5000" w:type="pct"/>
            <w:gridSpan w:val="4"/>
            <w:noWrap/>
            <w:hideMark/>
          </w:tcPr>
          <w:p w14:paraId="1D5E57E9" w14:textId="77777777" w:rsidR="00152404" w:rsidRDefault="00152404" w:rsidP="00152404">
            <w:pPr>
              <w:pStyle w:val="TableText"/>
              <w:keepNext/>
              <w:rPr>
                <w:b/>
              </w:rPr>
            </w:pPr>
            <w:r>
              <w:rPr>
                <w:b/>
              </w:rPr>
              <w:t>Step 1: T</w:t>
            </w:r>
            <w:r w:rsidRPr="00373827">
              <w:rPr>
                <w:b/>
              </w:rPr>
              <w:t>est cost difference only</w:t>
            </w:r>
          </w:p>
          <w:p w14:paraId="07C3F07A" w14:textId="7A94B3B1" w:rsidR="00152404" w:rsidRPr="00373827" w:rsidRDefault="00152404" w:rsidP="00152404">
            <w:pPr>
              <w:pStyle w:val="TableText"/>
              <w:keepNext/>
              <w:rPr>
                <w:b/>
              </w:rPr>
            </w:pPr>
            <w:r>
              <w:rPr>
                <w:rFonts w:cs="Courier New"/>
              </w:rPr>
              <w:t>N</w:t>
            </w:r>
            <w:r w:rsidRPr="006B4048">
              <w:rPr>
                <w:rFonts w:cs="Courier New"/>
              </w:rPr>
              <w:t xml:space="preserve">o difference in success or </w:t>
            </w:r>
            <w:r>
              <w:rPr>
                <w:rFonts w:cs="Courier New"/>
              </w:rPr>
              <w:t xml:space="preserve">yield between current and proposed testing. In two-stage panel testing, patients with </w:t>
            </w:r>
            <w:r w:rsidRPr="00F63608">
              <w:rPr>
                <w:rFonts w:cs="Courier New"/>
                <w:i/>
              </w:rPr>
              <w:t>KRAS</w:t>
            </w:r>
            <w:r>
              <w:rPr>
                <w:rFonts w:cs="Courier New"/>
              </w:rPr>
              <w:t xml:space="preserve"> or </w:t>
            </w:r>
            <w:r w:rsidRPr="00F63608">
              <w:rPr>
                <w:rFonts w:cs="Courier New"/>
                <w:i/>
              </w:rPr>
              <w:t>BRAF</w:t>
            </w:r>
            <w:r>
              <w:rPr>
                <w:rFonts w:cs="Courier New"/>
              </w:rPr>
              <w:t xml:space="preserve"> variants receive RNA testing.</w:t>
            </w:r>
          </w:p>
        </w:tc>
      </w:tr>
      <w:tr w:rsidR="004E63D6" w:rsidRPr="00373827" w14:paraId="4021BE79" w14:textId="77777777" w:rsidTr="00CA410A">
        <w:trPr>
          <w:trHeight w:val="300"/>
        </w:trPr>
        <w:tc>
          <w:tcPr>
            <w:tcW w:w="3062" w:type="pct"/>
            <w:tcBorders>
              <w:bottom w:val="single" w:sz="4" w:space="0" w:color="auto"/>
            </w:tcBorders>
            <w:noWrap/>
            <w:hideMark/>
          </w:tcPr>
          <w:p w14:paraId="60E3D533" w14:textId="77777777" w:rsidR="004E63D6" w:rsidRPr="00373827" w:rsidRDefault="004E63D6" w:rsidP="00152404">
            <w:pPr>
              <w:pStyle w:val="TableText"/>
            </w:pPr>
            <w:r w:rsidRPr="00373827">
              <w:t>Total cost</w:t>
            </w:r>
          </w:p>
        </w:tc>
        <w:tc>
          <w:tcPr>
            <w:tcW w:w="668" w:type="pct"/>
            <w:tcBorders>
              <w:bottom w:val="single" w:sz="4" w:space="0" w:color="auto"/>
            </w:tcBorders>
            <w:noWrap/>
            <w:hideMark/>
          </w:tcPr>
          <w:p w14:paraId="1F76FA92" w14:textId="77777777" w:rsidR="004E63D6" w:rsidRPr="00373827" w:rsidRDefault="004E63D6" w:rsidP="00152404">
            <w:pPr>
              <w:pStyle w:val="TableText"/>
              <w:jc w:val="right"/>
            </w:pPr>
            <w:r w:rsidRPr="009D31F8">
              <w:t>$1,240.55</w:t>
            </w:r>
          </w:p>
        </w:tc>
        <w:tc>
          <w:tcPr>
            <w:tcW w:w="669" w:type="pct"/>
            <w:tcBorders>
              <w:bottom w:val="single" w:sz="4" w:space="0" w:color="auto"/>
            </w:tcBorders>
            <w:noWrap/>
            <w:hideMark/>
          </w:tcPr>
          <w:p w14:paraId="327772E1" w14:textId="77777777" w:rsidR="004E63D6" w:rsidRPr="00373827" w:rsidRDefault="004E63D6" w:rsidP="00152404">
            <w:pPr>
              <w:pStyle w:val="TableText"/>
              <w:jc w:val="right"/>
            </w:pPr>
            <w:r w:rsidRPr="009D31F8">
              <w:t>$894.72</w:t>
            </w:r>
          </w:p>
        </w:tc>
        <w:tc>
          <w:tcPr>
            <w:tcW w:w="601" w:type="pct"/>
            <w:tcBorders>
              <w:bottom w:val="single" w:sz="4" w:space="0" w:color="auto"/>
            </w:tcBorders>
            <w:noWrap/>
            <w:hideMark/>
          </w:tcPr>
          <w:p w14:paraId="2B7EF24A" w14:textId="77777777" w:rsidR="004E63D6" w:rsidRPr="00373827" w:rsidRDefault="004E63D6" w:rsidP="00152404">
            <w:pPr>
              <w:pStyle w:val="TableText"/>
              <w:jc w:val="right"/>
            </w:pPr>
            <w:r w:rsidRPr="009D31F8">
              <w:t>$345.83</w:t>
            </w:r>
          </w:p>
        </w:tc>
      </w:tr>
      <w:tr w:rsidR="00152404" w:rsidRPr="00373827" w14:paraId="3D65BA15" w14:textId="77777777" w:rsidTr="00152404">
        <w:trPr>
          <w:trHeight w:val="300"/>
        </w:trPr>
        <w:tc>
          <w:tcPr>
            <w:tcW w:w="5000" w:type="pct"/>
            <w:gridSpan w:val="4"/>
            <w:noWrap/>
            <w:hideMark/>
          </w:tcPr>
          <w:p w14:paraId="2080B544" w14:textId="77777777" w:rsidR="00152404" w:rsidRDefault="00152404" w:rsidP="00152404">
            <w:pPr>
              <w:pStyle w:val="TableText"/>
              <w:keepNext/>
              <w:rPr>
                <w:b/>
              </w:rPr>
            </w:pPr>
            <w:r>
              <w:rPr>
                <w:b/>
              </w:rPr>
              <w:t>Step 2: R</w:t>
            </w:r>
            <w:r w:rsidRPr="00373827">
              <w:rPr>
                <w:b/>
              </w:rPr>
              <w:t>NA panel testing</w:t>
            </w:r>
            <w:r>
              <w:rPr>
                <w:b/>
              </w:rPr>
              <w:t xml:space="preserve"> restricted</w:t>
            </w:r>
            <w:r w:rsidRPr="00373827">
              <w:rPr>
                <w:b/>
              </w:rPr>
              <w:t xml:space="preserve"> to </w:t>
            </w:r>
            <w:r w:rsidRPr="00DB3E00">
              <w:rPr>
                <w:b/>
                <w:i/>
              </w:rPr>
              <w:t>KRAS</w:t>
            </w:r>
            <w:r w:rsidRPr="00373827">
              <w:rPr>
                <w:b/>
              </w:rPr>
              <w:t xml:space="preserve"> and </w:t>
            </w:r>
            <w:r w:rsidRPr="00DB3E00">
              <w:rPr>
                <w:b/>
                <w:i/>
              </w:rPr>
              <w:t>BRAF</w:t>
            </w:r>
            <w:r w:rsidRPr="00373827">
              <w:rPr>
                <w:b/>
              </w:rPr>
              <w:t xml:space="preserve"> negatives</w:t>
            </w:r>
          </w:p>
          <w:p w14:paraId="1D78C68C" w14:textId="6AAEDAF4" w:rsidR="00152404" w:rsidRPr="00373827" w:rsidRDefault="00152404" w:rsidP="00152404">
            <w:pPr>
              <w:pStyle w:val="TableText"/>
              <w:keepNext/>
              <w:rPr>
                <w:b/>
              </w:rPr>
            </w:pPr>
            <w:r>
              <w:rPr>
                <w:rFonts w:cs="Courier New"/>
              </w:rPr>
              <w:t xml:space="preserve">As per the proposed small RNA gene panel test item, where two-stage panel testing is used, patients found with </w:t>
            </w:r>
            <w:r w:rsidRPr="00F63608">
              <w:rPr>
                <w:rFonts w:cs="Courier New"/>
                <w:i/>
              </w:rPr>
              <w:t>KRAS</w:t>
            </w:r>
            <w:r>
              <w:rPr>
                <w:rFonts w:cs="Courier New"/>
              </w:rPr>
              <w:t xml:space="preserve"> or </w:t>
            </w:r>
            <w:r w:rsidRPr="00F63608">
              <w:rPr>
                <w:rFonts w:cs="Courier New"/>
                <w:i/>
              </w:rPr>
              <w:t>BRAF</w:t>
            </w:r>
            <w:r>
              <w:rPr>
                <w:rFonts w:cs="Courier New"/>
              </w:rPr>
              <w:t xml:space="preserve"> variants </w:t>
            </w:r>
            <w:r w:rsidRPr="00AB61FE">
              <w:rPr>
                <w:rFonts w:cs="Courier New"/>
                <w:u w:val="single"/>
              </w:rPr>
              <w:t>cannot</w:t>
            </w:r>
            <w:r>
              <w:rPr>
                <w:rFonts w:cs="Courier New"/>
              </w:rPr>
              <w:t xml:space="preserve"> receive RNA testing</w:t>
            </w:r>
            <w:r w:rsidR="00992639">
              <w:rPr>
                <w:rFonts w:cs="Courier New"/>
              </w:rPr>
              <w:t>.</w:t>
            </w:r>
          </w:p>
        </w:tc>
      </w:tr>
      <w:tr w:rsidR="004E63D6" w:rsidRPr="00373827" w14:paraId="35B912DA" w14:textId="77777777" w:rsidTr="00CA410A">
        <w:trPr>
          <w:trHeight w:val="300"/>
        </w:trPr>
        <w:tc>
          <w:tcPr>
            <w:tcW w:w="3062" w:type="pct"/>
            <w:tcBorders>
              <w:bottom w:val="single" w:sz="4" w:space="0" w:color="auto"/>
            </w:tcBorders>
            <w:noWrap/>
            <w:hideMark/>
          </w:tcPr>
          <w:p w14:paraId="02A08D93" w14:textId="77777777" w:rsidR="004E63D6" w:rsidRPr="00373827" w:rsidRDefault="004E63D6" w:rsidP="00152404">
            <w:pPr>
              <w:pStyle w:val="TableText"/>
            </w:pPr>
            <w:r w:rsidRPr="00373827">
              <w:t>Total cost</w:t>
            </w:r>
          </w:p>
        </w:tc>
        <w:tc>
          <w:tcPr>
            <w:tcW w:w="668" w:type="pct"/>
            <w:tcBorders>
              <w:bottom w:val="single" w:sz="4" w:space="0" w:color="auto"/>
            </w:tcBorders>
            <w:noWrap/>
            <w:hideMark/>
          </w:tcPr>
          <w:p w14:paraId="646400FD" w14:textId="77777777" w:rsidR="004E63D6" w:rsidRPr="00373827" w:rsidRDefault="004E63D6" w:rsidP="00152404">
            <w:pPr>
              <w:pStyle w:val="TableText"/>
              <w:jc w:val="right"/>
            </w:pPr>
            <w:r w:rsidRPr="009D31F8">
              <w:t>$1,093.43</w:t>
            </w:r>
          </w:p>
        </w:tc>
        <w:tc>
          <w:tcPr>
            <w:tcW w:w="669" w:type="pct"/>
            <w:tcBorders>
              <w:bottom w:val="single" w:sz="4" w:space="0" w:color="auto"/>
            </w:tcBorders>
            <w:noWrap/>
            <w:hideMark/>
          </w:tcPr>
          <w:p w14:paraId="6B86D9C7" w14:textId="77777777" w:rsidR="004E63D6" w:rsidRPr="00373827" w:rsidRDefault="004E63D6" w:rsidP="00152404">
            <w:pPr>
              <w:pStyle w:val="TableText"/>
              <w:jc w:val="right"/>
            </w:pPr>
            <w:r w:rsidRPr="009D31F8">
              <w:t>$894.72</w:t>
            </w:r>
          </w:p>
        </w:tc>
        <w:tc>
          <w:tcPr>
            <w:tcW w:w="601" w:type="pct"/>
            <w:tcBorders>
              <w:bottom w:val="single" w:sz="4" w:space="0" w:color="auto"/>
            </w:tcBorders>
            <w:noWrap/>
            <w:hideMark/>
          </w:tcPr>
          <w:p w14:paraId="2F5D9F68" w14:textId="77777777" w:rsidR="004E63D6" w:rsidRPr="00373827" w:rsidRDefault="004E63D6" w:rsidP="00152404">
            <w:pPr>
              <w:pStyle w:val="TableText"/>
              <w:jc w:val="right"/>
            </w:pPr>
            <w:r w:rsidRPr="009D31F8">
              <w:t>$198.72</w:t>
            </w:r>
          </w:p>
        </w:tc>
      </w:tr>
      <w:tr w:rsidR="00152404" w:rsidRPr="00373827" w14:paraId="78AFC5DF" w14:textId="77777777" w:rsidTr="00152404">
        <w:trPr>
          <w:trHeight w:val="300"/>
        </w:trPr>
        <w:tc>
          <w:tcPr>
            <w:tcW w:w="5000" w:type="pct"/>
            <w:gridSpan w:val="4"/>
            <w:tcBorders>
              <w:bottom w:val="single" w:sz="4" w:space="0" w:color="auto"/>
            </w:tcBorders>
            <w:noWrap/>
            <w:hideMark/>
          </w:tcPr>
          <w:p w14:paraId="4619954E" w14:textId="5112A818" w:rsidR="00152404" w:rsidRDefault="00152404" w:rsidP="00152404">
            <w:pPr>
              <w:pStyle w:val="TableText"/>
              <w:keepNext/>
              <w:rPr>
                <w:b/>
              </w:rPr>
            </w:pPr>
            <w:r>
              <w:rPr>
                <w:b/>
              </w:rPr>
              <w:lastRenderedPageBreak/>
              <w:t xml:space="preserve">Step 3: </w:t>
            </w:r>
            <w:r w:rsidRPr="00373827">
              <w:rPr>
                <w:b/>
              </w:rPr>
              <w:t xml:space="preserve">Incorporate </w:t>
            </w:r>
            <w:r>
              <w:rPr>
                <w:b/>
              </w:rPr>
              <w:t>differences in</w:t>
            </w:r>
            <w:r w:rsidRPr="00373827">
              <w:rPr>
                <w:b/>
              </w:rPr>
              <w:t xml:space="preserve"> test success</w:t>
            </w:r>
            <w:r>
              <w:rPr>
                <w:b/>
              </w:rPr>
              <w:t xml:space="preserve"> across model arms</w:t>
            </w:r>
          </w:p>
          <w:p w14:paraId="10DFE70E" w14:textId="5DB73B67" w:rsidR="00152404" w:rsidRPr="00373827" w:rsidRDefault="00152404" w:rsidP="00152404">
            <w:pPr>
              <w:pStyle w:val="TableText"/>
              <w:keepNext/>
              <w:rPr>
                <w:b/>
              </w:rPr>
            </w:pPr>
            <w:r>
              <w:t>Sufficient sample is available for testing in 97.2% of patients tested with small gene panels, compared to 94.6% with single gene testing, based on Steeghs et al. (2022)</w:t>
            </w:r>
            <w:r w:rsidR="00EF55F9" w:rsidRPr="00EF55F9">
              <w:rPr>
                <w:vertAlign w:val="superscript"/>
              </w:rPr>
              <w:t>a</w:t>
            </w:r>
            <w:r>
              <w:t xml:space="preserve"> (Section 10). As proposed testing can only be claimed once per episode of disease and cannot be claimed in addition to single gene items, where testing is not successful due to insufficient sample, no cost of testing is assumed to apply in either model arm.</w:t>
            </w:r>
          </w:p>
        </w:tc>
      </w:tr>
      <w:tr w:rsidR="004E63D6" w:rsidRPr="00373827" w14:paraId="7E4EE0B9" w14:textId="77777777" w:rsidTr="00CA410A">
        <w:trPr>
          <w:trHeight w:val="300"/>
        </w:trPr>
        <w:tc>
          <w:tcPr>
            <w:tcW w:w="3062" w:type="pct"/>
            <w:tcBorders>
              <w:bottom w:val="nil"/>
            </w:tcBorders>
            <w:noWrap/>
            <w:hideMark/>
          </w:tcPr>
          <w:p w14:paraId="0A46E849" w14:textId="77777777" w:rsidR="004E63D6" w:rsidRPr="00373827" w:rsidRDefault="004E63D6" w:rsidP="006055B3">
            <w:pPr>
              <w:pStyle w:val="TableText"/>
              <w:keepNext/>
            </w:pPr>
            <w:r w:rsidRPr="00373827">
              <w:t>Total cost</w:t>
            </w:r>
          </w:p>
        </w:tc>
        <w:tc>
          <w:tcPr>
            <w:tcW w:w="668" w:type="pct"/>
            <w:tcBorders>
              <w:bottom w:val="nil"/>
            </w:tcBorders>
            <w:noWrap/>
            <w:hideMark/>
          </w:tcPr>
          <w:p w14:paraId="5D49FE20" w14:textId="77777777" w:rsidR="004E63D6" w:rsidRPr="00373827" w:rsidRDefault="004E63D6" w:rsidP="006055B3">
            <w:pPr>
              <w:pStyle w:val="TableText"/>
              <w:keepNext/>
              <w:jc w:val="right"/>
            </w:pPr>
            <w:r w:rsidRPr="009D31F8">
              <w:t>$1,062.82</w:t>
            </w:r>
          </w:p>
        </w:tc>
        <w:tc>
          <w:tcPr>
            <w:tcW w:w="669" w:type="pct"/>
            <w:tcBorders>
              <w:bottom w:val="nil"/>
            </w:tcBorders>
            <w:noWrap/>
            <w:hideMark/>
          </w:tcPr>
          <w:p w14:paraId="7AA70802" w14:textId="77777777" w:rsidR="004E63D6" w:rsidRPr="00373827" w:rsidRDefault="004E63D6" w:rsidP="006055B3">
            <w:pPr>
              <w:pStyle w:val="TableText"/>
              <w:keepNext/>
              <w:jc w:val="right"/>
            </w:pPr>
            <w:r w:rsidRPr="009D31F8">
              <w:t>$846.40</w:t>
            </w:r>
          </w:p>
        </w:tc>
        <w:tc>
          <w:tcPr>
            <w:tcW w:w="601" w:type="pct"/>
            <w:tcBorders>
              <w:bottom w:val="nil"/>
            </w:tcBorders>
            <w:noWrap/>
            <w:hideMark/>
          </w:tcPr>
          <w:p w14:paraId="74EB34A0" w14:textId="77777777" w:rsidR="004E63D6" w:rsidRPr="00373827" w:rsidRDefault="004E63D6" w:rsidP="006055B3">
            <w:pPr>
              <w:pStyle w:val="TableText"/>
              <w:keepNext/>
              <w:jc w:val="right"/>
            </w:pPr>
            <w:r w:rsidRPr="009D31F8">
              <w:t>$216.42</w:t>
            </w:r>
          </w:p>
        </w:tc>
      </w:tr>
      <w:tr w:rsidR="004E63D6" w:rsidRPr="00373827" w14:paraId="3F72FD6C" w14:textId="77777777" w:rsidTr="00CA410A">
        <w:trPr>
          <w:trHeight w:val="300"/>
        </w:trPr>
        <w:tc>
          <w:tcPr>
            <w:tcW w:w="3062" w:type="pct"/>
            <w:tcBorders>
              <w:top w:val="nil"/>
              <w:bottom w:val="single" w:sz="4" w:space="0" w:color="auto"/>
            </w:tcBorders>
            <w:noWrap/>
            <w:hideMark/>
          </w:tcPr>
          <w:p w14:paraId="33100A20" w14:textId="594647A8" w:rsidR="004E63D6" w:rsidRPr="00594BF4" w:rsidRDefault="004E63D6" w:rsidP="006055B3">
            <w:pPr>
              <w:pStyle w:val="TableText"/>
              <w:keepNext/>
            </w:pPr>
            <w:r w:rsidRPr="00373827">
              <w:t>Proportion with an actionable variant identified</w:t>
            </w:r>
            <w:r w:rsidR="00094AA8">
              <w:rPr>
                <w:vertAlign w:val="superscript"/>
              </w:rPr>
              <w:t>b</w:t>
            </w:r>
          </w:p>
        </w:tc>
        <w:tc>
          <w:tcPr>
            <w:tcW w:w="668" w:type="pct"/>
            <w:tcBorders>
              <w:top w:val="nil"/>
              <w:bottom w:val="single" w:sz="4" w:space="0" w:color="auto"/>
            </w:tcBorders>
            <w:noWrap/>
            <w:hideMark/>
          </w:tcPr>
          <w:p w14:paraId="09613D47" w14:textId="77777777" w:rsidR="004E63D6" w:rsidRPr="00373827" w:rsidRDefault="004E63D6" w:rsidP="006055B3">
            <w:pPr>
              <w:pStyle w:val="TableText"/>
              <w:keepNext/>
              <w:jc w:val="right"/>
            </w:pPr>
            <w:r w:rsidRPr="009D31F8">
              <w:t>0.2256</w:t>
            </w:r>
          </w:p>
        </w:tc>
        <w:tc>
          <w:tcPr>
            <w:tcW w:w="669" w:type="pct"/>
            <w:tcBorders>
              <w:top w:val="nil"/>
              <w:bottom w:val="single" w:sz="4" w:space="0" w:color="auto"/>
            </w:tcBorders>
            <w:noWrap/>
            <w:hideMark/>
          </w:tcPr>
          <w:p w14:paraId="7278837D" w14:textId="77777777" w:rsidR="004E63D6" w:rsidRPr="00373827" w:rsidRDefault="004E63D6" w:rsidP="006055B3">
            <w:pPr>
              <w:pStyle w:val="TableText"/>
              <w:keepNext/>
              <w:jc w:val="right"/>
            </w:pPr>
            <w:r w:rsidRPr="009D31F8">
              <w:t>0.2196</w:t>
            </w:r>
          </w:p>
        </w:tc>
        <w:tc>
          <w:tcPr>
            <w:tcW w:w="601" w:type="pct"/>
            <w:tcBorders>
              <w:top w:val="nil"/>
            </w:tcBorders>
            <w:noWrap/>
            <w:hideMark/>
          </w:tcPr>
          <w:p w14:paraId="1459432E" w14:textId="77777777" w:rsidR="004E63D6" w:rsidRPr="00373827" w:rsidRDefault="004E63D6" w:rsidP="006055B3">
            <w:pPr>
              <w:pStyle w:val="TableText"/>
              <w:keepNext/>
              <w:jc w:val="right"/>
            </w:pPr>
            <w:r w:rsidRPr="009D31F8">
              <w:t>0.0060</w:t>
            </w:r>
          </w:p>
        </w:tc>
      </w:tr>
      <w:tr w:rsidR="004E63D6" w:rsidRPr="00373827" w14:paraId="00F04CAC" w14:textId="77777777" w:rsidTr="00CA410A">
        <w:trPr>
          <w:trHeight w:val="300"/>
        </w:trPr>
        <w:tc>
          <w:tcPr>
            <w:tcW w:w="3062" w:type="pct"/>
            <w:tcBorders>
              <w:bottom w:val="single" w:sz="4" w:space="0" w:color="auto"/>
              <w:right w:val="nil"/>
            </w:tcBorders>
            <w:noWrap/>
            <w:hideMark/>
          </w:tcPr>
          <w:p w14:paraId="3970FD8A" w14:textId="77777777" w:rsidR="004E63D6" w:rsidRPr="00373827" w:rsidRDefault="004E63D6" w:rsidP="00152404">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hideMark/>
          </w:tcPr>
          <w:p w14:paraId="3EBB60CA" w14:textId="77777777" w:rsidR="004E63D6" w:rsidRPr="00373827" w:rsidRDefault="004E63D6" w:rsidP="00152404">
            <w:pPr>
              <w:pStyle w:val="TableText"/>
              <w:jc w:val="right"/>
              <w:rPr>
                <w:b/>
              </w:rPr>
            </w:pPr>
          </w:p>
        </w:tc>
        <w:tc>
          <w:tcPr>
            <w:tcW w:w="669" w:type="pct"/>
            <w:tcBorders>
              <w:left w:val="nil"/>
              <w:bottom w:val="single" w:sz="4" w:space="0" w:color="auto"/>
            </w:tcBorders>
            <w:noWrap/>
            <w:hideMark/>
          </w:tcPr>
          <w:p w14:paraId="357CEE10" w14:textId="77777777" w:rsidR="004E63D6" w:rsidRPr="00373827" w:rsidRDefault="004E63D6" w:rsidP="00152404">
            <w:pPr>
              <w:pStyle w:val="TableText"/>
              <w:jc w:val="right"/>
              <w:rPr>
                <w:b/>
              </w:rPr>
            </w:pPr>
          </w:p>
        </w:tc>
        <w:tc>
          <w:tcPr>
            <w:tcW w:w="601" w:type="pct"/>
            <w:tcBorders>
              <w:bottom w:val="single" w:sz="4" w:space="0" w:color="auto"/>
            </w:tcBorders>
            <w:noWrap/>
            <w:hideMark/>
          </w:tcPr>
          <w:p w14:paraId="14C5BCFF" w14:textId="77777777" w:rsidR="004E63D6" w:rsidRPr="00F11286" w:rsidRDefault="004E63D6" w:rsidP="00152404">
            <w:pPr>
              <w:pStyle w:val="TableText"/>
              <w:jc w:val="right"/>
              <w:rPr>
                <w:b/>
              </w:rPr>
            </w:pPr>
            <w:r w:rsidRPr="00F11286">
              <w:rPr>
                <w:b/>
              </w:rPr>
              <w:t>$35,862</w:t>
            </w:r>
          </w:p>
        </w:tc>
      </w:tr>
      <w:tr w:rsidR="00152404" w:rsidRPr="00373827" w14:paraId="07A682E0" w14:textId="77777777" w:rsidTr="00152404">
        <w:trPr>
          <w:trHeight w:val="300"/>
        </w:trPr>
        <w:tc>
          <w:tcPr>
            <w:tcW w:w="5000" w:type="pct"/>
            <w:gridSpan w:val="4"/>
            <w:tcBorders>
              <w:bottom w:val="single" w:sz="4" w:space="0" w:color="auto"/>
            </w:tcBorders>
            <w:noWrap/>
            <w:hideMark/>
          </w:tcPr>
          <w:p w14:paraId="79CCAFBE" w14:textId="77777777" w:rsidR="00152404" w:rsidRDefault="00152404" w:rsidP="00152404">
            <w:pPr>
              <w:pStyle w:val="TableText"/>
              <w:keepNext/>
              <w:rPr>
                <w:b/>
              </w:rPr>
            </w:pPr>
            <w:r>
              <w:rPr>
                <w:b/>
              </w:rPr>
              <w:t>Step 4: I</w:t>
            </w:r>
            <w:r w:rsidRPr="00373827">
              <w:rPr>
                <w:b/>
              </w:rPr>
              <w:t>ncorporate difference</w:t>
            </w:r>
            <w:r>
              <w:rPr>
                <w:b/>
              </w:rPr>
              <w:t>s</w:t>
            </w:r>
            <w:r w:rsidRPr="00373827">
              <w:rPr>
                <w:b/>
              </w:rPr>
              <w:t xml:space="preserve"> in yield</w:t>
            </w:r>
            <w:r>
              <w:rPr>
                <w:b/>
              </w:rPr>
              <w:t xml:space="preserve"> across model arms</w:t>
            </w:r>
          </w:p>
          <w:p w14:paraId="612C9D97" w14:textId="095AFCD6" w:rsidR="00152404" w:rsidRPr="00373827" w:rsidRDefault="00152404" w:rsidP="00152404">
            <w:pPr>
              <w:pStyle w:val="TableText"/>
              <w:keepNext/>
              <w:rPr>
                <w:b/>
              </w:rPr>
            </w:pPr>
            <w:r>
              <w:t>Concordance data of small gene panel testing, relative to the respective single gene test, is incorporated (</w:t>
            </w:r>
            <w:r>
              <w:fldChar w:fldCharType="begin"/>
            </w:r>
            <w:r>
              <w:instrText xml:space="preserve"> REF _Ref108619549 \h  \* MERGEFORMAT </w:instrText>
            </w:r>
            <w:r>
              <w:fldChar w:fldCharType="separate"/>
            </w:r>
            <w:r w:rsidR="00C857F3">
              <w:t xml:space="preserve">Table </w:t>
            </w:r>
            <w:r w:rsidR="00C857F3">
              <w:rPr>
                <w:noProof/>
              </w:rPr>
              <w:t>6</w:t>
            </w:r>
            <w:r>
              <w:fldChar w:fldCharType="end"/>
            </w:r>
            <w:r>
              <w:t xml:space="preserve">, Section 10). Where PPA &lt; 1, some variants that may have otherwise been identified through single gene testing may be missed, and where NPA &lt; 1 additional </w:t>
            </w:r>
            <w:r w:rsidRPr="00F467E2">
              <w:t>“in scope” and “beyond restriction” variants</w:t>
            </w:r>
            <w:r>
              <w:t xml:space="preserve"> are identified. As the majority of small gene panel testing uses the two-step method, with more variants identified on the small DNA panel, fewer small RNA panels may be required (and so a reduction in small gene panel test cost is observed).</w:t>
            </w:r>
          </w:p>
        </w:tc>
      </w:tr>
      <w:tr w:rsidR="004E63D6" w:rsidRPr="00373827" w14:paraId="53D1B8D2" w14:textId="77777777" w:rsidTr="00CA410A">
        <w:trPr>
          <w:trHeight w:val="300"/>
        </w:trPr>
        <w:tc>
          <w:tcPr>
            <w:tcW w:w="3062" w:type="pct"/>
            <w:tcBorders>
              <w:bottom w:val="nil"/>
            </w:tcBorders>
            <w:noWrap/>
            <w:hideMark/>
          </w:tcPr>
          <w:p w14:paraId="19F776C3" w14:textId="77777777" w:rsidR="004E63D6" w:rsidRPr="00373827" w:rsidRDefault="004E63D6" w:rsidP="006055B3">
            <w:pPr>
              <w:pStyle w:val="TableText"/>
              <w:keepNext/>
            </w:pPr>
            <w:r w:rsidRPr="00373827">
              <w:t>Total cost</w:t>
            </w:r>
          </w:p>
        </w:tc>
        <w:tc>
          <w:tcPr>
            <w:tcW w:w="668" w:type="pct"/>
            <w:tcBorders>
              <w:bottom w:val="nil"/>
            </w:tcBorders>
            <w:noWrap/>
            <w:hideMark/>
          </w:tcPr>
          <w:p w14:paraId="4593D0D6" w14:textId="77777777" w:rsidR="004E63D6" w:rsidRPr="00373827" w:rsidRDefault="004E63D6" w:rsidP="006055B3">
            <w:pPr>
              <w:pStyle w:val="TableText"/>
              <w:keepNext/>
              <w:jc w:val="right"/>
            </w:pPr>
            <w:r w:rsidRPr="009D31F8">
              <w:t>$1,052.71</w:t>
            </w:r>
          </w:p>
        </w:tc>
        <w:tc>
          <w:tcPr>
            <w:tcW w:w="669" w:type="pct"/>
            <w:tcBorders>
              <w:bottom w:val="nil"/>
            </w:tcBorders>
            <w:noWrap/>
            <w:hideMark/>
          </w:tcPr>
          <w:p w14:paraId="52BF6BD8" w14:textId="77777777" w:rsidR="004E63D6" w:rsidRPr="00373827" w:rsidRDefault="004E63D6" w:rsidP="006055B3">
            <w:pPr>
              <w:pStyle w:val="TableText"/>
              <w:keepNext/>
              <w:jc w:val="right"/>
            </w:pPr>
            <w:r w:rsidRPr="009D31F8">
              <w:t>$846.40</w:t>
            </w:r>
          </w:p>
        </w:tc>
        <w:tc>
          <w:tcPr>
            <w:tcW w:w="601" w:type="pct"/>
            <w:tcBorders>
              <w:bottom w:val="nil"/>
            </w:tcBorders>
            <w:noWrap/>
            <w:hideMark/>
          </w:tcPr>
          <w:p w14:paraId="14992FF6" w14:textId="77777777" w:rsidR="004E63D6" w:rsidRPr="00373827" w:rsidRDefault="004E63D6" w:rsidP="006055B3">
            <w:pPr>
              <w:pStyle w:val="TableText"/>
              <w:keepNext/>
              <w:jc w:val="right"/>
            </w:pPr>
            <w:r w:rsidRPr="009D31F8">
              <w:t>$206.30</w:t>
            </w:r>
          </w:p>
        </w:tc>
      </w:tr>
      <w:tr w:rsidR="004E63D6" w:rsidRPr="00373827" w14:paraId="4F6C71C7" w14:textId="77777777" w:rsidTr="00CA410A">
        <w:trPr>
          <w:trHeight w:val="300"/>
        </w:trPr>
        <w:tc>
          <w:tcPr>
            <w:tcW w:w="3062" w:type="pct"/>
            <w:tcBorders>
              <w:top w:val="nil"/>
              <w:bottom w:val="single" w:sz="4" w:space="0" w:color="auto"/>
            </w:tcBorders>
            <w:noWrap/>
            <w:hideMark/>
          </w:tcPr>
          <w:p w14:paraId="2FAC42EE" w14:textId="1B467C9A" w:rsidR="004E63D6" w:rsidRPr="00373827" w:rsidRDefault="004E63D6" w:rsidP="006055B3">
            <w:pPr>
              <w:pStyle w:val="TableText"/>
              <w:keepNext/>
            </w:pPr>
            <w:r w:rsidRPr="00373827">
              <w:t>Proportion with an actionable variant identified</w:t>
            </w:r>
            <w:r w:rsidR="00094AA8">
              <w:rPr>
                <w:vertAlign w:val="superscript"/>
              </w:rPr>
              <w:t>b</w:t>
            </w:r>
          </w:p>
        </w:tc>
        <w:tc>
          <w:tcPr>
            <w:tcW w:w="668" w:type="pct"/>
            <w:tcBorders>
              <w:top w:val="nil"/>
              <w:bottom w:val="single" w:sz="4" w:space="0" w:color="auto"/>
            </w:tcBorders>
            <w:noWrap/>
            <w:hideMark/>
          </w:tcPr>
          <w:p w14:paraId="7E907ADA" w14:textId="77777777" w:rsidR="004E63D6" w:rsidRPr="00373827" w:rsidRDefault="004E63D6" w:rsidP="006055B3">
            <w:pPr>
              <w:pStyle w:val="TableText"/>
              <w:keepNext/>
              <w:jc w:val="right"/>
            </w:pPr>
            <w:r w:rsidRPr="009D31F8">
              <w:t>0.2517</w:t>
            </w:r>
          </w:p>
        </w:tc>
        <w:tc>
          <w:tcPr>
            <w:tcW w:w="669" w:type="pct"/>
            <w:tcBorders>
              <w:top w:val="nil"/>
              <w:bottom w:val="single" w:sz="4" w:space="0" w:color="auto"/>
            </w:tcBorders>
            <w:noWrap/>
            <w:hideMark/>
          </w:tcPr>
          <w:p w14:paraId="07C5E799" w14:textId="77777777" w:rsidR="004E63D6" w:rsidRPr="00373827" w:rsidRDefault="004E63D6" w:rsidP="006055B3">
            <w:pPr>
              <w:pStyle w:val="TableText"/>
              <w:keepNext/>
              <w:jc w:val="right"/>
            </w:pPr>
            <w:r w:rsidRPr="009D31F8">
              <w:t>0.2196</w:t>
            </w:r>
          </w:p>
        </w:tc>
        <w:tc>
          <w:tcPr>
            <w:tcW w:w="601" w:type="pct"/>
            <w:tcBorders>
              <w:top w:val="nil"/>
            </w:tcBorders>
            <w:noWrap/>
            <w:hideMark/>
          </w:tcPr>
          <w:p w14:paraId="4E52895C" w14:textId="77777777" w:rsidR="004E63D6" w:rsidRPr="00373827" w:rsidRDefault="004E63D6" w:rsidP="006055B3">
            <w:pPr>
              <w:pStyle w:val="TableText"/>
              <w:keepNext/>
              <w:jc w:val="right"/>
            </w:pPr>
            <w:r w:rsidRPr="009D31F8">
              <w:t>0.0321</w:t>
            </w:r>
          </w:p>
        </w:tc>
      </w:tr>
      <w:tr w:rsidR="004E63D6" w:rsidRPr="00373827" w14:paraId="4C8EE026" w14:textId="77777777" w:rsidTr="00CA410A">
        <w:trPr>
          <w:trHeight w:val="300"/>
        </w:trPr>
        <w:tc>
          <w:tcPr>
            <w:tcW w:w="3062" w:type="pct"/>
            <w:tcBorders>
              <w:bottom w:val="single" w:sz="4" w:space="0" w:color="auto"/>
              <w:right w:val="nil"/>
            </w:tcBorders>
            <w:noWrap/>
            <w:hideMark/>
          </w:tcPr>
          <w:p w14:paraId="0E55B397" w14:textId="77777777" w:rsidR="004E63D6" w:rsidRPr="00373827" w:rsidRDefault="004E63D6" w:rsidP="00152404">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hideMark/>
          </w:tcPr>
          <w:p w14:paraId="08D76899" w14:textId="77777777" w:rsidR="004E63D6" w:rsidRPr="00373827" w:rsidRDefault="004E63D6" w:rsidP="00152404">
            <w:pPr>
              <w:pStyle w:val="TableText"/>
              <w:jc w:val="right"/>
              <w:rPr>
                <w:b/>
              </w:rPr>
            </w:pPr>
          </w:p>
        </w:tc>
        <w:tc>
          <w:tcPr>
            <w:tcW w:w="669" w:type="pct"/>
            <w:tcBorders>
              <w:left w:val="nil"/>
              <w:bottom w:val="single" w:sz="4" w:space="0" w:color="auto"/>
            </w:tcBorders>
            <w:noWrap/>
            <w:hideMark/>
          </w:tcPr>
          <w:p w14:paraId="4AD466A9" w14:textId="77777777" w:rsidR="004E63D6" w:rsidRPr="00373827" w:rsidRDefault="004E63D6" w:rsidP="00152404">
            <w:pPr>
              <w:pStyle w:val="TableText"/>
              <w:jc w:val="right"/>
              <w:rPr>
                <w:b/>
              </w:rPr>
            </w:pPr>
          </w:p>
        </w:tc>
        <w:tc>
          <w:tcPr>
            <w:tcW w:w="601" w:type="pct"/>
            <w:tcBorders>
              <w:bottom w:val="single" w:sz="4" w:space="0" w:color="auto"/>
            </w:tcBorders>
            <w:noWrap/>
            <w:hideMark/>
          </w:tcPr>
          <w:p w14:paraId="51733A42" w14:textId="77777777" w:rsidR="004E63D6" w:rsidRPr="00F11286" w:rsidRDefault="004E63D6" w:rsidP="00152404">
            <w:pPr>
              <w:pStyle w:val="TableText"/>
              <w:jc w:val="right"/>
              <w:rPr>
                <w:b/>
              </w:rPr>
            </w:pPr>
            <w:r w:rsidRPr="00F11286">
              <w:rPr>
                <w:b/>
              </w:rPr>
              <w:t>$6,425</w:t>
            </w:r>
          </w:p>
        </w:tc>
      </w:tr>
      <w:tr w:rsidR="00152404" w:rsidRPr="00373827" w14:paraId="16588ED7" w14:textId="77777777" w:rsidTr="00152404">
        <w:trPr>
          <w:trHeight w:val="300"/>
        </w:trPr>
        <w:tc>
          <w:tcPr>
            <w:tcW w:w="5000" w:type="pct"/>
            <w:gridSpan w:val="4"/>
            <w:tcBorders>
              <w:bottom w:val="single" w:sz="4" w:space="0" w:color="auto"/>
            </w:tcBorders>
            <w:noWrap/>
            <w:hideMark/>
          </w:tcPr>
          <w:p w14:paraId="004813D2" w14:textId="77777777" w:rsidR="00152404" w:rsidRDefault="00152404" w:rsidP="00152404">
            <w:pPr>
              <w:pStyle w:val="TableText"/>
              <w:keepNext/>
              <w:rPr>
                <w:b/>
              </w:rPr>
            </w:pPr>
            <w:r>
              <w:rPr>
                <w:b/>
              </w:rPr>
              <w:t xml:space="preserve">Step 5: </w:t>
            </w:r>
            <w:r w:rsidRPr="00F11286">
              <w:rPr>
                <w:b/>
              </w:rPr>
              <w:t xml:space="preserve">Adjust </w:t>
            </w:r>
            <w:r w:rsidRPr="00A931C4">
              <w:rPr>
                <w:b/>
                <w:i/>
              </w:rPr>
              <w:t>ALK</w:t>
            </w:r>
            <w:r>
              <w:rPr>
                <w:b/>
              </w:rPr>
              <w:t xml:space="preserve"> </w:t>
            </w:r>
            <w:r w:rsidRPr="00F11286">
              <w:rPr>
                <w:b/>
              </w:rPr>
              <w:t>concordance for comparison to clinical utility standard</w:t>
            </w:r>
          </w:p>
          <w:p w14:paraId="362075EB" w14:textId="575484F4" w:rsidR="00152404" w:rsidRPr="00373827" w:rsidRDefault="00152404" w:rsidP="00094AA8">
            <w:pPr>
              <w:pStyle w:val="TableText"/>
              <w:keepNext/>
              <w:rPr>
                <w:b/>
              </w:rPr>
            </w:pPr>
            <w:r w:rsidRPr="00A931C4">
              <w:t xml:space="preserve">The concordance of small gene panel testing to single gene test methods for </w:t>
            </w:r>
            <w:r w:rsidRPr="009D7665">
              <w:rPr>
                <w:i/>
              </w:rPr>
              <w:t>ALK</w:t>
            </w:r>
            <w:r w:rsidRPr="00A931C4">
              <w:t xml:space="preserve"> in </w:t>
            </w:r>
            <w:r>
              <w:fldChar w:fldCharType="begin"/>
            </w:r>
            <w:r>
              <w:instrText xml:space="preserve"> REF _Ref108619549 \h  \* MERGEFORMAT </w:instrText>
            </w:r>
            <w:r>
              <w:fldChar w:fldCharType="separate"/>
            </w:r>
            <w:r w:rsidR="00C857F3">
              <w:t xml:space="preserve">Table </w:t>
            </w:r>
            <w:r w:rsidR="00C857F3">
              <w:rPr>
                <w:noProof/>
              </w:rPr>
              <w:t>6</w:t>
            </w:r>
            <w:r>
              <w:fldChar w:fldCharType="end"/>
            </w:r>
            <w:r w:rsidRPr="00A931C4">
              <w:t xml:space="preserve"> was based on a c</w:t>
            </w:r>
            <w:r>
              <w:t>omparison of NGS to FISH ± IHC, whereas the</w:t>
            </w:r>
            <w:r w:rsidRPr="00A931C4">
              <w:t xml:space="preserve"> clinical utility standard used in the trials for </w:t>
            </w:r>
            <w:r w:rsidRPr="009D7665">
              <w:rPr>
                <w:i/>
              </w:rPr>
              <w:t>ALK</w:t>
            </w:r>
            <w:r w:rsidRPr="00A931C4">
              <w:t xml:space="preserve"> targeted therapy was FISH</w:t>
            </w:r>
            <w:r>
              <w:t xml:space="preserve"> (≥15% positive cells)</w:t>
            </w:r>
            <w:r w:rsidRPr="00A931C4">
              <w:t>.</w:t>
            </w:r>
            <w:r>
              <w:t xml:space="preserve"> Only one study that compared small gene panel testing to FISH reported using this same definition of positivity (Park </w:t>
            </w:r>
            <w:r w:rsidR="00EF55F9">
              <w:t>and Shim</w:t>
            </w:r>
            <w:r>
              <w:t xml:space="preserve"> 2020)</w:t>
            </w:r>
            <w:r w:rsidR="00094AA8">
              <w:rPr>
                <w:vertAlign w:val="superscript"/>
              </w:rPr>
              <w:t>c</w:t>
            </w:r>
            <w:r>
              <w:t>.</w:t>
            </w:r>
            <w:r w:rsidR="004649AE">
              <w:t xml:space="preserve"> PPA of </w:t>
            </w:r>
            <w:r w:rsidR="004649AE" w:rsidRPr="002068C0">
              <w:rPr>
                <w:i/>
              </w:rPr>
              <w:t>ALK</w:t>
            </w:r>
            <w:r w:rsidR="004649AE">
              <w:t xml:space="preserve"> and </w:t>
            </w:r>
            <w:r w:rsidR="004649AE" w:rsidRPr="002068C0">
              <w:rPr>
                <w:i/>
              </w:rPr>
              <w:t>ROS1</w:t>
            </w:r>
            <w:r w:rsidR="004649AE">
              <w:t xml:space="preserve"> IHC relative to FISH was also incorporated.</w:t>
            </w:r>
          </w:p>
        </w:tc>
      </w:tr>
      <w:tr w:rsidR="004E63D6" w:rsidRPr="00373827" w14:paraId="7575365B" w14:textId="77777777" w:rsidTr="00CA410A">
        <w:trPr>
          <w:trHeight w:val="300"/>
        </w:trPr>
        <w:tc>
          <w:tcPr>
            <w:tcW w:w="3062" w:type="pct"/>
            <w:tcBorders>
              <w:bottom w:val="nil"/>
            </w:tcBorders>
            <w:noWrap/>
            <w:hideMark/>
          </w:tcPr>
          <w:p w14:paraId="5E6C991B" w14:textId="77777777" w:rsidR="004E63D6" w:rsidRPr="00373827" w:rsidRDefault="004E63D6" w:rsidP="006055B3">
            <w:pPr>
              <w:pStyle w:val="TableText"/>
              <w:keepNext/>
            </w:pPr>
            <w:r w:rsidRPr="00373827">
              <w:t>Total cost</w:t>
            </w:r>
          </w:p>
        </w:tc>
        <w:tc>
          <w:tcPr>
            <w:tcW w:w="668" w:type="pct"/>
            <w:tcBorders>
              <w:bottom w:val="nil"/>
            </w:tcBorders>
            <w:noWrap/>
            <w:hideMark/>
          </w:tcPr>
          <w:p w14:paraId="073A9A32" w14:textId="77777777" w:rsidR="004E63D6" w:rsidRPr="00373827" w:rsidRDefault="004E63D6" w:rsidP="006055B3">
            <w:pPr>
              <w:pStyle w:val="TableText"/>
              <w:keepNext/>
              <w:jc w:val="right"/>
            </w:pPr>
            <w:r w:rsidRPr="009D31F8">
              <w:t>$1,052.71</w:t>
            </w:r>
          </w:p>
        </w:tc>
        <w:tc>
          <w:tcPr>
            <w:tcW w:w="669" w:type="pct"/>
            <w:tcBorders>
              <w:bottom w:val="nil"/>
            </w:tcBorders>
            <w:noWrap/>
            <w:hideMark/>
          </w:tcPr>
          <w:p w14:paraId="6E3A2D87" w14:textId="77777777" w:rsidR="004E63D6" w:rsidRPr="00373827" w:rsidRDefault="004E63D6" w:rsidP="006055B3">
            <w:pPr>
              <w:pStyle w:val="TableText"/>
              <w:keepNext/>
              <w:jc w:val="right"/>
            </w:pPr>
            <w:r w:rsidRPr="009D31F8">
              <w:t>$846.40</w:t>
            </w:r>
          </w:p>
        </w:tc>
        <w:tc>
          <w:tcPr>
            <w:tcW w:w="601" w:type="pct"/>
            <w:tcBorders>
              <w:bottom w:val="nil"/>
            </w:tcBorders>
            <w:noWrap/>
            <w:hideMark/>
          </w:tcPr>
          <w:p w14:paraId="48F18B2E" w14:textId="77777777" w:rsidR="004E63D6" w:rsidRPr="00373827" w:rsidRDefault="004E63D6" w:rsidP="006055B3">
            <w:pPr>
              <w:pStyle w:val="TableText"/>
              <w:keepNext/>
              <w:jc w:val="right"/>
            </w:pPr>
            <w:r w:rsidRPr="009D31F8">
              <w:t>$206.30</w:t>
            </w:r>
          </w:p>
        </w:tc>
      </w:tr>
      <w:tr w:rsidR="00152404" w:rsidRPr="00373827" w14:paraId="3734C5AB" w14:textId="77777777" w:rsidTr="00152404">
        <w:trPr>
          <w:trHeight w:val="300"/>
        </w:trPr>
        <w:tc>
          <w:tcPr>
            <w:tcW w:w="3062" w:type="pct"/>
            <w:tcBorders>
              <w:top w:val="nil"/>
              <w:bottom w:val="single" w:sz="4" w:space="0" w:color="auto"/>
            </w:tcBorders>
            <w:noWrap/>
            <w:hideMark/>
          </w:tcPr>
          <w:p w14:paraId="2CB32850" w14:textId="68098ECE" w:rsidR="00152404" w:rsidRPr="00373827" w:rsidRDefault="00152404" w:rsidP="006055B3">
            <w:pPr>
              <w:pStyle w:val="TableText"/>
              <w:keepNext/>
            </w:pPr>
            <w:r w:rsidRPr="00373827">
              <w:t>Proportion with an actionable variant identified</w:t>
            </w:r>
            <w:r w:rsidR="00094AA8">
              <w:rPr>
                <w:vertAlign w:val="superscript"/>
              </w:rPr>
              <w:t>b</w:t>
            </w:r>
          </w:p>
        </w:tc>
        <w:tc>
          <w:tcPr>
            <w:tcW w:w="668" w:type="pct"/>
            <w:tcBorders>
              <w:top w:val="nil"/>
              <w:bottom w:val="single" w:sz="4" w:space="0" w:color="auto"/>
            </w:tcBorders>
            <w:noWrap/>
          </w:tcPr>
          <w:p w14:paraId="701E4439" w14:textId="5EBBFAB0" w:rsidR="00152404" w:rsidRPr="00373827" w:rsidRDefault="00152404" w:rsidP="006055B3">
            <w:pPr>
              <w:pStyle w:val="TableText"/>
              <w:keepNext/>
              <w:jc w:val="right"/>
            </w:pPr>
            <w:r w:rsidRPr="00637F12">
              <w:t>0.2526</w:t>
            </w:r>
          </w:p>
        </w:tc>
        <w:tc>
          <w:tcPr>
            <w:tcW w:w="669" w:type="pct"/>
            <w:tcBorders>
              <w:top w:val="nil"/>
              <w:bottom w:val="single" w:sz="4" w:space="0" w:color="auto"/>
            </w:tcBorders>
            <w:noWrap/>
          </w:tcPr>
          <w:p w14:paraId="542C43A1" w14:textId="6C8D25ED" w:rsidR="00152404" w:rsidRPr="00373827" w:rsidRDefault="00152404" w:rsidP="006055B3">
            <w:pPr>
              <w:pStyle w:val="TableText"/>
              <w:keepNext/>
              <w:jc w:val="right"/>
            </w:pPr>
            <w:r w:rsidRPr="00637F12">
              <w:t>0.2184</w:t>
            </w:r>
          </w:p>
        </w:tc>
        <w:tc>
          <w:tcPr>
            <w:tcW w:w="601" w:type="pct"/>
            <w:tcBorders>
              <w:top w:val="nil"/>
            </w:tcBorders>
            <w:noWrap/>
          </w:tcPr>
          <w:p w14:paraId="412B5A52" w14:textId="7DF4D5D4" w:rsidR="00152404" w:rsidRPr="00373827" w:rsidRDefault="00152404" w:rsidP="006055B3">
            <w:pPr>
              <w:pStyle w:val="TableText"/>
              <w:keepNext/>
              <w:jc w:val="right"/>
            </w:pPr>
            <w:r w:rsidRPr="00637F12">
              <w:t>0.0342</w:t>
            </w:r>
          </w:p>
        </w:tc>
      </w:tr>
      <w:tr w:rsidR="00152404" w:rsidRPr="00373827" w14:paraId="1D832BDB" w14:textId="77777777" w:rsidTr="00152404">
        <w:trPr>
          <w:trHeight w:val="300"/>
        </w:trPr>
        <w:tc>
          <w:tcPr>
            <w:tcW w:w="3062" w:type="pct"/>
            <w:tcBorders>
              <w:bottom w:val="single" w:sz="4" w:space="0" w:color="auto"/>
              <w:right w:val="nil"/>
            </w:tcBorders>
            <w:noWrap/>
            <w:hideMark/>
          </w:tcPr>
          <w:p w14:paraId="7E900EB4" w14:textId="77777777" w:rsidR="00152404" w:rsidRPr="00373827" w:rsidRDefault="00152404" w:rsidP="00152404">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tcPr>
          <w:p w14:paraId="77910A92" w14:textId="77777777" w:rsidR="00152404" w:rsidRPr="00373827" w:rsidRDefault="00152404" w:rsidP="00152404">
            <w:pPr>
              <w:pStyle w:val="TableText"/>
              <w:jc w:val="right"/>
              <w:rPr>
                <w:b/>
              </w:rPr>
            </w:pPr>
          </w:p>
        </w:tc>
        <w:tc>
          <w:tcPr>
            <w:tcW w:w="669" w:type="pct"/>
            <w:tcBorders>
              <w:left w:val="nil"/>
              <w:bottom w:val="single" w:sz="4" w:space="0" w:color="auto"/>
            </w:tcBorders>
            <w:noWrap/>
          </w:tcPr>
          <w:p w14:paraId="124F748F" w14:textId="77777777" w:rsidR="00152404" w:rsidRPr="00373827" w:rsidRDefault="00152404" w:rsidP="00152404">
            <w:pPr>
              <w:pStyle w:val="TableText"/>
              <w:jc w:val="right"/>
              <w:rPr>
                <w:b/>
              </w:rPr>
            </w:pPr>
          </w:p>
        </w:tc>
        <w:tc>
          <w:tcPr>
            <w:tcW w:w="601" w:type="pct"/>
            <w:tcBorders>
              <w:bottom w:val="single" w:sz="4" w:space="0" w:color="auto"/>
            </w:tcBorders>
            <w:noWrap/>
          </w:tcPr>
          <w:p w14:paraId="0D374C9F" w14:textId="34BC130A" w:rsidR="00152404" w:rsidRPr="00152404" w:rsidRDefault="00152404" w:rsidP="00152404">
            <w:pPr>
              <w:pStyle w:val="TableText"/>
              <w:jc w:val="right"/>
              <w:rPr>
                <w:b/>
              </w:rPr>
            </w:pPr>
            <w:r w:rsidRPr="00152404">
              <w:rPr>
                <w:b/>
              </w:rPr>
              <w:t>$6,026</w:t>
            </w:r>
          </w:p>
        </w:tc>
      </w:tr>
      <w:tr w:rsidR="00152404" w:rsidRPr="00373827" w14:paraId="740A6EB7" w14:textId="77777777" w:rsidTr="00152404">
        <w:trPr>
          <w:trHeight w:val="300"/>
        </w:trPr>
        <w:tc>
          <w:tcPr>
            <w:tcW w:w="5000" w:type="pct"/>
            <w:gridSpan w:val="4"/>
            <w:tcBorders>
              <w:bottom w:val="single" w:sz="4" w:space="0" w:color="auto"/>
            </w:tcBorders>
            <w:noWrap/>
            <w:hideMark/>
          </w:tcPr>
          <w:p w14:paraId="355C0A05" w14:textId="77777777" w:rsidR="00152404" w:rsidRDefault="00152404" w:rsidP="00152404">
            <w:pPr>
              <w:pStyle w:val="TableText"/>
              <w:keepNext/>
              <w:rPr>
                <w:b/>
              </w:rPr>
            </w:pPr>
            <w:r>
              <w:rPr>
                <w:b/>
              </w:rPr>
              <w:t>Step 6: A</w:t>
            </w:r>
            <w:r w:rsidRPr="00373827">
              <w:rPr>
                <w:b/>
              </w:rPr>
              <w:t>djust for some IHC ± FISH use with proposed testing</w:t>
            </w:r>
          </w:p>
          <w:p w14:paraId="33F25DEF" w14:textId="265F5581" w:rsidR="00152404" w:rsidRPr="00373827" w:rsidRDefault="00152404" w:rsidP="00152404">
            <w:pPr>
              <w:pStyle w:val="TableText"/>
              <w:keepNext/>
              <w:rPr>
                <w:b/>
              </w:rPr>
            </w:pPr>
            <w:r>
              <w:t>Th</w:t>
            </w:r>
            <w:r w:rsidR="00DE60C3">
              <w:t>e</w:t>
            </w:r>
            <w:r>
              <w:t xml:space="preserve"> applicant expected that 5−10% of tests would require current testing methods. MSAC have </w:t>
            </w:r>
            <w:r w:rsidR="00DE60C3">
              <w:t>previously</w:t>
            </w:r>
            <w:r>
              <w:t xml:space="preserve"> considered that small DNA panels are currently being used for </w:t>
            </w:r>
            <w:r w:rsidRPr="009D7665">
              <w:rPr>
                <w:i/>
              </w:rPr>
              <w:t>EGFR</w:t>
            </w:r>
            <w:r>
              <w:t xml:space="preserve"> testing (MSAC 1669 PSD, March 2022 MSAC Meeting) and so this has been assumed to apply to small RNA gene panels only, as RNA panels may have larger sampling requirements. This reduces both the cost of proposed testing and also yield (as additional </w:t>
            </w:r>
            <w:r w:rsidRPr="00F467E2">
              <w:t>“in scope” and “beyond restriction” variants</w:t>
            </w:r>
            <w:r>
              <w:t xml:space="preserve"> would not be identified in this proportion of patients)</w:t>
            </w:r>
          </w:p>
        </w:tc>
      </w:tr>
      <w:tr w:rsidR="00152404" w:rsidRPr="00373827" w14:paraId="1528A191" w14:textId="77777777" w:rsidTr="00152404">
        <w:trPr>
          <w:trHeight w:val="300"/>
        </w:trPr>
        <w:tc>
          <w:tcPr>
            <w:tcW w:w="3062" w:type="pct"/>
            <w:tcBorders>
              <w:bottom w:val="nil"/>
            </w:tcBorders>
            <w:noWrap/>
            <w:hideMark/>
          </w:tcPr>
          <w:p w14:paraId="4F465AF7" w14:textId="77777777" w:rsidR="00152404" w:rsidRPr="00373827" w:rsidRDefault="00152404" w:rsidP="006055B3">
            <w:pPr>
              <w:pStyle w:val="TableText"/>
              <w:keepNext/>
            </w:pPr>
            <w:r w:rsidRPr="00373827">
              <w:t>Total cost</w:t>
            </w:r>
          </w:p>
        </w:tc>
        <w:tc>
          <w:tcPr>
            <w:tcW w:w="668" w:type="pct"/>
            <w:tcBorders>
              <w:bottom w:val="nil"/>
            </w:tcBorders>
            <w:noWrap/>
          </w:tcPr>
          <w:p w14:paraId="591C9291" w14:textId="2E332533" w:rsidR="00152404" w:rsidRPr="00373827" w:rsidRDefault="00152404" w:rsidP="006055B3">
            <w:pPr>
              <w:pStyle w:val="TableText"/>
              <w:keepNext/>
              <w:jc w:val="right"/>
            </w:pPr>
            <w:r w:rsidRPr="00637F12">
              <w:t>$1,035.55</w:t>
            </w:r>
          </w:p>
        </w:tc>
        <w:tc>
          <w:tcPr>
            <w:tcW w:w="669" w:type="pct"/>
            <w:tcBorders>
              <w:bottom w:val="nil"/>
            </w:tcBorders>
            <w:noWrap/>
          </w:tcPr>
          <w:p w14:paraId="382FA08A" w14:textId="7B26E2B3" w:rsidR="00152404" w:rsidRPr="00373827" w:rsidRDefault="00152404" w:rsidP="006055B3">
            <w:pPr>
              <w:pStyle w:val="TableText"/>
              <w:keepNext/>
              <w:jc w:val="right"/>
            </w:pPr>
            <w:r w:rsidRPr="00637F12">
              <w:t>$846.40</w:t>
            </w:r>
          </w:p>
        </w:tc>
        <w:tc>
          <w:tcPr>
            <w:tcW w:w="601" w:type="pct"/>
            <w:tcBorders>
              <w:bottom w:val="nil"/>
            </w:tcBorders>
            <w:noWrap/>
          </w:tcPr>
          <w:p w14:paraId="162E9C23" w14:textId="1DD3F0AE" w:rsidR="00152404" w:rsidRPr="00373827" w:rsidRDefault="00152404" w:rsidP="006055B3">
            <w:pPr>
              <w:pStyle w:val="TableText"/>
              <w:keepNext/>
              <w:jc w:val="right"/>
            </w:pPr>
            <w:r w:rsidRPr="00637F12">
              <w:t>$189.15</w:t>
            </w:r>
          </w:p>
        </w:tc>
      </w:tr>
      <w:tr w:rsidR="00152404" w:rsidRPr="00373827" w14:paraId="786A2728" w14:textId="77777777" w:rsidTr="00152404">
        <w:trPr>
          <w:trHeight w:val="300"/>
        </w:trPr>
        <w:tc>
          <w:tcPr>
            <w:tcW w:w="3062" w:type="pct"/>
            <w:tcBorders>
              <w:top w:val="nil"/>
              <w:bottom w:val="single" w:sz="4" w:space="0" w:color="auto"/>
            </w:tcBorders>
            <w:noWrap/>
            <w:hideMark/>
          </w:tcPr>
          <w:p w14:paraId="52CAE9A7" w14:textId="384D380B" w:rsidR="00152404" w:rsidRPr="00373827" w:rsidRDefault="00152404" w:rsidP="006055B3">
            <w:pPr>
              <w:pStyle w:val="TableText"/>
              <w:keepNext/>
            </w:pPr>
            <w:r w:rsidRPr="00373827">
              <w:t>Proportion with an actionable variant identified</w:t>
            </w:r>
            <w:r w:rsidR="00094AA8">
              <w:rPr>
                <w:vertAlign w:val="superscript"/>
              </w:rPr>
              <w:t>b</w:t>
            </w:r>
          </w:p>
        </w:tc>
        <w:tc>
          <w:tcPr>
            <w:tcW w:w="668" w:type="pct"/>
            <w:tcBorders>
              <w:top w:val="nil"/>
              <w:bottom w:val="single" w:sz="4" w:space="0" w:color="auto"/>
            </w:tcBorders>
            <w:noWrap/>
          </w:tcPr>
          <w:p w14:paraId="4D728B6D" w14:textId="66C4FC3B" w:rsidR="00152404" w:rsidRPr="00373827" w:rsidRDefault="00152404" w:rsidP="006055B3">
            <w:pPr>
              <w:pStyle w:val="TableText"/>
              <w:keepNext/>
              <w:jc w:val="right"/>
            </w:pPr>
            <w:r w:rsidRPr="00637F12">
              <w:t>0.2523</w:t>
            </w:r>
          </w:p>
        </w:tc>
        <w:tc>
          <w:tcPr>
            <w:tcW w:w="669" w:type="pct"/>
            <w:tcBorders>
              <w:top w:val="nil"/>
              <w:bottom w:val="single" w:sz="4" w:space="0" w:color="auto"/>
            </w:tcBorders>
            <w:noWrap/>
          </w:tcPr>
          <w:p w14:paraId="3E5BB3AF" w14:textId="2E0D460A" w:rsidR="00152404" w:rsidRPr="00373827" w:rsidRDefault="00152404" w:rsidP="006055B3">
            <w:pPr>
              <w:pStyle w:val="TableText"/>
              <w:keepNext/>
              <w:jc w:val="right"/>
            </w:pPr>
            <w:r w:rsidRPr="00637F12">
              <w:t>0.2184</w:t>
            </w:r>
          </w:p>
        </w:tc>
        <w:tc>
          <w:tcPr>
            <w:tcW w:w="601" w:type="pct"/>
            <w:tcBorders>
              <w:top w:val="nil"/>
            </w:tcBorders>
            <w:noWrap/>
          </w:tcPr>
          <w:p w14:paraId="5F09074E" w14:textId="4E44C8F8" w:rsidR="00152404" w:rsidRPr="00373827" w:rsidRDefault="00152404" w:rsidP="006055B3">
            <w:pPr>
              <w:pStyle w:val="TableText"/>
              <w:keepNext/>
              <w:jc w:val="right"/>
            </w:pPr>
            <w:r w:rsidRPr="00637F12">
              <w:t>0.0339</w:t>
            </w:r>
          </w:p>
        </w:tc>
      </w:tr>
      <w:tr w:rsidR="00152404" w:rsidRPr="00373827" w14:paraId="772BF59D" w14:textId="77777777" w:rsidTr="00152404">
        <w:trPr>
          <w:trHeight w:val="300"/>
        </w:trPr>
        <w:tc>
          <w:tcPr>
            <w:tcW w:w="3062" w:type="pct"/>
            <w:tcBorders>
              <w:bottom w:val="single" w:sz="4" w:space="0" w:color="auto"/>
              <w:right w:val="nil"/>
            </w:tcBorders>
            <w:noWrap/>
            <w:hideMark/>
          </w:tcPr>
          <w:p w14:paraId="1B6D11FC" w14:textId="77777777" w:rsidR="00152404" w:rsidRPr="00373827" w:rsidRDefault="00152404" w:rsidP="00152404">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tcPr>
          <w:p w14:paraId="4257AC1D" w14:textId="77777777" w:rsidR="00152404" w:rsidRPr="00373827" w:rsidRDefault="00152404" w:rsidP="00152404">
            <w:pPr>
              <w:pStyle w:val="TableText"/>
              <w:jc w:val="right"/>
              <w:rPr>
                <w:b/>
              </w:rPr>
            </w:pPr>
          </w:p>
        </w:tc>
        <w:tc>
          <w:tcPr>
            <w:tcW w:w="669" w:type="pct"/>
            <w:tcBorders>
              <w:left w:val="nil"/>
              <w:bottom w:val="single" w:sz="4" w:space="0" w:color="auto"/>
            </w:tcBorders>
            <w:noWrap/>
          </w:tcPr>
          <w:p w14:paraId="3872BDE3" w14:textId="77777777" w:rsidR="00152404" w:rsidRPr="00373827" w:rsidRDefault="00152404" w:rsidP="00152404">
            <w:pPr>
              <w:pStyle w:val="TableText"/>
              <w:jc w:val="right"/>
              <w:rPr>
                <w:b/>
              </w:rPr>
            </w:pPr>
          </w:p>
        </w:tc>
        <w:tc>
          <w:tcPr>
            <w:tcW w:w="601" w:type="pct"/>
            <w:tcBorders>
              <w:bottom w:val="single" w:sz="4" w:space="0" w:color="auto"/>
            </w:tcBorders>
            <w:noWrap/>
          </w:tcPr>
          <w:p w14:paraId="24EB6FC7" w14:textId="3FDEBC0B" w:rsidR="00152404" w:rsidRPr="00152404" w:rsidRDefault="00152404" w:rsidP="00152404">
            <w:pPr>
              <w:pStyle w:val="TableText"/>
              <w:jc w:val="right"/>
              <w:rPr>
                <w:b/>
              </w:rPr>
            </w:pPr>
            <w:r w:rsidRPr="00152404">
              <w:rPr>
                <w:b/>
              </w:rPr>
              <w:t>$5,582</w:t>
            </w:r>
          </w:p>
        </w:tc>
      </w:tr>
      <w:tr w:rsidR="00152404" w:rsidRPr="00373827" w14:paraId="1267A876" w14:textId="77777777" w:rsidTr="00152404">
        <w:trPr>
          <w:trHeight w:val="300"/>
        </w:trPr>
        <w:tc>
          <w:tcPr>
            <w:tcW w:w="5000" w:type="pct"/>
            <w:gridSpan w:val="4"/>
            <w:tcBorders>
              <w:bottom w:val="single" w:sz="4" w:space="0" w:color="auto"/>
            </w:tcBorders>
            <w:noWrap/>
            <w:hideMark/>
          </w:tcPr>
          <w:p w14:paraId="5E8FC1EE" w14:textId="77777777" w:rsidR="00152404" w:rsidRDefault="00152404" w:rsidP="00152404">
            <w:pPr>
              <w:pStyle w:val="TableText"/>
              <w:keepNext/>
              <w:rPr>
                <w:b/>
              </w:rPr>
            </w:pPr>
            <w:r>
              <w:rPr>
                <w:b/>
              </w:rPr>
              <w:t>Step 7: Incorporate</w:t>
            </w:r>
            <w:r w:rsidRPr="00373827">
              <w:rPr>
                <w:b/>
              </w:rPr>
              <w:t xml:space="preserve"> patients with early disease who do not progress</w:t>
            </w:r>
          </w:p>
          <w:p w14:paraId="68A4B95A" w14:textId="4C0FB23C" w:rsidR="00152404" w:rsidRPr="00373827" w:rsidRDefault="00152404" w:rsidP="00152404">
            <w:pPr>
              <w:pStyle w:val="TableText"/>
              <w:keepNext/>
              <w:rPr>
                <w:b/>
              </w:rPr>
            </w:pPr>
            <w:r>
              <w:t xml:space="preserve">Small gene panel testing is proposed to occur on diagnosis of non-squamous or NOS NSCLC. While current </w:t>
            </w:r>
            <w:r w:rsidRPr="009D7665">
              <w:rPr>
                <w:i/>
              </w:rPr>
              <w:t xml:space="preserve">EGFR </w:t>
            </w:r>
            <w:r>
              <w:t xml:space="preserve">and </w:t>
            </w:r>
            <w:r w:rsidRPr="00956452">
              <w:t>ALK</w:t>
            </w:r>
            <w:r w:rsidRPr="009D7665">
              <w:rPr>
                <w:i/>
              </w:rPr>
              <w:t xml:space="preserve"> </w:t>
            </w:r>
            <w:r>
              <w:t xml:space="preserve">and </w:t>
            </w:r>
            <w:r w:rsidRPr="00956452">
              <w:t>ROS1</w:t>
            </w:r>
            <w:r w:rsidRPr="009D7665">
              <w:rPr>
                <w:i/>
              </w:rPr>
              <w:t xml:space="preserve"> </w:t>
            </w:r>
            <w:r>
              <w:t xml:space="preserve">IHC testing also occur at diagnosis, </w:t>
            </w:r>
            <w:r w:rsidRPr="009D7665">
              <w:rPr>
                <w:i/>
              </w:rPr>
              <w:t xml:space="preserve">ALK </w:t>
            </w:r>
            <w:r>
              <w:t xml:space="preserve">and </w:t>
            </w:r>
            <w:r w:rsidRPr="009D7665">
              <w:rPr>
                <w:i/>
              </w:rPr>
              <w:t xml:space="preserve">ROS1 </w:t>
            </w:r>
            <w:r>
              <w:t xml:space="preserve">FISH and proposed </w:t>
            </w:r>
            <w:r w:rsidRPr="009D7665">
              <w:rPr>
                <w:i/>
              </w:rPr>
              <w:t>MET</w:t>
            </w:r>
            <w:r>
              <w:t xml:space="preserve">ex14sk testing do not occur until the development of advanced disease. The analysis therefore has been adjusted to reflect that not all patients who receive small gene panel testing would develop advanced disease (and so would not be eligible for targeted therapy, currently available only in the advanced setting). </w:t>
            </w:r>
          </w:p>
        </w:tc>
      </w:tr>
      <w:tr w:rsidR="00152404" w:rsidRPr="00373827" w14:paraId="3BFFA0CC" w14:textId="77777777" w:rsidTr="00152404">
        <w:trPr>
          <w:trHeight w:val="300"/>
        </w:trPr>
        <w:tc>
          <w:tcPr>
            <w:tcW w:w="3062" w:type="pct"/>
            <w:tcBorders>
              <w:bottom w:val="nil"/>
            </w:tcBorders>
            <w:noWrap/>
            <w:hideMark/>
          </w:tcPr>
          <w:p w14:paraId="2DB66686" w14:textId="77777777" w:rsidR="00152404" w:rsidRPr="00373827" w:rsidRDefault="00152404" w:rsidP="006055B3">
            <w:pPr>
              <w:pStyle w:val="TableText"/>
              <w:keepNext/>
            </w:pPr>
            <w:r w:rsidRPr="00373827">
              <w:t>Total cost</w:t>
            </w:r>
          </w:p>
        </w:tc>
        <w:tc>
          <w:tcPr>
            <w:tcW w:w="668" w:type="pct"/>
            <w:tcBorders>
              <w:bottom w:val="nil"/>
            </w:tcBorders>
            <w:noWrap/>
          </w:tcPr>
          <w:p w14:paraId="4987EA3C" w14:textId="5EE0C5B0" w:rsidR="00152404" w:rsidRPr="00373827" w:rsidRDefault="00152404" w:rsidP="006055B3">
            <w:pPr>
              <w:pStyle w:val="TableText"/>
              <w:keepNext/>
              <w:jc w:val="right"/>
            </w:pPr>
            <w:r w:rsidRPr="00637F12">
              <w:t>$1,035.54</w:t>
            </w:r>
          </w:p>
        </w:tc>
        <w:tc>
          <w:tcPr>
            <w:tcW w:w="669" w:type="pct"/>
            <w:tcBorders>
              <w:bottom w:val="nil"/>
            </w:tcBorders>
            <w:noWrap/>
          </w:tcPr>
          <w:p w14:paraId="7E31EB8A" w14:textId="700CED04" w:rsidR="00152404" w:rsidRPr="00373827" w:rsidRDefault="00152404" w:rsidP="006055B3">
            <w:pPr>
              <w:pStyle w:val="TableText"/>
              <w:keepNext/>
              <w:jc w:val="right"/>
            </w:pPr>
            <w:r w:rsidRPr="00637F12">
              <w:t>$743.77</w:t>
            </w:r>
          </w:p>
        </w:tc>
        <w:tc>
          <w:tcPr>
            <w:tcW w:w="601" w:type="pct"/>
            <w:tcBorders>
              <w:bottom w:val="nil"/>
            </w:tcBorders>
            <w:noWrap/>
          </w:tcPr>
          <w:p w14:paraId="5C2614FA" w14:textId="3AEDAADD" w:rsidR="00152404" w:rsidRPr="00373827" w:rsidRDefault="00152404" w:rsidP="006055B3">
            <w:pPr>
              <w:pStyle w:val="TableText"/>
              <w:keepNext/>
              <w:jc w:val="right"/>
            </w:pPr>
            <w:r w:rsidRPr="00637F12">
              <w:t>$291.76</w:t>
            </w:r>
          </w:p>
        </w:tc>
      </w:tr>
      <w:tr w:rsidR="00152404" w:rsidRPr="00373827" w14:paraId="5EB9084E" w14:textId="77777777" w:rsidTr="00152404">
        <w:trPr>
          <w:trHeight w:val="300"/>
        </w:trPr>
        <w:tc>
          <w:tcPr>
            <w:tcW w:w="3062" w:type="pct"/>
            <w:tcBorders>
              <w:top w:val="nil"/>
              <w:bottom w:val="nil"/>
            </w:tcBorders>
            <w:noWrap/>
            <w:hideMark/>
          </w:tcPr>
          <w:p w14:paraId="58C8941D" w14:textId="77777777" w:rsidR="00152404" w:rsidRPr="00373827" w:rsidRDefault="00152404" w:rsidP="006055B3">
            <w:pPr>
              <w:pStyle w:val="TableText"/>
              <w:keepNext/>
            </w:pPr>
            <w:r w:rsidRPr="00373827">
              <w:t>Proportion eligible for targeted therapy</w:t>
            </w:r>
          </w:p>
        </w:tc>
        <w:tc>
          <w:tcPr>
            <w:tcW w:w="668" w:type="pct"/>
            <w:tcBorders>
              <w:top w:val="nil"/>
              <w:bottom w:val="nil"/>
            </w:tcBorders>
            <w:noWrap/>
          </w:tcPr>
          <w:p w14:paraId="21E70CDB" w14:textId="4AC0B63A" w:rsidR="00152404" w:rsidRPr="00373827" w:rsidRDefault="00152404" w:rsidP="006055B3">
            <w:pPr>
              <w:pStyle w:val="TableText"/>
              <w:keepNext/>
              <w:jc w:val="right"/>
            </w:pPr>
            <w:r w:rsidRPr="00637F12">
              <w:t>0.1913</w:t>
            </w:r>
          </w:p>
        </w:tc>
        <w:tc>
          <w:tcPr>
            <w:tcW w:w="669" w:type="pct"/>
            <w:tcBorders>
              <w:top w:val="nil"/>
              <w:bottom w:val="nil"/>
            </w:tcBorders>
            <w:noWrap/>
          </w:tcPr>
          <w:p w14:paraId="37E4EBC0" w14:textId="5E1BB605" w:rsidR="00152404" w:rsidRPr="00373827" w:rsidRDefault="00152404" w:rsidP="006055B3">
            <w:pPr>
              <w:pStyle w:val="TableText"/>
              <w:keepNext/>
              <w:jc w:val="right"/>
            </w:pPr>
            <w:r w:rsidRPr="00637F12">
              <w:t>0.1656</w:t>
            </w:r>
          </w:p>
        </w:tc>
        <w:tc>
          <w:tcPr>
            <w:tcW w:w="601" w:type="pct"/>
            <w:tcBorders>
              <w:top w:val="nil"/>
              <w:bottom w:val="nil"/>
            </w:tcBorders>
            <w:noWrap/>
          </w:tcPr>
          <w:p w14:paraId="6434F572" w14:textId="6822CDAF" w:rsidR="00152404" w:rsidRPr="00373827" w:rsidRDefault="00152404" w:rsidP="006055B3">
            <w:pPr>
              <w:pStyle w:val="TableText"/>
              <w:keepNext/>
              <w:jc w:val="right"/>
            </w:pPr>
            <w:r w:rsidRPr="00637F12">
              <w:t>0.0257</w:t>
            </w:r>
          </w:p>
        </w:tc>
      </w:tr>
      <w:tr w:rsidR="00152404" w:rsidRPr="00373827" w14:paraId="50F6D5EE" w14:textId="77777777" w:rsidTr="00152404">
        <w:trPr>
          <w:trHeight w:val="300"/>
        </w:trPr>
        <w:tc>
          <w:tcPr>
            <w:tcW w:w="3062" w:type="pct"/>
            <w:tcBorders>
              <w:bottom w:val="single" w:sz="4" w:space="0" w:color="auto"/>
              <w:right w:val="nil"/>
            </w:tcBorders>
            <w:noWrap/>
            <w:hideMark/>
          </w:tcPr>
          <w:p w14:paraId="7B8075C5" w14:textId="77777777" w:rsidR="00152404" w:rsidRPr="00373827" w:rsidRDefault="00152404" w:rsidP="00152404">
            <w:pPr>
              <w:pStyle w:val="TableText"/>
              <w:rPr>
                <w:b/>
              </w:rPr>
            </w:pPr>
            <w:r w:rsidRPr="00373827">
              <w:rPr>
                <w:b/>
              </w:rPr>
              <w:t>ICER per additional patient eligible for targeted therapy</w:t>
            </w:r>
          </w:p>
        </w:tc>
        <w:tc>
          <w:tcPr>
            <w:tcW w:w="668" w:type="pct"/>
            <w:tcBorders>
              <w:left w:val="nil"/>
              <w:bottom w:val="single" w:sz="4" w:space="0" w:color="auto"/>
              <w:right w:val="nil"/>
            </w:tcBorders>
            <w:noWrap/>
          </w:tcPr>
          <w:p w14:paraId="0A32F3D1" w14:textId="77777777" w:rsidR="00152404" w:rsidRPr="00373827" w:rsidRDefault="00152404" w:rsidP="00152404">
            <w:pPr>
              <w:pStyle w:val="TableText"/>
              <w:jc w:val="right"/>
              <w:rPr>
                <w:b/>
              </w:rPr>
            </w:pPr>
          </w:p>
        </w:tc>
        <w:tc>
          <w:tcPr>
            <w:tcW w:w="669" w:type="pct"/>
            <w:tcBorders>
              <w:left w:val="nil"/>
              <w:bottom w:val="single" w:sz="4" w:space="0" w:color="auto"/>
            </w:tcBorders>
            <w:noWrap/>
          </w:tcPr>
          <w:p w14:paraId="5FC0461B" w14:textId="77777777" w:rsidR="00152404" w:rsidRPr="00373827" w:rsidRDefault="00152404" w:rsidP="00152404">
            <w:pPr>
              <w:pStyle w:val="TableText"/>
              <w:jc w:val="right"/>
              <w:rPr>
                <w:b/>
              </w:rPr>
            </w:pPr>
          </w:p>
        </w:tc>
        <w:tc>
          <w:tcPr>
            <w:tcW w:w="601" w:type="pct"/>
            <w:tcBorders>
              <w:bottom w:val="single" w:sz="4" w:space="0" w:color="auto"/>
            </w:tcBorders>
            <w:noWrap/>
          </w:tcPr>
          <w:p w14:paraId="6E4E67F3" w14:textId="1A3993AF" w:rsidR="00152404" w:rsidRPr="00152404" w:rsidRDefault="00152404" w:rsidP="00152404">
            <w:pPr>
              <w:pStyle w:val="TableText"/>
              <w:jc w:val="right"/>
              <w:rPr>
                <w:b/>
              </w:rPr>
            </w:pPr>
            <w:r w:rsidRPr="00152404">
              <w:rPr>
                <w:b/>
              </w:rPr>
              <w:t>$11,352</w:t>
            </w:r>
          </w:p>
        </w:tc>
      </w:tr>
      <w:tr w:rsidR="00152404" w:rsidRPr="00373827" w14:paraId="244654D6" w14:textId="77777777" w:rsidTr="00152404">
        <w:trPr>
          <w:trHeight w:val="300"/>
        </w:trPr>
        <w:tc>
          <w:tcPr>
            <w:tcW w:w="5000" w:type="pct"/>
            <w:gridSpan w:val="4"/>
            <w:tcBorders>
              <w:bottom w:val="single" w:sz="4" w:space="0" w:color="auto"/>
            </w:tcBorders>
            <w:noWrap/>
            <w:hideMark/>
          </w:tcPr>
          <w:p w14:paraId="435DC489" w14:textId="77777777" w:rsidR="00152404" w:rsidRDefault="00152404" w:rsidP="00152404">
            <w:pPr>
              <w:pStyle w:val="TableText"/>
              <w:keepNext/>
              <w:rPr>
                <w:b/>
              </w:rPr>
            </w:pPr>
            <w:r>
              <w:rPr>
                <w:b/>
              </w:rPr>
              <w:lastRenderedPageBreak/>
              <w:t xml:space="preserve">Step 8: </w:t>
            </w:r>
            <w:r w:rsidRPr="00373827">
              <w:rPr>
                <w:b/>
              </w:rPr>
              <w:t>Incorporate rebiopsies</w:t>
            </w:r>
          </w:p>
          <w:p w14:paraId="29AE7189" w14:textId="68B91CE6" w:rsidR="00152404" w:rsidRPr="00373827" w:rsidRDefault="00152404" w:rsidP="00094AA8">
            <w:pPr>
              <w:pStyle w:val="TableText"/>
              <w:keepNext/>
              <w:rPr>
                <w:b/>
              </w:rPr>
            </w:pPr>
            <w:r>
              <w:t>In those with insufficient sample for testing, rebiopsy is attempted where 20% are assumed to fail (Kelly et al. 2019)</w:t>
            </w:r>
            <w:r w:rsidR="00094AA8">
              <w:rPr>
                <w:vertAlign w:val="superscript"/>
              </w:rPr>
              <w:t>d</w:t>
            </w:r>
            <w:r>
              <w:t xml:space="preserve">. </w:t>
            </w:r>
          </w:p>
        </w:tc>
      </w:tr>
      <w:tr w:rsidR="00152404" w:rsidRPr="00373827" w14:paraId="2C69039D" w14:textId="77777777" w:rsidTr="00152404">
        <w:trPr>
          <w:trHeight w:val="300"/>
        </w:trPr>
        <w:tc>
          <w:tcPr>
            <w:tcW w:w="3062" w:type="pct"/>
            <w:tcBorders>
              <w:bottom w:val="nil"/>
            </w:tcBorders>
            <w:noWrap/>
            <w:hideMark/>
          </w:tcPr>
          <w:p w14:paraId="393154D5" w14:textId="77777777" w:rsidR="00152404" w:rsidRPr="00373827" w:rsidRDefault="00152404" w:rsidP="006055B3">
            <w:pPr>
              <w:pStyle w:val="TableText"/>
              <w:keepNext/>
            </w:pPr>
            <w:r w:rsidRPr="00373827">
              <w:t>Total cost</w:t>
            </w:r>
          </w:p>
        </w:tc>
        <w:tc>
          <w:tcPr>
            <w:tcW w:w="668" w:type="pct"/>
            <w:tcBorders>
              <w:bottom w:val="nil"/>
            </w:tcBorders>
            <w:noWrap/>
          </w:tcPr>
          <w:p w14:paraId="349046F9" w14:textId="2DE363A3" w:rsidR="00152404" w:rsidRPr="00373827" w:rsidRDefault="00152404" w:rsidP="006055B3">
            <w:pPr>
              <w:pStyle w:val="TableText"/>
              <w:keepNext/>
              <w:jc w:val="right"/>
            </w:pPr>
            <w:r w:rsidRPr="00637F12">
              <w:t>$1,173.23</w:t>
            </w:r>
          </w:p>
        </w:tc>
        <w:tc>
          <w:tcPr>
            <w:tcW w:w="669" w:type="pct"/>
            <w:tcBorders>
              <w:bottom w:val="nil"/>
            </w:tcBorders>
            <w:noWrap/>
          </w:tcPr>
          <w:p w14:paraId="1DFF7EE6" w14:textId="07722D80" w:rsidR="00152404" w:rsidRPr="00373827" w:rsidRDefault="00152404" w:rsidP="006055B3">
            <w:pPr>
              <w:pStyle w:val="TableText"/>
              <w:keepNext/>
              <w:jc w:val="right"/>
            </w:pPr>
            <w:r w:rsidRPr="00637F12">
              <w:t>$1,004.20</w:t>
            </w:r>
          </w:p>
        </w:tc>
        <w:tc>
          <w:tcPr>
            <w:tcW w:w="601" w:type="pct"/>
            <w:tcBorders>
              <w:bottom w:val="nil"/>
            </w:tcBorders>
            <w:noWrap/>
          </w:tcPr>
          <w:p w14:paraId="6DB3F91F" w14:textId="42482D57" w:rsidR="00152404" w:rsidRPr="00373827" w:rsidRDefault="00152404" w:rsidP="006055B3">
            <w:pPr>
              <w:pStyle w:val="TableText"/>
              <w:keepNext/>
              <w:jc w:val="right"/>
            </w:pPr>
            <w:r w:rsidRPr="00637F12">
              <w:t>$169.02</w:t>
            </w:r>
          </w:p>
        </w:tc>
      </w:tr>
      <w:tr w:rsidR="00152404" w:rsidRPr="00373827" w14:paraId="2969B152" w14:textId="77777777" w:rsidTr="00152404">
        <w:trPr>
          <w:trHeight w:val="300"/>
        </w:trPr>
        <w:tc>
          <w:tcPr>
            <w:tcW w:w="3062" w:type="pct"/>
            <w:tcBorders>
              <w:top w:val="nil"/>
              <w:bottom w:val="nil"/>
            </w:tcBorders>
            <w:noWrap/>
            <w:hideMark/>
          </w:tcPr>
          <w:p w14:paraId="53BC607F" w14:textId="77777777" w:rsidR="00152404" w:rsidRPr="00373827" w:rsidRDefault="00152404" w:rsidP="006055B3">
            <w:pPr>
              <w:pStyle w:val="TableText"/>
              <w:keepNext/>
            </w:pPr>
            <w:r w:rsidRPr="00373827">
              <w:t>Proportion eligible for targeted therapy</w:t>
            </w:r>
          </w:p>
        </w:tc>
        <w:tc>
          <w:tcPr>
            <w:tcW w:w="668" w:type="pct"/>
            <w:tcBorders>
              <w:top w:val="nil"/>
              <w:bottom w:val="nil"/>
            </w:tcBorders>
            <w:noWrap/>
          </w:tcPr>
          <w:p w14:paraId="7CCEC665" w14:textId="66003207" w:rsidR="00152404" w:rsidRPr="00373827" w:rsidRDefault="00152404" w:rsidP="006055B3">
            <w:pPr>
              <w:pStyle w:val="TableText"/>
              <w:keepNext/>
              <w:jc w:val="right"/>
            </w:pPr>
            <w:r w:rsidRPr="00637F12">
              <w:t>0.1957</w:t>
            </w:r>
          </w:p>
        </w:tc>
        <w:tc>
          <w:tcPr>
            <w:tcW w:w="669" w:type="pct"/>
            <w:tcBorders>
              <w:top w:val="nil"/>
              <w:bottom w:val="nil"/>
            </w:tcBorders>
            <w:noWrap/>
          </w:tcPr>
          <w:p w14:paraId="239DFDDD" w14:textId="308C2510" w:rsidR="00152404" w:rsidRPr="00373827" w:rsidRDefault="00152404" w:rsidP="006055B3">
            <w:pPr>
              <w:pStyle w:val="TableText"/>
              <w:keepNext/>
              <w:jc w:val="right"/>
            </w:pPr>
            <w:r w:rsidRPr="00637F12">
              <w:t>0.1732</w:t>
            </w:r>
          </w:p>
        </w:tc>
        <w:tc>
          <w:tcPr>
            <w:tcW w:w="601" w:type="pct"/>
            <w:tcBorders>
              <w:top w:val="nil"/>
              <w:bottom w:val="nil"/>
            </w:tcBorders>
            <w:noWrap/>
          </w:tcPr>
          <w:p w14:paraId="7F20D3C9" w14:textId="0B76AD95" w:rsidR="00152404" w:rsidRPr="00373827" w:rsidRDefault="00152404" w:rsidP="006055B3">
            <w:pPr>
              <w:pStyle w:val="TableText"/>
              <w:keepNext/>
              <w:jc w:val="right"/>
            </w:pPr>
            <w:r w:rsidRPr="00637F12">
              <w:t>0.0225</w:t>
            </w:r>
          </w:p>
        </w:tc>
      </w:tr>
      <w:tr w:rsidR="00152404" w:rsidRPr="00373827" w14:paraId="2E2568E1" w14:textId="77777777" w:rsidTr="00152404">
        <w:trPr>
          <w:trHeight w:val="300"/>
        </w:trPr>
        <w:tc>
          <w:tcPr>
            <w:tcW w:w="3062" w:type="pct"/>
            <w:tcBorders>
              <w:right w:val="nil"/>
            </w:tcBorders>
            <w:noWrap/>
            <w:hideMark/>
          </w:tcPr>
          <w:p w14:paraId="56C44E76" w14:textId="77777777" w:rsidR="00152404" w:rsidRPr="00373827" w:rsidRDefault="00152404" w:rsidP="00152404">
            <w:pPr>
              <w:pStyle w:val="TableText"/>
              <w:rPr>
                <w:b/>
              </w:rPr>
            </w:pPr>
            <w:r w:rsidRPr="00373827">
              <w:rPr>
                <w:b/>
              </w:rPr>
              <w:t>ICER per additional patient eligible for targeted therapy</w:t>
            </w:r>
          </w:p>
        </w:tc>
        <w:tc>
          <w:tcPr>
            <w:tcW w:w="668" w:type="pct"/>
            <w:tcBorders>
              <w:left w:val="nil"/>
              <w:right w:val="nil"/>
            </w:tcBorders>
            <w:noWrap/>
          </w:tcPr>
          <w:p w14:paraId="4402DD22" w14:textId="77777777" w:rsidR="00152404" w:rsidRPr="00373827" w:rsidRDefault="00152404" w:rsidP="00152404">
            <w:pPr>
              <w:pStyle w:val="TableText"/>
              <w:jc w:val="right"/>
              <w:rPr>
                <w:b/>
              </w:rPr>
            </w:pPr>
          </w:p>
        </w:tc>
        <w:tc>
          <w:tcPr>
            <w:tcW w:w="669" w:type="pct"/>
            <w:tcBorders>
              <w:left w:val="nil"/>
            </w:tcBorders>
            <w:noWrap/>
          </w:tcPr>
          <w:p w14:paraId="3CEA3A24" w14:textId="77777777" w:rsidR="00152404" w:rsidRPr="00373827" w:rsidRDefault="00152404" w:rsidP="00152404">
            <w:pPr>
              <w:pStyle w:val="TableText"/>
              <w:jc w:val="right"/>
              <w:rPr>
                <w:b/>
              </w:rPr>
            </w:pPr>
          </w:p>
        </w:tc>
        <w:tc>
          <w:tcPr>
            <w:tcW w:w="601" w:type="pct"/>
            <w:noWrap/>
          </w:tcPr>
          <w:p w14:paraId="00C55A4A" w14:textId="62EDEDA4" w:rsidR="00152404" w:rsidRPr="00152404" w:rsidRDefault="00152404" w:rsidP="00152404">
            <w:pPr>
              <w:pStyle w:val="TableText"/>
              <w:jc w:val="right"/>
              <w:rPr>
                <w:b/>
              </w:rPr>
            </w:pPr>
            <w:r w:rsidRPr="00152404">
              <w:rPr>
                <w:b/>
              </w:rPr>
              <w:t>$7,496</w:t>
            </w:r>
          </w:p>
        </w:tc>
      </w:tr>
    </w:tbl>
    <w:p w14:paraId="6964DF05" w14:textId="77777777" w:rsidR="00094AA8" w:rsidRDefault="00094AA8" w:rsidP="00094AA8">
      <w:pPr>
        <w:pStyle w:val="TableFooter"/>
      </w:pPr>
      <w:r>
        <w:rPr>
          <w:vertAlign w:val="superscript"/>
        </w:rPr>
        <w:t>a</w:t>
      </w:r>
      <w:r>
        <w:t xml:space="preserve"> </w:t>
      </w:r>
      <w:r w:rsidRPr="008542F6">
        <w:t>Steeghs, EMP, Groen, HJM, Schuuring, E, Aarts, MJ, Damhuis, RAM, Voorham, QJM, Ligtenberg, MJL &amp; Grunberg, K 2022, 'Mutation-tailored treatment selection in non-small cell lung cancer patients in daily clinical practice', Lung Cancer, vol. 167, May, pp. 87-97.</w:t>
      </w:r>
    </w:p>
    <w:p w14:paraId="5DCCC3D7" w14:textId="77777777" w:rsidR="00094AA8" w:rsidRDefault="00094AA8" w:rsidP="00094AA8">
      <w:pPr>
        <w:pStyle w:val="TableFooter"/>
      </w:pPr>
      <w:r w:rsidRPr="00EF55F9">
        <w:rPr>
          <w:vertAlign w:val="superscript"/>
        </w:rPr>
        <w:t>b</w:t>
      </w:r>
      <w:r>
        <w:t xml:space="preserve"> Incorporates variants that could </w:t>
      </w:r>
      <w:r w:rsidRPr="00C1061A">
        <w:t>be identified by either current or proposed testing</w:t>
      </w:r>
      <w:r>
        <w:t xml:space="preserve">, or </w:t>
      </w:r>
      <w:r w:rsidRPr="00F467E2">
        <w:t>incremental variants within the current scope of eligibility to PBS-listed targeted therapies, and those beyond current PBS restrictions</w:t>
      </w:r>
      <w:r>
        <w:t>.</w:t>
      </w:r>
    </w:p>
    <w:p w14:paraId="13820712" w14:textId="77777777" w:rsidR="00094AA8" w:rsidRDefault="00094AA8" w:rsidP="00094AA8">
      <w:pPr>
        <w:pStyle w:val="TableFooter"/>
      </w:pPr>
      <w:r w:rsidRPr="00C1061A">
        <w:rPr>
          <w:vertAlign w:val="superscript"/>
        </w:rPr>
        <w:t>c</w:t>
      </w:r>
      <w:r>
        <w:t xml:space="preserve"> </w:t>
      </w:r>
      <w:r w:rsidRPr="00EF55F9">
        <w:t>Park, E &amp; Shim, HS 2020, 'Detection of targetable genetic alterations in Korean lung cancer patients: A comparison study of single-gene assays and targeted next-generation sequencing', Cancer Research and Treatment, vol. 52(2), pp. 1-9.</w:t>
      </w:r>
    </w:p>
    <w:p w14:paraId="7E55E998" w14:textId="77777777" w:rsidR="00094AA8" w:rsidRPr="008542F6" w:rsidRDefault="00094AA8" w:rsidP="00094AA8">
      <w:pPr>
        <w:pStyle w:val="TableFooter"/>
      </w:pPr>
      <w:r>
        <w:rPr>
          <w:vertAlign w:val="superscript"/>
        </w:rPr>
        <w:t>d</w:t>
      </w:r>
      <w:r>
        <w:t xml:space="preserve"> </w:t>
      </w:r>
      <w:r w:rsidRPr="008542F6">
        <w:t>Kelly, RJ, Turner, R, Chen, YW, Rigas, JR, Fernandes, AW &amp; Karve, S 2019, 'Complications and Economic Burden Associated With Obtaining Tissue for Diagnosis and Molecular Analysis in Patients With Non-Small-Cell Lung Cancer in the United States', J Oncol Pract, vol. 15, no. 8, Aug, pp. e717-e727.</w:t>
      </w:r>
    </w:p>
    <w:p w14:paraId="18124CA5" w14:textId="77777777" w:rsidR="00C13707" w:rsidRPr="00373827" w:rsidRDefault="00C13707" w:rsidP="00C13707">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DNA = deoxyribonucleic acid;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IHC = immunohistochemistry; </w:t>
      </w:r>
      <w:r w:rsidRPr="000B3989">
        <w:rPr>
          <w:i/>
          <w:iCs/>
        </w:rPr>
        <w:t>KRAS</w:t>
      </w:r>
      <w:r w:rsidRPr="00B52D8D">
        <w:t xml:space="preserve"> = Kirsten rat sarcoma viral oncogene homologue</w:t>
      </w:r>
      <w:r>
        <w:t xml:space="preserve">; </w:t>
      </w:r>
      <w:r w:rsidRPr="00336456">
        <w:rPr>
          <w:i/>
        </w:rPr>
        <w:t>MET</w:t>
      </w:r>
      <w:r>
        <w:t>ex14sk = MET proto-oncogene, receptor tyrosine kinase exon 14 skipping alterations; NGS = next-generation sequencing; NOS = not otherwise specified; NPA = negative percent agreement; NSCLC = non-small cell lung cancer; PPA = positive percent agreement; RNA = ribonucleic acid;</w:t>
      </w:r>
      <w:r w:rsidRPr="007C4117">
        <w:rPr>
          <w:i/>
        </w:rPr>
        <w:t xml:space="preserve"> </w:t>
      </w:r>
      <w:r w:rsidRPr="00743D1B">
        <w:rPr>
          <w:i/>
        </w:rPr>
        <w:t>ROS1</w:t>
      </w:r>
      <w:r>
        <w:t xml:space="preserve"> = ROS proto-oncogene 1.</w:t>
      </w:r>
    </w:p>
    <w:p w14:paraId="53339D09" w14:textId="5BC92718" w:rsidR="004E63D6" w:rsidRDefault="004E63D6" w:rsidP="004E63D6">
      <w:r w:rsidRPr="00B14F98">
        <w:t>Disaggregated costs and outcomes are presented in</w:t>
      </w:r>
      <w:r>
        <w:t xml:space="preserve"> </w:t>
      </w:r>
      <w:r>
        <w:fldChar w:fldCharType="begin"/>
      </w:r>
      <w:r>
        <w:instrText xml:space="preserve"> REF _Ref109142420 \h </w:instrText>
      </w:r>
      <w:r>
        <w:fldChar w:fldCharType="separate"/>
      </w:r>
      <w:r w:rsidR="00C857F3" w:rsidRPr="00CE28E3">
        <w:t>Table</w:t>
      </w:r>
      <w:r w:rsidR="00C857F3">
        <w:t> </w:t>
      </w:r>
      <w:r w:rsidR="00C857F3">
        <w:rPr>
          <w:noProof/>
        </w:rPr>
        <w:t>11</w:t>
      </w:r>
      <w:r>
        <w:fldChar w:fldCharType="end"/>
      </w:r>
      <w:r w:rsidRPr="00B14F98">
        <w:t>.</w:t>
      </w:r>
    </w:p>
    <w:p w14:paraId="7E1C50EF" w14:textId="484DC2C0" w:rsidR="004E63D6" w:rsidRPr="00CE28E3" w:rsidRDefault="004E63D6" w:rsidP="004E63D6">
      <w:pPr>
        <w:pStyle w:val="Caption"/>
      </w:pPr>
      <w:bookmarkStart w:id="35" w:name="_Ref109142420"/>
      <w:r w:rsidRPr="00CE28E3">
        <w:t>Table</w:t>
      </w:r>
      <w:r>
        <w:t> </w:t>
      </w:r>
      <w:fldSimple w:instr=" SEQ Table \* ARABIC ">
        <w:r w:rsidR="00C857F3">
          <w:rPr>
            <w:noProof/>
          </w:rPr>
          <w:t>11</w:t>
        </w:r>
      </w:fldSimple>
      <w:bookmarkEnd w:id="35"/>
      <w:r w:rsidRPr="00CE28E3">
        <w:tab/>
      </w:r>
      <w:r>
        <w:t>Disaggregated modelled costs and outcomes</w:t>
      </w:r>
    </w:p>
    <w:tbl>
      <w:tblPr>
        <w:tblStyle w:val="TableGrid1"/>
        <w:tblW w:w="5000" w:type="pct"/>
        <w:tblLayout w:type="fixed"/>
        <w:tblLook w:val="04A0" w:firstRow="1" w:lastRow="0" w:firstColumn="1" w:lastColumn="0" w:noHBand="0" w:noVBand="1"/>
        <w:tblCaption w:val="Disaggregated modelled costs and outcomes"/>
        <w:tblDescription w:val="Disaggregated modelled costs and outcomes"/>
      </w:tblPr>
      <w:tblGrid>
        <w:gridCol w:w="3258"/>
        <w:gridCol w:w="2267"/>
        <w:gridCol w:w="1985"/>
        <w:gridCol w:w="1506"/>
      </w:tblGrid>
      <w:tr w:rsidR="004E63D6" w:rsidRPr="00C917B1" w14:paraId="6FB8D2EA" w14:textId="77777777" w:rsidTr="00152404">
        <w:trPr>
          <w:cnfStyle w:val="100000000000" w:firstRow="1" w:lastRow="0" w:firstColumn="0" w:lastColumn="0" w:oddVBand="0" w:evenVBand="0" w:oddHBand="0" w:evenHBand="0" w:firstRowFirstColumn="0" w:firstRowLastColumn="0" w:lastRowFirstColumn="0" w:lastRowLastColumn="0"/>
          <w:trHeight w:val="300"/>
          <w:tblHeader/>
        </w:trPr>
        <w:tc>
          <w:tcPr>
            <w:tcW w:w="1807" w:type="pct"/>
            <w:tcBorders>
              <w:bottom w:val="single" w:sz="4" w:space="0" w:color="auto"/>
            </w:tcBorders>
            <w:noWrap/>
            <w:hideMark/>
          </w:tcPr>
          <w:p w14:paraId="1F59EBE5" w14:textId="77777777" w:rsidR="004E63D6" w:rsidRPr="00C917B1" w:rsidRDefault="004E63D6" w:rsidP="00CA410A">
            <w:pPr>
              <w:pStyle w:val="TableHeading"/>
            </w:pPr>
          </w:p>
        </w:tc>
        <w:tc>
          <w:tcPr>
            <w:tcW w:w="1257" w:type="pct"/>
            <w:tcBorders>
              <w:bottom w:val="single" w:sz="4" w:space="0" w:color="auto"/>
            </w:tcBorders>
            <w:noWrap/>
            <w:hideMark/>
          </w:tcPr>
          <w:p w14:paraId="57BB6876" w14:textId="77777777" w:rsidR="004E63D6" w:rsidRPr="00C917B1" w:rsidRDefault="004E63D6" w:rsidP="00CA410A">
            <w:pPr>
              <w:pStyle w:val="TableHeading"/>
              <w:jc w:val="center"/>
            </w:pPr>
            <w:r w:rsidRPr="00C917B1">
              <w:t>Small gene panel testing</w:t>
            </w:r>
          </w:p>
        </w:tc>
        <w:tc>
          <w:tcPr>
            <w:tcW w:w="1101" w:type="pct"/>
            <w:tcBorders>
              <w:bottom w:val="single" w:sz="4" w:space="0" w:color="auto"/>
            </w:tcBorders>
            <w:noWrap/>
            <w:hideMark/>
          </w:tcPr>
          <w:p w14:paraId="4BA36084" w14:textId="77777777" w:rsidR="004E63D6" w:rsidRPr="00C917B1" w:rsidRDefault="004E63D6" w:rsidP="00CA410A">
            <w:pPr>
              <w:pStyle w:val="TableHeading"/>
              <w:jc w:val="center"/>
            </w:pPr>
            <w:r w:rsidRPr="00C917B1">
              <w:t>Single gene testing</w:t>
            </w:r>
          </w:p>
        </w:tc>
        <w:tc>
          <w:tcPr>
            <w:tcW w:w="835" w:type="pct"/>
            <w:tcBorders>
              <w:bottom w:val="single" w:sz="4" w:space="0" w:color="auto"/>
            </w:tcBorders>
            <w:noWrap/>
            <w:hideMark/>
          </w:tcPr>
          <w:p w14:paraId="55BA8623" w14:textId="77777777" w:rsidR="004E63D6" w:rsidRPr="00C917B1" w:rsidRDefault="004E63D6" w:rsidP="00CA410A">
            <w:pPr>
              <w:pStyle w:val="TableHeading"/>
              <w:jc w:val="center"/>
            </w:pPr>
            <w:r w:rsidRPr="00C917B1">
              <w:t>Increment</w:t>
            </w:r>
          </w:p>
        </w:tc>
      </w:tr>
      <w:tr w:rsidR="004E63D6" w:rsidRPr="0028345B" w14:paraId="2CFB3DF9" w14:textId="77777777" w:rsidTr="00152404">
        <w:trPr>
          <w:trHeight w:val="300"/>
        </w:trPr>
        <w:tc>
          <w:tcPr>
            <w:tcW w:w="1807" w:type="pct"/>
            <w:tcBorders>
              <w:bottom w:val="single" w:sz="4" w:space="0" w:color="auto"/>
              <w:right w:val="nil"/>
            </w:tcBorders>
            <w:noWrap/>
          </w:tcPr>
          <w:p w14:paraId="208051EC" w14:textId="77777777" w:rsidR="004E63D6" w:rsidRPr="0028345B" w:rsidRDefault="004E63D6" w:rsidP="00CA410A">
            <w:pPr>
              <w:pStyle w:val="TableText"/>
              <w:keepNext/>
              <w:rPr>
                <w:b/>
              </w:rPr>
            </w:pPr>
            <w:r w:rsidRPr="0028345B">
              <w:rPr>
                <w:b/>
              </w:rPr>
              <w:t>Disaggregated costs</w:t>
            </w:r>
          </w:p>
        </w:tc>
        <w:tc>
          <w:tcPr>
            <w:tcW w:w="1257" w:type="pct"/>
            <w:tcBorders>
              <w:left w:val="nil"/>
              <w:bottom w:val="single" w:sz="4" w:space="0" w:color="auto"/>
              <w:right w:val="nil"/>
            </w:tcBorders>
            <w:noWrap/>
          </w:tcPr>
          <w:p w14:paraId="75D38866" w14:textId="77777777" w:rsidR="004E63D6" w:rsidRPr="0028345B" w:rsidRDefault="004E63D6" w:rsidP="00CA410A">
            <w:pPr>
              <w:pStyle w:val="TableText"/>
              <w:keepNext/>
              <w:jc w:val="right"/>
              <w:rPr>
                <w:b/>
              </w:rPr>
            </w:pPr>
          </w:p>
        </w:tc>
        <w:tc>
          <w:tcPr>
            <w:tcW w:w="1101" w:type="pct"/>
            <w:tcBorders>
              <w:left w:val="nil"/>
              <w:bottom w:val="single" w:sz="4" w:space="0" w:color="auto"/>
              <w:right w:val="nil"/>
            </w:tcBorders>
            <w:noWrap/>
          </w:tcPr>
          <w:p w14:paraId="4F249DB3" w14:textId="77777777" w:rsidR="004E63D6" w:rsidRPr="0028345B" w:rsidRDefault="004E63D6" w:rsidP="00CA410A">
            <w:pPr>
              <w:pStyle w:val="TableText"/>
              <w:keepNext/>
              <w:jc w:val="right"/>
              <w:rPr>
                <w:b/>
              </w:rPr>
            </w:pPr>
          </w:p>
        </w:tc>
        <w:tc>
          <w:tcPr>
            <w:tcW w:w="835" w:type="pct"/>
            <w:tcBorders>
              <w:left w:val="nil"/>
              <w:bottom w:val="single" w:sz="4" w:space="0" w:color="auto"/>
            </w:tcBorders>
            <w:noWrap/>
          </w:tcPr>
          <w:p w14:paraId="4AC2C48D" w14:textId="77777777" w:rsidR="004E63D6" w:rsidRPr="0028345B" w:rsidRDefault="004E63D6" w:rsidP="00CA410A">
            <w:pPr>
              <w:pStyle w:val="TableText"/>
              <w:keepNext/>
              <w:jc w:val="right"/>
              <w:rPr>
                <w:b/>
              </w:rPr>
            </w:pPr>
          </w:p>
        </w:tc>
      </w:tr>
      <w:tr w:rsidR="00152404" w:rsidRPr="00C917B1" w14:paraId="4CD44933" w14:textId="77777777" w:rsidTr="00152404">
        <w:trPr>
          <w:trHeight w:val="300"/>
        </w:trPr>
        <w:tc>
          <w:tcPr>
            <w:tcW w:w="1807" w:type="pct"/>
            <w:tcBorders>
              <w:bottom w:val="nil"/>
            </w:tcBorders>
            <w:noWrap/>
            <w:hideMark/>
          </w:tcPr>
          <w:p w14:paraId="3D8550C0" w14:textId="77777777" w:rsidR="00152404" w:rsidRPr="00C917B1" w:rsidRDefault="00152404" w:rsidP="00152404">
            <w:pPr>
              <w:pStyle w:val="TableText"/>
              <w:keepNext/>
            </w:pPr>
            <w:r w:rsidRPr="00C917B1">
              <w:t>Cost of testing</w:t>
            </w:r>
          </w:p>
        </w:tc>
        <w:tc>
          <w:tcPr>
            <w:tcW w:w="1257" w:type="pct"/>
            <w:tcBorders>
              <w:bottom w:val="nil"/>
            </w:tcBorders>
            <w:noWrap/>
          </w:tcPr>
          <w:p w14:paraId="3E77A0AE" w14:textId="2F543DD6" w:rsidR="00152404" w:rsidRPr="00C917B1" w:rsidRDefault="00152404" w:rsidP="00152404">
            <w:pPr>
              <w:pStyle w:val="TableText"/>
              <w:keepNext/>
              <w:jc w:val="right"/>
            </w:pPr>
            <w:r w:rsidRPr="00EE787D">
              <w:t>$1,053.65</w:t>
            </w:r>
          </w:p>
        </w:tc>
        <w:tc>
          <w:tcPr>
            <w:tcW w:w="1101" w:type="pct"/>
            <w:tcBorders>
              <w:bottom w:val="nil"/>
            </w:tcBorders>
            <w:noWrap/>
          </w:tcPr>
          <w:p w14:paraId="0E5BFF44" w14:textId="4DD512EF" w:rsidR="00152404" w:rsidRPr="00C917B1" w:rsidRDefault="00152404" w:rsidP="00152404">
            <w:pPr>
              <w:pStyle w:val="TableText"/>
              <w:keepNext/>
              <w:jc w:val="right"/>
            </w:pPr>
            <w:r w:rsidRPr="00EE787D">
              <w:t>$773.59</w:t>
            </w:r>
          </w:p>
        </w:tc>
        <w:tc>
          <w:tcPr>
            <w:tcW w:w="835" w:type="pct"/>
            <w:tcBorders>
              <w:bottom w:val="nil"/>
            </w:tcBorders>
            <w:noWrap/>
          </w:tcPr>
          <w:p w14:paraId="7A5C9530" w14:textId="02442CA6" w:rsidR="00152404" w:rsidRPr="00C917B1" w:rsidRDefault="00152404" w:rsidP="00152404">
            <w:pPr>
              <w:pStyle w:val="TableText"/>
              <w:keepNext/>
              <w:jc w:val="right"/>
            </w:pPr>
            <w:r w:rsidRPr="00EE787D">
              <w:t>$280.06</w:t>
            </w:r>
          </w:p>
        </w:tc>
      </w:tr>
      <w:tr w:rsidR="00152404" w:rsidRPr="00C917B1" w14:paraId="1E63AFDD" w14:textId="77777777" w:rsidTr="00152404">
        <w:trPr>
          <w:trHeight w:val="300"/>
        </w:trPr>
        <w:tc>
          <w:tcPr>
            <w:tcW w:w="1807" w:type="pct"/>
            <w:tcBorders>
              <w:top w:val="nil"/>
            </w:tcBorders>
            <w:noWrap/>
            <w:hideMark/>
          </w:tcPr>
          <w:p w14:paraId="0708FFA0" w14:textId="77777777" w:rsidR="00152404" w:rsidRPr="00C917B1" w:rsidRDefault="00152404" w:rsidP="00152404">
            <w:pPr>
              <w:pStyle w:val="TableText"/>
              <w:keepNext/>
            </w:pPr>
            <w:r w:rsidRPr="00C917B1">
              <w:t>Cost of rebiopsy</w:t>
            </w:r>
          </w:p>
        </w:tc>
        <w:tc>
          <w:tcPr>
            <w:tcW w:w="1257" w:type="pct"/>
            <w:tcBorders>
              <w:top w:val="nil"/>
            </w:tcBorders>
            <w:noWrap/>
          </w:tcPr>
          <w:p w14:paraId="7F434548" w14:textId="0C719D45" w:rsidR="00152404" w:rsidRPr="00C917B1" w:rsidRDefault="00152404" w:rsidP="00152404">
            <w:pPr>
              <w:pStyle w:val="TableText"/>
              <w:keepNext/>
              <w:jc w:val="right"/>
            </w:pPr>
            <w:r w:rsidRPr="00EE787D">
              <w:t>$119.58</w:t>
            </w:r>
          </w:p>
        </w:tc>
        <w:tc>
          <w:tcPr>
            <w:tcW w:w="1101" w:type="pct"/>
            <w:tcBorders>
              <w:top w:val="nil"/>
            </w:tcBorders>
            <w:noWrap/>
          </w:tcPr>
          <w:p w14:paraId="52C5E925" w14:textId="7DAB260C" w:rsidR="00152404" w:rsidRPr="00C917B1" w:rsidRDefault="00152404" w:rsidP="00152404">
            <w:pPr>
              <w:pStyle w:val="TableText"/>
              <w:keepNext/>
              <w:jc w:val="right"/>
            </w:pPr>
            <w:r w:rsidRPr="00EE787D">
              <w:t>$230.61</w:t>
            </w:r>
          </w:p>
        </w:tc>
        <w:tc>
          <w:tcPr>
            <w:tcW w:w="835" w:type="pct"/>
            <w:tcBorders>
              <w:top w:val="nil"/>
            </w:tcBorders>
            <w:noWrap/>
          </w:tcPr>
          <w:p w14:paraId="0D8E1260" w14:textId="29DFA438" w:rsidR="00152404" w:rsidRPr="00C917B1" w:rsidRDefault="00152404" w:rsidP="00152404">
            <w:pPr>
              <w:pStyle w:val="TableText"/>
              <w:keepNext/>
              <w:jc w:val="right"/>
            </w:pPr>
            <w:r w:rsidRPr="00EE787D">
              <w:t>−$111.03</w:t>
            </w:r>
          </w:p>
        </w:tc>
      </w:tr>
      <w:tr w:rsidR="00152404" w:rsidRPr="00C917B1" w14:paraId="0B3599F6" w14:textId="77777777" w:rsidTr="00152404">
        <w:trPr>
          <w:trHeight w:val="300"/>
        </w:trPr>
        <w:tc>
          <w:tcPr>
            <w:tcW w:w="1807" w:type="pct"/>
            <w:noWrap/>
            <w:hideMark/>
          </w:tcPr>
          <w:p w14:paraId="715E7398" w14:textId="77777777" w:rsidR="00152404" w:rsidRPr="00C917B1" w:rsidRDefault="00152404" w:rsidP="00152404">
            <w:pPr>
              <w:pStyle w:val="TableText"/>
              <w:keepNext/>
              <w:rPr>
                <w:b/>
              </w:rPr>
            </w:pPr>
            <w:r w:rsidRPr="00C917B1">
              <w:rPr>
                <w:b/>
              </w:rPr>
              <w:t>Total cost</w:t>
            </w:r>
          </w:p>
        </w:tc>
        <w:tc>
          <w:tcPr>
            <w:tcW w:w="1257" w:type="pct"/>
            <w:noWrap/>
          </w:tcPr>
          <w:p w14:paraId="4F8584E8" w14:textId="03ABCB71" w:rsidR="00152404" w:rsidRPr="00C917B1" w:rsidRDefault="00152404" w:rsidP="00152404">
            <w:pPr>
              <w:pStyle w:val="TableText"/>
              <w:keepNext/>
              <w:jc w:val="right"/>
              <w:rPr>
                <w:b/>
              </w:rPr>
            </w:pPr>
            <w:r w:rsidRPr="00EE787D">
              <w:t>$1,173.23</w:t>
            </w:r>
          </w:p>
        </w:tc>
        <w:tc>
          <w:tcPr>
            <w:tcW w:w="1101" w:type="pct"/>
            <w:noWrap/>
          </w:tcPr>
          <w:p w14:paraId="50488754" w14:textId="70A87262" w:rsidR="00152404" w:rsidRPr="00C917B1" w:rsidRDefault="00152404" w:rsidP="00152404">
            <w:pPr>
              <w:pStyle w:val="TableText"/>
              <w:keepNext/>
              <w:jc w:val="right"/>
              <w:rPr>
                <w:b/>
              </w:rPr>
            </w:pPr>
            <w:r w:rsidRPr="00EE787D">
              <w:t>$1,004.20</w:t>
            </w:r>
          </w:p>
        </w:tc>
        <w:tc>
          <w:tcPr>
            <w:tcW w:w="835" w:type="pct"/>
            <w:noWrap/>
          </w:tcPr>
          <w:p w14:paraId="097C938F" w14:textId="09390C9F" w:rsidR="00152404" w:rsidRPr="00C917B1" w:rsidRDefault="00152404" w:rsidP="00152404">
            <w:pPr>
              <w:pStyle w:val="TableText"/>
              <w:keepNext/>
              <w:jc w:val="right"/>
              <w:rPr>
                <w:b/>
              </w:rPr>
            </w:pPr>
            <w:r w:rsidRPr="00EE787D">
              <w:t>$169.02</w:t>
            </w:r>
          </w:p>
        </w:tc>
      </w:tr>
      <w:tr w:rsidR="004E63D6" w:rsidRPr="0028345B" w14:paraId="22AA7619" w14:textId="77777777" w:rsidTr="00152404">
        <w:trPr>
          <w:trHeight w:val="300"/>
        </w:trPr>
        <w:tc>
          <w:tcPr>
            <w:tcW w:w="1807" w:type="pct"/>
            <w:tcBorders>
              <w:bottom w:val="single" w:sz="4" w:space="0" w:color="auto"/>
              <w:right w:val="nil"/>
            </w:tcBorders>
            <w:noWrap/>
          </w:tcPr>
          <w:p w14:paraId="22603102" w14:textId="77777777" w:rsidR="004E63D6" w:rsidRPr="0028345B" w:rsidRDefault="004E63D6" w:rsidP="00CA410A">
            <w:pPr>
              <w:pStyle w:val="TableText"/>
              <w:keepNext/>
              <w:rPr>
                <w:b/>
              </w:rPr>
            </w:pPr>
            <w:r w:rsidRPr="0028345B">
              <w:rPr>
                <w:b/>
              </w:rPr>
              <w:t xml:space="preserve">Disaggregated </w:t>
            </w:r>
            <w:r>
              <w:rPr>
                <w:b/>
              </w:rPr>
              <w:t>outcomes</w:t>
            </w:r>
          </w:p>
        </w:tc>
        <w:tc>
          <w:tcPr>
            <w:tcW w:w="1257" w:type="pct"/>
            <w:tcBorders>
              <w:left w:val="nil"/>
              <w:bottom w:val="single" w:sz="4" w:space="0" w:color="auto"/>
              <w:right w:val="nil"/>
            </w:tcBorders>
            <w:noWrap/>
          </w:tcPr>
          <w:p w14:paraId="5F44EDDF" w14:textId="77777777" w:rsidR="004E63D6" w:rsidRPr="0028345B" w:rsidRDefault="004E63D6" w:rsidP="00CA410A">
            <w:pPr>
              <w:pStyle w:val="TableText"/>
              <w:keepNext/>
              <w:jc w:val="right"/>
              <w:rPr>
                <w:b/>
              </w:rPr>
            </w:pPr>
          </w:p>
        </w:tc>
        <w:tc>
          <w:tcPr>
            <w:tcW w:w="1101" w:type="pct"/>
            <w:tcBorders>
              <w:left w:val="nil"/>
              <w:bottom w:val="single" w:sz="4" w:space="0" w:color="auto"/>
              <w:right w:val="nil"/>
            </w:tcBorders>
            <w:noWrap/>
          </w:tcPr>
          <w:p w14:paraId="72665D2C" w14:textId="77777777" w:rsidR="004E63D6" w:rsidRPr="0028345B" w:rsidRDefault="004E63D6" w:rsidP="00CA410A">
            <w:pPr>
              <w:pStyle w:val="TableText"/>
              <w:keepNext/>
              <w:jc w:val="right"/>
              <w:rPr>
                <w:b/>
              </w:rPr>
            </w:pPr>
          </w:p>
        </w:tc>
        <w:tc>
          <w:tcPr>
            <w:tcW w:w="835" w:type="pct"/>
            <w:tcBorders>
              <w:left w:val="nil"/>
              <w:bottom w:val="single" w:sz="4" w:space="0" w:color="auto"/>
            </w:tcBorders>
            <w:noWrap/>
          </w:tcPr>
          <w:p w14:paraId="5C116708" w14:textId="77777777" w:rsidR="004E63D6" w:rsidRPr="0028345B" w:rsidRDefault="004E63D6" w:rsidP="00CA410A">
            <w:pPr>
              <w:pStyle w:val="TableText"/>
              <w:keepNext/>
              <w:jc w:val="right"/>
              <w:rPr>
                <w:b/>
              </w:rPr>
            </w:pPr>
          </w:p>
        </w:tc>
      </w:tr>
      <w:tr w:rsidR="00152404" w:rsidRPr="0028345B" w14:paraId="50DE7A08" w14:textId="77777777" w:rsidTr="00152404">
        <w:trPr>
          <w:trHeight w:val="300"/>
        </w:trPr>
        <w:tc>
          <w:tcPr>
            <w:tcW w:w="1807" w:type="pct"/>
            <w:tcBorders>
              <w:bottom w:val="single" w:sz="4" w:space="0" w:color="auto"/>
            </w:tcBorders>
            <w:noWrap/>
            <w:hideMark/>
          </w:tcPr>
          <w:p w14:paraId="00816EE8" w14:textId="77777777" w:rsidR="00152404" w:rsidRPr="0028345B" w:rsidRDefault="00152404" w:rsidP="00152404">
            <w:pPr>
              <w:pStyle w:val="TableText"/>
              <w:keepNext/>
              <w:rPr>
                <w:b/>
              </w:rPr>
            </w:pPr>
            <w:r w:rsidRPr="0028345B">
              <w:rPr>
                <w:b/>
              </w:rPr>
              <w:t>Eligible for targeted therapy</w:t>
            </w:r>
          </w:p>
        </w:tc>
        <w:tc>
          <w:tcPr>
            <w:tcW w:w="1257" w:type="pct"/>
            <w:tcBorders>
              <w:bottom w:val="single" w:sz="4" w:space="0" w:color="auto"/>
            </w:tcBorders>
            <w:noWrap/>
          </w:tcPr>
          <w:p w14:paraId="00887B40" w14:textId="46837A48" w:rsidR="00152404" w:rsidRPr="00152404" w:rsidRDefault="00152404" w:rsidP="00152404">
            <w:pPr>
              <w:pStyle w:val="TableText"/>
              <w:keepNext/>
              <w:jc w:val="right"/>
              <w:rPr>
                <w:b/>
              </w:rPr>
            </w:pPr>
            <w:r w:rsidRPr="00152404">
              <w:rPr>
                <w:b/>
              </w:rPr>
              <w:t>0.1957</w:t>
            </w:r>
          </w:p>
        </w:tc>
        <w:tc>
          <w:tcPr>
            <w:tcW w:w="1101" w:type="pct"/>
            <w:tcBorders>
              <w:bottom w:val="single" w:sz="4" w:space="0" w:color="auto"/>
            </w:tcBorders>
            <w:noWrap/>
          </w:tcPr>
          <w:p w14:paraId="0EECE5E0" w14:textId="3CF70535" w:rsidR="00152404" w:rsidRPr="00152404" w:rsidRDefault="00152404" w:rsidP="00152404">
            <w:pPr>
              <w:pStyle w:val="TableText"/>
              <w:keepNext/>
              <w:jc w:val="right"/>
              <w:rPr>
                <w:b/>
              </w:rPr>
            </w:pPr>
            <w:r w:rsidRPr="00152404">
              <w:rPr>
                <w:b/>
              </w:rPr>
              <w:t>0.1732</w:t>
            </w:r>
          </w:p>
        </w:tc>
        <w:tc>
          <w:tcPr>
            <w:tcW w:w="835" w:type="pct"/>
            <w:tcBorders>
              <w:bottom w:val="single" w:sz="4" w:space="0" w:color="auto"/>
            </w:tcBorders>
            <w:noWrap/>
          </w:tcPr>
          <w:p w14:paraId="313B7404" w14:textId="6B8FA60E" w:rsidR="00152404" w:rsidRPr="00152404" w:rsidRDefault="00152404" w:rsidP="00152404">
            <w:pPr>
              <w:pStyle w:val="TableText"/>
              <w:keepNext/>
              <w:jc w:val="right"/>
              <w:rPr>
                <w:b/>
              </w:rPr>
            </w:pPr>
            <w:r w:rsidRPr="00152404">
              <w:rPr>
                <w:b/>
              </w:rPr>
              <w:t>0.0225</w:t>
            </w:r>
          </w:p>
        </w:tc>
      </w:tr>
      <w:tr w:rsidR="00152404" w:rsidRPr="00D304D0" w14:paraId="64525AAB" w14:textId="77777777" w:rsidTr="00152404">
        <w:trPr>
          <w:trHeight w:val="300"/>
        </w:trPr>
        <w:tc>
          <w:tcPr>
            <w:tcW w:w="1807" w:type="pct"/>
            <w:tcBorders>
              <w:bottom w:val="nil"/>
            </w:tcBorders>
            <w:noWrap/>
            <w:hideMark/>
          </w:tcPr>
          <w:p w14:paraId="01FC6C6C" w14:textId="77777777" w:rsidR="00152404" w:rsidRPr="00D304D0" w:rsidRDefault="00152404" w:rsidP="00152404">
            <w:pPr>
              <w:pStyle w:val="TableText"/>
              <w:keepNext/>
              <w:numPr>
                <w:ilvl w:val="0"/>
                <w:numId w:val="35"/>
              </w:numPr>
              <w:ind w:left="306" w:hanging="142"/>
            </w:pPr>
            <w:r>
              <w:t>C</w:t>
            </w:r>
            <w:r w:rsidRPr="00D304D0">
              <w:t>ommon variants</w:t>
            </w:r>
          </w:p>
        </w:tc>
        <w:tc>
          <w:tcPr>
            <w:tcW w:w="1257" w:type="pct"/>
            <w:tcBorders>
              <w:bottom w:val="nil"/>
            </w:tcBorders>
            <w:noWrap/>
          </w:tcPr>
          <w:p w14:paraId="4BD82F6B" w14:textId="00E26532" w:rsidR="00152404" w:rsidRPr="00D304D0" w:rsidRDefault="00152404" w:rsidP="00152404">
            <w:pPr>
              <w:pStyle w:val="TableText"/>
              <w:keepNext/>
              <w:jc w:val="right"/>
            </w:pPr>
            <w:r w:rsidRPr="006E7106">
              <w:t>0.1706</w:t>
            </w:r>
          </w:p>
        </w:tc>
        <w:tc>
          <w:tcPr>
            <w:tcW w:w="1101" w:type="pct"/>
            <w:tcBorders>
              <w:bottom w:val="nil"/>
            </w:tcBorders>
            <w:noWrap/>
          </w:tcPr>
          <w:p w14:paraId="3FA000F4" w14:textId="0850D741" w:rsidR="00152404" w:rsidRPr="00D304D0" w:rsidRDefault="00152404" w:rsidP="00152404">
            <w:pPr>
              <w:pStyle w:val="TableText"/>
              <w:keepNext/>
              <w:jc w:val="right"/>
            </w:pPr>
            <w:r w:rsidRPr="006E7106">
              <w:t>0.1732</w:t>
            </w:r>
          </w:p>
        </w:tc>
        <w:tc>
          <w:tcPr>
            <w:tcW w:w="835" w:type="pct"/>
            <w:tcBorders>
              <w:bottom w:val="nil"/>
            </w:tcBorders>
            <w:noWrap/>
          </w:tcPr>
          <w:p w14:paraId="78515C64" w14:textId="205E92E9" w:rsidR="00152404" w:rsidRPr="00D304D0" w:rsidRDefault="00152404" w:rsidP="00152404">
            <w:pPr>
              <w:pStyle w:val="TableText"/>
              <w:keepNext/>
              <w:jc w:val="right"/>
            </w:pPr>
            <w:r w:rsidRPr="006E7106">
              <w:t>−0.0026</w:t>
            </w:r>
          </w:p>
        </w:tc>
      </w:tr>
      <w:tr w:rsidR="00152404" w:rsidRPr="00D304D0" w14:paraId="1235EFF6" w14:textId="77777777" w:rsidTr="00152404">
        <w:trPr>
          <w:trHeight w:val="300"/>
        </w:trPr>
        <w:tc>
          <w:tcPr>
            <w:tcW w:w="1807" w:type="pct"/>
            <w:tcBorders>
              <w:top w:val="nil"/>
            </w:tcBorders>
            <w:noWrap/>
            <w:hideMark/>
          </w:tcPr>
          <w:p w14:paraId="466D3327" w14:textId="25BDF250" w:rsidR="00152404" w:rsidRPr="00D304D0" w:rsidRDefault="006055B3" w:rsidP="00152404">
            <w:pPr>
              <w:pStyle w:val="TableText"/>
              <w:keepNext/>
              <w:numPr>
                <w:ilvl w:val="0"/>
                <w:numId w:val="35"/>
              </w:numPr>
              <w:ind w:left="306" w:hanging="142"/>
            </w:pPr>
            <w:r>
              <w:t>Incremental</w:t>
            </w:r>
            <w:r w:rsidRPr="00D304D0">
              <w:t xml:space="preserve"> </w:t>
            </w:r>
            <w:r w:rsidR="00152404" w:rsidRPr="00D304D0">
              <w:t>variants</w:t>
            </w:r>
          </w:p>
        </w:tc>
        <w:tc>
          <w:tcPr>
            <w:tcW w:w="1257" w:type="pct"/>
            <w:tcBorders>
              <w:top w:val="nil"/>
            </w:tcBorders>
            <w:noWrap/>
          </w:tcPr>
          <w:p w14:paraId="6650419F" w14:textId="6736BFC2" w:rsidR="00152404" w:rsidRPr="00D304D0" w:rsidRDefault="00152404" w:rsidP="00152404">
            <w:pPr>
              <w:pStyle w:val="TableText"/>
              <w:keepNext/>
              <w:jc w:val="right"/>
            </w:pPr>
            <w:r w:rsidRPr="006E7106">
              <w:t>0.0251</w:t>
            </w:r>
          </w:p>
        </w:tc>
        <w:tc>
          <w:tcPr>
            <w:tcW w:w="1101" w:type="pct"/>
            <w:tcBorders>
              <w:top w:val="nil"/>
            </w:tcBorders>
            <w:noWrap/>
          </w:tcPr>
          <w:p w14:paraId="2FF26487" w14:textId="3A676622" w:rsidR="00152404" w:rsidRPr="00D304D0" w:rsidRDefault="00152404" w:rsidP="00152404">
            <w:pPr>
              <w:pStyle w:val="TableText"/>
              <w:keepNext/>
              <w:jc w:val="right"/>
            </w:pPr>
            <w:r w:rsidRPr="006E7106">
              <w:t>0.0000</w:t>
            </w:r>
          </w:p>
        </w:tc>
        <w:tc>
          <w:tcPr>
            <w:tcW w:w="835" w:type="pct"/>
            <w:tcBorders>
              <w:top w:val="nil"/>
            </w:tcBorders>
            <w:noWrap/>
          </w:tcPr>
          <w:p w14:paraId="01075AE0" w14:textId="2BC5F0AF" w:rsidR="00152404" w:rsidRPr="00D304D0" w:rsidRDefault="00152404" w:rsidP="00152404">
            <w:pPr>
              <w:pStyle w:val="TableText"/>
              <w:keepNext/>
              <w:jc w:val="right"/>
            </w:pPr>
            <w:r w:rsidRPr="006E7106">
              <w:t>0.0251</w:t>
            </w:r>
          </w:p>
        </w:tc>
      </w:tr>
      <w:tr w:rsidR="00152404" w:rsidRPr="00D304D0" w14:paraId="696AD580" w14:textId="77777777" w:rsidTr="00152404">
        <w:trPr>
          <w:trHeight w:val="300"/>
        </w:trPr>
        <w:tc>
          <w:tcPr>
            <w:tcW w:w="1807" w:type="pct"/>
            <w:tcBorders>
              <w:bottom w:val="single" w:sz="4" w:space="0" w:color="auto"/>
            </w:tcBorders>
            <w:noWrap/>
            <w:hideMark/>
          </w:tcPr>
          <w:p w14:paraId="3A4366C4" w14:textId="77777777" w:rsidR="00152404" w:rsidRPr="00D304D0" w:rsidRDefault="00152404" w:rsidP="00152404">
            <w:pPr>
              <w:pStyle w:val="TableText"/>
              <w:keepNext/>
            </w:pPr>
            <w:r>
              <w:t>A</w:t>
            </w:r>
            <w:r w:rsidRPr="00D304D0">
              <w:t>ctionable variant identified</w:t>
            </w:r>
          </w:p>
        </w:tc>
        <w:tc>
          <w:tcPr>
            <w:tcW w:w="1257" w:type="pct"/>
            <w:tcBorders>
              <w:bottom w:val="single" w:sz="4" w:space="0" w:color="auto"/>
            </w:tcBorders>
            <w:noWrap/>
          </w:tcPr>
          <w:p w14:paraId="46CA4D99" w14:textId="63AF243E" w:rsidR="00152404" w:rsidRPr="00D304D0" w:rsidRDefault="00152404" w:rsidP="00152404">
            <w:pPr>
              <w:pStyle w:val="TableText"/>
              <w:keepNext/>
              <w:jc w:val="right"/>
            </w:pPr>
            <w:r w:rsidRPr="006E7106">
              <w:t>0.2556</w:t>
            </w:r>
          </w:p>
        </w:tc>
        <w:tc>
          <w:tcPr>
            <w:tcW w:w="1101" w:type="pct"/>
            <w:tcBorders>
              <w:bottom w:val="single" w:sz="4" w:space="0" w:color="auto"/>
            </w:tcBorders>
            <w:noWrap/>
          </w:tcPr>
          <w:p w14:paraId="5A0FC763" w14:textId="510E40FA" w:rsidR="00152404" w:rsidRPr="00D304D0" w:rsidRDefault="00152404" w:rsidP="00152404">
            <w:pPr>
              <w:pStyle w:val="TableText"/>
              <w:keepNext/>
              <w:jc w:val="right"/>
            </w:pPr>
            <w:r w:rsidRPr="006E7106">
              <w:t>0.2075</w:t>
            </w:r>
          </w:p>
        </w:tc>
        <w:tc>
          <w:tcPr>
            <w:tcW w:w="835" w:type="pct"/>
            <w:tcBorders>
              <w:bottom w:val="single" w:sz="4" w:space="0" w:color="auto"/>
            </w:tcBorders>
            <w:noWrap/>
          </w:tcPr>
          <w:p w14:paraId="2A6114E1" w14:textId="2ADFAA96" w:rsidR="00152404" w:rsidRPr="00D304D0" w:rsidRDefault="00152404" w:rsidP="00152404">
            <w:pPr>
              <w:pStyle w:val="TableText"/>
              <w:keepNext/>
              <w:jc w:val="right"/>
            </w:pPr>
            <w:r w:rsidRPr="006E7106">
              <w:t>0.0481</w:t>
            </w:r>
          </w:p>
        </w:tc>
      </w:tr>
      <w:tr w:rsidR="00152404" w:rsidRPr="00D304D0" w14:paraId="604E1C1D" w14:textId="77777777" w:rsidTr="00152404">
        <w:trPr>
          <w:trHeight w:val="300"/>
        </w:trPr>
        <w:tc>
          <w:tcPr>
            <w:tcW w:w="1807" w:type="pct"/>
            <w:tcBorders>
              <w:bottom w:val="nil"/>
            </w:tcBorders>
            <w:noWrap/>
            <w:hideMark/>
          </w:tcPr>
          <w:p w14:paraId="428D8091" w14:textId="77777777" w:rsidR="00152404" w:rsidRPr="00D304D0" w:rsidRDefault="00152404" w:rsidP="00152404">
            <w:pPr>
              <w:pStyle w:val="TableText"/>
              <w:keepNext/>
              <w:numPr>
                <w:ilvl w:val="0"/>
                <w:numId w:val="35"/>
              </w:numPr>
              <w:ind w:left="306" w:hanging="142"/>
            </w:pPr>
            <w:r>
              <w:t>C</w:t>
            </w:r>
            <w:r w:rsidRPr="00D304D0">
              <w:t>ommon variants identified</w:t>
            </w:r>
          </w:p>
        </w:tc>
        <w:tc>
          <w:tcPr>
            <w:tcW w:w="1257" w:type="pct"/>
            <w:tcBorders>
              <w:bottom w:val="nil"/>
            </w:tcBorders>
            <w:noWrap/>
          </w:tcPr>
          <w:p w14:paraId="498A1830" w14:textId="61A00851" w:rsidR="00152404" w:rsidRPr="00D304D0" w:rsidRDefault="00152404" w:rsidP="00152404">
            <w:pPr>
              <w:pStyle w:val="TableText"/>
              <w:keepNext/>
              <w:jc w:val="right"/>
            </w:pPr>
            <w:r w:rsidRPr="006E7106">
              <w:t>0.2226</w:t>
            </w:r>
          </w:p>
        </w:tc>
        <w:tc>
          <w:tcPr>
            <w:tcW w:w="1101" w:type="pct"/>
            <w:tcBorders>
              <w:bottom w:val="nil"/>
            </w:tcBorders>
            <w:noWrap/>
          </w:tcPr>
          <w:p w14:paraId="51CEB74A" w14:textId="536C04BC" w:rsidR="00152404" w:rsidRPr="00D304D0" w:rsidRDefault="00152404" w:rsidP="00152404">
            <w:pPr>
              <w:pStyle w:val="TableText"/>
              <w:keepNext/>
              <w:jc w:val="right"/>
            </w:pPr>
            <w:r w:rsidRPr="006E7106">
              <w:t>0.2075</w:t>
            </w:r>
          </w:p>
        </w:tc>
        <w:tc>
          <w:tcPr>
            <w:tcW w:w="835" w:type="pct"/>
            <w:tcBorders>
              <w:bottom w:val="nil"/>
            </w:tcBorders>
            <w:noWrap/>
          </w:tcPr>
          <w:p w14:paraId="025A6129" w14:textId="71FE7D0E" w:rsidR="00152404" w:rsidRPr="00D304D0" w:rsidRDefault="00152404" w:rsidP="00152404">
            <w:pPr>
              <w:pStyle w:val="TableText"/>
              <w:keepNext/>
              <w:jc w:val="right"/>
            </w:pPr>
            <w:r w:rsidRPr="006E7106">
              <w:t>0.0152</w:t>
            </w:r>
          </w:p>
        </w:tc>
      </w:tr>
      <w:tr w:rsidR="00152404" w:rsidRPr="00D304D0" w14:paraId="6B6135C8" w14:textId="77777777" w:rsidTr="00152404">
        <w:trPr>
          <w:trHeight w:val="300"/>
        </w:trPr>
        <w:tc>
          <w:tcPr>
            <w:tcW w:w="1807" w:type="pct"/>
            <w:tcBorders>
              <w:top w:val="nil"/>
            </w:tcBorders>
            <w:noWrap/>
            <w:hideMark/>
          </w:tcPr>
          <w:p w14:paraId="2F99638C" w14:textId="0B3F9834" w:rsidR="00152404" w:rsidRPr="00D304D0" w:rsidRDefault="006055B3" w:rsidP="00152404">
            <w:pPr>
              <w:pStyle w:val="TableText"/>
              <w:keepNext/>
              <w:numPr>
                <w:ilvl w:val="0"/>
                <w:numId w:val="35"/>
              </w:numPr>
              <w:ind w:left="306" w:hanging="142"/>
            </w:pPr>
            <w:r>
              <w:t>Incremental</w:t>
            </w:r>
            <w:r w:rsidRPr="00D304D0">
              <w:t xml:space="preserve"> </w:t>
            </w:r>
            <w:r w:rsidR="00152404" w:rsidRPr="00D304D0">
              <w:t>variants identified</w:t>
            </w:r>
          </w:p>
        </w:tc>
        <w:tc>
          <w:tcPr>
            <w:tcW w:w="1257" w:type="pct"/>
            <w:tcBorders>
              <w:top w:val="nil"/>
            </w:tcBorders>
            <w:noWrap/>
          </w:tcPr>
          <w:p w14:paraId="2A8CC8A1" w14:textId="4B107D58" w:rsidR="00152404" w:rsidRPr="00D304D0" w:rsidRDefault="00152404" w:rsidP="00152404">
            <w:pPr>
              <w:pStyle w:val="TableText"/>
              <w:keepNext/>
              <w:jc w:val="right"/>
            </w:pPr>
            <w:r w:rsidRPr="006E7106">
              <w:t>0.0330</w:t>
            </w:r>
          </w:p>
        </w:tc>
        <w:tc>
          <w:tcPr>
            <w:tcW w:w="1101" w:type="pct"/>
            <w:tcBorders>
              <w:top w:val="nil"/>
            </w:tcBorders>
            <w:noWrap/>
          </w:tcPr>
          <w:p w14:paraId="75F98900" w14:textId="52A56B2A" w:rsidR="00152404" w:rsidRPr="00D304D0" w:rsidRDefault="00152404" w:rsidP="00152404">
            <w:pPr>
              <w:pStyle w:val="TableText"/>
              <w:keepNext/>
              <w:jc w:val="right"/>
            </w:pPr>
            <w:r w:rsidRPr="006E7106">
              <w:t>0.0000</w:t>
            </w:r>
          </w:p>
        </w:tc>
        <w:tc>
          <w:tcPr>
            <w:tcW w:w="835" w:type="pct"/>
            <w:tcBorders>
              <w:top w:val="nil"/>
            </w:tcBorders>
            <w:noWrap/>
          </w:tcPr>
          <w:p w14:paraId="0109ADE7" w14:textId="2F0D0E10" w:rsidR="00152404" w:rsidRPr="00D304D0" w:rsidRDefault="00152404" w:rsidP="00152404">
            <w:pPr>
              <w:pStyle w:val="TableText"/>
              <w:keepNext/>
              <w:jc w:val="right"/>
            </w:pPr>
            <w:r w:rsidRPr="006E7106">
              <w:t>0.0330</w:t>
            </w:r>
          </w:p>
        </w:tc>
      </w:tr>
      <w:tr w:rsidR="00152404" w:rsidRPr="00D304D0" w14:paraId="0FBE1955" w14:textId="77777777" w:rsidTr="00152404">
        <w:trPr>
          <w:trHeight w:val="300"/>
        </w:trPr>
        <w:tc>
          <w:tcPr>
            <w:tcW w:w="1807" w:type="pct"/>
            <w:noWrap/>
          </w:tcPr>
          <w:p w14:paraId="0B5922B6" w14:textId="77777777" w:rsidR="00152404" w:rsidRDefault="00152404" w:rsidP="00152404">
            <w:pPr>
              <w:pStyle w:val="TableText"/>
              <w:keepNext/>
            </w:pPr>
            <w:r>
              <w:t>Patients successfully tested</w:t>
            </w:r>
          </w:p>
        </w:tc>
        <w:tc>
          <w:tcPr>
            <w:tcW w:w="1257" w:type="pct"/>
            <w:noWrap/>
          </w:tcPr>
          <w:p w14:paraId="75955217" w14:textId="22E1538E" w:rsidR="00152404" w:rsidRPr="00D304D0" w:rsidRDefault="00152404" w:rsidP="00152404">
            <w:pPr>
              <w:pStyle w:val="TableText"/>
              <w:keepNext/>
              <w:jc w:val="right"/>
            </w:pPr>
            <w:r w:rsidRPr="006E7106">
              <w:t>0.9890</w:t>
            </w:r>
          </w:p>
        </w:tc>
        <w:tc>
          <w:tcPr>
            <w:tcW w:w="1101" w:type="pct"/>
            <w:noWrap/>
          </w:tcPr>
          <w:p w14:paraId="7C7B4279" w14:textId="394F3CF6" w:rsidR="00152404" w:rsidRPr="00D304D0" w:rsidRDefault="00152404" w:rsidP="00152404">
            <w:pPr>
              <w:pStyle w:val="TableText"/>
              <w:keepNext/>
              <w:jc w:val="right"/>
            </w:pPr>
            <w:r w:rsidRPr="006E7106">
              <w:t>0.9788</w:t>
            </w:r>
          </w:p>
        </w:tc>
        <w:tc>
          <w:tcPr>
            <w:tcW w:w="835" w:type="pct"/>
            <w:noWrap/>
          </w:tcPr>
          <w:p w14:paraId="1FB2218E" w14:textId="2FE2830F" w:rsidR="00152404" w:rsidRPr="00D304D0" w:rsidRDefault="00152404" w:rsidP="00152404">
            <w:pPr>
              <w:pStyle w:val="TableText"/>
              <w:keepNext/>
              <w:jc w:val="right"/>
            </w:pPr>
            <w:r w:rsidRPr="006E7106">
              <w:t>0.0102</w:t>
            </w:r>
          </w:p>
        </w:tc>
      </w:tr>
      <w:tr w:rsidR="00152404" w:rsidRPr="00D304D0" w14:paraId="2EA2665A" w14:textId="77777777" w:rsidTr="00152404">
        <w:trPr>
          <w:trHeight w:val="300"/>
        </w:trPr>
        <w:tc>
          <w:tcPr>
            <w:tcW w:w="1807" w:type="pct"/>
            <w:noWrap/>
            <w:hideMark/>
          </w:tcPr>
          <w:p w14:paraId="0ADE9611" w14:textId="77777777" w:rsidR="00152404" w:rsidRPr="00D304D0" w:rsidRDefault="00152404" w:rsidP="00152404">
            <w:pPr>
              <w:pStyle w:val="TableText"/>
              <w:keepNext/>
            </w:pPr>
            <w:r w:rsidRPr="00D304D0">
              <w:t>Proportion with known biomarker status</w:t>
            </w:r>
          </w:p>
        </w:tc>
        <w:tc>
          <w:tcPr>
            <w:tcW w:w="1257" w:type="pct"/>
            <w:noWrap/>
          </w:tcPr>
          <w:p w14:paraId="182FC8E5" w14:textId="1FCA9A30" w:rsidR="00152404" w:rsidRPr="00D304D0" w:rsidRDefault="00152404" w:rsidP="00152404">
            <w:pPr>
              <w:pStyle w:val="TableText"/>
              <w:keepNext/>
              <w:jc w:val="right"/>
            </w:pPr>
            <w:r w:rsidRPr="006E7106">
              <w:t>0.9817</w:t>
            </w:r>
          </w:p>
        </w:tc>
        <w:tc>
          <w:tcPr>
            <w:tcW w:w="1101" w:type="pct"/>
            <w:noWrap/>
          </w:tcPr>
          <w:p w14:paraId="7C3AADF0" w14:textId="5FFC79A3" w:rsidR="00152404" w:rsidRPr="00D304D0" w:rsidRDefault="00BC1ADD" w:rsidP="00152404">
            <w:pPr>
              <w:pStyle w:val="TableText"/>
              <w:keepNext/>
              <w:jc w:val="right"/>
            </w:pPr>
            <w:r w:rsidRPr="00BC1ADD">
              <w:t>0.7583</w:t>
            </w:r>
          </w:p>
        </w:tc>
        <w:tc>
          <w:tcPr>
            <w:tcW w:w="835" w:type="pct"/>
            <w:noWrap/>
          </w:tcPr>
          <w:p w14:paraId="722FCB97" w14:textId="5631933B" w:rsidR="00152404" w:rsidRPr="00D304D0" w:rsidRDefault="00152404" w:rsidP="00152404">
            <w:pPr>
              <w:pStyle w:val="TableText"/>
              <w:keepNext/>
              <w:jc w:val="right"/>
            </w:pPr>
            <w:r w:rsidRPr="006E7106">
              <w:t>0.2234</w:t>
            </w:r>
          </w:p>
        </w:tc>
      </w:tr>
      <w:tr w:rsidR="00152404" w:rsidRPr="00D304D0" w14:paraId="299D9259" w14:textId="77777777" w:rsidTr="00152404">
        <w:trPr>
          <w:trHeight w:val="300"/>
        </w:trPr>
        <w:tc>
          <w:tcPr>
            <w:tcW w:w="1807" w:type="pct"/>
            <w:noWrap/>
            <w:hideMark/>
          </w:tcPr>
          <w:p w14:paraId="273D6656" w14:textId="77777777" w:rsidR="00152404" w:rsidRPr="00D304D0" w:rsidRDefault="00152404" w:rsidP="00152404">
            <w:pPr>
              <w:pStyle w:val="TableText"/>
              <w:keepNext/>
            </w:pPr>
            <w:r w:rsidRPr="00D304D0">
              <w:t>Proportion undergoing rebiopsy</w:t>
            </w:r>
          </w:p>
        </w:tc>
        <w:tc>
          <w:tcPr>
            <w:tcW w:w="1257" w:type="pct"/>
            <w:noWrap/>
          </w:tcPr>
          <w:p w14:paraId="798BAA56" w14:textId="46EA113B" w:rsidR="00152404" w:rsidRPr="00D304D0" w:rsidRDefault="00152404" w:rsidP="00152404">
            <w:pPr>
              <w:pStyle w:val="TableText"/>
              <w:keepNext/>
              <w:jc w:val="right"/>
            </w:pPr>
            <w:r w:rsidRPr="006E7106">
              <w:t>0.0212</w:t>
            </w:r>
          </w:p>
        </w:tc>
        <w:tc>
          <w:tcPr>
            <w:tcW w:w="1101" w:type="pct"/>
            <w:noWrap/>
          </w:tcPr>
          <w:p w14:paraId="7E128ED0" w14:textId="1CA3D343" w:rsidR="00152404" w:rsidRPr="00D304D0" w:rsidRDefault="00152404" w:rsidP="00152404">
            <w:pPr>
              <w:pStyle w:val="TableText"/>
              <w:keepNext/>
              <w:jc w:val="right"/>
            </w:pPr>
            <w:r w:rsidRPr="006E7106">
              <w:t>0.0410</w:t>
            </w:r>
          </w:p>
        </w:tc>
        <w:tc>
          <w:tcPr>
            <w:tcW w:w="835" w:type="pct"/>
            <w:noWrap/>
          </w:tcPr>
          <w:p w14:paraId="28FDBF38" w14:textId="53EC681D" w:rsidR="00152404" w:rsidRPr="00D304D0" w:rsidRDefault="00152404" w:rsidP="00152404">
            <w:pPr>
              <w:pStyle w:val="TableText"/>
              <w:keepNext/>
              <w:jc w:val="right"/>
            </w:pPr>
            <w:r w:rsidRPr="006E7106">
              <w:t>−0.0197</w:t>
            </w:r>
          </w:p>
        </w:tc>
      </w:tr>
    </w:tbl>
    <w:p w14:paraId="4532E76D" w14:textId="7E94ABC0" w:rsidR="004E63D6" w:rsidRDefault="004E63D6" w:rsidP="00735818">
      <w:pPr>
        <w:spacing w:before="160"/>
      </w:pPr>
      <w:r>
        <w:t xml:space="preserve">The additional patients eligible for targeted therapy was driven by an increase in patients with </w:t>
      </w:r>
      <w:r w:rsidR="006055B3">
        <w:t xml:space="preserve">incremental </w:t>
      </w:r>
      <w:r>
        <w:t>variants identified. A slight reduction in patients with common variants was also observed</w:t>
      </w:r>
      <w:r w:rsidR="006055B3">
        <w:t xml:space="preserve"> (due to PPA &lt; 1 </w:t>
      </w:r>
      <w:r w:rsidR="00DE60C3">
        <w:t>applied</w:t>
      </w:r>
      <w:r w:rsidR="006055B3">
        <w:t xml:space="preserve"> for small gene panel testing, offset to some extent by improvement in patients successfully tested)</w:t>
      </w:r>
      <w:r>
        <w:t xml:space="preserve">. As </w:t>
      </w:r>
      <w:r w:rsidR="006055B3">
        <w:t xml:space="preserve">the incremental </w:t>
      </w:r>
      <w:r>
        <w:t>variants were not identified using the same testing method as was used in the clinical trials of targeted therapy, it is unclear whether all of these patients would respond to targeted therapies to the same extent as those with common variants.</w:t>
      </w:r>
    </w:p>
    <w:p w14:paraId="4CE5115F" w14:textId="10323EE0" w:rsidR="004E63D6" w:rsidRDefault="004E63D6" w:rsidP="004E63D6">
      <w:pPr>
        <w:pStyle w:val="NormalBeforeBullet"/>
      </w:pPr>
      <w:r>
        <w:lastRenderedPageBreak/>
        <w:t xml:space="preserve">More patients were identified with actionable variants </w:t>
      </w:r>
      <w:r w:rsidR="00C13707">
        <w:rPr>
          <w:rFonts w:cs="Courier New"/>
          <w:szCs w:val="20"/>
        </w:rPr>
        <w:t xml:space="preserve">(i.e. combined common and incremental variants) </w:t>
      </w:r>
      <w:r>
        <w:t xml:space="preserve">than those considered eligible for targeted therapy (absolutely and incrementally). This was due to the inclusion of patients tested with early stage disease who do not develop advanced disease (and so are not eligible for targeted therapy). The incremental difference was also higher (and in some cases the direction of the effect changed) due to incomplete current testing performed (i.e. not FISH or </w:t>
      </w:r>
      <w:r w:rsidRPr="00F529F9">
        <w:rPr>
          <w:i/>
        </w:rPr>
        <w:t>MET</w:t>
      </w:r>
      <w:r>
        <w:t>ex14sk testing).</w:t>
      </w:r>
    </w:p>
    <w:p w14:paraId="0AD83C03" w14:textId="2D9C183B" w:rsidR="004E63D6" w:rsidRPr="00373827" w:rsidRDefault="004E63D6" w:rsidP="004E63D6">
      <w:pPr>
        <w:pStyle w:val="NormalBeforeBullet"/>
      </w:pPr>
      <w:r>
        <w:t xml:space="preserve">The key drivers of the model are presented in </w:t>
      </w:r>
      <w:r>
        <w:fldChar w:fldCharType="begin"/>
      </w:r>
      <w:r>
        <w:instrText xml:space="preserve"> REF _Ref69726321 \h </w:instrText>
      </w:r>
      <w:r>
        <w:fldChar w:fldCharType="separate"/>
      </w:r>
      <w:r w:rsidR="00C857F3" w:rsidRPr="00CE28E3">
        <w:t>Table</w:t>
      </w:r>
      <w:r w:rsidR="00C857F3">
        <w:t> </w:t>
      </w:r>
      <w:r w:rsidR="00C857F3">
        <w:rPr>
          <w:noProof/>
        </w:rPr>
        <w:t>12</w:t>
      </w:r>
      <w:r>
        <w:fldChar w:fldCharType="end"/>
      </w:r>
      <w:r>
        <w:t>.</w:t>
      </w:r>
    </w:p>
    <w:p w14:paraId="2482F20B" w14:textId="7B934CC6" w:rsidR="004E63D6" w:rsidRPr="00CE28E3" w:rsidRDefault="004E63D6" w:rsidP="004E63D6">
      <w:pPr>
        <w:pStyle w:val="Caption"/>
      </w:pPr>
      <w:bookmarkStart w:id="36" w:name="_Ref69726321"/>
      <w:r w:rsidRPr="00CE28E3">
        <w:t>Table</w:t>
      </w:r>
      <w:r>
        <w:t> </w:t>
      </w:r>
      <w:fldSimple w:instr=" SEQ Table \* ARABIC ">
        <w:r w:rsidR="00C857F3">
          <w:rPr>
            <w:noProof/>
          </w:rPr>
          <w:t>12</w:t>
        </w:r>
      </w:fldSimple>
      <w:bookmarkEnd w:id="36"/>
      <w:r w:rsidRPr="00CE28E3">
        <w:tab/>
        <w:t>Key drivers of the model</w:t>
      </w:r>
    </w:p>
    <w:tbl>
      <w:tblPr>
        <w:tblStyle w:val="TableGrid1"/>
        <w:tblW w:w="5000" w:type="pct"/>
        <w:tblLayout w:type="fixed"/>
        <w:tblCellMar>
          <w:left w:w="28" w:type="dxa"/>
          <w:right w:w="28" w:type="dxa"/>
        </w:tblCellMar>
        <w:tblLook w:val="04A0" w:firstRow="1" w:lastRow="0" w:firstColumn="1" w:lastColumn="0" w:noHBand="0" w:noVBand="1"/>
        <w:tblCaption w:val="Key drivers of the model"/>
        <w:tblDescription w:val="Key drivers of the model"/>
      </w:tblPr>
      <w:tblGrid>
        <w:gridCol w:w="1414"/>
        <w:gridCol w:w="4109"/>
        <w:gridCol w:w="3493"/>
      </w:tblGrid>
      <w:tr w:rsidR="004E63D6" w:rsidRPr="001C6C77" w14:paraId="230ECA92" w14:textId="77777777" w:rsidTr="00735818">
        <w:trPr>
          <w:cnfStyle w:val="100000000000" w:firstRow="1" w:lastRow="0" w:firstColumn="0" w:lastColumn="0" w:oddVBand="0" w:evenVBand="0" w:oddHBand="0" w:evenHBand="0" w:firstRowFirstColumn="0" w:firstRowLastColumn="0" w:lastRowFirstColumn="0" w:lastRowLastColumn="0"/>
          <w:tblHeader/>
        </w:trPr>
        <w:tc>
          <w:tcPr>
            <w:tcW w:w="784" w:type="pct"/>
            <w:shd w:val="clear" w:color="auto" w:fill="auto"/>
            <w:vAlign w:val="center"/>
          </w:tcPr>
          <w:p w14:paraId="4E8C5741" w14:textId="77777777" w:rsidR="004E63D6" w:rsidRPr="001C6C77" w:rsidRDefault="004E63D6" w:rsidP="00CA410A">
            <w:pPr>
              <w:pStyle w:val="TableHeading"/>
              <w:jc w:val="center"/>
            </w:pPr>
            <w:bookmarkStart w:id="37" w:name="Title_Table10" w:colFirst="0" w:colLast="0"/>
            <w:bookmarkStart w:id="38" w:name="_Hlk68276626"/>
            <w:r w:rsidRPr="001C6C77">
              <w:t>Description</w:t>
            </w:r>
          </w:p>
        </w:tc>
        <w:tc>
          <w:tcPr>
            <w:tcW w:w="2279" w:type="pct"/>
            <w:shd w:val="clear" w:color="auto" w:fill="auto"/>
            <w:vAlign w:val="center"/>
          </w:tcPr>
          <w:p w14:paraId="78FC287C" w14:textId="77777777" w:rsidR="004E63D6" w:rsidRPr="001C6C77" w:rsidRDefault="004E63D6" w:rsidP="00CA410A">
            <w:pPr>
              <w:pStyle w:val="TableHeading"/>
              <w:jc w:val="center"/>
            </w:pPr>
            <w:r w:rsidRPr="001C6C77">
              <w:t>Method/Value</w:t>
            </w:r>
          </w:p>
        </w:tc>
        <w:tc>
          <w:tcPr>
            <w:tcW w:w="1937" w:type="pct"/>
            <w:shd w:val="clear" w:color="auto" w:fill="auto"/>
            <w:vAlign w:val="center"/>
          </w:tcPr>
          <w:p w14:paraId="7CAA0F02" w14:textId="64A4CC57" w:rsidR="004E63D6" w:rsidRPr="001C6C77" w:rsidRDefault="004E63D6" w:rsidP="00A951C2">
            <w:pPr>
              <w:pStyle w:val="TableHeading"/>
              <w:jc w:val="center"/>
            </w:pPr>
            <w:r w:rsidRPr="001C6C77">
              <w:t>Impact</w:t>
            </w:r>
            <w:r>
              <w:br/>
            </w:r>
            <w:r w:rsidRPr="001C6C77">
              <w:t>Base case: $</w:t>
            </w:r>
            <w:r w:rsidR="00A951C2">
              <w:t>7,496</w:t>
            </w:r>
            <w:r w:rsidRPr="001C6C77">
              <w:t xml:space="preserve"> per additional patient eligible for </w:t>
            </w:r>
            <w:r>
              <w:t>TT</w:t>
            </w:r>
          </w:p>
        </w:tc>
      </w:tr>
      <w:bookmarkEnd w:id="37"/>
      <w:tr w:rsidR="004E63D6" w:rsidRPr="001C6C77" w14:paraId="23DB889B" w14:textId="77777777" w:rsidTr="00735818">
        <w:tc>
          <w:tcPr>
            <w:tcW w:w="784" w:type="pct"/>
            <w:shd w:val="clear" w:color="auto" w:fill="auto"/>
          </w:tcPr>
          <w:p w14:paraId="097E0CD9" w14:textId="77777777" w:rsidR="004E63D6" w:rsidRPr="001C6C77" w:rsidRDefault="004E63D6" w:rsidP="00CA410A">
            <w:pPr>
              <w:pStyle w:val="TableText"/>
              <w:keepNext/>
            </w:pPr>
            <w:r w:rsidRPr="001C6C77">
              <w:t>Proportion patients with advanced disease (inc. those who progress)</w:t>
            </w:r>
          </w:p>
        </w:tc>
        <w:tc>
          <w:tcPr>
            <w:tcW w:w="2279" w:type="pct"/>
            <w:shd w:val="clear" w:color="auto" w:fill="auto"/>
          </w:tcPr>
          <w:p w14:paraId="43BF9116" w14:textId="77777777" w:rsidR="004E63D6" w:rsidRPr="001C6C77" w:rsidRDefault="004E63D6" w:rsidP="00CA410A">
            <w:pPr>
              <w:pStyle w:val="TableText"/>
              <w:keepNext/>
            </w:pPr>
            <w:r w:rsidRPr="001C6C77">
              <w:t>Distribution of stage at diagnosis was based on a retrospective analysis of Victorian Cancer Registry data (Mitchell et al. 2013)</w:t>
            </w:r>
            <w:r w:rsidRPr="008542F6">
              <w:rPr>
                <w:vertAlign w:val="superscript"/>
              </w:rPr>
              <w:t>a</w:t>
            </w:r>
            <w:r w:rsidRPr="001C6C77">
              <w:t>; 65.5% were advanced at diagnosis. Of those diagnosed with Stages I−IIIA disease, 30% are assumed to experience progression. Therefore, 75.9% of patients diagnosed with non-squamous NSCLC are modelled to have (or reach) an advanced disease stage.</w:t>
            </w:r>
          </w:p>
        </w:tc>
        <w:tc>
          <w:tcPr>
            <w:tcW w:w="1937" w:type="pct"/>
            <w:shd w:val="clear" w:color="auto" w:fill="auto"/>
          </w:tcPr>
          <w:p w14:paraId="272DD1EF" w14:textId="30F7F5EA" w:rsidR="004E63D6" w:rsidRPr="001C6C77" w:rsidRDefault="004E63D6" w:rsidP="00A951C2">
            <w:pPr>
              <w:pStyle w:val="TableText"/>
              <w:keepNext/>
            </w:pPr>
            <w:r w:rsidRPr="001C6C77">
              <w:t xml:space="preserve">The proportion is uncertain. The ICER is </w:t>
            </w:r>
            <w:r>
              <w:t xml:space="preserve">highly </w:t>
            </w:r>
            <w:r w:rsidRPr="001C6C77">
              <w:t>sensitive to changes in this estimate. Increasing the proportion to 100% reduces the ICER to $</w:t>
            </w:r>
            <w:r w:rsidR="00A951C2">
              <w:t>941</w:t>
            </w:r>
            <w:r w:rsidR="00A951C2" w:rsidRPr="001C6C77">
              <w:t xml:space="preserve"> </w:t>
            </w:r>
            <w:r w:rsidRPr="001C6C77">
              <w:t>per additional patient eligible for TT, whereas decreasing this to 50%, increases the ICER to $</w:t>
            </w:r>
            <w:r w:rsidR="00A951C2">
              <w:t>21,530</w:t>
            </w:r>
            <w:r>
              <w:t>.</w:t>
            </w:r>
          </w:p>
        </w:tc>
      </w:tr>
      <w:tr w:rsidR="004E63D6" w:rsidRPr="00CE28E3" w14:paraId="46976D52" w14:textId="77777777" w:rsidTr="00735818">
        <w:tc>
          <w:tcPr>
            <w:tcW w:w="784" w:type="pct"/>
            <w:shd w:val="clear" w:color="auto" w:fill="auto"/>
          </w:tcPr>
          <w:p w14:paraId="3814606D" w14:textId="77777777" w:rsidR="004E63D6" w:rsidRPr="00096645" w:rsidRDefault="004E63D6" w:rsidP="00CA410A">
            <w:pPr>
              <w:pStyle w:val="TableText"/>
              <w:keepNext/>
            </w:pPr>
            <w:r>
              <w:t>Small gene panel concordance</w:t>
            </w:r>
          </w:p>
        </w:tc>
        <w:tc>
          <w:tcPr>
            <w:tcW w:w="2279" w:type="pct"/>
            <w:shd w:val="clear" w:color="auto" w:fill="auto"/>
          </w:tcPr>
          <w:p w14:paraId="00C3FF55" w14:textId="01E0FD58" w:rsidR="004E63D6" w:rsidRPr="00096645" w:rsidRDefault="004E63D6" w:rsidP="00EF55F9">
            <w:pPr>
              <w:pStyle w:val="TableText"/>
              <w:keepNext/>
            </w:pPr>
            <w:r>
              <w:t xml:space="preserve">Based on the </w:t>
            </w:r>
            <w:r w:rsidR="00EF55F9">
              <w:t xml:space="preserve">systematic literature review of concordance </w:t>
            </w:r>
            <w:r>
              <w:t>conducted during the clinical evaluation.</w:t>
            </w:r>
            <w:r w:rsidR="00EF55F9">
              <w:t xml:space="preserve"> Given differences between the compar</w:t>
            </w:r>
            <w:r w:rsidR="00684C2A">
              <w:t>a</w:t>
            </w:r>
            <w:r w:rsidR="00EF55F9">
              <w:t xml:space="preserve">tor used for </w:t>
            </w:r>
            <w:r w:rsidR="00EF55F9" w:rsidRPr="00EF55F9">
              <w:rPr>
                <w:i/>
              </w:rPr>
              <w:t>ALK</w:t>
            </w:r>
            <w:r w:rsidR="00EF55F9">
              <w:t xml:space="preserve"> concordance (FISH ± IHC, with varied definitions of FISH positivity) in the meta-analysis, the data most aligned with the clinical utility standard was used in the base economic analysis.</w:t>
            </w:r>
          </w:p>
        </w:tc>
        <w:tc>
          <w:tcPr>
            <w:tcW w:w="1937" w:type="pct"/>
            <w:shd w:val="clear" w:color="auto" w:fill="auto"/>
          </w:tcPr>
          <w:p w14:paraId="7A270929" w14:textId="0C91AFC4" w:rsidR="004E63D6" w:rsidRPr="00096645" w:rsidRDefault="004E63D6" w:rsidP="004445CC">
            <w:pPr>
              <w:pStyle w:val="TableText"/>
              <w:keepNext/>
            </w:pPr>
            <w:r>
              <w:t xml:space="preserve">The analyses were highly sensitive to the NPA values used (as these determine the </w:t>
            </w:r>
            <w:r w:rsidR="004445CC">
              <w:t>incremental</w:t>
            </w:r>
            <w:r>
              <w:t xml:space="preserve"> variants identified through small gene panel testing). The ICER was most sensitive to </w:t>
            </w:r>
            <w:r w:rsidR="00A951C2">
              <w:rPr>
                <w:i/>
              </w:rPr>
              <w:t xml:space="preserve">EGFR </w:t>
            </w:r>
            <w:r>
              <w:t>NPA values, where the range in ICERs observed was $</w:t>
            </w:r>
            <w:r w:rsidR="00A951C2">
              <w:t>4,562</w:t>
            </w:r>
            <w:r>
              <w:t>−$</w:t>
            </w:r>
            <w:r w:rsidR="00A951C2">
              <w:t>18,168</w:t>
            </w:r>
            <w:r>
              <w:t xml:space="preserve"> per additional patient eligible for TT.</w:t>
            </w:r>
          </w:p>
        </w:tc>
      </w:tr>
      <w:tr w:rsidR="004E63D6" w:rsidRPr="00CE28E3" w14:paraId="6E2E6833" w14:textId="77777777" w:rsidTr="00735818">
        <w:tc>
          <w:tcPr>
            <w:tcW w:w="784" w:type="pct"/>
            <w:shd w:val="clear" w:color="auto" w:fill="auto"/>
          </w:tcPr>
          <w:p w14:paraId="3A49B8BC" w14:textId="77777777" w:rsidR="004E63D6" w:rsidRDefault="004E63D6" w:rsidP="00CA410A">
            <w:pPr>
              <w:pStyle w:val="TableText"/>
              <w:keepNext/>
            </w:pPr>
            <w:r>
              <w:t>RNA panel use</w:t>
            </w:r>
          </w:p>
        </w:tc>
        <w:tc>
          <w:tcPr>
            <w:tcW w:w="2279" w:type="pct"/>
            <w:shd w:val="clear" w:color="auto" w:fill="auto"/>
          </w:tcPr>
          <w:p w14:paraId="3940C4E3" w14:textId="77777777" w:rsidR="004E63D6" w:rsidRDefault="004E63D6" w:rsidP="00CA410A">
            <w:pPr>
              <w:pStyle w:val="TableText"/>
              <w:keepNext/>
            </w:pPr>
            <w:r>
              <w:t xml:space="preserve">Where separate DNA then RNA panels are used, only those without </w:t>
            </w:r>
            <w:r w:rsidRPr="006263EF">
              <w:rPr>
                <w:i/>
              </w:rPr>
              <w:t>EGFR</w:t>
            </w:r>
            <w:r>
              <w:t xml:space="preserve">, </w:t>
            </w:r>
            <w:r w:rsidRPr="006263EF">
              <w:rPr>
                <w:i/>
              </w:rPr>
              <w:t>MET</w:t>
            </w:r>
            <w:r>
              <w:t xml:space="preserve">, </w:t>
            </w:r>
            <w:r w:rsidRPr="006263EF">
              <w:rPr>
                <w:i/>
              </w:rPr>
              <w:t>KRAS</w:t>
            </w:r>
            <w:r>
              <w:t xml:space="preserve"> and </w:t>
            </w:r>
            <w:r w:rsidRPr="006263EF">
              <w:rPr>
                <w:i/>
              </w:rPr>
              <w:t>BRAF</w:t>
            </w:r>
            <w:r>
              <w:t xml:space="preserve"> variants are assumed to receive further RNA panel testing (as per the proposed item descriptor).</w:t>
            </w:r>
          </w:p>
        </w:tc>
        <w:tc>
          <w:tcPr>
            <w:tcW w:w="1937" w:type="pct"/>
            <w:shd w:val="clear" w:color="auto" w:fill="auto"/>
          </w:tcPr>
          <w:p w14:paraId="04CE01F9" w14:textId="4C10A395" w:rsidR="004E63D6" w:rsidRDefault="004E63D6" w:rsidP="00A951C2">
            <w:pPr>
              <w:pStyle w:val="TableText"/>
              <w:keepNext/>
            </w:pPr>
            <w:r>
              <w:t xml:space="preserve">The analysis is highly sensitive to this assumption. Where testing is allowed in those with </w:t>
            </w:r>
            <w:r w:rsidRPr="006263EF">
              <w:rPr>
                <w:i/>
              </w:rPr>
              <w:t>KRAS</w:t>
            </w:r>
            <w:r>
              <w:t xml:space="preserve"> and </w:t>
            </w:r>
            <w:r w:rsidRPr="006263EF">
              <w:rPr>
                <w:i/>
              </w:rPr>
              <w:t>BRAF</w:t>
            </w:r>
            <w:r>
              <w:t xml:space="preserve"> variants, the ICER per additional patient eligible for TT increases to $</w:t>
            </w:r>
            <w:r w:rsidR="00A951C2">
              <w:t>13,627</w:t>
            </w:r>
            <w:r>
              <w:t>.</w:t>
            </w:r>
          </w:p>
        </w:tc>
      </w:tr>
      <w:tr w:rsidR="004E63D6" w:rsidRPr="00CE28E3" w14:paraId="16C555F1" w14:textId="77777777" w:rsidTr="00735818">
        <w:tc>
          <w:tcPr>
            <w:tcW w:w="784" w:type="pct"/>
            <w:shd w:val="clear" w:color="auto" w:fill="auto"/>
          </w:tcPr>
          <w:p w14:paraId="056055F5" w14:textId="77777777" w:rsidR="004E63D6" w:rsidRPr="00096645" w:rsidRDefault="004E63D6" w:rsidP="00CA410A">
            <w:pPr>
              <w:pStyle w:val="TableText"/>
              <w:keepNext/>
            </w:pPr>
            <w:r w:rsidRPr="00096645">
              <w:t>Test success</w:t>
            </w:r>
          </w:p>
        </w:tc>
        <w:tc>
          <w:tcPr>
            <w:tcW w:w="2279" w:type="pct"/>
            <w:shd w:val="clear" w:color="auto" w:fill="auto"/>
          </w:tcPr>
          <w:p w14:paraId="5BCE3AFE" w14:textId="77777777" w:rsidR="004E63D6" w:rsidRDefault="004E63D6" w:rsidP="00CA410A">
            <w:pPr>
              <w:pStyle w:val="TableText"/>
              <w:keepNext/>
            </w:pPr>
            <w:r>
              <w:t>Based on Steeghs et al. (2022)</w:t>
            </w:r>
            <w:r w:rsidRPr="008542F6">
              <w:rPr>
                <w:vertAlign w:val="superscript"/>
              </w:rPr>
              <w:t>b</w:t>
            </w:r>
            <w:r>
              <w:t>:</w:t>
            </w:r>
          </w:p>
          <w:p w14:paraId="11BA1BCF" w14:textId="77777777" w:rsidR="004E63D6" w:rsidRPr="00096645" w:rsidRDefault="004E63D6" w:rsidP="00CA410A">
            <w:pPr>
              <w:pStyle w:val="TableText"/>
              <w:keepNext/>
              <w:numPr>
                <w:ilvl w:val="0"/>
                <w:numId w:val="46"/>
              </w:numPr>
            </w:pPr>
            <w:r w:rsidRPr="00096645">
              <w:t>Small gene panel testing: 97.2%</w:t>
            </w:r>
          </w:p>
          <w:p w14:paraId="2BC99F81" w14:textId="77777777" w:rsidR="004E63D6" w:rsidRPr="00096645" w:rsidRDefault="004E63D6" w:rsidP="00CA410A">
            <w:pPr>
              <w:pStyle w:val="TableText"/>
              <w:keepNext/>
              <w:numPr>
                <w:ilvl w:val="0"/>
                <w:numId w:val="46"/>
              </w:numPr>
            </w:pPr>
            <w:r w:rsidRPr="00096645">
              <w:t>Single gene testing: 94.6%</w:t>
            </w:r>
          </w:p>
        </w:tc>
        <w:tc>
          <w:tcPr>
            <w:tcW w:w="1937" w:type="pct"/>
            <w:shd w:val="clear" w:color="auto" w:fill="auto"/>
          </w:tcPr>
          <w:p w14:paraId="70F8E064" w14:textId="4C56838D" w:rsidR="004E63D6" w:rsidRPr="00096645" w:rsidRDefault="004E63D6" w:rsidP="00A951C2">
            <w:pPr>
              <w:pStyle w:val="TableText"/>
              <w:keepNext/>
            </w:pPr>
            <w:r>
              <w:t>The ICER is moderately sensitive to the difference between strategies. Where there is no difference, the ICER increases to $</w:t>
            </w:r>
            <w:r w:rsidR="00A951C2">
              <w:t>12,829</w:t>
            </w:r>
            <w:r>
              <w:t xml:space="preserve"> per additional patient eligible for TT, however when the difference doubles (from 2.6% to 5.2%), the ICER decreases to $</w:t>
            </w:r>
            <w:r w:rsidR="00A951C2">
              <w:t>2,731</w:t>
            </w:r>
            <w:r>
              <w:t>.</w:t>
            </w:r>
          </w:p>
        </w:tc>
      </w:tr>
      <w:tr w:rsidR="004E63D6" w:rsidRPr="00CE28E3" w14:paraId="2C33C6EB" w14:textId="77777777" w:rsidTr="00735818">
        <w:tc>
          <w:tcPr>
            <w:tcW w:w="784" w:type="pct"/>
            <w:shd w:val="clear" w:color="auto" w:fill="auto"/>
          </w:tcPr>
          <w:p w14:paraId="2B7EAA89" w14:textId="77777777" w:rsidR="004E63D6" w:rsidRDefault="004E63D6" w:rsidP="00CA410A">
            <w:pPr>
              <w:pStyle w:val="TableText"/>
              <w:keepNext/>
            </w:pPr>
            <w:r>
              <w:t>Rebiopsy</w:t>
            </w:r>
          </w:p>
        </w:tc>
        <w:tc>
          <w:tcPr>
            <w:tcW w:w="2279" w:type="pct"/>
            <w:shd w:val="clear" w:color="auto" w:fill="auto"/>
          </w:tcPr>
          <w:p w14:paraId="35611526" w14:textId="77777777" w:rsidR="004E63D6" w:rsidRDefault="004E63D6" w:rsidP="00CA410A">
            <w:pPr>
              <w:pStyle w:val="TableText"/>
              <w:keepNext/>
            </w:pPr>
            <w:r>
              <w:t>100% where testing was not successful. Rebiopsy was associated with a 20% failure rate (Kelly et al. 2019)</w:t>
            </w:r>
            <w:r w:rsidRPr="008542F6">
              <w:rPr>
                <w:vertAlign w:val="superscript"/>
              </w:rPr>
              <w:t>c</w:t>
            </w:r>
            <w:r>
              <w:t xml:space="preserve"> and a 14% complication rate (1161 PSD, November 2012 MSAC Meeting).</w:t>
            </w:r>
          </w:p>
          <w:p w14:paraId="6875224D" w14:textId="77777777" w:rsidR="004E63D6" w:rsidRDefault="004E63D6" w:rsidP="00CA410A">
            <w:pPr>
              <w:pStyle w:val="TableText"/>
              <w:keepNext/>
            </w:pPr>
            <w:r>
              <w:t>The base case assumed all rebiopsies occurred in the outpatient setting, with cost based on AR-DRG E42A, B and C.</w:t>
            </w:r>
          </w:p>
        </w:tc>
        <w:tc>
          <w:tcPr>
            <w:tcW w:w="1937" w:type="pct"/>
            <w:shd w:val="clear" w:color="auto" w:fill="auto"/>
          </w:tcPr>
          <w:p w14:paraId="70B1D975" w14:textId="2E01A253" w:rsidR="004E63D6" w:rsidRDefault="004E63D6" w:rsidP="00CA410A">
            <w:pPr>
              <w:pStyle w:val="TableText"/>
              <w:keepNext/>
            </w:pPr>
            <w:r>
              <w:t>The analysis was moderately sensitive to the uptake of rebiopsy and to a lesser extent, cost. Reducing the rebiopsy rate to 60% increased the ICER per additional patient eligible for TT to $</w:t>
            </w:r>
            <w:r w:rsidR="00A951C2">
              <w:t>9,161</w:t>
            </w:r>
            <w:r>
              <w:t>.</w:t>
            </w:r>
          </w:p>
          <w:p w14:paraId="71F05683" w14:textId="0FBD056D" w:rsidR="004E63D6" w:rsidRDefault="004E63D6" w:rsidP="00A951C2">
            <w:pPr>
              <w:pStyle w:val="TableText"/>
              <w:keepNext/>
            </w:pPr>
            <w:r>
              <w:t>Assuming all rebiopsies occur in an outpatient setting increased the ICER to $</w:t>
            </w:r>
            <w:r w:rsidR="00A951C2">
              <w:t>9,475</w:t>
            </w:r>
          </w:p>
        </w:tc>
      </w:tr>
    </w:tbl>
    <w:bookmarkEnd w:id="38"/>
    <w:p w14:paraId="5962EB6E" w14:textId="77777777" w:rsidR="004E63D6" w:rsidRDefault="004E63D6" w:rsidP="004E63D6">
      <w:pPr>
        <w:pStyle w:val="TableFooter"/>
      </w:pPr>
      <w:r w:rsidRPr="008542F6">
        <w:rPr>
          <w:vertAlign w:val="superscript"/>
        </w:rPr>
        <w:t>a</w:t>
      </w:r>
      <w:r>
        <w:t xml:space="preserve"> </w:t>
      </w:r>
      <w:r w:rsidRPr="008542F6">
        <w:t>Mitchell, PL, Thursfield, VJ, Ball, DL, Richardson, GE, Irving, LB, Torn-Broers, Y, Giles, GG &amp; Wright, GM 2013, 'Lung cancer in Victoria: are we making progress?', Med J Aust, vol. 199, no. 10, Nov 18, pp. 674-679.</w:t>
      </w:r>
    </w:p>
    <w:p w14:paraId="42EEAE6E" w14:textId="77777777" w:rsidR="004E63D6" w:rsidRDefault="004E63D6" w:rsidP="004E63D6">
      <w:pPr>
        <w:pStyle w:val="TableFooter"/>
      </w:pPr>
      <w:r w:rsidRPr="008542F6">
        <w:rPr>
          <w:vertAlign w:val="superscript"/>
        </w:rPr>
        <w:t>b</w:t>
      </w:r>
      <w:r>
        <w:t xml:space="preserve"> </w:t>
      </w:r>
      <w:r w:rsidRPr="008542F6">
        <w:t>Steeghs, EMP, Groen, HJM, Schuuring, E, Aarts, MJ, Damhuis, RAM, Voorham, QJM, Ligtenberg, MJL &amp; Grunberg, K 2022, 'Mutation-tailored treatment selection in non-small cell lung cancer patients in daily clinical practice', Lung Cancer, vol. 167, May, pp. 87-97.</w:t>
      </w:r>
    </w:p>
    <w:p w14:paraId="59A69923" w14:textId="77777777" w:rsidR="004E63D6" w:rsidRPr="008542F6" w:rsidRDefault="004E63D6" w:rsidP="004E63D6">
      <w:pPr>
        <w:pStyle w:val="TableFooter"/>
      </w:pPr>
      <w:r w:rsidRPr="008542F6">
        <w:rPr>
          <w:vertAlign w:val="superscript"/>
        </w:rPr>
        <w:t>c</w:t>
      </w:r>
      <w:r>
        <w:t xml:space="preserve"> </w:t>
      </w:r>
      <w:r w:rsidRPr="008542F6">
        <w:t>Kelly, RJ, Turner, R, Chen, YW, Rigas, JR, Fernandes, AW &amp; Karve, S 2019, 'Complications and Economic Burden Associated With Obtaining Tissue for Diagnosis and Molecular Analysis in Patients With Non-Small-Cell Lung Cancer in the United States', J Oncol Pract, vol. 15, no. 8, Aug, pp. e717-e727.</w:t>
      </w:r>
    </w:p>
    <w:p w14:paraId="674DB21F" w14:textId="43A72661" w:rsidR="004E63D6" w:rsidRDefault="004E63D6" w:rsidP="004E63D6">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DNA = deoxyribose nucleic acid; </w:t>
      </w:r>
      <w:r w:rsidRPr="00A81F01">
        <w:rPr>
          <w:i/>
        </w:rPr>
        <w:t>EGFR</w:t>
      </w:r>
      <w:r>
        <w:t xml:space="preserve"> = </w:t>
      </w:r>
      <w:r w:rsidRPr="00A81F01">
        <w:t>epidermal growth factor receptor</w:t>
      </w:r>
      <w:r>
        <w:t xml:space="preserve">; </w:t>
      </w:r>
      <w:r w:rsidR="00C13707">
        <w:t>FISH = f</w:t>
      </w:r>
      <w:r w:rsidR="00C13707" w:rsidRPr="003316EF">
        <w:t xml:space="preserve">luorescence </w:t>
      </w:r>
      <w:r w:rsidR="00C13707" w:rsidRPr="00956452">
        <w:rPr>
          <w:i/>
        </w:rPr>
        <w:t>in situ</w:t>
      </w:r>
      <w:r w:rsidR="00C13707" w:rsidRPr="003316EF">
        <w:t xml:space="preserve"> hybridisation</w:t>
      </w:r>
      <w:r w:rsidR="00C13707">
        <w:t xml:space="preserve">; </w:t>
      </w:r>
      <w:r>
        <w:t xml:space="preserve">ICER = incremental cost-effectiveness ratio; </w:t>
      </w:r>
      <w:r w:rsidR="00C13707">
        <w:t xml:space="preserve">IHC = immunohistochemistry; </w:t>
      </w:r>
      <w:r w:rsidRPr="000B3989">
        <w:rPr>
          <w:i/>
          <w:iCs/>
        </w:rPr>
        <w:t>KRAS</w:t>
      </w:r>
      <w:r w:rsidRPr="00B52D8D">
        <w:t xml:space="preserve"> = Kirsten rat sarcoma viral oncogene homologue</w:t>
      </w:r>
      <w:r>
        <w:t xml:space="preserve">; </w:t>
      </w:r>
      <w:r w:rsidRPr="00CE4DC5">
        <w:rPr>
          <w:i/>
        </w:rPr>
        <w:t>MET</w:t>
      </w:r>
      <w:r w:rsidRPr="00CE4DC5">
        <w:t xml:space="preserve"> =</w:t>
      </w:r>
      <w:r>
        <w:t xml:space="preserve"> </w:t>
      </w:r>
      <w:r w:rsidRPr="008F67AF">
        <w:rPr>
          <w:szCs w:val="18"/>
        </w:rPr>
        <w:t xml:space="preserve">mesenchymal-epithelial </w:t>
      </w:r>
      <w:r w:rsidRPr="008F67AF">
        <w:rPr>
          <w:szCs w:val="18"/>
        </w:rPr>
        <w:lastRenderedPageBreak/>
        <w:t>transition</w:t>
      </w:r>
      <w:r>
        <w:rPr>
          <w:szCs w:val="18"/>
        </w:rPr>
        <w:t xml:space="preserve">; </w:t>
      </w:r>
      <w:r>
        <w:t>NPA = negative percent agreement; NSCLC = non-small cell lung cancer; RNA = ribonucleic acid; TT = targeted therapy.</w:t>
      </w:r>
    </w:p>
    <w:p w14:paraId="54ACE2B2" w14:textId="4D621B90" w:rsidR="004E63D6" w:rsidRDefault="004E63D6" w:rsidP="0063086A">
      <w:pPr>
        <w:spacing w:before="160"/>
      </w:pPr>
      <w:r w:rsidRPr="00CE28E3">
        <w:t xml:space="preserve">The results of key sensitivity analyses are </w:t>
      </w:r>
      <w:r w:rsidRPr="00F529F9">
        <w:t>presented in</w:t>
      </w:r>
      <w:r>
        <w:t xml:space="preserve"> </w:t>
      </w:r>
      <w:r>
        <w:fldChar w:fldCharType="begin"/>
      </w:r>
      <w:r>
        <w:instrText xml:space="preserve"> REF _Ref69726347 \h </w:instrText>
      </w:r>
      <w:r>
        <w:fldChar w:fldCharType="separate"/>
      </w:r>
      <w:r w:rsidR="00C857F3" w:rsidRPr="00CE28E3">
        <w:t>Table</w:t>
      </w:r>
      <w:r w:rsidR="00C857F3">
        <w:t> </w:t>
      </w:r>
      <w:r w:rsidR="00C857F3">
        <w:rPr>
          <w:noProof/>
        </w:rPr>
        <w:t>13</w:t>
      </w:r>
      <w:r>
        <w:fldChar w:fldCharType="end"/>
      </w:r>
      <w:r w:rsidRPr="00CE28E3">
        <w:t>.</w:t>
      </w:r>
    </w:p>
    <w:p w14:paraId="0781ABBF" w14:textId="5B8693A3" w:rsidR="004E63D6" w:rsidRPr="00CE28E3" w:rsidRDefault="004E63D6" w:rsidP="004E63D6">
      <w:pPr>
        <w:pStyle w:val="Caption"/>
      </w:pPr>
      <w:bookmarkStart w:id="39" w:name="_Ref69726347"/>
      <w:r w:rsidRPr="00CE28E3">
        <w:t>Table</w:t>
      </w:r>
      <w:r>
        <w:t> </w:t>
      </w:r>
      <w:fldSimple w:instr=" SEQ Table \* ARABIC ">
        <w:r w:rsidR="00C857F3">
          <w:rPr>
            <w:noProof/>
          </w:rPr>
          <w:t>13</w:t>
        </w:r>
      </w:fldSimple>
      <w:bookmarkEnd w:id="39"/>
      <w:r w:rsidRPr="00CE28E3">
        <w:tab/>
      </w:r>
      <w:r w:rsidRPr="00F529F9">
        <w:t>Results of the key sensitivity analyses</w:t>
      </w:r>
    </w:p>
    <w:tbl>
      <w:tblPr>
        <w:tblStyle w:val="TableGrid1"/>
        <w:tblW w:w="5000" w:type="pct"/>
        <w:tblLayout w:type="fixed"/>
        <w:tblLook w:val="04A0" w:firstRow="1" w:lastRow="0" w:firstColumn="1" w:lastColumn="0" w:noHBand="0" w:noVBand="1"/>
        <w:tblCaption w:val="Results of the key sensitivity analyses"/>
        <w:tblDescription w:val="Results of the key sensitivity analyses"/>
      </w:tblPr>
      <w:tblGrid>
        <w:gridCol w:w="4957"/>
        <w:gridCol w:w="1086"/>
        <w:gridCol w:w="1087"/>
        <w:gridCol w:w="1087"/>
        <w:gridCol w:w="799"/>
      </w:tblGrid>
      <w:tr w:rsidR="004E63D6" w:rsidRPr="00024EB0" w14:paraId="07121C04" w14:textId="77777777" w:rsidTr="00096611">
        <w:trPr>
          <w:cnfStyle w:val="100000000000" w:firstRow="1" w:lastRow="0" w:firstColumn="0" w:lastColumn="0" w:oddVBand="0" w:evenVBand="0" w:oddHBand="0" w:evenHBand="0" w:firstRowFirstColumn="0" w:firstRowLastColumn="0" w:lastRowFirstColumn="0" w:lastRowLastColumn="0"/>
          <w:trHeight w:val="900"/>
          <w:tblHeader/>
        </w:trPr>
        <w:tc>
          <w:tcPr>
            <w:tcW w:w="2749" w:type="pct"/>
            <w:noWrap/>
            <w:hideMark/>
          </w:tcPr>
          <w:p w14:paraId="14A67324" w14:textId="77777777" w:rsidR="004E63D6" w:rsidRPr="00024EB0" w:rsidRDefault="004E63D6" w:rsidP="00DD0D7A">
            <w:pPr>
              <w:pStyle w:val="TableHeading"/>
              <w:keepNext w:val="0"/>
            </w:pPr>
          </w:p>
        </w:tc>
        <w:tc>
          <w:tcPr>
            <w:tcW w:w="602" w:type="pct"/>
            <w:hideMark/>
          </w:tcPr>
          <w:p w14:paraId="509BDAC2" w14:textId="77777777" w:rsidR="004E63D6" w:rsidRPr="00024EB0" w:rsidRDefault="004E63D6" w:rsidP="00DD0D7A">
            <w:pPr>
              <w:pStyle w:val="TableHeading"/>
              <w:keepNext w:val="0"/>
              <w:jc w:val="center"/>
            </w:pPr>
            <w:r w:rsidRPr="00024EB0">
              <w:t>Inc</w:t>
            </w:r>
            <w:r>
              <w:t>.</w:t>
            </w:r>
            <w:r w:rsidRPr="00024EB0">
              <w:t xml:space="preserve"> cost</w:t>
            </w:r>
          </w:p>
        </w:tc>
        <w:tc>
          <w:tcPr>
            <w:tcW w:w="603" w:type="pct"/>
            <w:hideMark/>
          </w:tcPr>
          <w:p w14:paraId="0624248A" w14:textId="77777777" w:rsidR="004E63D6" w:rsidRPr="00024EB0" w:rsidRDefault="004E63D6" w:rsidP="00DD0D7A">
            <w:pPr>
              <w:pStyle w:val="TableHeading"/>
              <w:keepNext w:val="0"/>
              <w:jc w:val="center"/>
            </w:pPr>
            <w:r w:rsidRPr="00024EB0">
              <w:t>Inc. eligible for targeted therapy</w:t>
            </w:r>
          </w:p>
        </w:tc>
        <w:tc>
          <w:tcPr>
            <w:tcW w:w="603" w:type="pct"/>
            <w:hideMark/>
          </w:tcPr>
          <w:p w14:paraId="339A705D" w14:textId="77777777" w:rsidR="004E63D6" w:rsidRPr="00024EB0" w:rsidRDefault="004E63D6" w:rsidP="00DD0D7A">
            <w:pPr>
              <w:pStyle w:val="TableHeading"/>
              <w:keepNext w:val="0"/>
              <w:jc w:val="center"/>
            </w:pPr>
            <w:r>
              <w:t>ICER</w:t>
            </w:r>
          </w:p>
        </w:tc>
        <w:tc>
          <w:tcPr>
            <w:tcW w:w="443" w:type="pct"/>
            <w:noWrap/>
            <w:hideMark/>
          </w:tcPr>
          <w:p w14:paraId="46D57C65" w14:textId="77777777" w:rsidR="004E63D6" w:rsidRPr="00024EB0" w:rsidRDefault="004E63D6" w:rsidP="00DD0D7A">
            <w:pPr>
              <w:pStyle w:val="TableHeading"/>
              <w:keepNext w:val="0"/>
              <w:jc w:val="right"/>
            </w:pPr>
            <w:r>
              <w:t>% change</w:t>
            </w:r>
          </w:p>
        </w:tc>
      </w:tr>
      <w:tr w:rsidR="00DD0D7A" w:rsidRPr="00DD0D7A" w14:paraId="533F85D6" w14:textId="77777777" w:rsidTr="00DD0D7A">
        <w:trPr>
          <w:cnfStyle w:val="100000000000" w:firstRow="1" w:lastRow="0" w:firstColumn="0" w:lastColumn="0" w:oddVBand="0" w:evenVBand="0" w:oddHBand="0" w:evenHBand="0" w:firstRowFirstColumn="0" w:firstRowLastColumn="0" w:lastRowFirstColumn="0" w:lastRowLastColumn="0"/>
          <w:trHeight w:val="300"/>
          <w:tblHeader/>
        </w:trPr>
        <w:tc>
          <w:tcPr>
            <w:tcW w:w="2749" w:type="pct"/>
            <w:tcBorders>
              <w:bottom w:val="single" w:sz="4" w:space="0" w:color="auto"/>
            </w:tcBorders>
            <w:noWrap/>
            <w:hideMark/>
          </w:tcPr>
          <w:p w14:paraId="5CC97974" w14:textId="77777777" w:rsidR="00DD0D7A" w:rsidRPr="00DD0D7A" w:rsidRDefault="00DD0D7A" w:rsidP="00DD0D7A">
            <w:pPr>
              <w:pStyle w:val="TableText"/>
              <w:rPr>
                <w:b/>
              </w:rPr>
            </w:pPr>
            <w:r w:rsidRPr="00DD0D7A">
              <w:rPr>
                <w:b/>
              </w:rPr>
              <w:t>Base case</w:t>
            </w:r>
          </w:p>
        </w:tc>
        <w:tc>
          <w:tcPr>
            <w:tcW w:w="602" w:type="pct"/>
            <w:tcBorders>
              <w:bottom w:val="single" w:sz="4" w:space="0" w:color="auto"/>
            </w:tcBorders>
            <w:noWrap/>
          </w:tcPr>
          <w:p w14:paraId="3845333A" w14:textId="7287AE5C" w:rsidR="00DD0D7A" w:rsidRPr="00DD0D7A" w:rsidRDefault="00DD0D7A" w:rsidP="00DD0D7A">
            <w:pPr>
              <w:pStyle w:val="TableText"/>
              <w:jc w:val="right"/>
              <w:rPr>
                <w:b/>
              </w:rPr>
            </w:pPr>
            <w:r w:rsidRPr="00DD0D7A">
              <w:rPr>
                <w:b/>
              </w:rPr>
              <w:t>$169.02</w:t>
            </w:r>
          </w:p>
        </w:tc>
        <w:tc>
          <w:tcPr>
            <w:tcW w:w="603" w:type="pct"/>
            <w:tcBorders>
              <w:bottom w:val="single" w:sz="4" w:space="0" w:color="auto"/>
            </w:tcBorders>
            <w:noWrap/>
          </w:tcPr>
          <w:p w14:paraId="51CB1AFA" w14:textId="5A39035F" w:rsidR="00DD0D7A" w:rsidRPr="00DD0D7A" w:rsidRDefault="00DD0D7A" w:rsidP="00DD0D7A">
            <w:pPr>
              <w:pStyle w:val="TableText"/>
              <w:jc w:val="right"/>
              <w:rPr>
                <w:b/>
              </w:rPr>
            </w:pPr>
            <w:r w:rsidRPr="00DD0D7A">
              <w:rPr>
                <w:b/>
              </w:rPr>
              <w:t>0.0225</w:t>
            </w:r>
          </w:p>
        </w:tc>
        <w:tc>
          <w:tcPr>
            <w:tcW w:w="603" w:type="pct"/>
            <w:tcBorders>
              <w:bottom w:val="single" w:sz="4" w:space="0" w:color="auto"/>
            </w:tcBorders>
            <w:noWrap/>
          </w:tcPr>
          <w:p w14:paraId="77D6B9AA" w14:textId="58432868" w:rsidR="00DD0D7A" w:rsidRPr="00DD0D7A" w:rsidRDefault="00DD0D7A" w:rsidP="00DD0D7A">
            <w:pPr>
              <w:pStyle w:val="TableText"/>
              <w:jc w:val="right"/>
              <w:rPr>
                <w:b/>
              </w:rPr>
            </w:pPr>
            <w:r w:rsidRPr="00DD0D7A">
              <w:rPr>
                <w:b/>
              </w:rPr>
              <w:t>$7,496</w:t>
            </w:r>
          </w:p>
        </w:tc>
        <w:tc>
          <w:tcPr>
            <w:tcW w:w="443" w:type="pct"/>
            <w:tcBorders>
              <w:bottom w:val="single" w:sz="4" w:space="0" w:color="auto"/>
            </w:tcBorders>
            <w:noWrap/>
          </w:tcPr>
          <w:p w14:paraId="039DAE97" w14:textId="2371EFE8" w:rsidR="00DD0D7A" w:rsidRPr="00DD0D7A" w:rsidRDefault="00DD0D7A" w:rsidP="00DD0D7A">
            <w:pPr>
              <w:pStyle w:val="TableText"/>
              <w:jc w:val="right"/>
              <w:rPr>
                <w:b/>
              </w:rPr>
            </w:pPr>
            <w:r w:rsidRPr="00DD0D7A">
              <w:rPr>
                <w:b/>
              </w:rPr>
              <w:t>−</w:t>
            </w:r>
          </w:p>
        </w:tc>
      </w:tr>
      <w:tr w:rsidR="00DD0D7A" w:rsidRPr="00024EB0" w14:paraId="2EB89148" w14:textId="77777777" w:rsidTr="00096611">
        <w:trPr>
          <w:trHeight w:val="300"/>
        </w:trPr>
        <w:tc>
          <w:tcPr>
            <w:tcW w:w="2749" w:type="pct"/>
            <w:tcBorders>
              <w:bottom w:val="single" w:sz="4" w:space="0" w:color="auto"/>
              <w:right w:val="nil"/>
            </w:tcBorders>
            <w:noWrap/>
            <w:hideMark/>
          </w:tcPr>
          <w:p w14:paraId="46FE384F" w14:textId="77777777" w:rsidR="00DD0D7A" w:rsidRPr="00024EB0" w:rsidRDefault="00DD0D7A" w:rsidP="00DD0D7A">
            <w:pPr>
              <w:pStyle w:val="TableText"/>
            </w:pPr>
            <w:r w:rsidRPr="00024EB0">
              <w:t>Proportion of patients with advanced disease</w:t>
            </w:r>
            <w:r>
              <w:t xml:space="preserve"> </w:t>
            </w:r>
            <w:r w:rsidRPr="00024EB0">
              <w:t>(base case: 75.9%)</w:t>
            </w:r>
          </w:p>
        </w:tc>
        <w:tc>
          <w:tcPr>
            <w:tcW w:w="602" w:type="pct"/>
            <w:tcBorders>
              <w:left w:val="nil"/>
              <w:bottom w:val="single" w:sz="4" w:space="0" w:color="auto"/>
              <w:right w:val="nil"/>
            </w:tcBorders>
            <w:noWrap/>
          </w:tcPr>
          <w:p w14:paraId="21C3192D"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54A98B18"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0749F6F5" w14:textId="77777777" w:rsidR="00DD0D7A" w:rsidRPr="00024EB0" w:rsidRDefault="00DD0D7A" w:rsidP="00DD0D7A">
            <w:pPr>
              <w:pStyle w:val="TableText"/>
              <w:jc w:val="right"/>
            </w:pPr>
          </w:p>
        </w:tc>
        <w:tc>
          <w:tcPr>
            <w:tcW w:w="443" w:type="pct"/>
            <w:tcBorders>
              <w:left w:val="nil"/>
              <w:bottom w:val="single" w:sz="4" w:space="0" w:color="auto"/>
            </w:tcBorders>
            <w:noWrap/>
          </w:tcPr>
          <w:p w14:paraId="3B93C34F" w14:textId="77777777" w:rsidR="00DD0D7A" w:rsidRPr="00024EB0" w:rsidRDefault="00DD0D7A" w:rsidP="00DD0D7A">
            <w:pPr>
              <w:pStyle w:val="TableText"/>
              <w:jc w:val="right"/>
            </w:pPr>
          </w:p>
        </w:tc>
      </w:tr>
      <w:tr w:rsidR="00DD0D7A" w:rsidRPr="00024EB0" w14:paraId="10804902" w14:textId="77777777" w:rsidTr="00096611">
        <w:trPr>
          <w:trHeight w:val="300"/>
        </w:trPr>
        <w:tc>
          <w:tcPr>
            <w:tcW w:w="2749" w:type="pct"/>
            <w:tcBorders>
              <w:bottom w:val="nil"/>
              <w:right w:val="single" w:sz="4" w:space="0" w:color="auto"/>
            </w:tcBorders>
            <w:noWrap/>
          </w:tcPr>
          <w:p w14:paraId="79AA39FD" w14:textId="77777777" w:rsidR="00DD0D7A" w:rsidRPr="00024EB0" w:rsidRDefault="00DD0D7A" w:rsidP="00DD0D7A">
            <w:pPr>
              <w:pStyle w:val="TableText"/>
            </w:pPr>
            <w:r>
              <w:t>100%</w:t>
            </w:r>
          </w:p>
        </w:tc>
        <w:tc>
          <w:tcPr>
            <w:tcW w:w="602" w:type="pct"/>
            <w:tcBorders>
              <w:left w:val="single" w:sz="4" w:space="0" w:color="auto"/>
              <w:bottom w:val="nil"/>
              <w:right w:val="single" w:sz="4" w:space="0" w:color="auto"/>
            </w:tcBorders>
            <w:noWrap/>
          </w:tcPr>
          <w:p w14:paraId="127FA004" w14:textId="650D4DC1" w:rsidR="00DD0D7A" w:rsidRPr="00024EB0" w:rsidRDefault="00DD0D7A" w:rsidP="00DD0D7A">
            <w:pPr>
              <w:pStyle w:val="TableText"/>
              <w:jc w:val="right"/>
            </w:pPr>
            <w:r w:rsidRPr="005B2B27">
              <w:t>$27.97</w:t>
            </w:r>
          </w:p>
        </w:tc>
        <w:tc>
          <w:tcPr>
            <w:tcW w:w="603" w:type="pct"/>
            <w:tcBorders>
              <w:left w:val="single" w:sz="4" w:space="0" w:color="auto"/>
              <w:bottom w:val="nil"/>
              <w:right w:val="single" w:sz="4" w:space="0" w:color="auto"/>
            </w:tcBorders>
            <w:noWrap/>
          </w:tcPr>
          <w:p w14:paraId="452A6BBB" w14:textId="4A6CC0FA" w:rsidR="00DD0D7A" w:rsidRPr="00024EB0" w:rsidRDefault="00DD0D7A" w:rsidP="00DD0D7A">
            <w:pPr>
              <w:pStyle w:val="TableText"/>
              <w:jc w:val="right"/>
            </w:pPr>
            <w:r w:rsidRPr="005B2B27">
              <w:t>0.0297</w:t>
            </w:r>
          </w:p>
        </w:tc>
        <w:tc>
          <w:tcPr>
            <w:tcW w:w="603" w:type="pct"/>
            <w:tcBorders>
              <w:left w:val="single" w:sz="4" w:space="0" w:color="auto"/>
              <w:bottom w:val="nil"/>
              <w:right w:val="single" w:sz="4" w:space="0" w:color="auto"/>
            </w:tcBorders>
            <w:noWrap/>
          </w:tcPr>
          <w:p w14:paraId="0773BA35" w14:textId="493404D2" w:rsidR="00DD0D7A" w:rsidRPr="00024EB0" w:rsidRDefault="00DD0D7A" w:rsidP="00DD0D7A">
            <w:pPr>
              <w:pStyle w:val="TableText"/>
              <w:jc w:val="right"/>
            </w:pPr>
            <w:r w:rsidRPr="005B2B27">
              <w:t>$941</w:t>
            </w:r>
          </w:p>
        </w:tc>
        <w:tc>
          <w:tcPr>
            <w:tcW w:w="443" w:type="pct"/>
            <w:tcBorders>
              <w:left w:val="single" w:sz="4" w:space="0" w:color="auto"/>
              <w:bottom w:val="nil"/>
            </w:tcBorders>
            <w:noWrap/>
          </w:tcPr>
          <w:p w14:paraId="7DBB2B7D" w14:textId="6BA9C97F" w:rsidR="00DD0D7A" w:rsidRPr="00024EB0" w:rsidRDefault="00DD0D7A" w:rsidP="00DD0D7A">
            <w:pPr>
              <w:pStyle w:val="TableText"/>
              <w:jc w:val="right"/>
            </w:pPr>
            <w:r w:rsidRPr="005B2B27">
              <w:t>−87%</w:t>
            </w:r>
          </w:p>
        </w:tc>
      </w:tr>
      <w:tr w:rsidR="00DD0D7A" w:rsidRPr="00024EB0" w14:paraId="33C9570C" w14:textId="77777777" w:rsidTr="00096611">
        <w:trPr>
          <w:trHeight w:val="300"/>
        </w:trPr>
        <w:tc>
          <w:tcPr>
            <w:tcW w:w="2749" w:type="pct"/>
            <w:tcBorders>
              <w:top w:val="nil"/>
              <w:bottom w:val="single" w:sz="4" w:space="0" w:color="auto"/>
              <w:right w:val="single" w:sz="4" w:space="0" w:color="auto"/>
            </w:tcBorders>
            <w:noWrap/>
          </w:tcPr>
          <w:p w14:paraId="247D891A" w14:textId="77777777" w:rsidR="00DD0D7A" w:rsidRPr="00024EB0" w:rsidRDefault="00DD0D7A" w:rsidP="00DD0D7A">
            <w:pPr>
              <w:pStyle w:val="TableText"/>
            </w:pPr>
            <w:r w:rsidRPr="004802F8">
              <w:t>50%</w:t>
            </w:r>
          </w:p>
        </w:tc>
        <w:tc>
          <w:tcPr>
            <w:tcW w:w="602" w:type="pct"/>
            <w:tcBorders>
              <w:top w:val="nil"/>
              <w:left w:val="single" w:sz="4" w:space="0" w:color="auto"/>
              <w:bottom w:val="single" w:sz="4" w:space="0" w:color="auto"/>
              <w:right w:val="single" w:sz="4" w:space="0" w:color="auto"/>
            </w:tcBorders>
            <w:noWrap/>
          </w:tcPr>
          <w:p w14:paraId="7F0166D6" w14:textId="6BA40BD7" w:rsidR="00DD0D7A" w:rsidRPr="00024EB0" w:rsidRDefault="00DD0D7A" w:rsidP="00DD0D7A">
            <w:pPr>
              <w:pStyle w:val="TableText"/>
              <w:jc w:val="right"/>
            </w:pPr>
            <w:r w:rsidRPr="005B2B27">
              <w:t>$320.01</w:t>
            </w:r>
          </w:p>
        </w:tc>
        <w:tc>
          <w:tcPr>
            <w:tcW w:w="603" w:type="pct"/>
            <w:tcBorders>
              <w:top w:val="nil"/>
              <w:left w:val="single" w:sz="4" w:space="0" w:color="auto"/>
              <w:bottom w:val="single" w:sz="4" w:space="0" w:color="auto"/>
              <w:right w:val="single" w:sz="4" w:space="0" w:color="auto"/>
            </w:tcBorders>
            <w:noWrap/>
          </w:tcPr>
          <w:p w14:paraId="73D30903" w14:textId="0F6716F1" w:rsidR="00DD0D7A" w:rsidRPr="00024EB0" w:rsidRDefault="00DD0D7A" w:rsidP="00DD0D7A">
            <w:pPr>
              <w:pStyle w:val="TableText"/>
              <w:jc w:val="right"/>
            </w:pPr>
            <w:r w:rsidRPr="005B2B27">
              <w:t>0.0149</w:t>
            </w:r>
          </w:p>
        </w:tc>
        <w:tc>
          <w:tcPr>
            <w:tcW w:w="603" w:type="pct"/>
            <w:tcBorders>
              <w:top w:val="nil"/>
              <w:left w:val="single" w:sz="4" w:space="0" w:color="auto"/>
              <w:bottom w:val="single" w:sz="4" w:space="0" w:color="auto"/>
              <w:right w:val="single" w:sz="4" w:space="0" w:color="auto"/>
            </w:tcBorders>
            <w:noWrap/>
          </w:tcPr>
          <w:p w14:paraId="020DC03D" w14:textId="00E7DB52" w:rsidR="00DD0D7A" w:rsidRPr="00024EB0" w:rsidRDefault="00DD0D7A" w:rsidP="00DD0D7A">
            <w:pPr>
              <w:pStyle w:val="TableText"/>
              <w:jc w:val="right"/>
            </w:pPr>
            <w:r w:rsidRPr="005B2B27">
              <w:t>$21,530</w:t>
            </w:r>
          </w:p>
        </w:tc>
        <w:tc>
          <w:tcPr>
            <w:tcW w:w="443" w:type="pct"/>
            <w:tcBorders>
              <w:top w:val="nil"/>
              <w:left w:val="single" w:sz="4" w:space="0" w:color="auto"/>
              <w:bottom w:val="single" w:sz="4" w:space="0" w:color="auto"/>
            </w:tcBorders>
            <w:noWrap/>
          </w:tcPr>
          <w:p w14:paraId="64949948" w14:textId="59D57C01" w:rsidR="00DD0D7A" w:rsidRPr="00024EB0" w:rsidRDefault="00DD0D7A" w:rsidP="00DD0D7A">
            <w:pPr>
              <w:pStyle w:val="TableText"/>
              <w:jc w:val="right"/>
            </w:pPr>
            <w:r w:rsidRPr="005B2B27">
              <w:t>187%</w:t>
            </w:r>
          </w:p>
        </w:tc>
      </w:tr>
      <w:tr w:rsidR="00DD0D7A" w:rsidRPr="00024EB0" w14:paraId="2767035D" w14:textId="77777777" w:rsidTr="00096611">
        <w:trPr>
          <w:trHeight w:val="300"/>
        </w:trPr>
        <w:tc>
          <w:tcPr>
            <w:tcW w:w="2749" w:type="pct"/>
            <w:tcBorders>
              <w:bottom w:val="single" w:sz="4" w:space="0" w:color="auto"/>
              <w:right w:val="nil"/>
            </w:tcBorders>
            <w:noWrap/>
          </w:tcPr>
          <w:p w14:paraId="4E1D2374" w14:textId="77777777" w:rsidR="00DD0D7A" w:rsidRPr="00024EB0" w:rsidRDefault="00DD0D7A" w:rsidP="00DD0D7A">
            <w:pPr>
              <w:pStyle w:val="TableText"/>
            </w:pPr>
            <w:r w:rsidRPr="00024EB0">
              <w:t xml:space="preserve">Timing of </w:t>
            </w:r>
            <w:r w:rsidRPr="00DB3E00">
              <w:rPr>
                <w:i/>
              </w:rPr>
              <w:t>MET</w:t>
            </w:r>
            <w:r w:rsidRPr="00024EB0">
              <w:t>ex14sk testing</w:t>
            </w:r>
            <w:r>
              <w:t xml:space="preserve"> </w:t>
            </w:r>
            <w:r w:rsidRPr="00024EB0">
              <w:t xml:space="preserve">(base case: after </w:t>
            </w:r>
            <w:r w:rsidRPr="00DB3E00">
              <w:rPr>
                <w:i/>
              </w:rPr>
              <w:t>EGFR</w:t>
            </w:r>
            <w:r w:rsidRPr="00024EB0">
              <w:t>)</w:t>
            </w:r>
          </w:p>
        </w:tc>
        <w:tc>
          <w:tcPr>
            <w:tcW w:w="602" w:type="pct"/>
            <w:tcBorders>
              <w:left w:val="nil"/>
              <w:bottom w:val="single" w:sz="4" w:space="0" w:color="auto"/>
              <w:right w:val="nil"/>
            </w:tcBorders>
            <w:noWrap/>
          </w:tcPr>
          <w:p w14:paraId="4EE5E68A"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64CA2E52"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3B5FF919" w14:textId="77777777" w:rsidR="00DD0D7A" w:rsidRPr="00024EB0" w:rsidRDefault="00DD0D7A" w:rsidP="00DD0D7A">
            <w:pPr>
              <w:pStyle w:val="TableText"/>
              <w:jc w:val="right"/>
            </w:pPr>
          </w:p>
        </w:tc>
        <w:tc>
          <w:tcPr>
            <w:tcW w:w="443" w:type="pct"/>
            <w:tcBorders>
              <w:left w:val="nil"/>
              <w:bottom w:val="single" w:sz="4" w:space="0" w:color="auto"/>
            </w:tcBorders>
            <w:noWrap/>
          </w:tcPr>
          <w:p w14:paraId="6BE410D7" w14:textId="77777777" w:rsidR="00DD0D7A" w:rsidRPr="00024EB0" w:rsidRDefault="00DD0D7A" w:rsidP="00DD0D7A">
            <w:pPr>
              <w:pStyle w:val="TableText"/>
              <w:jc w:val="right"/>
            </w:pPr>
          </w:p>
        </w:tc>
      </w:tr>
      <w:tr w:rsidR="00DD0D7A" w:rsidRPr="00024EB0" w14:paraId="0DBAC0AD" w14:textId="77777777" w:rsidTr="00DD0D7A">
        <w:trPr>
          <w:trHeight w:val="300"/>
        </w:trPr>
        <w:tc>
          <w:tcPr>
            <w:tcW w:w="2749" w:type="pct"/>
            <w:tcBorders>
              <w:bottom w:val="nil"/>
              <w:right w:val="single" w:sz="4" w:space="0" w:color="auto"/>
            </w:tcBorders>
            <w:noWrap/>
            <w:hideMark/>
          </w:tcPr>
          <w:p w14:paraId="35F8D8FC" w14:textId="77777777" w:rsidR="00DD0D7A" w:rsidRPr="00024EB0" w:rsidRDefault="00DD0D7A" w:rsidP="00DD0D7A">
            <w:pPr>
              <w:pStyle w:val="TableText"/>
            </w:pPr>
            <w:r>
              <w:t>A</w:t>
            </w:r>
            <w:r w:rsidRPr="00024EB0">
              <w:t xml:space="preserve">t the same time as </w:t>
            </w:r>
            <w:r w:rsidRPr="00DB3E00">
              <w:rPr>
                <w:i/>
              </w:rPr>
              <w:t>EGFR</w:t>
            </w:r>
          </w:p>
        </w:tc>
        <w:tc>
          <w:tcPr>
            <w:tcW w:w="602" w:type="pct"/>
            <w:tcBorders>
              <w:left w:val="single" w:sz="4" w:space="0" w:color="auto"/>
              <w:bottom w:val="nil"/>
              <w:right w:val="single" w:sz="4" w:space="0" w:color="auto"/>
            </w:tcBorders>
            <w:noWrap/>
          </w:tcPr>
          <w:p w14:paraId="26A8F8FD" w14:textId="6E031A70" w:rsidR="00DD0D7A" w:rsidRPr="00024EB0" w:rsidRDefault="00DD0D7A" w:rsidP="00DD0D7A">
            <w:pPr>
              <w:pStyle w:val="TableText"/>
              <w:jc w:val="right"/>
            </w:pPr>
            <w:r w:rsidRPr="005B2B27">
              <w:t>$109.54</w:t>
            </w:r>
          </w:p>
        </w:tc>
        <w:tc>
          <w:tcPr>
            <w:tcW w:w="603" w:type="pct"/>
            <w:tcBorders>
              <w:left w:val="single" w:sz="4" w:space="0" w:color="auto"/>
              <w:bottom w:val="nil"/>
              <w:right w:val="single" w:sz="4" w:space="0" w:color="auto"/>
            </w:tcBorders>
            <w:noWrap/>
          </w:tcPr>
          <w:p w14:paraId="3B64D9A7" w14:textId="081A2B75" w:rsidR="00DD0D7A" w:rsidRPr="00024EB0" w:rsidRDefault="00DD0D7A" w:rsidP="00DD0D7A">
            <w:pPr>
              <w:pStyle w:val="TableText"/>
              <w:jc w:val="right"/>
            </w:pPr>
            <w:r w:rsidRPr="005B2B27">
              <w:t>0.0225</w:t>
            </w:r>
          </w:p>
        </w:tc>
        <w:tc>
          <w:tcPr>
            <w:tcW w:w="603" w:type="pct"/>
            <w:tcBorders>
              <w:left w:val="single" w:sz="4" w:space="0" w:color="auto"/>
              <w:bottom w:val="nil"/>
              <w:right w:val="single" w:sz="4" w:space="0" w:color="auto"/>
            </w:tcBorders>
            <w:noWrap/>
          </w:tcPr>
          <w:p w14:paraId="26FEAA0B" w14:textId="6F01E937" w:rsidR="00DD0D7A" w:rsidRPr="00024EB0" w:rsidRDefault="00DD0D7A" w:rsidP="00DD0D7A">
            <w:pPr>
              <w:pStyle w:val="TableText"/>
              <w:jc w:val="right"/>
            </w:pPr>
            <w:r w:rsidRPr="005B2B27">
              <w:t>$4,858</w:t>
            </w:r>
          </w:p>
        </w:tc>
        <w:tc>
          <w:tcPr>
            <w:tcW w:w="443" w:type="pct"/>
            <w:tcBorders>
              <w:left w:val="single" w:sz="4" w:space="0" w:color="auto"/>
              <w:bottom w:val="nil"/>
            </w:tcBorders>
            <w:noWrap/>
          </w:tcPr>
          <w:p w14:paraId="12CE41B0" w14:textId="375CC849" w:rsidR="00DD0D7A" w:rsidRPr="00024EB0" w:rsidRDefault="00DD0D7A" w:rsidP="00DD0D7A">
            <w:pPr>
              <w:pStyle w:val="TableText"/>
              <w:jc w:val="right"/>
            </w:pPr>
            <w:r w:rsidRPr="005B2B27">
              <w:t>−35%</w:t>
            </w:r>
          </w:p>
        </w:tc>
      </w:tr>
      <w:tr w:rsidR="00DD0D7A" w:rsidRPr="00024EB0" w14:paraId="260D441E" w14:textId="77777777" w:rsidTr="00096611">
        <w:trPr>
          <w:trHeight w:val="300"/>
        </w:trPr>
        <w:tc>
          <w:tcPr>
            <w:tcW w:w="2749" w:type="pct"/>
            <w:tcBorders>
              <w:top w:val="nil"/>
              <w:bottom w:val="single" w:sz="4" w:space="0" w:color="auto"/>
              <w:right w:val="single" w:sz="4" w:space="0" w:color="auto"/>
            </w:tcBorders>
            <w:noWrap/>
          </w:tcPr>
          <w:p w14:paraId="507E681E" w14:textId="77777777" w:rsidR="00DD0D7A" w:rsidRDefault="00DD0D7A" w:rsidP="00DD0D7A">
            <w:pPr>
              <w:pStyle w:val="TableText"/>
            </w:pPr>
            <w:r>
              <w:t>After EGFR (excluding block retrieval and consult costs)</w:t>
            </w:r>
          </w:p>
        </w:tc>
        <w:tc>
          <w:tcPr>
            <w:tcW w:w="602" w:type="pct"/>
            <w:tcBorders>
              <w:top w:val="nil"/>
              <w:left w:val="single" w:sz="4" w:space="0" w:color="auto"/>
              <w:bottom w:val="single" w:sz="4" w:space="0" w:color="auto"/>
              <w:right w:val="single" w:sz="4" w:space="0" w:color="auto"/>
            </w:tcBorders>
            <w:noWrap/>
          </w:tcPr>
          <w:p w14:paraId="1C6D1460" w14:textId="7D7C622C" w:rsidR="00DD0D7A" w:rsidRPr="00024EB0" w:rsidRDefault="00DD0D7A" w:rsidP="00DD0D7A">
            <w:pPr>
              <w:pStyle w:val="TableText"/>
              <w:jc w:val="right"/>
            </w:pPr>
            <w:r w:rsidRPr="005B2B27">
              <w:t>$252.67</w:t>
            </w:r>
          </w:p>
        </w:tc>
        <w:tc>
          <w:tcPr>
            <w:tcW w:w="603" w:type="pct"/>
            <w:tcBorders>
              <w:top w:val="nil"/>
              <w:left w:val="single" w:sz="4" w:space="0" w:color="auto"/>
              <w:bottom w:val="single" w:sz="4" w:space="0" w:color="auto"/>
              <w:right w:val="single" w:sz="4" w:space="0" w:color="auto"/>
            </w:tcBorders>
            <w:noWrap/>
          </w:tcPr>
          <w:p w14:paraId="1FB379AC" w14:textId="27CF2108" w:rsidR="00DD0D7A" w:rsidRPr="00024EB0" w:rsidRDefault="00DD0D7A" w:rsidP="00DD0D7A">
            <w:pPr>
              <w:pStyle w:val="TableText"/>
              <w:jc w:val="right"/>
            </w:pPr>
            <w:r w:rsidRPr="005B2B27">
              <w:t>0.0225</w:t>
            </w:r>
          </w:p>
        </w:tc>
        <w:tc>
          <w:tcPr>
            <w:tcW w:w="603" w:type="pct"/>
            <w:tcBorders>
              <w:top w:val="nil"/>
              <w:left w:val="single" w:sz="4" w:space="0" w:color="auto"/>
              <w:bottom w:val="single" w:sz="4" w:space="0" w:color="auto"/>
              <w:right w:val="single" w:sz="4" w:space="0" w:color="auto"/>
            </w:tcBorders>
            <w:noWrap/>
          </w:tcPr>
          <w:p w14:paraId="434F8A4F" w14:textId="5032EAE0" w:rsidR="00DD0D7A" w:rsidRPr="00024EB0" w:rsidRDefault="00DD0D7A" w:rsidP="00DD0D7A">
            <w:pPr>
              <w:pStyle w:val="TableText"/>
              <w:jc w:val="right"/>
            </w:pPr>
            <w:r w:rsidRPr="005B2B27">
              <w:t>$11,206</w:t>
            </w:r>
          </w:p>
        </w:tc>
        <w:tc>
          <w:tcPr>
            <w:tcW w:w="443" w:type="pct"/>
            <w:tcBorders>
              <w:top w:val="nil"/>
              <w:left w:val="single" w:sz="4" w:space="0" w:color="auto"/>
              <w:bottom w:val="single" w:sz="4" w:space="0" w:color="auto"/>
            </w:tcBorders>
            <w:noWrap/>
          </w:tcPr>
          <w:p w14:paraId="5D79D5D5" w14:textId="4C696B57" w:rsidR="00DD0D7A" w:rsidRPr="00024EB0" w:rsidRDefault="00DD0D7A" w:rsidP="00DD0D7A">
            <w:pPr>
              <w:pStyle w:val="TableText"/>
              <w:jc w:val="right"/>
            </w:pPr>
            <w:r w:rsidRPr="005B2B27">
              <w:t>49%</w:t>
            </w:r>
          </w:p>
        </w:tc>
      </w:tr>
      <w:tr w:rsidR="00DD0D7A" w:rsidRPr="00024EB0" w14:paraId="6298C16A" w14:textId="77777777" w:rsidTr="00DD0D7A">
        <w:trPr>
          <w:trHeight w:val="300"/>
        </w:trPr>
        <w:tc>
          <w:tcPr>
            <w:tcW w:w="2749" w:type="pct"/>
            <w:tcBorders>
              <w:bottom w:val="single" w:sz="4" w:space="0" w:color="auto"/>
              <w:right w:val="nil"/>
            </w:tcBorders>
            <w:noWrap/>
            <w:hideMark/>
          </w:tcPr>
          <w:p w14:paraId="65FAF06A" w14:textId="77777777" w:rsidR="00DD0D7A" w:rsidRPr="00024EB0" w:rsidRDefault="00DD0D7A" w:rsidP="00DD0D7A">
            <w:pPr>
              <w:pStyle w:val="TableText"/>
            </w:pPr>
            <w:r w:rsidRPr="00024EB0">
              <w:t>Small gene panel testing strategy (base case: mixed)</w:t>
            </w:r>
          </w:p>
        </w:tc>
        <w:tc>
          <w:tcPr>
            <w:tcW w:w="602" w:type="pct"/>
            <w:tcBorders>
              <w:left w:val="nil"/>
              <w:bottom w:val="single" w:sz="4" w:space="0" w:color="auto"/>
              <w:right w:val="nil"/>
            </w:tcBorders>
            <w:noWrap/>
          </w:tcPr>
          <w:p w14:paraId="66E5F137"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1E63BB9A"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7320B6A5" w14:textId="77777777" w:rsidR="00DD0D7A" w:rsidRPr="00024EB0" w:rsidRDefault="00DD0D7A" w:rsidP="00DD0D7A">
            <w:pPr>
              <w:pStyle w:val="TableText"/>
              <w:jc w:val="right"/>
            </w:pPr>
          </w:p>
        </w:tc>
        <w:tc>
          <w:tcPr>
            <w:tcW w:w="443" w:type="pct"/>
            <w:tcBorders>
              <w:left w:val="nil"/>
              <w:bottom w:val="single" w:sz="4" w:space="0" w:color="auto"/>
            </w:tcBorders>
            <w:noWrap/>
          </w:tcPr>
          <w:p w14:paraId="490BBE85" w14:textId="77777777" w:rsidR="00DD0D7A" w:rsidRPr="00024EB0" w:rsidRDefault="00DD0D7A" w:rsidP="00DD0D7A">
            <w:pPr>
              <w:pStyle w:val="TableText"/>
              <w:jc w:val="right"/>
            </w:pPr>
          </w:p>
        </w:tc>
      </w:tr>
      <w:tr w:rsidR="00DD0D7A" w:rsidRPr="00024EB0" w14:paraId="0FCCE3AE" w14:textId="77777777" w:rsidTr="00DD0D7A">
        <w:trPr>
          <w:trHeight w:val="300"/>
        </w:trPr>
        <w:tc>
          <w:tcPr>
            <w:tcW w:w="2749" w:type="pct"/>
            <w:tcBorders>
              <w:bottom w:val="nil"/>
            </w:tcBorders>
            <w:noWrap/>
            <w:hideMark/>
          </w:tcPr>
          <w:p w14:paraId="1940FC31" w14:textId="77777777" w:rsidR="00DD0D7A" w:rsidRPr="00024EB0" w:rsidRDefault="00DD0D7A" w:rsidP="00DD0D7A">
            <w:pPr>
              <w:pStyle w:val="TableText"/>
            </w:pPr>
            <w:r w:rsidRPr="00024EB0">
              <w:t>All combined DNA/RNA panel testing</w:t>
            </w:r>
          </w:p>
        </w:tc>
        <w:tc>
          <w:tcPr>
            <w:tcW w:w="602" w:type="pct"/>
            <w:tcBorders>
              <w:bottom w:val="nil"/>
            </w:tcBorders>
            <w:noWrap/>
          </w:tcPr>
          <w:p w14:paraId="6D17A0DD" w14:textId="0347CBE4" w:rsidR="00DD0D7A" w:rsidRPr="00024EB0" w:rsidRDefault="00DD0D7A" w:rsidP="00DD0D7A">
            <w:pPr>
              <w:pStyle w:val="TableText"/>
              <w:jc w:val="right"/>
            </w:pPr>
            <w:r w:rsidRPr="005B2B27">
              <w:t>$348.65</w:t>
            </w:r>
          </w:p>
        </w:tc>
        <w:tc>
          <w:tcPr>
            <w:tcW w:w="603" w:type="pct"/>
            <w:tcBorders>
              <w:bottom w:val="nil"/>
            </w:tcBorders>
            <w:noWrap/>
          </w:tcPr>
          <w:p w14:paraId="3E833FE9" w14:textId="746590CA" w:rsidR="00DD0D7A" w:rsidRPr="00024EB0" w:rsidRDefault="00DD0D7A" w:rsidP="00DD0D7A">
            <w:pPr>
              <w:pStyle w:val="TableText"/>
              <w:jc w:val="right"/>
            </w:pPr>
            <w:r w:rsidRPr="005B2B27">
              <w:t>0.0228</w:t>
            </w:r>
          </w:p>
        </w:tc>
        <w:tc>
          <w:tcPr>
            <w:tcW w:w="603" w:type="pct"/>
            <w:tcBorders>
              <w:bottom w:val="nil"/>
            </w:tcBorders>
            <w:noWrap/>
          </w:tcPr>
          <w:p w14:paraId="4C37B0C6" w14:textId="7770809B" w:rsidR="00DD0D7A" w:rsidRPr="00024EB0" w:rsidRDefault="00DD0D7A" w:rsidP="00DD0D7A">
            <w:pPr>
              <w:pStyle w:val="TableText"/>
              <w:jc w:val="right"/>
            </w:pPr>
            <w:r w:rsidRPr="005B2B27">
              <w:t>$15,277</w:t>
            </w:r>
          </w:p>
        </w:tc>
        <w:tc>
          <w:tcPr>
            <w:tcW w:w="443" w:type="pct"/>
            <w:tcBorders>
              <w:bottom w:val="nil"/>
            </w:tcBorders>
            <w:noWrap/>
          </w:tcPr>
          <w:p w14:paraId="0F8581B0" w14:textId="3202A861" w:rsidR="00DD0D7A" w:rsidRPr="00024EB0" w:rsidRDefault="00DD0D7A" w:rsidP="00DD0D7A">
            <w:pPr>
              <w:pStyle w:val="TableText"/>
              <w:jc w:val="right"/>
            </w:pPr>
            <w:r w:rsidRPr="005B2B27">
              <w:t>104%</w:t>
            </w:r>
          </w:p>
        </w:tc>
      </w:tr>
      <w:tr w:rsidR="00DD0D7A" w:rsidRPr="00024EB0" w14:paraId="5D770857" w14:textId="77777777" w:rsidTr="00DD0D7A">
        <w:trPr>
          <w:trHeight w:val="300"/>
        </w:trPr>
        <w:tc>
          <w:tcPr>
            <w:tcW w:w="2749" w:type="pct"/>
            <w:tcBorders>
              <w:top w:val="nil"/>
              <w:bottom w:val="nil"/>
            </w:tcBorders>
            <w:noWrap/>
            <w:hideMark/>
          </w:tcPr>
          <w:p w14:paraId="42473A2A" w14:textId="77777777" w:rsidR="00DD0D7A" w:rsidRPr="00024EB0" w:rsidRDefault="00DD0D7A" w:rsidP="00DD0D7A">
            <w:pPr>
              <w:pStyle w:val="TableText"/>
            </w:pPr>
            <w:r w:rsidRPr="00024EB0">
              <w:t>All two-stage DNA then RNA panel testing</w:t>
            </w:r>
          </w:p>
        </w:tc>
        <w:tc>
          <w:tcPr>
            <w:tcW w:w="602" w:type="pct"/>
            <w:tcBorders>
              <w:top w:val="nil"/>
              <w:bottom w:val="nil"/>
            </w:tcBorders>
            <w:noWrap/>
          </w:tcPr>
          <w:p w14:paraId="418F40B0" w14:textId="2B0264A3" w:rsidR="00DD0D7A" w:rsidRPr="00024EB0" w:rsidRDefault="00DD0D7A" w:rsidP="00DD0D7A">
            <w:pPr>
              <w:pStyle w:val="TableText"/>
              <w:jc w:val="right"/>
            </w:pPr>
            <w:r w:rsidRPr="005B2B27">
              <w:t>$116.98</w:t>
            </w:r>
          </w:p>
        </w:tc>
        <w:tc>
          <w:tcPr>
            <w:tcW w:w="603" w:type="pct"/>
            <w:tcBorders>
              <w:top w:val="nil"/>
              <w:bottom w:val="nil"/>
            </w:tcBorders>
            <w:noWrap/>
          </w:tcPr>
          <w:p w14:paraId="2FB17B34" w14:textId="15DB7B10" w:rsidR="00DD0D7A" w:rsidRPr="00024EB0" w:rsidRDefault="00DD0D7A" w:rsidP="00DD0D7A">
            <w:pPr>
              <w:pStyle w:val="TableText"/>
              <w:jc w:val="right"/>
            </w:pPr>
            <w:r w:rsidRPr="005B2B27">
              <w:t>0.0228</w:t>
            </w:r>
          </w:p>
        </w:tc>
        <w:tc>
          <w:tcPr>
            <w:tcW w:w="603" w:type="pct"/>
            <w:tcBorders>
              <w:top w:val="nil"/>
              <w:bottom w:val="nil"/>
            </w:tcBorders>
            <w:noWrap/>
          </w:tcPr>
          <w:p w14:paraId="46D03682" w14:textId="200CD0FB" w:rsidR="00DD0D7A" w:rsidRPr="00024EB0" w:rsidRDefault="00DD0D7A" w:rsidP="00DD0D7A">
            <w:pPr>
              <w:pStyle w:val="TableText"/>
              <w:jc w:val="right"/>
            </w:pPr>
            <w:r w:rsidRPr="005B2B27">
              <w:t>$5,126</w:t>
            </w:r>
          </w:p>
        </w:tc>
        <w:tc>
          <w:tcPr>
            <w:tcW w:w="443" w:type="pct"/>
            <w:tcBorders>
              <w:top w:val="nil"/>
              <w:bottom w:val="nil"/>
            </w:tcBorders>
            <w:noWrap/>
          </w:tcPr>
          <w:p w14:paraId="3CC7F10B" w14:textId="26BA018E" w:rsidR="00DD0D7A" w:rsidRPr="00024EB0" w:rsidRDefault="00DD0D7A" w:rsidP="00DD0D7A">
            <w:pPr>
              <w:pStyle w:val="TableText"/>
              <w:jc w:val="right"/>
            </w:pPr>
            <w:r w:rsidRPr="005B2B27">
              <w:t>−32%</w:t>
            </w:r>
          </w:p>
        </w:tc>
      </w:tr>
      <w:tr w:rsidR="00DD0D7A" w:rsidRPr="00024EB0" w14:paraId="613236E1" w14:textId="77777777" w:rsidTr="00DD0D7A">
        <w:trPr>
          <w:trHeight w:val="300"/>
        </w:trPr>
        <w:tc>
          <w:tcPr>
            <w:tcW w:w="2749" w:type="pct"/>
            <w:tcBorders>
              <w:top w:val="nil"/>
              <w:bottom w:val="nil"/>
            </w:tcBorders>
            <w:noWrap/>
            <w:hideMark/>
          </w:tcPr>
          <w:p w14:paraId="3A87C72D" w14:textId="77777777" w:rsidR="00DD0D7A" w:rsidRPr="00024EB0" w:rsidRDefault="00DD0D7A" w:rsidP="00DD0D7A">
            <w:pPr>
              <w:pStyle w:val="TableText"/>
            </w:pPr>
            <w:r>
              <w:t>All DNA then IHC/</w:t>
            </w:r>
            <w:r w:rsidRPr="00024EB0">
              <w:t>FISH testing</w:t>
            </w:r>
          </w:p>
        </w:tc>
        <w:tc>
          <w:tcPr>
            <w:tcW w:w="602" w:type="pct"/>
            <w:tcBorders>
              <w:top w:val="nil"/>
              <w:bottom w:val="nil"/>
            </w:tcBorders>
            <w:noWrap/>
          </w:tcPr>
          <w:p w14:paraId="05F0CD76" w14:textId="48DA6C4B" w:rsidR="00DD0D7A" w:rsidRPr="00024EB0" w:rsidRDefault="00DD0D7A" w:rsidP="00DD0D7A">
            <w:pPr>
              <w:pStyle w:val="TableText"/>
              <w:jc w:val="right"/>
            </w:pPr>
            <w:r w:rsidRPr="005B2B27">
              <w:t>−$162.34</w:t>
            </w:r>
          </w:p>
        </w:tc>
        <w:tc>
          <w:tcPr>
            <w:tcW w:w="603" w:type="pct"/>
            <w:tcBorders>
              <w:top w:val="nil"/>
              <w:bottom w:val="nil"/>
            </w:tcBorders>
            <w:noWrap/>
          </w:tcPr>
          <w:p w14:paraId="0206DF9E" w14:textId="7E794C90" w:rsidR="00DD0D7A" w:rsidRPr="00024EB0" w:rsidRDefault="00DD0D7A" w:rsidP="00DD0D7A">
            <w:pPr>
              <w:pStyle w:val="TableText"/>
              <w:jc w:val="right"/>
            </w:pPr>
            <w:r w:rsidRPr="005B2B27">
              <w:t>0.0173</w:t>
            </w:r>
          </w:p>
        </w:tc>
        <w:tc>
          <w:tcPr>
            <w:tcW w:w="603" w:type="pct"/>
            <w:tcBorders>
              <w:top w:val="nil"/>
              <w:bottom w:val="nil"/>
            </w:tcBorders>
            <w:noWrap/>
          </w:tcPr>
          <w:p w14:paraId="5CBD6945" w14:textId="0E7B2FEB" w:rsidR="00DD0D7A" w:rsidRPr="00024EB0" w:rsidRDefault="00DD0D7A" w:rsidP="00DD0D7A">
            <w:pPr>
              <w:pStyle w:val="TableText"/>
              <w:jc w:val="right"/>
            </w:pPr>
            <w:r w:rsidRPr="005B2B27">
              <w:t>Dominant</w:t>
            </w:r>
          </w:p>
        </w:tc>
        <w:tc>
          <w:tcPr>
            <w:tcW w:w="443" w:type="pct"/>
            <w:tcBorders>
              <w:top w:val="nil"/>
              <w:bottom w:val="nil"/>
            </w:tcBorders>
            <w:noWrap/>
          </w:tcPr>
          <w:p w14:paraId="697C50BC" w14:textId="26EA0ABD" w:rsidR="00DD0D7A" w:rsidRPr="00024EB0" w:rsidRDefault="00DD0D7A" w:rsidP="00DD0D7A">
            <w:pPr>
              <w:pStyle w:val="TableText"/>
              <w:jc w:val="right"/>
            </w:pPr>
            <w:r w:rsidRPr="005B2B27">
              <w:t>−225%</w:t>
            </w:r>
          </w:p>
        </w:tc>
      </w:tr>
      <w:tr w:rsidR="00867283" w:rsidRPr="00024EB0" w14:paraId="5A4EA529" w14:textId="77777777" w:rsidTr="00867283">
        <w:trPr>
          <w:trHeight w:val="300"/>
        </w:trPr>
        <w:tc>
          <w:tcPr>
            <w:tcW w:w="5000" w:type="pct"/>
            <w:gridSpan w:val="5"/>
            <w:tcBorders>
              <w:bottom w:val="single" w:sz="4" w:space="0" w:color="auto"/>
            </w:tcBorders>
            <w:noWrap/>
            <w:hideMark/>
          </w:tcPr>
          <w:p w14:paraId="26565D86" w14:textId="1E4E5B9D" w:rsidR="00867283" w:rsidRPr="00024EB0" w:rsidRDefault="00867283" w:rsidP="00867283">
            <w:pPr>
              <w:pStyle w:val="TableText"/>
            </w:pPr>
            <w:r w:rsidRPr="00024EB0">
              <w:t>Test success</w:t>
            </w:r>
            <w:r>
              <w:t xml:space="preserve"> </w:t>
            </w:r>
            <w:r w:rsidRPr="00024EB0">
              <w:t>(base case: 97.2% for panels, 94.6% for single-gene testing)</w:t>
            </w:r>
          </w:p>
        </w:tc>
      </w:tr>
      <w:tr w:rsidR="00DD0D7A" w:rsidRPr="00024EB0" w14:paraId="7BE1DE21" w14:textId="77777777" w:rsidTr="00DD0D7A">
        <w:trPr>
          <w:trHeight w:val="300"/>
        </w:trPr>
        <w:tc>
          <w:tcPr>
            <w:tcW w:w="2749" w:type="pct"/>
            <w:tcBorders>
              <w:top w:val="nil"/>
              <w:bottom w:val="nil"/>
            </w:tcBorders>
            <w:noWrap/>
            <w:hideMark/>
          </w:tcPr>
          <w:p w14:paraId="1622FAAD" w14:textId="77777777" w:rsidR="00DD0D7A" w:rsidRPr="00024EB0" w:rsidRDefault="00DD0D7A" w:rsidP="00DD0D7A">
            <w:pPr>
              <w:pStyle w:val="TableText"/>
            </w:pPr>
            <w:r w:rsidRPr="00024EB0">
              <w:t>Both strategies 97.2%</w:t>
            </w:r>
          </w:p>
        </w:tc>
        <w:tc>
          <w:tcPr>
            <w:tcW w:w="602" w:type="pct"/>
            <w:tcBorders>
              <w:top w:val="nil"/>
              <w:bottom w:val="nil"/>
            </w:tcBorders>
            <w:noWrap/>
          </w:tcPr>
          <w:p w14:paraId="56F77E16" w14:textId="7BAAA942" w:rsidR="00DD0D7A" w:rsidRPr="00024EB0" w:rsidRDefault="00DD0D7A" w:rsidP="00DD0D7A">
            <w:pPr>
              <w:pStyle w:val="TableText"/>
              <w:jc w:val="right"/>
            </w:pPr>
            <w:r w:rsidRPr="005B2B27">
              <w:t>$273.97</w:t>
            </w:r>
          </w:p>
        </w:tc>
        <w:tc>
          <w:tcPr>
            <w:tcW w:w="603" w:type="pct"/>
            <w:tcBorders>
              <w:top w:val="nil"/>
              <w:bottom w:val="nil"/>
            </w:tcBorders>
            <w:noWrap/>
          </w:tcPr>
          <w:p w14:paraId="6FACF784" w14:textId="5D2C3672" w:rsidR="00DD0D7A" w:rsidRPr="00024EB0" w:rsidRDefault="00DD0D7A" w:rsidP="00DD0D7A">
            <w:pPr>
              <w:pStyle w:val="TableText"/>
              <w:jc w:val="right"/>
            </w:pPr>
            <w:r w:rsidRPr="005B2B27">
              <w:t>0.0216</w:t>
            </w:r>
          </w:p>
        </w:tc>
        <w:tc>
          <w:tcPr>
            <w:tcW w:w="603" w:type="pct"/>
            <w:tcBorders>
              <w:top w:val="nil"/>
              <w:bottom w:val="nil"/>
            </w:tcBorders>
            <w:noWrap/>
          </w:tcPr>
          <w:p w14:paraId="59A087E0" w14:textId="04319BCB" w:rsidR="00DD0D7A" w:rsidRPr="00024EB0" w:rsidRDefault="00DD0D7A" w:rsidP="00DD0D7A">
            <w:pPr>
              <w:pStyle w:val="TableText"/>
              <w:jc w:val="right"/>
            </w:pPr>
            <w:r w:rsidRPr="005B2B27">
              <w:t>$12,662</w:t>
            </w:r>
          </w:p>
        </w:tc>
        <w:tc>
          <w:tcPr>
            <w:tcW w:w="443" w:type="pct"/>
            <w:tcBorders>
              <w:top w:val="nil"/>
              <w:bottom w:val="nil"/>
            </w:tcBorders>
            <w:noWrap/>
          </w:tcPr>
          <w:p w14:paraId="7E897F34" w14:textId="7E326F31" w:rsidR="00DD0D7A" w:rsidRPr="00024EB0" w:rsidRDefault="00DD0D7A" w:rsidP="00DD0D7A">
            <w:pPr>
              <w:pStyle w:val="TableText"/>
              <w:jc w:val="right"/>
            </w:pPr>
            <w:r w:rsidRPr="005B2B27">
              <w:t>69%</w:t>
            </w:r>
          </w:p>
        </w:tc>
      </w:tr>
      <w:tr w:rsidR="00DD0D7A" w:rsidRPr="00024EB0" w14:paraId="57F844DF" w14:textId="77777777" w:rsidTr="00DD0D7A">
        <w:trPr>
          <w:trHeight w:val="300"/>
        </w:trPr>
        <w:tc>
          <w:tcPr>
            <w:tcW w:w="2749" w:type="pct"/>
            <w:tcBorders>
              <w:top w:val="nil"/>
              <w:bottom w:val="nil"/>
            </w:tcBorders>
            <w:noWrap/>
            <w:hideMark/>
          </w:tcPr>
          <w:p w14:paraId="23139C17" w14:textId="77777777" w:rsidR="00DD0D7A" w:rsidRPr="00024EB0" w:rsidRDefault="00DD0D7A" w:rsidP="00DD0D7A">
            <w:pPr>
              <w:pStyle w:val="TableText"/>
            </w:pPr>
            <w:r w:rsidRPr="00917F12">
              <w:t>97.2% for panels</w:t>
            </w:r>
            <w:r>
              <w:t>, 95.9%</w:t>
            </w:r>
            <w:r w:rsidRPr="00916E2F">
              <w:rPr>
                <w:vertAlign w:val="superscript"/>
              </w:rPr>
              <w:t>a</w:t>
            </w:r>
            <w:r>
              <w:t xml:space="preserve"> for single-gene testing</w:t>
            </w:r>
          </w:p>
        </w:tc>
        <w:tc>
          <w:tcPr>
            <w:tcW w:w="602" w:type="pct"/>
            <w:tcBorders>
              <w:top w:val="nil"/>
              <w:bottom w:val="nil"/>
            </w:tcBorders>
            <w:noWrap/>
          </w:tcPr>
          <w:p w14:paraId="4257DAD3" w14:textId="6FE0B0B2" w:rsidR="00DD0D7A" w:rsidRPr="00024EB0" w:rsidRDefault="00DD0D7A" w:rsidP="00DD0D7A">
            <w:pPr>
              <w:pStyle w:val="TableText"/>
              <w:jc w:val="right"/>
            </w:pPr>
            <w:r w:rsidRPr="005B2B27">
              <w:t>$221.50</w:t>
            </w:r>
          </w:p>
        </w:tc>
        <w:tc>
          <w:tcPr>
            <w:tcW w:w="603" w:type="pct"/>
            <w:tcBorders>
              <w:top w:val="nil"/>
              <w:bottom w:val="nil"/>
            </w:tcBorders>
            <w:noWrap/>
          </w:tcPr>
          <w:p w14:paraId="3F729A88" w14:textId="19E78D49" w:rsidR="00DD0D7A" w:rsidRPr="00024EB0" w:rsidRDefault="00DD0D7A" w:rsidP="00DD0D7A">
            <w:pPr>
              <w:pStyle w:val="TableText"/>
              <w:jc w:val="right"/>
            </w:pPr>
            <w:r w:rsidRPr="005B2B27">
              <w:t>0.0221</w:t>
            </w:r>
          </w:p>
        </w:tc>
        <w:tc>
          <w:tcPr>
            <w:tcW w:w="603" w:type="pct"/>
            <w:tcBorders>
              <w:top w:val="nil"/>
              <w:bottom w:val="nil"/>
            </w:tcBorders>
            <w:noWrap/>
          </w:tcPr>
          <w:p w14:paraId="2A9F30FE" w14:textId="6323DD4B" w:rsidR="00DD0D7A" w:rsidRPr="00024EB0" w:rsidRDefault="00DD0D7A" w:rsidP="00DD0D7A">
            <w:pPr>
              <w:pStyle w:val="TableText"/>
              <w:jc w:val="right"/>
            </w:pPr>
            <w:r w:rsidRPr="005B2B27">
              <w:t>$10,026</w:t>
            </w:r>
          </w:p>
        </w:tc>
        <w:tc>
          <w:tcPr>
            <w:tcW w:w="443" w:type="pct"/>
            <w:tcBorders>
              <w:top w:val="nil"/>
              <w:bottom w:val="nil"/>
            </w:tcBorders>
            <w:noWrap/>
          </w:tcPr>
          <w:p w14:paraId="38275518" w14:textId="71ED73CA" w:rsidR="00DD0D7A" w:rsidRPr="00024EB0" w:rsidRDefault="00DD0D7A" w:rsidP="00DD0D7A">
            <w:pPr>
              <w:pStyle w:val="TableText"/>
              <w:jc w:val="right"/>
            </w:pPr>
            <w:r w:rsidRPr="005B2B27">
              <w:t>34%</w:t>
            </w:r>
          </w:p>
        </w:tc>
      </w:tr>
      <w:tr w:rsidR="00DD0D7A" w:rsidRPr="00024EB0" w14:paraId="285F42F0" w14:textId="77777777" w:rsidTr="00DD0D7A">
        <w:trPr>
          <w:trHeight w:val="300"/>
        </w:trPr>
        <w:tc>
          <w:tcPr>
            <w:tcW w:w="2749" w:type="pct"/>
            <w:tcBorders>
              <w:top w:val="nil"/>
              <w:bottom w:val="single" w:sz="4" w:space="0" w:color="auto"/>
            </w:tcBorders>
            <w:noWrap/>
            <w:hideMark/>
          </w:tcPr>
          <w:p w14:paraId="6A76FFF7" w14:textId="77777777" w:rsidR="00DD0D7A" w:rsidRPr="00024EB0" w:rsidRDefault="00DD0D7A" w:rsidP="00DD0D7A">
            <w:pPr>
              <w:pStyle w:val="TableText"/>
            </w:pPr>
            <w:r w:rsidRPr="00917F12">
              <w:t>97.2% for panels</w:t>
            </w:r>
            <w:r>
              <w:t>, 92.0%</w:t>
            </w:r>
            <w:r>
              <w:rPr>
                <w:vertAlign w:val="superscript"/>
              </w:rPr>
              <w:t>b</w:t>
            </w:r>
            <w:r>
              <w:t xml:space="preserve"> for single-gene testing</w:t>
            </w:r>
          </w:p>
        </w:tc>
        <w:tc>
          <w:tcPr>
            <w:tcW w:w="602" w:type="pct"/>
            <w:tcBorders>
              <w:top w:val="nil"/>
              <w:bottom w:val="single" w:sz="4" w:space="0" w:color="auto"/>
            </w:tcBorders>
            <w:noWrap/>
          </w:tcPr>
          <w:p w14:paraId="7246A894" w14:textId="3D7FFBA7" w:rsidR="00DD0D7A" w:rsidRPr="00024EB0" w:rsidRDefault="00DD0D7A" w:rsidP="00DD0D7A">
            <w:pPr>
              <w:pStyle w:val="TableText"/>
              <w:jc w:val="right"/>
            </w:pPr>
            <w:r w:rsidRPr="005B2B27">
              <w:t>$64.07</w:t>
            </w:r>
          </w:p>
        </w:tc>
        <w:tc>
          <w:tcPr>
            <w:tcW w:w="603" w:type="pct"/>
            <w:tcBorders>
              <w:top w:val="nil"/>
              <w:bottom w:val="single" w:sz="4" w:space="0" w:color="auto"/>
            </w:tcBorders>
            <w:noWrap/>
          </w:tcPr>
          <w:p w14:paraId="1BBE2DA7" w14:textId="71E60577" w:rsidR="00DD0D7A" w:rsidRPr="00024EB0" w:rsidRDefault="00DD0D7A" w:rsidP="00DD0D7A">
            <w:pPr>
              <w:pStyle w:val="TableText"/>
              <w:jc w:val="right"/>
            </w:pPr>
            <w:r w:rsidRPr="005B2B27">
              <w:t>0.0235</w:t>
            </w:r>
          </w:p>
        </w:tc>
        <w:tc>
          <w:tcPr>
            <w:tcW w:w="603" w:type="pct"/>
            <w:tcBorders>
              <w:top w:val="nil"/>
              <w:bottom w:val="single" w:sz="4" w:space="0" w:color="auto"/>
            </w:tcBorders>
            <w:noWrap/>
          </w:tcPr>
          <w:p w14:paraId="69EA2B1E" w14:textId="206C913B" w:rsidR="00DD0D7A" w:rsidRPr="00024EB0" w:rsidRDefault="00DD0D7A" w:rsidP="00DD0D7A">
            <w:pPr>
              <w:pStyle w:val="TableText"/>
              <w:jc w:val="right"/>
            </w:pPr>
            <w:r w:rsidRPr="005B2B27">
              <w:t>$2,731</w:t>
            </w:r>
          </w:p>
        </w:tc>
        <w:tc>
          <w:tcPr>
            <w:tcW w:w="443" w:type="pct"/>
            <w:tcBorders>
              <w:top w:val="nil"/>
              <w:bottom w:val="single" w:sz="4" w:space="0" w:color="auto"/>
            </w:tcBorders>
            <w:noWrap/>
          </w:tcPr>
          <w:p w14:paraId="57851ABA" w14:textId="000C4699" w:rsidR="00DD0D7A" w:rsidRPr="00024EB0" w:rsidRDefault="00DD0D7A" w:rsidP="00DD0D7A">
            <w:pPr>
              <w:pStyle w:val="TableText"/>
              <w:jc w:val="right"/>
            </w:pPr>
            <w:r w:rsidRPr="005B2B27">
              <w:t>−64%</w:t>
            </w:r>
          </w:p>
        </w:tc>
      </w:tr>
      <w:tr w:rsidR="00867283" w:rsidRPr="00024EB0" w14:paraId="7F3F43EC" w14:textId="77777777" w:rsidTr="00867283">
        <w:trPr>
          <w:trHeight w:val="300"/>
        </w:trPr>
        <w:tc>
          <w:tcPr>
            <w:tcW w:w="5000" w:type="pct"/>
            <w:gridSpan w:val="5"/>
            <w:tcBorders>
              <w:top w:val="single" w:sz="4" w:space="0" w:color="auto"/>
              <w:bottom w:val="single" w:sz="4" w:space="0" w:color="auto"/>
            </w:tcBorders>
            <w:noWrap/>
          </w:tcPr>
          <w:p w14:paraId="58CE5928" w14:textId="07A145F8" w:rsidR="00867283" w:rsidRPr="00917F12" w:rsidRDefault="00867283" w:rsidP="00867283">
            <w:pPr>
              <w:pStyle w:val="TableText"/>
            </w:pPr>
            <w:r w:rsidRPr="00DB3E00">
              <w:rPr>
                <w:i/>
              </w:rPr>
              <w:t xml:space="preserve">ALK </w:t>
            </w:r>
            <w:r>
              <w:t xml:space="preserve">small gene panel </w:t>
            </w:r>
            <w:r w:rsidRPr="00024EB0">
              <w:t>concordan</w:t>
            </w:r>
            <w:r>
              <w:t xml:space="preserve">ce (base case: vs clinical utility standard, </w:t>
            </w:r>
            <w:r w:rsidRPr="00024EB0">
              <w:t>FISH</w:t>
            </w:r>
            <w:r>
              <w:t xml:space="preserve"> ≥15% positivity</w:t>
            </w:r>
            <w:r w:rsidRPr="00024EB0">
              <w:t>)</w:t>
            </w:r>
          </w:p>
        </w:tc>
      </w:tr>
      <w:tr w:rsidR="00DD0D7A" w:rsidRPr="00024EB0" w14:paraId="7DF119ED" w14:textId="77777777" w:rsidTr="00DD0D7A">
        <w:trPr>
          <w:trHeight w:val="300"/>
        </w:trPr>
        <w:tc>
          <w:tcPr>
            <w:tcW w:w="2749" w:type="pct"/>
            <w:tcBorders>
              <w:bottom w:val="nil"/>
            </w:tcBorders>
            <w:noWrap/>
            <w:hideMark/>
          </w:tcPr>
          <w:p w14:paraId="6997C435" w14:textId="0D763E99" w:rsidR="00DD0D7A" w:rsidRPr="00024EB0" w:rsidRDefault="00DD0D7A" w:rsidP="00DD0D7A">
            <w:pPr>
              <w:pStyle w:val="TableText"/>
            </w:pPr>
            <w:r w:rsidRPr="00DB3E00">
              <w:rPr>
                <w:i/>
              </w:rPr>
              <w:t xml:space="preserve">ALK </w:t>
            </w:r>
            <w:r>
              <w:t xml:space="preserve">small gene panel </w:t>
            </w:r>
            <w:r w:rsidRPr="00024EB0">
              <w:t>concordan</w:t>
            </w:r>
            <w:r>
              <w:t xml:space="preserve">ce vs FISH ± IHC </w:t>
            </w:r>
            <w:r w:rsidRPr="002E183D">
              <w:rPr>
                <w:b/>
              </w:rPr>
              <w:t>#1</w:t>
            </w:r>
          </w:p>
        </w:tc>
        <w:tc>
          <w:tcPr>
            <w:tcW w:w="602" w:type="pct"/>
            <w:tcBorders>
              <w:bottom w:val="nil"/>
            </w:tcBorders>
            <w:noWrap/>
          </w:tcPr>
          <w:p w14:paraId="7E4F08FB" w14:textId="71FD1DF7" w:rsidR="00DD0D7A" w:rsidRPr="00024EB0" w:rsidRDefault="00DD0D7A" w:rsidP="00DD0D7A">
            <w:pPr>
              <w:pStyle w:val="TableText"/>
              <w:jc w:val="right"/>
            </w:pPr>
            <w:r w:rsidRPr="005B2B27">
              <w:t>$168.99</w:t>
            </w:r>
          </w:p>
        </w:tc>
        <w:tc>
          <w:tcPr>
            <w:tcW w:w="603" w:type="pct"/>
            <w:tcBorders>
              <w:bottom w:val="nil"/>
            </w:tcBorders>
            <w:noWrap/>
          </w:tcPr>
          <w:p w14:paraId="39187C52" w14:textId="16738A64" w:rsidR="00DD0D7A" w:rsidRPr="00024EB0" w:rsidRDefault="00DD0D7A" w:rsidP="00DD0D7A">
            <w:pPr>
              <w:pStyle w:val="TableText"/>
              <w:jc w:val="right"/>
            </w:pPr>
            <w:r w:rsidRPr="005B2B27">
              <w:t>0.0219</w:t>
            </w:r>
          </w:p>
        </w:tc>
        <w:tc>
          <w:tcPr>
            <w:tcW w:w="603" w:type="pct"/>
            <w:tcBorders>
              <w:bottom w:val="nil"/>
            </w:tcBorders>
            <w:noWrap/>
          </w:tcPr>
          <w:p w14:paraId="7B66286F" w14:textId="6990D09A" w:rsidR="00DD0D7A" w:rsidRPr="00024EB0" w:rsidRDefault="00DD0D7A" w:rsidP="00DD0D7A">
            <w:pPr>
              <w:pStyle w:val="TableText"/>
              <w:jc w:val="right"/>
            </w:pPr>
            <w:r w:rsidRPr="005B2B27">
              <w:t>$7,730</w:t>
            </w:r>
          </w:p>
        </w:tc>
        <w:tc>
          <w:tcPr>
            <w:tcW w:w="443" w:type="pct"/>
            <w:tcBorders>
              <w:bottom w:val="nil"/>
            </w:tcBorders>
            <w:noWrap/>
          </w:tcPr>
          <w:p w14:paraId="192A1194" w14:textId="739F9F93" w:rsidR="00DD0D7A" w:rsidRPr="00024EB0" w:rsidRDefault="00DD0D7A" w:rsidP="00DD0D7A">
            <w:pPr>
              <w:pStyle w:val="TableText"/>
              <w:jc w:val="right"/>
            </w:pPr>
            <w:r w:rsidRPr="005B2B27">
              <w:t>3%</w:t>
            </w:r>
          </w:p>
        </w:tc>
      </w:tr>
      <w:tr w:rsidR="00DD0D7A" w:rsidRPr="00024EB0" w14:paraId="0F2163BA" w14:textId="77777777" w:rsidTr="00DD0D7A">
        <w:trPr>
          <w:trHeight w:val="300"/>
        </w:trPr>
        <w:tc>
          <w:tcPr>
            <w:tcW w:w="2749" w:type="pct"/>
            <w:tcBorders>
              <w:top w:val="nil"/>
              <w:bottom w:val="single" w:sz="4" w:space="0" w:color="auto"/>
            </w:tcBorders>
            <w:noWrap/>
          </w:tcPr>
          <w:p w14:paraId="41AE0BA1" w14:textId="0BFCA205" w:rsidR="00DD0D7A" w:rsidRPr="00DB3E00" w:rsidRDefault="00DD0D7A" w:rsidP="00DD0D7A">
            <w:pPr>
              <w:pStyle w:val="TableText"/>
              <w:rPr>
                <w:i/>
              </w:rPr>
            </w:pPr>
            <w:r w:rsidRPr="00DB3E00">
              <w:rPr>
                <w:i/>
              </w:rPr>
              <w:t xml:space="preserve">ALK </w:t>
            </w:r>
            <w:r>
              <w:t xml:space="preserve">small gene panel </w:t>
            </w:r>
            <w:r w:rsidRPr="00024EB0">
              <w:t>concordan</w:t>
            </w:r>
            <w:r>
              <w:t>ce vs FISH</w:t>
            </w:r>
          </w:p>
        </w:tc>
        <w:tc>
          <w:tcPr>
            <w:tcW w:w="602" w:type="pct"/>
            <w:tcBorders>
              <w:top w:val="nil"/>
              <w:bottom w:val="single" w:sz="4" w:space="0" w:color="auto"/>
            </w:tcBorders>
            <w:noWrap/>
          </w:tcPr>
          <w:p w14:paraId="4D01035E" w14:textId="4DB9BF5D" w:rsidR="00DD0D7A" w:rsidRPr="00024EB0" w:rsidRDefault="00DD0D7A" w:rsidP="00DD0D7A">
            <w:pPr>
              <w:pStyle w:val="TableText"/>
              <w:jc w:val="right"/>
            </w:pPr>
            <w:r w:rsidRPr="005B2B27">
              <w:t>$169.00</w:t>
            </w:r>
          </w:p>
        </w:tc>
        <w:tc>
          <w:tcPr>
            <w:tcW w:w="603" w:type="pct"/>
            <w:tcBorders>
              <w:top w:val="nil"/>
              <w:bottom w:val="single" w:sz="4" w:space="0" w:color="auto"/>
            </w:tcBorders>
            <w:noWrap/>
          </w:tcPr>
          <w:p w14:paraId="3AEB0BDC" w14:textId="69EF4174" w:rsidR="00DD0D7A" w:rsidRPr="00024EB0" w:rsidRDefault="00DD0D7A" w:rsidP="00DD0D7A">
            <w:pPr>
              <w:pStyle w:val="TableText"/>
              <w:jc w:val="right"/>
            </w:pPr>
            <w:r w:rsidRPr="005B2B27">
              <w:t>0.0360</w:t>
            </w:r>
          </w:p>
        </w:tc>
        <w:tc>
          <w:tcPr>
            <w:tcW w:w="603" w:type="pct"/>
            <w:tcBorders>
              <w:top w:val="nil"/>
              <w:bottom w:val="single" w:sz="4" w:space="0" w:color="auto"/>
            </w:tcBorders>
            <w:noWrap/>
          </w:tcPr>
          <w:p w14:paraId="6632C12C" w14:textId="1AAEE3D9" w:rsidR="00DD0D7A" w:rsidRPr="00024EB0" w:rsidRDefault="00DD0D7A" w:rsidP="00DD0D7A">
            <w:pPr>
              <w:pStyle w:val="TableText"/>
              <w:jc w:val="right"/>
            </w:pPr>
            <w:r w:rsidRPr="005B2B27">
              <w:t>$4,697</w:t>
            </w:r>
          </w:p>
        </w:tc>
        <w:tc>
          <w:tcPr>
            <w:tcW w:w="443" w:type="pct"/>
            <w:tcBorders>
              <w:top w:val="nil"/>
              <w:bottom w:val="single" w:sz="4" w:space="0" w:color="auto"/>
            </w:tcBorders>
            <w:noWrap/>
          </w:tcPr>
          <w:p w14:paraId="4429B569" w14:textId="4267B41A" w:rsidR="00DD0D7A" w:rsidRPr="00024EB0" w:rsidRDefault="00DD0D7A" w:rsidP="00DD0D7A">
            <w:pPr>
              <w:pStyle w:val="TableText"/>
              <w:jc w:val="right"/>
            </w:pPr>
            <w:r w:rsidRPr="005B2B27">
              <w:t>−37%</w:t>
            </w:r>
          </w:p>
        </w:tc>
      </w:tr>
      <w:tr w:rsidR="00DD0D7A" w:rsidRPr="00024EB0" w14:paraId="300C9323" w14:textId="77777777" w:rsidTr="00DD0D7A">
        <w:trPr>
          <w:trHeight w:val="300"/>
        </w:trPr>
        <w:tc>
          <w:tcPr>
            <w:tcW w:w="2749" w:type="pct"/>
            <w:tcBorders>
              <w:bottom w:val="single" w:sz="4" w:space="0" w:color="auto"/>
              <w:right w:val="nil"/>
            </w:tcBorders>
            <w:noWrap/>
            <w:hideMark/>
          </w:tcPr>
          <w:p w14:paraId="257C9E06" w14:textId="77777777" w:rsidR="00DD0D7A" w:rsidRPr="00024EB0" w:rsidRDefault="00DD0D7A" w:rsidP="00DD0D7A">
            <w:pPr>
              <w:pStyle w:val="TableText"/>
            </w:pPr>
            <w:r w:rsidRPr="00024EB0">
              <w:t>Small panel concordance</w:t>
            </w:r>
          </w:p>
        </w:tc>
        <w:tc>
          <w:tcPr>
            <w:tcW w:w="602" w:type="pct"/>
            <w:tcBorders>
              <w:left w:val="nil"/>
              <w:bottom w:val="single" w:sz="4" w:space="0" w:color="auto"/>
              <w:right w:val="nil"/>
            </w:tcBorders>
            <w:noWrap/>
          </w:tcPr>
          <w:p w14:paraId="38C708A6"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46A3922F"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0C2BF2AA" w14:textId="77777777" w:rsidR="00DD0D7A" w:rsidRPr="00024EB0" w:rsidRDefault="00DD0D7A" w:rsidP="00DD0D7A">
            <w:pPr>
              <w:pStyle w:val="TableText"/>
              <w:jc w:val="right"/>
            </w:pPr>
          </w:p>
        </w:tc>
        <w:tc>
          <w:tcPr>
            <w:tcW w:w="443" w:type="pct"/>
            <w:tcBorders>
              <w:left w:val="nil"/>
              <w:bottom w:val="single" w:sz="4" w:space="0" w:color="auto"/>
            </w:tcBorders>
            <w:noWrap/>
          </w:tcPr>
          <w:p w14:paraId="0D091237" w14:textId="77777777" w:rsidR="00DD0D7A" w:rsidRPr="00024EB0" w:rsidRDefault="00DD0D7A" w:rsidP="00DD0D7A">
            <w:pPr>
              <w:pStyle w:val="TableText"/>
              <w:jc w:val="right"/>
            </w:pPr>
          </w:p>
        </w:tc>
      </w:tr>
      <w:tr w:rsidR="00DD0D7A" w:rsidRPr="00024EB0" w14:paraId="520CA7AF" w14:textId="77777777" w:rsidTr="00DD0D7A">
        <w:trPr>
          <w:trHeight w:val="300"/>
        </w:trPr>
        <w:tc>
          <w:tcPr>
            <w:tcW w:w="2749" w:type="pct"/>
            <w:tcBorders>
              <w:bottom w:val="nil"/>
            </w:tcBorders>
            <w:noWrap/>
            <w:hideMark/>
          </w:tcPr>
          <w:p w14:paraId="6D75604E" w14:textId="32768F3F" w:rsidR="00DD0D7A" w:rsidRPr="00024EB0" w:rsidRDefault="00DD0D7A" w:rsidP="00DD0D7A">
            <w:pPr>
              <w:pStyle w:val="TableText"/>
            </w:pPr>
            <w:r w:rsidRPr="00DB3E00">
              <w:rPr>
                <w:i/>
              </w:rPr>
              <w:t xml:space="preserve">ALK </w:t>
            </w:r>
            <w:r w:rsidRPr="00024EB0">
              <w:t>NPA, 0.</w:t>
            </w:r>
            <w:r>
              <w:t>97</w:t>
            </w:r>
            <w:r w:rsidRPr="00024EB0">
              <w:t xml:space="preserve"> (base case: 0.9</w:t>
            </w:r>
            <w:r>
              <w:t>9</w:t>
            </w:r>
            <w:r w:rsidRPr="00024EB0">
              <w:t>)</w:t>
            </w:r>
          </w:p>
        </w:tc>
        <w:tc>
          <w:tcPr>
            <w:tcW w:w="602" w:type="pct"/>
            <w:tcBorders>
              <w:bottom w:val="nil"/>
            </w:tcBorders>
            <w:noWrap/>
          </w:tcPr>
          <w:p w14:paraId="4AFC9230" w14:textId="1F753319" w:rsidR="00DD0D7A" w:rsidRPr="00024EB0" w:rsidRDefault="00DD0D7A" w:rsidP="00DD0D7A">
            <w:pPr>
              <w:pStyle w:val="TableText"/>
              <w:jc w:val="right"/>
            </w:pPr>
            <w:r w:rsidRPr="005B2B27">
              <w:t>$169.02</w:t>
            </w:r>
          </w:p>
        </w:tc>
        <w:tc>
          <w:tcPr>
            <w:tcW w:w="603" w:type="pct"/>
            <w:tcBorders>
              <w:bottom w:val="nil"/>
            </w:tcBorders>
            <w:noWrap/>
          </w:tcPr>
          <w:p w14:paraId="56810D09" w14:textId="6E35FDE7" w:rsidR="00DD0D7A" w:rsidRPr="00024EB0" w:rsidRDefault="00DD0D7A" w:rsidP="00DD0D7A">
            <w:pPr>
              <w:pStyle w:val="TableText"/>
              <w:jc w:val="right"/>
            </w:pPr>
            <w:r w:rsidRPr="005B2B27">
              <w:t>0.0375</w:t>
            </w:r>
          </w:p>
        </w:tc>
        <w:tc>
          <w:tcPr>
            <w:tcW w:w="603" w:type="pct"/>
            <w:tcBorders>
              <w:bottom w:val="nil"/>
            </w:tcBorders>
            <w:noWrap/>
          </w:tcPr>
          <w:p w14:paraId="2FDDE4B1" w14:textId="285A6D1F" w:rsidR="00DD0D7A" w:rsidRPr="00024EB0" w:rsidRDefault="00DD0D7A" w:rsidP="00DD0D7A">
            <w:pPr>
              <w:pStyle w:val="TableText"/>
              <w:jc w:val="right"/>
            </w:pPr>
            <w:r w:rsidRPr="005B2B27">
              <w:t>$4,509</w:t>
            </w:r>
          </w:p>
        </w:tc>
        <w:tc>
          <w:tcPr>
            <w:tcW w:w="443" w:type="pct"/>
            <w:tcBorders>
              <w:bottom w:val="nil"/>
            </w:tcBorders>
            <w:noWrap/>
          </w:tcPr>
          <w:p w14:paraId="6E9B2CA5" w14:textId="30190ED0" w:rsidR="00DD0D7A" w:rsidRPr="00024EB0" w:rsidRDefault="00DD0D7A" w:rsidP="00DD0D7A">
            <w:pPr>
              <w:pStyle w:val="TableText"/>
              <w:jc w:val="right"/>
            </w:pPr>
            <w:r w:rsidRPr="005B2B27">
              <w:t>−40%</w:t>
            </w:r>
          </w:p>
        </w:tc>
      </w:tr>
      <w:tr w:rsidR="00DD0D7A" w:rsidRPr="00024EB0" w14:paraId="666F89DC" w14:textId="77777777" w:rsidTr="00DD0D7A">
        <w:trPr>
          <w:trHeight w:val="300"/>
        </w:trPr>
        <w:tc>
          <w:tcPr>
            <w:tcW w:w="2749" w:type="pct"/>
            <w:tcBorders>
              <w:top w:val="nil"/>
              <w:bottom w:val="single" w:sz="4" w:space="0" w:color="auto"/>
            </w:tcBorders>
            <w:noWrap/>
            <w:hideMark/>
          </w:tcPr>
          <w:p w14:paraId="4A89B439" w14:textId="0962412D" w:rsidR="00DD0D7A" w:rsidRPr="00024EB0" w:rsidRDefault="00DD0D7A" w:rsidP="00DD0D7A">
            <w:pPr>
              <w:pStyle w:val="TableText"/>
            </w:pPr>
            <w:r w:rsidRPr="00DB3E00">
              <w:rPr>
                <w:i/>
              </w:rPr>
              <w:t xml:space="preserve">ALK </w:t>
            </w:r>
            <w:r w:rsidRPr="00024EB0">
              <w:t>NPA, 1.00 (base case: 0.9</w:t>
            </w:r>
            <w:r>
              <w:t>9</w:t>
            </w:r>
            <w:r w:rsidRPr="00024EB0">
              <w:t>)</w:t>
            </w:r>
          </w:p>
        </w:tc>
        <w:tc>
          <w:tcPr>
            <w:tcW w:w="602" w:type="pct"/>
            <w:tcBorders>
              <w:top w:val="nil"/>
              <w:bottom w:val="single" w:sz="4" w:space="0" w:color="auto"/>
            </w:tcBorders>
            <w:noWrap/>
          </w:tcPr>
          <w:p w14:paraId="1FD3CBC5" w14:textId="4C59FF27" w:rsidR="00DD0D7A" w:rsidRPr="00024EB0" w:rsidRDefault="00DD0D7A" w:rsidP="00DD0D7A">
            <w:pPr>
              <w:pStyle w:val="TableText"/>
              <w:jc w:val="right"/>
            </w:pPr>
            <w:r w:rsidRPr="005B2B27">
              <w:t>$169.02</w:t>
            </w:r>
          </w:p>
        </w:tc>
        <w:tc>
          <w:tcPr>
            <w:tcW w:w="603" w:type="pct"/>
            <w:tcBorders>
              <w:top w:val="nil"/>
              <w:bottom w:val="single" w:sz="4" w:space="0" w:color="auto"/>
            </w:tcBorders>
            <w:noWrap/>
          </w:tcPr>
          <w:p w14:paraId="1B3D0EF9" w14:textId="339E60D9" w:rsidR="00DD0D7A" w:rsidRPr="00024EB0" w:rsidRDefault="00DD0D7A" w:rsidP="00DD0D7A">
            <w:pPr>
              <w:pStyle w:val="TableText"/>
              <w:jc w:val="right"/>
            </w:pPr>
            <w:r w:rsidRPr="005B2B27">
              <w:t>0.0166</w:t>
            </w:r>
          </w:p>
        </w:tc>
        <w:tc>
          <w:tcPr>
            <w:tcW w:w="603" w:type="pct"/>
            <w:tcBorders>
              <w:top w:val="nil"/>
              <w:bottom w:val="single" w:sz="4" w:space="0" w:color="auto"/>
            </w:tcBorders>
            <w:noWrap/>
          </w:tcPr>
          <w:p w14:paraId="10742819" w14:textId="5DF62AF7" w:rsidR="00DD0D7A" w:rsidRPr="00024EB0" w:rsidRDefault="00DD0D7A" w:rsidP="00DD0D7A">
            <w:pPr>
              <w:pStyle w:val="TableText"/>
              <w:jc w:val="right"/>
            </w:pPr>
            <w:r w:rsidRPr="005B2B27">
              <w:t>$10,162</w:t>
            </w:r>
          </w:p>
        </w:tc>
        <w:tc>
          <w:tcPr>
            <w:tcW w:w="443" w:type="pct"/>
            <w:tcBorders>
              <w:top w:val="nil"/>
              <w:bottom w:val="single" w:sz="4" w:space="0" w:color="auto"/>
            </w:tcBorders>
            <w:noWrap/>
          </w:tcPr>
          <w:p w14:paraId="5332FF0D" w14:textId="47DB202B" w:rsidR="00DD0D7A" w:rsidRPr="00024EB0" w:rsidRDefault="00DD0D7A" w:rsidP="00DD0D7A">
            <w:pPr>
              <w:pStyle w:val="TableText"/>
              <w:jc w:val="right"/>
            </w:pPr>
            <w:r w:rsidRPr="005B2B27">
              <w:t>36%</w:t>
            </w:r>
          </w:p>
        </w:tc>
      </w:tr>
      <w:tr w:rsidR="00DD0D7A" w:rsidRPr="00024EB0" w14:paraId="539AB10A" w14:textId="77777777" w:rsidTr="00096611">
        <w:trPr>
          <w:trHeight w:val="300"/>
        </w:trPr>
        <w:tc>
          <w:tcPr>
            <w:tcW w:w="2749" w:type="pct"/>
            <w:tcBorders>
              <w:top w:val="nil"/>
              <w:bottom w:val="single" w:sz="4" w:space="0" w:color="auto"/>
            </w:tcBorders>
            <w:noWrap/>
          </w:tcPr>
          <w:p w14:paraId="085057A1" w14:textId="2A3F376D" w:rsidR="00DD0D7A" w:rsidRPr="00DD0D7A" w:rsidRDefault="00DD0D7A" w:rsidP="00DD0D7A">
            <w:pPr>
              <w:pStyle w:val="TableText"/>
            </w:pPr>
            <w:r>
              <w:rPr>
                <w:i/>
              </w:rPr>
              <w:t xml:space="preserve">ALK </w:t>
            </w:r>
            <w:r>
              <w:t>PPA, 0.48 (base case: 1.00)</w:t>
            </w:r>
          </w:p>
        </w:tc>
        <w:tc>
          <w:tcPr>
            <w:tcW w:w="602" w:type="pct"/>
            <w:tcBorders>
              <w:top w:val="nil"/>
              <w:bottom w:val="single" w:sz="4" w:space="0" w:color="auto"/>
            </w:tcBorders>
            <w:noWrap/>
          </w:tcPr>
          <w:p w14:paraId="0D3E6FB7" w14:textId="3C6DF4AD" w:rsidR="00DD0D7A" w:rsidRPr="00024EB0" w:rsidRDefault="00DD0D7A" w:rsidP="00DD0D7A">
            <w:pPr>
              <w:pStyle w:val="TableText"/>
              <w:jc w:val="right"/>
            </w:pPr>
            <w:r w:rsidRPr="005B2B27">
              <w:t>$168.81</w:t>
            </w:r>
          </w:p>
        </w:tc>
        <w:tc>
          <w:tcPr>
            <w:tcW w:w="603" w:type="pct"/>
            <w:tcBorders>
              <w:top w:val="nil"/>
              <w:bottom w:val="single" w:sz="4" w:space="0" w:color="auto"/>
            </w:tcBorders>
            <w:noWrap/>
          </w:tcPr>
          <w:p w14:paraId="2F508A1C" w14:textId="61506FA1" w:rsidR="00DD0D7A" w:rsidRPr="00024EB0" w:rsidRDefault="00DD0D7A" w:rsidP="00DD0D7A">
            <w:pPr>
              <w:pStyle w:val="TableText"/>
              <w:jc w:val="right"/>
            </w:pPr>
            <w:r w:rsidRPr="005B2B27">
              <w:t>0.0114</w:t>
            </w:r>
          </w:p>
        </w:tc>
        <w:tc>
          <w:tcPr>
            <w:tcW w:w="603" w:type="pct"/>
            <w:tcBorders>
              <w:top w:val="nil"/>
              <w:bottom w:val="single" w:sz="4" w:space="0" w:color="auto"/>
            </w:tcBorders>
            <w:noWrap/>
          </w:tcPr>
          <w:p w14:paraId="3FCF2AB7" w14:textId="65D76B12" w:rsidR="00DD0D7A" w:rsidRPr="00024EB0" w:rsidRDefault="00DD0D7A" w:rsidP="00DD0D7A">
            <w:pPr>
              <w:pStyle w:val="TableText"/>
              <w:jc w:val="right"/>
            </w:pPr>
            <w:r w:rsidRPr="005B2B27">
              <w:t>$14,848</w:t>
            </w:r>
          </w:p>
        </w:tc>
        <w:tc>
          <w:tcPr>
            <w:tcW w:w="443" w:type="pct"/>
            <w:tcBorders>
              <w:top w:val="nil"/>
              <w:bottom w:val="single" w:sz="4" w:space="0" w:color="auto"/>
            </w:tcBorders>
            <w:noWrap/>
          </w:tcPr>
          <w:p w14:paraId="09A68075" w14:textId="14338DD9" w:rsidR="00DD0D7A" w:rsidRPr="00024EB0" w:rsidRDefault="00DD0D7A" w:rsidP="00DD0D7A">
            <w:pPr>
              <w:pStyle w:val="TableText"/>
              <w:jc w:val="right"/>
            </w:pPr>
            <w:r w:rsidRPr="005B2B27">
              <w:t>98%</w:t>
            </w:r>
          </w:p>
        </w:tc>
      </w:tr>
      <w:tr w:rsidR="00DD0D7A" w:rsidRPr="00024EB0" w14:paraId="2E9D6386" w14:textId="77777777" w:rsidTr="00DD0D7A">
        <w:trPr>
          <w:trHeight w:val="300"/>
        </w:trPr>
        <w:tc>
          <w:tcPr>
            <w:tcW w:w="2749" w:type="pct"/>
            <w:tcBorders>
              <w:bottom w:val="nil"/>
            </w:tcBorders>
            <w:noWrap/>
            <w:hideMark/>
          </w:tcPr>
          <w:p w14:paraId="6008AB97" w14:textId="77777777" w:rsidR="00DD0D7A" w:rsidRPr="00024EB0" w:rsidRDefault="00DD0D7A" w:rsidP="00DD0D7A">
            <w:pPr>
              <w:pStyle w:val="TableText"/>
            </w:pPr>
            <w:r w:rsidRPr="00DB3E00">
              <w:rPr>
                <w:i/>
              </w:rPr>
              <w:t xml:space="preserve">EGFR </w:t>
            </w:r>
            <w:r w:rsidRPr="00024EB0">
              <w:t>NPA, 0.95 (base case: 0.97)</w:t>
            </w:r>
          </w:p>
        </w:tc>
        <w:tc>
          <w:tcPr>
            <w:tcW w:w="602" w:type="pct"/>
            <w:tcBorders>
              <w:bottom w:val="nil"/>
            </w:tcBorders>
            <w:noWrap/>
          </w:tcPr>
          <w:p w14:paraId="47ABA48F" w14:textId="18D57E6C" w:rsidR="00DD0D7A" w:rsidRPr="00024EB0" w:rsidRDefault="00DD0D7A" w:rsidP="00DD0D7A">
            <w:pPr>
              <w:pStyle w:val="TableText"/>
              <w:jc w:val="right"/>
            </w:pPr>
            <w:r w:rsidRPr="005B2B27">
              <w:t>$161.36</w:t>
            </w:r>
          </w:p>
        </w:tc>
        <w:tc>
          <w:tcPr>
            <w:tcW w:w="603" w:type="pct"/>
            <w:tcBorders>
              <w:bottom w:val="nil"/>
            </w:tcBorders>
            <w:noWrap/>
          </w:tcPr>
          <w:p w14:paraId="1ED4E096" w14:textId="515FBEBD" w:rsidR="00DD0D7A" w:rsidRPr="00024EB0" w:rsidRDefault="00DD0D7A" w:rsidP="00DD0D7A">
            <w:pPr>
              <w:pStyle w:val="TableText"/>
              <w:jc w:val="right"/>
            </w:pPr>
            <w:r w:rsidRPr="005B2B27">
              <w:t>0.0354</w:t>
            </w:r>
          </w:p>
        </w:tc>
        <w:tc>
          <w:tcPr>
            <w:tcW w:w="603" w:type="pct"/>
            <w:tcBorders>
              <w:bottom w:val="nil"/>
            </w:tcBorders>
            <w:noWrap/>
          </w:tcPr>
          <w:p w14:paraId="67B89DC7" w14:textId="612539C4" w:rsidR="00DD0D7A" w:rsidRPr="00024EB0" w:rsidRDefault="00DD0D7A" w:rsidP="00DD0D7A">
            <w:pPr>
              <w:pStyle w:val="TableText"/>
              <w:jc w:val="right"/>
            </w:pPr>
            <w:r w:rsidRPr="005B2B27">
              <w:t>$4,562</w:t>
            </w:r>
          </w:p>
        </w:tc>
        <w:tc>
          <w:tcPr>
            <w:tcW w:w="443" w:type="pct"/>
            <w:tcBorders>
              <w:bottom w:val="nil"/>
            </w:tcBorders>
            <w:noWrap/>
          </w:tcPr>
          <w:p w14:paraId="3089B97B" w14:textId="6C25FDA0" w:rsidR="00DD0D7A" w:rsidRPr="00024EB0" w:rsidRDefault="00DD0D7A" w:rsidP="00DD0D7A">
            <w:pPr>
              <w:pStyle w:val="TableText"/>
              <w:jc w:val="right"/>
            </w:pPr>
            <w:r w:rsidRPr="005B2B27">
              <w:t>−39%</w:t>
            </w:r>
          </w:p>
        </w:tc>
      </w:tr>
      <w:tr w:rsidR="00DD0D7A" w:rsidRPr="00024EB0" w14:paraId="5A67F0E2" w14:textId="77777777" w:rsidTr="00DD0D7A">
        <w:trPr>
          <w:trHeight w:val="300"/>
        </w:trPr>
        <w:tc>
          <w:tcPr>
            <w:tcW w:w="2749" w:type="pct"/>
            <w:tcBorders>
              <w:top w:val="nil"/>
              <w:bottom w:val="single" w:sz="4" w:space="0" w:color="auto"/>
            </w:tcBorders>
            <w:noWrap/>
            <w:hideMark/>
          </w:tcPr>
          <w:p w14:paraId="66FFDC3A" w14:textId="77777777" w:rsidR="00DD0D7A" w:rsidRPr="00024EB0" w:rsidRDefault="00DD0D7A" w:rsidP="00DD0D7A">
            <w:pPr>
              <w:pStyle w:val="TableText"/>
            </w:pPr>
            <w:r w:rsidRPr="00DB3E00">
              <w:rPr>
                <w:i/>
              </w:rPr>
              <w:t xml:space="preserve">EGFR </w:t>
            </w:r>
            <w:r w:rsidRPr="00024EB0">
              <w:t>NPA, 0.99 (base case: 0.97)</w:t>
            </w:r>
          </w:p>
        </w:tc>
        <w:tc>
          <w:tcPr>
            <w:tcW w:w="602" w:type="pct"/>
            <w:tcBorders>
              <w:top w:val="nil"/>
              <w:bottom w:val="single" w:sz="4" w:space="0" w:color="auto"/>
            </w:tcBorders>
            <w:noWrap/>
          </w:tcPr>
          <w:p w14:paraId="00B08107" w14:textId="087FD2C6" w:rsidR="00DD0D7A" w:rsidRPr="00024EB0" w:rsidRDefault="00DD0D7A" w:rsidP="00DD0D7A">
            <w:pPr>
              <w:pStyle w:val="TableText"/>
              <w:jc w:val="right"/>
            </w:pPr>
            <w:r w:rsidRPr="005B2B27">
              <w:t>$176.69</w:t>
            </w:r>
          </w:p>
        </w:tc>
        <w:tc>
          <w:tcPr>
            <w:tcW w:w="603" w:type="pct"/>
            <w:tcBorders>
              <w:top w:val="nil"/>
              <w:bottom w:val="single" w:sz="4" w:space="0" w:color="auto"/>
            </w:tcBorders>
            <w:noWrap/>
          </w:tcPr>
          <w:p w14:paraId="0E52A8DC" w14:textId="2AC59BEC" w:rsidR="00DD0D7A" w:rsidRPr="00024EB0" w:rsidRDefault="00DD0D7A" w:rsidP="00DD0D7A">
            <w:pPr>
              <w:pStyle w:val="TableText"/>
              <w:jc w:val="right"/>
            </w:pPr>
            <w:r w:rsidRPr="005B2B27">
              <w:t>0.0097</w:t>
            </w:r>
          </w:p>
        </w:tc>
        <w:tc>
          <w:tcPr>
            <w:tcW w:w="603" w:type="pct"/>
            <w:tcBorders>
              <w:top w:val="nil"/>
              <w:bottom w:val="single" w:sz="4" w:space="0" w:color="auto"/>
            </w:tcBorders>
            <w:noWrap/>
          </w:tcPr>
          <w:p w14:paraId="1424C60F" w14:textId="79FB63BB" w:rsidR="00DD0D7A" w:rsidRPr="00024EB0" w:rsidRDefault="00DD0D7A" w:rsidP="00DD0D7A">
            <w:pPr>
              <w:pStyle w:val="TableText"/>
              <w:jc w:val="right"/>
            </w:pPr>
            <w:r w:rsidRPr="005B2B27">
              <w:t>$18,168</w:t>
            </w:r>
          </w:p>
        </w:tc>
        <w:tc>
          <w:tcPr>
            <w:tcW w:w="443" w:type="pct"/>
            <w:tcBorders>
              <w:top w:val="nil"/>
              <w:bottom w:val="single" w:sz="4" w:space="0" w:color="auto"/>
            </w:tcBorders>
            <w:noWrap/>
          </w:tcPr>
          <w:p w14:paraId="61CEED06" w14:textId="3C2DE336" w:rsidR="00DD0D7A" w:rsidRPr="00024EB0" w:rsidRDefault="00DD0D7A" w:rsidP="00DD0D7A">
            <w:pPr>
              <w:pStyle w:val="TableText"/>
              <w:jc w:val="right"/>
            </w:pPr>
            <w:r w:rsidRPr="005B2B27">
              <w:t>142%</w:t>
            </w:r>
          </w:p>
        </w:tc>
      </w:tr>
      <w:tr w:rsidR="00DD0D7A" w:rsidRPr="00024EB0" w14:paraId="19051959" w14:textId="77777777" w:rsidTr="00DD0D7A">
        <w:trPr>
          <w:trHeight w:val="300"/>
        </w:trPr>
        <w:tc>
          <w:tcPr>
            <w:tcW w:w="2749" w:type="pct"/>
            <w:tcBorders>
              <w:bottom w:val="single" w:sz="4" w:space="0" w:color="auto"/>
            </w:tcBorders>
            <w:noWrap/>
            <w:hideMark/>
          </w:tcPr>
          <w:p w14:paraId="6090ED42" w14:textId="77777777" w:rsidR="00DD0D7A" w:rsidRPr="00024EB0" w:rsidRDefault="00DD0D7A" w:rsidP="00DD0D7A">
            <w:pPr>
              <w:pStyle w:val="TableText"/>
            </w:pPr>
            <w:r w:rsidRPr="00DB3E00">
              <w:rPr>
                <w:i/>
              </w:rPr>
              <w:t>MET</w:t>
            </w:r>
            <w:r w:rsidRPr="00024EB0">
              <w:t>ex14sk NPA, 0.93 (base case: 1.00)</w:t>
            </w:r>
          </w:p>
        </w:tc>
        <w:tc>
          <w:tcPr>
            <w:tcW w:w="602" w:type="pct"/>
            <w:tcBorders>
              <w:bottom w:val="single" w:sz="4" w:space="0" w:color="auto"/>
            </w:tcBorders>
            <w:noWrap/>
          </w:tcPr>
          <w:p w14:paraId="32EAF10B" w14:textId="47726635" w:rsidR="00DD0D7A" w:rsidRPr="00024EB0" w:rsidRDefault="00DD0D7A" w:rsidP="00DD0D7A">
            <w:pPr>
              <w:pStyle w:val="TableText"/>
              <w:jc w:val="right"/>
            </w:pPr>
            <w:r w:rsidRPr="005B2B27">
              <w:t>$138.59</w:t>
            </w:r>
          </w:p>
        </w:tc>
        <w:tc>
          <w:tcPr>
            <w:tcW w:w="603" w:type="pct"/>
            <w:tcBorders>
              <w:bottom w:val="single" w:sz="4" w:space="0" w:color="auto"/>
            </w:tcBorders>
            <w:noWrap/>
          </w:tcPr>
          <w:p w14:paraId="7A2DF455" w14:textId="0AC7E60F" w:rsidR="00DD0D7A" w:rsidRPr="00024EB0" w:rsidRDefault="00DD0D7A" w:rsidP="00DD0D7A">
            <w:pPr>
              <w:pStyle w:val="TableText"/>
              <w:jc w:val="right"/>
            </w:pPr>
            <w:r w:rsidRPr="005B2B27">
              <w:t>0.0734</w:t>
            </w:r>
          </w:p>
        </w:tc>
        <w:tc>
          <w:tcPr>
            <w:tcW w:w="603" w:type="pct"/>
            <w:tcBorders>
              <w:bottom w:val="single" w:sz="4" w:space="0" w:color="auto"/>
            </w:tcBorders>
            <w:noWrap/>
          </w:tcPr>
          <w:p w14:paraId="500349B4" w14:textId="31D18905" w:rsidR="00DD0D7A" w:rsidRPr="00024EB0" w:rsidRDefault="00DD0D7A" w:rsidP="00DD0D7A">
            <w:pPr>
              <w:pStyle w:val="TableText"/>
              <w:jc w:val="right"/>
            </w:pPr>
            <w:r w:rsidRPr="005B2B27">
              <w:t>$1,887</w:t>
            </w:r>
          </w:p>
        </w:tc>
        <w:tc>
          <w:tcPr>
            <w:tcW w:w="443" w:type="pct"/>
            <w:tcBorders>
              <w:bottom w:val="single" w:sz="4" w:space="0" w:color="auto"/>
            </w:tcBorders>
            <w:noWrap/>
          </w:tcPr>
          <w:p w14:paraId="292F5CBA" w14:textId="4E8247CD" w:rsidR="00DD0D7A" w:rsidRPr="00024EB0" w:rsidRDefault="00DD0D7A" w:rsidP="00DD0D7A">
            <w:pPr>
              <w:pStyle w:val="TableText"/>
              <w:jc w:val="right"/>
            </w:pPr>
            <w:r w:rsidRPr="005B2B27">
              <w:t>−75%</w:t>
            </w:r>
          </w:p>
        </w:tc>
      </w:tr>
      <w:tr w:rsidR="00DD0D7A" w:rsidRPr="00024EB0" w14:paraId="7F3926A1" w14:textId="77777777" w:rsidTr="00DD0D7A">
        <w:trPr>
          <w:trHeight w:val="300"/>
        </w:trPr>
        <w:tc>
          <w:tcPr>
            <w:tcW w:w="2749" w:type="pct"/>
            <w:tcBorders>
              <w:bottom w:val="single" w:sz="4" w:space="0" w:color="auto"/>
              <w:right w:val="nil"/>
            </w:tcBorders>
            <w:noWrap/>
            <w:hideMark/>
          </w:tcPr>
          <w:p w14:paraId="73AA33A3" w14:textId="77777777" w:rsidR="00DD0D7A" w:rsidRPr="00024EB0" w:rsidRDefault="00DD0D7A" w:rsidP="00DD0D7A">
            <w:pPr>
              <w:pStyle w:val="TableText"/>
            </w:pPr>
            <w:r w:rsidRPr="00024EB0">
              <w:t>Rebiopsy uptake rate (base case: 100%)</w:t>
            </w:r>
          </w:p>
        </w:tc>
        <w:tc>
          <w:tcPr>
            <w:tcW w:w="602" w:type="pct"/>
            <w:tcBorders>
              <w:left w:val="nil"/>
              <w:bottom w:val="single" w:sz="4" w:space="0" w:color="auto"/>
              <w:right w:val="nil"/>
            </w:tcBorders>
            <w:noWrap/>
          </w:tcPr>
          <w:p w14:paraId="638BD8EB"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070D8E02" w14:textId="77777777" w:rsidR="00DD0D7A" w:rsidRPr="00024EB0" w:rsidRDefault="00DD0D7A" w:rsidP="00DD0D7A">
            <w:pPr>
              <w:pStyle w:val="TableText"/>
              <w:jc w:val="right"/>
            </w:pPr>
          </w:p>
        </w:tc>
        <w:tc>
          <w:tcPr>
            <w:tcW w:w="603" w:type="pct"/>
            <w:tcBorders>
              <w:left w:val="nil"/>
              <w:bottom w:val="single" w:sz="4" w:space="0" w:color="auto"/>
              <w:right w:val="nil"/>
            </w:tcBorders>
            <w:noWrap/>
          </w:tcPr>
          <w:p w14:paraId="2E0DA603" w14:textId="77777777" w:rsidR="00DD0D7A" w:rsidRPr="00024EB0" w:rsidRDefault="00DD0D7A" w:rsidP="00DD0D7A">
            <w:pPr>
              <w:pStyle w:val="TableText"/>
              <w:jc w:val="right"/>
            </w:pPr>
          </w:p>
        </w:tc>
        <w:tc>
          <w:tcPr>
            <w:tcW w:w="443" w:type="pct"/>
            <w:tcBorders>
              <w:left w:val="nil"/>
              <w:bottom w:val="single" w:sz="4" w:space="0" w:color="auto"/>
            </w:tcBorders>
            <w:noWrap/>
          </w:tcPr>
          <w:p w14:paraId="5CA69F46" w14:textId="77777777" w:rsidR="00DD0D7A" w:rsidRPr="00024EB0" w:rsidRDefault="00DD0D7A" w:rsidP="00DD0D7A">
            <w:pPr>
              <w:pStyle w:val="TableText"/>
              <w:jc w:val="right"/>
            </w:pPr>
          </w:p>
        </w:tc>
      </w:tr>
      <w:tr w:rsidR="00DD0D7A" w:rsidRPr="00024EB0" w14:paraId="7A9B39B5" w14:textId="77777777" w:rsidTr="00DD0D7A">
        <w:trPr>
          <w:trHeight w:val="300"/>
        </w:trPr>
        <w:tc>
          <w:tcPr>
            <w:tcW w:w="2749" w:type="pct"/>
            <w:tcBorders>
              <w:bottom w:val="nil"/>
            </w:tcBorders>
            <w:noWrap/>
            <w:hideMark/>
          </w:tcPr>
          <w:p w14:paraId="4E8BE566" w14:textId="77777777" w:rsidR="00DD0D7A" w:rsidRPr="00024EB0" w:rsidRDefault="00DD0D7A" w:rsidP="00DD0D7A">
            <w:pPr>
              <w:pStyle w:val="TableText"/>
            </w:pPr>
            <w:r w:rsidRPr="00024EB0">
              <w:t>30%</w:t>
            </w:r>
          </w:p>
        </w:tc>
        <w:tc>
          <w:tcPr>
            <w:tcW w:w="602" w:type="pct"/>
            <w:tcBorders>
              <w:bottom w:val="nil"/>
            </w:tcBorders>
            <w:noWrap/>
          </w:tcPr>
          <w:p w14:paraId="67EC5E15" w14:textId="77096C25" w:rsidR="00DD0D7A" w:rsidRPr="00024EB0" w:rsidRDefault="00DD0D7A" w:rsidP="00DD0D7A">
            <w:pPr>
              <w:pStyle w:val="TableText"/>
              <w:jc w:val="right"/>
            </w:pPr>
            <w:r w:rsidRPr="005B2B27">
              <w:t>$254.94</w:t>
            </w:r>
          </w:p>
        </w:tc>
        <w:tc>
          <w:tcPr>
            <w:tcW w:w="603" w:type="pct"/>
            <w:tcBorders>
              <w:bottom w:val="nil"/>
            </w:tcBorders>
            <w:noWrap/>
          </w:tcPr>
          <w:p w14:paraId="71E23846" w14:textId="3F86BE21" w:rsidR="00DD0D7A" w:rsidRPr="00024EB0" w:rsidRDefault="00DD0D7A" w:rsidP="00DD0D7A">
            <w:pPr>
              <w:pStyle w:val="TableText"/>
              <w:jc w:val="right"/>
            </w:pPr>
            <w:r w:rsidRPr="005B2B27">
              <w:t>0.0248</w:t>
            </w:r>
          </w:p>
        </w:tc>
        <w:tc>
          <w:tcPr>
            <w:tcW w:w="603" w:type="pct"/>
            <w:tcBorders>
              <w:bottom w:val="nil"/>
            </w:tcBorders>
            <w:noWrap/>
          </w:tcPr>
          <w:p w14:paraId="0E95BDCF" w14:textId="2F38C70A" w:rsidR="00DD0D7A" w:rsidRPr="00024EB0" w:rsidRDefault="00DD0D7A" w:rsidP="00DD0D7A">
            <w:pPr>
              <w:pStyle w:val="TableText"/>
              <w:jc w:val="right"/>
            </w:pPr>
            <w:r w:rsidRPr="005B2B27">
              <w:t>$10,298</w:t>
            </w:r>
          </w:p>
        </w:tc>
        <w:tc>
          <w:tcPr>
            <w:tcW w:w="443" w:type="pct"/>
            <w:tcBorders>
              <w:bottom w:val="nil"/>
            </w:tcBorders>
            <w:noWrap/>
          </w:tcPr>
          <w:p w14:paraId="219F62BA" w14:textId="30389650" w:rsidR="00DD0D7A" w:rsidRPr="00024EB0" w:rsidRDefault="00DD0D7A" w:rsidP="00DD0D7A">
            <w:pPr>
              <w:pStyle w:val="TableText"/>
              <w:jc w:val="right"/>
            </w:pPr>
            <w:r w:rsidRPr="005B2B27">
              <w:t>37%</w:t>
            </w:r>
          </w:p>
        </w:tc>
      </w:tr>
      <w:tr w:rsidR="00DD0D7A" w:rsidRPr="00024EB0" w14:paraId="7823DFE3" w14:textId="77777777" w:rsidTr="00DD0D7A">
        <w:trPr>
          <w:trHeight w:val="300"/>
        </w:trPr>
        <w:tc>
          <w:tcPr>
            <w:tcW w:w="2749" w:type="pct"/>
            <w:tcBorders>
              <w:top w:val="nil"/>
            </w:tcBorders>
            <w:noWrap/>
            <w:hideMark/>
          </w:tcPr>
          <w:p w14:paraId="3001C12D" w14:textId="77777777" w:rsidR="00DD0D7A" w:rsidRPr="00024EB0" w:rsidRDefault="00DD0D7A" w:rsidP="00DD0D7A">
            <w:pPr>
              <w:pStyle w:val="TableText"/>
            </w:pPr>
            <w:r w:rsidRPr="00024EB0">
              <w:t>60%</w:t>
            </w:r>
          </w:p>
        </w:tc>
        <w:tc>
          <w:tcPr>
            <w:tcW w:w="602" w:type="pct"/>
            <w:tcBorders>
              <w:top w:val="nil"/>
            </w:tcBorders>
            <w:noWrap/>
          </w:tcPr>
          <w:p w14:paraId="4E5CAEE4" w14:textId="05EB4013" w:rsidR="00DD0D7A" w:rsidRPr="00024EB0" w:rsidRDefault="00DD0D7A" w:rsidP="00DD0D7A">
            <w:pPr>
              <w:pStyle w:val="TableText"/>
              <w:jc w:val="right"/>
            </w:pPr>
            <w:r w:rsidRPr="005B2B27">
              <w:t>$218.12</w:t>
            </w:r>
          </w:p>
        </w:tc>
        <w:tc>
          <w:tcPr>
            <w:tcW w:w="603" w:type="pct"/>
            <w:tcBorders>
              <w:top w:val="nil"/>
            </w:tcBorders>
            <w:noWrap/>
          </w:tcPr>
          <w:p w14:paraId="54AE4EF9" w14:textId="2D05D78B" w:rsidR="00DD0D7A" w:rsidRPr="00024EB0" w:rsidRDefault="00DD0D7A" w:rsidP="00DD0D7A">
            <w:pPr>
              <w:pStyle w:val="TableText"/>
              <w:jc w:val="right"/>
            </w:pPr>
            <w:r w:rsidRPr="005B2B27">
              <w:t>0.0238</w:t>
            </w:r>
          </w:p>
        </w:tc>
        <w:tc>
          <w:tcPr>
            <w:tcW w:w="603" w:type="pct"/>
            <w:tcBorders>
              <w:top w:val="nil"/>
            </w:tcBorders>
            <w:noWrap/>
          </w:tcPr>
          <w:p w14:paraId="3E1880BF" w14:textId="542AC3A4" w:rsidR="00DD0D7A" w:rsidRPr="00024EB0" w:rsidRDefault="00DD0D7A" w:rsidP="00DD0D7A">
            <w:pPr>
              <w:pStyle w:val="TableText"/>
              <w:jc w:val="right"/>
            </w:pPr>
            <w:r w:rsidRPr="005B2B27">
              <w:t>$9,161</w:t>
            </w:r>
          </w:p>
        </w:tc>
        <w:tc>
          <w:tcPr>
            <w:tcW w:w="443" w:type="pct"/>
            <w:tcBorders>
              <w:top w:val="nil"/>
            </w:tcBorders>
            <w:noWrap/>
          </w:tcPr>
          <w:p w14:paraId="4D0FF481" w14:textId="07A043BF" w:rsidR="00DD0D7A" w:rsidRPr="00024EB0" w:rsidRDefault="00DD0D7A" w:rsidP="00DD0D7A">
            <w:pPr>
              <w:pStyle w:val="TableText"/>
              <w:jc w:val="right"/>
            </w:pPr>
            <w:r w:rsidRPr="005B2B27">
              <w:t>22%</w:t>
            </w:r>
          </w:p>
        </w:tc>
      </w:tr>
      <w:tr w:rsidR="001E1B2D" w:rsidRPr="00024EB0" w14:paraId="5114F210" w14:textId="77777777" w:rsidTr="00DD0D7A">
        <w:trPr>
          <w:trHeight w:val="300"/>
        </w:trPr>
        <w:tc>
          <w:tcPr>
            <w:tcW w:w="2749" w:type="pct"/>
            <w:noWrap/>
          </w:tcPr>
          <w:p w14:paraId="63B2CA01" w14:textId="0D70BB26" w:rsidR="001E1B2D" w:rsidRPr="00024EB0" w:rsidRDefault="001E1B2D" w:rsidP="001E1B2D">
            <w:pPr>
              <w:pStyle w:val="TableText"/>
            </w:pPr>
            <w:r>
              <w:t xml:space="preserve">Average fee charged for </w:t>
            </w:r>
            <w:r w:rsidRPr="00956452">
              <w:rPr>
                <w:i/>
              </w:rPr>
              <w:t>EGFR</w:t>
            </w:r>
            <w:r>
              <w:t xml:space="preserve"> and </w:t>
            </w:r>
            <w:r w:rsidRPr="00956452">
              <w:rPr>
                <w:i/>
              </w:rPr>
              <w:t>ALK</w:t>
            </w:r>
            <w:r>
              <w:t xml:space="preserve"> and </w:t>
            </w:r>
            <w:r w:rsidRPr="00956452">
              <w:rPr>
                <w:i/>
              </w:rPr>
              <w:t>ROS1</w:t>
            </w:r>
            <w:r>
              <w:t xml:space="preserve"> FISH </w:t>
            </w:r>
            <w:r>
              <w:br/>
              <w:t>(base case: MBS Schedule Fees)</w:t>
            </w:r>
          </w:p>
        </w:tc>
        <w:tc>
          <w:tcPr>
            <w:tcW w:w="602" w:type="pct"/>
            <w:noWrap/>
          </w:tcPr>
          <w:p w14:paraId="5CFC6F2A" w14:textId="0937830D" w:rsidR="001E1B2D" w:rsidRPr="005B2B27" w:rsidRDefault="001E1B2D" w:rsidP="001E1B2D">
            <w:pPr>
              <w:pStyle w:val="TableText"/>
              <w:jc w:val="right"/>
            </w:pPr>
            <w:r w:rsidRPr="009B6F33">
              <w:t>$185.26</w:t>
            </w:r>
          </w:p>
        </w:tc>
        <w:tc>
          <w:tcPr>
            <w:tcW w:w="603" w:type="pct"/>
            <w:noWrap/>
          </w:tcPr>
          <w:p w14:paraId="5B418030" w14:textId="31AB4A63" w:rsidR="001E1B2D" w:rsidRPr="005B2B27" w:rsidRDefault="001E1B2D" w:rsidP="001E1B2D">
            <w:pPr>
              <w:pStyle w:val="TableText"/>
              <w:jc w:val="right"/>
            </w:pPr>
            <w:r w:rsidRPr="009B6F33">
              <w:t>0.0225</w:t>
            </w:r>
          </w:p>
        </w:tc>
        <w:tc>
          <w:tcPr>
            <w:tcW w:w="603" w:type="pct"/>
            <w:noWrap/>
          </w:tcPr>
          <w:p w14:paraId="7ADF9AC9" w14:textId="13518871" w:rsidR="001E1B2D" w:rsidRPr="005B2B27" w:rsidRDefault="001E1B2D" w:rsidP="001E1B2D">
            <w:pPr>
              <w:pStyle w:val="TableText"/>
              <w:jc w:val="right"/>
            </w:pPr>
            <w:r w:rsidRPr="009B6F33">
              <w:t>$8,217</w:t>
            </w:r>
          </w:p>
        </w:tc>
        <w:tc>
          <w:tcPr>
            <w:tcW w:w="443" w:type="pct"/>
            <w:noWrap/>
          </w:tcPr>
          <w:p w14:paraId="6F41F9B1" w14:textId="39EC0DAD" w:rsidR="001E1B2D" w:rsidRPr="005B2B27" w:rsidRDefault="001E1B2D" w:rsidP="001E1B2D">
            <w:pPr>
              <w:pStyle w:val="TableText"/>
              <w:jc w:val="right"/>
            </w:pPr>
            <w:r w:rsidRPr="009B6F33">
              <w:t>10%</w:t>
            </w:r>
          </w:p>
        </w:tc>
      </w:tr>
      <w:tr w:rsidR="00DD0D7A" w:rsidRPr="00024EB0" w14:paraId="158EA5C0" w14:textId="77777777" w:rsidTr="00DD0D7A">
        <w:trPr>
          <w:trHeight w:val="300"/>
        </w:trPr>
        <w:tc>
          <w:tcPr>
            <w:tcW w:w="2749" w:type="pct"/>
            <w:noWrap/>
            <w:hideMark/>
          </w:tcPr>
          <w:p w14:paraId="1350FE4E" w14:textId="344E3A58" w:rsidR="00DD0D7A" w:rsidRPr="00024EB0" w:rsidRDefault="00DD0D7A" w:rsidP="00DD0D7A">
            <w:pPr>
              <w:pStyle w:val="TableText"/>
            </w:pPr>
            <w:r w:rsidRPr="00024EB0">
              <w:t>FISH utilisation, use IHC NPA data (base case: calibrated)</w:t>
            </w:r>
            <w:r w:rsidRPr="00A20449">
              <w:rPr>
                <w:vertAlign w:val="superscript"/>
              </w:rPr>
              <w:t>c</w:t>
            </w:r>
            <w:r>
              <w:t xml:space="preserve"> </w:t>
            </w:r>
            <w:r w:rsidRPr="002E183D">
              <w:rPr>
                <w:b/>
              </w:rPr>
              <w:t>#2</w:t>
            </w:r>
          </w:p>
        </w:tc>
        <w:tc>
          <w:tcPr>
            <w:tcW w:w="602" w:type="pct"/>
            <w:noWrap/>
          </w:tcPr>
          <w:p w14:paraId="2538AD1C" w14:textId="2A53AFB5" w:rsidR="00DD0D7A" w:rsidRPr="00024EB0" w:rsidRDefault="00DD0D7A" w:rsidP="00DD0D7A">
            <w:pPr>
              <w:pStyle w:val="TableText"/>
              <w:jc w:val="right"/>
            </w:pPr>
            <w:r w:rsidRPr="005B2B27">
              <w:t>$183.78</w:t>
            </w:r>
          </w:p>
        </w:tc>
        <w:tc>
          <w:tcPr>
            <w:tcW w:w="603" w:type="pct"/>
            <w:noWrap/>
          </w:tcPr>
          <w:p w14:paraId="0A55DC8C" w14:textId="67888ADE" w:rsidR="00DD0D7A" w:rsidRPr="00024EB0" w:rsidRDefault="00DD0D7A" w:rsidP="00DD0D7A">
            <w:pPr>
              <w:pStyle w:val="TableText"/>
              <w:jc w:val="right"/>
            </w:pPr>
            <w:r w:rsidRPr="005B2B27">
              <w:t>0.0225</w:t>
            </w:r>
          </w:p>
        </w:tc>
        <w:tc>
          <w:tcPr>
            <w:tcW w:w="603" w:type="pct"/>
            <w:noWrap/>
          </w:tcPr>
          <w:p w14:paraId="1AFAA461" w14:textId="7C4457DD" w:rsidR="00DD0D7A" w:rsidRPr="00024EB0" w:rsidRDefault="00DD0D7A" w:rsidP="00DD0D7A">
            <w:pPr>
              <w:pStyle w:val="TableText"/>
              <w:jc w:val="right"/>
            </w:pPr>
            <w:r w:rsidRPr="005B2B27">
              <w:t>$8,151</w:t>
            </w:r>
          </w:p>
        </w:tc>
        <w:tc>
          <w:tcPr>
            <w:tcW w:w="443" w:type="pct"/>
            <w:noWrap/>
          </w:tcPr>
          <w:p w14:paraId="1C80D596" w14:textId="64EBA4BB" w:rsidR="00DD0D7A" w:rsidRPr="00024EB0" w:rsidRDefault="00DD0D7A" w:rsidP="00DD0D7A">
            <w:pPr>
              <w:pStyle w:val="TableText"/>
              <w:jc w:val="right"/>
            </w:pPr>
            <w:r w:rsidRPr="005B2B27">
              <w:t>9%</w:t>
            </w:r>
          </w:p>
        </w:tc>
      </w:tr>
      <w:tr w:rsidR="00DD0D7A" w:rsidRPr="00024EB0" w14:paraId="2A64C46D" w14:textId="77777777" w:rsidTr="00DD0D7A">
        <w:trPr>
          <w:trHeight w:val="300"/>
        </w:trPr>
        <w:tc>
          <w:tcPr>
            <w:tcW w:w="2749" w:type="pct"/>
            <w:tcBorders>
              <w:bottom w:val="single" w:sz="4" w:space="0" w:color="auto"/>
            </w:tcBorders>
            <w:noWrap/>
            <w:hideMark/>
          </w:tcPr>
          <w:p w14:paraId="1C796A74" w14:textId="77777777" w:rsidR="00DD0D7A" w:rsidRPr="00024EB0" w:rsidRDefault="00DD0D7A" w:rsidP="00DD0D7A">
            <w:pPr>
              <w:pStyle w:val="TableText"/>
            </w:pPr>
            <w:r w:rsidRPr="00024EB0">
              <w:t xml:space="preserve">Separate RNA small panel use, allowed </w:t>
            </w:r>
            <w:r>
              <w:t>with</w:t>
            </w:r>
            <w:r w:rsidRPr="00024EB0">
              <w:t xml:space="preserve"> </w:t>
            </w:r>
            <w:r w:rsidRPr="00DB3E00">
              <w:rPr>
                <w:i/>
              </w:rPr>
              <w:t>KRAS</w:t>
            </w:r>
            <w:r w:rsidRPr="00024EB0">
              <w:t xml:space="preserve"> </w:t>
            </w:r>
            <w:r>
              <w:t>or</w:t>
            </w:r>
            <w:r w:rsidRPr="00024EB0">
              <w:t xml:space="preserve"> </w:t>
            </w:r>
            <w:r w:rsidRPr="00DB3E00">
              <w:rPr>
                <w:i/>
              </w:rPr>
              <w:t>BRAF</w:t>
            </w:r>
            <w:r w:rsidRPr="00024EB0">
              <w:t xml:space="preserve"> </w:t>
            </w:r>
            <w:r w:rsidRPr="002E183D">
              <w:rPr>
                <w:b/>
              </w:rPr>
              <w:t>#4</w:t>
            </w:r>
            <w:r w:rsidRPr="00024EB0">
              <w:t xml:space="preserve"> (base case: not allowed)</w:t>
            </w:r>
            <w:r>
              <w:t xml:space="preserve"> </w:t>
            </w:r>
          </w:p>
        </w:tc>
        <w:tc>
          <w:tcPr>
            <w:tcW w:w="602" w:type="pct"/>
            <w:tcBorders>
              <w:bottom w:val="single" w:sz="4" w:space="0" w:color="auto"/>
            </w:tcBorders>
            <w:noWrap/>
          </w:tcPr>
          <w:p w14:paraId="78F5A45A" w14:textId="3F1B860E" w:rsidR="00DD0D7A" w:rsidRPr="00024EB0" w:rsidRDefault="00DD0D7A" w:rsidP="00DD0D7A">
            <w:pPr>
              <w:pStyle w:val="TableText"/>
              <w:jc w:val="right"/>
            </w:pPr>
            <w:r w:rsidRPr="005B2B27">
              <w:t>$307.24</w:t>
            </w:r>
          </w:p>
        </w:tc>
        <w:tc>
          <w:tcPr>
            <w:tcW w:w="603" w:type="pct"/>
            <w:tcBorders>
              <w:bottom w:val="single" w:sz="4" w:space="0" w:color="auto"/>
            </w:tcBorders>
            <w:noWrap/>
          </w:tcPr>
          <w:p w14:paraId="02AF0417" w14:textId="1DF2A50C" w:rsidR="00DD0D7A" w:rsidRPr="00024EB0" w:rsidRDefault="00DD0D7A" w:rsidP="00DD0D7A">
            <w:pPr>
              <w:pStyle w:val="TableText"/>
              <w:jc w:val="right"/>
            </w:pPr>
            <w:r w:rsidRPr="005B2B27">
              <w:t>0.0225</w:t>
            </w:r>
          </w:p>
        </w:tc>
        <w:tc>
          <w:tcPr>
            <w:tcW w:w="603" w:type="pct"/>
            <w:tcBorders>
              <w:bottom w:val="single" w:sz="4" w:space="0" w:color="auto"/>
            </w:tcBorders>
            <w:noWrap/>
          </w:tcPr>
          <w:p w14:paraId="0F3C8F58" w14:textId="00B28EA9" w:rsidR="00DD0D7A" w:rsidRPr="00024EB0" w:rsidRDefault="00DD0D7A" w:rsidP="00DD0D7A">
            <w:pPr>
              <w:pStyle w:val="TableText"/>
              <w:jc w:val="right"/>
            </w:pPr>
            <w:r w:rsidRPr="005B2B27">
              <w:t>$13,627</w:t>
            </w:r>
          </w:p>
        </w:tc>
        <w:tc>
          <w:tcPr>
            <w:tcW w:w="443" w:type="pct"/>
            <w:tcBorders>
              <w:bottom w:val="single" w:sz="4" w:space="0" w:color="auto"/>
            </w:tcBorders>
            <w:noWrap/>
          </w:tcPr>
          <w:p w14:paraId="2153E429" w14:textId="5D179FF1" w:rsidR="00DD0D7A" w:rsidRPr="00024EB0" w:rsidRDefault="00DD0D7A" w:rsidP="00DD0D7A">
            <w:pPr>
              <w:pStyle w:val="TableText"/>
              <w:jc w:val="right"/>
            </w:pPr>
            <w:r w:rsidRPr="005B2B27">
              <w:t>82%</w:t>
            </w:r>
          </w:p>
        </w:tc>
      </w:tr>
      <w:tr w:rsidR="00DD0D7A" w:rsidRPr="00024EB0" w14:paraId="38B35F40" w14:textId="77777777" w:rsidTr="00DD0D7A">
        <w:trPr>
          <w:trHeight w:val="300"/>
        </w:trPr>
        <w:tc>
          <w:tcPr>
            <w:tcW w:w="2749" w:type="pct"/>
            <w:tcBorders>
              <w:bottom w:val="single" w:sz="4" w:space="0" w:color="auto"/>
              <w:right w:val="single" w:sz="4" w:space="0" w:color="auto"/>
            </w:tcBorders>
            <w:noWrap/>
            <w:hideMark/>
          </w:tcPr>
          <w:p w14:paraId="76D040AB" w14:textId="77777777" w:rsidR="00DD0D7A" w:rsidRPr="00024EB0" w:rsidRDefault="00DD0D7A" w:rsidP="00DD0D7A">
            <w:pPr>
              <w:pStyle w:val="TableText"/>
            </w:pPr>
            <w:r w:rsidRPr="00024EB0">
              <w:t xml:space="preserve">Proportion with </w:t>
            </w:r>
            <w:r w:rsidRPr="00DB3E00">
              <w:rPr>
                <w:i/>
              </w:rPr>
              <w:t>KRAS</w:t>
            </w:r>
            <w:r w:rsidRPr="00024EB0">
              <w:t xml:space="preserve"> or </w:t>
            </w:r>
            <w:r w:rsidRPr="00DB3E00">
              <w:rPr>
                <w:i/>
              </w:rPr>
              <w:t>BRAF</w:t>
            </w:r>
            <w:r w:rsidRPr="00024EB0">
              <w:t xml:space="preserve"> activating variants</w:t>
            </w:r>
            <w:r>
              <w:t>, 52%</w:t>
            </w:r>
            <w:r w:rsidRPr="00024EB0">
              <w:t xml:space="preserve"> </w:t>
            </w:r>
            <w:r>
              <w:br/>
            </w:r>
            <w:r w:rsidRPr="00024EB0">
              <w:t>(base case: 30.8%)</w:t>
            </w:r>
          </w:p>
        </w:tc>
        <w:tc>
          <w:tcPr>
            <w:tcW w:w="602" w:type="pct"/>
            <w:tcBorders>
              <w:left w:val="single" w:sz="4" w:space="0" w:color="auto"/>
              <w:bottom w:val="single" w:sz="4" w:space="0" w:color="auto"/>
              <w:right w:val="single" w:sz="4" w:space="0" w:color="auto"/>
            </w:tcBorders>
            <w:noWrap/>
          </w:tcPr>
          <w:p w14:paraId="2E4DCD5E" w14:textId="6E5FC361" w:rsidR="00DD0D7A" w:rsidRPr="00024EB0" w:rsidRDefault="00DD0D7A" w:rsidP="00DD0D7A">
            <w:pPr>
              <w:pStyle w:val="TableText"/>
              <w:jc w:val="right"/>
            </w:pPr>
            <w:r w:rsidRPr="005B2B27">
              <w:t>$73.89</w:t>
            </w:r>
          </w:p>
        </w:tc>
        <w:tc>
          <w:tcPr>
            <w:tcW w:w="603" w:type="pct"/>
            <w:tcBorders>
              <w:left w:val="single" w:sz="4" w:space="0" w:color="auto"/>
              <w:bottom w:val="single" w:sz="4" w:space="0" w:color="auto"/>
              <w:right w:val="single" w:sz="4" w:space="0" w:color="auto"/>
            </w:tcBorders>
            <w:noWrap/>
          </w:tcPr>
          <w:p w14:paraId="79CC62B1" w14:textId="6AD75BF1" w:rsidR="00DD0D7A" w:rsidRPr="00024EB0" w:rsidRDefault="00DD0D7A" w:rsidP="00DD0D7A">
            <w:pPr>
              <w:pStyle w:val="TableText"/>
              <w:jc w:val="right"/>
            </w:pPr>
            <w:r w:rsidRPr="005B2B27">
              <w:t>0.0225</w:t>
            </w:r>
          </w:p>
        </w:tc>
        <w:tc>
          <w:tcPr>
            <w:tcW w:w="603" w:type="pct"/>
            <w:tcBorders>
              <w:left w:val="single" w:sz="4" w:space="0" w:color="auto"/>
              <w:bottom w:val="single" w:sz="4" w:space="0" w:color="auto"/>
              <w:right w:val="single" w:sz="4" w:space="0" w:color="auto"/>
            </w:tcBorders>
            <w:noWrap/>
          </w:tcPr>
          <w:p w14:paraId="30F30E72" w14:textId="62EF288E" w:rsidR="00DD0D7A" w:rsidRPr="00024EB0" w:rsidRDefault="00DD0D7A" w:rsidP="00DD0D7A">
            <w:pPr>
              <w:pStyle w:val="TableText"/>
              <w:jc w:val="right"/>
            </w:pPr>
            <w:r w:rsidRPr="005B2B27">
              <w:t>$3,277</w:t>
            </w:r>
          </w:p>
        </w:tc>
        <w:tc>
          <w:tcPr>
            <w:tcW w:w="443" w:type="pct"/>
            <w:tcBorders>
              <w:left w:val="single" w:sz="4" w:space="0" w:color="auto"/>
              <w:bottom w:val="single" w:sz="4" w:space="0" w:color="auto"/>
            </w:tcBorders>
            <w:noWrap/>
          </w:tcPr>
          <w:p w14:paraId="777E05D9" w14:textId="0BF3C11B" w:rsidR="00DD0D7A" w:rsidRPr="00024EB0" w:rsidRDefault="00DD0D7A" w:rsidP="00DD0D7A">
            <w:pPr>
              <w:pStyle w:val="TableText"/>
              <w:jc w:val="right"/>
            </w:pPr>
            <w:r w:rsidRPr="005B2B27">
              <w:t>−56%</w:t>
            </w:r>
          </w:p>
        </w:tc>
      </w:tr>
      <w:tr w:rsidR="00DD0D7A" w:rsidRPr="00024EB0" w14:paraId="7DAF97EF" w14:textId="77777777" w:rsidTr="00DD0D7A">
        <w:trPr>
          <w:trHeight w:val="300"/>
        </w:trPr>
        <w:tc>
          <w:tcPr>
            <w:tcW w:w="2749" w:type="pct"/>
            <w:tcBorders>
              <w:bottom w:val="single" w:sz="4" w:space="0" w:color="auto"/>
              <w:right w:val="single" w:sz="4" w:space="0" w:color="auto"/>
            </w:tcBorders>
            <w:noWrap/>
            <w:hideMark/>
          </w:tcPr>
          <w:p w14:paraId="5459F92F" w14:textId="77777777" w:rsidR="00DD0D7A" w:rsidRPr="00024EB0" w:rsidRDefault="00DD0D7A" w:rsidP="00DD0D7A">
            <w:pPr>
              <w:pStyle w:val="TableText"/>
            </w:pPr>
            <w:r>
              <w:t xml:space="preserve">Rebiopsy cost, </w:t>
            </w:r>
            <w:r w:rsidRPr="00024EB0">
              <w:t>$3,369 [all outpatient]</w:t>
            </w:r>
            <w:r>
              <w:t xml:space="preserve"> </w:t>
            </w:r>
            <w:r w:rsidRPr="002E183D">
              <w:rPr>
                <w:b/>
              </w:rPr>
              <w:t>#3</w:t>
            </w:r>
            <w:r w:rsidRPr="00024EB0">
              <w:t xml:space="preserve"> </w:t>
            </w:r>
            <w:r>
              <w:br/>
            </w:r>
            <w:r w:rsidRPr="00024EB0">
              <w:t>(base case: $5,630 [all inpatient])</w:t>
            </w:r>
          </w:p>
        </w:tc>
        <w:tc>
          <w:tcPr>
            <w:tcW w:w="602" w:type="pct"/>
            <w:tcBorders>
              <w:left w:val="single" w:sz="4" w:space="0" w:color="auto"/>
              <w:bottom w:val="single" w:sz="4" w:space="0" w:color="auto"/>
              <w:right w:val="single" w:sz="4" w:space="0" w:color="auto"/>
            </w:tcBorders>
            <w:noWrap/>
          </w:tcPr>
          <w:p w14:paraId="1AB95F3C" w14:textId="2143E368" w:rsidR="00DD0D7A" w:rsidRPr="00024EB0" w:rsidRDefault="00DD0D7A" w:rsidP="00DD0D7A">
            <w:pPr>
              <w:pStyle w:val="TableText"/>
              <w:jc w:val="right"/>
            </w:pPr>
            <w:r w:rsidRPr="005B2B27">
              <w:t>$213.63</w:t>
            </w:r>
          </w:p>
        </w:tc>
        <w:tc>
          <w:tcPr>
            <w:tcW w:w="603" w:type="pct"/>
            <w:tcBorders>
              <w:left w:val="single" w:sz="4" w:space="0" w:color="auto"/>
              <w:bottom w:val="single" w:sz="4" w:space="0" w:color="auto"/>
              <w:right w:val="single" w:sz="4" w:space="0" w:color="auto"/>
            </w:tcBorders>
            <w:noWrap/>
          </w:tcPr>
          <w:p w14:paraId="54874E7F" w14:textId="4477C1E8" w:rsidR="00DD0D7A" w:rsidRPr="00024EB0" w:rsidRDefault="00DD0D7A" w:rsidP="00DD0D7A">
            <w:pPr>
              <w:pStyle w:val="TableText"/>
              <w:jc w:val="right"/>
            </w:pPr>
            <w:r w:rsidRPr="005B2B27">
              <w:t>0.0225</w:t>
            </w:r>
          </w:p>
        </w:tc>
        <w:tc>
          <w:tcPr>
            <w:tcW w:w="603" w:type="pct"/>
            <w:tcBorders>
              <w:left w:val="single" w:sz="4" w:space="0" w:color="auto"/>
              <w:bottom w:val="single" w:sz="4" w:space="0" w:color="auto"/>
              <w:right w:val="single" w:sz="4" w:space="0" w:color="auto"/>
            </w:tcBorders>
            <w:noWrap/>
          </w:tcPr>
          <w:p w14:paraId="65DB45D6" w14:textId="4156B2CE" w:rsidR="00DD0D7A" w:rsidRPr="00024EB0" w:rsidRDefault="00DD0D7A" w:rsidP="00DD0D7A">
            <w:pPr>
              <w:pStyle w:val="TableText"/>
              <w:jc w:val="right"/>
            </w:pPr>
            <w:r w:rsidRPr="005B2B27">
              <w:t>$9,475</w:t>
            </w:r>
          </w:p>
        </w:tc>
        <w:tc>
          <w:tcPr>
            <w:tcW w:w="443" w:type="pct"/>
            <w:tcBorders>
              <w:left w:val="single" w:sz="4" w:space="0" w:color="auto"/>
              <w:bottom w:val="single" w:sz="4" w:space="0" w:color="auto"/>
            </w:tcBorders>
            <w:noWrap/>
          </w:tcPr>
          <w:p w14:paraId="28130B92" w14:textId="3616544A" w:rsidR="00DD0D7A" w:rsidRPr="00024EB0" w:rsidRDefault="00DD0D7A" w:rsidP="00DD0D7A">
            <w:pPr>
              <w:pStyle w:val="TableText"/>
              <w:jc w:val="right"/>
            </w:pPr>
            <w:r w:rsidRPr="005B2B27">
              <w:t>26%</w:t>
            </w:r>
          </w:p>
        </w:tc>
      </w:tr>
      <w:tr w:rsidR="004E63D6" w:rsidRPr="002E183D" w14:paraId="51D3B07D" w14:textId="77777777" w:rsidTr="00096611">
        <w:trPr>
          <w:trHeight w:val="300"/>
        </w:trPr>
        <w:tc>
          <w:tcPr>
            <w:tcW w:w="2749" w:type="pct"/>
            <w:tcBorders>
              <w:bottom w:val="single" w:sz="4" w:space="0" w:color="auto"/>
              <w:right w:val="nil"/>
            </w:tcBorders>
            <w:noWrap/>
            <w:hideMark/>
          </w:tcPr>
          <w:p w14:paraId="546498FE" w14:textId="77777777" w:rsidR="004E63D6" w:rsidRPr="002E183D" w:rsidRDefault="004E63D6" w:rsidP="00DD0D7A">
            <w:pPr>
              <w:pStyle w:val="TableText"/>
              <w:keepNext/>
              <w:rPr>
                <w:b/>
              </w:rPr>
            </w:pPr>
            <w:r w:rsidRPr="002E183D">
              <w:rPr>
                <w:b/>
              </w:rPr>
              <w:lastRenderedPageBreak/>
              <w:t>Multivariate analyses</w:t>
            </w:r>
          </w:p>
        </w:tc>
        <w:tc>
          <w:tcPr>
            <w:tcW w:w="602" w:type="pct"/>
            <w:tcBorders>
              <w:left w:val="nil"/>
              <w:bottom w:val="single" w:sz="4" w:space="0" w:color="auto"/>
              <w:right w:val="nil"/>
            </w:tcBorders>
            <w:noWrap/>
            <w:hideMark/>
          </w:tcPr>
          <w:p w14:paraId="324E3B24" w14:textId="77777777" w:rsidR="004E63D6" w:rsidRPr="002E183D" w:rsidRDefault="004E63D6" w:rsidP="00DD0D7A">
            <w:pPr>
              <w:pStyle w:val="TableText"/>
              <w:keepNext/>
              <w:jc w:val="right"/>
              <w:rPr>
                <w:b/>
              </w:rPr>
            </w:pPr>
          </w:p>
        </w:tc>
        <w:tc>
          <w:tcPr>
            <w:tcW w:w="603" w:type="pct"/>
            <w:tcBorders>
              <w:left w:val="nil"/>
              <w:bottom w:val="single" w:sz="4" w:space="0" w:color="auto"/>
              <w:right w:val="nil"/>
            </w:tcBorders>
            <w:noWrap/>
            <w:hideMark/>
          </w:tcPr>
          <w:p w14:paraId="7E3F9902" w14:textId="77777777" w:rsidR="004E63D6" w:rsidRPr="002E183D" w:rsidRDefault="004E63D6" w:rsidP="00DD0D7A">
            <w:pPr>
              <w:pStyle w:val="TableText"/>
              <w:keepNext/>
              <w:jc w:val="right"/>
              <w:rPr>
                <w:b/>
              </w:rPr>
            </w:pPr>
          </w:p>
        </w:tc>
        <w:tc>
          <w:tcPr>
            <w:tcW w:w="603" w:type="pct"/>
            <w:tcBorders>
              <w:left w:val="nil"/>
              <w:bottom w:val="single" w:sz="4" w:space="0" w:color="auto"/>
              <w:right w:val="nil"/>
            </w:tcBorders>
            <w:noWrap/>
            <w:hideMark/>
          </w:tcPr>
          <w:p w14:paraId="68DDE61F" w14:textId="77777777" w:rsidR="004E63D6" w:rsidRPr="002E183D" w:rsidRDefault="004E63D6" w:rsidP="00DD0D7A">
            <w:pPr>
              <w:pStyle w:val="TableText"/>
              <w:keepNext/>
              <w:jc w:val="right"/>
              <w:rPr>
                <w:b/>
              </w:rPr>
            </w:pPr>
          </w:p>
        </w:tc>
        <w:tc>
          <w:tcPr>
            <w:tcW w:w="443" w:type="pct"/>
            <w:tcBorders>
              <w:left w:val="nil"/>
              <w:bottom w:val="single" w:sz="4" w:space="0" w:color="auto"/>
            </w:tcBorders>
            <w:noWrap/>
            <w:hideMark/>
          </w:tcPr>
          <w:p w14:paraId="23D231F8" w14:textId="77777777" w:rsidR="004E63D6" w:rsidRPr="002E183D" w:rsidRDefault="004E63D6" w:rsidP="00DD0D7A">
            <w:pPr>
              <w:pStyle w:val="TableText"/>
              <w:keepNext/>
              <w:jc w:val="right"/>
              <w:rPr>
                <w:b/>
              </w:rPr>
            </w:pPr>
          </w:p>
        </w:tc>
      </w:tr>
      <w:tr w:rsidR="00DD0D7A" w:rsidRPr="00024EB0" w14:paraId="039D06C0" w14:textId="77777777" w:rsidTr="00096611">
        <w:trPr>
          <w:trHeight w:val="300"/>
        </w:trPr>
        <w:tc>
          <w:tcPr>
            <w:tcW w:w="2749" w:type="pct"/>
            <w:tcBorders>
              <w:bottom w:val="nil"/>
            </w:tcBorders>
            <w:noWrap/>
          </w:tcPr>
          <w:p w14:paraId="41268A7F" w14:textId="77777777" w:rsidR="00DD0D7A" w:rsidRPr="00024EB0" w:rsidRDefault="00DD0D7A" w:rsidP="00DD0D7A">
            <w:pPr>
              <w:pStyle w:val="TableText"/>
              <w:keepNext/>
            </w:pPr>
            <w:r>
              <w:t>#1 AND #2</w:t>
            </w:r>
          </w:p>
        </w:tc>
        <w:tc>
          <w:tcPr>
            <w:tcW w:w="602" w:type="pct"/>
            <w:tcBorders>
              <w:bottom w:val="nil"/>
            </w:tcBorders>
            <w:noWrap/>
          </w:tcPr>
          <w:p w14:paraId="7E9BF0DE" w14:textId="77777777" w:rsidR="00DD0D7A" w:rsidRPr="00024EB0" w:rsidRDefault="00DD0D7A" w:rsidP="00DD0D7A">
            <w:pPr>
              <w:pStyle w:val="TableText"/>
              <w:keepNext/>
              <w:jc w:val="right"/>
            </w:pPr>
            <w:r w:rsidRPr="00362F21">
              <w:t>$183.74</w:t>
            </w:r>
          </w:p>
        </w:tc>
        <w:tc>
          <w:tcPr>
            <w:tcW w:w="603" w:type="pct"/>
            <w:tcBorders>
              <w:bottom w:val="nil"/>
            </w:tcBorders>
            <w:noWrap/>
          </w:tcPr>
          <w:p w14:paraId="3F746078" w14:textId="77777777" w:rsidR="00DD0D7A" w:rsidRPr="00024EB0" w:rsidRDefault="00DD0D7A" w:rsidP="00DD0D7A">
            <w:pPr>
              <w:pStyle w:val="TableText"/>
              <w:keepNext/>
              <w:jc w:val="right"/>
            </w:pPr>
            <w:r w:rsidRPr="00362F21">
              <w:t>0.0219</w:t>
            </w:r>
          </w:p>
        </w:tc>
        <w:tc>
          <w:tcPr>
            <w:tcW w:w="603" w:type="pct"/>
            <w:tcBorders>
              <w:bottom w:val="nil"/>
            </w:tcBorders>
            <w:noWrap/>
          </w:tcPr>
          <w:p w14:paraId="6EA5C41E" w14:textId="77777777" w:rsidR="00DD0D7A" w:rsidRPr="00024EB0" w:rsidRDefault="00DD0D7A" w:rsidP="00DD0D7A">
            <w:pPr>
              <w:pStyle w:val="TableText"/>
              <w:keepNext/>
              <w:jc w:val="right"/>
            </w:pPr>
            <w:r w:rsidRPr="00362F21">
              <w:t>$8,404</w:t>
            </w:r>
          </w:p>
        </w:tc>
        <w:tc>
          <w:tcPr>
            <w:tcW w:w="443" w:type="pct"/>
            <w:tcBorders>
              <w:bottom w:val="nil"/>
            </w:tcBorders>
            <w:noWrap/>
          </w:tcPr>
          <w:p w14:paraId="68619BA5" w14:textId="3D9C2897" w:rsidR="00DD0D7A" w:rsidRPr="00024EB0" w:rsidRDefault="00DD0D7A" w:rsidP="00DD0D7A">
            <w:pPr>
              <w:pStyle w:val="TableText"/>
              <w:keepNext/>
              <w:jc w:val="right"/>
            </w:pPr>
            <w:r w:rsidRPr="003B6B47">
              <w:t>12%</w:t>
            </w:r>
          </w:p>
        </w:tc>
      </w:tr>
      <w:tr w:rsidR="00DD0D7A" w:rsidRPr="00024EB0" w14:paraId="773AD7C9" w14:textId="77777777" w:rsidTr="00096611">
        <w:trPr>
          <w:trHeight w:val="300"/>
        </w:trPr>
        <w:tc>
          <w:tcPr>
            <w:tcW w:w="2749" w:type="pct"/>
            <w:tcBorders>
              <w:top w:val="nil"/>
              <w:bottom w:val="nil"/>
            </w:tcBorders>
            <w:noWrap/>
          </w:tcPr>
          <w:p w14:paraId="3A18A641" w14:textId="77777777" w:rsidR="00DD0D7A" w:rsidRPr="00024EB0" w:rsidRDefault="00DD0D7A" w:rsidP="00DD0D7A">
            <w:pPr>
              <w:pStyle w:val="TableText"/>
              <w:keepNext/>
            </w:pPr>
            <w:r>
              <w:t>#1, #2 AND #3</w:t>
            </w:r>
          </w:p>
        </w:tc>
        <w:tc>
          <w:tcPr>
            <w:tcW w:w="602" w:type="pct"/>
            <w:tcBorders>
              <w:top w:val="nil"/>
              <w:bottom w:val="nil"/>
            </w:tcBorders>
            <w:noWrap/>
          </w:tcPr>
          <w:p w14:paraId="5EAECF6C" w14:textId="77777777" w:rsidR="00DD0D7A" w:rsidRPr="00024EB0" w:rsidRDefault="00DD0D7A" w:rsidP="00DD0D7A">
            <w:pPr>
              <w:pStyle w:val="TableText"/>
              <w:keepNext/>
              <w:jc w:val="right"/>
            </w:pPr>
            <w:r w:rsidRPr="00362F21">
              <w:t>$228.35</w:t>
            </w:r>
          </w:p>
        </w:tc>
        <w:tc>
          <w:tcPr>
            <w:tcW w:w="603" w:type="pct"/>
            <w:tcBorders>
              <w:top w:val="nil"/>
              <w:bottom w:val="nil"/>
            </w:tcBorders>
            <w:noWrap/>
          </w:tcPr>
          <w:p w14:paraId="73584AD5" w14:textId="77777777" w:rsidR="00DD0D7A" w:rsidRPr="00024EB0" w:rsidRDefault="00DD0D7A" w:rsidP="00DD0D7A">
            <w:pPr>
              <w:pStyle w:val="TableText"/>
              <w:keepNext/>
              <w:jc w:val="right"/>
            </w:pPr>
            <w:r w:rsidRPr="00362F21">
              <w:t>0.0219</w:t>
            </w:r>
          </w:p>
        </w:tc>
        <w:tc>
          <w:tcPr>
            <w:tcW w:w="603" w:type="pct"/>
            <w:tcBorders>
              <w:top w:val="nil"/>
              <w:bottom w:val="nil"/>
            </w:tcBorders>
            <w:noWrap/>
          </w:tcPr>
          <w:p w14:paraId="1D3BBD19" w14:textId="77777777" w:rsidR="00DD0D7A" w:rsidRPr="00024EB0" w:rsidRDefault="00DD0D7A" w:rsidP="00DD0D7A">
            <w:pPr>
              <w:pStyle w:val="TableText"/>
              <w:keepNext/>
              <w:jc w:val="right"/>
            </w:pPr>
            <w:r w:rsidRPr="00362F21">
              <w:t>$10,444</w:t>
            </w:r>
          </w:p>
        </w:tc>
        <w:tc>
          <w:tcPr>
            <w:tcW w:w="443" w:type="pct"/>
            <w:tcBorders>
              <w:top w:val="nil"/>
              <w:bottom w:val="nil"/>
            </w:tcBorders>
            <w:noWrap/>
          </w:tcPr>
          <w:p w14:paraId="17D23B55" w14:textId="2ACE0099" w:rsidR="00DD0D7A" w:rsidRPr="00024EB0" w:rsidRDefault="00DD0D7A" w:rsidP="00DD0D7A">
            <w:pPr>
              <w:pStyle w:val="TableText"/>
              <w:keepNext/>
              <w:jc w:val="right"/>
            </w:pPr>
            <w:r w:rsidRPr="003B6B47">
              <w:t>39%</w:t>
            </w:r>
          </w:p>
        </w:tc>
      </w:tr>
      <w:tr w:rsidR="00DD0D7A" w:rsidRPr="00024EB0" w14:paraId="2BC4CFE7" w14:textId="77777777" w:rsidTr="00096611">
        <w:trPr>
          <w:trHeight w:val="300"/>
        </w:trPr>
        <w:tc>
          <w:tcPr>
            <w:tcW w:w="2749" w:type="pct"/>
            <w:tcBorders>
              <w:top w:val="nil"/>
            </w:tcBorders>
            <w:noWrap/>
          </w:tcPr>
          <w:p w14:paraId="277524CB" w14:textId="77777777" w:rsidR="00DD0D7A" w:rsidRPr="00024EB0" w:rsidRDefault="00DD0D7A" w:rsidP="00DD0D7A">
            <w:pPr>
              <w:pStyle w:val="TableText"/>
            </w:pPr>
            <w:r>
              <w:t>#1, #2, #3 AND #4</w:t>
            </w:r>
          </w:p>
        </w:tc>
        <w:tc>
          <w:tcPr>
            <w:tcW w:w="602" w:type="pct"/>
            <w:tcBorders>
              <w:top w:val="nil"/>
            </w:tcBorders>
            <w:noWrap/>
          </w:tcPr>
          <w:p w14:paraId="54115371" w14:textId="77777777" w:rsidR="00DD0D7A" w:rsidRPr="00024EB0" w:rsidRDefault="00DD0D7A" w:rsidP="00DD0D7A">
            <w:pPr>
              <w:pStyle w:val="TableText"/>
              <w:jc w:val="right"/>
            </w:pPr>
            <w:r w:rsidRPr="00362F21">
              <w:t>$366.57</w:t>
            </w:r>
          </w:p>
        </w:tc>
        <w:tc>
          <w:tcPr>
            <w:tcW w:w="603" w:type="pct"/>
            <w:tcBorders>
              <w:top w:val="nil"/>
            </w:tcBorders>
            <w:noWrap/>
          </w:tcPr>
          <w:p w14:paraId="37BAEBC5" w14:textId="77777777" w:rsidR="00DD0D7A" w:rsidRPr="00024EB0" w:rsidRDefault="00DD0D7A" w:rsidP="00DD0D7A">
            <w:pPr>
              <w:pStyle w:val="TableText"/>
              <w:jc w:val="right"/>
            </w:pPr>
            <w:r w:rsidRPr="00362F21">
              <w:t>0.0219</w:t>
            </w:r>
          </w:p>
        </w:tc>
        <w:tc>
          <w:tcPr>
            <w:tcW w:w="603" w:type="pct"/>
            <w:tcBorders>
              <w:top w:val="nil"/>
            </w:tcBorders>
            <w:noWrap/>
          </w:tcPr>
          <w:p w14:paraId="18F3B69E" w14:textId="77777777" w:rsidR="00DD0D7A" w:rsidRPr="00024EB0" w:rsidRDefault="00DD0D7A" w:rsidP="00DD0D7A">
            <w:pPr>
              <w:pStyle w:val="TableText"/>
              <w:jc w:val="right"/>
            </w:pPr>
            <w:r w:rsidRPr="00362F21">
              <w:t>$16,767</w:t>
            </w:r>
          </w:p>
        </w:tc>
        <w:tc>
          <w:tcPr>
            <w:tcW w:w="443" w:type="pct"/>
            <w:tcBorders>
              <w:top w:val="nil"/>
            </w:tcBorders>
            <w:noWrap/>
          </w:tcPr>
          <w:p w14:paraId="58B17AE7" w14:textId="3BF9BBF5" w:rsidR="00DD0D7A" w:rsidRPr="00024EB0" w:rsidRDefault="00DD0D7A" w:rsidP="00DD0D7A">
            <w:pPr>
              <w:pStyle w:val="TableText"/>
              <w:jc w:val="right"/>
            </w:pPr>
            <w:r w:rsidRPr="003B6B47">
              <w:t>124%</w:t>
            </w:r>
          </w:p>
        </w:tc>
      </w:tr>
    </w:tbl>
    <w:p w14:paraId="38689E8B" w14:textId="77777777" w:rsidR="004E63D6" w:rsidRDefault="004E63D6" w:rsidP="004E63D6">
      <w:pPr>
        <w:pStyle w:val="TableFooter"/>
      </w:pPr>
      <w:r w:rsidRPr="00916E2F">
        <w:rPr>
          <w:vertAlign w:val="superscript"/>
        </w:rPr>
        <w:t>a</w:t>
      </w:r>
      <w:r w:rsidRPr="00916E2F">
        <w:t xml:space="preserve"> </w:t>
      </w:r>
      <w:r>
        <w:t>Half the difference between test strategies</w:t>
      </w:r>
    </w:p>
    <w:p w14:paraId="20971B3B" w14:textId="197F67A1" w:rsidR="004E63D6" w:rsidRDefault="004E63D6" w:rsidP="004E63D6">
      <w:pPr>
        <w:pStyle w:val="TableFooter"/>
      </w:pPr>
      <w:r w:rsidRPr="00916E2F">
        <w:rPr>
          <w:vertAlign w:val="superscript"/>
        </w:rPr>
        <w:t>b</w:t>
      </w:r>
      <w:r>
        <w:t xml:space="preserve"> Double the difference between test strategies</w:t>
      </w:r>
    </w:p>
    <w:p w14:paraId="47B747A8" w14:textId="475C1B42" w:rsidR="00A20449" w:rsidRPr="00916E2F" w:rsidRDefault="00A20449" w:rsidP="004E63D6">
      <w:pPr>
        <w:pStyle w:val="TableFooter"/>
      </w:pPr>
      <w:r w:rsidRPr="00A20449">
        <w:rPr>
          <w:vertAlign w:val="superscript"/>
        </w:rPr>
        <w:t>c</w:t>
      </w:r>
      <w:r>
        <w:t xml:space="preserve"> Estimates of FISH use in the base case was calibrated to MBS utilisation data on the ratio of </w:t>
      </w:r>
      <w:r w:rsidRPr="00A20449">
        <w:rPr>
          <w:i/>
        </w:rPr>
        <w:t>EGFR</w:t>
      </w:r>
      <w:r>
        <w:t>:</w:t>
      </w:r>
      <w:r w:rsidRPr="00A20449">
        <w:rPr>
          <w:i/>
        </w:rPr>
        <w:t>ALK</w:t>
      </w:r>
      <w:r>
        <w:t xml:space="preserve"> or </w:t>
      </w:r>
      <w:r w:rsidRPr="00A20449">
        <w:rPr>
          <w:i/>
        </w:rPr>
        <w:t>ROS1</w:t>
      </w:r>
      <w:r>
        <w:t xml:space="preserve"> FISH services. The sensitivity analysis uses estimates based on biomarker prevalence and IHC specificity.</w:t>
      </w:r>
    </w:p>
    <w:p w14:paraId="5FFC6D04" w14:textId="6DAAD110" w:rsidR="004E63D6" w:rsidRDefault="004E63D6" w:rsidP="004E63D6">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DNA = deoxyribose nucleic acid; </w:t>
      </w:r>
      <w:r w:rsidRPr="00A81F01">
        <w:rPr>
          <w:i/>
        </w:rPr>
        <w:t>EGFR</w:t>
      </w:r>
      <w:r>
        <w:t xml:space="preserve"> = </w:t>
      </w:r>
      <w:r w:rsidRPr="00A81F01">
        <w:t>epidermal growth factor receptor</w:t>
      </w:r>
      <w:r>
        <w:t>; FISH = f</w:t>
      </w:r>
      <w:r w:rsidRPr="003316EF">
        <w:t xml:space="preserve">luorescence </w:t>
      </w:r>
      <w:r w:rsidRPr="00357441">
        <w:rPr>
          <w:i/>
          <w:iCs/>
        </w:rPr>
        <w:t>in situ</w:t>
      </w:r>
      <w:r w:rsidRPr="003316EF">
        <w:t xml:space="preserve"> hybridisation</w:t>
      </w:r>
      <w:r>
        <w:t xml:space="preserve">; ICER = incremental cost-effectiveness ratio; IHC = immunohistochemistry; </w:t>
      </w:r>
      <w:r w:rsidRPr="000B3989">
        <w:rPr>
          <w:i/>
          <w:iCs/>
        </w:rPr>
        <w:t>KRAS</w:t>
      </w:r>
      <w:r w:rsidRPr="00B52D8D">
        <w:t xml:space="preserve"> = Kirsten rat sarcoma viral oncogene homologue</w:t>
      </w:r>
      <w:r>
        <w:t xml:space="preserve">; </w:t>
      </w:r>
      <w:r w:rsidRPr="00336456">
        <w:rPr>
          <w:i/>
        </w:rPr>
        <w:t>MET</w:t>
      </w:r>
      <w:r>
        <w:t xml:space="preserve">ex14sk = MET proto-oncogene, receptor tyrosine kinase exon 14 skipping alterations; NPA = negative percent agreement; </w:t>
      </w:r>
      <w:r w:rsidRPr="000B3989">
        <w:rPr>
          <w:i/>
          <w:iCs/>
        </w:rPr>
        <w:t>NTRK</w:t>
      </w:r>
      <w:r w:rsidRPr="00B52D8D">
        <w:t xml:space="preserve"> = neurotrophic tropomyosin receptor kinase;</w:t>
      </w:r>
      <w:r>
        <w:t xml:space="preserve"> </w:t>
      </w:r>
      <w:r w:rsidR="00C13707">
        <w:t xml:space="preserve">PPA = positive percent agreement; </w:t>
      </w:r>
      <w:r>
        <w:t>RNA = ribonucleic acid;</w:t>
      </w:r>
      <w:r w:rsidRPr="00B52D8D">
        <w:t xml:space="preserve"> </w:t>
      </w:r>
      <w:r w:rsidRPr="00743D1B">
        <w:rPr>
          <w:i/>
        </w:rPr>
        <w:t>ROS1</w:t>
      </w:r>
      <w:r>
        <w:t xml:space="preserve"> = ROS proto-oncogene 1.</w:t>
      </w:r>
    </w:p>
    <w:p w14:paraId="71EF1056" w14:textId="7D0B236D" w:rsidR="004E63D6" w:rsidRDefault="004E63D6" w:rsidP="004E63D6">
      <w:pPr>
        <w:pStyle w:val="NormalBeforeBullet"/>
      </w:pPr>
      <w:r>
        <w:t xml:space="preserve">The analyses were most sensitive to the proportion of patients with advanced disease (as this affects the current costs offset), the small gene panel testing strategy used (including distribution of strategies used), differences in the test success rate, concordance of small gene panel testing (particularly NPA, which is assumed to increase </w:t>
      </w:r>
      <w:r w:rsidR="004445CC">
        <w:t>incremental</w:t>
      </w:r>
      <w:r>
        <w:t xml:space="preserve"> variants</w:t>
      </w:r>
      <w:r w:rsidR="004445CC">
        <w:t xml:space="preserve"> with small gene panel testing</w:t>
      </w:r>
      <w:r>
        <w:t xml:space="preserve">), and rebiopsy rate. The analysis was also sensitive to the assumption that patients found to have </w:t>
      </w:r>
      <w:r w:rsidRPr="0028041B">
        <w:rPr>
          <w:i/>
        </w:rPr>
        <w:t>KRAS</w:t>
      </w:r>
      <w:r>
        <w:t xml:space="preserve"> and </w:t>
      </w:r>
      <w:r w:rsidRPr="0028041B">
        <w:rPr>
          <w:i/>
        </w:rPr>
        <w:t>BRAF</w:t>
      </w:r>
      <w:r>
        <w:t xml:space="preserve"> variants on the DNA panel only would not receive RNA small gene panel testing (and expected yield of these non-actionable variants). I</w:t>
      </w:r>
      <w:r w:rsidRPr="00D03BA2">
        <w:t>nstances of concurrent variants may be more common than previously thought. A prosp</w:t>
      </w:r>
      <w:r>
        <w:t>ective case series</w:t>
      </w:r>
      <w:r>
        <w:rPr>
          <w:rStyle w:val="FootnoteReference"/>
        </w:rPr>
        <w:footnoteReference w:id="16"/>
      </w:r>
      <w:r>
        <w:t xml:space="preserve"> from Germany</w:t>
      </w:r>
      <w:r w:rsidRPr="00D03BA2">
        <w:t xml:space="preserve"> reported that of all patients with </w:t>
      </w:r>
      <w:r w:rsidRPr="0028041B">
        <w:rPr>
          <w:i/>
        </w:rPr>
        <w:t>ROS1</w:t>
      </w:r>
      <w:r w:rsidRPr="00D03BA2">
        <w:t xml:space="preserve"> and </w:t>
      </w:r>
      <w:r w:rsidRPr="0028041B">
        <w:rPr>
          <w:i/>
        </w:rPr>
        <w:t>ALK</w:t>
      </w:r>
      <w:r w:rsidRPr="00D03BA2">
        <w:t xml:space="preserve"> variants identified, respectively, 23.7% (14/59) and 16.1% (19/118) also had variants in </w:t>
      </w:r>
      <w:r w:rsidRPr="0028041B">
        <w:rPr>
          <w:i/>
        </w:rPr>
        <w:t>BRAF</w:t>
      </w:r>
      <w:r w:rsidRPr="00D03BA2">
        <w:t xml:space="preserve"> or </w:t>
      </w:r>
      <w:r w:rsidRPr="0028041B">
        <w:rPr>
          <w:i/>
        </w:rPr>
        <w:t>KRAS</w:t>
      </w:r>
      <w:r w:rsidRPr="00D03BA2">
        <w:t>.</w:t>
      </w:r>
    </w:p>
    <w:p w14:paraId="7B52A3EE" w14:textId="77777777" w:rsidR="004E63D6" w:rsidRDefault="004E63D6" w:rsidP="004E63D6">
      <w:pPr>
        <w:pStyle w:val="NormalBeforeBullet"/>
      </w:pPr>
      <w:r>
        <w:t>A few assumptions included in the base case analysis may not be the most conservative approach. Justification has been provided to support the use of the estimates in the base case, however multivariate analyses are performed using alternate approaches identified. The results do suggest that the analyses are sensitive to the combined effects of these changes.</w:t>
      </w:r>
    </w:p>
    <w:p w14:paraId="295CFC17" w14:textId="77777777" w:rsidR="004E63D6" w:rsidRPr="00CE28E3" w:rsidRDefault="004E63D6" w:rsidP="004E63D6">
      <w:pPr>
        <w:pStyle w:val="Heading2"/>
        <w:numPr>
          <w:ilvl w:val="0"/>
          <w:numId w:val="0"/>
        </w:numPr>
      </w:pPr>
      <w:bookmarkStart w:id="40" w:name="_Toc109054443"/>
      <w:bookmarkStart w:id="41" w:name="_Toc148531128"/>
      <w:r>
        <w:t>12.</w:t>
      </w:r>
      <w:r>
        <w:tab/>
      </w:r>
      <w:r w:rsidRPr="00CE28E3">
        <w:t>Financial/budgetary impacts</w:t>
      </w:r>
      <w:bookmarkEnd w:id="40"/>
      <w:bookmarkEnd w:id="41"/>
    </w:p>
    <w:p w14:paraId="6F3FD2B9" w14:textId="486D2AC0" w:rsidR="004E63D6" w:rsidRDefault="004E63D6" w:rsidP="004E63D6">
      <w:r>
        <w:t xml:space="preserve">A market-share approach was used to estimate the extent of use of small gene panel testing in patients with non-squamous NSCLC with MBS listing. This was based on projections of current </w:t>
      </w:r>
      <w:r w:rsidRPr="0062157F">
        <w:rPr>
          <w:i/>
        </w:rPr>
        <w:t xml:space="preserve">EGFR </w:t>
      </w:r>
      <w:r>
        <w:t xml:space="preserve">service use and current use of </w:t>
      </w:r>
      <w:r w:rsidRPr="00F51CE4">
        <w:rPr>
          <w:i/>
        </w:rPr>
        <w:t>ALK</w:t>
      </w:r>
      <w:r>
        <w:t xml:space="preserve"> and </w:t>
      </w:r>
      <w:r w:rsidRPr="00F51CE4">
        <w:rPr>
          <w:i/>
        </w:rPr>
        <w:t>ROS1</w:t>
      </w:r>
      <w:r>
        <w:t xml:space="preserve"> FISH services </w:t>
      </w:r>
      <w:r w:rsidR="00264808">
        <w:t xml:space="preserve">relative </w:t>
      </w:r>
      <w:r>
        <w:t xml:space="preserve">to </w:t>
      </w:r>
      <w:r w:rsidRPr="0063086A">
        <w:rPr>
          <w:i/>
          <w:iCs/>
        </w:rPr>
        <w:t>EGFR</w:t>
      </w:r>
      <w:r w:rsidR="0063086A">
        <w:t xml:space="preserve"> services.</w:t>
      </w:r>
      <w:r>
        <w:t xml:space="preserve"> </w:t>
      </w:r>
      <w:r w:rsidRPr="0062157F">
        <w:rPr>
          <w:i/>
        </w:rPr>
        <w:t>MET</w:t>
      </w:r>
      <w:r>
        <w:t xml:space="preserve">ex14sk testing has also recently been recommended by MSAC in this patient population. Epidemiological estimates are applied to the projections of </w:t>
      </w:r>
      <w:r w:rsidRPr="0062157F">
        <w:rPr>
          <w:i/>
        </w:rPr>
        <w:t xml:space="preserve">EGFR </w:t>
      </w:r>
      <w:r>
        <w:t xml:space="preserve">use to estimate the change in use and cost related to </w:t>
      </w:r>
      <w:r w:rsidRPr="0062157F">
        <w:rPr>
          <w:i/>
        </w:rPr>
        <w:t>MET</w:t>
      </w:r>
      <w:r>
        <w:t>ex14sk testing.</w:t>
      </w:r>
    </w:p>
    <w:p w14:paraId="7E83F146" w14:textId="66121BA2" w:rsidR="004E63D6" w:rsidRDefault="004E63D6" w:rsidP="004E63D6">
      <w:r w:rsidRPr="00CE28E3">
        <w:t xml:space="preserve">The financial implications to the </w:t>
      </w:r>
      <w:r w:rsidRPr="0028345B">
        <w:t>MBS</w:t>
      </w:r>
      <w:r w:rsidRPr="00CE28E3">
        <w:t xml:space="preserve"> resulting from the proposed listing of </w:t>
      </w:r>
      <w:r>
        <w:t>small gene panel testing</w:t>
      </w:r>
      <w:r w:rsidRPr="00CE28E3">
        <w:t xml:space="preserve"> are summarised in </w:t>
      </w:r>
      <w:r>
        <w:fldChar w:fldCharType="begin"/>
      </w:r>
      <w:r>
        <w:instrText xml:space="preserve"> REF _Ref69726382 \h </w:instrText>
      </w:r>
      <w:r>
        <w:fldChar w:fldCharType="separate"/>
      </w:r>
      <w:r w:rsidR="00C857F3" w:rsidRPr="00CE28E3">
        <w:t>Table</w:t>
      </w:r>
      <w:r w:rsidR="00C857F3">
        <w:t> </w:t>
      </w:r>
      <w:r w:rsidR="00C857F3">
        <w:rPr>
          <w:noProof/>
        </w:rPr>
        <w:t>14</w:t>
      </w:r>
      <w:r>
        <w:fldChar w:fldCharType="end"/>
      </w:r>
      <w:r w:rsidRPr="00CE28E3">
        <w:t>.</w:t>
      </w:r>
    </w:p>
    <w:p w14:paraId="26CC0431" w14:textId="0F6B1760" w:rsidR="004E63D6" w:rsidRPr="00CE28E3" w:rsidRDefault="004E63D6" w:rsidP="004E63D6">
      <w:pPr>
        <w:pStyle w:val="Caption"/>
      </w:pPr>
      <w:bookmarkStart w:id="42" w:name="_Ref69726382"/>
      <w:r w:rsidRPr="00CE28E3">
        <w:lastRenderedPageBreak/>
        <w:t>Table</w:t>
      </w:r>
      <w:r>
        <w:t> </w:t>
      </w:r>
      <w:fldSimple w:instr=" SEQ Table \* ARABIC ">
        <w:r w:rsidR="00C857F3">
          <w:rPr>
            <w:noProof/>
          </w:rPr>
          <w:t>14</w:t>
        </w:r>
      </w:fldSimple>
      <w:bookmarkEnd w:id="42"/>
      <w:r w:rsidRPr="00CE28E3">
        <w:tab/>
        <w:t xml:space="preserve">Net financial implications of </w:t>
      </w:r>
      <w:r>
        <w:t xml:space="preserve">small gene panel testing </w:t>
      </w:r>
      <w:r w:rsidRPr="00CE28E3">
        <w:t xml:space="preserve">to the </w:t>
      </w:r>
      <w:r>
        <w:t>MBS</w:t>
      </w:r>
    </w:p>
    <w:tbl>
      <w:tblPr>
        <w:tblStyle w:val="TableGrid1"/>
        <w:tblW w:w="0" w:type="auto"/>
        <w:tblLayout w:type="fixed"/>
        <w:tblCellMar>
          <w:left w:w="0" w:type="dxa"/>
          <w:right w:w="0" w:type="dxa"/>
        </w:tblCellMar>
        <w:tblLook w:val="04A0" w:firstRow="1" w:lastRow="0" w:firstColumn="1" w:lastColumn="0" w:noHBand="0" w:noVBand="1"/>
        <w:tblCaption w:val="Net financial implications of small gene panel testing to the MBS"/>
        <w:tblDescription w:val="Net financial implications of small gene panel testing to the MBS"/>
      </w:tblPr>
      <w:tblGrid>
        <w:gridCol w:w="2784"/>
        <w:gridCol w:w="1037"/>
        <w:gridCol w:w="1037"/>
        <w:gridCol w:w="1037"/>
        <w:gridCol w:w="1037"/>
        <w:gridCol w:w="1037"/>
        <w:gridCol w:w="1037"/>
      </w:tblGrid>
      <w:tr w:rsidR="004E63D6" w:rsidRPr="00CE28E3" w14:paraId="702375FC"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C985B8" w14:textId="77777777" w:rsidR="004E63D6" w:rsidRPr="00CE28E3" w:rsidRDefault="004E63D6" w:rsidP="00CA410A">
            <w:pPr>
              <w:pStyle w:val="TableHeading"/>
            </w:pPr>
            <w:r>
              <w:t xml:space="preserve">Parameter </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1BCD57" w14:textId="77777777" w:rsidR="004E63D6" w:rsidRPr="002A0A63" w:rsidRDefault="004E63D6" w:rsidP="00CA410A">
            <w:pPr>
              <w:pStyle w:val="TableHeading"/>
              <w:jc w:val="center"/>
            </w:pPr>
            <w:r w:rsidRPr="002A0A63">
              <w:t>2023</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A17938" w14:textId="77777777" w:rsidR="004E63D6" w:rsidRPr="002A0A63" w:rsidRDefault="004E63D6" w:rsidP="00CA410A">
            <w:pPr>
              <w:pStyle w:val="TableHeading"/>
              <w:jc w:val="center"/>
            </w:pPr>
            <w:r w:rsidRPr="002A0A63">
              <w:t>2024</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B42181" w14:textId="77777777" w:rsidR="004E63D6" w:rsidRPr="002A0A63" w:rsidRDefault="004E63D6" w:rsidP="00CA410A">
            <w:pPr>
              <w:pStyle w:val="TableHeading"/>
              <w:jc w:val="center"/>
            </w:pPr>
            <w:r w:rsidRPr="002A0A63">
              <w:t>2025</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760245" w14:textId="77777777" w:rsidR="004E63D6" w:rsidRPr="002A0A63" w:rsidRDefault="004E63D6" w:rsidP="00CA410A">
            <w:pPr>
              <w:pStyle w:val="TableHeading"/>
              <w:jc w:val="center"/>
            </w:pPr>
            <w:r w:rsidRPr="002A0A63">
              <w:t>2026</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41D195" w14:textId="77777777" w:rsidR="004E63D6" w:rsidRPr="002A0A63" w:rsidRDefault="004E63D6" w:rsidP="00CA410A">
            <w:pPr>
              <w:pStyle w:val="TableHeading"/>
              <w:jc w:val="center"/>
            </w:pPr>
            <w:r w:rsidRPr="002A0A63">
              <w:t>2027</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1203AB" w14:textId="77777777" w:rsidR="004E63D6" w:rsidRPr="002A0A63" w:rsidRDefault="004E63D6" w:rsidP="00CA410A">
            <w:pPr>
              <w:pStyle w:val="TableHeading"/>
              <w:jc w:val="center"/>
            </w:pPr>
            <w:r w:rsidRPr="002A0A63">
              <w:t>2028</w:t>
            </w:r>
          </w:p>
        </w:tc>
      </w:tr>
      <w:tr w:rsidR="004E63D6" w:rsidRPr="00CE28E3" w14:paraId="064C138A" w14:textId="77777777" w:rsidTr="00CA410A">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22D99" w14:textId="77777777" w:rsidR="004E63D6" w:rsidRPr="00CE28E3" w:rsidRDefault="004E63D6" w:rsidP="00CA410A">
            <w:pPr>
              <w:pStyle w:val="TableText"/>
              <w:keepNext/>
              <w:rPr>
                <w:b/>
                <w:bCs/>
              </w:rPr>
            </w:pPr>
            <w:r w:rsidRPr="00CE28E3">
              <w:rPr>
                <w:b/>
                <w:bCs/>
              </w:rPr>
              <w:t>Estimated use and cost of the proposed health technology</w:t>
            </w:r>
          </w:p>
        </w:tc>
      </w:tr>
      <w:tr w:rsidR="004E63D6" w:rsidRPr="00CE28E3" w14:paraId="027D2C65"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3727" w14:textId="77777777" w:rsidR="004E63D6" w:rsidRPr="00CE28E3" w:rsidRDefault="004E63D6" w:rsidP="00CA410A">
            <w:pPr>
              <w:pStyle w:val="TableText"/>
              <w:keepNext/>
            </w:pPr>
            <w:r>
              <w:t xml:space="preserve">Size of the </w:t>
            </w:r>
            <w:r w:rsidRPr="002A0A63">
              <w:rPr>
                <w:i/>
              </w:rPr>
              <w:t>EGFR</w:t>
            </w:r>
            <w:r>
              <w:t xml:space="preserve"> testing market</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0CE987A" w14:textId="77777777" w:rsidR="004E63D6" w:rsidRPr="00CE28E3" w:rsidRDefault="004E63D6" w:rsidP="00CA410A">
            <w:pPr>
              <w:pStyle w:val="TableText"/>
              <w:keepNext/>
              <w:jc w:val="right"/>
            </w:pPr>
            <w:r w:rsidRPr="00770A2E">
              <w:t>5,521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00BC5AD6" w14:textId="77777777" w:rsidR="004E63D6" w:rsidRPr="00CE28E3" w:rsidRDefault="004E63D6" w:rsidP="00CA410A">
            <w:pPr>
              <w:pStyle w:val="TableText"/>
              <w:keepNext/>
              <w:jc w:val="right"/>
            </w:pPr>
            <w:r w:rsidRPr="00770A2E">
              <w:t>5,797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4F58767" w14:textId="77777777" w:rsidR="004E63D6" w:rsidRPr="00CE28E3" w:rsidRDefault="004E63D6" w:rsidP="00CA410A">
            <w:pPr>
              <w:pStyle w:val="TableText"/>
              <w:keepNext/>
              <w:jc w:val="right"/>
            </w:pPr>
            <w:r w:rsidRPr="00770A2E">
              <w:t>6,074</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A585515" w14:textId="77777777" w:rsidR="004E63D6" w:rsidRPr="00CE28E3" w:rsidRDefault="004E63D6" w:rsidP="00CA410A">
            <w:pPr>
              <w:pStyle w:val="TableText"/>
              <w:keepNext/>
              <w:jc w:val="right"/>
            </w:pPr>
            <w:r w:rsidRPr="00770A2E">
              <w:t>6,351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9C4E3B0" w14:textId="77777777" w:rsidR="004E63D6" w:rsidRPr="00CE28E3" w:rsidRDefault="004E63D6" w:rsidP="00CA410A">
            <w:pPr>
              <w:pStyle w:val="TableText"/>
              <w:keepNext/>
              <w:jc w:val="right"/>
            </w:pPr>
            <w:r w:rsidRPr="00770A2E">
              <w:t>6,628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15FC7B4" w14:textId="77777777" w:rsidR="004E63D6" w:rsidRPr="00CE28E3" w:rsidRDefault="004E63D6" w:rsidP="00CA410A">
            <w:pPr>
              <w:pStyle w:val="TableText"/>
              <w:keepNext/>
              <w:jc w:val="right"/>
            </w:pPr>
            <w:r w:rsidRPr="00770A2E">
              <w:t>6,905</w:t>
            </w:r>
          </w:p>
        </w:tc>
      </w:tr>
      <w:tr w:rsidR="004E63D6" w:rsidRPr="00CE28E3" w14:paraId="06F7739A"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1CD6AA" w14:textId="77777777" w:rsidR="004E63D6" w:rsidRPr="00CE28E3" w:rsidRDefault="004E63D6" w:rsidP="00CA410A">
            <w:pPr>
              <w:pStyle w:val="TableText"/>
              <w:keepNext/>
            </w:pPr>
            <w:r>
              <w:t xml:space="preserve">Share of the </w:t>
            </w:r>
            <w:r w:rsidRPr="007527E6">
              <w:rPr>
                <w:i/>
              </w:rPr>
              <w:t>EGFR</w:t>
            </w:r>
            <w:r>
              <w:t xml:space="preserve"> testing market (100%)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8640589" w14:textId="77777777" w:rsidR="004E63D6" w:rsidRPr="00CE28E3" w:rsidRDefault="004E63D6" w:rsidP="00CA410A">
            <w:pPr>
              <w:pStyle w:val="TableText"/>
              <w:keepNext/>
              <w:jc w:val="right"/>
            </w:pPr>
            <w:r w:rsidRPr="00770A2E">
              <w:t>5,521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0353814" w14:textId="77777777" w:rsidR="004E63D6" w:rsidRPr="00CE28E3" w:rsidRDefault="004E63D6" w:rsidP="00CA410A">
            <w:pPr>
              <w:pStyle w:val="TableText"/>
              <w:keepNext/>
              <w:jc w:val="right"/>
            </w:pPr>
            <w:r w:rsidRPr="00770A2E">
              <w:t>5,797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4B532E7" w14:textId="77777777" w:rsidR="004E63D6" w:rsidRPr="00CE28E3" w:rsidRDefault="004E63D6" w:rsidP="00CA410A">
            <w:pPr>
              <w:pStyle w:val="TableText"/>
              <w:keepNext/>
              <w:jc w:val="right"/>
            </w:pPr>
            <w:r w:rsidRPr="00770A2E">
              <w:t>6,074</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66EA760" w14:textId="77777777" w:rsidR="004E63D6" w:rsidRPr="00CE28E3" w:rsidRDefault="004E63D6" w:rsidP="00CA410A">
            <w:pPr>
              <w:pStyle w:val="TableText"/>
              <w:keepNext/>
              <w:jc w:val="right"/>
            </w:pPr>
            <w:r w:rsidRPr="00770A2E">
              <w:t>6,351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E17F774" w14:textId="77777777" w:rsidR="004E63D6" w:rsidRPr="00CE28E3" w:rsidRDefault="004E63D6" w:rsidP="00CA410A">
            <w:pPr>
              <w:pStyle w:val="TableText"/>
              <w:keepNext/>
              <w:jc w:val="right"/>
            </w:pPr>
            <w:r w:rsidRPr="00770A2E">
              <w:t>6,628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87CCDFF" w14:textId="77777777" w:rsidR="004E63D6" w:rsidRPr="00CE28E3" w:rsidRDefault="004E63D6" w:rsidP="00CA410A">
            <w:pPr>
              <w:pStyle w:val="TableText"/>
              <w:keepNext/>
              <w:jc w:val="right"/>
            </w:pPr>
            <w:r w:rsidRPr="00770A2E">
              <w:t>6,905</w:t>
            </w:r>
          </w:p>
        </w:tc>
      </w:tr>
      <w:tr w:rsidR="004E63D6" w:rsidRPr="00CE28E3" w14:paraId="732DED0E"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1A84C1" w14:textId="77777777" w:rsidR="004E63D6" w:rsidRPr="00CE28E3" w:rsidRDefault="004E63D6" w:rsidP="00CA410A">
            <w:pPr>
              <w:pStyle w:val="TableText"/>
              <w:keepNext/>
            </w:pPr>
            <w:r w:rsidRPr="00CE28E3">
              <w:t xml:space="preserve">Number of services of </w:t>
            </w:r>
            <w:r>
              <w:t>small gene panel testing</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A63C797" w14:textId="77777777" w:rsidR="004E63D6" w:rsidRPr="00CE28E3" w:rsidRDefault="004E63D6" w:rsidP="00CA410A">
            <w:pPr>
              <w:pStyle w:val="TableText"/>
              <w:keepNext/>
              <w:jc w:val="right"/>
            </w:pPr>
            <w:r w:rsidRPr="00770A2E">
              <w:t>7,425</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20ECBFC7" w14:textId="77777777" w:rsidR="004E63D6" w:rsidRPr="00CE28E3" w:rsidRDefault="004E63D6" w:rsidP="00CA410A">
            <w:pPr>
              <w:pStyle w:val="TableText"/>
              <w:keepNext/>
              <w:jc w:val="right"/>
            </w:pPr>
            <w:r w:rsidRPr="00770A2E">
              <w:t>7,798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585F98E" w14:textId="77777777" w:rsidR="004E63D6" w:rsidRPr="00CE28E3" w:rsidRDefault="004E63D6" w:rsidP="00CA410A">
            <w:pPr>
              <w:pStyle w:val="TableText"/>
              <w:keepNext/>
              <w:jc w:val="right"/>
            </w:pPr>
            <w:r w:rsidRPr="00770A2E">
              <w:t>8,030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FC38244" w14:textId="77777777" w:rsidR="004E63D6" w:rsidRPr="00CE28E3" w:rsidRDefault="004E63D6" w:rsidP="00CA410A">
            <w:pPr>
              <w:pStyle w:val="TableText"/>
              <w:keepNext/>
              <w:jc w:val="right"/>
            </w:pPr>
            <w:r w:rsidRPr="00770A2E">
              <w:t>8,250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A69680F" w14:textId="77777777" w:rsidR="004E63D6" w:rsidRPr="00CE28E3" w:rsidRDefault="004E63D6" w:rsidP="00CA410A">
            <w:pPr>
              <w:pStyle w:val="TableText"/>
              <w:keepNext/>
              <w:jc w:val="right"/>
            </w:pPr>
            <w:r w:rsidRPr="00770A2E">
              <w:t>8,458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8C9DCF0" w14:textId="77777777" w:rsidR="004E63D6" w:rsidRPr="00CE28E3" w:rsidRDefault="004E63D6" w:rsidP="00CA410A">
            <w:pPr>
              <w:pStyle w:val="TableText"/>
              <w:keepNext/>
              <w:jc w:val="right"/>
            </w:pPr>
            <w:r w:rsidRPr="00770A2E">
              <w:t>8,493</w:t>
            </w:r>
          </w:p>
        </w:tc>
      </w:tr>
      <w:tr w:rsidR="004E63D6" w:rsidRPr="00CE28E3" w14:paraId="016BB265" w14:textId="77777777" w:rsidTr="00CA410A">
        <w:tc>
          <w:tcPr>
            <w:tcW w:w="2784" w:type="dxa"/>
            <w:tcBorders>
              <w:top w:val="single" w:sz="8" w:space="0" w:color="auto"/>
              <w:left w:val="single" w:sz="8" w:space="0" w:color="auto"/>
              <w:right w:val="single" w:sz="8" w:space="0" w:color="auto"/>
            </w:tcBorders>
            <w:tcMar>
              <w:top w:w="0" w:type="dxa"/>
              <w:left w:w="108" w:type="dxa"/>
              <w:bottom w:w="0" w:type="dxa"/>
              <w:right w:w="108" w:type="dxa"/>
            </w:tcMar>
          </w:tcPr>
          <w:p w14:paraId="43EC1451" w14:textId="4370BD23" w:rsidR="004E63D6" w:rsidRPr="00CE28E3" w:rsidRDefault="004E63D6" w:rsidP="00B95D45">
            <w:pPr>
              <w:pStyle w:val="TableText"/>
              <w:keepNext/>
              <w:numPr>
                <w:ilvl w:val="0"/>
                <w:numId w:val="28"/>
              </w:numPr>
              <w:ind w:left="166" w:hanging="129"/>
            </w:pPr>
            <w:r>
              <w:t>Combined DNA/RNA</w:t>
            </w:r>
            <w:r w:rsidR="00B95D45">
              <w:t xml:space="preserve"> </w:t>
            </w:r>
            <w:r w:rsidR="00B95D45">
              <w:br/>
              <w:t>(MBS benefit: $1,087.92)</w:t>
            </w:r>
            <w:r w:rsidR="00B95D45" w:rsidRPr="006244EA">
              <w:rPr>
                <w:vertAlign w:val="superscript"/>
              </w:rPr>
              <w:t>a</w:t>
            </w:r>
          </w:p>
        </w:tc>
        <w:tc>
          <w:tcPr>
            <w:tcW w:w="1037" w:type="dxa"/>
            <w:tcBorders>
              <w:top w:val="single" w:sz="8" w:space="0" w:color="auto"/>
              <w:left w:val="nil"/>
              <w:right w:val="single" w:sz="8" w:space="0" w:color="auto"/>
            </w:tcBorders>
            <w:tcMar>
              <w:top w:w="0" w:type="dxa"/>
              <w:left w:w="108" w:type="dxa"/>
              <w:bottom w:w="0" w:type="dxa"/>
              <w:right w:w="108" w:type="dxa"/>
            </w:tcMar>
          </w:tcPr>
          <w:p w14:paraId="52D4465C" w14:textId="77777777" w:rsidR="004E63D6" w:rsidRPr="00AE0C9A" w:rsidRDefault="004E63D6" w:rsidP="00CA410A">
            <w:pPr>
              <w:pStyle w:val="TableText"/>
              <w:keepNext/>
              <w:jc w:val="right"/>
            </w:pPr>
            <w:r w:rsidRPr="0059251C">
              <w:t>1,380</w:t>
            </w:r>
          </w:p>
        </w:tc>
        <w:tc>
          <w:tcPr>
            <w:tcW w:w="1037" w:type="dxa"/>
            <w:tcBorders>
              <w:top w:val="single" w:sz="8" w:space="0" w:color="auto"/>
              <w:left w:val="nil"/>
              <w:right w:val="single" w:sz="8" w:space="0" w:color="auto"/>
            </w:tcBorders>
            <w:tcMar>
              <w:top w:w="0" w:type="dxa"/>
              <w:left w:w="108" w:type="dxa"/>
              <w:bottom w:w="0" w:type="dxa"/>
              <w:right w:w="108" w:type="dxa"/>
            </w:tcMar>
          </w:tcPr>
          <w:p w14:paraId="349C1695" w14:textId="77777777" w:rsidR="004E63D6" w:rsidRPr="00AE0C9A" w:rsidRDefault="004E63D6" w:rsidP="00CA410A">
            <w:pPr>
              <w:pStyle w:val="TableText"/>
              <w:keepNext/>
              <w:jc w:val="right"/>
            </w:pPr>
            <w:r w:rsidRPr="0059251C">
              <w:t>1,449</w:t>
            </w:r>
          </w:p>
        </w:tc>
        <w:tc>
          <w:tcPr>
            <w:tcW w:w="1037" w:type="dxa"/>
            <w:tcBorders>
              <w:top w:val="single" w:sz="8" w:space="0" w:color="auto"/>
              <w:left w:val="nil"/>
              <w:right w:val="single" w:sz="8" w:space="0" w:color="auto"/>
            </w:tcBorders>
            <w:tcMar>
              <w:top w:w="0" w:type="dxa"/>
              <w:left w:w="108" w:type="dxa"/>
              <w:bottom w:w="0" w:type="dxa"/>
              <w:right w:w="108" w:type="dxa"/>
            </w:tcMar>
          </w:tcPr>
          <w:p w14:paraId="631B1FD4" w14:textId="77777777" w:rsidR="004E63D6" w:rsidRPr="00AE0C9A" w:rsidRDefault="004E63D6" w:rsidP="00CA410A">
            <w:pPr>
              <w:pStyle w:val="TableText"/>
              <w:keepNext/>
              <w:jc w:val="right"/>
            </w:pPr>
            <w:r w:rsidRPr="0059251C">
              <w:t>1,822</w:t>
            </w:r>
          </w:p>
        </w:tc>
        <w:tc>
          <w:tcPr>
            <w:tcW w:w="1037" w:type="dxa"/>
            <w:tcBorders>
              <w:top w:val="single" w:sz="8" w:space="0" w:color="auto"/>
              <w:left w:val="nil"/>
              <w:right w:val="single" w:sz="8" w:space="0" w:color="auto"/>
            </w:tcBorders>
            <w:tcMar>
              <w:top w:w="0" w:type="dxa"/>
              <w:left w:w="108" w:type="dxa"/>
              <w:bottom w:w="0" w:type="dxa"/>
              <w:right w:w="108" w:type="dxa"/>
            </w:tcMar>
          </w:tcPr>
          <w:p w14:paraId="22A0EFB8" w14:textId="77777777" w:rsidR="004E63D6" w:rsidRPr="00AE0C9A" w:rsidRDefault="004E63D6" w:rsidP="00CA410A">
            <w:pPr>
              <w:pStyle w:val="TableText"/>
              <w:keepNext/>
              <w:jc w:val="right"/>
            </w:pPr>
            <w:r w:rsidRPr="0059251C">
              <w:t>2,223</w:t>
            </w:r>
          </w:p>
        </w:tc>
        <w:tc>
          <w:tcPr>
            <w:tcW w:w="1037" w:type="dxa"/>
            <w:tcBorders>
              <w:top w:val="single" w:sz="8" w:space="0" w:color="auto"/>
              <w:left w:val="nil"/>
              <w:right w:val="single" w:sz="8" w:space="0" w:color="auto"/>
            </w:tcBorders>
            <w:tcMar>
              <w:top w:w="0" w:type="dxa"/>
              <w:left w:w="108" w:type="dxa"/>
              <w:bottom w:w="0" w:type="dxa"/>
              <w:right w:w="108" w:type="dxa"/>
            </w:tcMar>
          </w:tcPr>
          <w:p w14:paraId="1319284F" w14:textId="77777777" w:rsidR="004E63D6" w:rsidRPr="00AE0C9A" w:rsidRDefault="004E63D6" w:rsidP="00CA410A">
            <w:pPr>
              <w:pStyle w:val="TableText"/>
              <w:keepNext/>
              <w:jc w:val="right"/>
            </w:pPr>
            <w:r w:rsidRPr="0059251C">
              <w:t>2,651</w:t>
            </w:r>
          </w:p>
        </w:tc>
        <w:tc>
          <w:tcPr>
            <w:tcW w:w="1037" w:type="dxa"/>
            <w:tcBorders>
              <w:top w:val="single" w:sz="8" w:space="0" w:color="auto"/>
              <w:left w:val="nil"/>
              <w:right w:val="single" w:sz="8" w:space="0" w:color="auto"/>
            </w:tcBorders>
            <w:tcMar>
              <w:top w:w="0" w:type="dxa"/>
              <w:left w:w="108" w:type="dxa"/>
              <w:bottom w:w="0" w:type="dxa"/>
              <w:right w:w="108" w:type="dxa"/>
            </w:tcMar>
          </w:tcPr>
          <w:p w14:paraId="472C1698" w14:textId="77777777" w:rsidR="004E63D6" w:rsidRPr="00AE0C9A" w:rsidRDefault="004E63D6" w:rsidP="00CA410A">
            <w:pPr>
              <w:pStyle w:val="TableText"/>
              <w:keepNext/>
              <w:jc w:val="right"/>
            </w:pPr>
            <w:r w:rsidRPr="0059251C">
              <w:t>3,453</w:t>
            </w:r>
          </w:p>
        </w:tc>
      </w:tr>
      <w:tr w:rsidR="004E63D6" w:rsidRPr="00CE28E3" w14:paraId="2998E927" w14:textId="77777777" w:rsidTr="00CA410A">
        <w:tc>
          <w:tcPr>
            <w:tcW w:w="2784" w:type="dxa"/>
            <w:tcBorders>
              <w:left w:val="single" w:sz="8" w:space="0" w:color="auto"/>
              <w:right w:val="single" w:sz="8" w:space="0" w:color="auto"/>
            </w:tcBorders>
            <w:tcMar>
              <w:top w:w="0" w:type="dxa"/>
              <w:left w:w="108" w:type="dxa"/>
              <w:bottom w:w="0" w:type="dxa"/>
              <w:right w:w="108" w:type="dxa"/>
            </w:tcMar>
          </w:tcPr>
          <w:p w14:paraId="1BA772C2" w14:textId="15EB3710" w:rsidR="004E63D6" w:rsidRPr="00CE28E3" w:rsidRDefault="004E63D6" w:rsidP="006244EA">
            <w:pPr>
              <w:pStyle w:val="TableText"/>
              <w:keepNext/>
              <w:numPr>
                <w:ilvl w:val="0"/>
                <w:numId w:val="28"/>
              </w:numPr>
              <w:ind w:left="166" w:hanging="129"/>
            </w:pPr>
            <w:r>
              <w:t>DNA only</w:t>
            </w:r>
            <w:r w:rsidR="00B95D45">
              <w:t xml:space="preserve"> </w:t>
            </w:r>
            <w:r w:rsidR="00B95D45">
              <w:br/>
              <w:t>(MBS benefit: $568.17)</w:t>
            </w:r>
            <w:r w:rsidR="00B95D45" w:rsidRPr="00B325DD">
              <w:rPr>
                <w:vertAlign w:val="superscript"/>
              </w:rPr>
              <w:t>b</w:t>
            </w:r>
          </w:p>
        </w:tc>
        <w:tc>
          <w:tcPr>
            <w:tcW w:w="1037" w:type="dxa"/>
            <w:tcBorders>
              <w:left w:val="nil"/>
              <w:right w:val="single" w:sz="8" w:space="0" w:color="auto"/>
            </w:tcBorders>
            <w:tcMar>
              <w:top w:w="0" w:type="dxa"/>
              <w:left w:w="108" w:type="dxa"/>
              <w:bottom w:w="0" w:type="dxa"/>
              <w:right w:w="108" w:type="dxa"/>
            </w:tcMar>
          </w:tcPr>
          <w:p w14:paraId="01EA3A73" w14:textId="77777777" w:rsidR="004E63D6" w:rsidRPr="00AE0C9A" w:rsidRDefault="004E63D6" w:rsidP="00CA410A">
            <w:pPr>
              <w:pStyle w:val="TableText"/>
              <w:keepNext/>
              <w:jc w:val="right"/>
            </w:pPr>
            <w:r w:rsidRPr="00FA3EED">
              <w:t>4,140</w:t>
            </w:r>
          </w:p>
        </w:tc>
        <w:tc>
          <w:tcPr>
            <w:tcW w:w="1037" w:type="dxa"/>
            <w:tcBorders>
              <w:left w:val="nil"/>
              <w:right w:val="single" w:sz="8" w:space="0" w:color="auto"/>
            </w:tcBorders>
            <w:tcMar>
              <w:top w:w="0" w:type="dxa"/>
              <w:left w:w="108" w:type="dxa"/>
              <w:bottom w:w="0" w:type="dxa"/>
              <w:right w:w="108" w:type="dxa"/>
            </w:tcMar>
          </w:tcPr>
          <w:p w14:paraId="11D0EEB6" w14:textId="77777777" w:rsidR="004E63D6" w:rsidRPr="00AE0C9A" w:rsidRDefault="004E63D6" w:rsidP="00CA410A">
            <w:pPr>
              <w:pStyle w:val="TableText"/>
              <w:keepNext/>
              <w:jc w:val="right"/>
            </w:pPr>
            <w:r w:rsidRPr="00FA3EED">
              <w:t>4,348</w:t>
            </w:r>
          </w:p>
        </w:tc>
        <w:tc>
          <w:tcPr>
            <w:tcW w:w="1037" w:type="dxa"/>
            <w:tcBorders>
              <w:left w:val="nil"/>
              <w:right w:val="single" w:sz="8" w:space="0" w:color="auto"/>
            </w:tcBorders>
            <w:tcMar>
              <w:top w:w="0" w:type="dxa"/>
              <w:left w:w="108" w:type="dxa"/>
              <w:bottom w:w="0" w:type="dxa"/>
              <w:right w:w="108" w:type="dxa"/>
            </w:tcMar>
          </w:tcPr>
          <w:p w14:paraId="17627C4C" w14:textId="77777777" w:rsidR="004E63D6" w:rsidRPr="00AE0C9A" w:rsidRDefault="004E63D6" w:rsidP="00CA410A">
            <w:pPr>
              <w:pStyle w:val="TableText"/>
              <w:keepNext/>
              <w:jc w:val="right"/>
            </w:pPr>
            <w:r w:rsidRPr="00FA3EED">
              <w:t>4,252</w:t>
            </w:r>
          </w:p>
        </w:tc>
        <w:tc>
          <w:tcPr>
            <w:tcW w:w="1037" w:type="dxa"/>
            <w:tcBorders>
              <w:left w:val="nil"/>
              <w:right w:val="single" w:sz="8" w:space="0" w:color="auto"/>
            </w:tcBorders>
            <w:tcMar>
              <w:top w:w="0" w:type="dxa"/>
              <w:left w:w="108" w:type="dxa"/>
              <w:bottom w:w="0" w:type="dxa"/>
              <w:right w:w="108" w:type="dxa"/>
            </w:tcMar>
          </w:tcPr>
          <w:p w14:paraId="38473CF9" w14:textId="77777777" w:rsidR="004E63D6" w:rsidRPr="00AE0C9A" w:rsidRDefault="004E63D6" w:rsidP="00CA410A">
            <w:pPr>
              <w:pStyle w:val="TableText"/>
              <w:keepNext/>
              <w:jc w:val="right"/>
            </w:pPr>
            <w:r w:rsidRPr="00FA3EED">
              <w:t>4,128</w:t>
            </w:r>
          </w:p>
        </w:tc>
        <w:tc>
          <w:tcPr>
            <w:tcW w:w="1037" w:type="dxa"/>
            <w:tcBorders>
              <w:left w:val="nil"/>
              <w:right w:val="single" w:sz="8" w:space="0" w:color="auto"/>
            </w:tcBorders>
            <w:tcMar>
              <w:top w:w="0" w:type="dxa"/>
              <w:left w:w="108" w:type="dxa"/>
              <w:bottom w:w="0" w:type="dxa"/>
              <w:right w:w="108" w:type="dxa"/>
            </w:tcMar>
          </w:tcPr>
          <w:p w14:paraId="1FFAF7FC" w14:textId="77777777" w:rsidR="004E63D6" w:rsidRPr="00AE0C9A" w:rsidRDefault="004E63D6" w:rsidP="00CA410A">
            <w:pPr>
              <w:pStyle w:val="TableText"/>
              <w:keepNext/>
              <w:jc w:val="right"/>
            </w:pPr>
            <w:r w:rsidRPr="00FA3EED">
              <w:t>3,977</w:t>
            </w:r>
          </w:p>
        </w:tc>
        <w:tc>
          <w:tcPr>
            <w:tcW w:w="1037" w:type="dxa"/>
            <w:tcBorders>
              <w:left w:val="nil"/>
              <w:right w:val="single" w:sz="8" w:space="0" w:color="auto"/>
            </w:tcBorders>
            <w:tcMar>
              <w:top w:w="0" w:type="dxa"/>
              <w:left w:w="108" w:type="dxa"/>
              <w:bottom w:w="0" w:type="dxa"/>
              <w:right w:w="108" w:type="dxa"/>
            </w:tcMar>
          </w:tcPr>
          <w:p w14:paraId="7A084055" w14:textId="77777777" w:rsidR="004E63D6" w:rsidRPr="00AE0C9A" w:rsidRDefault="004E63D6" w:rsidP="00CA410A">
            <w:pPr>
              <w:pStyle w:val="TableText"/>
              <w:keepNext/>
              <w:jc w:val="right"/>
            </w:pPr>
            <w:r w:rsidRPr="00FA3EED">
              <w:t>3,453</w:t>
            </w:r>
          </w:p>
        </w:tc>
      </w:tr>
      <w:tr w:rsidR="004E63D6" w:rsidRPr="00CE28E3" w14:paraId="2EA18D55" w14:textId="77777777" w:rsidTr="00CA410A">
        <w:tc>
          <w:tcPr>
            <w:tcW w:w="2784" w:type="dxa"/>
            <w:tcBorders>
              <w:left w:val="single" w:sz="8" w:space="0" w:color="auto"/>
              <w:bottom w:val="single" w:sz="8" w:space="0" w:color="auto"/>
              <w:right w:val="single" w:sz="8" w:space="0" w:color="auto"/>
            </w:tcBorders>
            <w:tcMar>
              <w:top w:w="0" w:type="dxa"/>
              <w:left w:w="108" w:type="dxa"/>
              <w:bottom w:w="0" w:type="dxa"/>
              <w:right w:w="108" w:type="dxa"/>
            </w:tcMar>
          </w:tcPr>
          <w:p w14:paraId="6A3542C6" w14:textId="495CE969" w:rsidR="004E63D6" w:rsidRPr="00CE28E3" w:rsidRDefault="004E63D6" w:rsidP="006244EA">
            <w:pPr>
              <w:pStyle w:val="TableText"/>
              <w:keepNext/>
              <w:numPr>
                <w:ilvl w:val="0"/>
                <w:numId w:val="28"/>
              </w:numPr>
              <w:ind w:left="166" w:hanging="129"/>
            </w:pPr>
            <w:r>
              <w:t>RNA only</w:t>
            </w:r>
            <w:r w:rsidR="00B95D45">
              <w:t xml:space="preserve"> </w:t>
            </w:r>
            <w:r w:rsidR="00B95D45">
              <w:br/>
              <w:t>(MBS benefit: $568.17)</w:t>
            </w:r>
            <w:r w:rsidR="00B95D45" w:rsidRPr="00B325DD">
              <w:rPr>
                <w:vertAlign w:val="superscript"/>
              </w:rPr>
              <w:t>b</w:t>
            </w:r>
          </w:p>
        </w:tc>
        <w:tc>
          <w:tcPr>
            <w:tcW w:w="1037" w:type="dxa"/>
            <w:tcBorders>
              <w:left w:val="nil"/>
              <w:bottom w:val="single" w:sz="8" w:space="0" w:color="auto"/>
              <w:right w:val="single" w:sz="8" w:space="0" w:color="auto"/>
            </w:tcBorders>
            <w:tcMar>
              <w:top w:w="0" w:type="dxa"/>
              <w:left w:w="108" w:type="dxa"/>
              <w:bottom w:w="0" w:type="dxa"/>
              <w:right w:w="108" w:type="dxa"/>
            </w:tcMar>
          </w:tcPr>
          <w:p w14:paraId="184F9C52" w14:textId="77777777" w:rsidR="004E63D6" w:rsidRPr="00AE0C9A" w:rsidRDefault="004E63D6" w:rsidP="00CA410A">
            <w:pPr>
              <w:pStyle w:val="TableText"/>
              <w:keepNext/>
              <w:jc w:val="right"/>
            </w:pPr>
            <w:r w:rsidRPr="0003008B">
              <w:t>1,905</w:t>
            </w:r>
          </w:p>
        </w:tc>
        <w:tc>
          <w:tcPr>
            <w:tcW w:w="1037" w:type="dxa"/>
            <w:tcBorders>
              <w:left w:val="nil"/>
              <w:bottom w:val="single" w:sz="8" w:space="0" w:color="auto"/>
              <w:right w:val="single" w:sz="8" w:space="0" w:color="auto"/>
            </w:tcBorders>
            <w:tcMar>
              <w:top w:w="0" w:type="dxa"/>
              <w:left w:w="108" w:type="dxa"/>
              <w:bottom w:w="0" w:type="dxa"/>
              <w:right w:w="108" w:type="dxa"/>
            </w:tcMar>
          </w:tcPr>
          <w:p w14:paraId="412CA8F7" w14:textId="77777777" w:rsidR="004E63D6" w:rsidRPr="00AE0C9A" w:rsidRDefault="004E63D6" w:rsidP="00CA410A">
            <w:pPr>
              <w:pStyle w:val="TableText"/>
              <w:keepNext/>
              <w:jc w:val="right"/>
            </w:pPr>
            <w:r w:rsidRPr="0003008B">
              <w:t>2,000</w:t>
            </w:r>
          </w:p>
        </w:tc>
        <w:tc>
          <w:tcPr>
            <w:tcW w:w="1037" w:type="dxa"/>
            <w:tcBorders>
              <w:left w:val="nil"/>
              <w:bottom w:val="single" w:sz="8" w:space="0" w:color="auto"/>
              <w:right w:val="single" w:sz="8" w:space="0" w:color="auto"/>
            </w:tcBorders>
            <w:tcMar>
              <w:top w:w="0" w:type="dxa"/>
              <w:left w:w="108" w:type="dxa"/>
              <w:bottom w:w="0" w:type="dxa"/>
              <w:right w:w="108" w:type="dxa"/>
            </w:tcMar>
          </w:tcPr>
          <w:p w14:paraId="695AE7E4" w14:textId="77777777" w:rsidR="004E63D6" w:rsidRPr="00AE0C9A" w:rsidRDefault="004E63D6" w:rsidP="00CA410A">
            <w:pPr>
              <w:pStyle w:val="TableText"/>
              <w:keepNext/>
              <w:jc w:val="right"/>
            </w:pPr>
            <w:r w:rsidRPr="0003008B">
              <w:t>1,956</w:t>
            </w:r>
          </w:p>
        </w:tc>
        <w:tc>
          <w:tcPr>
            <w:tcW w:w="1037" w:type="dxa"/>
            <w:tcBorders>
              <w:left w:val="nil"/>
              <w:bottom w:val="single" w:sz="8" w:space="0" w:color="auto"/>
              <w:right w:val="single" w:sz="8" w:space="0" w:color="auto"/>
            </w:tcBorders>
            <w:tcMar>
              <w:top w:w="0" w:type="dxa"/>
              <w:left w:w="108" w:type="dxa"/>
              <w:bottom w:w="0" w:type="dxa"/>
              <w:right w:w="108" w:type="dxa"/>
            </w:tcMar>
          </w:tcPr>
          <w:p w14:paraId="5F7EFFB3" w14:textId="77777777" w:rsidR="004E63D6" w:rsidRPr="00AE0C9A" w:rsidRDefault="004E63D6" w:rsidP="00CA410A">
            <w:pPr>
              <w:pStyle w:val="TableText"/>
              <w:keepNext/>
              <w:jc w:val="right"/>
            </w:pPr>
            <w:r w:rsidRPr="0003008B">
              <w:t>1,899</w:t>
            </w:r>
          </w:p>
        </w:tc>
        <w:tc>
          <w:tcPr>
            <w:tcW w:w="1037" w:type="dxa"/>
            <w:tcBorders>
              <w:left w:val="nil"/>
              <w:bottom w:val="single" w:sz="8" w:space="0" w:color="auto"/>
              <w:right w:val="single" w:sz="8" w:space="0" w:color="auto"/>
            </w:tcBorders>
            <w:tcMar>
              <w:top w:w="0" w:type="dxa"/>
              <w:left w:w="108" w:type="dxa"/>
              <w:bottom w:w="0" w:type="dxa"/>
              <w:right w:w="108" w:type="dxa"/>
            </w:tcMar>
          </w:tcPr>
          <w:p w14:paraId="2624691E" w14:textId="77777777" w:rsidR="004E63D6" w:rsidRPr="00AE0C9A" w:rsidRDefault="004E63D6" w:rsidP="00CA410A">
            <w:pPr>
              <w:pStyle w:val="TableText"/>
              <w:keepNext/>
              <w:jc w:val="right"/>
            </w:pPr>
            <w:r w:rsidRPr="0003008B">
              <w:t>1,829</w:t>
            </w:r>
          </w:p>
        </w:tc>
        <w:tc>
          <w:tcPr>
            <w:tcW w:w="1037" w:type="dxa"/>
            <w:tcBorders>
              <w:left w:val="nil"/>
              <w:bottom w:val="single" w:sz="8" w:space="0" w:color="auto"/>
              <w:right w:val="single" w:sz="8" w:space="0" w:color="auto"/>
            </w:tcBorders>
            <w:tcMar>
              <w:top w:w="0" w:type="dxa"/>
              <w:left w:w="108" w:type="dxa"/>
              <w:bottom w:w="0" w:type="dxa"/>
              <w:right w:w="108" w:type="dxa"/>
            </w:tcMar>
          </w:tcPr>
          <w:p w14:paraId="5DE17DBC" w14:textId="77777777" w:rsidR="004E63D6" w:rsidRPr="00AE0C9A" w:rsidRDefault="004E63D6" w:rsidP="00CA410A">
            <w:pPr>
              <w:pStyle w:val="TableText"/>
              <w:keepNext/>
              <w:jc w:val="right"/>
            </w:pPr>
            <w:r w:rsidRPr="0003008B">
              <w:t>1,588</w:t>
            </w:r>
          </w:p>
        </w:tc>
      </w:tr>
      <w:tr w:rsidR="004E63D6" w:rsidRPr="00CE28E3" w14:paraId="31BFF1F6"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7CF46" w14:textId="7453B567" w:rsidR="004E63D6" w:rsidRPr="00CE28E3" w:rsidRDefault="004E63D6" w:rsidP="00CA410A">
            <w:pPr>
              <w:pStyle w:val="TableText"/>
              <w:keepNext/>
            </w:pPr>
            <w:r w:rsidRPr="00CE28E3">
              <w:t xml:space="preserve">Cost to the </w:t>
            </w:r>
            <w:r>
              <w:t>MBS</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497584A" w14:textId="77777777" w:rsidR="004E63D6" w:rsidRPr="00CE28E3" w:rsidRDefault="004E63D6" w:rsidP="00CA410A">
            <w:pPr>
              <w:pStyle w:val="TableText"/>
              <w:keepNext/>
              <w:jc w:val="right"/>
            </w:pPr>
            <w:r w:rsidRPr="00AD77A7">
              <w:t>$4,936,022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D230100" w14:textId="77777777" w:rsidR="004E63D6" w:rsidRPr="00CE28E3" w:rsidRDefault="004E63D6" w:rsidP="00CA410A">
            <w:pPr>
              <w:pStyle w:val="TableText"/>
              <w:keepNext/>
              <w:jc w:val="right"/>
            </w:pPr>
            <w:r w:rsidRPr="00AD77A7">
              <w:t>$5,183,631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2EA28FA" w14:textId="77777777" w:rsidR="004E63D6" w:rsidRPr="00CE28E3" w:rsidRDefault="004E63D6" w:rsidP="00CA410A">
            <w:pPr>
              <w:pStyle w:val="TableText"/>
              <w:keepNext/>
              <w:jc w:val="right"/>
            </w:pPr>
            <w:r w:rsidRPr="00AD77A7">
              <w:t>$5,509,717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C32DFB3" w14:textId="77777777" w:rsidR="004E63D6" w:rsidRPr="00CE28E3" w:rsidRDefault="004E63D6" w:rsidP="00CA410A">
            <w:pPr>
              <w:pStyle w:val="TableText"/>
              <w:keepNext/>
              <w:jc w:val="right"/>
            </w:pPr>
            <w:r w:rsidRPr="00AD77A7">
              <w:t>$5,842,958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6BCD0E9" w14:textId="77777777" w:rsidR="004E63D6" w:rsidRPr="00CE28E3" w:rsidRDefault="004E63D6" w:rsidP="00CA410A">
            <w:pPr>
              <w:pStyle w:val="TableText"/>
              <w:keepNext/>
              <w:jc w:val="right"/>
            </w:pPr>
            <w:r w:rsidRPr="00AD77A7">
              <w:t>$6,183,354</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4A75049" w14:textId="77777777" w:rsidR="004E63D6" w:rsidRPr="00CE28E3" w:rsidRDefault="004E63D6" w:rsidP="00CA410A">
            <w:pPr>
              <w:pStyle w:val="TableText"/>
              <w:keepNext/>
              <w:jc w:val="right"/>
            </w:pPr>
            <w:r w:rsidRPr="00AD77A7">
              <w:t>$6,620,116</w:t>
            </w:r>
          </w:p>
        </w:tc>
      </w:tr>
      <w:tr w:rsidR="004E63D6" w:rsidRPr="00CE28E3" w14:paraId="70F536AA" w14:textId="77777777" w:rsidTr="00CA410A">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445C" w14:textId="77777777" w:rsidR="004E63D6" w:rsidRPr="00CE28E3" w:rsidRDefault="004E63D6" w:rsidP="00CA410A">
            <w:pPr>
              <w:pStyle w:val="TableText"/>
              <w:keepNext/>
              <w:rPr>
                <w:b/>
                <w:bCs/>
              </w:rPr>
            </w:pPr>
            <w:r w:rsidRPr="00CE28E3">
              <w:rPr>
                <w:b/>
                <w:bCs/>
              </w:rPr>
              <w:t>Change in use and cost of other health technologies</w:t>
            </w:r>
          </w:p>
        </w:tc>
      </w:tr>
      <w:tr w:rsidR="004E63D6" w:rsidRPr="00CE28E3" w14:paraId="3039991E" w14:textId="77777777" w:rsidTr="00CA410A">
        <w:tc>
          <w:tcPr>
            <w:tcW w:w="9006" w:type="dxa"/>
            <w:gridSpan w:val="7"/>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0A3F0F46" w14:textId="77777777" w:rsidR="004E63D6" w:rsidRPr="00FF0573" w:rsidRDefault="004E63D6" w:rsidP="00CA410A">
            <w:pPr>
              <w:pStyle w:val="TableText"/>
              <w:keepNext/>
            </w:pPr>
            <w:r>
              <w:t>Reduction in use of comparator testing services</w:t>
            </w:r>
          </w:p>
        </w:tc>
      </w:tr>
      <w:tr w:rsidR="004E63D6" w:rsidRPr="00CE28E3" w14:paraId="474F6664" w14:textId="77777777" w:rsidTr="00CA410A">
        <w:tc>
          <w:tcPr>
            <w:tcW w:w="2784" w:type="dxa"/>
            <w:tcBorders>
              <w:top w:val="single" w:sz="4" w:space="0" w:color="auto"/>
              <w:left w:val="single" w:sz="8" w:space="0" w:color="auto"/>
              <w:right w:val="single" w:sz="8" w:space="0" w:color="auto"/>
            </w:tcBorders>
            <w:tcMar>
              <w:top w:w="0" w:type="dxa"/>
              <w:left w:w="108" w:type="dxa"/>
              <w:bottom w:w="0" w:type="dxa"/>
              <w:right w:w="108" w:type="dxa"/>
            </w:tcMar>
            <w:hideMark/>
          </w:tcPr>
          <w:p w14:paraId="2CB3DF94" w14:textId="35EDF946" w:rsidR="004E63D6" w:rsidRPr="00CE28E3" w:rsidRDefault="004E63D6" w:rsidP="006244EA">
            <w:pPr>
              <w:pStyle w:val="TableText"/>
              <w:keepNext/>
              <w:numPr>
                <w:ilvl w:val="0"/>
                <w:numId w:val="28"/>
              </w:numPr>
              <w:ind w:left="166" w:hanging="129"/>
            </w:pPr>
            <w:r w:rsidRPr="002A0A63">
              <w:rPr>
                <w:i/>
              </w:rPr>
              <w:t>EGFR</w:t>
            </w:r>
            <w:r>
              <w:t xml:space="preserve"> </w:t>
            </w:r>
            <w:r w:rsidR="00B95D45">
              <w:t>(MBS benefit: $325.13)</w:t>
            </w:r>
            <w:r w:rsidR="00B95D45">
              <w:rPr>
                <w:vertAlign w:val="superscript"/>
              </w:rPr>
              <w:t>c</w:t>
            </w:r>
          </w:p>
        </w:tc>
        <w:tc>
          <w:tcPr>
            <w:tcW w:w="1037" w:type="dxa"/>
            <w:tcBorders>
              <w:top w:val="single" w:sz="4" w:space="0" w:color="auto"/>
              <w:left w:val="nil"/>
              <w:right w:val="single" w:sz="8" w:space="0" w:color="auto"/>
            </w:tcBorders>
            <w:tcMar>
              <w:top w:w="0" w:type="dxa"/>
              <w:left w:w="108" w:type="dxa"/>
              <w:bottom w:w="0" w:type="dxa"/>
              <w:right w:w="108" w:type="dxa"/>
            </w:tcMar>
          </w:tcPr>
          <w:p w14:paraId="0B94F5C7" w14:textId="77777777" w:rsidR="004E63D6" w:rsidRPr="00CE28E3" w:rsidRDefault="004E63D6" w:rsidP="00CA410A">
            <w:pPr>
              <w:pStyle w:val="TableText"/>
              <w:keepNext/>
              <w:jc w:val="right"/>
            </w:pPr>
            <w:r w:rsidRPr="001B44CB">
              <w:t>5,521</w:t>
            </w:r>
          </w:p>
        </w:tc>
        <w:tc>
          <w:tcPr>
            <w:tcW w:w="1037" w:type="dxa"/>
            <w:tcBorders>
              <w:top w:val="single" w:sz="4" w:space="0" w:color="auto"/>
              <w:left w:val="nil"/>
              <w:right w:val="single" w:sz="8" w:space="0" w:color="auto"/>
            </w:tcBorders>
            <w:tcMar>
              <w:top w:w="0" w:type="dxa"/>
              <w:left w:w="108" w:type="dxa"/>
              <w:bottom w:w="0" w:type="dxa"/>
              <w:right w:w="108" w:type="dxa"/>
            </w:tcMar>
          </w:tcPr>
          <w:p w14:paraId="6CA591EE" w14:textId="77777777" w:rsidR="004E63D6" w:rsidRPr="00CE28E3" w:rsidRDefault="004E63D6" w:rsidP="00CA410A">
            <w:pPr>
              <w:pStyle w:val="TableText"/>
              <w:keepNext/>
              <w:jc w:val="right"/>
            </w:pPr>
            <w:r w:rsidRPr="001B44CB">
              <w:t>5,797</w:t>
            </w:r>
          </w:p>
        </w:tc>
        <w:tc>
          <w:tcPr>
            <w:tcW w:w="1037" w:type="dxa"/>
            <w:tcBorders>
              <w:top w:val="single" w:sz="4" w:space="0" w:color="auto"/>
              <w:left w:val="nil"/>
              <w:right w:val="single" w:sz="8" w:space="0" w:color="auto"/>
            </w:tcBorders>
            <w:tcMar>
              <w:top w:w="0" w:type="dxa"/>
              <w:left w:w="108" w:type="dxa"/>
              <w:bottom w:w="0" w:type="dxa"/>
              <w:right w:w="108" w:type="dxa"/>
            </w:tcMar>
          </w:tcPr>
          <w:p w14:paraId="26DC51F8" w14:textId="77777777" w:rsidR="004E63D6" w:rsidRPr="00CE28E3" w:rsidRDefault="004E63D6" w:rsidP="00CA410A">
            <w:pPr>
              <w:pStyle w:val="TableText"/>
              <w:keepNext/>
              <w:jc w:val="right"/>
            </w:pPr>
            <w:r w:rsidRPr="001B44CB">
              <w:t>6,074</w:t>
            </w:r>
          </w:p>
        </w:tc>
        <w:tc>
          <w:tcPr>
            <w:tcW w:w="1037" w:type="dxa"/>
            <w:tcBorders>
              <w:top w:val="single" w:sz="4" w:space="0" w:color="auto"/>
              <w:left w:val="nil"/>
              <w:right w:val="single" w:sz="8" w:space="0" w:color="auto"/>
            </w:tcBorders>
            <w:tcMar>
              <w:top w:w="0" w:type="dxa"/>
              <w:left w:w="108" w:type="dxa"/>
              <w:bottom w:w="0" w:type="dxa"/>
              <w:right w:w="108" w:type="dxa"/>
            </w:tcMar>
          </w:tcPr>
          <w:p w14:paraId="6D417055" w14:textId="77777777" w:rsidR="004E63D6" w:rsidRPr="00CE28E3" w:rsidRDefault="004E63D6" w:rsidP="00CA410A">
            <w:pPr>
              <w:pStyle w:val="TableText"/>
              <w:keepNext/>
              <w:jc w:val="right"/>
            </w:pPr>
            <w:r w:rsidRPr="001B44CB">
              <w:t>6,351</w:t>
            </w:r>
          </w:p>
        </w:tc>
        <w:tc>
          <w:tcPr>
            <w:tcW w:w="1037" w:type="dxa"/>
            <w:tcBorders>
              <w:top w:val="single" w:sz="4" w:space="0" w:color="auto"/>
              <w:left w:val="nil"/>
              <w:right w:val="single" w:sz="8" w:space="0" w:color="auto"/>
            </w:tcBorders>
            <w:tcMar>
              <w:top w:w="0" w:type="dxa"/>
              <w:left w:w="108" w:type="dxa"/>
              <w:bottom w:w="0" w:type="dxa"/>
              <w:right w:w="108" w:type="dxa"/>
            </w:tcMar>
          </w:tcPr>
          <w:p w14:paraId="027F5389" w14:textId="77777777" w:rsidR="004E63D6" w:rsidRPr="00CE28E3" w:rsidRDefault="004E63D6" w:rsidP="00CA410A">
            <w:pPr>
              <w:pStyle w:val="TableText"/>
              <w:keepNext/>
              <w:jc w:val="right"/>
            </w:pPr>
            <w:r w:rsidRPr="001B44CB">
              <w:t>6,628</w:t>
            </w:r>
          </w:p>
        </w:tc>
        <w:tc>
          <w:tcPr>
            <w:tcW w:w="1037" w:type="dxa"/>
            <w:tcBorders>
              <w:top w:val="single" w:sz="4" w:space="0" w:color="auto"/>
              <w:left w:val="nil"/>
              <w:right w:val="single" w:sz="8" w:space="0" w:color="auto"/>
            </w:tcBorders>
            <w:tcMar>
              <w:top w:w="0" w:type="dxa"/>
              <w:left w:w="108" w:type="dxa"/>
              <w:bottom w:w="0" w:type="dxa"/>
              <w:right w:w="108" w:type="dxa"/>
            </w:tcMar>
          </w:tcPr>
          <w:p w14:paraId="69B45C8C" w14:textId="77777777" w:rsidR="004E63D6" w:rsidRPr="00CE28E3" w:rsidRDefault="004E63D6" w:rsidP="00CA410A">
            <w:pPr>
              <w:pStyle w:val="TableText"/>
              <w:keepNext/>
              <w:jc w:val="right"/>
            </w:pPr>
            <w:r w:rsidRPr="001B44CB">
              <w:t>6,905</w:t>
            </w:r>
          </w:p>
        </w:tc>
      </w:tr>
      <w:tr w:rsidR="004E63D6" w:rsidRPr="00CE28E3" w14:paraId="330860DA" w14:textId="77777777" w:rsidTr="00CA410A">
        <w:tc>
          <w:tcPr>
            <w:tcW w:w="2784" w:type="dxa"/>
            <w:tcBorders>
              <w:left w:val="single" w:sz="8" w:space="0" w:color="auto"/>
              <w:right w:val="single" w:sz="8" w:space="0" w:color="auto"/>
            </w:tcBorders>
            <w:tcMar>
              <w:top w:w="0" w:type="dxa"/>
              <w:left w:w="108" w:type="dxa"/>
              <w:bottom w:w="0" w:type="dxa"/>
              <w:right w:w="108" w:type="dxa"/>
            </w:tcMar>
          </w:tcPr>
          <w:p w14:paraId="4C17DAA7" w14:textId="134B9468" w:rsidR="004E63D6" w:rsidRPr="00CE28E3" w:rsidRDefault="004E63D6" w:rsidP="006244EA">
            <w:pPr>
              <w:pStyle w:val="TableText"/>
              <w:keepNext/>
              <w:numPr>
                <w:ilvl w:val="0"/>
                <w:numId w:val="28"/>
              </w:numPr>
              <w:ind w:left="166" w:hanging="129"/>
            </w:pPr>
            <w:r w:rsidRPr="002A0A63">
              <w:rPr>
                <w:i/>
              </w:rPr>
              <w:t xml:space="preserve">ALK </w:t>
            </w:r>
            <w:r>
              <w:t>FISH</w:t>
            </w:r>
            <w:r w:rsidR="00B95D45">
              <w:t xml:space="preserve"> </w:t>
            </w:r>
            <w:r w:rsidR="00B95D45">
              <w:br/>
              <w:t>(MBS benefit: $325.80)</w:t>
            </w:r>
            <w:r w:rsidR="00B95D45">
              <w:rPr>
                <w:vertAlign w:val="superscript"/>
              </w:rPr>
              <w:t>d</w:t>
            </w:r>
          </w:p>
        </w:tc>
        <w:tc>
          <w:tcPr>
            <w:tcW w:w="1037" w:type="dxa"/>
            <w:tcBorders>
              <w:left w:val="nil"/>
              <w:right w:val="single" w:sz="8" w:space="0" w:color="auto"/>
            </w:tcBorders>
            <w:tcMar>
              <w:top w:w="0" w:type="dxa"/>
              <w:left w:w="108" w:type="dxa"/>
              <w:bottom w:w="0" w:type="dxa"/>
              <w:right w:w="108" w:type="dxa"/>
            </w:tcMar>
          </w:tcPr>
          <w:p w14:paraId="4A2C07B8" w14:textId="77777777" w:rsidR="004E63D6" w:rsidRPr="00CE28E3" w:rsidRDefault="004E63D6" w:rsidP="00CA410A">
            <w:pPr>
              <w:pStyle w:val="TableText"/>
              <w:keepNext/>
              <w:jc w:val="right"/>
            </w:pPr>
            <w:r w:rsidRPr="001B44CB">
              <w:t>245</w:t>
            </w:r>
          </w:p>
        </w:tc>
        <w:tc>
          <w:tcPr>
            <w:tcW w:w="1037" w:type="dxa"/>
            <w:tcBorders>
              <w:left w:val="nil"/>
              <w:right w:val="single" w:sz="8" w:space="0" w:color="auto"/>
            </w:tcBorders>
            <w:tcMar>
              <w:top w:w="0" w:type="dxa"/>
              <w:left w:w="108" w:type="dxa"/>
              <w:bottom w:w="0" w:type="dxa"/>
              <w:right w:w="108" w:type="dxa"/>
            </w:tcMar>
          </w:tcPr>
          <w:p w14:paraId="1630E986" w14:textId="77777777" w:rsidR="004E63D6" w:rsidRPr="00CE28E3" w:rsidRDefault="004E63D6" w:rsidP="00CA410A">
            <w:pPr>
              <w:pStyle w:val="TableText"/>
              <w:keepNext/>
              <w:jc w:val="right"/>
            </w:pPr>
            <w:r w:rsidRPr="001B44CB">
              <w:t>257</w:t>
            </w:r>
          </w:p>
        </w:tc>
        <w:tc>
          <w:tcPr>
            <w:tcW w:w="1037" w:type="dxa"/>
            <w:tcBorders>
              <w:left w:val="nil"/>
              <w:right w:val="single" w:sz="8" w:space="0" w:color="auto"/>
            </w:tcBorders>
            <w:tcMar>
              <w:top w:w="0" w:type="dxa"/>
              <w:left w:w="108" w:type="dxa"/>
              <w:bottom w:w="0" w:type="dxa"/>
              <w:right w:w="108" w:type="dxa"/>
            </w:tcMar>
          </w:tcPr>
          <w:p w14:paraId="6D7B7EB0" w14:textId="77777777" w:rsidR="004E63D6" w:rsidRPr="00CE28E3" w:rsidRDefault="004E63D6" w:rsidP="00CA410A">
            <w:pPr>
              <w:pStyle w:val="TableText"/>
              <w:keepNext/>
              <w:jc w:val="right"/>
            </w:pPr>
            <w:r w:rsidRPr="001B44CB">
              <w:t>270</w:t>
            </w:r>
          </w:p>
        </w:tc>
        <w:tc>
          <w:tcPr>
            <w:tcW w:w="1037" w:type="dxa"/>
            <w:tcBorders>
              <w:left w:val="nil"/>
              <w:right w:val="single" w:sz="8" w:space="0" w:color="auto"/>
            </w:tcBorders>
            <w:tcMar>
              <w:top w:w="0" w:type="dxa"/>
              <w:left w:w="108" w:type="dxa"/>
              <w:bottom w:w="0" w:type="dxa"/>
              <w:right w:w="108" w:type="dxa"/>
            </w:tcMar>
          </w:tcPr>
          <w:p w14:paraId="35B80AF1" w14:textId="77777777" w:rsidR="004E63D6" w:rsidRPr="00CE28E3" w:rsidRDefault="004E63D6" w:rsidP="00CA410A">
            <w:pPr>
              <w:pStyle w:val="TableText"/>
              <w:keepNext/>
              <w:jc w:val="right"/>
            </w:pPr>
            <w:r w:rsidRPr="001B44CB">
              <w:t>282</w:t>
            </w:r>
          </w:p>
        </w:tc>
        <w:tc>
          <w:tcPr>
            <w:tcW w:w="1037" w:type="dxa"/>
            <w:tcBorders>
              <w:left w:val="nil"/>
              <w:right w:val="single" w:sz="8" w:space="0" w:color="auto"/>
            </w:tcBorders>
            <w:tcMar>
              <w:top w:w="0" w:type="dxa"/>
              <w:left w:w="108" w:type="dxa"/>
              <w:bottom w:w="0" w:type="dxa"/>
              <w:right w:w="108" w:type="dxa"/>
            </w:tcMar>
          </w:tcPr>
          <w:p w14:paraId="708893B1" w14:textId="77777777" w:rsidR="004E63D6" w:rsidRPr="00CE28E3" w:rsidRDefault="004E63D6" w:rsidP="00CA410A">
            <w:pPr>
              <w:pStyle w:val="TableText"/>
              <w:keepNext/>
              <w:jc w:val="right"/>
            </w:pPr>
            <w:r w:rsidRPr="001B44CB">
              <w:t>295</w:t>
            </w:r>
          </w:p>
        </w:tc>
        <w:tc>
          <w:tcPr>
            <w:tcW w:w="1037" w:type="dxa"/>
            <w:tcBorders>
              <w:left w:val="nil"/>
              <w:right w:val="single" w:sz="8" w:space="0" w:color="auto"/>
            </w:tcBorders>
            <w:tcMar>
              <w:top w:w="0" w:type="dxa"/>
              <w:left w:w="108" w:type="dxa"/>
              <w:bottom w:w="0" w:type="dxa"/>
              <w:right w:w="108" w:type="dxa"/>
            </w:tcMar>
          </w:tcPr>
          <w:p w14:paraId="4296ECD4" w14:textId="77777777" w:rsidR="004E63D6" w:rsidRPr="00CE28E3" w:rsidRDefault="004E63D6" w:rsidP="00CA410A">
            <w:pPr>
              <w:pStyle w:val="TableText"/>
              <w:keepNext/>
              <w:jc w:val="right"/>
            </w:pPr>
            <w:r w:rsidRPr="001B44CB">
              <w:t>308</w:t>
            </w:r>
          </w:p>
        </w:tc>
      </w:tr>
      <w:tr w:rsidR="004E63D6" w:rsidRPr="00CE28E3" w14:paraId="4B1F7FFB" w14:textId="77777777" w:rsidTr="00CA410A">
        <w:tc>
          <w:tcPr>
            <w:tcW w:w="2784" w:type="dxa"/>
            <w:tcBorders>
              <w:left w:val="single" w:sz="8" w:space="0" w:color="auto"/>
              <w:right w:val="single" w:sz="8" w:space="0" w:color="auto"/>
            </w:tcBorders>
            <w:tcMar>
              <w:top w:w="0" w:type="dxa"/>
              <w:left w:w="108" w:type="dxa"/>
              <w:bottom w:w="0" w:type="dxa"/>
              <w:right w:w="108" w:type="dxa"/>
            </w:tcMar>
          </w:tcPr>
          <w:p w14:paraId="63784AE2" w14:textId="0C56F514" w:rsidR="004E63D6" w:rsidRPr="00CE28E3" w:rsidRDefault="004E63D6" w:rsidP="006244EA">
            <w:pPr>
              <w:pStyle w:val="TableText"/>
              <w:keepNext/>
              <w:numPr>
                <w:ilvl w:val="0"/>
                <w:numId w:val="28"/>
              </w:numPr>
              <w:ind w:left="166" w:hanging="129"/>
            </w:pPr>
            <w:r w:rsidRPr="002A0A63">
              <w:rPr>
                <w:i/>
              </w:rPr>
              <w:t>ROS</w:t>
            </w:r>
            <w:r>
              <w:t xml:space="preserve">1 FISH </w:t>
            </w:r>
            <w:r w:rsidR="00B95D45">
              <w:br/>
              <w:t>(MBS benefit: $325.80)</w:t>
            </w:r>
            <w:r w:rsidR="00B95D45">
              <w:rPr>
                <w:vertAlign w:val="superscript"/>
              </w:rPr>
              <w:t>d</w:t>
            </w:r>
          </w:p>
        </w:tc>
        <w:tc>
          <w:tcPr>
            <w:tcW w:w="1037" w:type="dxa"/>
            <w:tcBorders>
              <w:left w:val="nil"/>
              <w:right w:val="single" w:sz="8" w:space="0" w:color="auto"/>
            </w:tcBorders>
            <w:tcMar>
              <w:top w:w="0" w:type="dxa"/>
              <w:left w:w="108" w:type="dxa"/>
              <w:bottom w:w="0" w:type="dxa"/>
              <w:right w:w="108" w:type="dxa"/>
            </w:tcMar>
          </w:tcPr>
          <w:p w14:paraId="18DDA914" w14:textId="77777777" w:rsidR="004E63D6" w:rsidRPr="00CE28E3" w:rsidRDefault="004E63D6" w:rsidP="00CA410A">
            <w:pPr>
              <w:pStyle w:val="TableText"/>
              <w:keepNext/>
              <w:jc w:val="right"/>
            </w:pPr>
            <w:r w:rsidRPr="001B44CB">
              <w:t>408</w:t>
            </w:r>
          </w:p>
        </w:tc>
        <w:tc>
          <w:tcPr>
            <w:tcW w:w="1037" w:type="dxa"/>
            <w:tcBorders>
              <w:left w:val="nil"/>
              <w:right w:val="single" w:sz="8" w:space="0" w:color="auto"/>
            </w:tcBorders>
            <w:tcMar>
              <w:top w:w="0" w:type="dxa"/>
              <w:left w:w="108" w:type="dxa"/>
              <w:bottom w:w="0" w:type="dxa"/>
              <w:right w:w="108" w:type="dxa"/>
            </w:tcMar>
          </w:tcPr>
          <w:p w14:paraId="0AAC2A1A" w14:textId="77777777" w:rsidR="004E63D6" w:rsidRPr="00CE28E3" w:rsidRDefault="004E63D6" w:rsidP="00CA410A">
            <w:pPr>
              <w:pStyle w:val="TableText"/>
              <w:keepNext/>
              <w:jc w:val="right"/>
            </w:pPr>
            <w:r w:rsidRPr="001B44CB">
              <w:t>428</w:t>
            </w:r>
          </w:p>
        </w:tc>
        <w:tc>
          <w:tcPr>
            <w:tcW w:w="1037" w:type="dxa"/>
            <w:tcBorders>
              <w:left w:val="nil"/>
              <w:right w:val="single" w:sz="8" w:space="0" w:color="auto"/>
            </w:tcBorders>
            <w:tcMar>
              <w:top w:w="0" w:type="dxa"/>
              <w:left w:w="108" w:type="dxa"/>
              <w:bottom w:w="0" w:type="dxa"/>
              <w:right w:w="108" w:type="dxa"/>
            </w:tcMar>
          </w:tcPr>
          <w:p w14:paraId="09D7E604" w14:textId="77777777" w:rsidR="004E63D6" w:rsidRPr="00CE28E3" w:rsidRDefault="004E63D6" w:rsidP="00CA410A">
            <w:pPr>
              <w:pStyle w:val="TableText"/>
              <w:keepNext/>
              <w:jc w:val="right"/>
            </w:pPr>
            <w:r w:rsidRPr="001B44CB">
              <w:t>449</w:t>
            </w:r>
          </w:p>
        </w:tc>
        <w:tc>
          <w:tcPr>
            <w:tcW w:w="1037" w:type="dxa"/>
            <w:tcBorders>
              <w:left w:val="nil"/>
              <w:right w:val="single" w:sz="8" w:space="0" w:color="auto"/>
            </w:tcBorders>
            <w:tcMar>
              <w:top w:w="0" w:type="dxa"/>
              <w:left w:w="108" w:type="dxa"/>
              <w:bottom w:w="0" w:type="dxa"/>
              <w:right w:w="108" w:type="dxa"/>
            </w:tcMar>
          </w:tcPr>
          <w:p w14:paraId="3A9FCE44" w14:textId="77777777" w:rsidR="004E63D6" w:rsidRPr="00CE28E3" w:rsidRDefault="004E63D6" w:rsidP="00CA410A">
            <w:pPr>
              <w:pStyle w:val="TableText"/>
              <w:keepNext/>
              <w:jc w:val="right"/>
            </w:pPr>
            <w:r w:rsidRPr="001B44CB">
              <w:t>470</w:t>
            </w:r>
          </w:p>
        </w:tc>
        <w:tc>
          <w:tcPr>
            <w:tcW w:w="1037" w:type="dxa"/>
            <w:tcBorders>
              <w:left w:val="nil"/>
              <w:right w:val="single" w:sz="8" w:space="0" w:color="auto"/>
            </w:tcBorders>
            <w:tcMar>
              <w:top w:w="0" w:type="dxa"/>
              <w:left w:w="108" w:type="dxa"/>
              <w:bottom w:w="0" w:type="dxa"/>
              <w:right w:w="108" w:type="dxa"/>
            </w:tcMar>
          </w:tcPr>
          <w:p w14:paraId="1FB8E3FE" w14:textId="77777777" w:rsidR="004E63D6" w:rsidRPr="00CE28E3" w:rsidRDefault="004E63D6" w:rsidP="00CA410A">
            <w:pPr>
              <w:pStyle w:val="TableText"/>
              <w:keepNext/>
              <w:jc w:val="right"/>
            </w:pPr>
            <w:r w:rsidRPr="001B44CB">
              <w:t>491</w:t>
            </w:r>
          </w:p>
        </w:tc>
        <w:tc>
          <w:tcPr>
            <w:tcW w:w="1037" w:type="dxa"/>
            <w:tcBorders>
              <w:left w:val="nil"/>
              <w:right w:val="single" w:sz="8" w:space="0" w:color="auto"/>
            </w:tcBorders>
            <w:tcMar>
              <w:top w:w="0" w:type="dxa"/>
              <w:left w:w="108" w:type="dxa"/>
              <w:bottom w:w="0" w:type="dxa"/>
              <w:right w:w="108" w:type="dxa"/>
            </w:tcMar>
          </w:tcPr>
          <w:p w14:paraId="130F4039" w14:textId="77777777" w:rsidR="004E63D6" w:rsidRPr="00CE28E3" w:rsidRDefault="004E63D6" w:rsidP="00CA410A">
            <w:pPr>
              <w:pStyle w:val="TableText"/>
              <w:keepNext/>
              <w:jc w:val="right"/>
            </w:pPr>
            <w:r w:rsidRPr="001B44CB">
              <w:t>513</w:t>
            </w:r>
          </w:p>
        </w:tc>
      </w:tr>
      <w:tr w:rsidR="007B4D43" w:rsidRPr="00CE28E3" w14:paraId="1AA9A356" w14:textId="77777777" w:rsidTr="00CA410A">
        <w:tc>
          <w:tcPr>
            <w:tcW w:w="2784" w:type="dxa"/>
            <w:tcBorders>
              <w:left w:val="single" w:sz="8" w:space="0" w:color="auto"/>
              <w:bottom w:val="single" w:sz="8" w:space="0" w:color="auto"/>
              <w:right w:val="single" w:sz="8" w:space="0" w:color="auto"/>
            </w:tcBorders>
            <w:tcMar>
              <w:top w:w="0" w:type="dxa"/>
              <w:left w:w="108" w:type="dxa"/>
              <w:bottom w:w="0" w:type="dxa"/>
              <w:right w:w="108" w:type="dxa"/>
            </w:tcMar>
          </w:tcPr>
          <w:p w14:paraId="127D9FA5" w14:textId="0B8891C6" w:rsidR="007B4D43" w:rsidRPr="00CE28E3" w:rsidRDefault="007B4D43" w:rsidP="007B4D43">
            <w:pPr>
              <w:pStyle w:val="TableText"/>
              <w:keepNext/>
              <w:numPr>
                <w:ilvl w:val="0"/>
                <w:numId w:val="28"/>
              </w:numPr>
              <w:ind w:left="166" w:hanging="129"/>
            </w:pPr>
            <w:r w:rsidRPr="002A0A63">
              <w:rPr>
                <w:i/>
              </w:rPr>
              <w:t>MET</w:t>
            </w:r>
            <w:r>
              <w:t xml:space="preserve">ex14sk </w:t>
            </w:r>
            <w:r>
              <w:br/>
              <w:t>(MBS benefit: $337.75)</w:t>
            </w:r>
            <w:r>
              <w:rPr>
                <w:vertAlign w:val="superscript"/>
              </w:rPr>
              <w:t>e</w:t>
            </w:r>
          </w:p>
        </w:tc>
        <w:tc>
          <w:tcPr>
            <w:tcW w:w="1037" w:type="dxa"/>
            <w:tcBorders>
              <w:left w:val="nil"/>
              <w:bottom w:val="single" w:sz="8" w:space="0" w:color="auto"/>
              <w:right w:val="single" w:sz="8" w:space="0" w:color="auto"/>
            </w:tcBorders>
            <w:tcMar>
              <w:top w:w="0" w:type="dxa"/>
              <w:left w:w="108" w:type="dxa"/>
              <w:bottom w:w="0" w:type="dxa"/>
              <w:right w:w="108" w:type="dxa"/>
            </w:tcMar>
          </w:tcPr>
          <w:p w14:paraId="78624026" w14:textId="57263DD1" w:rsidR="007B4D43" w:rsidRPr="00CE28E3" w:rsidRDefault="007B4D43" w:rsidP="007B4D43">
            <w:pPr>
              <w:pStyle w:val="TableText"/>
              <w:keepNext/>
              <w:jc w:val="right"/>
            </w:pPr>
            <w:r w:rsidRPr="004B0A8E">
              <w:t>3,559</w:t>
            </w:r>
          </w:p>
        </w:tc>
        <w:tc>
          <w:tcPr>
            <w:tcW w:w="1037" w:type="dxa"/>
            <w:tcBorders>
              <w:left w:val="nil"/>
              <w:bottom w:val="single" w:sz="8" w:space="0" w:color="auto"/>
              <w:right w:val="single" w:sz="8" w:space="0" w:color="auto"/>
            </w:tcBorders>
            <w:tcMar>
              <w:top w:w="0" w:type="dxa"/>
              <w:left w:w="108" w:type="dxa"/>
              <w:bottom w:w="0" w:type="dxa"/>
              <w:right w:w="108" w:type="dxa"/>
            </w:tcMar>
          </w:tcPr>
          <w:p w14:paraId="6C43EF62" w14:textId="711E70B6" w:rsidR="007B4D43" w:rsidRPr="00CE28E3" w:rsidRDefault="007B4D43" w:rsidP="007B4D43">
            <w:pPr>
              <w:pStyle w:val="TableText"/>
              <w:keepNext/>
              <w:jc w:val="right"/>
            </w:pPr>
            <w:r w:rsidRPr="004B0A8E">
              <w:t>3,738</w:t>
            </w:r>
          </w:p>
        </w:tc>
        <w:tc>
          <w:tcPr>
            <w:tcW w:w="1037" w:type="dxa"/>
            <w:tcBorders>
              <w:left w:val="nil"/>
              <w:bottom w:val="single" w:sz="8" w:space="0" w:color="auto"/>
              <w:right w:val="single" w:sz="8" w:space="0" w:color="auto"/>
            </w:tcBorders>
            <w:tcMar>
              <w:top w:w="0" w:type="dxa"/>
              <w:left w:w="108" w:type="dxa"/>
              <w:bottom w:w="0" w:type="dxa"/>
              <w:right w:w="108" w:type="dxa"/>
            </w:tcMar>
          </w:tcPr>
          <w:p w14:paraId="05436CEE" w14:textId="37D6E4A3" w:rsidR="007B4D43" w:rsidRPr="00CE28E3" w:rsidRDefault="007B4D43" w:rsidP="007B4D43">
            <w:pPr>
              <w:pStyle w:val="TableText"/>
              <w:keepNext/>
              <w:jc w:val="right"/>
            </w:pPr>
            <w:r w:rsidRPr="004B0A8E">
              <w:t>3,916</w:t>
            </w:r>
          </w:p>
        </w:tc>
        <w:tc>
          <w:tcPr>
            <w:tcW w:w="1037" w:type="dxa"/>
            <w:tcBorders>
              <w:left w:val="nil"/>
              <w:bottom w:val="single" w:sz="8" w:space="0" w:color="auto"/>
              <w:right w:val="single" w:sz="8" w:space="0" w:color="auto"/>
            </w:tcBorders>
            <w:tcMar>
              <w:top w:w="0" w:type="dxa"/>
              <w:left w:w="108" w:type="dxa"/>
              <w:bottom w:w="0" w:type="dxa"/>
              <w:right w:w="108" w:type="dxa"/>
            </w:tcMar>
          </w:tcPr>
          <w:p w14:paraId="06B6905A" w14:textId="4A0E180E" w:rsidR="007B4D43" w:rsidRPr="00CE28E3" w:rsidRDefault="007B4D43" w:rsidP="007B4D43">
            <w:pPr>
              <w:pStyle w:val="TableText"/>
              <w:keepNext/>
              <w:jc w:val="right"/>
            </w:pPr>
            <w:r w:rsidRPr="004B0A8E">
              <w:t>4,095</w:t>
            </w:r>
          </w:p>
        </w:tc>
        <w:tc>
          <w:tcPr>
            <w:tcW w:w="1037" w:type="dxa"/>
            <w:tcBorders>
              <w:left w:val="nil"/>
              <w:bottom w:val="single" w:sz="8" w:space="0" w:color="auto"/>
              <w:right w:val="single" w:sz="8" w:space="0" w:color="auto"/>
            </w:tcBorders>
            <w:tcMar>
              <w:top w:w="0" w:type="dxa"/>
              <w:left w:w="108" w:type="dxa"/>
              <w:bottom w:w="0" w:type="dxa"/>
              <w:right w:w="108" w:type="dxa"/>
            </w:tcMar>
          </w:tcPr>
          <w:p w14:paraId="24CC6E6A" w14:textId="19BDBEEF" w:rsidR="007B4D43" w:rsidRPr="00CE28E3" w:rsidRDefault="007B4D43" w:rsidP="007B4D43">
            <w:pPr>
              <w:pStyle w:val="TableText"/>
              <w:keepNext/>
              <w:jc w:val="right"/>
            </w:pPr>
            <w:r w:rsidRPr="004B0A8E">
              <w:t>4,273</w:t>
            </w:r>
          </w:p>
        </w:tc>
        <w:tc>
          <w:tcPr>
            <w:tcW w:w="1037" w:type="dxa"/>
            <w:tcBorders>
              <w:left w:val="nil"/>
              <w:bottom w:val="single" w:sz="8" w:space="0" w:color="auto"/>
              <w:right w:val="single" w:sz="8" w:space="0" w:color="auto"/>
            </w:tcBorders>
            <w:tcMar>
              <w:top w:w="0" w:type="dxa"/>
              <w:left w:w="108" w:type="dxa"/>
              <w:bottom w:w="0" w:type="dxa"/>
              <w:right w:w="108" w:type="dxa"/>
            </w:tcMar>
          </w:tcPr>
          <w:p w14:paraId="51B4A84E" w14:textId="1F52953E" w:rsidR="007B4D43" w:rsidRPr="00CE28E3" w:rsidRDefault="007B4D43" w:rsidP="007B4D43">
            <w:pPr>
              <w:pStyle w:val="TableText"/>
              <w:keepNext/>
              <w:jc w:val="right"/>
            </w:pPr>
            <w:r w:rsidRPr="004B0A8E">
              <w:t>4,452</w:t>
            </w:r>
          </w:p>
        </w:tc>
      </w:tr>
      <w:tr w:rsidR="007B4D43" w:rsidRPr="00CE28E3" w14:paraId="6690C050"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BDC67" w14:textId="54D0260E" w:rsidR="007B4D43" w:rsidRPr="00CE28E3" w:rsidRDefault="007B4D43" w:rsidP="007B4D43">
            <w:pPr>
              <w:pStyle w:val="TableText"/>
              <w:keepNext/>
            </w:pPr>
            <w:r>
              <w:t>Reduction in use of block retrieval services (MBS benefit: $72.25)</w:t>
            </w:r>
            <w:r w:rsidRPr="006244EA">
              <w:rPr>
                <w:vertAlign w:val="superscript"/>
              </w:rPr>
              <w:t>f</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0B73442C" w14:textId="3E342AC3" w:rsidR="007B4D43" w:rsidRPr="00CE28E3" w:rsidRDefault="007B4D43" w:rsidP="007B4D43">
            <w:pPr>
              <w:pStyle w:val="TableText"/>
              <w:keepNext/>
              <w:jc w:val="right"/>
            </w:pPr>
            <w:r w:rsidRPr="004B0A8E">
              <w:t>3,559</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00AFD10" w14:textId="7259605D" w:rsidR="007B4D43" w:rsidRPr="00CE28E3" w:rsidRDefault="007B4D43" w:rsidP="007B4D43">
            <w:pPr>
              <w:pStyle w:val="TableText"/>
              <w:keepNext/>
              <w:jc w:val="right"/>
            </w:pPr>
            <w:r w:rsidRPr="004B0A8E">
              <w:t>3,738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209B27AE" w14:textId="69D2D4B5" w:rsidR="007B4D43" w:rsidRPr="00CE28E3" w:rsidRDefault="007B4D43" w:rsidP="007B4D43">
            <w:pPr>
              <w:pStyle w:val="TableText"/>
              <w:keepNext/>
              <w:jc w:val="right"/>
            </w:pPr>
            <w:r w:rsidRPr="004B0A8E">
              <w:t>3,916</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B4E0205" w14:textId="58370695" w:rsidR="007B4D43" w:rsidRPr="00CE28E3" w:rsidRDefault="007B4D43" w:rsidP="007B4D43">
            <w:pPr>
              <w:pStyle w:val="TableText"/>
              <w:keepNext/>
              <w:jc w:val="right"/>
            </w:pPr>
            <w:r w:rsidRPr="004B0A8E">
              <w:t>4,095</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AB0626A" w14:textId="5204725F" w:rsidR="007B4D43" w:rsidRPr="00CE28E3" w:rsidRDefault="007B4D43" w:rsidP="007B4D43">
            <w:pPr>
              <w:pStyle w:val="TableText"/>
              <w:keepNext/>
              <w:jc w:val="right"/>
            </w:pPr>
            <w:r w:rsidRPr="004B0A8E">
              <w:t>4,273</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BBC6C39" w14:textId="0FA4841A" w:rsidR="007B4D43" w:rsidRPr="00CE28E3" w:rsidRDefault="007B4D43" w:rsidP="007B4D43">
            <w:pPr>
              <w:pStyle w:val="TableText"/>
              <w:keepNext/>
              <w:jc w:val="right"/>
            </w:pPr>
            <w:r w:rsidRPr="004B0A8E">
              <w:t>4,452</w:t>
            </w:r>
          </w:p>
        </w:tc>
      </w:tr>
      <w:tr w:rsidR="007B4D43" w:rsidRPr="00CE28E3" w14:paraId="718B4A87"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EB5B2" w14:textId="08EF5EA1" w:rsidR="007B4D43" w:rsidRPr="00CE28E3" w:rsidRDefault="007B4D43" w:rsidP="007B4D43">
            <w:pPr>
              <w:pStyle w:val="TableText"/>
              <w:keepNext/>
            </w:pPr>
            <w:r w:rsidRPr="00CE28E3">
              <w:t>Net change in costs to the</w:t>
            </w:r>
            <w:r>
              <w:t xml:space="preserve"> MBS</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CFD5870" w14:textId="620DF1A5" w:rsidR="007B4D43" w:rsidRPr="00CE28E3" w:rsidRDefault="007B4D43" w:rsidP="007B4D43">
            <w:pPr>
              <w:pStyle w:val="TableText"/>
              <w:keepNext/>
              <w:jc w:val="right"/>
            </w:pPr>
            <w:r w:rsidRPr="004B0A8E">
              <w:t>$3,466,662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2E36944F" w14:textId="4BFC38C2" w:rsidR="007B4D43" w:rsidRPr="00CE28E3" w:rsidRDefault="007B4D43" w:rsidP="007B4D43">
            <w:pPr>
              <w:pStyle w:val="TableText"/>
              <w:keepNext/>
              <w:jc w:val="right"/>
            </w:pPr>
            <w:r w:rsidRPr="004B0A8E">
              <w:t>$3,640,562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EE46972" w14:textId="261A40F2" w:rsidR="007B4D43" w:rsidRPr="00CE28E3" w:rsidRDefault="007B4D43" w:rsidP="007B4D43">
            <w:pPr>
              <w:pStyle w:val="TableText"/>
              <w:keepNext/>
              <w:jc w:val="right"/>
            </w:pPr>
            <w:r w:rsidRPr="004B0A8E">
              <w:t>$3,814,751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BAE36F3" w14:textId="583A4EEB" w:rsidR="007B4D43" w:rsidRPr="00CE28E3" w:rsidRDefault="007B4D43" w:rsidP="007B4D43">
            <w:pPr>
              <w:pStyle w:val="TableText"/>
              <w:keepNext/>
              <w:jc w:val="right"/>
            </w:pPr>
            <w:r w:rsidRPr="004B0A8E">
              <w:t>$3,988,966</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057EB790" w14:textId="4FF26064" w:rsidR="007B4D43" w:rsidRPr="00CE28E3" w:rsidRDefault="007B4D43" w:rsidP="007B4D43">
            <w:pPr>
              <w:pStyle w:val="TableText"/>
              <w:keepNext/>
              <w:jc w:val="right"/>
            </w:pPr>
            <w:r w:rsidRPr="004B0A8E">
              <w:t>$4,163,208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954B406" w14:textId="6D9CD038" w:rsidR="007B4D43" w:rsidRPr="00CE28E3" w:rsidRDefault="007B4D43" w:rsidP="007B4D43">
            <w:pPr>
              <w:pStyle w:val="TableText"/>
              <w:keepNext/>
              <w:jc w:val="right"/>
            </w:pPr>
            <w:r w:rsidRPr="004B0A8E">
              <w:t>$4,337,803</w:t>
            </w:r>
          </w:p>
        </w:tc>
      </w:tr>
      <w:tr w:rsidR="007B4D43" w:rsidRPr="00CE28E3" w14:paraId="483307A7"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B72305" w14:textId="77777777" w:rsidR="007B4D43" w:rsidRPr="00CE28E3" w:rsidRDefault="007B4D43" w:rsidP="007B4D43">
            <w:pPr>
              <w:pStyle w:val="TableText"/>
              <w:keepNext/>
              <w:rPr>
                <w:b/>
                <w:bCs/>
              </w:rPr>
            </w:pPr>
            <w:r w:rsidRPr="00CE28E3">
              <w:rPr>
                <w:b/>
                <w:bCs/>
              </w:rPr>
              <w:t xml:space="preserve">Net financial impact to the </w:t>
            </w:r>
            <w:r>
              <w:rPr>
                <w:b/>
                <w:bCs/>
              </w:rPr>
              <w:t>MBS</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7C7219A" w14:textId="33ECED34" w:rsidR="007B4D43" w:rsidRPr="007B4D43" w:rsidRDefault="007B4D43" w:rsidP="007B4D43">
            <w:pPr>
              <w:pStyle w:val="TableText"/>
              <w:keepNext/>
              <w:jc w:val="right"/>
              <w:rPr>
                <w:b/>
                <w:bCs/>
              </w:rPr>
            </w:pPr>
            <w:r w:rsidRPr="007B4D43">
              <w:rPr>
                <w:b/>
              </w:rPr>
              <w:t>$1,469,360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D60DFEB" w14:textId="2354BD48" w:rsidR="007B4D43" w:rsidRPr="007B4D43" w:rsidRDefault="007B4D43" w:rsidP="007B4D43">
            <w:pPr>
              <w:pStyle w:val="TableText"/>
              <w:keepNext/>
              <w:jc w:val="right"/>
              <w:rPr>
                <w:b/>
                <w:bCs/>
              </w:rPr>
            </w:pPr>
            <w:r w:rsidRPr="007B4D43">
              <w:rPr>
                <w:b/>
              </w:rPr>
              <w:t>$1,543,069</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87B2572" w14:textId="04EE4163" w:rsidR="007B4D43" w:rsidRPr="007B4D43" w:rsidRDefault="007B4D43" w:rsidP="007B4D43">
            <w:pPr>
              <w:pStyle w:val="TableText"/>
              <w:keepNext/>
              <w:jc w:val="right"/>
              <w:rPr>
                <w:b/>
                <w:bCs/>
              </w:rPr>
            </w:pPr>
            <w:r w:rsidRPr="007B4D43">
              <w:rPr>
                <w:b/>
              </w:rPr>
              <w:t>$1,694,966</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7584F8B" w14:textId="434F185B" w:rsidR="007B4D43" w:rsidRPr="007B4D43" w:rsidRDefault="007B4D43" w:rsidP="007B4D43">
            <w:pPr>
              <w:pStyle w:val="TableText"/>
              <w:keepNext/>
              <w:jc w:val="right"/>
              <w:rPr>
                <w:b/>
                <w:bCs/>
              </w:rPr>
            </w:pPr>
            <w:r w:rsidRPr="007B4D43">
              <w:rPr>
                <w:b/>
              </w:rPr>
              <w:t>$1,853,992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21F06C20" w14:textId="4C662709" w:rsidR="007B4D43" w:rsidRPr="007B4D43" w:rsidRDefault="007B4D43" w:rsidP="007B4D43">
            <w:pPr>
              <w:pStyle w:val="TableText"/>
              <w:keepNext/>
              <w:jc w:val="right"/>
              <w:rPr>
                <w:b/>
                <w:bCs/>
              </w:rPr>
            </w:pPr>
            <w:r w:rsidRPr="007B4D43">
              <w:rPr>
                <w:b/>
              </w:rPr>
              <w:t>$2,020,147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F70DF4B" w14:textId="05F46528" w:rsidR="007B4D43" w:rsidRPr="007B4D43" w:rsidRDefault="007B4D43" w:rsidP="007B4D43">
            <w:pPr>
              <w:pStyle w:val="TableText"/>
              <w:keepNext/>
              <w:jc w:val="right"/>
              <w:rPr>
                <w:b/>
                <w:bCs/>
              </w:rPr>
            </w:pPr>
            <w:r w:rsidRPr="007B4D43">
              <w:rPr>
                <w:b/>
              </w:rPr>
              <w:t>$2,282,313</w:t>
            </w:r>
          </w:p>
        </w:tc>
      </w:tr>
    </w:tbl>
    <w:p w14:paraId="68B96F7A" w14:textId="77777777" w:rsidR="004E63D6" w:rsidRDefault="004E63D6" w:rsidP="004E63D6">
      <w:pPr>
        <w:pStyle w:val="TableFooter"/>
      </w:pPr>
      <w:r>
        <w:t>Source: ‘Section 4.4’ worksheet of the ‘1721 financial impact.xlsx’ workbook accompanying the DCAR.</w:t>
      </w:r>
    </w:p>
    <w:p w14:paraId="2CF6850C" w14:textId="4D86C5E7" w:rsidR="004E63D6" w:rsidRDefault="004E63D6" w:rsidP="004E63D6">
      <w:pPr>
        <w:pStyle w:val="TableFooter"/>
      </w:pPr>
      <w:r>
        <w:rPr>
          <w:i/>
        </w:rPr>
        <w:t>ALK</w:t>
      </w:r>
      <w:r>
        <w:t xml:space="preserve"> = </w:t>
      </w:r>
      <w:r w:rsidRPr="003316EF">
        <w:t>anaplastic lymphoma kinase</w:t>
      </w:r>
      <w:r>
        <w:t xml:space="preserve">; DNA = deoxyribose nucleic acid; </w:t>
      </w:r>
      <w:r w:rsidRPr="00A81F01">
        <w:rPr>
          <w:i/>
        </w:rPr>
        <w:t>EGFR</w:t>
      </w:r>
      <w:r>
        <w:t xml:space="preserve"> = </w:t>
      </w:r>
      <w:r w:rsidRPr="00A81F01">
        <w:t>epidermal growth factor receptor</w:t>
      </w:r>
      <w:r>
        <w:t>; FISH = f</w:t>
      </w:r>
      <w:r w:rsidRPr="003316EF">
        <w:t xml:space="preserve">luorescence </w:t>
      </w:r>
      <w:r w:rsidRPr="00357441">
        <w:rPr>
          <w:i/>
          <w:iCs/>
        </w:rPr>
        <w:t>in situ</w:t>
      </w:r>
      <w:r w:rsidRPr="003316EF">
        <w:t xml:space="preserve"> hybridisation</w:t>
      </w:r>
      <w:r>
        <w:t xml:space="preserve">; </w:t>
      </w:r>
      <w:r w:rsidRPr="00336456">
        <w:rPr>
          <w:i/>
        </w:rPr>
        <w:t>MET</w:t>
      </w:r>
      <w:r>
        <w:t>ex14sk = MET proto-oncogene, receptor tyrosine kinase exon 14 skipping alterations; RNA = ribonucleic acid;</w:t>
      </w:r>
      <w:r w:rsidRPr="00B52D8D">
        <w:t xml:space="preserve"> </w:t>
      </w:r>
      <w:r w:rsidRPr="00743D1B">
        <w:rPr>
          <w:i/>
        </w:rPr>
        <w:t>ROS1</w:t>
      </w:r>
      <w:r>
        <w:t xml:space="preserve"> = ROS proto-oncogene 1.</w:t>
      </w:r>
    </w:p>
    <w:p w14:paraId="0FAFCAEA" w14:textId="6E7AE5E2" w:rsidR="00B95D45" w:rsidRDefault="00B95D45" w:rsidP="00B95D45">
      <w:pPr>
        <w:pStyle w:val="TableFooter"/>
      </w:pPr>
      <w:r w:rsidRPr="00D457EE">
        <w:rPr>
          <w:vertAlign w:val="superscript"/>
        </w:rPr>
        <w:t>a</w:t>
      </w:r>
      <w:r>
        <w:t xml:space="preserve"> 31.8% </w:t>
      </w:r>
      <w:r>
        <w:rPr>
          <w:rFonts w:cstheme="minorHAnsi"/>
        </w:rPr>
        <w:t>×</w:t>
      </w:r>
      <w:r>
        <w:t xml:space="preserve"> $935.25 [75% MBS benefit] + 68.2% </w:t>
      </w:r>
      <w:r>
        <w:rPr>
          <w:rFonts w:cstheme="minorHAnsi"/>
        </w:rPr>
        <w:t>×</w:t>
      </w:r>
      <w:r>
        <w:t xml:space="preserve"> $1,159.10 [85% MBS benefit]</w:t>
      </w:r>
      <w:r w:rsidR="006244EA">
        <w:t xml:space="preserve">. Split of use based on MBS data for use of </w:t>
      </w:r>
      <w:r w:rsidR="006244EA" w:rsidRPr="006244EA">
        <w:rPr>
          <w:i/>
        </w:rPr>
        <w:t>EGFR</w:t>
      </w:r>
      <w:r w:rsidR="006244EA">
        <w:t xml:space="preserve"> services.</w:t>
      </w:r>
    </w:p>
    <w:p w14:paraId="09743EB1" w14:textId="54D8BEA9" w:rsidR="00B95D45" w:rsidRDefault="00B95D45" w:rsidP="00B95D45">
      <w:pPr>
        <w:pStyle w:val="TableFooter"/>
      </w:pPr>
      <w:r w:rsidRPr="00D457EE">
        <w:rPr>
          <w:vertAlign w:val="superscript"/>
        </w:rPr>
        <w:t>b</w:t>
      </w:r>
      <w:r>
        <w:t xml:space="preserve"> 31.8% </w:t>
      </w:r>
      <w:r>
        <w:rPr>
          <w:rFonts w:cstheme="minorHAnsi"/>
        </w:rPr>
        <w:t>×</w:t>
      </w:r>
      <w:r>
        <w:t xml:space="preserve"> $511.80 [75% MBS benefit] + 68.2% </w:t>
      </w:r>
      <w:r>
        <w:rPr>
          <w:rFonts w:cstheme="minorHAnsi"/>
        </w:rPr>
        <w:t>×</w:t>
      </w:r>
      <w:r>
        <w:t xml:space="preserve"> $594.45 [85% MBS benefit]</w:t>
      </w:r>
      <w:r w:rsidR="006244EA">
        <w:t xml:space="preserve">. Split of use based on MBS data for use of </w:t>
      </w:r>
      <w:r w:rsidR="006244EA" w:rsidRPr="006244EA">
        <w:rPr>
          <w:i/>
        </w:rPr>
        <w:t>EGFR</w:t>
      </w:r>
      <w:r w:rsidR="006244EA">
        <w:t xml:space="preserve"> services.</w:t>
      </w:r>
    </w:p>
    <w:p w14:paraId="56353AFF" w14:textId="46CEE679" w:rsidR="00B95D45" w:rsidRDefault="00B95D45" w:rsidP="00B95D45">
      <w:pPr>
        <w:pStyle w:val="TableFooter"/>
      </w:pPr>
      <w:r>
        <w:rPr>
          <w:vertAlign w:val="superscript"/>
        </w:rPr>
        <w:t>c</w:t>
      </w:r>
      <w:r>
        <w:t xml:space="preserve"> 31.8</w:t>
      </w:r>
      <w:r w:rsidRPr="00B47786">
        <w:t>% × $298.05 [75% MBS benefit] +</w:t>
      </w:r>
      <w:r>
        <w:t xml:space="preserve"> 68.2</w:t>
      </w:r>
      <w:r w:rsidRPr="00B47786">
        <w:t>% × $337.75 [85% MBS benefit]</w:t>
      </w:r>
      <w:r w:rsidR="006244EA">
        <w:t xml:space="preserve">. Split of use based on MBS data for use of </w:t>
      </w:r>
      <w:r w:rsidR="006244EA" w:rsidRPr="006244EA">
        <w:rPr>
          <w:i/>
        </w:rPr>
        <w:t>EGFR</w:t>
      </w:r>
      <w:r w:rsidR="006244EA">
        <w:t xml:space="preserve"> services.</w:t>
      </w:r>
    </w:p>
    <w:p w14:paraId="3CD784EC" w14:textId="633F1C7F" w:rsidR="00B95D45" w:rsidRDefault="00B95D45" w:rsidP="00B95D45">
      <w:pPr>
        <w:pStyle w:val="TableFooter"/>
      </w:pPr>
      <w:r>
        <w:rPr>
          <w:vertAlign w:val="superscript"/>
        </w:rPr>
        <w:t>d</w:t>
      </w:r>
      <w:r>
        <w:t xml:space="preserve"> 35.5% × $300.00</w:t>
      </w:r>
      <w:r w:rsidRPr="00B47786">
        <w:t xml:space="preserve"> </w:t>
      </w:r>
      <w:r>
        <w:t>[75% MBS benefit] +64.5% × $340.00</w:t>
      </w:r>
      <w:r w:rsidRPr="00B47786">
        <w:t xml:space="preserve"> [85% MBS benefit]</w:t>
      </w:r>
      <w:r w:rsidR="006244EA">
        <w:t xml:space="preserve">. Split of use based on MBS data for use of </w:t>
      </w:r>
      <w:r w:rsidR="006244EA" w:rsidRPr="006244EA">
        <w:rPr>
          <w:i/>
        </w:rPr>
        <w:t>ALK</w:t>
      </w:r>
      <w:r w:rsidR="006244EA">
        <w:t xml:space="preserve"> or </w:t>
      </w:r>
      <w:r w:rsidR="006244EA" w:rsidRPr="006244EA">
        <w:rPr>
          <w:i/>
        </w:rPr>
        <w:t>ROS1</w:t>
      </w:r>
      <w:r w:rsidR="006244EA">
        <w:t xml:space="preserve"> FISH services.</w:t>
      </w:r>
    </w:p>
    <w:p w14:paraId="2147EC91" w14:textId="0BD95DB1" w:rsidR="006244EA" w:rsidRDefault="006244EA" w:rsidP="006244EA">
      <w:pPr>
        <w:pStyle w:val="TableFooter"/>
      </w:pPr>
      <w:r>
        <w:rPr>
          <w:vertAlign w:val="superscript"/>
        </w:rPr>
        <w:t>e</w:t>
      </w:r>
      <w:r>
        <w:t xml:space="preserve"> 100</w:t>
      </w:r>
      <w:r w:rsidRPr="00B47786">
        <w:t>% × $337.75 [85% MBS benefit]</w:t>
      </w:r>
      <w:r>
        <w:t xml:space="preserve">. As proposed </w:t>
      </w:r>
      <w:r w:rsidRPr="006244EA">
        <w:rPr>
          <w:i/>
        </w:rPr>
        <w:t>MET</w:t>
      </w:r>
      <w:r>
        <w:t>ex14sk testing has not been proposed to be a pathologist determinable test, all services have been assumed to be requested in the outpatient setting.</w:t>
      </w:r>
      <w:r>
        <w:rPr>
          <w:vertAlign w:val="superscript"/>
        </w:rPr>
        <w:t>f</w:t>
      </w:r>
      <w:r>
        <w:t xml:space="preserve"> 100</w:t>
      </w:r>
      <w:r w:rsidRPr="00B47786">
        <w:t>% × $</w:t>
      </w:r>
      <w:r>
        <w:t>72.25</w:t>
      </w:r>
      <w:r w:rsidRPr="00B47786">
        <w:t xml:space="preserve"> [85% MBS benefit]</w:t>
      </w:r>
      <w:r>
        <w:t xml:space="preserve">. Assumed for each </w:t>
      </w:r>
      <w:r w:rsidRPr="006244EA">
        <w:rPr>
          <w:i/>
        </w:rPr>
        <w:t>MET</w:t>
      </w:r>
      <w:r>
        <w:t>ex14sk test which has been assumed to be requested in the outpatient setting.</w:t>
      </w:r>
    </w:p>
    <w:p w14:paraId="085ADC27" w14:textId="3CE675A0" w:rsidR="004E63D6" w:rsidRDefault="004E63D6" w:rsidP="004E63D6">
      <w:pPr>
        <w:pStyle w:val="NormalBeforeBullet"/>
      </w:pPr>
      <w:r>
        <w:t xml:space="preserve">The net financial impact estimates were most sensitive to the distribution of use of combined or sequential small gene panels and whether separate RNA panels are allowed in those found to have </w:t>
      </w:r>
      <w:r w:rsidRPr="00E64F78">
        <w:rPr>
          <w:i/>
        </w:rPr>
        <w:t>KRAS</w:t>
      </w:r>
      <w:r>
        <w:t xml:space="preserve"> or </w:t>
      </w:r>
      <w:r w:rsidRPr="00E64F78">
        <w:rPr>
          <w:i/>
        </w:rPr>
        <w:t>BRAF</w:t>
      </w:r>
      <w:r w:rsidR="00A20449">
        <w:t xml:space="preserve"> activating variants. If there is substantial growth in the market due to the listing of small gene panels (e.g. if some testing currently is funded by the states, and this shifts to the MBS), then the net impact to the MBS may be higher. However</w:t>
      </w:r>
      <w:r w:rsidR="00007821">
        <w:t>,</w:t>
      </w:r>
      <w:r w:rsidR="00A20449">
        <w:t xml:space="preserve"> the extent of this shift is unknown.</w:t>
      </w:r>
    </w:p>
    <w:p w14:paraId="703B3F88" w14:textId="012BB494" w:rsidR="0034638A" w:rsidRDefault="0034638A" w:rsidP="004E63D6">
      <w:pPr>
        <w:pStyle w:val="NormalBeforeBullet"/>
      </w:pPr>
      <w:r>
        <w:t xml:space="preserve">While there may also be a change in the relative use of IHC testing items, </w:t>
      </w:r>
      <w:r w:rsidRPr="007A7150">
        <w:t xml:space="preserve">PASC considered that the expected </w:t>
      </w:r>
      <w:r>
        <w:t>reduction in</w:t>
      </w:r>
      <w:r w:rsidRPr="007A7150">
        <w:t xml:space="preserve"> </w:t>
      </w:r>
      <w:r>
        <w:t xml:space="preserve">the cost of </w:t>
      </w:r>
      <w:r w:rsidRPr="007A7150">
        <w:t xml:space="preserve">IHC testing for </w:t>
      </w:r>
      <w:r w:rsidRPr="00FE43E9">
        <w:rPr>
          <w:i/>
        </w:rPr>
        <w:t>ALK</w:t>
      </w:r>
      <w:r w:rsidRPr="007A7150">
        <w:t xml:space="preserve"> and </w:t>
      </w:r>
      <w:r w:rsidRPr="00FE43E9">
        <w:rPr>
          <w:i/>
        </w:rPr>
        <w:t>ROS1</w:t>
      </w:r>
      <w:r w:rsidRPr="007A7150">
        <w:t xml:space="preserve"> would not be straightforward to estimate</w:t>
      </w:r>
      <w:r>
        <w:t xml:space="preserve"> (p10, 1634 Ratified PICO)</w:t>
      </w:r>
      <w:r w:rsidRPr="007A7150">
        <w:t xml:space="preserve">. </w:t>
      </w:r>
      <w:r>
        <w:t xml:space="preserve">The total number of IHC services is not likely to change with proposed small gene panel testing (as this is performed on diagnosis of NSCLC), and for </w:t>
      </w:r>
      <w:r>
        <w:lastRenderedPageBreak/>
        <w:t>many patients, the item claimed will not change (where</w:t>
      </w:r>
      <w:r w:rsidRPr="00E466E6">
        <w:t xml:space="preserve"> </w:t>
      </w:r>
      <w:r>
        <w:t xml:space="preserve">the number of antibodies tested does not change the item being charged e.g. from use of ten to eight antibodies tested). A conservative approach has been adopted in the DCAR that assumes no reduction in cost of </w:t>
      </w:r>
      <w:r w:rsidRPr="00E466E6">
        <w:rPr>
          <w:i/>
        </w:rPr>
        <w:t>ALK</w:t>
      </w:r>
      <w:r>
        <w:t xml:space="preserve"> and </w:t>
      </w:r>
      <w:r w:rsidRPr="00E466E6">
        <w:rPr>
          <w:i/>
        </w:rPr>
        <w:t>ROS1</w:t>
      </w:r>
      <w:r>
        <w:t xml:space="preserve"> IHC testing. The budget impact was not sensitive to an assumption that all </w:t>
      </w:r>
      <w:r w:rsidRPr="003531F3">
        <w:rPr>
          <w:i/>
        </w:rPr>
        <w:t>EGFR</w:t>
      </w:r>
      <w:r>
        <w:t xml:space="preserve"> services would be associated with a change in IHC item use (from 72849 [85% benefit: $88.70] to 72847 [85% benefit: $76.00], reduction in cost to the MBS of $12.70).</w:t>
      </w:r>
    </w:p>
    <w:p w14:paraId="7838A9FF" w14:textId="79FED81D" w:rsidR="00772829" w:rsidRPr="00CE28E3" w:rsidRDefault="00C36633" w:rsidP="002A18BE">
      <w:pPr>
        <w:pStyle w:val="Heading2"/>
        <w:numPr>
          <w:ilvl w:val="0"/>
          <w:numId w:val="0"/>
        </w:numPr>
      </w:pPr>
      <w:bookmarkStart w:id="43" w:name="_Toc148531129"/>
      <w:r>
        <w:t>13.</w:t>
      </w:r>
      <w:r>
        <w:tab/>
      </w:r>
      <w:r w:rsidR="00772829" w:rsidRPr="00CE28E3">
        <w:t xml:space="preserve">Other relevant </w:t>
      </w:r>
      <w:r w:rsidR="00FA5766">
        <w:t>information</w:t>
      </w:r>
      <w:bookmarkEnd w:id="43"/>
    </w:p>
    <w:p w14:paraId="30DE9625" w14:textId="4E719F7B" w:rsidR="00772829" w:rsidRPr="00C7422C" w:rsidRDefault="00C7422C" w:rsidP="00DF39E9">
      <w:pPr>
        <w:pStyle w:val="Instructionaltext"/>
        <w:rPr>
          <w:color w:val="auto"/>
        </w:rPr>
      </w:pPr>
      <w:r w:rsidRPr="00C7422C">
        <w:rPr>
          <w:color w:val="auto"/>
        </w:rPr>
        <w:t>Nil</w:t>
      </w:r>
      <w:r>
        <w:rPr>
          <w:color w:val="auto"/>
        </w:rPr>
        <w:t>.</w:t>
      </w:r>
    </w:p>
    <w:p w14:paraId="6E40E8F2" w14:textId="746E0595" w:rsidR="00037302" w:rsidRDefault="00487C85" w:rsidP="00487C85">
      <w:pPr>
        <w:pStyle w:val="Heading2"/>
        <w:numPr>
          <w:ilvl w:val="0"/>
          <w:numId w:val="0"/>
        </w:numPr>
      </w:pPr>
      <w:bookmarkStart w:id="44" w:name="_Toc148531130"/>
      <w:r>
        <w:t>14.</w:t>
      </w:r>
      <w:r>
        <w:tab/>
      </w:r>
      <w:r w:rsidR="00037302">
        <w:t>Committee-</w:t>
      </w:r>
      <w:r>
        <w:t>i</w:t>
      </w:r>
      <w:r w:rsidR="00037302">
        <w:t>n-</w:t>
      </w:r>
      <w:r>
        <w:t>c</w:t>
      </w:r>
      <w:r w:rsidR="00037302">
        <w:t>onfidence information</w:t>
      </w:r>
      <w:bookmarkEnd w:id="44"/>
    </w:p>
    <w:p w14:paraId="526ED431" w14:textId="2CDFEA59" w:rsidR="00152957" w:rsidRDefault="00152957" w:rsidP="008C7562">
      <w:pPr>
        <w:pStyle w:val="NormalBeforeBullet"/>
      </w:pPr>
      <w:r>
        <w:t>Redacted.</w:t>
      </w:r>
    </w:p>
    <w:p w14:paraId="01B2A9FA" w14:textId="31DB4CB6" w:rsidR="00772829" w:rsidRPr="00CE28E3" w:rsidRDefault="00772829">
      <w:r w:rsidRPr="00CE28E3">
        <w:br w:type="page"/>
      </w:r>
    </w:p>
    <w:p w14:paraId="370A0CD1" w14:textId="23C06A10" w:rsidR="00BC6897" w:rsidRPr="00CE28E3" w:rsidRDefault="00BC6897" w:rsidP="00BC6897">
      <w:pPr>
        <w:pStyle w:val="Heading1"/>
        <w:numPr>
          <w:ilvl w:val="0"/>
          <w:numId w:val="0"/>
        </w:numPr>
        <w:ind w:left="357" w:hanging="357"/>
      </w:pPr>
      <w:bookmarkStart w:id="45" w:name="_Toc148531131"/>
      <w:r w:rsidRPr="00CE28E3">
        <w:lastRenderedPageBreak/>
        <w:t>Acronyms and abbreviations</w:t>
      </w:r>
      <w:bookmarkEnd w:id="45"/>
    </w:p>
    <w:p w14:paraId="6239451F" w14:textId="77777777" w:rsidR="00BC6897" w:rsidRPr="00CE28E3" w:rsidRDefault="00BC6897" w:rsidP="00A8049D">
      <w:pPr>
        <w:tabs>
          <w:tab w:val="left" w:pos="2835"/>
        </w:tabs>
      </w:pPr>
      <w:r w:rsidRPr="00CE28E3">
        <w:t>AIHW</w:t>
      </w:r>
      <w:r w:rsidRPr="00CE28E3">
        <w:tab/>
        <w:t>Australian Institute of Health and Welfare</w:t>
      </w:r>
    </w:p>
    <w:p w14:paraId="431FA996" w14:textId="6C3C262F" w:rsidR="00364DA4" w:rsidRDefault="00364DA4" w:rsidP="00A8049D">
      <w:pPr>
        <w:tabs>
          <w:tab w:val="left" w:pos="2835"/>
        </w:tabs>
      </w:pPr>
      <w:r w:rsidRPr="00C22A79">
        <w:rPr>
          <w:i/>
        </w:rPr>
        <w:t>ALK</w:t>
      </w:r>
      <w:r>
        <w:tab/>
      </w:r>
      <w:r w:rsidRPr="00364DA4">
        <w:t>anaplastic lymphoma kinase</w:t>
      </w:r>
    </w:p>
    <w:p w14:paraId="5A91C14D" w14:textId="24ED62D4" w:rsidR="00C22A79" w:rsidRDefault="00C22A79" w:rsidP="00C22A79">
      <w:pPr>
        <w:tabs>
          <w:tab w:val="left" w:pos="2835"/>
        </w:tabs>
        <w:ind w:left="2835" w:hanging="2835"/>
      </w:pPr>
      <w:r>
        <w:t>ARMS-PCR</w:t>
      </w:r>
      <w:r w:rsidRPr="00C22A79">
        <w:t xml:space="preserve"> </w:t>
      </w:r>
      <w:r>
        <w:tab/>
        <w:t>amplification-refractory mutation system polymerase chain reaction</w:t>
      </w:r>
    </w:p>
    <w:p w14:paraId="4A1D91C0" w14:textId="04D8624F" w:rsidR="00BC6897" w:rsidRDefault="00BC6897" w:rsidP="00A8049D">
      <w:pPr>
        <w:tabs>
          <w:tab w:val="left" w:pos="2835"/>
        </w:tabs>
      </w:pPr>
      <w:r w:rsidRPr="00CE28E3">
        <w:t>ARTG</w:t>
      </w:r>
      <w:r w:rsidRPr="00CE28E3">
        <w:tab/>
        <w:t>Australian Register of Therapeutic Goods</w:t>
      </w:r>
    </w:p>
    <w:p w14:paraId="7C4030AF" w14:textId="4AFF1F5C" w:rsidR="00C22A79" w:rsidRPr="00CE28E3" w:rsidRDefault="00C22A79" w:rsidP="00C22A79">
      <w:pPr>
        <w:tabs>
          <w:tab w:val="left" w:pos="2835"/>
        </w:tabs>
        <w:ind w:left="2835" w:hanging="2835"/>
      </w:pPr>
      <w:r w:rsidRPr="00152F12">
        <w:rPr>
          <w:i/>
        </w:rPr>
        <w:t>BRAF</w:t>
      </w:r>
      <w:r>
        <w:rPr>
          <w:i/>
        </w:rPr>
        <w:tab/>
      </w:r>
      <w:r>
        <w:t>proto-oncogene B-Raf and v-Raf murine sarcoma viral oncogene homolog B</w:t>
      </w:r>
    </w:p>
    <w:p w14:paraId="6B6D4445" w14:textId="05E083AA" w:rsidR="00BC6897" w:rsidRDefault="00BC6897" w:rsidP="00A8049D">
      <w:pPr>
        <w:tabs>
          <w:tab w:val="left" w:pos="2835"/>
        </w:tabs>
      </w:pPr>
      <w:r w:rsidRPr="00CE28E3">
        <w:t>CI</w:t>
      </w:r>
      <w:r w:rsidRPr="00CE28E3">
        <w:tab/>
        <w:t>confidence interval</w:t>
      </w:r>
    </w:p>
    <w:p w14:paraId="1127C104" w14:textId="3BFC6C31" w:rsidR="00C22A79" w:rsidRDefault="00C22A79" w:rsidP="00A8049D">
      <w:pPr>
        <w:tabs>
          <w:tab w:val="left" w:pos="2835"/>
        </w:tabs>
      </w:pPr>
      <w:r>
        <w:t xml:space="preserve">CGP </w:t>
      </w:r>
      <w:r>
        <w:tab/>
        <w:t>comprehensive genomic profiling</w:t>
      </w:r>
    </w:p>
    <w:p w14:paraId="5DCF720F" w14:textId="444F2C76" w:rsidR="00C22A79" w:rsidRDefault="00C22A79" w:rsidP="00A8049D">
      <w:pPr>
        <w:tabs>
          <w:tab w:val="left" w:pos="2835"/>
        </w:tabs>
      </w:pPr>
      <w:r>
        <w:t xml:space="preserve">CNB  </w:t>
      </w:r>
      <w:r>
        <w:tab/>
        <w:t>core needle biopsy</w:t>
      </w:r>
    </w:p>
    <w:p w14:paraId="2C698FCC" w14:textId="390AB816" w:rsidR="00C22A79" w:rsidRDefault="00C22A79" w:rsidP="00A8049D">
      <w:pPr>
        <w:tabs>
          <w:tab w:val="left" w:pos="2835"/>
        </w:tabs>
      </w:pPr>
      <w:r w:rsidRPr="00152F12">
        <w:t>DCAR</w:t>
      </w:r>
      <w:r>
        <w:t xml:space="preserve"> </w:t>
      </w:r>
      <w:r>
        <w:tab/>
        <w:t>Department Contracted Assessment Report</w:t>
      </w:r>
    </w:p>
    <w:p w14:paraId="6B44FAD5" w14:textId="16179BD9" w:rsidR="00C22A79" w:rsidRDefault="00C22A79" w:rsidP="00A8049D">
      <w:pPr>
        <w:tabs>
          <w:tab w:val="left" w:pos="2835"/>
        </w:tabs>
      </w:pPr>
      <w:r>
        <w:t xml:space="preserve">DCR </w:t>
      </w:r>
      <w:r>
        <w:tab/>
        <w:t>disease control rate</w:t>
      </w:r>
    </w:p>
    <w:p w14:paraId="475B6FD5" w14:textId="310B3311" w:rsidR="00C41E9B" w:rsidRDefault="00C41E9B" w:rsidP="00A8049D">
      <w:pPr>
        <w:tabs>
          <w:tab w:val="left" w:pos="2835"/>
        </w:tabs>
      </w:pPr>
      <w:r>
        <w:t xml:space="preserve">ddPCR </w:t>
      </w:r>
      <w:r>
        <w:tab/>
      </w:r>
      <w:r w:rsidRPr="00C41E9B">
        <w:t>digital droplet polymerase chain reaction</w:t>
      </w:r>
    </w:p>
    <w:p w14:paraId="22C29D0A" w14:textId="480D7557" w:rsidR="00C22A79" w:rsidRDefault="00C22A79" w:rsidP="00A8049D">
      <w:pPr>
        <w:tabs>
          <w:tab w:val="left" w:pos="2835"/>
        </w:tabs>
      </w:pPr>
      <w:r>
        <w:t xml:space="preserve">DNA </w:t>
      </w:r>
      <w:r>
        <w:tab/>
      </w:r>
      <w:r w:rsidRPr="002412BE">
        <w:t>deoxyribonucleic acid</w:t>
      </w:r>
    </w:p>
    <w:p w14:paraId="7A293E38" w14:textId="63347AB9" w:rsidR="00C22A79" w:rsidRDefault="00C22A79" w:rsidP="00A8049D">
      <w:pPr>
        <w:tabs>
          <w:tab w:val="left" w:pos="2835"/>
        </w:tabs>
      </w:pPr>
      <w:r w:rsidRPr="00C22A79">
        <w:t xml:space="preserve">EBUS-TBNA </w:t>
      </w:r>
      <w:r w:rsidRPr="00C22A79">
        <w:tab/>
        <w:t>endobronchial ultrasound-guided transbronchial needle aspiration</w:t>
      </w:r>
    </w:p>
    <w:p w14:paraId="02EAFFE3" w14:textId="11B97A2E" w:rsidR="00364DA4" w:rsidRDefault="00364DA4" w:rsidP="00A8049D">
      <w:pPr>
        <w:tabs>
          <w:tab w:val="left" w:pos="2835"/>
        </w:tabs>
      </w:pPr>
      <w:r w:rsidRPr="00C22A79">
        <w:rPr>
          <w:i/>
        </w:rPr>
        <w:t>EGFR</w:t>
      </w:r>
      <w:r>
        <w:tab/>
      </w:r>
      <w:r w:rsidRPr="00364DA4">
        <w:t>epidermal growth factor receptor</w:t>
      </w:r>
    </w:p>
    <w:p w14:paraId="1390E685" w14:textId="18703CFC" w:rsidR="00C22A79" w:rsidRDefault="00C22A79" w:rsidP="00A8049D">
      <w:pPr>
        <w:tabs>
          <w:tab w:val="left" w:pos="2835"/>
        </w:tabs>
      </w:pPr>
      <w:r w:rsidRPr="00152F12">
        <w:rPr>
          <w:i/>
        </w:rPr>
        <w:t>ERBB2</w:t>
      </w:r>
      <w:r>
        <w:t xml:space="preserve"> </w:t>
      </w:r>
      <w:r>
        <w:tab/>
        <w:t>erb-b2 receptor tyrosine kinase 2</w:t>
      </w:r>
    </w:p>
    <w:p w14:paraId="5BE54B80" w14:textId="6F297D3F" w:rsidR="00A8049D" w:rsidRDefault="00A8049D" w:rsidP="00A8049D">
      <w:pPr>
        <w:tabs>
          <w:tab w:val="left" w:pos="2835"/>
        </w:tabs>
      </w:pPr>
      <w:bookmarkStart w:id="46" w:name="_Hlk68078446"/>
      <w:r>
        <w:t>ESC</w:t>
      </w:r>
      <w:r>
        <w:tab/>
      </w:r>
      <w:r w:rsidRPr="00A8049D">
        <w:t>Evaluation Sub-Committee</w:t>
      </w:r>
    </w:p>
    <w:p w14:paraId="25B6CE07" w14:textId="718C4762" w:rsidR="00C22A79" w:rsidRDefault="00C22A79" w:rsidP="00A8049D">
      <w:pPr>
        <w:tabs>
          <w:tab w:val="left" w:pos="2835"/>
        </w:tabs>
      </w:pPr>
      <w:r>
        <w:t xml:space="preserve">FFPE  </w:t>
      </w:r>
      <w:r>
        <w:tab/>
        <w:t>formalin-fixed paraffin embedded</w:t>
      </w:r>
    </w:p>
    <w:p w14:paraId="19C7764C" w14:textId="68D9AB71" w:rsidR="00364DA4" w:rsidRDefault="00364DA4" w:rsidP="00A8049D">
      <w:pPr>
        <w:tabs>
          <w:tab w:val="left" w:pos="2835"/>
        </w:tabs>
      </w:pPr>
      <w:r>
        <w:t>FISH</w:t>
      </w:r>
      <w:r>
        <w:tab/>
      </w:r>
      <w:r w:rsidRPr="00364DA4">
        <w:t xml:space="preserve">fluorescence </w:t>
      </w:r>
      <w:r w:rsidRPr="00121580">
        <w:rPr>
          <w:i/>
          <w:iCs/>
        </w:rPr>
        <w:t>in situ</w:t>
      </w:r>
      <w:r w:rsidRPr="00364DA4">
        <w:t xml:space="preserve"> hybridi</w:t>
      </w:r>
      <w:r w:rsidR="00357441">
        <w:t>s</w:t>
      </w:r>
      <w:r w:rsidRPr="00364DA4">
        <w:t>ation</w:t>
      </w:r>
    </w:p>
    <w:p w14:paraId="5C8EDC59" w14:textId="27321E2F" w:rsidR="00C22A79" w:rsidRPr="00CE28E3" w:rsidRDefault="00C22A79" w:rsidP="00A8049D">
      <w:pPr>
        <w:tabs>
          <w:tab w:val="left" w:pos="2835"/>
        </w:tabs>
      </w:pPr>
      <w:r>
        <w:t xml:space="preserve">FNA </w:t>
      </w:r>
      <w:r>
        <w:tab/>
        <w:t>fine needle aspirate</w:t>
      </w:r>
    </w:p>
    <w:bookmarkEnd w:id="46"/>
    <w:p w14:paraId="275240A5" w14:textId="77777777" w:rsidR="00BC6897" w:rsidRPr="00CE28E3" w:rsidRDefault="00BC6897" w:rsidP="00A8049D">
      <w:pPr>
        <w:tabs>
          <w:tab w:val="left" w:pos="2835"/>
        </w:tabs>
      </w:pPr>
      <w:r w:rsidRPr="00CE28E3">
        <w:t>HRQoL</w:t>
      </w:r>
      <w:r w:rsidRPr="00CE28E3">
        <w:tab/>
        <w:t>health-related quality of life</w:t>
      </w:r>
    </w:p>
    <w:p w14:paraId="1986CBEA" w14:textId="77777777" w:rsidR="00BC6897" w:rsidRPr="00CE28E3" w:rsidRDefault="00BC6897" w:rsidP="00A8049D">
      <w:pPr>
        <w:tabs>
          <w:tab w:val="left" w:pos="2835"/>
        </w:tabs>
      </w:pPr>
      <w:r w:rsidRPr="00CE28E3">
        <w:t>HTA</w:t>
      </w:r>
      <w:r w:rsidRPr="00CE28E3">
        <w:tab/>
        <w:t>health technology assessment</w:t>
      </w:r>
    </w:p>
    <w:p w14:paraId="63499EE8" w14:textId="5DAD448F" w:rsidR="00BC6897" w:rsidRDefault="00BC6897" w:rsidP="00A8049D">
      <w:pPr>
        <w:tabs>
          <w:tab w:val="left" w:pos="2835"/>
        </w:tabs>
      </w:pPr>
      <w:r w:rsidRPr="00CE28E3">
        <w:t>ICER</w:t>
      </w:r>
      <w:r w:rsidRPr="00CE28E3">
        <w:tab/>
        <w:t>incremental cost-effectiveness ratio</w:t>
      </w:r>
    </w:p>
    <w:p w14:paraId="5B2C0ED2" w14:textId="78374E84" w:rsidR="00364DA4" w:rsidRDefault="00364DA4" w:rsidP="00A8049D">
      <w:pPr>
        <w:tabs>
          <w:tab w:val="left" w:pos="2835"/>
        </w:tabs>
      </w:pPr>
      <w:r>
        <w:t>IHC</w:t>
      </w:r>
      <w:r>
        <w:tab/>
        <w:t>immunohistochemistry</w:t>
      </w:r>
    </w:p>
    <w:p w14:paraId="7CCC1D41" w14:textId="58D65702" w:rsidR="00C22A79" w:rsidRDefault="00C22A79" w:rsidP="00A8049D">
      <w:pPr>
        <w:tabs>
          <w:tab w:val="left" w:pos="2835"/>
        </w:tabs>
      </w:pPr>
      <w:r>
        <w:t xml:space="preserve">IQR </w:t>
      </w:r>
      <w:r>
        <w:tab/>
        <w:t>inter quartile range</w:t>
      </w:r>
    </w:p>
    <w:p w14:paraId="31D4BB7F" w14:textId="00D04E36" w:rsidR="00C22A79" w:rsidRDefault="00C22A79" w:rsidP="00A8049D">
      <w:pPr>
        <w:tabs>
          <w:tab w:val="left" w:pos="2835"/>
        </w:tabs>
      </w:pPr>
      <w:r>
        <w:t>ISH</w:t>
      </w:r>
      <w:r>
        <w:tab/>
      </w:r>
      <w:r w:rsidRPr="00121580">
        <w:rPr>
          <w:i/>
          <w:iCs/>
        </w:rPr>
        <w:t>in situ</w:t>
      </w:r>
      <w:r>
        <w:t xml:space="preserve"> hybridisation</w:t>
      </w:r>
    </w:p>
    <w:p w14:paraId="0FB46AAF" w14:textId="264F4948" w:rsidR="00C22A79" w:rsidRDefault="00C22A79" w:rsidP="00A8049D">
      <w:pPr>
        <w:tabs>
          <w:tab w:val="left" w:pos="2835"/>
        </w:tabs>
      </w:pPr>
      <w:r w:rsidRPr="00152F12">
        <w:rPr>
          <w:i/>
        </w:rPr>
        <w:t>KRAS</w:t>
      </w:r>
      <w:r>
        <w:t xml:space="preserve"> </w:t>
      </w:r>
      <w:r>
        <w:tab/>
        <w:t>Kirsten rat sarcoma</w:t>
      </w:r>
    </w:p>
    <w:p w14:paraId="4ABB288C" w14:textId="324DCD2E" w:rsidR="00C22A79" w:rsidRPr="00CE28E3" w:rsidRDefault="00C22A79" w:rsidP="00A8049D">
      <w:pPr>
        <w:tabs>
          <w:tab w:val="left" w:pos="2835"/>
        </w:tabs>
      </w:pPr>
      <w:r>
        <w:t xml:space="preserve">LDTs  </w:t>
      </w:r>
      <w:r>
        <w:tab/>
        <w:t>laboratory developed tests</w:t>
      </w:r>
    </w:p>
    <w:p w14:paraId="657BE142" w14:textId="134AA2F5" w:rsidR="00C22A79" w:rsidRPr="00CE28E3" w:rsidRDefault="00BC6897" w:rsidP="00A8049D">
      <w:pPr>
        <w:tabs>
          <w:tab w:val="left" w:pos="2835"/>
        </w:tabs>
      </w:pPr>
      <w:r w:rsidRPr="00CE28E3">
        <w:t>MBS</w:t>
      </w:r>
      <w:r w:rsidRPr="00CE28E3">
        <w:tab/>
        <w:t>Medicare Benefits Schedule</w:t>
      </w:r>
    </w:p>
    <w:p w14:paraId="2AC9A3A3" w14:textId="012F9117" w:rsidR="00C22A79" w:rsidRDefault="00C22A79" w:rsidP="00A8049D">
      <w:pPr>
        <w:tabs>
          <w:tab w:val="left" w:pos="2835"/>
        </w:tabs>
        <w:rPr>
          <w:szCs w:val="18"/>
        </w:rPr>
      </w:pPr>
      <w:r w:rsidRPr="00CE4DC5">
        <w:rPr>
          <w:i/>
        </w:rPr>
        <w:t>MET</w:t>
      </w:r>
      <w:r>
        <w:t xml:space="preserve">  </w:t>
      </w:r>
      <w:r>
        <w:tab/>
      </w:r>
      <w:r w:rsidRPr="008F67AF">
        <w:rPr>
          <w:szCs w:val="18"/>
        </w:rPr>
        <w:t>mesenchymal-epithelial transition</w:t>
      </w:r>
    </w:p>
    <w:p w14:paraId="18DDC725" w14:textId="5B109CBA" w:rsidR="00C22A79" w:rsidRPr="00CE28E3" w:rsidRDefault="00C22A79" w:rsidP="00A8049D">
      <w:pPr>
        <w:tabs>
          <w:tab w:val="left" w:pos="2835"/>
        </w:tabs>
      </w:pPr>
      <w:r>
        <w:lastRenderedPageBreak/>
        <w:t xml:space="preserve">MLPA </w:t>
      </w:r>
      <w:r>
        <w:tab/>
        <w:t>Multiplex ligation-dependent probe amplification</w:t>
      </w:r>
    </w:p>
    <w:p w14:paraId="1BA4573D" w14:textId="3A1BDB19" w:rsidR="00BC6897" w:rsidRDefault="00BC6897" w:rsidP="00A8049D">
      <w:pPr>
        <w:tabs>
          <w:tab w:val="left" w:pos="2835"/>
        </w:tabs>
      </w:pPr>
      <w:r w:rsidRPr="00CE28E3">
        <w:t>MSAC</w:t>
      </w:r>
      <w:r w:rsidRPr="00CE28E3">
        <w:tab/>
        <w:t>Medical Services Advisory Committee</w:t>
      </w:r>
    </w:p>
    <w:p w14:paraId="59B12E24" w14:textId="324C827A" w:rsidR="00C22A79" w:rsidRPr="00CE28E3" w:rsidRDefault="00C22A79" w:rsidP="00A8049D">
      <w:pPr>
        <w:tabs>
          <w:tab w:val="left" w:pos="2835"/>
        </w:tabs>
      </w:pPr>
      <w:r>
        <w:t xml:space="preserve">NGS  </w:t>
      </w:r>
      <w:r>
        <w:tab/>
        <w:t xml:space="preserve">next generation sequencing </w:t>
      </w:r>
    </w:p>
    <w:p w14:paraId="0AB373FD" w14:textId="5B6FF039" w:rsidR="00BC6897" w:rsidRDefault="00BC6897" w:rsidP="00A8049D">
      <w:pPr>
        <w:tabs>
          <w:tab w:val="left" w:pos="2835"/>
        </w:tabs>
      </w:pPr>
      <w:r w:rsidRPr="00CE28E3">
        <w:t>NHMRC</w:t>
      </w:r>
      <w:r w:rsidRPr="00CE28E3">
        <w:tab/>
        <w:t>National Health and Medical Research Council</w:t>
      </w:r>
    </w:p>
    <w:p w14:paraId="705FA1A8" w14:textId="6C4ECD41" w:rsidR="00C22A79" w:rsidRPr="00CE28E3" w:rsidRDefault="00C22A79" w:rsidP="00A8049D">
      <w:pPr>
        <w:tabs>
          <w:tab w:val="left" w:pos="2835"/>
        </w:tabs>
      </w:pPr>
      <w:r>
        <w:t xml:space="preserve">NOS </w:t>
      </w:r>
      <w:r>
        <w:tab/>
        <w:t xml:space="preserve">not otherwise specified </w:t>
      </w:r>
    </w:p>
    <w:p w14:paraId="058AB150" w14:textId="21D51D1D" w:rsidR="00364DA4" w:rsidRDefault="00364DA4" w:rsidP="00A8049D">
      <w:pPr>
        <w:tabs>
          <w:tab w:val="left" w:pos="2835"/>
        </w:tabs>
      </w:pPr>
      <w:r>
        <w:t>NSCLC</w:t>
      </w:r>
      <w:r>
        <w:tab/>
        <w:t>Non-small cell lung cancer</w:t>
      </w:r>
    </w:p>
    <w:p w14:paraId="07CAB29C" w14:textId="27AAA331" w:rsidR="00C22A79" w:rsidRDefault="00C22A79" w:rsidP="00A8049D">
      <w:pPr>
        <w:tabs>
          <w:tab w:val="left" w:pos="2835"/>
        </w:tabs>
      </w:pPr>
      <w:r>
        <w:t xml:space="preserve">NTRK  </w:t>
      </w:r>
      <w:r>
        <w:tab/>
        <w:t>neurotrophic tyrosine receptor kinase</w:t>
      </w:r>
    </w:p>
    <w:p w14:paraId="58435263" w14:textId="6606EDC1" w:rsidR="00C22A79" w:rsidRDefault="00C22A79" w:rsidP="00A8049D">
      <w:pPr>
        <w:tabs>
          <w:tab w:val="left" w:pos="2835"/>
        </w:tabs>
      </w:pPr>
      <w:r>
        <w:t xml:space="preserve">ORR </w:t>
      </w:r>
      <w:r>
        <w:tab/>
        <w:t>overall response rate</w:t>
      </w:r>
    </w:p>
    <w:p w14:paraId="21756690" w14:textId="369E6F21" w:rsidR="00BC6897" w:rsidRDefault="00BC6897" w:rsidP="00A8049D">
      <w:pPr>
        <w:tabs>
          <w:tab w:val="left" w:pos="2835"/>
        </w:tabs>
      </w:pPr>
      <w:r w:rsidRPr="00CE28E3">
        <w:t>PASC</w:t>
      </w:r>
      <w:r w:rsidRPr="00CE28E3">
        <w:tab/>
        <w:t>PICO Confirmation Advisory Sub-Committee of the MSAC</w:t>
      </w:r>
    </w:p>
    <w:p w14:paraId="771A068C" w14:textId="6B2B8EDE" w:rsidR="00C41E9B" w:rsidRDefault="00C41E9B" w:rsidP="00A8049D">
      <w:pPr>
        <w:tabs>
          <w:tab w:val="left" w:pos="2835"/>
        </w:tabs>
      </w:pPr>
      <w:r>
        <w:t xml:space="preserve">PBS </w:t>
      </w:r>
      <w:r w:rsidRPr="00C41E9B">
        <w:t xml:space="preserve"> </w:t>
      </w:r>
      <w:r>
        <w:tab/>
      </w:r>
      <w:r w:rsidRPr="00C41E9B">
        <w:t>Pharmaceutical Benefits Scheme</w:t>
      </w:r>
    </w:p>
    <w:p w14:paraId="0EEEAF9A" w14:textId="6E74F7A6" w:rsidR="00C22A79" w:rsidRDefault="00C22A79" w:rsidP="00A8049D">
      <w:pPr>
        <w:tabs>
          <w:tab w:val="left" w:pos="2835"/>
        </w:tabs>
      </w:pPr>
      <w:r>
        <w:t xml:space="preserve">PCR  </w:t>
      </w:r>
      <w:r>
        <w:tab/>
        <w:t xml:space="preserve">polymerase chain reaction </w:t>
      </w:r>
    </w:p>
    <w:p w14:paraId="5E9E9EFF" w14:textId="362426C2" w:rsidR="00C22A79" w:rsidRDefault="00C22A79" w:rsidP="00A8049D">
      <w:pPr>
        <w:tabs>
          <w:tab w:val="left" w:pos="2835"/>
        </w:tabs>
      </w:pPr>
      <w:r>
        <w:t xml:space="preserve">PFS </w:t>
      </w:r>
      <w:r>
        <w:tab/>
        <w:t>progression free survival</w:t>
      </w:r>
    </w:p>
    <w:p w14:paraId="4BF49143" w14:textId="16C28248" w:rsidR="00C22A79" w:rsidRDefault="00C22A79" w:rsidP="00C22A79">
      <w:pPr>
        <w:tabs>
          <w:tab w:val="left" w:pos="2835"/>
        </w:tabs>
        <w:ind w:left="2835" w:hanging="2835"/>
      </w:pPr>
      <w:r>
        <w:t xml:space="preserve">PNA-LNA  </w:t>
      </w:r>
      <w:r>
        <w:tab/>
        <w:t xml:space="preserve">peptide nucleic acid, locked nucleic acid polymerase chain reaction </w:t>
      </w:r>
    </w:p>
    <w:p w14:paraId="5FE68390" w14:textId="1B16F4A1" w:rsidR="00C22A79" w:rsidRDefault="00C22A79" w:rsidP="00A8049D">
      <w:pPr>
        <w:tabs>
          <w:tab w:val="left" w:pos="2835"/>
        </w:tabs>
      </w:pPr>
      <w:r>
        <w:t xml:space="preserve">PSD </w:t>
      </w:r>
      <w:r>
        <w:tab/>
      </w:r>
      <w:r w:rsidRPr="006D7211">
        <w:t>Public Summary Document</w:t>
      </w:r>
      <w:r>
        <w:t xml:space="preserve"> </w:t>
      </w:r>
    </w:p>
    <w:p w14:paraId="5AB37544" w14:textId="701C5FB6" w:rsidR="00C41E9B" w:rsidRDefault="00C41E9B" w:rsidP="00A8049D">
      <w:pPr>
        <w:tabs>
          <w:tab w:val="left" w:pos="2835"/>
        </w:tabs>
      </w:pPr>
      <w:r>
        <w:t xml:space="preserve">PTNB </w:t>
      </w:r>
      <w:r w:rsidRPr="00C41E9B">
        <w:t xml:space="preserve"> </w:t>
      </w:r>
      <w:r>
        <w:tab/>
      </w:r>
      <w:r w:rsidRPr="00C41E9B">
        <w:t>percutaneous transthoracic needle biopsies</w:t>
      </w:r>
    </w:p>
    <w:p w14:paraId="1FD11E80" w14:textId="14017743" w:rsidR="00C22A79" w:rsidRDefault="00C22A79" w:rsidP="00A8049D">
      <w:pPr>
        <w:tabs>
          <w:tab w:val="left" w:pos="2835"/>
        </w:tabs>
      </w:pPr>
      <w:r w:rsidRPr="00CE28E3">
        <w:t>QALY</w:t>
      </w:r>
      <w:r w:rsidRPr="00CE28E3">
        <w:tab/>
      </w:r>
      <w:r>
        <w:t>q</w:t>
      </w:r>
      <w:r w:rsidRPr="00CE28E3">
        <w:t>uality</w:t>
      </w:r>
      <w:r>
        <w:t>-</w:t>
      </w:r>
      <w:r w:rsidRPr="00CE28E3">
        <w:t>adjusted life year</w:t>
      </w:r>
    </w:p>
    <w:p w14:paraId="4711472D" w14:textId="5AD46809" w:rsidR="00C22A79" w:rsidRDefault="00C22A79" w:rsidP="00A8049D">
      <w:pPr>
        <w:tabs>
          <w:tab w:val="left" w:pos="2835"/>
        </w:tabs>
      </w:pPr>
      <w:r w:rsidRPr="00152F12">
        <w:rPr>
          <w:i/>
        </w:rPr>
        <w:t>RET</w:t>
      </w:r>
      <w:r>
        <w:t xml:space="preserve">  </w:t>
      </w:r>
      <w:r>
        <w:tab/>
        <w:t xml:space="preserve">rearranged during transfection </w:t>
      </w:r>
    </w:p>
    <w:p w14:paraId="5D75E77D" w14:textId="13AD355E" w:rsidR="00C22A79" w:rsidRDefault="00C22A79" w:rsidP="00A8049D">
      <w:pPr>
        <w:tabs>
          <w:tab w:val="left" w:pos="2835"/>
        </w:tabs>
      </w:pPr>
      <w:r>
        <w:t xml:space="preserve">RNA  </w:t>
      </w:r>
      <w:r>
        <w:tab/>
        <w:t>ribonucleic acid</w:t>
      </w:r>
    </w:p>
    <w:p w14:paraId="4F9C79DA" w14:textId="1EC16396" w:rsidR="00C22A79" w:rsidRDefault="00C22A79" w:rsidP="00A8049D">
      <w:pPr>
        <w:tabs>
          <w:tab w:val="left" w:pos="2835"/>
        </w:tabs>
      </w:pPr>
      <w:r w:rsidRPr="00380685">
        <w:rPr>
          <w:i/>
        </w:rPr>
        <w:t>ROS1</w:t>
      </w:r>
      <w:r>
        <w:t xml:space="preserve">  </w:t>
      </w:r>
      <w:r>
        <w:tab/>
        <w:t xml:space="preserve">ROS proto-oncogene 1 </w:t>
      </w:r>
    </w:p>
    <w:p w14:paraId="615D43E2" w14:textId="02040EA3" w:rsidR="00C22A79" w:rsidRDefault="00C22A79" w:rsidP="00A8049D">
      <w:pPr>
        <w:tabs>
          <w:tab w:val="left" w:pos="2835"/>
        </w:tabs>
      </w:pPr>
      <w:r>
        <w:t xml:space="preserve">RT-PCR  </w:t>
      </w:r>
      <w:r>
        <w:tab/>
        <w:t xml:space="preserve">real time polymerase chain reaction </w:t>
      </w:r>
    </w:p>
    <w:p w14:paraId="21989C5B" w14:textId="37FF82BF" w:rsidR="00C22A79" w:rsidRDefault="00C22A79" w:rsidP="00A8049D">
      <w:pPr>
        <w:tabs>
          <w:tab w:val="left" w:pos="2835"/>
        </w:tabs>
      </w:pPr>
      <w:r>
        <w:t xml:space="preserve">SG  </w:t>
      </w:r>
      <w:r>
        <w:tab/>
        <w:t>single-gene testing</w:t>
      </w:r>
    </w:p>
    <w:p w14:paraId="73D4E611" w14:textId="5440840A" w:rsidR="00C22A79" w:rsidRDefault="00C22A79" w:rsidP="00A8049D">
      <w:pPr>
        <w:tabs>
          <w:tab w:val="left" w:pos="2835"/>
        </w:tabs>
      </w:pPr>
      <w:r>
        <w:t xml:space="preserve">SISH  </w:t>
      </w:r>
      <w:r>
        <w:tab/>
        <w:t xml:space="preserve">silver </w:t>
      </w:r>
      <w:r w:rsidRPr="00121580">
        <w:rPr>
          <w:i/>
          <w:iCs/>
        </w:rPr>
        <w:t>in situ</w:t>
      </w:r>
      <w:r>
        <w:t xml:space="preserve"> hybridisation</w:t>
      </w:r>
    </w:p>
    <w:p w14:paraId="6DD56FB6" w14:textId="0CDAB450" w:rsidR="00C22A79" w:rsidRDefault="00C22A79" w:rsidP="00A8049D">
      <w:pPr>
        <w:tabs>
          <w:tab w:val="left" w:pos="2835"/>
        </w:tabs>
      </w:pPr>
      <w:r>
        <w:t xml:space="preserve">SS  </w:t>
      </w:r>
      <w:r>
        <w:tab/>
        <w:t>Sanger sequencing</w:t>
      </w:r>
    </w:p>
    <w:p w14:paraId="3D441D28" w14:textId="13564AF6" w:rsidR="008219FC" w:rsidRPr="00CE28E3" w:rsidRDefault="008219FC" w:rsidP="00A8049D">
      <w:pPr>
        <w:tabs>
          <w:tab w:val="left" w:pos="2835"/>
        </w:tabs>
      </w:pPr>
      <w:r>
        <w:t>SoC</w:t>
      </w:r>
      <w:r>
        <w:tab/>
        <w:t>Standard of care</w:t>
      </w:r>
    </w:p>
    <w:p w14:paraId="18F47470" w14:textId="56E5D5E9" w:rsidR="00BC6897" w:rsidRPr="00C41E9B" w:rsidRDefault="00BC6897" w:rsidP="00A8049D">
      <w:pPr>
        <w:tabs>
          <w:tab w:val="left" w:pos="2835"/>
        </w:tabs>
      </w:pPr>
      <w:r w:rsidRPr="00C41E9B">
        <w:t>TGA</w:t>
      </w:r>
      <w:r w:rsidRPr="00C41E9B">
        <w:tab/>
        <w:t>Therapeutic Goods Administration</w:t>
      </w:r>
    </w:p>
    <w:p w14:paraId="4A4C293B" w14:textId="79D14728" w:rsidR="00C41E9B" w:rsidRPr="00C41E9B" w:rsidRDefault="00C41E9B" w:rsidP="00A8049D">
      <w:pPr>
        <w:tabs>
          <w:tab w:val="left" w:pos="2835"/>
        </w:tabs>
      </w:pPr>
      <w:r w:rsidRPr="00C41E9B">
        <w:t xml:space="preserve">TKI </w:t>
      </w:r>
      <w:r w:rsidRPr="00C41E9B">
        <w:tab/>
        <w:t xml:space="preserve">tyrosine kinase inhibitor </w:t>
      </w:r>
    </w:p>
    <w:p w14:paraId="6CA3C2EA" w14:textId="6E4772C6" w:rsidR="00C41E9B" w:rsidRPr="00CE28E3" w:rsidRDefault="00C41E9B" w:rsidP="00A8049D">
      <w:pPr>
        <w:tabs>
          <w:tab w:val="left" w:pos="2835"/>
        </w:tabs>
      </w:pPr>
      <w:r w:rsidRPr="00C41E9B">
        <w:t xml:space="preserve">VAF  </w:t>
      </w:r>
      <w:r w:rsidRPr="00C41E9B">
        <w:tab/>
        <w:t>variant allele frequency</w:t>
      </w:r>
    </w:p>
    <w:p w14:paraId="27B1B883" w14:textId="62666B6F" w:rsidR="00BC6897" w:rsidRDefault="00BC6897" w:rsidP="00BC6897"/>
    <w:p w14:paraId="6D686D55" w14:textId="77777777" w:rsidR="00BC6897" w:rsidRPr="00CE28E3" w:rsidRDefault="00BC6897" w:rsidP="00BC6897">
      <w:pPr>
        <w:sectPr w:rsidR="00BC6897" w:rsidRPr="00CE28E3" w:rsidSect="00DE7099">
          <w:type w:val="oddPage"/>
          <w:pgSz w:w="11906" w:h="16838"/>
          <w:pgMar w:top="1440" w:right="1440" w:bottom="1440" w:left="1440" w:header="708" w:footer="708" w:gutter="0"/>
          <w:cols w:space="708"/>
          <w:docGrid w:linePitch="360"/>
        </w:sectPr>
      </w:pPr>
    </w:p>
    <w:p w14:paraId="0C152C03" w14:textId="1066D71D" w:rsidR="004008AF" w:rsidRPr="00CE28E3" w:rsidRDefault="004008AF" w:rsidP="005A6E8F">
      <w:pPr>
        <w:pStyle w:val="Heading1"/>
        <w:ind w:left="426"/>
      </w:pPr>
      <w:bookmarkStart w:id="47" w:name="_Toc148531132"/>
      <w:r w:rsidRPr="00CE28E3">
        <w:lastRenderedPageBreak/>
        <w:t>Context</w:t>
      </w:r>
      <w:bookmarkEnd w:id="47"/>
    </w:p>
    <w:p w14:paraId="14E93FCF" w14:textId="357D679A" w:rsidR="00004F7F" w:rsidRPr="00CE28E3" w:rsidRDefault="00004F7F" w:rsidP="001531D6">
      <w:pPr>
        <w:pStyle w:val="Heading2"/>
        <w:ind w:left="357" w:hanging="357"/>
      </w:pPr>
      <w:bookmarkStart w:id="48" w:name="_Toc148531133"/>
      <w:r w:rsidRPr="00CE28E3">
        <w:t>Purpose of application</w:t>
      </w:r>
      <w:bookmarkEnd w:id="48"/>
      <w:r w:rsidRPr="00CE28E3">
        <w:t xml:space="preserve"> </w:t>
      </w:r>
    </w:p>
    <w:p w14:paraId="5D85B504" w14:textId="64B467CA" w:rsidR="003371B5" w:rsidRPr="00CE28E3" w:rsidRDefault="00D419C9" w:rsidP="00D419C9">
      <w:r w:rsidRPr="00CE28E3">
        <w:t xml:space="preserve">This </w:t>
      </w:r>
      <w:r w:rsidRPr="00364DA4">
        <w:t>DCAR</w:t>
      </w:r>
      <w:r w:rsidR="0075288D">
        <w:t xml:space="preserve"> assessing </w:t>
      </w:r>
      <w:r w:rsidR="00364DA4">
        <w:t>small gene panel</w:t>
      </w:r>
      <w:r w:rsidR="0075288D">
        <w:t>s</w:t>
      </w:r>
      <w:r w:rsidRPr="00CE28E3">
        <w:t xml:space="preserve"> for the </w:t>
      </w:r>
      <w:r w:rsidR="0075288D">
        <w:t xml:space="preserve">biomarker </w:t>
      </w:r>
      <w:r w:rsidR="00364DA4">
        <w:t xml:space="preserve">testing of patients with non-squamous (or histology not otherwise specified), non-small cell lung cancer (NSCLC) </w:t>
      </w:r>
      <w:r w:rsidRPr="00CE28E3">
        <w:t xml:space="preserve">is intended for the Medical Services Advisory Committee (MSAC). </w:t>
      </w:r>
    </w:p>
    <w:p w14:paraId="4150E9DA" w14:textId="2561EB1C" w:rsidR="003371B5" w:rsidRPr="00CE28E3" w:rsidRDefault="003371B5" w:rsidP="003371B5">
      <w:r w:rsidRPr="00CE28E3">
        <w:t>MSAC appraises medical services, health technologies and health programs for public funding through an assessment of their comparative safety, clinical effectiveness, cost</w:t>
      </w:r>
      <w:r w:rsidR="005F1555">
        <w:t>-</w:t>
      </w:r>
      <w:r w:rsidRPr="00CE28E3">
        <w:t>effectiveness and total cost, using the best available evidence. This includes, but is not limited to</w:t>
      </w:r>
      <w:r w:rsidR="005F1555">
        <w:t>,</w:t>
      </w:r>
      <w:r w:rsidRPr="00CE28E3">
        <w:t xml:space="preserve"> amendments and reviews of existing services funded on the Medicare Benefits Schedule (MBS) or other non-MBS</w:t>
      </w:r>
      <w:r w:rsidR="005F1555">
        <w:t>-</w:t>
      </w:r>
      <w:r w:rsidRPr="00CE28E3">
        <w:t>funded programs (</w:t>
      </w:r>
      <w:r w:rsidR="005F1555">
        <w:t>e.g. </w:t>
      </w:r>
      <w:r w:rsidRPr="00CE28E3">
        <w:t xml:space="preserve">blood products, screening programs or prostheses referred to the Prostheses List Advisory Committee). </w:t>
      </w:r>
    </w:p>
    <w:p w14:paraId="303FA8ED" w14:textId="49C8C985" w:rsidR="00D419C9" w:rsidRPr="00CE28E3" w:rsidRDefault="00364DA4" w:rsidP="00D419C9">
      <w:r>
        <w:t>Adelaide Health Technology Assessment (AHTA), the University of Adelaide,</w:t>
      </w:r>
      <w:r w:rsidR="00D419C9" w:rsidRPr="00CE28E3">
        <w:t xml:space="preserve"> has been commissioned by the Australian Government Department of Health</w:t>
      </w:r>
      <w:r w:rsidR="008A5CBE">
        <w:t xml:space="preserve"> and Aged Care</w:t>
      </w:r>
      <w:r w:rsidR="00D419C9" w:rsidRPr="00CE28E3">
        <w:t xml:space="preserve"> to conduct a systematic literature review and economic evaluation of </w:t>
      </w:r>
      <w:r w:rsidR="00612446">
        <w:t>a small gene panel for testing in NSCLC</w:t>
      </w:r>
      <w:r w:rsidR="00D419C9" w:rsidRPr="00CE28E3">
        <w:t xml:space="preserve">. This assessment has been undertaken to inform MSAC’s decision-making regarding whether the proposed health technology should be publicly funded. </w:t>
      </w:r>
      <w:r w:rsidR="00BC17C8" w:rsidRPr="00CE28E3">
        <w:t>Th</w:t>
      </w:r>
      <w:r w:rsidR="002B3681">
        <w:t>e</w:t>
      </w:r>
      <w:r w:rsidR="00BC17C8" w:rsidRPr="00CE28E3">
        <w:t xml:space="preserve"> purpose of this assessment report is to synthesise the information most likely to be useful for committee members. </w:t>
      </w:r>
      <w:r w:rsidR="00C8268F" w:rsidRPr="00CE28E3">
        <w:t>Technical appendices</w:t>
      </w:r>
      <w:r w:rsidR="00BC17C8" w:rsidRPr="00CE28E3">
        <w:t xml:space="preserve"> provide assurance of the rigour behind the systematic review and construction of the economic and financial analyses. </w:t>
      </w:r>
    </w:p>
    <w:p w14:paraId="62D901C4" w14:textId="20EF43B9" w:rsidR="00A63C18" w:rsidRDefault="00A63C18" w:rsidP="008C7988">
      <w:r w:rsidRPr="00CE28E3">
        <w:t xml:space="preserve">The proposed use of </w:t>
      </w:r>
      <w:r w:rsidR="00612446">
        <w:t>a small gene panel for testing in NSCLC</w:t>
      </w:r>
      <w:r w:rsidRPr="00CE28E3">
        <w:t xml:space="preserve"> in Australian clinical practice was </w:t>
      </w:r>
      <w:r w:rsidR="00612446">
        <w:t>considered similar enough to MSAC application 1634 for comprehensive genomic profiling of non-squamous non-small cell lung cancer using next generation sequencing assays, for the ratified PICO confirmation for MSAC application 1634 to be used as the basis of asses</w:t>
      </w:r>
      <w:r w:rsidR="008C7988">
        <w:t xml:space="preserve">sment 1721. </w:t>
      </w:r>
      <w:r w:rsidR="00612446">
        <w:t xml:space="preserve"> </w:t>
      </w:r>
    </w:p>
    <w:p w14:paraId="06E9F58B" w14:textId="34709D2F" w:rsidR="001356D5" w:rsidRPr="00CE28E3" w:rsidRDefault="001356D5" w:rsidP="008C7988">
      <w:r>
        <w:t xml:space="preserve">The clinical claim is that small gene panel testing results in superior health outcomes compared to sequential single variant testing (the comparator) as it should result in reduced re-biopsy rates, </w:t>
      </w:r>
      <w:r w:rsidR="003F5408">
        <w:t xml:space="preserve">and </w:t>
      </w:r>
      <w:r>
        <w:t xml:space="preserve">may have a more rapid turnaround time, which will translate into quicker access to appropriate treatment for patients. Small panel testing may also identify concurrent variants at the same time, which would not be detected by sequential testing, due to the strategy of sequential testing being halted once one variant is identified. </w:t>
      </w:r>
    </w:p>
    <w:p w14:paraId="733BF2DD" w14:textId="231FA757" w:rsidR="00B62604" w:rsidRPr="00CE28E3" w:rsidRDefault="00B62604" w:rsidP="00B62604">
      <w:pPr>
        <w:pStyle w:val="Heading2"/>
        <w:spacing w:before="600"/>
        <w:ind w:left="851" w:hanging="851"/>
      </w:pPr>
      <w:bookmarkStart w:id="49" w:name="_Toc148531134"/>
      <w:r>
        <w:t>Background</w:t>
      </w:r>
      <w:bookmarkEnd w:id="49"/>
    </w:p>
    <w:p w14:paraId="5FCF0F72" w14:textId="1A63E9C1" w:rsidR="00F413BD" w:rsidRDefault="008A754B" w:rsidP="00610ECF">
      <w:pPr>
        <w:pStyle w:val="NormalBeforeBullet"/>
      </w:pPr>
      <w:r>
        <w:t xml:space="preserve">MSAC has not previously considered any panel testing for </w:t>
      </w:r>
      <w:r w:rsidR="00C21D96">
        <w:t>NSCLC but</w:t>
      </w:r>
      <w:r>
        <w:t xml:space="preserve"> has assessed many individual tests for sequential testing within NSCLC (</w:t>
      </w:r>
      <w:r w:rsidR="00C21D96">
        <w:t>i.e.,</w:t>
      </w:r>
      <w:r>
        <w:t xml:space="preserve"> the comparative test strategy). </w:t>
      </w:r>
    </w:p>
    <w:p w14:paraId="1A5FC8EB" w14:textId="6F32DC5F" w:rsidR="00F8330F" w:rsidRDefault="00F8330F" w:rsidP="00610ECF">
      <w:pPr>
        <w:pStyle w:val="NormalBeforeBullet"/>
      </w:pPr>
      <w:r>
        <w:t>In November 2017</w:t>
      </w:r>
      <w:r w:rsidRPr="006A5183">
        <w:rPr>
          <w:rStyle w:val="QuoteChar"/>
        </w:rPr>
        <w:t xml:space="preserve">, “MSAC noted that the sequential testing of EGFR, ALK and ROS1 yield mutually exclusive treatment pathways and that sequential testing wastes tissue sample, time and is more expensive than a single panel of tests. MSAC recommended that the Department conduct a cost-utility review of gene panel and/or next generation sequencing (NGS) test options to inform these first-line therapy options”. “MSAC advised that any MBS funding should be based on a gene panel or NGS test of equivalent or better analytical performance to sequential IHC and </w:t>
      </w:r>
      <w:r w:rsidRPr="006A5183">
        <w:rPr>
          <w:rStyle w:val="QuoteChar"/>
        </w:rPr>
        <w:lastRenderedPageBreak/>
        <w:t xml:space="preserve">FISH testing and assurance that the average gene panel or NGS test is no more costly than the average cost of the sequential testing that it would replace. MSAC noted that overall testing may still require more than one gene panel test due to differences in lung cancer gene aberrations as somatic mutations are tested in genomic DNA, whereas gene fusions (such as ROS1) are usually tested in cDNA </w:t>
      </w:r>
      <w:r w:rsidR="008142C9">
        <w:rPr>
          <w:rStyle w:val="QuoteChar"/>
        </w:rPr>
        <w:t xml:space="preserve">[complementary DNA] </w:t>
      </w:r>
      <w:r w:rsidRPr="006A5183">
        <w:rPr>
          <w:rStyle w:val="QuoteChar"/>
        </w:rPr>
        <w:t>prepared from RNA.”</w:t>
      </w:r>
      <w:r w:rsidRPr="002510F0">
        <w:rPr>
          <w:lang w:val="en-US"/>
        </w:rPr>
        <w:t xml:space="preserve"> (</w:t>
      </w:r>
      <w:hyperlink r:id="rId32" w:history="1">
        <w:r w:rsidR="009E07C2" w:rsidRPr="009E07C2">
          <w:rPr>
            <w:rStyle w:val="Hyperlink"/>
            <w:lang w:val="en-US"/>
          </w:rPr>
          <w:t>Public Summary Document, ADAR 1454</w:t>
        </w:r>
      </w:hyperlink>
      <w:r w:rsidRPr="002510F0">
        <w:rPr>
          <w:lang w:val="en-US"/>
        </w:rPr>
        <w:t>, November 2017, p3).</w:t>
      </w:r>
      <w:r>
        <w:rPr>
          <w:lang w:val="en-US"/>
        </w:rPr>
        <w:t xml:space="preserve"> </w:t>
      </w:r>
    </w:p>
    <w:p w14:paraId="6DC93961" w14:textId="193EC192" w:rsidR="008A754B" w:rsidRDefault="00D56B5E" w:rsidP="00610ECF">
      <w:pPr>
        <w:pStyle w:val="NormalBeforeBullet"/>
      </w:pPr>
      <w:r>
        <w:t xml:space="preserve">In 2018, a DCAR was commenced </w:t>
      </w:r>
      <w:r w:rsidR="00764F4A">
        <w:t>to assess</w:t>
      </w:r>
      <w:r>
        <w:t xml:space="preserve"> a somatic tumour panel test (</w:t>
      </w:r>
      <w:r w:rsidR="006A5183">
        <w:t>DCAR</w:t>
      </w:r>
      <w:r>
        <w:t xml:space="preserve"> 1495)</w:t>
      </w:r>
      <w:r w:rsidR="00764F4A">
        <w:t xml:space="preserve"> for patients with NSCLC</w:t>
      </w:r>
      <w:r>
        <w:t>, but this was withdrawn</w:t>
      </w:r>
      <w:r w:rsidR="00764F4A">
        <w:t xml:space="preserve"> by the applicants prior to </w:t>
      </w:r>
      <w:r w:rsidR="00110980">
        <w:t>the DCAR being presented to MSAC</w:t>
      </w:r>
      <w:r w:rsidR="00764F4A">
        <w:t xml:space="preserve">. </w:t>
      </w:r>
      <w:r w:rsidR="002510F0">
        <w:t xml:space="preserve">At the time, no single somatic tumour gene panel test performed in Australia was able to </w:t>
      </w:r>
      <w:r w:rsidR="001356D5">
        <w:t>a</w:t>
      </w:r>
      <w:r w:rsidR="002510F0">
        <w:t>ppropriately assess</w:t>
      </w:r>
      <w:r w:rsidR="006A5183">
        <w:t xml:space="preserve"> the</w:t>
      </w:r>
      <w:r w:rsidR="002510F0">
        <w:t xml:space="preserve"> </w:t>
      </w:r>
      <w:r w:rsidR="002510F0" w:rsidRPr="002510F0">
        <w:rPr>
          <w:i/>
        </w:rPr>
        <w:t>EGFR</w:t>
      </w:r>
      <w:r w:rsidR="002510F0">
        <w:t xml:space="preserve">, </w:t>
      </w:r>
      <w:r w:rsidR="002510F0" w:rsidRPr="002510F0">
        <w:rPr>
          <w:i/>
        </w:rPr>
        <w:t>ALK</w:t>
      </w:r>
      <w:r w:rsidR="002510F0">
        <w:t xml:space="preserve"> and </w:t>
      </w:r>
      <w:r w:rsidR="002510F0" w:rsidRPr="002510F0">
        <w:rPr>
          <w:i/>
        </w:rPr>
        <w:t>ROS1</w:t>
      </w:r>
      <w:r w:rsidR="002510F0">
        <w:t xml:space="preserve"> </w:t>
      </w:r>
      <w:r w:rsidR="006A5183">
        <w:t xml:space="preserve">variants </w:t>
      </w:r>
      <w:r w:rsidR="002510F0">
        <w:t xml:space="preserve">in NSCLC. The panels for </w:t>
      </w:r>
      <w:r w:rsidR="002510F0">
        <w:rPr>
          <w:i/>
        </w:rPr>
        <w:t xml:space="preserve">ALK </w:t>
      </w:r>
      <w:r w:rsidR="002510F0">
        <w:t xml:space="preserve">and </w:t>
      </w:r>
      <w:r w:rsidR="002510F0">
        <w:rPr>
          <w:i/>
        </w:rPr>
        <w:t>ROS1</w:t>
      </w:r>
      <w:r w:rsidR="002510F0">
        <w:t xml:space="preserve"> identified therapy resistance variants rather than gene rearrangement mutations. </w:t>
      </w:r>
    </w:p>
    <w:p w14:paraId="77693012" w14:textId="6D72106C" w:rsidR="006D342D" w:rsidRDefault="006A5183" w:rsidP="006D342D">
      <w:r>
        <w:t xml:space="preserve">In 2018, Roche Diagnostics </w:t>
      </w:r>
      <w:r w:rsidR="00296E4F">
        <w:t xml:space="preserve">lodged an application (MSAC assessment 1634) </w:t>
      </w:r>
      <w:r>
        <w:t xml:space="preserve">for </w:t>
      </w:r>
      <w:r w:rsidR="00296E4F">
        <w:t xml:space="preserve">MBS listing of </w:t>
      </w:r>
      <w:r>
        <w:t xml:space="preserve">a comprehensive </w:t>
      </w:r>
      <w:r w:rsidR="005F0FF9">
        <w:t xml:space="preserve">gene panel </w:t>
      </w:r>
      <w:r w:rsidR="00296E4F">
        <w:t xml:space="preserve">of over 300 genes </w:t>
      </w:r>
      <w:r w:rsidR="005F0FF9">
        <w:t xml:space="preserve">for use in squamous and non-squamous NSCLC, which was revised in 2020 to focusing just on non-squamous NSCLC. This was considered by PASC in 2020 and </w:t>
      </w:r>
      <w:r w:rsidR="002B0791">
        <w:t>2021</w:t>
      </w:r>
      <w:r w:rsidR="006D342D">
        <w:t xml:space="preserve">. During the PICO development the applicant </w:t>
      </w:r>
      <w:r w:rsidR="00296E4F">
        <w:t xml:space="preserve">for 1634 </w:t>
      </w:r>
      <w:r w:rsidR="006D342D">
        <w:t>nominated the application would proceed as an ADAR for consideration at a</w:t>
      </w:r>
      <w:r w:rsidR="00296E4F">
        <w:t>n</w:t>
      </w:r>
      <w:r w:rsidR="006D342D">
        <w:t xml:space="preserve"> MSAC meeting in late 2022. However, in May 2022 the applicant notified the Department that </w:t>
      </w:r>
      <w:r w:rsidR="00296E4F">
        <w:t xml:space="preserve">it </w:t>
      </w:r>
      <w:r w:rsidR="00DE60C3">
        <w:t>would be</w:t>
      </w:r>
      <w:r w:rsidR="006D342D">
        <w:t xml:space="preserve"> </w:t>
      </w:r>
      <w:r w:rsidR="00296E4F">
        <w:t xml:space="preserve">delaying the submission of its </w:t>
      </w:r>
      <w:r w:rsidR="006D342D">
        <w:t>ADAR.</w:t>
      </w:r>
    </w:p>
    <w:p w14:paraId="5EFF6886" w14:textId="6A84A261" w:rsidR="008A754B" w:rsidRDefault="008D356D" w:rsidP="00610ECF">
      <w:pPr>
        <w:pStyle w:val="NormalBeforeBullet"/>
      </w:pPr>
      <w:r>
        <w:t xml:space="preserve">The two most relevant topics that have gone to the </w:t>
      </w:r>
      <w:r w:rsidR="00D9363D">
        <w:t xml:space="preserve">PICO </w:t>
      </w:r>
      <w:r>
        <w:t xml:space="preserve">Advisory Sub Committee (PASC) are outlined in </w:t>
      </w:r>
      <w:r>
        <w:fldChar w:fldCharType="begin"/>
      </w:r>
      <w:r>
        <w:instrText xml:space="preserve"> REF _Ref69726894 \h </w:instrText>
      </w:r>
      <w:r>
        <w:fldChar w:fldCharType="separate"/>
      </w:r>
      <w:r w:rsidR="00C857F3" w:rsidRPr="00CE28E3">
        <w:t>Table</w:t>
      </w:r>
      <w:r w:rsidR="00C857F3">
        <w:t> </w:t>
      </w:r>
      <w:r w:rsidR="00C857F3">
        <w:rPr>
          <w:noProof/>
        </w:rPr>
        <w:t>15</w:t>
      </w:r>
      <w:r>
        <w:fldChar w:fldCharType="end"/>
      </w:r>
      <w:r>
        <w:t>.</w:t>
      </w:r>
    </w:p>
    <w:p w14:paraId="331FCC7C" w14:textId="0FFA13E9" w:rsidR="00ED5E38" w:rsidRPr="00CE28E3" w:rsidRDefault="00ED5E38" w:rsidP="00ED5E38">
      <w:pPr>
        <w:pStyle w:val="Caption"/>
      </w:pPr>
      <w:bookmarkStart w:id="50" w:name="_Ref69726894"/>
      <w:r w:rsidRPr="00CE28E3">
        <w:t>Table</w:t>
      </w:r>
      <w:r w:rsidR="008B7848">
        <w:t> </w:t>
      </w:r>
      <w:fldSimple w:instr=" SEQ Table \* ARABIC ">
        <w:r w:rsidR="00C857F3">
          <w:rPr>
            <w:noProof/>
          </w:rPr>
          <w:t>15</w:t>
        </w:r>
      </w:fldSimple>
      <w:bookmarkEnd w:id="50"/>
      <w:r w:rsidRPr="00CE28E3">
        <w:tab/>
        <w:t xml:space="preserve">MSAC </w:t>
      </w:r>
      <w:r>
        <w:t>applicatio</w:t>
      </w:r>
      <w:r w:rsidRPr="00CE28E3">
        <w:t>n history</w:t>
      </w:r>
      <w:r w:rsidR="00764F4A">
        <w:t xml:space="preserve"> </w:t>
      </w:r>
    </w:p>
    <w:tbl>
      <w:tblPr>
        <w:tblStyle w:val="TableGrid1"/>
        <w:tblW w:w="0" w:type="auto"/>
        <w:tblLook w:val="04A0" w:firstRow="1" w:lastRow="0" w:firstColumn="1" w:lastColumn="0" w:noHBand="0" w:noVBand="1"/>
        <w:tblCaption w:val="MSAC application history "/>
        <w:tblDescription w:val="Summary 2 similar applications, which have gone to PASC but not MSAC"/>
      </w:tblPr>
      <w:tblGrid>
        <w:gridCol w:w="1555"/>
        <w:gridCol w:w="4451"/>
        <w:gridCol w:w="3003"/>
      </w:tblGrid>
      <w:tr w:rsidR="00D56B5E" w:rsidRPr="00CE28E3" w14:paraId="199C9622" w14:textId="77777777" w:rsidTr="00C51FDA">
        <w:trPr>
          <w:cnfStyle w:val="100000000000" w:firstRow="1" w:lastRow="0" w:firstColumn="0" w:lastColumn="0" w:oddVBand="0" w:evenVBand="0" w:oddHBand="0" w:evenHBand="0" w:firstRowFirstColumn="0" w:firstRowLastColumn="0" w:lastRowFirstColumn="0" w:lastRowLastColumn="0"/>
          <w:tblHeader/>
        </w:trPr>
        <w:tc>
          <w:tcPr>
            <w:tcW w:w="1555" w:type="dxa"/>
          </w:tcPr>
          <w:p w14:paraId="65F484D1" w14:textId="77777777" w:rsidR="00D56B5E" w:rsidRPr="00CE28E3" w:rsidRDefault="00D56B5E" w:rsidP="00275209">
            <w:pPr>
              <w:pStyle w:val="TableHeading"/>
              <w:keepLines/>
              <w:rPr>
                <w:bCs/>
              </w:rPr>
            </w:pPr>
            <w:bookmarkStart w:id="51" w:name="Title_Table13" w:colFirst="0" w:colLast="0"/>
            <w:r w:rsidRPr="00CE28E3">
              <w:rPr>
                <w:bCs/>
              </w:rPr>
              <w:t>Committee</w:t>
            </w:r>
          </w:p>
        </w:tc>
        <w:tc>
          <w:tcPr>
            <w:tcW w:w="4451" w:type="dxa"/>
          </w:tcPr>
          <w:p w14:paraId="5336AF4E" w14:textId="506D2D04" w:rsidR="00D56B5E" w:rsidRPr="00CE28E3" w:rsidRDefault="00D56B5E" w:rsidP="00275209">
            <w:pPr>
              <w:pStyle w:val="TableHeading"/>
              <w:keepLines/>
              <w:rPr>
                <w:bCs/>
              </w:rPr>
            </w:pPr>
            <w:r>
              <w:rPr>
                <w:bCs/>
              </w:rPr>
              <w:t xml:space="preserve">MSAC application no. </w:t>
            </w:r>
          </w:p>
        </w:tc>
        <w:tc>
          <w:tcPr>
            <w:tcW w:w="3003" w:type="dxa"/>
          </w:tcPr>
          <w:p w14:paraId="709830FF" w14:textId="6F5CB91E" w:rsidR="00D56B5E" w:rsidRPr="00CE28E3" w:rsidRDefault="00D56B5E" w:rsidP="00275209">
            <w:pPr>
              <w:pStyle w:val="TableHeading"/>
              <w:keepLines/>
              <w:rPr>
                <w:bCs/>
              </w:rPr>
            </w:pPr>
            <w:r w:rsidRPr="00CE28E3">
              <w:rPr>
                <w:bCs/>
              </w:rPr>
              <w:t>Meeting date(s)</w:t>
            </w:r>
          </w:p>
        </w:tc>
      </w:tr>
      <w:bookmarkEnd w:id="51"/>
      <w:tr w:rsidR="00C51FDA" w:rsidRPr="00CE28E3" w14:paraId="704F9894" w14:textId="77777777" w:rsidTr="00C51FDA">
        <w:tc>
          <w:tcPr>
            <w:tcW w:w="1555" w:type="dxa"/>
            <w:vMerge w:val="restart"/>
          </w:tcPr>
          <w:p w14:paraId="2738549E" w14:textId="77777777" w:rsidR="00C51FDA" w:rsidRPr="00CE28E3" w:rsidRDefault="00C51FDA" w:rsidP="00275209">
            <w:pPr>
              <w:pStyle w:val="TableText"/>
              <w:keepNext/>
              <w:keepLines/>
            </w:pPr>
            <w:r w:rsidRPr="00CE28E3">
              <w:t>PASC</w:t>
            </w:r>
          </w:p>
        </w:tc>
        <w:tc>
          <w:tcPr>
            <w:tcW w:w="4451" w:type="dxa"/>
          </w:tcPr>
          <w:p w14:paraId="5E8D8E28" w14:textId="440D90B3" w:rsidR="00C51FDA" w:rsidRPr="00C51FDA" w:rsidRDefault="00C51FDA" w:rsidP="00275209">
            <w:pPr>
              <w:pStyle w:val="TableText"/>
              <w:keepNext/>
              <w:keepLines/>
            </w:pPr>
            <w:r w:rsidRPr="00C51FDA">
              <w:t>1495 Somatic tumour gene panel</w:t>
            </w:r>
          </w:p>
        </w:tc>
        <w:tc>
          <w:tcPr>
            <w:tcW w:w="3003" w:type="dxa"/>
          </w:tcPr>
          <w:p w14:paraId="37130911" w14:textId="114ED4E8" w:rsidR="00C51FDA" w:rsidRPr="00CE28E3" w:rsidRDefault="00C51FDA" w:rsidP="00275209">
            <w:pPr>
              <w:pStyle w:val="TableText"/>
              <w:keepNext/>
              <w:keepLines/>
            </w:pPr>
            <w:r>
              <w:t>April 2018</w:t>
            </w:r>
          </w:p>
        </w:tc>
      </w:tr>
      <w:tr w:rsidR="00C51FDA" w:rsidRPr="00CE28E3" w14:paraId="7E472C9C" w14:textId="77777777" w:rsidTr="00C51FDA">
        <w:tc>
          <w:tcPr>
            <w:tcW w:w="1555" w:type="dxa"/>
            <w:vMerge/>
          </w:tcPr>
          <w:p w14:paraId="093EA266" w14:textId="77777777" w:rsidR="00C51FDA" w:rsidRPr="00CE28E3" w:rsidRDefault="00C51FDA" w:rsidP="00275209">
            <w:pPr>
              <w:pStyle w:val="TableText"/>
              <w:keepNext/>
              <w:keepLines/>
            </w:pPr>
          </w:p>
        </w:tc>
        <w:tc>
          <w:tcPr>
            <w:tcW w:w="4451" w:type="dxa"/>
          </w:tcPr>
          <w:p w14:paraId="42E8DE19" w14:textId="719BA319" w:rsidR="00C51FDA" w:rsidRPr="00C51FDA" w:rsidRDefault="00C51FDA" w:rsidP="00275209">
            <w:pPr>
              <w:pStyle w:val="TableText"/>
              <w:keepNext/>
              <w:keepLines/>
            </w:pPr>
            <w:r w:rsidRPr="00C51FDA">
              <w:t>1634 Comprehensive genomic profiling of NSCLC</w:t>
            </w:r>
          </w:p>
        </w:tc>
        <w:tc>
          <w:tcPr>
            <w:tcW w:w="3003" w:type="dxa"/>
          </w:tcPr>
          <w:p w14:paraId="0DE37A23" w14:textId="77777777" w:rsidR="00C51FDA" w:rsidRDefault="00C51FDA" w:rsidP="00275209">
            <w:pPr>
              <w:pStyle w:val="TableText"/>
              <w:keepNext/>
              <w:keepLines/>
            </w:pPr>
            <w:r>
              <w:t>December 2020</w:t>
            </w:r>
          </w:p>
          <w:p w14:paraId="7A9D4403" w14:textId="08E7F5E6" w:rsidR="00C51FDA" w:rsidRDefault="00C51FDA" w:rsidP="00275209">
            <w:pPr>
              <w:pStyle w:val="TableText"/>
              <w:keepNext/>
              <w:keepLines/>
            </w:pPr>
            <w:r>
              <w:t>April 2021</w:t>
            </w:r>
          </w:p>
        </w:tc>
      </w:tr>
    </w:tbl>
    <w:p w14:paraId="09EF4B56" w14:textId="0C369200" w:rsidR="00403D0C" w:rsidRDefault="00403D0C" w:rsidP="00403D0C">
      <w:pPr>
        <w:pStyle w:val="TableFooter"/>
      </w:pPr>
      <w:r>
        <w:t xml:space="preserve">MSAC = Medical Services Advisory Committee; NSCLC = non-small cell lung cancer; PASC = </w:t>
      </w:r>
      <w:r w:rsidR="00A46491">
        <w:t xml:space="preserve">PICO </w:t>
      </w:r>
      <w:r>
        <w:t>Advisory Sub-Committee of the MSAC</w:t>
      </w:r>
    </w:p>
    <w:p w14:paraId="621B0D61" w14:textId="6DC68E5B" w:rsidR="00764F4A" w:rsidRDefault="008D356D" w:rsidP="00403D0C">
      <w:pPr>
        <w:pStyle w:val="NormalBeforeBullet"/>
      </w:pPr>
      <w:r>
        <w:t xml:space="preserve">A summary of how </w:t>
      </w:r>
      <w:r w:rsidR="00E35065">
        <w:t>this</w:t>
      </w:r>
      <w:r>
        <w:t xml:space="preserve"> DCAR addresses the suggestions by MSAC</w:t>
      </w:r>
      <w:r w:rsidR="00E35065">
        <w:t>,</w:t>
      </w:r>
      <w:r>
        <w:t xml:space="preserve"> </w:t>
      </w:r>
      <w:r w:rsidR="00592F1E">
        <w:t xml:space="preserve">in response to assessment 1454, is shown below in </w:t>
      </w:r>
      <w:r w:rsidR="00592F1E">
        <w:fldChar w:fldCharType="begin"/>
      </w:r>
      <w:r w:rsidR="00592F1E">
        <w:instrText xml:space="preserve"> REF _Ref69726936 \h </w:instrText>
      </w:r>
      <w:r w:rsidR="00592F1E">
        <w:fldChar w:fldCharType="separate"/>
      </w:r>
      <w:r w:rsidR="00C857F3" w:rsidRPr="00CE28E3">
        <w:t>Table</w:t>
      </w:r>
      <w:r w:rsidR="00C857F3">
        <w:t> </w:t>
      </w:r>
      <w:r w:rsidR="00C857F3">
        <w:rPr>
          <w:noProof/>
        </w:rPr>
        <w:t>16</w:t>
      </w:r>
      <w:r w:rsidR="00592F1E">
        <w:fldChar w:fldCharType="end"/>
      </w:r>
      <w:r w:rsidR="00592F1E">
        <w:t>.</w:t>
      </w:r>
    </w:p>
    <w:p w14:paraId="2F57400B" w14:textId="58EBE815" w:rsidR="00B62604" w:rsidRPr="00CE28E3" w:rsidRDefault="00B62604" w:rsidP="00B62604">
      <w:pPr>
        <w:pStyle w:val="Caption"/>
      </w:pPr>
      <w:bookmarkStart w:id="52" w:name="_Ref69726936"/>
      <w:r w:rsidRPr="00CE28E3">
        <w:lastRenderedPageBreak/>
        <w:t>Table</w:t>
      </w:r>
      <w:r w:rsidR="008B7848">
        <w:t> </w:t>
      </w:r>
      <w:fldSimple w:instr=" SEQ Table \* ARABIC ">
        <w:r w:rsidR="00C857F3">
          <w:rPr>
            <w:noProof/>
          </w:rPr>
          <w:t>16</w:t>
        </w:r>
      </w:fldSimple>
      <w:bookmarkEnd w:id="52"/>
      <w:r w:rsidRPr="00CE28E3">
        <w:tab/>
        <w:t>Summary of key matters of concern</w:t>
      </w:r>
      <w:r w:rsidR="008D356D">
        <w:t xml:space="preserve"> from 1454 PSD, November 2017, p3</w:t>
      </w:r>
    </w:p>
    <w:tbl>
      <w:tblPr>
        <w:tblStyle w:val="TableGrid1"/>
        <w:tblW w:w="5000" w:type="pct"/>
        <w:tblLook w:val="04A0" w:firstRow="1" w:lastRow="0" w:firstColumn="1" w:lastColumn="0" w:noHBand="0" w:noVBand="1"/>
        <w:tblCaption w:val="Summary of key matters of concern from 1454 PSD"/>
        <w:tblDescription w:val="summary of suggestions MSAC made regarding an assessment of an NGS panel"/>
      </w:tblPr>
      <w:tblGrid>
        <w:gridCol w:w="1137"/>
        <w:gridCol w:w="4855"/>
        <w:gridCol w:w="3024"/>
      </w:tblGrid>
      <w:tr w:rsidR="00B62604" w:rsidRPr="00CE28E3" w14:paraId="573D2B89" w14:textId="77777777" w:rsidTr="00EA3020">
        <w:trPr>
          <w:cnfStyle w:val="100000000000" w:firstRow="1" w:lastRow="0" w:firstColumn="0" w:lastColumn="0" w:oddVBand="0" w:evenVBand="0" w:oddHBand="0" w:evenHBand="0" w:firstRowFirstColumn="0" w:firstRowLastColumn="0" w:lastRowFirstColumn="0" w:lastRowLastColumn="0"/>
          <w:cantSplit/>
          <w:tblHeader/>
        </w:trPr>
        <w:tc>
          <w:tcPr>
            <w:tcW w:w="626" w:type="pct"/>
            <w:vAlign w:val="center"/>
          </w:tcPr>
          <w:p w14:paraId="4140AE61" w14:textId="77777777" w:rsidR="00B62604" w:rsidRPr="00CE28E3" w:rsidRDefault="00B62604" w:rsidP="00B62604">
            <w:pPr>
              <w:pStyle w:val="In-tableHeading"/>
            </w:pPr>
            <w:r w:rsidRPr="00CE28E3">
              <w:t>Component</w:t>
            </w:r>
          </w:p>
        </w:tc>
        <w:tc>
          <w:tcPr>
            <w:tcW w:w="2695" w:type="pct"/>
            <w:vAlign w:val="center"/>
          </w:tcPr>
          <w:p w14:paraId="696E848B" w14:textId="77777777" w:rsidR="00B62604" w:rsidRPr="00CE28E3" w:rsidRDefault="00B62604" w:rsidP="00B62604">
            <w:pPr>
              <w:pStyle w:val="In-tableHeading"/>
            </w:pPr>
            <w:r w:rsidRPr="00CE28E3">
              <w:t>Matter of concern</w:t>
            </w:r>
          </w:p>
        </w:tc>
        <w:tc>
          <w:tcPr>
            <w:tcW w:w="1679" w:type="pct"/>
            <w:vAlign w:val="center"/>
          </w:tcPr>
          <w:p w14:paraId="4FDFC95F" w14:textId="77777777" w:rsidR="00B62604" w:rsidRPr="00CE28E3" w:rsidRDefault="00B62604" w:rsidP="00B62604">
            <w:pPr>
              <w:pStyle w:val="In-tableHeading"/>
            </w:pPr>
            <w:r w:rsidRPr="00CE28E3">
              <w:t>How the current assessment report addresses it</w:t>
            </w:r>
          </w:p>
        </w:tc>
      </w:tr>
      <w:tr w:rsidR="008D356D" w:rsidRPr="00CE28E3" w14:paraId="43FCFBEF" w14:textId="77777777" w:rsidTr="00EA3020">
        <w:trPr>
          <w:cantSplit/>
        </w:trPr>
        <w:tc>
          <w:tcPr>
            <w:tcW w:w="626" w:type="pct"/>
          </w:tcPr>
          <w:p w14:paraId="68268B5B" w14:textId="61AC525F" w:rsidR="008D356D" w:rsidRPr="000D5523" w:rsidRDefault="008D356D" w:rsidP="00B62604">
            <w:pPr>
              <w:pStyle w:val="TableText"/>
              <w:keepNext/>
              <w:spacing w:after="160"/>
              <w:rPr>
                <w:color w:val="258221"/>
              </w:rPr>
            </w:pPr>
            <w:r>
              <w:rPr>
                <w:lang w:val="en-US"/>
              </w:rPr>
              <w:t>Overarching DCAR</w:t>
            </w:r>
          </w:p>
        </w:tc>
        <w:tc>
          <w:tcPr>
            <w:tcW w:w="2695" w:type="pct"/>
          </w:tcPr>
          <w:p w14:paraId="29BD22A3" w14:textId="710852E2" w:rsidR="008D356D" w:rsidRPr="000D5523" w:rsidRDefault="008D356D" w:rsidP="00B62604">
            <w:pPr>
              <w:pStyle w:val="TableText"/>
              <w:keepNext/>
              <w:spacing w:after="160"/>
              <w:rPr>
                <w:color w:val="258221"/>
              </w:rPr>
            </w:pPr>
            <w:r w:rsidRPr="007209B2">
              <w:rPr>
                <w:lang w:val="en-US"/>
              </w:rPr>
              <w:t xml:space="preserve">MSAC recommended that the Department conduct a cost-utility review of gene panel </w:t>
            </w:r>
            <w:r>
              <w:rPr>
                <w:lang w:val="en-US"/>
              </w:rPr>
              <w:t xml:space="preserve">and/or next generation sequencing (NGS) </w:t>
            </w:r>
            <w:r w:rsidRPr="007209B2">
              <w:rPr>
                <w:lang w:val="en-US"/>
              </w:rPr>
              <w:t>test</w:t>
            </w:r>
            <w:r>
              <w:rPr>
                <w:lang w:val="en-US"/>
              </w:rPr>
              <w:t xml:space="preserve"> options to inform these first-line therapy option.</w:t>
            </w:r>
          </w:p>
        </w:tc>
        <w:tc>
          <w:tcPr>
            <w:tcW w:w="1679" w:type="pct"/>
            <w:vAlign w:val="center"/>
          </w:tcPr>
          <w:p w14:paraId="57E6955D" w14:textId="0B87FD67" w:rsidR="008D356D" w:rsidRPr="00CE28E3" w:rsidRDefault="008D356D" w:rsidP="00B62604">
            <w:pPr>
              <w:pStyle w:val="TableText"/>
              <w:keepNext/>
              <w:spacing w:after="160"/>
            </w:pPr>
            <w:r>
              <w:t>Addressed. Current DCAR assessing small NGS panel.</w:t>
            </w:r>
          </w:p>
        </w:tc>
      </w:tr>
      <w:tr w:rsidR="008D356D" w:rsidRPr="00CE28E3" w14:paraId="31139F4C" w14:textId="77777777" w:rsidTr="00EA3020">
        <w:trPr>
          <w:cantSplit/>
        </w:trPr>
        <w:tc>
          <w:tcPr>
            <w:tcW w:w="626" w:type="pct"/>
          </w:tcPr>
          <w:p w14:paraId="4E6069AB" w14:textId="45C063CC" w:rsidR="008D356D" w:rsidRDefault="008D356D" w:rsidP="00B62604">
            <w:pPr>
              <w:pStyle w:val="TableText"/>
              <w:keepNext/>
              <w:spacing w:after="160"/>
              <w:rPr>
                <w:lang w:val="en-US"/>
              </w:rPr>
            </w:pPr>
            <w:r>
              <w:rPr>
                <w:lang w:val="en-US"/>
              </w:rPr>
              <w:t>Intervention</w:t>
            </w:r>
          </w:p>
        </w:tc>
        <w:tc>
          <w:tcPr>
            <w:tcW w:w="2695" w:type="pct"/>
          </w:tcPr>
          <w:p w14:paraId="63C2931F" w14:textId="6C0899C8" w:rsidR="008D356D" w:rsidRPr="007209B2" w:rsidRDefault="008D356D" w:rsidP="00B62604">
            <w:pPr>
              <w:pStyle w:val="TableText"/>
              <w:keepNext/>
              <w:spacing w:after="160"/>
              <w:rPr>
                <w:lang w:val="en-US"/>
              </w:rPr>
            </w:pPr>
            <w:r w:rsidRPr="002510F0">
              <w:rPr>
                <w:lang w:val="en-US"/>
              </w:rPr>
              <w:t xml:space="preserve">MSAC noted that overall testing may still require more than one gene panel test due to differences in lung cancer gene aberrations as somatic mutations are tested in genomic DNA, whereas gene fusions (such as </w:t>
            </w:r>
            <w:r w:rsidRPr="002510F0">
              <w:rPr>
                <w:i/>
                <w:lang w:val="en-US"/>
              </w:rPr>
              <w:t>ROS1</w:t>
            </w:r>
            <w:r w:rsidRPr="002510F0">
              <w:rPr>
                <w:lang w:val="en-US"/>
              </w:rPr>
              <w:t>) are usually tested in c</w:t>
            </w:r>
            <w:r w:rsidR="008142C9">
              <w:rPr>
                <w:lang w:val="en-US"/>
              </w:rPr>
              <w:t xml:space="preserve">omplementary </w:t>
            </w:r>
            <w:r w:rsidRPr="002510F0">
              <w:rPr>
                <w:lang w:val="en-US"/>
              </w:rPr>
              <w:t>DNA prepared from RNA.</w:t>
            </w:r>
          </w:p>
        </w:tc>
        <w:tc>
          <w:tcPr>
            <w:tcW w:w="1679" w:type="pct"/>
            <w:vAlign w:val="center"/>
          </w:tcPr>
          <w:p w14:paraId="3A92E979" w14:textId="33E73B70" w:rsidR="008D356D" w:rsidRPr="00CE28E3" w:rsidRDefault="008D356D" w:rsidP="00B62604">
            <w:pPr>
              <w:pStyle w:val="TableText"/>
              <w:keepNext/>
              <w:spacing w:after="160"/>
            </w:pPr>
            <w:r>
              <w:t>Addressed. Intervention proposed as both DNA and RNA testing, or sequential DNA then RNA testing.</w:t>
            </w:r>
          </w:p>
        </w:tc>
      </w:tr>
      <w:tr w:rsidR="008D356D" w:rsidRPr="00CE28E3" w14:paraId="4EB7BC7C" w14:textId="77777777" w:rsidTr="00EA3020">
        <w:trPr>
          <w:cantSplit/>
        </w:trPr>
        <w:tc>
          <w:tcPr>
            <w:tcW w:w="626" w:type="pct"/>
          </w:tcPr>
          <w:p w14:paraId="367CA5CD" w14:textId="21BF1468" w:rsidR="008D356D" w:rsidRPr="000D5523" w:rsidRDefault="008D356D" w:rsidP="00B62604">
            <w:pPr>
              <w:pStyle w:val="TableText"/>
              <w:keepNext/>
              <w:spacing w:after="160"/>
              <w:rPr>
                <w:color w:val="258221"/>
              </w:rPr>
            </w:pPr>
            <w:r w:rsidRPr="008D356D">
              <w:rPr>
                <w:lang w:val="en-US"/>
              </w:rPr>
              <w:t>Test performance</w:t>
            </w:r>
          </w:p>
        </w:tc>
        <w:tc>
          <w:tcPr>
            <w:tcW w:w="2695" w:type="pct"/>
          </w:tcPr>
          <w:p w14:paraId="66F188EE" w14:textId="68AE309B" w:rsidR="008D356D" w:rsidRPr="007209B2" w:rsidRDefault="008D356D" w:rsidP="00B62604">
            <w:pPr>
              <w:pStyle w:val="TableText"/>
              <w:keepNext/>
              <w:spacing w:after="160"/>
              <w:rPr>
                <w:lang w:val="en-US"/>
              </w:rPr>
            </w:pPr>
            <w:r>
              <w:rPr>
                <w:lang w:val="en-US"/>
              </w:rPr>
              <w:t xml:space="preserve">Any MBS funding should be based on </w:t>
            </w:r>
            <w:r w:rsidRPr="007209B2">
              <w:rPr>
                <w:lang w:val="en-US"/>
              </w:rPr>
              <w:t xml:space="preserve">a </w:t>
            </w:r>
            <w:r>
              <w:rPr>
                <w:lang w:val="en-US"/>
              </w:rPr>
              <w:t xml:space="preserve">gene </w:t>
            </w:r>
            <w:r w:rsidRPr="007209B2">
              <w:rPr>
                <w:lang w:val="en-US"/>
              </w:rPr>
              <w:t xml:space="preserve">panel </w:t>
            </w:r>
            <w:r>
              <w:rPr>
                <w:lang w:val="en-US"/>
              </w:rPr>
              <w:t xml:space="preserve">or NGS </w:t>
            </w:r>
            <w:r w:rsidRPr="007209B2">
              <w:rPr>
                <w:lang w:val="en-US"/>
              </w:rPr>
              <w:t xml:space="preserve">test of equivalent or better </w:t>
            </w:r>
            <w:r>
              <w:rPr>
                <w:lang w:val="en-US"/>
              </w:rPr>
              <w:t xml:space="preserve">analytical </w:t>
            </w:r>
            <w:r w:rsidRPr="007209B2">
              <w:rPr>
                <w:lang w:val="en-US"/>
              </w:rPr>
              <w:t>performance to sequential IHC and FISH testing</w:t>
            </w:r>
            <w:r>
              <w:rPr>
                <w:lang w:val="en-US"/>
              </w:rPr>
              <w:t>.</w:t>
            </w:r>
          </w:p>
        </w:tc>
        <w:tc>
          <w:tcPr>
            <w:tcW w:w="1679" w:type="pct"/>
            <w:vAlign w:val="center"/>
          </w:tcPr>
          <w:p w14:paraId="5B1EFC09" w14:textId="03DBA2B3" w:rsidR="008D356D" w:rsidRPr="00CE28E3" w:rsidRDefault="00CE7702" w:rsidP="00B62604">
            <w:pPr>
              <w:pStyle w:val="TableText"/>
              <w:keepNext/>
              <w:spacing w:after="160"/>
            </w:pPr>
            <w:r>
              <w:t>Addressed. NGS has superior or equivalent analytical performance compared to single-gene assays or IHC and FISH testing.</w:t>
            </w:r>
          </w:p>
        </w:tc>
      </w:tr>
      <w:tr w:rsidR="008D356D" w:rsidRPr="00CE28E3" w14:paraId="36287013" w14:textId="77777777" w:rsidTr="00EA3020">
        <w:trPr>
          <w:cantSplit/>
        </w:trPr>
        <w:tc>
          <w:tcPr>
            <w:tcW w:w="626" w:type="pct"/>
          </w:tcPr>
          <w:p w14:paraId="54D1347C" w14:textId="6EE56291" w:rsidR="008D356D" w:rsidRPr="008D356D" w:rsidRDefault="008D356D" w:rsidP="00B62604">
            <w:pPr>
              <w:pStyle w:val="TableText"/>
              <w:keepNext/>
              <w:spacing w:after="160"/>
              <w:rPr>
                <w:lang w:val="en-US"/>
              </w:rPr>
            </w:pPr>
            <w:r>
              <w:rPr>
                <w:lang w:val="en-US"/>
              </w:rPr>
              <w:t>Cost-minimisation</w:t>
            </w:r>
          </w:p>
        </w:tc>
        <w:tc>
          <w:tcPr>
            <w:tcW w:w="2695" w:type="pct"/>
          </w:tcPr>
          <w:p w14:paraId="78D75DF9" w14:textId="2238FE71" w:rsidR="008D356D" w:rsidRDefault="008D356D" w:rsidP="00B62604">
            <w:pPr>
              <w:pStyle w:val="TableText"/>
              <w:keepNext/>
              <w:spacing w:after="160"/>
              <w:rPr>
                <w:lang w:val="en-US"/>
              </w:rPr>
            </w:pPr>
            <w:r>
              <w:rPr>
                <w:lang w:val="en-US"/>
              </w:rPr>
              <w:t>T</w:t>
            </w:r>
            <w:r w:rsidRPr="007209B2">
              <w:rPr>
                <w:lang w:val="en-US"/>
              </w:rPr>
              <w:t xml:space="preserve">he average </w:t>
            </w:r>
            <w:r>
              <w:rPr>
                <w:lang w:val="en-US"/>
              </w:rPr>
              <w:t xml:space="preserve">gene </w:t>
            </w:r>
            <w:r w:rsidRPr="007209B2">
              <w:rPr>
                <w:lang w:val="en-US"/>
              </w:rPr>
              <w:t xml:space="preserve">panel </w:t>
            </w:r>
            <w:r>
              <w:rPr>
                <w:lang w:val="en-US"/>
              </w:rPr>
              <w:t xml:space="preserve">or NGS </w:t>
            </w:r>
            <w:r w:rsidRPr="002510F0">
              <w:rPr>
                <w:lang w:val="en-US"/>
              </w:rPr>
              <w:t>test is no more costly than the average cost of the sequential testing that it would replace</w:t>
            </w:r>
            <w:r>
              <w:rPr>
                <w:lang w:val="en-US"/>
              </w:rPr>
              <w:t>.</w:t>
            </w:r>
          </w:p>
        </w:tc>
        <w:tc>
          <w:tcPr>
            <w:tcW w:w="1679" w:type="pct"/>
            <w:vAlign w:val="center"/>
          </w:tcPr>
          <w:p w14:paraId="793D0CFE" w14:textId="22DB9498" w:rsidR="008D356D" w:rsidRPr="00CE28E3" w:rsidRDefault="001A7DB7" w:rsidP="00C873A3">
            <w:pPr>
              <w:pStyle w:val="TableText"/>
              <w:keepNext/>
              <w:spacing w:after="160"/>
            </w:pPr>
            <w:r>
              <w:t>At the proposed items fees, small gene panel testing is associated with additional costs. This may be reasonable if the claim of superior effectiveness</w:t>
            </w:r>
            <w:r w:rsidR="00C873A3">
              <w:t xml:space="preserve"> and the ratio of the incremental cost to incremental benefit is accepted.</w:t>
            </w:r>
          </w:p>
        </w:tc>
      </w:tr>
    </w:tbl>
    <w:p w14:paraId="4281325B" w14:textId="19936A22" w:rsidR="00B62604" w:rsidRPr="006D7211" w:rsidRDefault="00EA3020" w:rsidP="00403D0C">
      <w:pPr>
        <w:pStyle w:val="TableFooter"/>
      </w:pPr>
      <w:r>
        <w:t xml:space="preserve">DCAR = Department Contracted Assessment Report; </w:t>
      </w:r>
      <w:r w:rsidR="002412BE" w:rsidRPr="002412BE">
        <w:t xml:space="preserve">DNA = deoxyribonucleic acid; </w:t>
      </w:r>
      <w:r w:rsidR="008D356D" w:rsidRPr="002412BE">
        <w:t xml:space="preserve">FISH = </w:t>
      </w:r>
      <w:r w:rsidR="002412BE" w:rsidRPr="002412BE">
        <w:t xml:space="preserve">fluorescence in situ hybridisation; </w:t>
      </w:r>
      <w:r w:rsidR="008D356D" w:rsidRPr="002412BE">
        <w:t>IHC =</w:t>
      </w:r>
      <w:r w:rsidR="002412BE" w:rsidRPr="002412BE">
        <w:t xml:space="preserve"> immunohistochemistry;</w:t>
      </w:r>
      <w:r>
        <w:t xml:space="preserve"> MBS = Medicare Benefits Schedule;</w:t>
      </w:r>
      <w:r w:rsidR="008D356D">
        <w:t xml:space="preserve"> </w:t>
      </w:r>
      <w:r w:rsidR="00B62604" w:rsidRPr="006D7211">
        <w:t xml:space="preserve">MSAC = Medical Services Advisory Committee; </w:t>
      </w:r>
      <w:r w:rsidR="008D356D">
        <w:t xml:space="preserve">NGS = next generation sequencing; </w:t>
      </w:r>
      <w:r w:rsidR="00B62604" w:rsidRPr="006D7211">
        <w:t>PSD = Public Summary Document</w:t>
      </w:r>
      <w:r w:rsidR="00CE7702">
        <w:t xml:space="preserve">; </w:t>
      </w:r>
      <w:r>
        <w:t xml:space="preserve">ROS1 = ROS proto-oncogene 1; </w:t>
      </w:r>
      <w:r w:rsidR="00CE7702">
        <w:t>RNA</w:t>
      </w:r>
      <w:r>
        <w:t xml:space="preserve"> = ribonucleic acid</w:t>
      </w:r>
      <w:r w:rsidR="00B62604">
        <w:t>.</w:t>
      </w:r>
      <w:r w:rsidR="00B62604" w:rsidRPr="006D7211">
        <w:t xml:space="preserve"> </w:t>
      </w:r>
    </w:p>
    <w:p w14:paraId="095BBDA5" w14:textId="6BEAEDFA" w:rsidR="00C24B5E" w:rsidRPr="000D1B52" w:rsidRDefault="00C24B5E" w:rsidP="00EA0E54">
      <w:pPr>
        <w:pStyle w:val="Heading2"/>
        <w:ind w:left="357" w:hanging="357"/>
      </w:pPr>
      <w:bookmarkStart w:id="53" w:name="_Toc148531135"/>
      <w:r w:rsidRPr="00CE28E3">
        <w:t>Prerequisites to implementation of any funding advice</w:t>
      </w:r>
      <w:bookmarkEnd w:id="53"/>
    </w:p>
    <w:p w14:paraId="14D68B7F" w14:textId="272D8D80" w:rsidR="00EA446D" w:rsidRDefault="00A61D0C" w:rsidP="00610ECF">
      <w:pPr>
        <w:pStyle w:val="NormalBeforeBullet"/>
      </w:pPr>
      <w:r>
        <w:t>Testing would occur in a NATA accredited diagnostic laboratory in accordance with NPAAC guidelines – Requirements for human medical genome testing utilising massively parallel sequencing technologies</w:t>
      </w:r>
      <w:r w:rsidR="00121580">
        <w:t xml:space="preserve"> </w:t>
      </w:r>
      <w:r w:rsidR="00B4668F">
        <w:fldChar w:fldCharType="begin"/>
      </w:r>
      <w:r w:rsidR="00B4668F">
        <w:instrText xml:space="preserve"> ADDIN EN.CITE &lt;EndNote&gt;&lt;Cite&gt;&lt;Author&gt;NPAAC&lt;/Author&gt;&lt;Year&gt;2017&lt;/Year&gt;&lt;RecNum&gt;213&lt;/RecNum&gt;&lt;DisplayText&gt;(NPAAC 2017)&lt;/DisplayText&gt;&lt;record&gt;&lt;rec-number&gt;213&lt;/rec-number&gt;&lt;foreign-keys&gt;&lt;key app="EN" db-id="0tprsse9cpp5r3ea5dz5p0xw2pfwvwxpa5a5" timestamp="1658187541"&gt;213&lt;/key&gt;&lt;/foreign-keys&gt;&lt;ref-type name="Government Document"&gt;46&lt;/ref-type&gt;&lt;contributors&gt;&lt;authors&gt;&lt;author&gt;NPAAC&lt;/author&gt;&lt;/authors&gt;&lt;/contributors&gt;&lt;titles&gt;&lt;title&gt;Requirements for human medical genome testing utilising massively parallel sequencing technologies&lt;/title&gt;&lt;/titles&gt;&lt;dates&gt;&lt;year&gt;2017&lt;/year&gt;&lt;/dates&gt;&lt;pub-location&gt;Canberra&lt;/pub-location&gt;&lt;publisher&gt;Commonwealth of Australia&lt;/publisher&gt;&lt;urls&gt;&lt;related-urls&gt;&lt;url&gt;https://www.google.com/url?sa=t&amp;amp;rct=j&amp;amp;q=&amp;amp;esrc=s&amp;amp;source=web&amp;amp;cd=&amp;amp;cad=rja&amp;amp;uact=8&amp;amp;ved=2ahUKEwi_pqPxzYP5AhX0TmwGHZUaBVUQFnoECA0QAQ&amp;amp;url=https%3A%2F%2Fwww1.health.gov.au%2Finternet%2Fmain%2Fpublishing.nsf%2FContent%2Fnpaac-pub-mps&amp;amp;usg=AOvVaw2NWncwXqsPKHxqqcVaMxDS&lt;/url&gt;&lt;/related-urls&gt;&lt;/urls&gt;&lt;custom1&gt;National Pathology Accreditation Advisory Council &lt;/custom1&gt;&lt;/record&gt;&lt;/Cite&gt;&lt;/EndNote&gt;</w:instrText>
      </w:r>
      <w:r w:rsidR="00B4668F">
        <w:fldChar w:fldCharType="separate"/>
      </w:r>
      <w:r w:rsidR="00B4668F">
        <w:rPr>
          <w:noProof/>
        </w:rPr>
        <w:t>(NPAAC 2017)</w:t>
      </w:r>
      <w:r w:rsidR="00B4668F">
        <w:fldChar w:fldCharType="end"/>
      </w:r>
      <w:r>
        <w:t xml:space="preserve">. </w:t>
      </w:r>
    </w:p>
    <w:p w14:paraId="0ED7E87C" w14:textId="67D92B58" w:rsidR="00CE4747" w:rsidRDefault="00CE4747" w:rsidP="00CE4747">
      <w:pPr>
        <w:spacing w:after="120"/>
        <w:rPr>
          <w:szCs w:val="20"/>
        </w:rPr>
      </w:pPr>
      <w:r>
        <w:rPr>
          <w:szCs w:val="20"/>
        </w:rPr>
        <w:t>There are currently no NGS assays approved by the TGA for the purpose of detecting biomarkers for targeted treatment of patients with NSCLC.</w:t>
      </w:r>
      <w:r w:rsidRPr="00CE4747">
        <w:rPr>
          <w:rFonts w:cs="Arial"/>
        </w:rPr>
        <w:t xml:space="preserve"> </w:t>
      </w:r>
      <w:r>
        <w:rPr>
          <w:rFonts w:cs="Arial"/>
        </w:rPr>
        <w:t>There are several NGS assays available in Australia for use in patients with NSCLC, marked as ‘Research Use Only’ (RUO): (AVENIO tumor tissue targeted panel (17 genes), AVENIO tumor tissue expanded panel (77 genes), TruSight Oncology 170 (170 genes) and TruSight Oncology 500 (523 genes from DNA and RNA).</w:t>
      </w:r>
    </w:p>
    <w:p w14:paraId="0B1F7354" w14:textId="2E9F5EEF" w:rsidR="00CE4747" w:rsidRDefault="00CE4747" w:rsidP="00871829">
      <w:r>
        <w:rPr>
          <w:rFonts w:cs="Arial"/>
        </w:rPr>
        <w:t xml:space="preserve">Local laboratories will be able to purchase RUO products from commercial suppliers and develop an IVD test under the framework of the ‘Requirement for the development of an in-house </w:t>
      </w:r>
      <w:r w:rsidRPr="00A602D5">
        <w:rPr>
          <w:rFonts w:cs="Arial"/>
          <w:i/>
        </w:rPr>
        <w:t>in vitro</w:t>
      </w:r>
      <w:r>
        <w:rPr>
          <w:rFonts w:cs="Arial"/>
        </w:rPr>
        <w:t xml:space="preserve"> diagnostic medical devices (IVDs) (</w:t>
      </w:r>
      <w:r w:rsidR="005626EF">
        <w:rPr>
          <w:rFonts w:cs="Arial"/>
        </w:rPr>
        <w:t>NPAAC</w:t>
      </w:r>
      <w:r>
        <w:rPr>
          <w:rFonts w:cs="Arial"/>
        </w:rPr>
        <w:t xml:space="preserve"> 2018)’.</w:t>
      </w:r>
    </w:p>
    <w:p w14:paraId="3560C024" w14:textId="3309BAB6" w:rsidR="00CE4747" w:rsidRDefault="00CE4747" w:rsidP="00CE4747">
      <w:pPr>
        <w:spacing w:after="240"/>
        <w:rPr>
          <w:rFonts w:cs="Arial"/>
        </w:rPr>
      </w:pPr>
      <w:r>
        <w:rPr>
          <w:rFonts w:cs="Arial"/>
        </w:rPr>
        <w:t xml:space="preserve">Currently, the PBS restrictions for most of the therapies targeting </w:t>
      </w:r>
      <w:r w:rsidRPr="00F57034">
        <w:rPr>
          <w:rFonts w:cs="Arial"/>
          <w:i/>
        </w:rPr>
        <w:t>ALK</w:t>
      </w:r>
      <w:r>
        <w:rPr>
          <w:rFonts w:cs="Arial"/>
        </w:rPr>
        <w:t xml:space="preserve"> or </w:t>
      </w:r>
      <w:r w:rsidRPr="00F57034">
        <w:rPr>
          <w:rFonts w:cs="Arial"/>
          <w:i/>
        </w:rPr>
        <w:t>ROS1</w:t>
      </w:r>
      <w:r>
        <w:rPr>
          <w:rFonts w:cs="Arial"/>
        </w:rPr>
        <w:t xml:space="preserve"> gene rearrangements (all except second-line lorlatinib) specify the method of determining the variants </w:t>
      </w:r>
      <w:r w:rsidR="00701DA8">
        <w:rPr>
          <w:rFonts w:cs="Arial"/>
        </w:rPr>
        <w:t xml:space="preserve">and the threshold separating a positive result from a negative result </w:t>
      </w:r>
      <w:r>
        <w:rPr>
          <w:rFonts w:cs="Arial"/>
        </w:rPr>
        <w:t>in order for the patient to be eligible for the therapeutics (</w:t>
      </w:r>
      <w:r w:rsidR="002B0791">
        <w:rPr>
          <w:rFonts w:cs="Arial"/>
        </w:rPr>
        <w:t>i.e.,</w:t>
      </w:r>
      <w:r>
        <w:rPr>
          <w:rFonts w:cs="Arial"/>
        </w:rPr>
        <w:t xml:space="preserve"> patients must have evidence of an </w:t>
      </w:r>
      <w:r w:rsidRPr="00F57034">
        <w:rPr>
          <w:rFonts w:cs="Arial"/>
          <w:i/>
        </w:rPr>
        <w:t>ALK</w:t>
      </w:r>
      <w:r>
        <w:rPr>
          <w:rFonts w:cs="Arial"/>
        </w:rPr>
        <w:t xml:space="preserve"> gene rearrangement or </w:t>
      </w:r>
      <w:r w:rsidRPr="00F57034">
        <w:rPr>
          <w:rFonts w:cs="Arial"/>
          <w:i/>
        </w:rPr>
        <w:t>ROS1</w:t>
      </w:r>
      <w:r>
        <w:rPr>
          <w:rFonts w:cs="Arial"/>
        </w:rPr>
        <w:t xml:space="preserve"> gene rearrangement in tumour material, defined as 15% (or greater) positive cells by fluorescence </w:t>
      </w:r>
      <w:r w:rsidRPr="004D0CBD">
        <w:rPr>
          <w:rFonts w:cs="Arial"/>
          <w:i/>
        </w:rPr>
        <w:t>in situ</w:t>
      </w:r>
      <w:r>
        <w:rPr>
          <w:rFonts w:cs="Arial"/>
        </w:rPr>
        <w:t xml:space="preserve"> hybridisation (FISH) testing). If the proposed item</w:t>
      </w:r>
      <w:r w:rsidR="00BD3606">
        <w:rPr>
          <w:rFonts w:cs="Arial"/>
        </w:rPr>
        <w:t>s</w:t>
      </w:r>
      <w:r>
        <w:rPr>
          <w:rFonts w:cs="Arial"/>
        </w:rPr>
        <w:t xml:space="preserve"> for </w:t>
      </w:r>
      <w:r w:rsidR="00BD3606">
        <w:rPr>
          <w:rFonts w:cs="Arial"/>
        </w:rPr>
        <w:t>small DNA ± RNA NGS panels are</w:t>
      </w:r>
      <w:r>
        <w:rPr>
          <w:rFonts w:cs="Arial"/>
        </w:rPr>
        <w:t xml:space="preserve"> listed on the MBS, </w:t>
      </w:r>
      <w:r w:rsidR="00701DA8">
        <w:rPr>
          <w:rFonts w:cs="Arial"/>
        </w:rPr>
        <w:t>coordinated amendments</w:t>
      </w:r>
      <w:r>
        <w:rPr>
          <w:rFonts w:cs="Arial"/>
        </w:rPr>
        <w:t xml:space="preserve"> to the restrictions listed on the PBS would be required to allow for either FISH </w:t>
      </w:r>
      <w:r w:rsidR="00F24774">
        <w:rPr>
          <w:rFonts w:cs="Arial"/>
        </w:rPr>
        <w:t xml:space="preserve">(with the threshold of ≥15%) </w:t>
      </w:r>
      <w:r>
        <w:rPr>
          <w:rFonts w:cs="Arial"/>
        </w:rPr>
        <w:t xml:space="preserve">or NGS </w:t>
      </w:r>
      <w:r w:rsidR="00F24774">
        <w:rPr>
          <w:rFonts w:cs="Arial"/>
        </w:rPr>
        <w:t xml:space="preserve">(without a specified threshold) </w:t>
      </w:r>
      <w:r>
        <w:rPr>
          <w:rFonts w:cs="Arial"/>
        </w:rPr>
        <w:t>in the criteria for crizotinib, ceritinib, alectinib, and entrectinib</w:t>
      </w:r>
      <w:r w:rsidR="00701DA8">
        <w:rPr>
          <w:rFonts w:cs="Arial"/>
        </w:rPr>
        <w:t xml:space="preserve">. If this application is supported by MSAC, the necessary coordination may most efficiently achieved by </w:t>
      </w:r>
      <w:r w:rsidR="00701DA8">
        <w:rPr>
          <w:rFonts w:cs="Arial"/>
        </w:rPr>
        <w:lastRenderedPageBreak/>
        <w:t>MSAC referring the related amendments to the PBAC for consideration at its December 2022 Intracycle meeting</w:t>
      </w:r>
      <w:r>
        <w:rPr>
          <w:rFonts w:cs="Arial"/>
        </w:rPr>
        <w:t>.</w:t>
      </w:r>
    </w:p>
    <w:p w14:paraId="200773C7" w14:textId="6CE0B312" w:rsidR="00004F7F" w:rsidRPr="00CE28E3" w:rsidRDefault="00004F7F" w:rsidP="001531D6">
      <w:pPr>
        <w:pStyle w:val="Heading2"/>
        <w:ind w:left="357" w:hanging="357"/>
      </w:pPr>
      <w:bookmarkStart w:id="54" w:name="_Toc148531136"/>
      <w:r w:rsidRPr="00CE28E3">
        <w:t>P</w:t>
      </w:r>
      <w:r w:rsidR="0042304B" w:rsidRPr="00CE28E3">
        <w:t>opulation</w:t>
      </w:r>
      <w:bookmarkEnd w:id="54"/>
    </w:p>
    <w:p w14:paraId="0846B55C" w14:textId="5EBCAC8E" w:rsidR="00287171" w:rsidRDefault="00287171" w:rsidP="00610ECF">
      <w:pPr>
        <w:pStyle w:val="NormalBeforeBullet"/>
      </w:pPr>
      <w:r>
        <w:t>The population of interest are those with non-small cell lung cancer (NSCLC), which is non-</w:t>
      </w:r>
      <w:r w:rsidR="002B0791">
        <w:t>squamous,</w:t>
      </w:r>
      <w:r>
        <w:t xml:space="preserve"> or histology not-otherwise-specified (NOS).</w:t>
      </w:r>
    </w:p>
    <w:p w14:paraId="145BE99D" w14:textId="5B2ECDD8" w:rsidR="00074516" w:rsidRDefault="00074516" w:rsidP="00610ECF">
      <w:pPr>
        <w:pStyle w:val="NormalBeforeBullet"/>
      </w:pPr>
      <w:r>
        <w:t>In 2021, lung cancer was the fifth most common cancer in Australia, with 13,810 total cases, and an age-standardised rate of 42.6 cases per 100,000 persons</w:t>
      </w:r>
      <w:r w:rsidR="00411551">
        <w:t xml:space="preserve"> </w:t>
      </w:r>
      <w:r w:rsidR="00B4668F">
        <w:fldChar w:fldCharType="begin"/>
      </w:r>
      <w:r w:rsidR="00B4668F">
        <w:instrText xml:space="preserve"> ADDIN EN.CITE &lt;EndNote&gt;&lt;Cite&gt;&lt;Author&gt;AIHW&lt;/Author&gt;&lt;Year&gt;2021&lt;/Year&gt;&lt;RecNum&gt;208&lt;/RecNum&gt;&lt;DisplayText&gt;(AIHW 2021)&lt;/DisplayText&gt;&lt;record&gt;&lt;rec-number&gt;208&lt;/rec-number&gt;&lt;foreign-keys&gt;&lt;key app="EN" db-id="0tprsse9cpp5r3ea5dz5p0xw2pfwvwxpa5a5" timestamp="1658032155"&gt;208&lt;/key&gt;&lt;/foreign-keys&gt;&lt;ref-type name="Web Page"&gt;12&lt;/ref-type&gt;&lt;contributors&gt;&lt;authors&gt;&lt;author&gt;AIHW&lt;/author&gt;&lt;/authors&gt;&lt;/contributors&gt;&lt;titles&gt;&lt;title&gt;Cancer summary data visualisation &lt;/title&gt;&lt;/titles&gt;&lt;volume&gt;2022&lt;/volume&gt;&lt;number&gt;17th July &lt;/number&gt;&lt;dates&gt;&lt;year&gt;2021&lt;/year&gt;&lt;/dates&gt;&lt;urls&gt;&lt;related-urls&gt;&lt;url&gt;https://www.aihw.gov.au/reports/cancer/cancer-data-in-australia/contents/cancer-summary-data-visualisation&lt;/url&gt;&lt;/related-urls&gt;&lt;/urls&gt;&lt;/record&gt;&lt;/Cite&gt;&lt;/EndNote&gt;</w:instrText>
      </w:r>
      <w:r w:rsidR="00B4668F">
        <w:fldChar w:fldCharType="separate"/>
      </w:r>
      <w:r w:rsidR="00B4668F">
        <w:rPr>
          <w:noProof/>
        </w:rPr>
        <w:t>(AIHW 2021)</w:t>
      </w:r>
      <w:r w:rsidR="00B4668F">
        <w:fldChar w:fldCharType="end"/>
      </w:r>
      <w:r>
        <w:t xml:space="preserve">. </w:t>
      </w:r>
      <w:r w:rsidR="00287171">
        <w:t>L</w:t>
      </w:r>
      <w:r w:rsidR="00287171" w:rsidRPr="00C42E20">
        <w:t>ung cancer</w:t>
      </w:r>
      <w:r w:rsidR="00287171">
        <w:t xml:space="preserve"> is classified into two types which grow and spread differently. They are </w:t>
      </w:r>
      <w:r w:rsidR="00287171" w:rsidRPr="00C42E20">
        <w:t>small cell lung cancer (SCLC)</w:t>
      </w:r>
      <w:r w:rsidR="00287171">
        <w:t xml:space="preserve"> and n</w:t>
      </w:r>
      <w:r w:rsidR="00287171" w:rsidRPr="00C42E20">
        <w:t>on-small</w:t>
      </w:r>
      <w:r w:rsidR="00287171">
        <w:t>-</w:t>
      </w:r>
      <w:r w:rsidR="00287171" w:rsidRPr="00C42E20">
        <w:t>cell lung cancer (NSCLC)</w:t>
      </w:r>
      <w:r w:rsidR="00287171">
        <w:t>, the latter</w:t>
      </w:r>
      <w:r w:rsidR="00287171" w:rsidRPr="00C42E20">
        <w:t xml:space="preserve"> account</w:t>
      </w:r>
      <w:r w:rsidR="00287171">
        <w:t>ing</w:t>
      </w:r>
      <w:r w:rsidR="00287171" w:rsidRPr="00C42E20">
        <w:t xml:space="preserve"> for 8</w:t>
      </w:r>
      <w:r>
        <w:t>5</w:t>
      </w:r>
      <w:r w:rsidR="00287171" w:rsidRPr="00C42E20">
        <w:t xml:space="preserve">% of all lung cancers. </w:t>
      </w:r>
      <w:r>
        <w:t xml:space="preserve">It is therefore estimated that there were 11,738 cases </w:t>
      </w:r>
      <w:r w:rsidR="00411551">
        <w:t xml:space="preserve">of NSCLC </w:t>
      </w:r>
      <w:r>
        <w:t>diagnosed in Australia in 2021. In 2021, there were 8,693 deaths from lung cancer, which makes it the most common cause of cancer</w:t>
      </w:r>
      <w:r w:rsidR="00411551">
        <w:t>-related mortality</w:t>
      </w:r>
      <w:r>
        <w:t xml:space="preserve">. </w:t>
      </w:r>
    </w:p>
    <w:p w14:paraId="52D791A9" w14:textId="009F979B" w:rsidR="00074516" w:rsidRDefault="00287171" w:rsidP="00610ECF">
      <w:pPr>
        <w:pStyle w:val="NormalBeforeBullet"/>
      </w:pPr>
      <w:r w:rsidRPr="00C42E20">
        <w:t xml:space="preserve">NSCLC is classified </w:t>
      </w:r>
      <w:r>
        <w:t xml:space="preserve">further </w:t>
      </w:r>
      <w:r w:rsidRPr="00C42E20">
        <w:t>as either adenocarcinoma (begin</w:t>
      </w:r>
      <w:r>
        <w:t>ning</w:t>
      </w:r>
      <w:r w:rsidRPr="00C42E20">
        <w:t xml:space="preserve"> in mucus-producing cells and is more often found in the outer part of the lungs), squamous cell carcinoma (most commonly develops in the larger airways) or large cell undifferentiated carcinoma.</w:t>
      </w:r>
      <w:r w:rsidR="00074516">
        <w:t xml:space="preserve"> The proposed population are those with non-squamous </w:t>
      </w:r>
      <w:r w:rsidR="00411551">
        <w:t>(</w:t>
      </w:r>
      <w:r w:rsidR="002B0791">
        <w:t>i.e.,</w:t>
      </w:r>
      <w:r w:rsidR="00411551">
        <w:t xml:space="preserve"> adenocarcinoma or large cell undifferentiated </w:t>
      </w:r>
      <w:r w:rsidR="003160BA">
        <w:t>carcinoma</w:t>
      </w:r>
      <w:r w:rsidR="00411551">
        <w:t xml:space="preserve">) </w:t>
      </w:r>
      <w:r w:rsidR="00074516">
        <w:t xml:space="preserve">or NOS NSCLC.  </w:t>
      </w:r>
    </w:p>
    <w:p w14:paraId="748EC891" w14:textId="15F641FB" w:rsidR="000C7297" w:rsidRPr="00411551" w:rsidRDefault="00287171" w:rsidP="00610ECF">
      <w:pPr>
        <w:pStyle w:val="NormalBeforeBullet"/>
        <w:rPr>
          <w:lang w:val="en-US"/>
        </w:rPr>
      </w:pPr>
      <w:r>
        <w:rPr>
          <w:lang w:val="en-US"/>
        </w:rPr>
        <w:t xml:space="preserve">The diagnosis may </w:t>
      </w:r>
      <w:r w:rsidR="00411551">
        <w:rPr>
          <w:lang w:val="en-US"/>
        </w:rPr>
        <w:t>occur</w:t>
      </w:r>
      <w:r>
        <w:rPr>
          <w:lang w:val="en-US"/>
        </w:rPr>
        <w:t xml:space="preserve"> at any stage </w:t>
      </w:r>
      <w:r w:rsidR="00214966">
        <w:rPr>
          <w:lang w:val="en-US"/>
        </w:rPr>
        <w:t xml:space="preserve">of </w:t>
      </w:r>
      <w:r>
        <w:rPr>
          <w:lang w:val="en-US"/>
        </w:rPr>
        <w:t xml:space="preserve">cancer progression, although </w:t>
      </w:r>
      <w:r w:rsidR="003160BA">
        <w:rPr>
          <w:lang w:val="en-US"/>
        </w:rPr>
        <w:t>most</w:t>
      </w:r>
      <w:r>
        <w:rPr>
          <w:lang w:val="en-US"/>
        </w:rPr>
        <w:t xml:space="preserve"> patients are diagnosed in later stages of the disease. </w:t>
      </w:r>
      <w:r w:rsidR="00411551">
        <w:rPr>
          <w:lang w:val="en-US"/>
        </w:rPr>
        <w:t xml:space="preserve">There are </w:t>
      </w:r>
      <w:r w:rsidR="003160BA">
        <w:rPr>
          <w:lang w:val="en-US"/>
        </w:rPr>
        <w:t>several</w:t>
      </w:r>
      <w:r w:rsidR="00411551">
        <w:rPr>
          <w:lang w:val="en-US"/>
        </w:rPr>
        <w:t xml:space="preserve"> treatments available for patients with advanced NSCLC on the Pharmaceutical Benefits Scheme (PBS), but the eligibility criteria depend on the detection or ruling out of particular biomarkers in the tumour tissue. After NSCLC has been diagnosed, it is therefore important that patients undergo biomarker testing, to determine which treatment will best target their tumour. </w:t>
      </w:r>
    </w:p>
    <w:p w14:paraId="56A872A8" w14:textId="234E04BD" w:rsidR="00D50000" w:rsidRDefault="00D50000" w:rsidP="00610ECF">
      <w:pPr>
        <w:pStyle w:val="NormalBeforeBullet"/>
      </w:pPr>
      <w:r>
        <w:t xml:space="preserve">The </w:t>
      </w:r>
      <w:r w:rsidR="003B5083">
        <w:t>estimated number of patients who would</w:t>
      </w:r>
      <w:r>
        <w:t xml:space="preserve"> use </w:t>
      </w:r>
      <w:r w:rsidR="003B5083">
        <w:t xml:space="preserve">the proposed technology is based on the current use of </w:t>
      </w:r>
      <w:r>
        <w:t xml:space="preserve">the </w:t>
      </w:r>
      <w:r>
        <w:rPr>
          <w:i/>
        </w:rPr>
        <w:t>EGFR</w:t>
      </w:r>
      <w:r>
        <w:t xml:space="preserve"> testing MBS item. The increase </w:t>
      </w:r>
      <w:r w:rsidR="00DE60C3">
        <w:t xml:space="preserve">from </w:t>
      </w:r>
      <w:r>
        <w:t>2018</w:t>
      </w:r>
      <w:r w:rsidR="003160BA">
        <w:t>–</w:t>
      </w:r>
      <w:r>
        <w:t>19 to 2019</w:t>
      </w:r>
      <w:r w:rsidR="003160BA">
        <w:t>–</w:t>
      </w:r>
      <w:r>
        <w:t>20 was 6.2%, and from 2019</w:t>
      </w:r>
      <w:r w:rsidR="003160BA">
        <w:t>–</w:t>
      </w:r>
      <w:r>
        <w:t>20 to 2020</w:t>
      </w:r>
      <w:r w:rsidR="003160BA">
        <w:t>–</w:t>
      </w:r>
      <w:r>
        <w:t xml:space="preserve">21 was 6.05%. It is therefore expected that the increase in the number of patients with NSCLC being tested for the purposes of determining eligibility for PBS-subsidised drugs will increase on average by 6.125% per year. </w:t>
      </w:r>
    </w:p>
    <w:p w14:paraId="2C711E34" w14:textId="0C69AC85" w:rsidR="0072663D" w:rsidRDefault="0072663D" w:rsidP="0072663D">
      <w:pPr>
        <w:pStyle w:val="NormalBeforeBullet"/>
      </w:pPr>
      <w:r>
        <w:t xml:space="preserve">A survey performed for the purposes of </w:t>
      </w:r>
      <w:hyperlink r:id="rId33" w:history="1">
        <w:r w:rsidRPr="00D97A4A">
          <w:rPr>
            <w:rStyle w:val="Hyperlink"/>
          </w:rPr>
          <w:t>P</w:t>
        </w:r>
        <w:r>
          <w:rPr>
            <w:rStyle w:val="Hyperlink"/>
          </w:rPr>
          <w:t>ICO confirmation 1669</w:t>
        </w:r>
        <w:r w:rsidRPr="00D97A4A">
          <w:rPr>
            <w:rStyle w:val="Hyperlink"/>
          </w:rPr>
          <w:t xml:space="preserve"> </w:t>
        </w:r>
      </w:hyperlink>
      <w:r>
        <w:t xml:space="preserve">reported that most laboratories are already using small DNA panels. If the proposed separate DNA and RNA panels are added to the MBS, then the small DNA panel item is likely to be able to </w:t>
      </w:r>
      <w:r w:rsidR="00DE60C3">
        <w:t xml:space="preserve">be </w:t>
      </w:r>
      <w:r>
        <w:t>used by most laboratories from the time of listing (</w:t>
      </w:r>
      <w:r>
        <w:fldChar w:fldCharType="begin"/>
      </w:r>
      <w:r>
        <w:instrText xml:space="preserve"> REF _Ref111023996 \h </w:instrText>
      </w:r>
      <w:r>
        <w:fldChar w:fldCharType="separate"/>
      </w:r>
      <w:r w:rsidR="00C857F3">
        <w:t xml:space="preserve">Table </w:t>
      </w:r>
      <w:r w:rsidR="00C857F3">
        <w:rPr>
          <w:noProof/>
        </w:rPr>
        <w:t>4</w:t>
      </w:r>
      <w:r>
        <w:fldChar w:fldCharType="end"/>
      </w:r>
      <w:r>
        <w:t xml:space="preserve">). However, capacity to perform small RNA panels is more restricted, and laboratories may either transfer the tissue to another laboratory for RNA testing or continue to use IHC and FISH for the assessment of </w:t>
      </w:r>
      <w:r>
        <w:rPr>
          <w:i/>
        </w:rPr>
        <w:t xml:space="preserve">ALK </w:t>
      </w:r>
      <w:r>
        <w:t xml:space="preserve">and </w:t>
      </w:r>
      <w:r>
        <w:rPr>
          <w:i/>
        </w:rPr>
        <w:t xml:space="preserve">ROS1. </w:t>
      </w:r>
      <w:r>
        <w:t xml:space="preserve">The applicants have also stated that some patients will have insufficient tumour tissue available for RNA to be extracted, so 5- 10% of cases may continue to be tested using FISH rather than an NGS panel. </w:t>
      </w:r>
    </w:p>
    <w:p w14:paraId="41FA6E78" w14:textId="7991D113" w:rsidR="0072663D" w:rsidRDefault="0072663D" w:rsidP="00610ECF">
      <w:pPr>
        <w:pStyle w:val="NormalBeforeBullet"/>
      </w:pPr>
      <w:r>
        <w:t xml:space="preserve">Prior testing, and projections of use only consider testing in patients with non-squamous (or not otherwise specified) histology, and do not consider the utilisation if patients with squamous NSCLC are also tested. This is estimated to increase the projections by 15%. </w:t>
      </w:r>
    </w:p>
    <w:p w14:paraId="17437704" w14:textId="66CE9866" w:rsidR="00D50000" w:rsidRDefault="00D50000" w:rsidP="00D50000">
      <w:pPr>
        <w:pStyle w:val="Caption"/>
      </w:pPr>
      <w:r>
        <w:lastRenderedPageBreak/>
        <w:t xml:space="preserve">Table </w:t>
      </w:r>
      <w:fldSimple w:instr=" SEQ Table \* ARABIC ">
        <w:r w:rsidR="00C857F3">
          <w:rPr>
            <w:noProof/>
          </w:rPr>
          <w:t>17</w:t>
        </w:r>
      </w:fldSimple>
      <w:r>
        <w:tab/>
        <w:t>Number of patients who have claimed MBS item 73337 and projected testing numbers</w:t>
      </w:r>
    </w:p>
    <w:tbl>
      <w:tblPr>
        <w:tblStyle w:val="TableGrid"/>
        <w:tblW w:w="0" w:type="auto"/>
        <w:tblLook w:val="04A0" w:firstRow="1" w:lastRow="0" w:firstColumn="1" w:lastColumn="0" w:noHBand="0" w:noVBand="1"/>
        <w:tblCaption w:val="Number of patients who have claimed MBS item 73337 and projected testing numbers"/>
        <w:tblDescription w:val="Summary of past EGFR testing use, and predicted future use (of EGFR testing or NGS panel testing)"/>
      </w:tblPr>
      <w:tblGrid>
        <w:gridCol w:w="1127"/>
        <w:gridCol w:w="1127"/>
        <w:gridCol w:w="1127"/>
        <w:gridCol w:w="1127"/>
        <w:gridCol w:w="1127"/>
        <w:gridCol w:w="1127"/>
        <w:gridCol w:w="1127"/>
        <w:gridCol w:w="1127"/>
      </w:tblGrid>
      <w:tr w:rsidR="00D50000" w:rsidRPr="000F5EB0" w14:paraId="2793CDE7" w14:textId="77777777" w:rsidTr="00B10CB6">
        <w:trPr>
          <w:tblHeader/>
        </w:trPr>
        <w:tc>
          <w:tcPr>
            <w:tcW w:w="1127" w:type="dxa"/>
          </w:tcPr>
          <w:p w14:paraId="1239A215" w14:textId="77777777" w:rsidR="00D50000" w:rsidRPr="000F5EB0" w:rsidRDefault="00D50000" w:rsidP="00096486">
            <w:pPr>
              <w:pStyle w:val="TableHeading"/>
            </w:pPr>
          </w:p>
        </w:tc>
        <w:tc>
          <w:tcPr>
            <w:tcW w:w="1127" w:type="dxa"/>
          </w:tcPr>
          <w:p w14:paraId="480BB9FF" w14:textId="77777777" w:rsidR="00D50000" w:rsidRPr="000F5EB0" w:rsidRDefault="00D50000" w:rsidP="00096486">
            <w:pPr>
              <w:pStyle w:val="TableHeading"/>
            </w:pPr>
            <w:r>
              <w:t>2018-19</w:t>
            </w:r>
          </w:p>
        </w:tc>
        <w:tc>
          <w:tcPr>
            <w:tcW w:w="1127" w:type="dxa"/>
          </w:tcPr>
          <w:p w14:paraId="04EB5896" w14:textId="77777777" w:rsidR="00D50000" w:rsidRPr="000F5EB0" w:rsidRDefault="00D50000" w:rsidP="00096486">
            <w:pPr>
              <w:pStyle w:val="TableHeading"/>
            </w:pPr>
            <w:r>
              <w:t>2019-20</w:t>
            </w:r>
          </w:p>
        </w:tc>
        <w:tc>
          <w:tcPr>
            <w:tcW w:w="1127" w:type="dxa"/>
          </w:tcPr>
          <w:p w14:paraId="53B22A03" w14:textId="77777777" w:rsidR="00D50000" w:rsidRPr="000F5EB0" w:rsidRDefault="00D50000" w:rsidP="00096486">
            <w:pPr>
              <w:pStyle w:val="TableHeading"/>
            </w:pPr>
            <w:r>
              <w:t>2020-21</w:t>
            </w:r>
          </w:p>
        </w:tc>
        <w:tc>
          <w:tcPr>
            <w:tcW w:w="1127" w:type="dxa"/>
          </w:tcPr>
          <w:p w14:paraId="7502A5C7" w14:textId="77777777" w:rsidR="00D50000" w:rsidRPr="000F5EB0" w:rsidRDefault="00D50000" w:rsidP="00096486">
            <w:pPr>
              <w:pStyle w:val="TableHeading"/>
            </w:pPr>
            <w:r>
              <w:t>Projected 2021-22</w:t>
            </w:r>
          </w:p>
        </w:tc>
        <w:tc>
          <w:tcPr>
            <w:tcW w:w="1127" w:type="dxa"/>
          </w:tcPr>
          <w:p w14:paraId="019ECAB1" w14:textId="77777777" w:rsidR="00D50000" w:rsidRPr="000F5EB0" w:rsidRDefault="00D50000" w:rsidP="00096486">
            <w:pPr>
              <w:pStyle w:val="TableHeading"/>
            </w:pPr>
            <w:r>
              <w:t>Projected 2022-23</w:t>
            </w:r>
          </w:p>
        </w:tc>
        <w:tc>
          <w:tcPr>
            <w:tcW w:w="1127" w:type="dxa"/>
          </w:tcPr>
          <w:p w14:paraId="43D2A478" w14:textId="67F644F9" w:rsidR="00D50000" w:rsidRDefault="00D50000" w:rsidP="00096486">
            <w:pPr>
              <w:pStyle w:val="TableHeading"/>
            </w:pPr>
            <w:r>
              <w:t>Projected 2023-24</w:t>
            </w:r>
          </w:p>
        </w:tc>
        <w:tc>
          <w:tcPr>
            <w:tcW w:w="1127" w:type="dxa"/>
          </w:tcPr>
          <w:p w14:paraId="02FC63F8" w14:textId="69784F20" w:rsidR="00D50000" w:rsidRDefault="00D50000" w:rsidP="00096486">
            <w:pPr>
              <w:pStyle w:val="TableHeading"/>
            </w:pPr>
            <w:r>
              <w:t>Projected 2024-25</w:t>
            </w:r>
          </w:p>
        </w:tc>
      </w:tr>
      <w:tr w:rsidR="00D50000" w:rsidRPr="000F5EB0" w14:paraId="60C0D933" w14:textId="77777777" w:rsidTr="004A30C1">
        <w:tc>
          <w:tcPr>
            <w:tcW w:w="1127" w:type="dxa"/>
          </w:tcPr>
          <w:p w14:paraId="6C4EE239" w14:textId="77777777" w:rsidR="00D50000" w:rsidRPr="00D50000" w:rsidRDefault="00D50000" w:rsidP="001D6EE5">
            <w:pPr>
              <w:pStyle w:val="TableText"/>
            </w:pPr>
            <w:r>
              <w:rPr>
                <w:i/>
              </w:rPr>
              <w:t xml:space="preserve">EGFR </w:t>
            </w:r>
            <w:r>
              <w:t>testing</w:t>
            </w:r>
          </w:p>
        </w:tc>
        <w:tc>
          <w:tcPr>
            <w:tcW w:w="1127" w:type="dxa"/>
            <w:vAlign w:val="center"/>
          </w:tcPr>
          <w:p w14:paraId="2949843E" w14:textId="77777777" w:rsidR="00D50000" w:rsidRPr="000F5EB0" w:rsidRDefault="00D50000" w:rsidP="001D6EE5">
            <w:pPr>
              <w:pStyle w:val="TableText"/>
            </w:pPr>
            <w:r>
              <w:t>4,371</w:t>
            </w:r>
          </w:p>
        </w:tc>
        <w:tc>
          <w:tcPr>
            <w:tcW w:w="1127" w:type="dxa"/>
            <w:vAlign w:val="center"/>
          </w:tcPr>
          <w:p w14:paraId="046308C8" w14:textId="77777777" w:rsidR="00D50000" w:rsidRPr="000F5EB0" w:rsidRDefault="00D50000" w:rsidP="001D6EE5">
            <w:pPr>
              <w:pStyle w:val="TableText"/>
            </w:pPr>
            <w:r>
              <w:t>4,643</w:t>
            </w:r>
          </w:p>
        </w:tc>
        <w:tc>
          <w:tcPr>
            <w:tcW w:w="1127" w:type="dxa"/>
            <w:vAlign w:val="center"/>
          </w:tcPr>
          <w:p w14:paraId="6654945B" w14:textId="77777777" w:rsidR="00D50000" w:rsidRPr="000F5EB0" w:rsidRDefault="00D50000" w:rsidP="001D6EE5">
            <w:pPr>
              <w:pStyle w:val="TableText"/>
            </w:pPr>
            <w:r>
              <w:t>4,924</w:t>
            </w:r>
          </w:p>
        </w:tc>
        <w:tc>
          <w:tcPr>
            <w:tcW w:w="1127" w:type="dxa"/>
            <w:vAlign w:val="center"/>
          </w:tcPr>
          <w:p w14:paraId="55CC4DA2" w14:textId="77777777" w:rsidR="00D50000" w:rsidRPr="000F5EB0" w:rsidRDefault="00D50000" w:rsidP="001D6EE5">
            <w:pPr>
              <w:pStyle w:val="TableText"/>
            </w:pPr>
            <w:r>
              <w:t>5,226</w:t>
            </w:r>
          </w:p>
        </w:tc>
        <w:tc>
          <w:tcPr>
            <w:tcW w:w="1127" w:type="dxa"/>
            <w:vAlign w:val="center"/>
          </w:tcPr>
          <w:p w14:paraId="19CB333E" w14:textId="77777777" w:rsidR="00D50000" w:rsidRPr="000F5EB0" w:rsidRDefault="00D50000" w:rsidP="001D6EE5">
            <w:pPr>
              <w:pStyle w:val="TableText"/>
            </w:pPr>
            <w:r>
              <w:t>5,546</w:t>
            </w:r>
          </w:p>
        </w:tc>
        <w:tc>
          <w:tcPr>
            <w:tcW w:w="1127" w:type="dxa"/>
            <w:vAlign w:val="center"/>
          </w:tcPr>
          <w:p w14:paraId="2379A0E0" w14:textId="77777777" w:rsidR="00D50000" w:rsidRPr="000F5EB0" w:rsidRDefault="00D50000" w:rsidP="001D6EE5">
            <w:pPr>
              <w:pStyle w:val="TableText"/>
            </w:pPr>
            <w:r>
              <w:t>5,886</w:t>
            </w:r>
          </w:p>
        </w:tc>
        <w:tc>
          <w:tcPr>
            <w:tcW w:w="1127" w:type="dxa"/>
            <w:vAlign w:val="center"/>
          </w:tcPr>
          <w:p w14:paraId="0C1D7291" w14:textId="706175FC" w:rsidR="00D50000" w:rsidRPr="000F5EB0" w:rsidRDefault="003B5083" w:rsidP="001D6EE5">
            <w:pPr>
              <w:pStyle w:val="TableText"/>
            </w:pPr>
            <w:r>
              <w:t>6,247</w:t>
            </w:r>
          </w:p>
        </w:tc>
      </w:tr>
      <w:tr w:rsidR="00D50000" w:rsidRPr="000F5EB0" w14:paraId="7891365F" w14:textId="77777777" w:rsidTr="004A30C1">
        <w:tc>
          <w:tcPr>
            <w:tcW w:w="1127" w:type="dxa"/>
          </w:tcPr>
          <w:p w14:paraId="61596007" w14:textId="77777777" w:rsidR="00D50000" w:rsidRPr="000F5EB0" w:rsidRDefault="00D50000" w:rsidP="001D6EE5">
            <w:pPr>
              <w:pStyle w:val="TableText"/>
            </w:pPr>
            <w:r>
              <w:t>% increase on previous year</w:t>
            </w:r>
          </w:p>
        </w:tc>
        <w:tc>
          <w:tcPr>
            <w:tcW w:w="1127" w:type="dxa"/>
            <w:vAlign w:val="center"/>
          </w:tcPr>
          <w:p w14:paraId="3CC5D8F7" w14:textId="621E8B48" w:rsidR="00D50000" w:rsidRPr="000F5EB0" w:rsidRDefault="00A70198" w:rsidP="004A30C1">
            <w:pPr>
              <w:pStyle w:val="Tabletext0"/>
              <w:jc w:val="left"/>
            </w:pPr>
            <w:r>
              <w:t>-</w:t>
            </w:r>
          </w:p>
        </w:tc>
        <w:tc>
          <w:tcPr>
            <w:tcW w:w="1127" w:type="dxa"/>
            <w:vAlign w:val="center"/>
          </w:tcPr>
          <w:p w14:paraId="0D214F34" w14:textId="77777777" w:rsidR="00D50000" w:rsidRPr="000F5EB0" w:rsidRDefault="00D50000" w:rsidP="001D6EE5">
            <w:pPr>
              <w:pStyle w:val="TableText"/>
            </w:pPr>
            <w:r w:rsidRPr="00F623CE">
              <w:t>6.2%</w:t>
            </w:r>
          </w:p>
        </w:tc>
        <w:tc>
          <w:tcPr>
            <w:tcW w:w="1127" w:type="dxa"/>
            <w:vAlign w:val="center"/>
          </w:tcPr>
          <w:p w14:paraId="51E83EB4" w14:textId="77777777" w:rsidR="00D50000" w:rsidRPr="000F5EB0" w:rsidRDefault="00D50000" w:rsidP="001D6EE5">
            <w:pPr>
              <w:pStyle w:val="TableText"/>
            </w:pPr>
            <w:r>
              <w:t>6.05%</w:t>
            </w:r>
          </w:p>
        </w:tc>
        <w:tc>
          <w:tcPr>
            <w:tcW w:w="1127" w:type="dxa"/>
            <w:vAlign w:val="center"/>
          </w:tcPr>
          <w:p w14:paraId="55BA5DCD" w14:textId="77777777" w:rsidR="00D50000" w:rsidRPr="000F5EB0" w:rsidRDefault="00D50000" w:rsidP="001D6EE5">
            <w:pPr>
              <w:pStyle w:val="TableText"/>
            </w:pPr>
            <w:r>
              <w:t>6.125%</w:t>
            </w:r>
          </w:p>
        </w:tc>
        <w:tc>
          <w:tcPr>
            <w:tcW w:w="1127" w:type="dxa"/>
            <w:vAlign w:val="center"/>
          </w:tcPr>
          <w:p w14:paraId="69AD5637" w14:textId="77777777" w:rsidR="00D50000" w:rsidRPr="000F5EB0" w:rsidRDefault="00D50000" w:rsidP="001D6EE5">
            <w:pPr>
              <w:pStyle w:val="TableText"/>
            </w:pPr>
            <w:r>
              <w:t>6.125%</w:t>
            </w:r>
          </w:p>
        </w:tc>
        <w:tc>
          <w:tcPr>
            <w:tcW w:w="1127" w:type="dxa"/>
            <w:vAlign w:val="center"/>
          </w:tcPr>
          <w:p w14:paraId="39D16687" w14:textId="77777777" w:rsidR="00D50000" w:rsidRPr="000F5EB0" w:rsidRDefault="00D50000" w:rsidP="001D6EE5">
            <w:pPr>
              <w:pStyle w:val="TableText"/>
            </w:pPr>
            <w:r>
              <w:t>6.125%</w:t>
            </w:r>
          </w:p>
        </w:tc>
        <w:tc>
          <w:tcPr>
            <w:tcW w:w="1127" w:type="dxa"/>
            <w:vAlign w:val="center"/>
          </w:tcPr>
          <w:p w14:paraId="31572E1F" w14:textId="5BB70810" w:rsidR="00D50000" w:rsidRPr="000F5EB0" w:rsidRDefault="003B5083" w:rsidP="001D6EE5">
            <w:pPr>
              <w:pStyle w:val="TableText"/>
            </w:pPr>
            <w:r>
              <w:t>6.125%</w:t>
            </w:r>
          </w:p>
        </w:tc>
      </w:tr>
    </w:tbl>
    <w:p w14:paraId="7535624F" w14:textId="76899411" w:rsidR="008C7988" w:rsidRPr="00C6659C" w:rsidRDefault="00411551" w:rsidP="00411551">
      <w:pPr>
        <w:pStyle w:val="TableFooter"/>
      </w:pPr>
      <w:r w:rsidRPr="007C7AB1">
        <w:rPr>
          <w:i/>
        </w:rPr>
        <w:t>EGFR</w:t>
      </w:r>
      <w:r>
        <w:t xml:space="preserve"> = epidermal growth factor receptor</w:t>
      </w:r>
      <w:r w:rsidR="00BF544D">
        <w:t xml:space="preserve">; </w:t>
      </w:r>
      <w:r w:rsidR="00BF544D" w:rsidRPr="00152F12">
        <w:t>MBS</w:t>
      </w:r>
      <w:r w:rsidR="00BF544D">
        <w:t xml:space="preserve"> = Medicare Benefits Schedule</w:t>
      </w:r>
    </w:p>
    <w:p w14:paraId="328E715A" w14:textId="235C2127" w:rsidR="00053F6C" w:rsidRPr="00CE28E3" w:rsidRDefault="00053F6C" w:rsidP="001531D6">
      <w:pPr>
        <w:pStyle w:val="Heading2"/>
        <w:ind w:left="357" w:hanging="357"/>
      </w:pPr>
      <w:bookmarkStart w:id="55" w:name="_Toc148531137"/>
      <w:r w:rsidRPr="00CE28E3">
        <w:t>Intervention</w:t>
      </w:r>
      <w:bookmarkEnd w:id="55"/>
      <w:r w:rsidRPr="00CE28E3">
        <w:t xml:space="preserve"> </w:t>
      </w:r>
    </w:p>
    <w:p w14:paraId="4654FDCE" w14:textId="4F7ECF70" w:rsidR="00A61D0C" w:rsidRDefault="00A61D0C" w:rsidP="00610ECF">
      <w:pPr>
        <w:pStyle w:val="NormalBeforeBullet"/>
      </w:pPr>
      <w:r>
        <w:t xml:space="preserve">The proposed intervention is </w:t>
      </w:r>
      <w:r w:rsidR="00403D0C">
        <w:t xml:space="preserve">one or two </w:t>
      </w:r>
      <w:r>
        <w:t>next generation sequencing (NGS) panel</w:t>
      </w:r>
      <w:r w:rsidR="00403D0C">
        <w:t>(s) testing of</w:t>
      </w:r>
      <w:r>
        <w:t xml:space="preserve"> </w:t>
      </w:r>
      <w:r w:rsidR="00EF20C8">
        <w:t xml:space="preserve">resected/ </w:t>
      </w:r>
      <w:r>
        <w:t xml:space="preserve">biopsied tumour samples. </w:t>
      </w:r>
      <w:r w:rsidR="00C41E9B">
        <w:t xml:space="preserve">It is proposed to be used at the point of diagnosis of NSCLC which is non-squamous or NOS. </w:t>
      </w:r>
      <w:r w:rsidR="00610ECF">
        <w:t>The purpose of the intervention is for determining eligibility for NSCLC patients to access specific Pharmaceutical Benefits Sche</w:t>
      </w:r>
      <w:r w:rsidR="00403D0C">
        <w:t>me</w:t>
      </w:r>
      <w:r w:rsidR="00610ECF">
        <w:t xml:space="preserve"> (PBS)-listed targeted treatments</w:t>
      </w:r>
      <w:r w:rsidR="00FF21B4">
        <w:t xml:space="preserve"> (the treatments are listed in </w:t>
      </w:r>
      <w:r w:rsidR="00FD6AD2">
        <w:fldChar w:fldCharType="begin"/>
      </w:r>
      <w:r w:rsidR="00FD6AD2">
        <w:instrText xml:space="preserve"> REF _Ref69481033 \h </w:instrText>
      </w:r>
      <w:r w:rsidR="00FD6AD2">
        <w:fldChar w:fldCharType="separate"/>
      </w:r>
      <w:r w:rsidR="00C857F3">
        <w:t>Table </w:t>
      </w:r>
      <w:r w:rsidR="00C857F3">
        <w:rPr>
          <w:noProof/>
        </w:rPr>
        <w:t>2</w:t>
      </w:r>
      <w:r w:rsidR="00FD6AD2">
        <w:fldChar w:fldCharType="end"/>
      </w:r>
      <w:r w:rsidR="00FD6AD2">
        <w:t>)</w:t>
      </w:r>
      <w:r w:rsidR="00610ECF">
        <w:t xml:space="preserve">. </w:t>
      </w:r>
    </w:p>
    <w:p w14:paraId="49F0F825" w14:textId="57807BBA" w:rsidR="00A61D0C" w:rsidRDefault="00A61D0C" w:rsidP="00610ECF">
      <w:pPr>
        <w:pStyle w:val="NormalBeforeBullet"/>
      </w:pPr>
      <w:r>
        <w:t xml:space="preserve">The NGS panel involves nucleic acid extraction, which then undergoes target enrichment using either hybridisation-based target enrichment or amplicon-based target enrichment. Targeted panels would focus on a certain number of genes or gene regions. The sequence data are processed by a bioinformatics pipeline which includes sequence read alignment and variant calling and annotation. Genomic variants are curated by scientists/pathologists and a clinical report is generated. </w:t>
      </w:r>
    </w:p>
    <w:p w14:paraId="5C18C4AF" w14:textId="0ACBA799" w:rsidR="00A61D0C" w:rsidRPr="00072A6C" w:rsidRDefault="00A61D0C" w:rsidP="00610ECF">
      <w:pPr>
        <w:pStyle w:val="NormalBeforeBullet"/>
        <w:rPr>
          <w:i/>
        </w:rPr>
      </w:pPr>
      <w:r>
        <w:t>The applicants estimate that 5–10% of tumours may not be suitable for NGS testing and will still need a single gene/FISH based approach</w:t>
      </w:r>
      <w:r w:rsidR="00FF21B4">
        <w:t>.</w:t>
      </w:r>
      <w:r w:rsidR="00072A6C">
        <w:t xml:space="preserve"> </w:t>
      </w:r>
    </w:p>
    <w:p w14:paraId="69A08270" w14:textId="4FC74BAF" w:rsidR="00FF21B4" w:rsidRDefault="00FF21B4" w:rsidP="00610ECF">
      <w:pPr>
        <w:pStyle w:val="NormalBeforeBullet"/>
      </w:pPr>
      <w:r>
        <w:t xml:space="preserve">The applicants suggest two potential approaches to small panel testing, the use of which may depend on each individual </w:t>
      </w:r>
      <w:r w:rsidR="00D64962">
        <w:t>laboratory’s capacities and infrastructure:</w:t>
      </w:r>
    </w:p>
    <w:p w14:paraId="2BAF5569" w14:textId="2DFD59B1" w:rsidR="00D64962" w:rsidRDefault="00D64962" w:rsidP="00B649D2">
      <w:pPr>
        <w:pStyle w:val="NormalBeforeBullet"/>
        <w:numPr>
          <w:ilvl w:val="0"/>
          <w:numId w:val="15"/>
        </w:numPr>
        <w:spacing w:before="240"/>
      </w:pPr>
      <w:r>
        <w:t xml:space="preserve">One MBS item describing a “nucleic acid” panel, combining both DNA/RNA. </w:t>
      </w:r>
    </w:p>
    <w:p w14:paraId="157D29EE" w14:textId="03090538" w:rsidR="007440D9" w:rsidRDefault="007440D9" w:rsidP="00B649D2">
      <w:pPr>
        <w:pStyle w:val="NormalBeforeBullet"/>
        <w:numPr>
          <w:ilvl w:val="0"/>
          <w:numId w:val="15"/>
        </w:numPr>
        <w:spacing w:before="240"/>
      </w:pPr>
      <w:r>
        <w:t>Two separate MBS items for NGS panels:</w:t>
      </w:r>
    </w:p>
    <w:p w14:paraId="74AAA513" w14:textId="3398A614" w:rsidR="007440D9" w:rsidRPr="007440D9" w:rsidRDefault="007440D9" w:rsidP="00B649D2">
      <w:pPr>
        <w:pStyle w:val="NormalBeforeBullet"/>
        <w:numPr>
          <w:ilvl w:val="1"/>
          <w:numId w:val="15"/>
        </w:numPr>
        <w:spacing w:before="240"/>
      </w:pPr>
      <w:r>
        <w:t xml:space="preserve">DNA panel for point variants/small indels to test the most common alterations in </w:t>
      </w:r>
      <w:r w:rsidR="007952F6">
        <w:rPr>
          <w:i/>
        </w:rPr>
        <w:t>EGFR</w:t>
      </w:r>
      <w:r>
        <w:t xml:space="preserve"> </w:t>
      </w:r>
      <w:r w:rsidRPr="00D64962">
        <w:t>and</w:t>
      </w:r>
      <w:r>
        <w:rPr>
          <w:i/>
        </w:rPr>
        <w:t xml:space="preserve"> MET</w:t>
      </w:r>
      <w:r>
        <w:t xml:space="preserve">ex14 skipping variants (and possibly </w:t>
      </w:r>
      <w:r w:rsidR="007952F6" w:rsidRPr="007952F6">
        <w:rPr>
          <w:i/>
        </w:rPr>
        <w:t>KRAS</w:t>
      </w:r>
      <w:r w:rsidR="007952F6">
        <w:t xml:space="preserve"> and </w:t>
      </w:r>
      <w:r>
        <w:rPr>
          <w:i/>
        </w:rPr>
        <w:t>BRAF</w:t>
      </w:r>
      <w:r w:rsidR="0039089C">
        <w:rPr>
          <w:i/>
        </w:rPr>
        <w:t xml:space="preserve"> V600E</w:t>
      </w:r>
      <w:r>
        <w:rPr>
          <w:i/>
        </w:rPr>
        <w:t xml:space="preserve">). </w:t>
      </w:r>
    </w:p>
    <w:p w14:paraId="7E92035A" w14:textId="64BD6AF6" w:rsidR="007440D9" w:rsidRDefault="007440D9" w:rsidP="00B649D2">
      <w:pPr>
        <w:pStyle w:val="NormalBeforeBullet"/>
        <w:numPr>
          <w:ilvl w:val="1"/>
          <w:numId w:val="15"/>
        </w:numPr>
        <w:spacing w:before="240"/>
      </w:pPr>
      <w:r>
        <w:t>RNA panel for translocations resulting in fusion</w:t>
      </w:r>
      <w:r w:rsidR="007952F6">
        <w:t xml:space="preserve">s in </w:t>
      </w:r>
      <w:r w:rsidR="007952F6">
        <w:rPr>
          <w:i/>
        </w:rPr>
        <w:t xml:space="preserve">ALK </w:t>
      </w:r>
      <w:r w:rsidR="007952F6">
        <w:t xml:space="preserve">or </w:t>
      </w:r>
      <w:r w:rsidR="007952F6">
        <w:rPr>
          <w:i/>
        </w:rPr>
        <w:t>ROS1</w:t>
      </w:r>
      <w:r w:rsidR="007952F6">
        <w:t xml:space="preserve"> genes (</w:t>
      </w:r>
      <w:r>
        <w:t xml:space="preserve">and possibly </w:t>
      </w:r>
      <w:r>
        <w:rPr>
          <w:i/>
        </w:rPr>
        <w:t>RET, NTRK</w:t>
      </w:r>
      <w:r>
        <w:t xml:space="preserve"> fusions)</w:t>
      </w:r>
    </w:p>
    <w:p w14:paraId="1CC58B83" w14:textId="0AA677E6" w:rsidR="007440D9" w:rsidRDefault="007440D9" w:rsidP="007440D9">
      <w:pPr>
        <w:pStyle w:val="NormalBeforeBullet"/>
        <w:spacing w:before="240"/>
      </w:pPr>
      <w:r>
        <w:t>A combined panel would be less widely available than separate panels, although it would be faster. The RNA panel is proposed to only be used if no point variants/small indels are identified from the DNA panel</w:t>
      </w:r>
      <w:r w:rsidR="007B24D8">
        <w:t xml:space="preserve"> (in </w:t>
      </w:r>
      <w:r w:rsidR="00DA37CD">
        <w:t xml:space="preserve">the </w:t>
      </w:r>
      <w:r w:rsidR="007B24D8">
        <w:t xml:space="preserve">genes </w:t>
      </w:r>
      <w:r w:rsidR="00DA37CD">
        <w:t>listed)</w:t>
      </w:r>
      <w:r>
        <w:t>.</w:t>
      </w:r>
    </w:p>
    <w:p w14:paraId="5235B7E6" w14:textId="2E295383" w:rsidR="0055419D" w:rsidRDefault="0055419D" w:rsidP="007440D9">
      <w:pPr>
        <w:pStyle w:val="NormalBeforeBullet"/>
        <w:spacing w:before="240"/>
      </w:pPr>
      <w:r>
        <w:t xml:space="preserve">Guidelines recommend that a small NGS panel for NSCLC should include </w:t>
      </w:r>
      <w:r w:rsidR="00BF544D">
        <w:t xml:space="preserve">at a minimum: </w:t>
      </w:r>
      <w:r w:rsidRPr="00F64745">
        <w:rPr>
          <w:rStyle w:val="Emphasis"/>
        </w:rPr>
        <w:t>EGFR (</w:t>
      </w:r>
      <w:r w:rsidRPr="00F64745">
        <w:t>15% of NSCLC harbour EGFR exon 19 deletions or exon 21 L858R substitutions)</w:t>
      </w:r>
      <w:r w:rsidRPr="00F64745">
        <w:rPr>
          <w:rStyle w:val="Emphasis"/>
        </w:rPr>
        <w:t xml:space="preserve">, ALK </w:t>
      </w:r>
      <w:r w:rsidRPr="00F64745">
        <w:t>(5% of NSCLC have ALK rearrangements)</w:t>
      </w:r>
      <w:r w:rsidRPr="00F64745">
        <w:rPr>
          <w:rStyle w:val="Emphasis"/>
        </w:rPr>
        <w:t>, ROS1, BRAF, MET</w:t>
      </w:r>
      <w:r w:rsidRPr="00F64745">
        <w:t xml:space="preserve"> ex 14 skipping</w:t>
      </w:r>
      <w:r w:rsidRPr="00F64745">
        <w:rPr>
          <w:rStyle w:val="Emphasis"/>
        </w:rPr>
        <w:t xml:space="preserve">, </w:t>
      </w:r>
      <w:r w:rsidRPr="00F64745">
        <w:rPr>
          <w:rStyle w:val="Emphasis"/>
          <w:i w:val="0"/>
        </w:rPr>
        <w:t xml:space="preserve">and </w:t>
      </w:r>
      <w:r w:rsidRPr="00F64745">
        <w:rPr>
          <w:rStyle w:val="Emphasis"/>
        </w:rPr>
        <w:t>RET</w:t>
      </w:r>
      <w:r w:rsidRPr="00BF544D">
        <w:rPr>
          <w:rStyle w:val="Emphasis"/>
          <w:i w:val="0"/>
        </w:rPr>
        <w:t xml:space="preserve"> in a small NGS panel</w:t>
      </w:r>
      <w:r w:rsidR="00725DE4">
        <w:rPr>
          <w:rStyle w:val="Emphasis"/>
          <w:i w:val="0"/>
        </w:rPr>
        <w:t xml:space="preserve"> </w:t>
      </w:r>
      <w:r w:rsidRPr="00F64745">
        <w:rPr>
          <w:rStyle w:val="Emphasis"/>
          <w:i w:val="0"/>
          <w:iCs w:val="0"/>
        </w:rPr>
        <w:fldChar w:fldCharType="begin">
          <w:fldData xml:space="preserve">Q2xpbmljLCBSdXRnZXJzIENhbmNlciBJbnN0aXR1dGUgb2YgTmV3IEplcnNleTwva2V5d29yZD48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</w:fldData>
        </w:fldChar>
      </w:r>
      <w:r w:rsidR="006D4612">
        <w:rPr>
          <w:rStyle w:val="Emphasis"/>
          <w:i w:val="0"/>
          <w:iCs w:val="0"/>
        </w:rPr>
        <w:instrText xml:space="preserve"> ADDIN EN.CITE </w:instrText>
      </w:r>
      <w:r w:rsidR="006D4612">
        <w:rPr>
          <w:rStyle w:val="Emphasis"/>
          <w:i w:val="0"/>
          <w:iCs w:val="0"/>
        </w:rPr>
        <w:fldChar w:fldCharType="begin">
          <w:fldData xml:space="preserve">PEVuZE5vdGU+PENpdGU+PEF1dGhvcj5FdHRpbmdlcjwvQXV0aG9yPjxZZWFyPjIwMjE8L1llYXI+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==
</w:fldData>
        </w:fldChar>
      </w:r>
      <w:r w:rsidR="006D4612">
        <w:rPr>
          <w:rStyle w:val="Emphasis"/>
          <w:i w:val="0"/>
          <w:iCs w:val="0"/>
        </w:rPr>
        <w:instrText xml:space="preserve"> ADDIN EN.CITE.DATA </w:instrText>
      </w:r>
      <w:r w:rsidR="006D4612">
        <w:rPr>
          <w:rStyle w:val="Emphasis"/>
          <w:i w:val="0"/>
          <w:iCs w:val="0"/>
        </w:rPr>
      </w:r>
      <w:r w:rsidR="006D4612">
        <w:rPr>
          <w:rStyle w:val="Emphasis"/>
          <w:i w:val="0"/>
          <w:iCs w:val="0"/>
        </w:rPr>
        <w:fldChar w:fldCharType="end"/>
      </w:r>
      <w:r w:rsidR="006D4612">
        <w:rPr>
          <w:rStyle w:val="Emphasis"/>
          <w:i w:val="0"/>
          <w:iCs w:val="0"/>
        </w:rPr>
        <w:fldChar w:fldCharType="begin">
          <w:fldData xml:space="preserve">Q2xpbmljLCBSdXRnZXJzIENhbmNlciBJbnN0aXR1dGUgb2YgTmV3IEplcnNleTwva2V5d29yZD48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</w:fldData>
        </w:fldChar>
      </w:r>
      <w:r w:rsidR="006D4612">
        <w:rPr>
          <w:rStyle w:val="Emphasis"/>
          <w:i w:val="0"/>
          <w:iCs w:val="0"/>
        </w:rPr>
        <w:instrText xml:space="preserve"> ADDIN EN.CITE.DATA </w:instrText>
      </w:r>
      <w:r w:rsidR="006D4612">
        <w:rPr>
          <w:rStyle w:val="Emphasis"/>
          <w:i w:val="0"/>
          <w:iCs w:val="0"/>
        </w:rPr>
      </w:r>
      <w:r w:rsidR="006D4612">
        <w:rPr>
          <w:rStyle w:val="Emphasis"/>
          <w:i w:val="0"/>
          <w:iCs w:val="0"/>
        </w:rPr>
        <w:fldChar w:fldCharType="end"/>
      </w:r>
      <w:r w:rsidRPr="00F64745">
        <w:rPr>
          <w:rStyle w:val="Emphasis"/>
          <w:i w:val="0"/>
          <w:iCs w:val="0"/>
        </w:rPr>
      </w:r>
      <w:r w:rsidRPr="00F64745">
        <w:rPr>
          <w:rStyle w:val="Emphasis"/>
          <w:i w:val="0"/>
          <w:iCs w:val="0"/>
        </w:rPr>
        <w:fldChar w:fldCharType="end"/>
      </w:r>
      <w:r w:rsidR="006D4612">
        <w:rPr>
          <w:rStyle w:val="Emphasis"/>
          <w:i w:val="0"/>
          <w:iCs w:val="0"/>
        </w:rPr>
        <w:t>(Ettinger et al. 2021; Lindeman et al. 2018b, 2018a; Mosele et al. 2020)</w:t>
      </w:r>
      <w:r w:rsidR="009E4277">
        <w:rPr>
          <w:rStyle w:val="Emphasis"/>
          <w:i w:val="0"/>
          <w:iCs w:val="0"/>
        </w:rPr>
        <w:t>.</w:t>
      </w:r>
    </w:p>
    <w:p w14:paraId="6D4EDD9D" w14:textId="33F530AC" w:rsidR="00FD6AD2" w:rsidRPr="00956452" w:rsidRDefault="00FD6AD2" w:rsidP="00BF544D">
      <w:r w:rsidRPr="00763FAA">
        <w:rPr>
          <w:i/>
        </w:rPr>
        <w:t xml:space="preserve">PASC noted that there may initially be capacity issues for laboratories </w:t>
      </w:r>
      <w:r w:rsidR="008543F0">
        <w:t xml:space="preserve">[to perform RNA panels or combined DNA and RNA panels] </w:t>
      </w:r>
      <w:r w:rsidRPr="00763FAA">
        <w:rPr>
          <w:i/>
        </w:rPr>
        <w:t>potentially requiring samples to be referred</w:t>
      </w:r>
      <w:r w:rsidR="008543F0">
        <w:rPr>
          <w:i/>
        </w:rPr>
        <w:t xml:space="preserve"> </w:t>
      </w:r>
      <w:r w:rsidR="008543F0">
        <w:t xml:space="preserve">[to a central </w:t>
      </w:r>
      <w:r w:rsidR="008543F0">
        <w:lastRenderedPageBreak/>
        <w:t>laboratory for RNA testing]</w:t>
      </w:r>
      <w:r w:rsidRPr="00763FAA">
        <w:rPr>
          <w:i/>
        </w:rPr>
        <w:t>, but laboratory capacity will expand naturally with market forces over the next couple of years.</w:t>
      </w:r>
      <w:r>
        <w:rPr>
          <w:i/>
        </w:rPr>
        <w:t xml:space="preserve"> (Ratified PICO confirmation, application 1634, p8).</w:t>
      </w:r>
      <w:r w:rsidR="007B24D8">
        <w:t>.</w:t>
      </w:r>
    </w:p>
    <w:p w14:paraId="0FEA4DCA" w14:textId="6058F5CC" w:rsidR="008A754B" w:rsidRPr="00BF544D" w:rsidRDefault="008A754B" w:rsidP="00BF544D">
      <w:pPr>
        <w:rPr>
          <w:i/>
        </w:rPr>
      </w:pPr>
      <w:r w:rsidRPr="00632D03">
        <w:rPr>
          <w:i/>
        </w:rPr>
        <w:t xml:space="preserve">PASC noted that the applicant foreshadowed that additional biomarkers to be reported on in the near future </w:t>
      </w:r>
      <w:r>
        <w:rPr>
          <w:i/>
        </w:rPr>
        <w:t xml:space="preserve">under the requested MBS item </w:t>
      </w:r>
      <w:r w:rsidRPr="00632D03">
        <w:rPr>
          <w:i/>
        </w:rPr>
        <w:t>could include MET exon 14 skipping alterations, and NTRK1, NTRK2, NTRK3 and KRAS G12C variants. PASC advised that, for test reporting purposes, the evidentiary standard tests in the trials of the related medicines should be used to identify the s</w:t>
      </w:r>
      <w:r w:rsidR="0049689F">
        <w:rPr>
          <w:i/>
        </w:rPr>
        <w:t>pecific biomarkers in each case (Ratified PICO confirmation, application 1634, p7).</w:t>
      </w:r>
    </w:p>
    <w:p w14:paraId="04E8FB06" w14:textId="2480406B" w:rsidR="008A754B" w:rsidRDefault="008A754B" w:rsidP="008A754B">
      <w:pPr>
        <w:pStyle w:val="Caption"/>
      </w:pPr>
      <w:r>
        <w:t xml:space="preserve">Table </w:t>
      </w:r>
      <w:fldSimple w:instr=" SEQ Table \* ARABIC ">
        <w:r w:rsidR="00C857F3">
          <w:rPr>
            <w:noProof/>
          </w:rPr>
          <w:t>18</w:t>
        </w:r>
      </w:fldSimple>
      <w:r>
        <w:tab/>
        <w:t>List of biomarker-specific therapies currently available through the PBS</w:t>
      </w:r>
    </w:p>
    <w:tbl>
      <w:tblPr>
        <w:tblStyle w:val="TableGrid"/>
        <w:tblW w:w="5000" w:type="pct"/>
        <w:tblLook w:val="04A0" w:firstRow="1" w:lastRow="0" w:firstColumn="1" w:lastColumn="0" w:noHBand="0" w:noVBand="1"/>
        <w:tblCaption w:val="List of biomarker-specific therapies currently available through the PBS"/>
        <w:tblDescription w:val="list of targeted therapies and their biomarkers"/>
      </w:tblPr>
      <w:tblGrid>
        <w:gridCol w:w="1292"/>
        <w:gridCol w:w="2016"/>
        <w:gridCol w:w="1142"/>
        <w:gridCol w:w="1575"/>
        <w:gridCol w:w="1751"/>
        <w:gridCol w:w="1240"/>
      </w:tblGrid>
      <w:tr w:rsidR="00AF6EE4" w:rsidRPr="000F5EB0" w14:paraId="445DF462" w14:textId="77777777" w:rsidTr="00956452">
        <w:trPr>
          <w:tblHeader/>
        </w:trPr>
        <w:tc>
          <w:tcPr>
            <w:tcW w:w="548" w:type="pct"/>
          </w:tcPr>
          <w:p w14:paraId="78F2BBFD" w14:textId="77777777" w:rsidR="00AF6EE4" w:rsidRPr="000F5EB0" w:rsidRDefault="00AF6EE4" w:rsidP="00AF6EE4">
            <w:pPr>
              <w:pStyle w:val="TableHeading"/>
            </w:pPr>
            <w:r w:rsidRPr="000F5EB0">
              <w:t>Biomarker</w:t>
            </w:r>
          </w:p>
        </w:tc>
        <w:tc>
          <w:tcPr>
            <w:tcW w:w="1152" w:type="pct"/>
          </w:tcPr>
          <w:p w14:paraId="68E73708" w14:textId="1DE6654A" w:rsidR="00AF6EE4" w:rsidRDefault="00AF6EE4" w:rsidP="00AF6EE4">
            <w:pPr>
              <w:pStyle w:val="TableHeading"/>
            </w:pPr>
            <w:r>
              <w:t>Population criteria in PBS restrictions</w:t>
            </w:r>
          </w:p>
        </w:tc>
        <w:tc>
          <w:tcPr>
            <w:tcW w:w="667" w:type="pct"/>
          </w:tcPr>
          <w:p w14:paraId="0B5A325D" w14:textId="7BE059F0" w:rsidR="00AF6EE4" w:rsidRPr="000F5EB0" w:rsidRDefault="00AF6EE4" w:rsidP="00AF6EE4">
            <w:pPr>
              <w:pStyle w:val="TableHeading"/>
            </w:pPr>
            <w:r>
              <w:t>Clinical utility standard</w:t>
            </w:r>
          </w:p>
        </w:tc>
        <w:tc>
          <w:tcPr>
            <w:tcW w:w="907" w:type="pct"/>
          </w:tcPr>
          <w:p w14:paraId="1322DC90" w14:textId="33D4F225" w:rsidR="00AF6EE4" w:rsidRPr="000F5EB0" w:rsidRDefault="00AF6EE4" w:rsidP="00AF6EE4">
            <w:pPr>
              <w:pStyle w:val="TableHeading"/>
            </w:pPr>
            <w:r w:rsidRPr="000F5EB0">
              <w:t>PBS therapy</w:t>
            </w:r>
          </w:p>
        </w:tc>
        <w:tc>
          <w:tcPr>
            <w:tcW w:w="1005" w:type="pct"/>
          </w:tcPr>
          <w:p w14:paraId="3B743955" w14:textId="77777777" w:rsidR="00AF6EE4" w:rsidRPr="000F5EB0" w:rsidRDefault="00AF6EE4" w:rsidP="00AF6EE4">
            <w:pPr>
              <w:pStyle w:val="TableHeading"/>
            </w:pPr>
            <w:r w:rsidRPr="000F5EB0">
              <w:t>PBS code(s)</w:t>
            </w:r>
          </w:p>
        </w:tc>
        <w:tc>
          <w:tcPr>
            <w:tcW w:w="721" w:type="pct"/>
          </w:tcPr>
          <w:p w14:paraId="74C8547B" w14:textId="4A4E15FB" w:rsidR="00AF6EE4" w:rsidRPr="000F5EB0" w:rsidRDefault="00AF6EE4" w:rsidP="00AF6EE4">
            <w:pPr>
              <w:pStyle w:val="TableHeading"/>
            </w:pPr>
            <w:r w:rsidRPr="000F5EB0">
              <w:t>Sponsor</w:t>
            </w:r>
          </w:p>
        </w:tc>
      </w:tr>
      <w:tr w:rsidR="00AF6EE4" w:rsidRPr="000F5EB0" w14:paraId="0E9C96A8" w14:textId="77777777" w:rsidTr="00956452">
        <w:tc>
          <w:tcPr>
            <w:tcW w:w="548" w:type="pct"/>
            <w:vMerge w:val="restart"/>
            <w:vAlign w:val="center"/>
          </w:tcPr>
          <w:p w14:paraId="63753DA0" w14:textId="0DDB03EB" w:rsidR="00AF6EE4" w:rsidRPr="00691192" w:rsidRDefault="00AF6EE4" w:rsidP="00AF6EE4">
            <w:pPr>
              <w:pStyle w:val="TableText"/>
            </w:pPr>
            <w:r w:rsidRPr="00500ECD">
              <w:rPr>
                <w:i/>
              </w:rPr>
              <w:t>EGFR</w:t>
            </w:r>
            <w:r>
              <w:t xml:space="preserve"> </w:t>
            </w:r>
            <w:r w:rsidRPr="00691192">
              <w:t xml:space="preserve">activating </w:t>
            </w:r>
            <w:r>
              <w:t xml:space="preserve">variant </w:t>
            </w:r>
          </w:p>
        </w:tc>
        <w:tc>
          <w:tcPr>
            <w:tcW w:w="1152" w:type="pct"/>
            <w:vMerge w:val="restart"/>
          </w:tcPr>
          <w:p w14:paraId="2513384B" w14:textId="3C14155D" w:rsidR="00AF6EE4" w:rsidRDefault="00AF6EE4" w:rsidP="00AF6EE4">
            <w:pPr>
              <w:pStyle w:val="TableText"/>
              <w:rPr>
                <w:i/>
              </w:rPr>
            </w:pPr>
            <w:r>
              <w:t xml:space="preserve">Patient must have evidence of an activating </w:t>
            </w:r>
            <w:r>
              <w:rPr>
                <w:i/>
              </w:rPr>
              <w:t>EGFR</w:t>
            </w:r>
            <w:r>
              <w:t xml:space="preserve"> gene mutation known to confer sensitivity to treatment with </w:t>
            </w:r>
            <w:r>
              <w:rPr>
                <w:i/>
              </w:rPr>
              <w:t xml:space="preserve">EGFR </w:t>
            </w:r>
            <w:r>
              <w:t>TKIs in tumour material</w:t>
            </w:r>
          </w:p>
        </w:tc>
        <w:tc>
          <w:tcPr>
            <w:tcW w:w="667" w:type="pct"/>
            <w:vMerge w:val="restart"/>
          </w:tcPr>
          <w:p w14:paraId="6FDA55F9" w14:textId="09372F03" w:rsidR="00AF6EE4" w:rsidRPr="002E6705" w:rsidRDefault="00AF6EE4" w:rsidP="00AF6EE4">
            <w:pPr>
              <w:pStyle w:val="TableText"/>
            </w:pPr>
            <w:r>
              <w:rPr>
                <w:i/>
              </w:rPr>
              <w:t xml:space="preserve">EGFR </w:t>
            </w:r>
            <w:r>
              <w:t>cobas® real time PCR test</w:t>
            </w:r>
          </w:p>
          <w:p w14:paraId="34D14A9C" w14:textId="77777777" w:rsidR="00AF6EE4" w:rsidRPr="000F5EB0" w:rsidRDefault="00AF6EE4" w:rsidP="00AF6EE4">
            <w:pPr>
              <w:pStyle w:val="Tabletext0"/>
              <w:jc w:val="left"/>
            </w:pPr>
          </w:p>
        </w:tc>
        <w:tc>
          <w:tcPr>
            <w:tcW w:w="907" w:type="pct"/>
          </w:tcPr>
          <w:p w14:paraId="23C9FDCA" w14:textId="1E4AC0C0" w:rsidR="00AF6EE4" w:rsidRPr="000F5EB0" w:rsidRDefault="00AF6EE4" w:rsidP="00AF6EE4">
            <w:pPr>
              <w:pStyle w:val="TableText"/>
            </w:pPr>
            <w:r w:rsidRPr="000F5EB0">
              <w:t>Erlotinib</w:t>
            </w:r>
          </w:p>
        </w:tc>
        <w:tc>
          <w:tcPr>
            <w:tcW w:w="1005" w:type="pct"/>
          </w:tcPr>
          <w:p w14:paraId="1719FFFC" w14:textId="77777777" w:rsidR="00AF6EE4" w:rsidRPr="000F5EB0" w:rsidRDefault="00AF6EE4" w:rsidP="00AF6EE4">
            <w:pPr>
              <w:pStyle w:val="TableText"/>
            </w:pPr>
            <w:r w:rsidRPr="000F5EB0">
              <w:t>10014C; 10019H; 10020J; 10025P; 10028T; 11259N; 11260P; 11263T</w:t>
            </w:r>
          </w:p>
        </w:tc>
        <w:tc>
          <w:tcPr>
            <w:tcW w:w="721" w:type="pct"/>
          </w:tcPr>
          <w:p w14:paraId="5B7E129A" w14:textId="246612A0" w:rsidR="00AF6EE4" w:rsidRPr="000F5EB0" w:rsidRDefault="00AF6EE4" w:rsidP="00AF6EE4">
            <w:pPr>
              <w:pStyle w:val="TableText"/>
            </w:pPr>
            <w:r w:rsidRPr="000F5EB0">
              <w:t>Roche</w:t>
            </w:r>
          </w:p>
        </w:tc>
      </w:tr>
      <w:tr w:rsidR="00AF6EE4" w:rsidRPr="000F5EB0" w14:paraId="4460238A" w14:textId="77777777" w:rsidTr="00956452">
        <w:tc>
          <w:tcPr>
            <w:tcW w:w="548" w:type="pct"/>
            <w:vMerge/>
          </w:tcPr>
          <w:p w14:paraId="284C7669" w14:textId="77777777" w:rsidR="00AF6EE4" w:rsidRPr="000F5EB0" w:rsidRDefault="00AF6EE4" w:rsidP="00AF6EE4">
            <w:pPr>
              <w:pStyle w:val="Tabletext0"/>
              <w:jc w:val="left"/>
            </w:pPr>
          </w:p>
        </w:tc>
        <w:tc>
          <w:tcPr>
            <w:tcW w:w="1152" w:type="pct"/>
            <w:vMerge/>
          </w:tcPr>
          <w:p w14:paraId="18EEC495" w14:textId="77777777" w:rsidR="00AF6EE4" w:rsidRPr="000F5EB0" w:rsidRDefault="00AF6EE4" w:rsidP="00AF6EE4">
            <w:pPr>
              <w:pStyle w:val="Tabletext0"/>
              <w:jc w:val="left"/>
            </w:pPr>
          </w:p>
        </w:tc>
        <w:tc>
          <w:tcPr>
            <w:tcW w:w="667" w:type="pct"/>
            <w:vMerge/>
          </w:tcPr>
          <w:p w14:paraId="0970440D" w14:textId="6D63638B" w:rsidR="00AF6EE4" w:rsidRPr="000F5EB0" w:rsidRDefault="00AF6EE4" w:rsidP="00AF6EE4">
            <w:pPr>
              <w:pStyle w:val="Tabletext0"/>
              <w:jc w:val="left"/>
            </w:pPr>
          </w:p>
        </w:tc>
        <w:tc>
          <w:tcPr>
            <w:tcW w:w="907" w:type="pct"/>
          </w:tcPr>
          <w:p w14:paraId="186769A5" w14:textId="5C2819BD" w:rsidR="00AF6EE4" w:rsidRPr="000F5EB0" w:rsidRDefault="00AF6EE4" w:rsidP="00AF6EE4">
            <w:pPr>
              <w:pStyle w:val="TableText"/>
            </w:pPr>
            <w:r w:rsidRPr="000F5EB0">
              <w:t>Gefitinib</w:t>
            </w:r>
          </w:p>
        </w:tc>
        <w:tc>
          <w:tcPr>
            <w:tcW w:w="1005" w:type="pct"/>
          </w:tcPr>
          <w:p w14:paraId="524CAE11" w14:textId="77777777" w:rsidR="00AF6EE4" w:rsidRPr="000F5EB0" w:rsidRDefault="00AF6EE4" w:rsidP="00AF6EE4">
            <w:pPr>
              <w:pStyle w:val="TableText"/>
            </w:pPr>
            <w:r w:rsidRPr="000F5EB0">
              <w:t>11264W; 8769M</w:t>
            </w:r>
          </w:p>
        </w:tc>
        <w:tc>
          <w:tcPr>
            <w:tcW w:w="721" w:type="pct"/>
          </w:tcPr>
          <w:p w14:paraId="62BE94D2" w14:textId="4AA9318B" w:rsidR="00AF6EE4" w:rsidRPr="000F5EB0" w:rsidRDefault="00AF6EE4" w:rsidP="00AF6EE4">
            <w:pPr>
              <w:pStyle w:val="TableText"/>
            </w:pPr>
            <w:r w:rsidRPr="000F5EB0">
              <w:t>Astra Zeneca</w:t>
            </w:r>
          </w:p>
        </w:tc>
      </w:tr>
      <w:tr w:rsidR="00AF6EE4" w:rsidRPr="000F5EB0" w14:paraId="457F75CF" w14:textId="77777777" w:rsidTr="00956452">
        <w:tc>
          <w:tcPr>
            <w:tcW w:w="548" w:type="pct"/>
            <w:vMerge/>
          </w:tcPr>
          <w:p w14:paraId="37404A83" w14:textId="77777777" w:rsidR="00AF6EE4" w:rsidRPr="000F5EB0" w:rsidRDefault="00AF6EE4" w:rsidP="00AF6EE4">
            <w:pPr>
              <w:pStyle w:val="Tabletext0"/>
              <w:jc w:val="left"/>
            </w:pPr>
          </w:p>
        </w:tc>
        <w:tc>
          <w:tcPr>
            <w:tcW w:w="1152" w:type="pct"/>
            <w:vMerge/>
          </w:tcPr>
          <w:p w14:paraId="432157CE" w14:textId="77777777" w:rsidR="00AF6EE4" w:rsidRPr="000F5EB0" w:rsidRDefault="00AF6EE4" w:rsidP="00AF6EE4">
            <w:pPr>
              <w:pStyle w:val="Tabletext0"/>
              <w:jc w:val="left"/>
            </w:pPr>
          </w:p>
        </w:tc>
        <w:tc>
          <w:tcPr>
            <w:tcW w:w="667" w:type="pct"/>
            <w:vMerge/>
          </w:tcPr>
          <w:p w14:paraId="232D8AA9" w14:textId="1AF84FFD" w:rsidR="00AF6EE4" w:rsidRPr="000F5EB0" w:rsidRDefault="00AF6EE4" w:rsidP="00AF6EE4">
            <w:pPr>
              <w:pStyle w:val="Tabletext0"/>
              <w:jc w:val="left"/>
            </w:pPr>
          </w:p>
        </w:tc>
        <w:tc>
          <w:tcPr>
            <w:tcW w:w="907" w:type="pct"/>
          </w:tcPr>
          <w:p w14:paraId="38775437" w14:textId="32EF58C7" w:rsidR="00AF6EE4" w:rsidRPr="000F5EB0" w:rsidRDefault="00AF6EE4" w:rsidP="00AF6EE4">
            <w:pPr>
              <w:pStyle w:val="TableText"/>
            </w:pPr>
            <w:r w:rsidRPr="000F5EB0">
              <w:t>Afatinib</w:t>
            </w:r>
          </w:p>
        </w:tc>
        <w:tc>
          <w:tcPr>
            <w:tcW w:w="1005" w:type="pct"/>
          </w:tcPr>
          <w:p w14:paraId="54E6868A" w14:textId="77777777" w:rsidR="00AF6EE4" w:rsidRPr="000F5EB0" w:rsidRDefault="00AF6EE4" w:rsidP="00AF6EE4">
            <w:pPr>
              <w:pStyle w:val="TableText"/>
            </w:pPr>
            <w:r w:rsidRPr="000F5EB0">
              <w:t>11329G; 11335N; 11336P; 11341X; 113147F; 11348G; 11359W</w:t>
            </w:r>
          </w:p>
        </w:tc>
        <w:tc>
          <w:tcPr>
            <w:tcW w:w="721" w:type="pct"/>
          </w:tcPr>
          <w:p w14:paraId="2AC43DB1" w14:textId="0C8D6B29" w:rsidR="00AF6EE4" w:rsidRPr="000F5EB0" w:rsidRDefault="00AF6EE4" w:rsidP="00AF6EE4">
            <w:pPr>
              <w:pStyle w:val="TableText"/>
            </w:pPr>
            <w:r w:rsidRPr="000F5EB0">
              <w:t>Boehringer Ingelheim</w:t>
            </w:r>
          </w:p>
        </w:tc>
      </w:tr>
      <w:tr w:rsidR="00AF6EE4" w:rsidRPr="000F5EB0" w14:paraId="4092AD36" w14:textId="77777777" w:rsidTr="00956452">
        <w:tc>
          <w:tcPr>
            <w:tcW w:w="548" w:type="pct"/>
            <w:vMerge/>
          </w:tcPr>
          <w:p w14:paraId="45D75D1E" w14:textId="77777777" w:rsidR="00AF6EE4" w:rsidRPr="000F5EB0" w:rsidRDefault="00AF6EE4" w:rsidP="00AF6EE4">
            <w:pPr>
              <w:pStyle w:val="Tabletext0"/>
              <w:jc w:val="left"/>
            </w:pPr>
          </w:p>
        </w:tc>
        <w:tc>
          <w:tcPr>
            <w:tcW w:w="1152" w:type="pct"/>
            <w:vMerge/>
          </w:tcPr>
          <w:p w14:paraId="316DB4C8" w14:textId="77777777" w:rsidR="00AF6EE4" w:rsidRDefault="00AF6EE4" w:rsidP="00AF6EE4">
            <w:pPr>
              <w:pStyle w:val="Tabletext0"/>
              <w:jc w:val="left"/>
            </w:pPr>
          </w:p>
        </w:tc>
        <w:tc>
          <w:tcPr>
            <w:tcW w:w="667" w:type="pct"/>
            <w:vMerge/>
          </w:tcPr>
          <w:p w14:paraId="50B0E2BE" w14:textId="71324AD5" w:rsidR="00AF6EE4" w:rsidRDefault="00AF6EE4" w:rsidP="00AF6EE4">
            <w:pPr>
              <w:pStyle w:val="Tabletext0"/>
              <w:jc w:val="left"/>
            </w:pPr>
          </w:p>
        </w:tc>
        <w:tc>
          <w:tcPr>
            <w:tcW w:w="907" w:type="pct"/>
          </w:tcPr>
          <w:p w14:paraId="721C1658" w14:textId="252D29FF" w:rsidR="00AF6EE4" w:rsidRPr="000F5EB0" w:rsidRDefault="00AF6EE4" w:rsidP="00AF6EE4">
            <w:pPr>
              <w:pStyle w:val="TableText"/>
            </w:pPr>
            <w:r>
              <w:t>Osimertinib (first-line)</w:t>
            </w:r>
          </w:p>
        </w:tc>
        <w:tc>
          <w:tcPr>
            <w:tcW w:w="1005" w:type="pct"/>
          </w:tcPr>
          <w:p w14:paraId="3A9234FD" w14:textId="4126D942" w:rsidR="00AF6EE4" w:rsidRPr="000F5EB0" w:rsidRDefault="00AF6EE4" w:rsidP="00AF6EE4">
            <w:pPr>
              <w:pStyle w:val="TableText"/>
            </w:pPr>
            <w:r>
              <w:t>12232T</w:t>
            </w:r>
          </w:p>
        </w:tc>
        <w:tc>
          <w:tcPr>
            <w:tcW w:w="721" w:type="pct"/>
          </w:tcPr>
          <w:p w14:paraId="1607B40A" w14:textId="551148ED" w:rsidR="00AF6EE4" w:rsidRPr="000F5EB0" w:rsidRDefault="00AF6EE4" w:rsidP="00AF6EE4">
            <w:pPr>
              <w:pStyle w:val="TableText"/>
            </w:pPr>
            <w:r>
              <w:t>Astra Zeneca</w:t>
            </w:r>
          </w:p>
        </w:tc>
      </w:tr>
      <w:tr w:rsidR="00AF6EE4" w:rsidRPr="000F5EB0" w14:paraId="0AE98355" w14:textId="77777777" w:rsidTr="00956452">
        <w:tc>
          <w:tcPr>
            <w:tcW w:w="548" w:type="pct"/>
          </w:tcPr>
          <w:p w14:paraId="560BD8B1" w14:textId="407B919E" w:rsidR="00AF6EE4" w:rsidRPr="000F5EB0" w:rsidRDefault="00AF6EE4" w:rsidP="00AF6EE4">
            <w:pPr>
              <w:pStyle w:val="TableText"/>
            </w:pPr>
            <w:r w:rsidRPr="00500ECD">
              <w:rPr>
                <w:i/>
              </w:rPr>
              <w:t>EGFR</w:t>
            </w:r>
            <w:r>
              <w:t xml:space="preserve"> T790M variant positive after prior </w:t>
            </w:r>
            <w:r w:rsidRPr="00956452">
              <w:rPr>
                <w:i/>
                <w:iCs/>
              </w:rPr>
              <w:t>EGFR</w:t>
            </w:r>
            <w:r>
              <w:t xml:space="preserve"> targeted treatment</w:t>
            </w:r>
          </w:p>
        </w:tc>
        <w:tc>
          <w:tcPr>
            <w:tcW w:w="1152" w:type="pct"/>
          </w:tcPr>
          <w:p w14:paraId="6BF20E0D" w14:textId="3AEC8508" w:rsidR="00AF6EE4" w:rsidRDefault="00E14978" w:rsidP="00AF6EE4">
            <w:pPr>
              <w:pStyle w:val="Tabletext0"/>
              <w:jc w:val="left"/>
            </w:pPr>
            <w:r>
              <w:t>NA</w:t>
            </w:r>
          </w:p>
        </w:tc>
        <w:tc>
          <w:tcPr>
            <w:tcW w:w="667" w:type="pct"/>
          </w:tcPr>
          <w:p w14:paraId="2D42F300" w14:textId="58BD299B" w:rsidR="00AF6EE4" w:rsidRDefault="00AF6EE4" w:rsidP="00AF6EE4">
            <w:pPr>
              <w:pStyle w:val="Tabletext0"/>
              <w:jc w:val="left"/>
            </w:pPr>
          </w:p>
        </w:tc>
        <w:tc>
          <w:tcPr>
            <w:tcW w:w="907" w:type="pct"/>
          </w:tcPr>
          <w:p w14:paraId="1F84E39B" w14:textId="2CF77B53" w:rsidR="00AF6EE4" w:rsidRPr="000F5EB0" w:rsidRDefault="00AF6EE4" w:rsidP="00AF6EE4">
            <w:pPr>
              <w:pStyle w:val="TableText"/>
            </w:pPr>
            <w:r>
              <w:t>Osimertinib (second-line)</w:t>
            </w:r>
          </w:p>
        </w:tc>
        <w:tc>
          <w:tcPr>
            <w:tcW w:w="1005" w:type="pct"/>
          </w:tcPr>
          <w:p w14:paraId="481C7AF7" w14:textId="3ED4DE42" w:rsidR="00AF6EE4" w:rsidRPr="000F5EB0" w:rsidRDefault="00AF6EE4" w:rsidP="00AF6EE4">
            <w:pPr>
              <w:pStyle w:val="TableText"/>
            </w:pPr>
            <w:r>
              <w:t>11622Q</w:t>
            </w:r>
          </w:p>
        </w:tc>
        <w:tc>
          <w:tcPr>
            <w:tcW w:w="721" w:type="pct"/>
          </w:tcPr>
          <w:p w14:paraId="07A61E6A" w14:textId="6CFCA8DC" w:rsidR="00AF6EE4" w:rsidRPr="000F5EB0" w:rsidRDefault="00AF6EE4" w:rsidP="00AF6EE4">
            <w:pPr>
              <w:pStyle w:val="TableText"/>
            </w:pPr>
            <w:r w:rsidRPr="000F5EB0">
              <w:t>Astra Zeneca</w:t>
            </w:r>
          </w:p>
        </w:tc>
      </w:tr>
      <w:tr w:rsidR="00AF6EE4" w:rsidRPr="000F5EB0" w14:paraId="670429DF" w14:textId="77777777" w:rsidTr="00956452">
        <w:tc>
          <w:tcPr>
            <w:tcW w:w="548" w:type="pct"/>
            <w:vMerge w:val="restart"/>
            <w:vAlign w:val="center"/>
          </w:tcPr>
          <w:p w14:paraId="3B5FF78C" w14:textId="65C9452F" w:rsidR="00AF6EE4" w:rsidRPr="00691192" w:rsidRDefault="00AF6EE4" w:rsidP="00AF6EE4">
            <w:pPr>
              <w:pStyle w:val="TableText"/>
            </w:pPr>
            <w:r w:rsidRPr="00691192">
              <w:rPr>
                <w:i/>
              </w:rPr>
              <w:t>ALK</w:t>
            </w:r>
            <w:r w:rsidRPr="00691192">
              <w:t xml:space="preserve"> gene rearrangement </w:t>
            </w:r>
          </w:p>
        </w:tc>
        <w:tc>
          <w:tcPr>
            <w:tcW w:w="1152" w:type="pct"/>
            <w:vMerge w:val="restart"/>
          </w:tcPr>
          <w:p w14:paraId="0BD9A149" w14:textId="13F2D01A" w:rsidR="00AF6EE4" w:rsidRPr="00956452" w:rsidRDefault="00AF6EE4" w:rsidP="00AF6EE4">
            <w:pPr>
              <w:pStyle w:val="Tabletext0"/>
              <w:jc w:val="left"/>
            </w:pPr>
            <w:r>
              <w:t xml:space="preserve">Patient must have evidence of an </w:t>
            </w:r>
            <w:r>
              <w:rPr>
                <w:i/>
              </w:rPr>
              <w:t>ALK</w:t>
            </w:r>
            <w:r>
              <w:t xml:space="preserve"> gene rearrangement in tumour material, defined as ≥15% positive cells by FISH testing</w:t>
            </w:r>
          </w:p>
        </w:tc>
        <w:tc>
          <w:tcPr>
            <w:tcW w:w="667" w:type="pct"/>
            <w:vMerge w:val="restart"/>
          </w:tcPr>
          <w:p w14:paraId="16BE7B0E" w14:textId="4011F465" w:rsidR="00AF6EE4" w:rsidRPr="000F5EB0" w:rsidRDefault="00AF6EE4" w:rsidP="00AF6EE4">
            <w:pPr>
              <w:pStyle w:val="Tabletext0"/>
              <w:jc w:val="left"/>
            </w:pPr>
            <w:r>
              <w:rPr>
                <w:i/>
              </w:rPr>
              <w:t xml:space="preserve">ALK </w:t>
            </w:r>
            <w:r>
              <w:t>FISH</w:t>
            </w:r>
          </w:p>
        </w:tc>
        <w:tc>
          <w:tcPr>
            <w:tcW w:w="907" w:type="pct"/>
          </w:tcPr>
          <w:p w14:paraId="6BA87B04" w14:textId="7C71044A" w:rsidR="00AF6EE4" w:rsidRPr="000F5EB0" w:rsidRDefault="00AF6EE4" w:rsidP="00AF6EE4">
            <w:pPr>
              <w:pStyle w:val="TableText"/>
            </w:pPr>
            <w:r w:rsidRPr="000F5EB0">
              <w:t>Crizotinib</w:t>
            </w:r>
          </w:p>
        </w:tc>
        <w:tc>
          <w:tcPr>
            <w:tcW w:w="1005" w:type="pct"/>
          </w:tcPr>
          <w:p w14:paraId="39843B65" w14:textId="77777777" w:rsidR="00AF6EE4" w:rsidRPr="000F5EB0" w:rsidRDefault="00AF6EE4" w:rsidP="00AF6EE4">
            <w:pPr>
              <w:pStyle w:val="TableText"/>
            </w:pPr>
            <w:r w:rsidRPr="000F5EB0">
              <w:t>10322G; 10323H</w:t>
            </w:r>
          </w:p>
        </w:tc>
        <w:tc>
          <w:tcPr>
            <w:tcW w:w="721" w:type="pct"/>
          </w:tcPr>
          <w:p w14:paraId="20E75DBF" w14:textId="3CD201D8" w:rsidR="00AF6EE4" w:rsidRPr="000F5EB0" w:rsidRDefault="00AF6EE4" w:rsidP="00AF6EE4">
            <w:pPr>
              <w:pStyle w:val="TableText"/>
            </w:pPr>
            <w:r w:rsidRPr="000F5EB0">
              <w:t>Pfizer</w:t>
            </w:r>
          </w:p>
        </w:tc>
      </w:tr>
      <w:tr w:rsidR="00AF6EE4" w:rsidRPr="000F5EB0" w14:paraId="3088EC1C" w14:textId="77777777" w:rsidTr="00956452">
        <w:tc>
          <w:tcPr>
            <w:tcW w:w="548" w:type="pct"/>
            <w:vMerge/>
          </w:tcPr>
          <w:p w14:paraId="25C746C6" w14:textId="77777777" w:rsidR="00AF6EE4" w:rsidRPr="00691192" w:rsidRDefault="00AF6EE4" w:rsidP="00AF6EE4">
            <w:pPr>
              <w:pStyle w:val="Tabletext0"/>
              <w:jc w:val="left"/>
            </w:pPr>
          </w:p>
        </w:tc>
        <w:tc>
          <w:tcPr>
            <w:tcW w:w="1152" w:type="pct"/>
            <w:vMerge/>
          </w:tcPr>
          <w:p w14:paraId="0B702291" w14:textId="77777777" w:rsidR="00AF6EE4" w:rsidRPr="000F5EB0" w:rsidRDefault="00AF6EE4" w:rsidP="00AF6EE4">
            <w:pPr>
              <w:pStyle w:val="Tabletext0"/>
              <w:jc w:val="left"/>
            </w:pPr>
          </w:p>
        </w:tc>
        <w:tc>
          <w:tcPr>
            <w:tcW w:w="667" w:type="pct"/>
            <w:vMerge/>
          </w:tcPr>
          <w:p w14:paraId="62AF5A6A" w14:textId="370D11C9" w:rsidR="00AF6EE4" w:rsidRPr="000F5EB0" w:rsidRDefault="00AF6EE4" w:rsidP="00AF6EE4">
            <w:pPr>
              <w:pStyle w:val="Tabletext0"/>
              <w:jc w:val="left"/>
            </w:pPr>
          </w:p>
        </w:tc>
        <w:tc>
          <w:tcPr>
            <w:tcW w:w="907" w:type="pct"/>
          </w:tcPr>
          <w:p w14:paraId="68F2EFF2" w14:textId="2483786B" w:rsidR="00AF6EE4" w:rsidRPr="000F5EB0" w:rsidRDefault="00AF6EE4" w:rsidP="00AF6EE4">
            <w:pPr>
              <w:pStyle w:val="TableText"/>
            </w:pPr>
            <w:r w:rsidRPr="000F5EB0">
              <w:t>Ceritinib</w:t>
            </w:r>
          </w:p>
        </w:tc>
        <w:tc>
          <w:tcPr>
            <w:tcW w:w="1005" w:type="pct"/>
          </w:tcPr>
          <w:p w14:paraId="4AEC04D5" w14:textId="77777777" w:rsidR="00AF6EE4" w:rsidRPr="000F5EB0" w:rsidRDefault="00AF6EE4" w:rsidP="00AF6EE4">
            <w:pPr>
              <w:pStyle w:val="TableText"/>
            </w:pPr>
            <w:r w:rsidRPr="000F5EB0">
              <w:t>11056X</w:t>
            </w:r>
          </w:p>
        </w:tc>
        <w:tc>
          <w:tcPr>
            <w:tcW w:w="721" w:type="pct"/>
          </w:tcPr>
          <w:p w14:paraId="5B824B20" w14:textId="385F4CF0" w:rsidR="00AF6EE4" w:rsidRPr="000F5EB0" w:rsidRDefault="00AF6EE4" w:rsidP="00AF6EE4">
            <w:pPr>
              <w:pStyle w:val="TableText"/>
            </w:pPr>
            <w:r w:rsidRPr="000F5EB0">
              <w:t>Novartis</w:t>
            </w:r>
          </w:p>
        </w:tc>
      </w:tr>
      <w:tr w:rsidR="00AF6EE4" w:rsidRPr="000F5EB0" w14:paraId="2C7F83B5" w14:textId="77777777" w:rsidTr="00956452">
        <w:tc>
          <w:tcPr>
            <w:tcW w:w="548" w:type="pct"/>
            <w:vMerge/>
          </w:tcPr>
          <w:p w14:paraId="0FD6ADB7" w14:textId="77777777" w:rsidR="00AF6EE4" w:rsidRPr="00691192" w:rsidRDefault="00AF6EE4" w:rsidP="00AF6EE4">
            <w:pPr>
              <w:pStyle w:val="Tabletext0"/>
              <w:jc w:val="left"/>
            </w:pPr>
          </w:p>
        </w:tc>
        <w:tc>
          <w:tcPr>
            <w:tcW w:w="1152" w:type="pct"/>
            <w:vMerge/>
          </w:tcPr>
          <w:p w14:paraId="33DF7F6C" w14:textId="77777777" w:rsidR="00AF6EE4" w:rsidRPr="000F5EB0" w:rsidRDefault="00AF6EE4" w:rsidP="00AF6EE4">
            <w:pPr>
              <w:pStyle w:val="Tabletext0"/>
              <w:jc w:val="left"/>
            </w:pPr>
          </w:p>
        </w:tc>
        <w:tc>
          <w:tcPr>
            <w:tcW w:w="667" w:type="pct"/>
            <w:vMerge/>
          </w:tcPr>
          <w:p w14:paraId="5271FCE5" w14:textId="67EAC048" w:rsidR="00AF6EE4" w:rsidRPr="000F5EB0" w:rsidRDefault="00AF6EE4" w:rsidP="00AF6EE4">
            <w:pPr>
              <w:pStyle w:val="Tabletext0"/>
              <w:jc w:val="left"/>
            </w:pPr>
          </w:p>
        </w:tc>
        <w:tc>
          <w:tcPr>
            <w:tcW w:w="907" w:type="pct"/>
          </w:tcPr>
          <w:p w14:paraId="39D2FA28" w14:textId="7C2C8186" w:rsidR="00AF6EE4" w:rsidRPr="000F5EB0" w:rsidRDefault="00AF6EE4" w:rsidP="00AF6EE4">
            <w:pPr>
              <w:pStyle w:val="TableText"/>
            </w:pPr>
            <w:r w:rsidRPr="000F5EB0">
              <w:t>Alectinib</w:t>
            </w:r>
          </w:p>
        </w:tc>
        <w:tc>
          <w:tcPr>
            <w:tcW w:w="1005" w:type="pct"/>
          </w:tcPr>
          <w:p w14:paraId="6DD39E9B" w14:textId="77777777" w:rsidR="00AF6EE4" w:rsidRPr="000F5EB0" w:rsidRDefault="00AF6EE4" w:rsidP="00AF6EE4">
            <w:pPr>
              <w:pStyle w:val="TableText"/>
            </w:pPr>
            <w:r w:rsidRPr="000F5EB0">
              <w:t>11226W</w:t>
            </w:r>
          </w:p>
        </w:tc>
        <w:tc>
          <w:tcPr>
            <w:tcW w:w="721" w:type="pct"/>
          </w:tcPr>
          <w:p w14:paraId="6A78847C" w14:textId="0A09B663" w:rsidR="00AF6EE4" w:rsidRPr="000F5EB0" w:rsidRDefault="00AF6EE4" w:rsidP="00AF6EE4">
            <w:pPr>
              <w:pStyle w:val="TableText"/>
            </w:pPr>
            <w:r w:rsidRPr="000F5EB0">
              <w:t>Roche</w:t>
            </w:r>
          </w:p>
        </w:tc>
      </w:tr>
      <w:tr w:rsidR="00AF6EE4" w:rsidRPr="000F5EB0" w14:paraId="5429AE2D" w14:textId="77777777" w:rsidTr="00956452">
        <w:tc>
          <w:tcPr>
            <w:tcW w:w="548" w:type="pct"/>
            <w:vMerge/>
          </w:tcPr>
          <w:p w14:paraId="32EC777E" w14:textId="77777777" w:rsidR="00AF6EE4" w:rsidRPr="00691192" w:rsidRDefault="00AF6EE4" w:rsidP="00AF6EE4">
            <w:pPr>
              <w:pStyle w:val="Tabletext0"/>
              <w:jc w:val="left"/>
            </w:pPr>
          </w:p>
        </w:tc>
        <w:tc>
          <w:tcPr>
            <w:tcW w:w="1152" w:type="pct"/>
            <w:vMerge/>
          </w:tcPr>
          <w:p w14:paraId="3BF9B712" w14:textId="77777777" w:rsidR="00AF6EE4" w:rsidRDefault="00AF6EE4" w:rsidP="00AF6EE4">
            <w:pPr>
              <w:pStyle w:val="Tabletext0"/>
              <w:jc w:val="left"/>
            </w:pPr>
          </w:p>
        </w:tc>
        <w:tc>
          <w:tcPr>
            <w:tcW w:w="667" w:type="pct"/>
            <w:vMerge/>
          </w:tcPr>
          <w:p w14:paraId="64F1DEFC" w14:textId="20280FFA" w:rsidR="00AF6EE4" w:rsidRDefault="00AF6EE4" w:rsidP="00AF6EE4">
            <w:pPr>
              <w:pStyle w:val="Tabletext0"/>
              <w:jc w:val="left"/>
            </w:pPr>
          </w:p>
        </w:tc>
        <w:tc>
          <w:tcPr>
            <w:tcW w:w="907" w:type="pct"/>
          </w:tcPr>
          <w:p w14:paraId="34B0F437" w14:textId="79FFC9E9" w:rsidR="00AF6EE4" w:rsidRPr="000F5EB0" w:rsidRDefault="00AF6EE4" w:rsidP="00AF6EE4">
            <w:pPr>
              <w:pStyle w:val="TableText"/>
            </w:pPr>
            <w:r>
              <w:t>Brigatinib</w:t>
            </w:r>
          </w:p>
        </w:tc>
        <w:tc>
          <w:tcPr>
            <w:tcW w:w="1005" w:type="pct"/>
          </w:tcPr>
          <w:p w14:paraId="0395BAD9" w14:textId="77777777" w:rsidR="00AF6EE4" w:rsidRPr="000F5EB0" w:rsidRDefault="00AF6EE4" w:rsidP="00AF6EE4">
            <w:pPr>
              <w:pStyle w:val="TableText"/>
            </w:pPr>
            <w:r>
              <w:t>11980M; 11974F; 11976H; 11984R</w:t>
            </w:r>
          </w:p>
        </w:tc>
        <w:tc>
          <w:tcPr>
            <w:tcW w:w="721" w:type="pct"/>
          </w:tcPr>
          <w:p w14:paraId="222DDAA5" w14:textId="60BD53DE" w:rsidR="00AF6EE4" w:rsidRPr="000F5EB0" w:rsidRDefault="00AF6EE4" w:rsidP="00AF6EE4">
            <w:pPr>
              <w:pStyle w:val="TableText"/>
            </w:pPr>
            <w:r>
              <w:t>Takeda</w:t>
            </w:r>
          </w:p>
        </w:tc>
      </w:tr>
      <w:tr w:rsidR="00AF6EE4" w:rsidRPr="000F5EB0" w14:paraId="15629BA3" w14:textId="77777777" w:rsidTr="00956452">
        <w:tc>
          <w:tcPr>
            <w:tcW w:w="548" w:type="pct"/>
            <w:vMerge/>
          </w:tcPr>
          <w:p w14:paraId="5E0BE410" w14:textId="77777777" w:rsidR="00AF6EE4" w:rsidRPr="00691192" w:rsidRDefault="00AF6EE4" w:rsidP="00AF6EE4">
            <w:pPr>
              <w:pStyle w:val="Tabletext0"/>
              <w:jc w:val="left"/>
            </w:pPr>
          </w:p>
        </w:tc>
        <w:tc>
          <w:tcPr>
            <w:tcW w:w="1152" w:type="pct"/>
          </w:tcPr>
          <w:p w14:paraId="3C4473EF" w14:textId="2D4A2AA4" w:rsidR="00AF6EE4" w:rsidRPr="00AF6EE4" w:rsidRDefault="00AF6EE4" w:rsidP="00AF6EE4">
            <w:pPr>
              <w:pStyle w:val="Tabletext0"/>
              <w:jc w:val="left"/>
            </w:pPr>
            <w:r>
              <w:t xml:space="preserve">Patient must have evidence of an </w:t>
            </w:r>
            <w:r>
              <w:rPr>
                <w:i/>
              </w:rPr>
              <w:t>ALK</w:t>
            </w:r>
            <w:r>
              <w:t xml:space="preserve"> gene rearrangement</w:t>
            </w:r>
          </w:p>
        </w:tc>
        <w:tc>
          <w:tcPr>
            <w:tcW w:w="667" w:type="pct"/>
            <w:vMerge/>
          </w:tcPr>
          <w:p w14:paraId="79E6C197" w14:textId="75F111CA" w:rsidR="00AF6EE4" w:rsidRDefault="00AF6EE4" w:rsidP="00AF6EE4">
            <w:pPr>
              <w:pStyle w:val="Tabletext0"/>
              <w:jc w:val="left"/>
            </w:pPr>
          </w:p>
        </w:tc>
        <w:tc>
          <w:tcPr>
            <w:tcW w:w="907" w:type="pct"/>
          </w:tcPr>
          <w:p w14:paraId="0939335A" w14:textId="2E0466C1" w:rsidR="00AF6EE4" w:rsidRDefault="00AF6EE4" w:rsidP="00AF6EE4">
            <w:pPr>
              <w:pStyle w:val="TableText"/>
            </w:pPr>
            <w:r>
              <w:t>Lorlatinib (second-line)</w:t>
            </w:r>
          </w:p>
        </w:tc>
        <w:tc>
          <w:tcPr>
            <w:tcW w:w="1005" w:type="pct"/>
          </w:tcPr>
          <w:p w14:paraId="7273A8A2" w14:textId="77777777" w:rsidR="00AF6EE4" w:rsidRDefault="00AF6EE4" w:rsidP="00AF6EE4">
            <w:pPr>
              <w:pStyle w:val="TableText"/>
            </w:pPr>
            <w:r>
              <w:t>12096P; 12091J</w:t>
            </w:r>
          </w:p>
        </w:tc>
        <w:tc>
          <w:tcPr>
            <w:tcW w:w="721" w:type="pct"/>
          </w:tcPr>
          <w:p w14:paraId="5A193DBF" w14:textId="7F9A0C08" w:rsidR="00AF6EE4" w:rsidRDefault="00AF6EE4" w:rsidP="00AF6EE4">
            <w:pPr>
              <w:pStyle w:val="TableText"/>
            </w:pPr>
            <w:r>
              <w:t>Pfizer</w:t>
            </w:r>
          </w:p>
        </w:tc>
      </w:tr>
      <w:tr w:rsidR="00E14978" w:rsidRPr="000F5EB0" w14:paraId="3686353B" w14:textId="77777777" w:rsidTr="00956452">
        <w:tc>
          <w:tcPr>
            <w:tcW w:w="548" w:type="pct"/>
            <w:vMerge w:val="restart"/>
          </w:tcPr>
          <w:p w14:paraId="02F96820" w14:textId="7AEB253F" w:rsidR="00E14978" w:rsidRPr="00691192" w:rsidRDefault="00E14978" w:rsidP="00AF6EE4">
            <w:pPr>
              <w:pStyle w:val="TableText"/>
            </w:pPr>
            <w:r w:rsidRPr="00691192">
              <w:rPr>
                <w:i/>
              </w:rPr>
              <w:t>ROS1</w:t>
            </w:r>
            <w:r w:rsidRPr="00691192">
              <w:t xml:space="preserve"> gene rearrangement </w:t>
            </w:r>
          </w:p>
        </w:tc>
        <w:tc>
          <w:tcPr>
            <w:tcW w:w="1152" w:type="pct"/>
            <w:vMerge w:val="restart"/>
          </w:tcPr>
          <w:p w14:paraId="5D0B948C" w14:textId="1FE1F555" w:rsidR="00E14978" w:rsidRDefault="00E14978" w:rsidP="00E14978">
            <w:pPr>
              <w:pStyle w:val="Tabletext0"/>
              <w:jc w:val="left"/>
              <w:rPr>
                <w:i/>
              </w:rPr>
            </w:pPr>
            <w:r>
              <w:t xml:space="preserve">Patient must have evidence of </w:t>
            </w:r>
            <w:r w:rsidRPr="00956452">
              <w:rPr>
                <w:i/>
              </w:rPr>
              <w:t>ROS1</w:t>
            </w:r>
            <w:r>
              <w:t xml:space="preserve"> gene rearrangement in tumour material, defined as ≥15% positive cells by FISH testing</w:t>
            </w:r>
          </w:p>
        </w:tc>
        <w:tc>
          <w:tcPr>
            <w:tcW w:w="667" w:type="pct"/>
            <w:vMerge w:val="restart"/>
          </w:tcPr>
          <w:p w14:paraId="5434C450" w14:textId="292073EA" w:rsidR="00E14978" w:rsidRDefault="00E14978" w:rsidP="00AF6EE4">
            <w:pPr>
              <w:pStyle w:val="Tabletext0"/>
              <w:jc w:val="left"/>
            </w:pPr>
            <w:r>
              <w:rPr>
                <w:i/>
              </w:rPr>
              <w:t xml:space="preserve">ROS1 </w:t>
            </w:r>
            <w:r>
              <w:t>FISH</w:t>
            </w:r>
          </w:p>
        </w:tc>
        <w:tc>
          <w:tcPr>
            <w:tcW w:w="907" w:type="pct"/>
          </w:tcPr>
          <w:p w14:paraId="351C5809" w14:textId="249DC900" w:rsidR="00E14978" w:rsidRPr="000F5EB0" w:rsidRDefault="00E14978" w:rsidP="00AF6EE4">
            <w:pPr>
              <w:pStyle w:val="TableText"/>
            </w:pPr>
            <w:r>
              <w:t>Crizotinib</w:t>
            </w:r>
          </w:p>
        </w:tc>
        <w:tc>
          <w:tcPr>
            <w:tcW w:w="1005" w:type="pct"/>
          </w:tcPr>
          <w:p w14:paraId="1B6A24E5" w14:textId="77777777" w:rsidR="00E14978" w:rsidRPr="000F5EB0" w:rsidRDefault="00E14978" w:rsidP="00AF6EE4">
            <w:pPr>
              <w:pStyle w:val="TableText"/>
            </w:pPr>
            <w:r>
              <w:t>11589Y; 11594F</w:t>
            </w:r>
          </w:p>
        </w:tc>
        <w:tc>
          <w:tcPr>
            <w:tcW w:w="721" w:type="pct"/>
          </w:tcPr>
          <w:p w14:paraId="52162494" w14:textId="663F7D83" w:rsidR="00E14978" w:rsidRPr="000F5EB0" w:rsidRDefault="00E14978" w:rsidP="00AF6EE4">
            <w:pPr>
              <w:pStyle w:val="TableText"/>
            </w:pPr>
            <w:r w:rsidRPr="000F5EB0">
              <w:t>Pfizer</w:t>
            </w:r>
          </w:p>
        </w:tc>
      </w:tr>
      <w:tr w:rsidR="00E14978" w:rsidRPr="000F5EB0" w14:paraId="2AC0B981" w14:textId="77777777" w:rsidTr="00956452">
        <w:tc>
          <w:tcPr>
            <w:tcW w:w="548" w:type="pct"/>
            <w:vMerge/>
          </w:tcPr>
          <w:p w14:paraId="55B4EEC0" w14:textId="77777777" w:rsidR="00E14978" w:rsidRDefault="00E14978" w:rsidP="00AF6EE4">
            <w:pPr>
              <w:pStyle w:val="Tabletext0"/>
            </w:pPr>
          </w:p>
        </w:tc>
        <w:tc>
          <w:tcPr>
            <w:tcW w:w="1152" w:type="pct"/>
            <w:vMerge/>
          </w:tcPr>
          <w:p w14:paraId="06ABAA02" w14:textId="77777777" w:rsidR="00E14978" w:rsidRPr="000F5EB0" w:rsidRDefault="00E14978" w:rsidP="00AF6EE4">
            <w:pPr>
              <w:pStyle w:val="Tabletext0"/>
              <w:jc w:val="left"/>
            </w:pPr>
          </w:p>
        </w:tc>
        <w:tc>
          <w:tcPr>
            <w:tcW w:w="667" w:type="pct"/>
            <w:vMerge/>
          </w:tcPr>
          <w:p w14:paraId="73E6D163" w14:textId="204EB613" w:rsidR="00E14978" w:rsidRPr="000F5EB0" w:rsidRDefault="00E14978" w:rsidP="00AF6EE4">
            <w:pPr>
              <w:pStyle w:val="Tabletext0"/>
              <w:jc w:val="left"/>
            </w:pPr>
          </w:p>
        </w:tc>
        <w:tc>
          <w:tcPr>
            <w:tcW w:w="907" w:type="pct"/>
          </w:tcPr>
          <w:p w14:paraId="19381F2F" w14:textId="075C1D90" w:rsidR="00E14978" w:rsidRDefault="00E14978" w:rsidP="00AF6EE4">
            <w:pPr>
              <w:pStyle w:val="TableText"/>
            </w:pPr>
            <w:r w:rsidRPr="000F5EB0">
              <w:t>Entrectinib</w:t>
            </w:r>
            <w:r>
              <w:rPr>
                <w:vertAlign w:val="superscript"/>
              </w:rPr>
              <w:t>a</w:t>
            </w:r>
          </w:p>
        </w:tc>
        <w:tc>
          <w:tcPr>
            <w:tcW w:w="1005" w:type="pct"/>
          </w:tcPr>
          <w:p w14:paraId="191102FA" w14:textId="77777777" w:rsidR="00E14978" w:rsidRDefault="00E14978" w:rsidP="00AF6EE4">
            <w:pPr>
              <w:pStyle w:val="TableText"/>
            </w:pPr>
            <w:r>
              <w:t>12092K</w:t>
            </w:r>
          </w:p>
        </w:tc>
        <w:tc>
          <w:tcPr>
            <w:tcW w:w="721" w:type="pct"/>
          </w:tcPr>
          <w:p w14:paraId="3CABED70" w14:textId="32EC3A85" w:rsidR="00E14978" w:rsidRPr="000F5EB0" w:rsidRDefault="00E14978" w:rsidP="00AF6EE4">
            <w:pPr>
              <w:pStyle w:val="TableText"/>
            </w:pPr>
            <w:r w:rsidRPr="000F5EB0">
              <w:t>Roche</w:t>
            </w:r>
          </w:p>
        </w:tc>
      </w:tr>
      <w:tr w:rsidR="00AF6EE4" w:rsidRPr="000F5EB0" w14:paraId="545354F2" w14:textId="77777777" w:rsidTr="00956452">
        <w:tc>
          <w:tcPr>
            <w:tcW w:w="548" w:type="pct"/>
          </w:tcPr>
          <w:p w14:paraId="4FC89C14" w14:textId="4CDE0A96" w:rsidR="00AF6EE4" w:rsidRPr="0071206F" w:rsidRDefault="00AF6EE4" w:rsidP="00AF6EE4">
            <w:pPr>
              <w:pStyle w:val="TableText"/>
            </w:pPr>
            <w:r>
              <w:rPr>
                <w:i/>
              </w:rPr>
              <w:t>MET</w:t>
            </w:r>
            <w:r>
              <w:t>ex14sk</w:t>
            </w:r>
          </w:p>
        </w:tc>
        <w:tc>
          <w:tcPr>
            <w:tcW w:w="1152" w:type="pct"/>
          </w:tcPr>
          <w:p w14:paraId="3DC09F35" w14:textId="77777777" w:rsidR="00E14978" w:rsidRDefault="00E14978" w:rsidP="00AF6EE4">
            <w:pPr>
              <w:pStyle w:val="TableText"/>
            </w:pPr>
            <w:r>
              <w:t xml:space="preserve">Proposed criteria:  </w:t>
            </w:r>
          </w:p>
          <w:p w14:paraId="2B65DE95" w14:textId="13E489D6" w:rsidR="00AF6EE4" w:rsidRPr="00E14978" w:rsidRDefault="00E14978" w:rsidP="00956452">
            <w:pPr>
              <w:pStyle w:val="Default"/>
            </w:pPr>
            <w:r w:rsidRPr="00956452">
              <w:rPr>
                <w:rFonts w:ascii="Arial Narrow" w:hAnsi="Arial Narrow" w:cstheme="minorBidi"/>
                <w:color w:val="auto"/>
                <w:sz w:val="20"/>
                <w:szCs w:val="22"/>
              </w:rPr>
              <w:t xml:space="preserve">Patient must have evidence of </w:t>
            </w:r>
            <w:r w:rsidRPr="00956452">
              <w:rPr>
                <w:rFonts w:ascii="Arial Narrow" w:hAnsi="Arial Narrow" w:cstheme="minorBidi"/>
                <w:i/>
                <w:color w:val="auto"/>
                <w:sz w:val="20"/>
                <w:szCs w:val="22"/>
              </w:rPr>
              <w:t>MET</w:t>
            </w:r>
            <w:r w:rsidRPr="00956452">
              <w:rPr>
                <w:rFonts w:ascii="Arial Narrow" w:hAnsi="Arial Narrow" w:cstheme="minorBidi"/>
                <w:color w:val="auto"/>
                <w:sz w:val="20"/>
                <w:szCs w:val="22"/>
              </w:rPr>
              <w:t xml:space="preserve"> exon 14 skipping alterations in tumour material </w:t>
            </w:r>
          </w:p>
        </w:tc>
        <w:tc>
          <w:tcPr>
            <w:tcW w:w="667" w:type="pct"/>
          </w:tcPr>
          <w:p w14:paraId="691CECC0" w14:textId="02A5BD90" w:rsidR="00AF6EE4" w:rsidRDefault="00AF6EE4" w:rsidP="00AF6EE4">
            <w:pPr>
              <w:pStyle w:val="TableText"/>
            </w:pPr>
            <w:r>
              <w:t>RNA- or DNA-based testing of liquid biopsy or tissue biopsy</w:t>
            </w:r>
          </w:p>
        </w:tc>
        <w:tc>
          <w:tcPr>
            <w:tcW w:w="907" w:type="pct"/>
          </w:tcPr>
          <w:p w14:paraId="5E1893CA" w14:textId="78FBA604" w:rsidR="00AF6EE4" w:rsidRPr="000F5EB0" w:rsidRDefault="00AF6EE4" w:rsidP="00AF6EE4">
            <w:pPr>
              <w:pStyle w:val="TableText"/>
            </w:pPr>
            <w:r>
              <w:t>Tepotinib</w:t>
            </w:r>
          </w:p>
        </w:tc>
        <w:tc>
          <w:tcPr>
            <w:tcW w:w="1005" w:type="pct"/>
          </w:tcPr>
          <w:p w14:paraId="6FEA9521" w14:textId="66508FC6" w:rsidR="00AF6EE4" w:rsidRDefault="00AF6EE4" w:rsidP="00AF6EE4">
            <w:pPr>
              <w:pStyle w:val="TableText"/>
            </w:pPr>
            <w:r>
              <w:t>Recommended by PBAC</w:t>
            </w:r>
          </w:p>
        </w:tc>
        <w:tc>
          <w:tcPr>
            <w:tcW w:w="721" w:type="pct"/>
          </w:tcPr>
          <w:p w14:paraId="156810A5" w14:textId="7C6CDCE6" w:rsidR="00AF6EE4" w:rsidRPr="000F5EB0" w:rsidRDefault="00AF6EE4" w:rsidP="00AF6EE4">
            <w:pPr>
              <w:pStyle w:val="TableText"/>
            </w:pPr>
            <w:r>
              <w:t xml:space="preserve">Merck </w:t>
            </w:r>
          </w:p>
        </w:tc>
      </w:tr>
      <w:tr w:rsidR="00AF6EE4" w:rsidRPr="000F5EB0" w14:paraId="1E6B2D08" w14:textId="77777777" w:rsidTr="00956452">
        <w:tc>
          <w:tcPr>
            <w:tcW w:w="548" w:type="pct"/>
          </w:tcPr>
          <w:p w14:paraId="5B2D98EA" w14:textId="402CAFBA" w:rsidR="00AF6EE4" w:rsidRPr="00FF21B4" w:rsidRDefault="00AF6EE4" w:rsidP="00AF6EE4">
            <w:pPr>
              <w:pStyle w:val="TableText"/>
            </w:pPr>
            <w:r>
              <w:t xml:space="preserve">Absence of activating  </w:t>
            </w:r>
            <w:r>
              <w:rPr>
                <w:i/>
              </w:rPr>
              <w:t xml:space="preserve">EGFR </w:t>
            </w:r>
            <w:r>
              <w:lastRenderedPageBreak/>
              <w:t xml:space="preserve">variants, </w:t>
            </w:r>
            <w:r>
              <w:rPr>
                <w:i/>
              </w:rPr>
              <w:t xml:space="preserve">ALK </w:t>
            </w:r>
            <w:r>
              <w:t xml:space="preserve">gene rearrangement or </w:t>
            </w:r>
            <w:r>
              <w:rPr>
                <w:i/>
              </w:rPr>
              <w:t>ROS1</w:t>
            </w:r>
            <w:r>
              <w:t xml:space="preserve"> gene rearrangement</w:t>
            </w:r>
          </w:p>
        </w:tc>
        <w:tc>
          <w:tcPr>
            <w:tcW w:w="1152" w:type="pct"/>
          </w:tcPr>
          <w:p w14:paraId="1783510D" w14:textId="4EE4F33B" w:rsidR="00AF6EE4" w:rsidRDefault="00E14978" w:rsidP="00E14978">
            <w:pPr>
              <w:pStyle w:val="TableText"/>
            </w:pPr>
            <w:r>
              <w:lastRenderedPageBreak/>
              <w:t xml:space="preserve">The condition must not have evidence of an activating </w:t>
            </w:r>
            <w:r w:rsidRPr="00956452">
              <w:rPr>
                <w:i/>
              </w:rPr>
              <w:t>EGFR</w:t>
            </w:r>
            <w:r>
              <w:t xml:space="preserve"> gene or </w:t>
            </w:r>
            <w:r>
              <w:lastRenderedPageBreak/>
              <w:t xml:space="preserve">an </w:t>
            </w:r>
            <w:r w:rsidRPr="00956452">
              <w:rPr>
                <w:i/>
              </w:rPr>
              <w:t xml:space="preserve">ALK </w:t>
            </w:r>
            <w:r>
              <w:t xml:space="preserve">gene rearrangement or </w:t>
            </w:r>
            <w:r w:rsidRPr="00956452">
              <w:rPr>
                <w:i/>
              </w:rPr>
              <w:t>ROS1</w:t>
            </w:r>
            <w:r>
              <w:t xml:space="preserve"> gene arrangement in tumour material,</w:t>
            </w:r>
          </w:p>
        </w:tc>
        <w:tc>
          <w:tcPr>
            <w:tcW w:w="667" w:type="pct"/>
          </w:tcPr>
          <w:p w14:paraId="7F501D99" w14:textId="7E18C67B" w:rsidR="00AF6EE4" w:rsidRDefault="00AF6EE4" w:rsidP="00AF6EE4">
            <w:pPr>
              <w:pStyle w:val="TableText"/>
            </w:pPr>
            <w:r>
              <w:lastRenderedPageBreak/>
              <w:t>-</w:t>
            </w:r>
          </w:p>
        </w:tc>
        <w:tc>
          <w:tcPr>
            <w:tcW w:w="907" w:type="pct"/>
          </w:tcPr>
          <w:p w14:paraId="3DC017DD" w14:textId="77777777" w:rsidR="00AF6EE4" w:rsidRDefault="00AF6EE4" w:rsidP="00AF6EE4">
            <w:pPr>
              <w:pStyle w:val="TableText"/>
            </w:pPr>
            <w:r>
              <w:t>Pembrolizumab</w:t>
            </w:r>
          </w:p>
          <w:p w14:paraId="42A40CD5" w14:textId="77777777" w:rsidR="00BB05C4" w:rsidRDefault="00BB05C4" w:rsidP="00AF6EE4">
            <w:pPr>
              <w:pStyle w:val="TableText"/>
            </w:pPr>
          </w:p>
          <w:p w14:paraId="3F8C798F" w14:textId="1D6BCC22" w:rsidR="00BB05C4" w:rsidRDefault="00BB05C4" w:rsidP="00AF6EE4">
            <w:pPr>
              <w:pStyle w:val="TableText"/>
            </w:pPr>
            <w:r>
              <w:lastRenderedPageBreak/>
              <w:t>Atezolizumab</w:t>
            </w:r>
          </w:p>
        </w:tc>
        <w:tc>
          <w:tcPr>
            <w:tcW w:w="1005" w:type="pct"/>
          </w:tcPr>
          <w:p w14:paraId="2EF78300" w14:textId="77777777" w:rsidR="00AF6EE4" w:rsidRDefault="00AF6EE4" w:rsidP="00AF6EE4">
            <w:pPr>
              <w:pStyle w:val="TableText"/>
            </w:pPr>
            <w:r>
              <w:lastRenderedPageBreak/>
              <w:t>11492W</w:t>
            </w:r>
          </w:p>
          <w:p w14:paraId="2F995F99" w14:textId="77777777" w:rsidR="00BB05C4" w:rsidRDefault="00BB05C4" w:rsidP="00AF6EE4">
            <w:pPr>
              <w:pStyle w:val="TableText"/>
            </w:pPr>
          </w:p>
          <w:p w14:paraId="0B2029E9" w14:textId="1D276281" w:rsidR="00BB05C4" w:rsidRDefault="00BB05C4" w:rsidP="00AF6EE4">
            <w:pPr>
              <w:pStyle w:val="TableText"/>
            </w:pPr>
            <w:r>
              <w:lastRenderedPageBreak/>
              <w:t>11792P</w:t>
            </w:r>
          </w:p>
        </w:tc>
        <w:tc>
          <w:tcPr>
            <w:tcW w:w="721" w:type="pct"/>
          </w:tcPr>
          <w:p w14:paraId="50742443" w14:textId="77777777" w:rsidR="00AF6EE4" w:rsidRDefault="00AF6EE4" w:rsidP="00AF6EE4">
            <w:pPr>
              <w:pStyle w:val="TableText"/>
            </w:pPr>
            <w:r>
              <w:lastRenderedPageBreak/>
              <w:t>Merck Sharp &amp; Dohme</w:t>
            </w:r>
          </w:p>
          <w:p w14:paraId="6BF483A4" w14:textId="451F0D48" w:rsidR="00BB05C4" w:rsidRDefault="00BB05C4" w:rsidP="00AF6EE4">
            <w:pPr>
              <w:pStyle w:val="TableText"/>
            </w:pPr>
            <w:r>
              <w:lastRenderedPageBreak/>
              <w:t>Roche</w:t>
            </w:r>
          </w:p>
        </w:tc>
      </w:tr>
    </w:tbl>
    <w:p w14:paraId="3E995F35" w14:textId="5C530F5E" w:rsidR="008A754B" w:rsidRPr="00EC499B" w:rsidRDefault="008A754B" w:rsidP="00E53F96">
      <w:pPr>
        <w:pStyle w:val="TableFooter"/>
        <w:rPr>
          <w:i/>
        </w:rPr>
      </w:pPr>
      <w:r w:rsidRPr="00EC499B">
        <w:rPr>
          <w:i/>
        </w:rPr>
        <w:lastRenderedPageBreak/>
        <w:t xml:space="preserve">ALK = </w:t>
      </w:r>
      <w:r w:rsidRPr="005100B4">
        <w:t>anaplastic lymphoma kinase gene</w:t>
      </w:r>
      <w:r w:rsidRPr="00EC499B">
        <w:rPr>
          <w:i/>
        </w:rPr>
        <w:t xml:space="preserve">; </w:t>
      </w:r>
      <w:r w:rsidR="00437894" w:rsidRPr="002412BE">
        <w:t xml:space="preserve">DNA = deoxyribonucleic acid; </w:t>
      </w:r>
      <w:r w:rsidRPr="007F786A">
        <w:rPr>
          <w:i/>
        </w:rPr>
        <w:t>EGFR</w:t>
      </w:r>
      <w:r w:rsidRPr="00EC499B">
        <w:rPr>
          <w:i/>
        </w:rPr>
        <w:t xml:space="preserve"> = </w:t>
      </w:r>
      <w:r w:rsidRPr="005100B4">
        <w:t>epidermal growth factor receptor</w:t>
      </w:r>
      <w:r w:rsidRPr="00EC499B">
        <w:rPr>
          <w:i/>
        </w:rPr>
        <w:t xml:space="preserve"> </w:t>
      </w:r>
      <w:r w:rsidRPr="005100B4">
        <w:t>gene</w:t>
      </w:r>
      <w:r w:rsidRPr="00EC499B">
        <w:rPr>
          <w:i/>
        </w:rPr>
        <w:t xml:space="preserve">; </w:t>
      </w:r>
      <w:r w:rsidR="00FE5384">
        <w:t>FISH = fluorescent in situ hybridisation;</w:t>
      </w:r>
      <w:r w:rsidR="00BF544D" w:rsidRPr="00BF544D">
        <w:t xml:space="preserve"> </w:t>
      </w:r>
      <w:r w:rsidR="00437894" w:rsidRPr="00CE4DC5">
        <w:rPr>
          <w:i/>
        </w:rPr>
        <w:t>MET</w:t>
      </w:r>
      <w:r w:rsidR="00437894" w:rsidRPr="00CE4DC5">
        <w:t xml:space="preserve"> =</w:t>
      </w:r>
      <w:r w:rsidR="00437894">
        <w:t xml:space="preserve"> </w:t>
      </w:r>
      <w:r w:rsidR="00437894" w:rsidRPr="008F67AF">
        <w:rPr>
          <w:szCs w:val="18"/>
        </w:rPr>
        <w:t>mesenchymal-epithelial transition</w:t>
      </w:r>
      <w:r w:rsidR="00437894">
        <w:rPr>
          <w:szCs w:val="18"/>
        </w:rPr>
        <w:t xml:space="preserve">; </w:t>
      </w:r>
      <w:r w:rsidR="00E14978">
        <w:rPr>
          <w:szCs w:val="18"/>
        </w:rPr>
        <w:t xml:space="preserve">NA = not applicable (no population criteria in PBS restriction); </w:t>
      </w:r>
      <w:r w:rsidR="00BF544D">
        <w:t>PBS = Pharmaceutical Benefits Scheme</w:t>
      </w:r>
      <w:r w:rsidR="00437894">
        <w:t>;</w:t>
      </w:r>
      <w:r w:rsidR="00FE5384">
        <w:t xml:space="preserve"> </w:t>
      </w:r>
      <w:r w:rsidR="00437894">
        <w:t xml:space="preserve">PCR = polymerase chain reaction; RNA = ribonucleic acid; </w:t>
      </w:r>
      <w:r w:rsidRPr="00EC499B">
        <w:rPr>
          <w:i/>
        </w:rPr>
        <w:t xml:space="preserve">ROS1 = </w:t>
      </w:r>
      <w:r w:rsidRPr="005100B4">
        <w:t>ROS1 receptor tyrosine kinase</w:t>
      </w:r>
      <w:r w:rsidRPr="00EC499B">
        <w:rPr>
          <w:i/>
        </w:rPr>
        <w:t xml:space="preserve"> </w:t>
      </w:r>
      <w:r w:rsidRPr="005100B4">
        <w:t>gene</w:t>
      </w:r>
    </w:p>
    <w:p w14:paraId="70DF9D3B" w14:textId="4D46EDD6" w:rsidR="008A754B" w:rsidRDefault="008A754B" w:rsidP="00E53F96">
      <w:pPr>
        <w:pStyle w:val="TableFooter"/>
      </w:pPr>
      <w:r>
        <w:t>Source: MSAC application 1634 ratified PICO confirmati</w:t>
      </w:r>
      <w:r w:rsidR="00287171">
        <w:t>on</w:t>
      </w:r>
    </w:p>
    <w:p w14:paraId="2170E00A" w14:textId="681CDA1F" w:rsidR="000C5638" w:rsidRDefault="00287171" w:rsidP="00610ECF">
      <w:pPr>
        <w:pStyle w:val="NormalBeforeBullet"/>
      </w:pPr>
      <w:r>
        <w:t>Commercial</w:t>
      </w:r>
      <w:r w:rsidR="00B266C5">
        <w:t>ly supplied NGS</w:t>
      </w:r>
      <w:r>
        <w:t xml:space="preserve"> tests available </w:t>
      </w:r>
      <w:r w:rsidR="00B266C5">
        <w:t>which</w:t>
      </w:r>
      <w:r w:rsidR="002C3F54">
        <w:t xml:space="preserve"> may be used as the basis of </w:t>
      </w:r>
      <w:r w:rsidR="002C3F54" w:rsidRPr="00852BFE">
        <w:rPr>
          <w:i/>
        </w:rPr>
        <w:t>in vitro</w:t>
      </w:r>
      <w:r w:rsidR="002C3F54">
        <w:t xml:space="preserve"> diagnostic tests under the framework of </w:t>
      </w:r>
      <w:r w:rsidR="002C3F54">
        <w:rPr>
          <w:rFonts w:cs="Arial"/>
        </w:rPr>
        <w:t xml:space="preserve">‘Requirement for the development of an in-house </w:t>
      </w:r>
      <w:r w:rsidR="002C3F54" w:rsidRPr="00A602D5">
        <w:rPr>
          <w:rFonts w:cs="Arial"/>
          <w:i/>
        </w:rPr>
        <w:t>in vitro</w:t>
      </w:r>
      <w:r w:rsidR="002C3F54">
        <w:rPr>
          <w:rFonts w:cs="Arial"/>
        </w:rPr>
        <w:t xml:space="preserve"> diagnostic medical devices (IVDs) (</w:t>
      </w:r>
      <w:r w:rsidR="00161831">
        <w:rPr>
          <w:rFonts w:cs="Arial"/>
        </w:rPr>
        <w:t>NPAAC</w:t>
      </w:r>
      <w:r w:rsidR="002C3F54">
        <w:rPr>
          <w:rFonts w:cs="Arial"/>
        </w:rPr>
        <w:t xml:space="preserve"> 2018)’ are shown in </w:t>
      </w:r>
      <w:r w:rsidR="002C3F54">
        <w:rPr>
          <w:rFonts w:cs="Arial"/>
        </w:rPr>
        <w:fldChar w:fldCharType="begin"/>
      </w:r>
      <w:r w:rsidR="002C3F54">
        <w:rPr>
          <w:rFonts w:cs="Arial"/>
        </w:rPr>
        <w:instrText xml:space="preserve"> REF _Ref102727536 \h </w:instrText>
      </w:r>
      <w:r w:rsidR="002C3F54">
        <w:rPr>
          <w:rFonts w:cs="Arial"/>
        </w:rPr>
      </w:r>
      <w:r w:rsidR="002C3F54">
        <w:rPr>
          <w:rFonts w:cs="Arial"/>
        </w:rPr>
        <w:fldChar w:fldCharType="separate"/>
      </w:r>
      <w:r w:rsidR="00C857F3">
        <w:t xml:space="preserve">Table </w:t>
      </w:r>
      <w:r w:rsidR="00C857F3">
        <w:rPr>
          <w:noProof/>
        </w:rPr>
        <w:t>19</w:t>
      </w:r>
      <w:r w:rsidR="002C3F54">
        <w:rPr>
          <w:rFonts w:cs="Arial"/>
        </w:rPr>
        <w:fldChar w:fldCharType="end"/>
      </w:r>
      <w:r w:rsidR="002C3F54">
        <w:rPr>
          <w:rFonts w:cs="Arial"/>
        </w:rPr>
        <w:t>.</w:t>
      </w:r>
    </w:p>
    <w:p w14:paraId="1A307504" w14:textId="7E1FAE2A" w:rsidR="00B266C5" w:rsidRDefault="00B266C5" w:rsidP="00B266C5">
      <w:pPr>
        <w:pStyle w:val="Caption"/>
      </w:pPr>
      <w:bookmarkStart w:id="56" w:name="_Ref102727536"/>
      <w:r>
        <w:t xml:space="preserve">Table </w:t>
      </w:r>
      <w:fldSimple w:instr=" SEQ Table \* ARABIC ">
        <w:r w:rsidR="00C857F3">
          <w:rPr>
            <w:noProof/>
          </w:rPr>
          <w:t>19</w:t>
        </w:r>
      </w:fldSimple>
      <w:bookmarkEnd w:id="56"/>
      <w:r>
        <w:tab/>
        <w:t xml:space="preserve">List of </w:t>
      </w:r>
      <w:r w:rsidR="00072A6C">
        <w:t>commercially available assays available for patients with NSCLC</w:t>
      </w:r>
    </w:p>
    <w:tbl>
      <w:tblPr>
        <w:tblStyle w:val="TableGrid"/>
        <w:tblW w:w="5000" w:type="pct"/>
        <w:tblLook w:val="04A0" w:firstRow="1" w:lastRow="0" w:firstColumn="1" w:lastColumn="0" w:noHBand="0" w:noVBand="1"/>
        <w:tblCaption w:val="List of commercially available assays available for patients with NSCLC"/>
        <w:tblDescription w:val="List of NGS assays available currently in Australia for patients with NSCLC"/>
      </w:tblPr>
      <w:tblGrid>
        <w:gridCol w:w="1794"/>
        <w:gridCol w:w="3731"/>
        <w:gridCol w:w="1197"/>
        <w:gridCol w:w="2294"/>
      </w:tblGrid>
      <w:tr w:rsidR="002C3F54" w:rsidRPr="000F5EB0" w14:paraId="1BBA6258" w14:textId="77777777" w:rsidTr="002C3F54">
        <w:trPr>
          <w:tblHeader/>
        </w:trPr>
        <w:tc>
          <w:tcPr>
            <w:tcW w:w="995" w:type="pct"/>
          </w:tcPr>
          <w:p w14:paraId="5005CDEE" w14:textId="38061BA2" w:rsidR="002C3F54" w:rsidRPr="000F5EB0" w:rsidRDefault="002C3F54" w:rsidP="00096486">
            <w:pPr>
              <w:pStyle w:val="TableHeading"/>
            </w:pPr>
            <w:r>
              <w:t>Company</w:t>
            </w:r>
          </w:p>
        </w:tc>
        <w:tc>
          <w:tcPr>
            <w:tcW w:w="2069" w:type="pct"/>
          </w:tcPr>
          <w:p w14:paraId="09B9F523" w14:textId="56653E50" w:rsidR="002C3F54" w:rsidRPr="000F5EB0" w:rsidRDefault="002C3F54" w:rsidP="00096486">
            <w:pPr>
              <w:pStyle w:val="TableHeading"/>
            </w:pPr>
            <w:r>
              <w:t>Test</w:t>
            </w:r>
          </w:p>
        </w:tc>
        <w:tc>
          <w:tcPr>
            <w:tcW w:w="664" w:type="pct"/>
          </w:tcPr>
          <w:p w14:paraId="2CD96F93" w14:textId="2B63CEA0" w:rsidR="002C3F54" w:rsidRDefault="002C3F54" w:rsidP="00096486">
            <w:pPr>
              <w:pStyle w:val="TableHeading"/>
            </w:pPr>
            <w:r>
              <w:t>Coverage</w:t>
            </w:r>
          </w:p>
        </w:tc>
        <w:tc>
          <w:tcPr>
            <w:tcW w:w="1272" w:type="pct"/>
          </w:tcPr>
          <w:p w14:paraId="3DFDF2BE" w14:textId="6022A9D0" w:rsidR="002C3F54" w:rsidRPr="000F5EB0" w:rsidRDefault="002C3F54" w:rsidP="00096486">
            <w:pPr>
              <w:pStyle w:val="TableHeading"/>
            </w:pPr>
            <w:r>
              <w:t xml:space="preserve">DNA and/or RNA </w:t>
            </w:r>
          </w:p>
        </w:tc>
      </w:tr>
      <w:tr w:rsidR="002C3F54" w:rsidRPr="000F5EB0" w14:paraId="253760D3" w14:textId="77777777" w:rsidTr="002C3F54">
        <w:tc>
          <w:tcPr>
            <w:tcW w:w="995" w:type="pct"/>
            <w:vAlign w:val="center"/>
          </w:tcPr>
          <w:p w14:paraId="585B847D" w14:textId="144B99B7" w:rsidR="002C3F54" w:rsidRPr="00691192" w:rsidRDefault="002C3F54" w:rsidP="001D6EE5">
            <w:pPr>
              <w:pStyle w:val="TableText"/>
            </w:pPr>
            <w:r>
              <w:t>Illumina</w:t>
            </w:r>
          </w:p>
        </w:tc>
        <w:tc>
          <w:tcPr>
            <w:tcW w:w="2069" w:type="pct"/>
          </w:tcPr>
          <w:p w14:paraId="49F683EE" w14:textId="1C98BD32" w:rsidR="002C3F54" w:rsidRPr="000F5EB0" w:rsidRDefault="002C3F54" w:rsidP="00E53F96">
            <w:pPr>
              <w:pStyle w:val="TableText"/>
            </w:pPr>
            <w:r>
              <w:t xml:space="preserve">Various solid tumour NGS panels including TruSight Oncology </w:t>
            </w:r>
            <w:r w:rsidR="00E53F96">
              <w:t>170</w:t>
            </w:r>
            <w:r>
              <w:t xml:space="preserve"> (RUO assay)</w:t>
            </w:r>
          </w:p>
        </w:tc>
        <w:tc>
          <w:tcPr>
            <w:tcW w:w="664" w:type="pct"/>
          </w:tcPr>
          <w:p w14:paraId="2EEAAD34" w14:textId="0685ADB9" w:rsidR="002C3F54" w:rsidRDefault="00E53F96" w:rsidP="00096486">
            <w:pPr>
              <w:pStyle w:val="Tabletext0"/>
            </w:pPr>
            <w:r>
              <w:t>170</w:t>
            </w:r>
            <w:r w:rsidR="002C3F54">
              <w:t xml:space="preserve"> genes</w:t>
            </w:r>
          </w:p>
        </w:tc>
        <w:tc>
          <w:tcPr>
            <w:tcW w:w="1272" w:type="pct"/>
          </w:tcPr>
          <w:p w14:paraId="1130171B" w14:textId="2C9A1A2B" w:rsidR="002C3F54" w:rsidRPr="000F5EB0" w:rsidRDefault="002C3F54" w:rsidP="00096486">
            <w:pPr>
              <w:pStyle w:val="Tabletext0"/>
            </w:pPr>
            <w:r>
              <w:t>DNA and DNA/RNA options</w:t>
            </w:r>
          </w:p>
        </w:tc>
      </w:tr>
      <w:tr w:rsidR="002C3F54" w:rsidRPr="000F5EB0" w14:paraId="6BE3B9CB" w14:textId="77777777" w:rsidTr="002C3F54">
        <w:tc>
          <w:tcPr>
            <w:tcW w:w="995" w:type="pct"/>
            <w:vAlign w:val="center"/>
          </w:tcPr>
          <w:p w14:paraId="7DA96D5A" w14:textId="362AE03D" w:rsidR="002C3F54" w:rsidRDefault="002C3F54" w:rsidP="001D6EE5">
            <w:pPr>
              <w:pStyle w:val="TableText"/>
            </w:pPr>
            <w:r>
              <w:t>ThermoFisher Scientific</w:t>
            </w:r>
          </w:p>
        </w:tc>
        <w:tc>
          <w:tcPr>
            <w:tcW w:w="2069" w:type="pct"/>
          </w:tcPr>
          <w:p w14:paraId="1358E833" w14:textId="77777777" w:rsidR="002C3F54" w:rsidRDefault="002C3F54" w:rsidP="001D6EE5">
            <w:pPr>
              <w:pStyle w:val="TableText"/>
            </w:pPr>
            <w:r>
              <w:t>Various solid tumour NGS panels including AmpliSeq Cancer Panel (RUO assay)</w:t>
            </w:r>
          </w:p>
          <w:p w14:paraId="67D5240F" w14:textId="1EC9BE0D" w:rsidR="002C3F54" w:rsidRDefault="002C3F54" w:rsidP="00E53F96">
            <w:pPr>
              <w:pStyle w:val="TableText"/>
            </w:pPr>
            <w:r>
              <w:t xml:space="preserve">Oncomine </w:t>
            </w:r>
            <w:r w:rsidR="00E53F96">
              <w:t>Dx Target Test</w:t>
            </w:r>
          </w:p>
        </w:tc>
        <w:tc>
          <w:tcPr>
            <w:tcW w:w="664" w:type="pct"/>
          </w:tcPr>
          <w:p w14:paraId="04EE3D1A" w14:textId="77777777" w:rsidR="002C3F54" w:rsidRDefault="002C3F54" w:rsidP="00096486">
            <w:pPr>
              <w:pStyle w:val="Tabletext0"/>
            </w:pPr>
            <w:r>
              <w:t>&gt;500 genes</w:t>
            </w:r>
          </w:p>
          <w:p w14:paraId="008718E6" w14:textId="77777777" w:rsidR="00E53F96" w:rsidRDefault="00E53F96" w:rsidP="00096486">
            <w:pPr>
              <w:pStyle w:val="Tabletext0"/>
            </w:pPr>
          </w:p>
          <w:p w14:paraId="295DAA40" w14:textId="3D65F92F" w:rsidR="00E53F96" w:rsidRPr="00E53F96" w:rsidRDefault="00E53F96" w:rsidP="00096486">
            <w:pPr>
              <w:pStyle w:val="Tabletext0"/>
              <w:rPr>
                <w:i/>
              </w:rPr>
            </w:pPr>
            <w:r>
              <w:rPr>
                <w:i/>
              </w:rPr>
              <w:t>EGFR, BRAF and ROS1</w:t>
            </w:r>
          </w:p>
        </w:tc>
        <w:tc>
          <w:tcPr>
            <w:tcW w:w="1272" w:type="pct"/>
          </w:tcPr>
          <w:p w14:paraId="76D531C8" w14:textId="7C036599" w:rsidR="002C3F54" w:rsidRPr="000F5EB0" w:rsidRDefault="002C3F54" w:rsidP="00096486">
            <w:pPr>
              <w:pStyle w:val="Tabletext0"/>
            </w:pPr>
            <w:r>
              <w:t>DNA and RNA</w:t>
            </w:r>
          </w:p>
        </w:tc>
      </w:tr>
      <w:tr w:rsidR="002C3F54" w:rsidRPr="000F5EB0" w14:paraId="351EB9A7" w14:textId="77777777" w:rsidTr="002C3F54">
        <w:tc>
          <w:tcPr>
            <w:tcW w:w="995" w:type="pct"/>
            <w:vAlign w:val="center"/>
          </w:tcPr>
          <w:p w14:paraId="6F776CED" w14:textId="361C8E4C" w:rsidR="002C3F54" w:rsidRDefault="002C3F54" w:rsidP="001D6EE5">
            <w:pPr>
              <w:pStyle w:val="TableText"/>
            </w:pPr>
            <w:r>
              <w:t>Roche Products</w:t>
            </w:r>
          </w:p>
        </w:tc>
        <w:tc>
          <w:tcPr>
            <w:tcW w:w="2069" w:type="pct"/>
          </w:tcPr>
          <w:p w14:paraId="539AB1B0" w14:textId="354C58CA" w:rsidR="002C3F54" w:rsidRDefault="002C3F54" w:rsidP="001D6EE5">
            <w:pPr>
              <w:pStyle w:val="TableText"/>
            </w:pPr>
            <w:r>
              <w:t>FoundationOne® CDx assay</w:t>
            </w:r>
          </w:p>
        </w:tc>
        <w:tc>
          <w:tcPr>
            <w:tcW w:w="664" w:type="pct"/>
          </w:tcPr>
          <w:p w14:paraId="3B9CE6F6" w14:textId="6FBF33EB" w:rsidR="002C3F54" w:rsidRPr="000F5EB0" w:rsidRDefault="002C3F54" w:rsidP="00096486">
            <w:pPr>
              <w:pStyle w:val="Tabletext0"/>
            </w:pPr>
            <w:r>
              <w:t>324 genes</w:t>
            </w:r>
          </w:p>
        </w:tc>
        <w:tc>
          <w:tcPr>
            <w:tcW w:w="1272" w:type="pct"/>
          </w:tcPr>
          <w:p w14:paraId="709F94DC" w14:textId="22AFE429" w:rsidR="002C3F54" w:rsidRPr="000F5EB0" w:rsidRDefault="002C3F54" w:rsidP="00096486">
            <w:pPr>
              <w:pStyle w:val="Tabletext0"/>
            </w:pPr>
            <w:r>
              <w:t>DNA only</w:t>
            </w:r>
          </w:p>
        </w:tc>
      </w:tr>
      <w:tr w:rsidR="002C3F54" w:rsidRPr="000F5EB0" w14:paraId="19DB2073" w14:textId="77777777" w:rsidTr="002C3F54">
        <w:tc>
          <w:tcPr>
            <w:tcW w:w="995" w:type="pct"/>
            <w:vAlign w:val="center"/>
          </w:tcPr>
          <w:p w14:paraId="1A189251" w14:textId="3F9C50A0" w:rsidR="002C3F54" w:rsidRDefault="002C3F54" w:rsidP="001D6EE5">
            <w:pPr>
              <w:pStyle w:val="TableText"/>
            </w:pPr>
            <w:r>
              <w:t>Roche Diagnostics</w:t>
            </w:r>
          </w:p>
        </w:tc>
        <w:tc>
          <w:tcPr>
            <w:tcW w:w="2069" w:type="pct"/>
          </w:tcPr>
          <w:p w14:paraId="3BB1E014" w14:textId="47F418FF" w:rsidR="002C3F54" w:rsidRDefault="002C3F54" w:rsidP="001D6EE5">
            <w:pPr>
              <w:pStyle w:val="TableText"/>
            </w:pPr>
            <w:r>
              <w:t xml:space="preserve">AVENIO Tumor Tissue </w:t>
            </w:r>
            <w:r w:rsidR="00E53F96">
              <w:t xml:space="preserve">targeted </w:t>
            </w:r>
            <w:r>
              <w:t>panel (RUO assay)</w:t>
            </w:r>
          </w:p>
        </w:tc>
        <w:tc>
          <w:tcPr>
            <w:tcW w:w="664" w:type="pct"/>
          </w:tcPr>
          <w:p w14:paraId="1C668741" w14:textId="0144BD71" w:rsidR="002C3F54" w:rsidRDefault="00E53F96" w:rsidP="00096486">
            <w:pPr>
              <w:pStyle w:val="Tabletext0"/>
            </w:pPr>
            <w:r>
              <w:t>17</w:t>
            </w:r>
            <w:r w:rsidR="002C3F54">
              <w:t xml:space="preserve"> genes</w:t>
            </w:r>
          </w:p>
        </w:tc>
        <w:tc>
          <w:tcPr>
            <w:tcW w:w="1272" w:type="pct"/>
          </w:tcPr>
          <w:p w14:paraId="31EE3103" w14:textId="0D554C8D" w:rsidR="002C3F54" w:rsidRPr="000F5EB0" w:rsidRDefault="002C3F54" w:rsidP="00096486">
            <w:pPr>
              <w:pStyle w:val="Tabletext0"/>
            </w:pPr>
            <w:r>
              <w:t>DNA only</w:t>
            </w:r>
          </w:p>
        </w:tc>
      </w:tr>
    </w:tbl>
    <w:p w14:paraId="101D565C" w14:textId="465A0E4D" w:rsidR="00B266C5" w:rsidRDefault="00C41E9B" w:rsidP="00E53F96">
      <w:pPr>
        <w:pStyle w:val="TableFooter"/>
      </w:pPr>
      <w:r w:rsidRPr="002412BE">
        <w:t xml:space="preserve">DNA = deoxyribonucleic acid; </w:t>
      </w:r>
      <w:r>
        <w:t xml:space="preserve">NGS = next generation sequencing; NSCLC = non-small cell lung cancer; RNA = ribonucleic acid; </w:t>
      </w:r>
      <w:r w:rsidR="00072A6C">
        <w:t>RUO = research use only</w:t>
      </w:r>
    </w:p>
    <w:p w14:paraId="5115C9C9" w14:textId="168785CA" w:rsidR="00C41E9B" w:rsidRDefault="00C41E9B" w:rsidP="00E53F96">
      <w:pPr>
        <w:pStyle w:val="TableFooter"/>
      </w:pPr>
    </w:p>
    <w:p w14:paraId="4FAB5CB5" w14:textId="0174B5AC" w:rsidR="0042304B" w:rsidRDefault="00053F6C" w:rsidP="001531D6">
      <w:pPr>
        <w:pStyle w:val="Heading2"/>
        <w:ind w:left="357" w:hanging="357"/>
      </w:pPr>
      <w:bookmarkStart w:id="57" w:name="_Toc148531138"/>
      <w:r w:rsidRPr="00CE28E3">
        <w:t>C</w:t>
      </w:r>
      <w:r w:rsidR="0042304B" w:rsidRPr="00CE28E3">
        <w:t>omparator(s)</w:t>
      </w:r>
      <w:bookmarkEnd w:id="57"/>
    </w:p>
    <w:p w14:paraId="484141E8" w14:textId="17F111D3" w:rsidR="008A754B" w:rsidRDefault="008A754B" w:rsidP="00610ECF">
      <w:pPr>
        <w:pStyle w:val="NormalBeforeBullet"/>
      </w:pPr>
      <w:r w:rsidRPr="00255E20">
        <w:t xml:space="preserve">The comparator to </w:t>
      </w:r>
      <w:r w:rsidR="00C41E9B">
        <w:t>(one or two) small</w:t>
      </w:r>
      <w:r w:rsidRPr="00255E20">
        <w:t xml:space="preserve"> NGS </w:t>
      </w:r>
      <w:r w:rsidR="00C41E9B">
        <w:t>panels</w:t>
      </w:r>
      <w:r w:rsidRPr="00255E20">
        <w:t xml:space="preserve"> is the use of sequential testing of biomarkers for targeted therapies for NSCLC using items currently available on the MBS</w:t>
      </w:r>
      <w:r w:rsidR="00727E73">
        <w:t xml:space="preserve"> (or in the near future)</w:t>
      </w:r>
      <w:r w:rsidRPr="00255E20">
        <w:t xml:space="preserve">. </w:t>
      </w:r>
      <w:r>
        <w:t>Specifically, this is:</w:t>
      </w:r>
    </w:p>
    <w:p w14:paraId="0A8A30A2" w14:textId="228ABC8F" w:rsidR="008A754B" w:rsidRPr="002A257B" w:rsidRDefault="008A754B" w:rsidP="00B649D2">
      <w:pPr>
        <w:pStyle w:val="NormalBeforeBullet"/>
        <w:numPr>
          <w:ilvl w:val="0"/>
          <w:numId w:val="14"/>
        </w:numPr>
      </w:pPr>
      <w:r w:rsidRPr="002A257B">
        <w:t xml:space="preserve">Testing of </w:t>
      </w:r>
      <w:r w:rsidRPr="008A754B">
        <w:rPr>
          <w:i/>
        </w:rPr>
        <w:t xml:space="preserve">EGFR </w:t>
      </w:r>
      <w:r>
        <w:t xml:space="preserve">activating </w:t>
      </w:r>
      <w:r w:rsidR="00962C6C">
        <w:t>variant</w:t>
      </w:r>
      <w:r w:rsidRPr="002A257B">
        <w:t xml:space="preserve"> status</w:t>
      </w:r>
      <w:r>
        <w:t xml:space="preserve"> (MBS item 73337)</w:t>
      </w:r>
    </w:p>
    <w:p w14:paraId="72787809" w14:textId="3364F3BC" w:rsidR="008A754B" w:rsidRPr="000A6CCF" w:rsidRDefault="008A754B" w:rsidP="00B649D2">
      <w:pPr>
        <w:pStyle w:val="NormalBeforeBullet"/>
        <w:numPr>
          <w:ilvl w:val="0"/>
          <w:numId w:val="14"/>
        </w:numPr>
      </w:pPr>
      <w:bookmarkStart w:id="58" w:name="_Hlk75426030"/>
      <w:r w:rsidRPr="002A257B">
        <w:t>Immunohistochemistry</w:t>
      </w:r>
      <w:bookmarkEnd w:id="58"/>
      <w:r w:rsidRPr="002A257B">
        <w:t xml:space="preserve"> </w:t>
      </w:r>
      <w:r>
        <w:t xml:space="preserve">(IHC) </w:t>
      </w:r>
      <w:r w:rsidRPr="002A257B">
        <w:t>testing as triage ALK testing</w:t>
      </w:r>
      <w:r>
        <w:t xml:space="preserve"> and triage ROS1 testing (most </w:t>
      </w:r>
      <w:r w:rsidRPr="000A6CCF">
        <w:t xml:space="preserve">likely </w:t>
      </w:r>
      <w:r w:rsidRPr="00C929A4">
        <w:t>included under</w:t>
      </w:r>
      <w:r w:rsidRPr="000A6CCF">
        <w:t xml:space="preserve"> MBS item </w:t>
      </w:r>
      <w:r w:rsidR="006404F3">
        <w:t>72846</w:t>
      </w:r>
      <w:r w:rsidRPr="000A6CCF">
        <w:t xml:space="preserve"> </w:t>
      </w:r>
      <w:r w:rsidRPr="00C929A4">
        <w:t>at the time of initial diagnosis</w:t>
      </w:r>
      <w:r w:rsidRPr="000A6CCF">
        <w:t>)</w:t>
      </w:r>
    </w:p>
    <w:p w14:paraId="12A1F286" w14:textId="77777777" w:rsidR="008A754B" w:rsidRPr="002A257B" w:rsidRDefault="008A754B" w:rsidP="00B649D2">
      <w:pPr>
        <w:pStyle w:val="NormalBeforeBullet"/>
        <w:numPr>
          <w:ilvl w:val="0"/>
          <w:numId w:val="14"/>
        </w:numPr>
      </w:pPr>
      <w:r w:rsidRPr="002A257B">
        <w:t xml:space="preserve">Testing of </w:t>
      </w:r>
      <w:r w:rsidRPr="008A754B">
        <w:rPr>
          <w:i/>
        </w:rPr>
        <w:t xml:space="preserve">ALK </w:t>
      </w:r>
      <w:r w:rsidRPr="002A257B">
        <w:t>gene rearrangement status by FISH</w:t>
      </w:r>
      <w:r>
        <w:t xml:space="preserve"> (MBS item 73341)</w:t>
      </w:r>
    </w:p>
    <w:p w14:paraId="69E1BEE4" w14:textId="3D8F7CFF" w:rsidR="008A754B" w:rsidRDefault="008A754B" w:rsidP="00B649D2">
      <w:pPr>
        <w:pStyle w:val="NormalBeforeBullet"/>
        <w:numPr>
          <w:ilvl w:val="0"/>
          <w:numId w:val="14"/>
        </w:numPr>
      </w:pPr>
      <w:r w:rsidRPr="002A257B">
        <w:t xml:space="preserve">Testing of </w:t>
      </w:r>
      <w:r w:rsidRPr="008A754B">
        <w:rPr>
          <w:i/>
        </w:rPr>
        <w:t>ROS1</w:t>
      </w:r>
      <w:r w:rsidRPr="002A257B">
        <w:t xml:space="preserve"> gene rearrangement status by FISH</w:t>
      </w:r>
      <w:r>
        <w:t xml:space="preserve"> (MBS item 73344)</w:t>
      </w:r>
    </w:p>
    <w:p w14:paraId="44BB1DAD" w14:textId="7CCB7774" w:rsidR="00137BB9" w:rsidRPr="002A257B" w:rsidRDefault="00137BB9" w:rsidP="00B649D2">
      <w:pPr>
        <w:pStyle w:val="NormalBeforeBullet"/>
        <w:numPr>
          <w:ilvl w:val="0"/>
          <w:numId w:val="14"/>
        </w:numPr>
      </w:pPr>
      <w:r>
        <w:t xml:space="preserve">Testing of </w:t>
      </w:r>
      <w:r>
        <w:rPr>
          <w:i/>
        </w:rPr>
        <w:t>MET</w:t>
      </w:r>
      <w:r>
        <w:t xml:space="preserve">ex14 skipping alterations </w:t>
      </w:r>
      <w:r w:rsidR="00727E73">
        <w:t>(recommended by MSAC)</w:t>
      </w:r>
    </w:p>
    <w:p w14:paraId="50F6FBEE" w14:textId="42E73B74" w:rsidR="005E17FA" w:rsidRDefault="00CE4747" w:rsidP="005E17FA">
      <w:pPr>
        <w:pStyle w:val="NormalBeforeBullet"/>
      </w:pPr>
      <w:r>
        <w:t xml:space="preserve">At the point of diagnosis, patients are testing for </w:t>
      </w:r>
      <w:r>
        <w:rPr>
          <w:i/>
        </w:rPr>
        <w:t>EGFR</w:t>
      </w:r>
      <w:r>
        <w:t xml:space="preserve"> activating variants using a single gene </w:t>
      </w:r>
      <w:r w:rsidR="00F022E4">
        <w:t>panel and</w:t>
      </w:r>
      <w:r>
        <w:t xml:space="preserve"> tested with IHC for ALK and ROS1. MSAC </w:t>
      </w:r>
      <w:r w:rsidR="007E7ED0">
        <w:t xml:space="preserve">has </w:t>
      </w:r>
      <w:r>
        <w:t xml:space="preserve">recommended that testing for </w:t>
      </w:r>
      <w:r>
        <w:rPr>
          <w:i/>
        </w:rPr>
        <w:t>MET</w:t>
      </w:r>
      <w:r>
        <w:t>ex14 skipping</w:t>
      </w:r>
      <w:r w:rsidR="00F022E4">
        <w:t xml:space="preserve"> (</w:t>
      </w:r>
      <w:r w:rsidR="00F022E4">
        <w:rPr>
          <w:i/>
        </w:rPr>
        <w:t>MET</w:t>
      </w:r>
      <w:r w:rsidR="00F022E4">
        <w:t>ex14sk)</w:t>
      </w:r>
      <w:r>
        <w:t xml:space="preserve"> alterations be performed without </w:t>
      </w:r>
      <w:r w:rsidR="005E17FA">
        <w:t xml:space="preserve">the absence of other NSCLC biomarkers being a pre-requisite (Public Summary Document, ADAR 1660, p1). Although </w:t>
      </w:r>
      <w:r w:rsidR="005E17FA">
        <w:rPr>
          <w:i/>
        </w:rPr>
        <w:t>MET</w:t>
      </w:r>
      <w:r w:rsidR="005E17FA">
        <w:t xml:space="preserve">ex14sk testing is limited to patients with locally advanced or metastatic disease, the majority of patients meet </w:t>
      </w:r>
      <w:r w:rsidR="005E17FA">
        <w:lastRenderedPageBreak/>
        <w:t xml:space="preserve">this criteria at the point of diagnosis, so are assumed to be tested for </w:t>
      </w:r>
      <w:r w:rsidR="005E17FA">
        <w:rPr>
          <w:i/>
        </w:rPr>
        <w:t>MET</w:t>
      </w:r>
      <w:r w:rsidR="005E17FA">
        <w:t xml:space="preserve">ex14sk at the point of diagnosis. </w:t>
      </w:r>
    </w:p>
    <w:p w14:paraId="6758FDA3" w14:textId="0674256F" w:rsidR="005E17FA" w:rsidRDefault="005E17FA" w:rsidP="005E17FA">
      <w:r>
        <w:t xml:space="preserve">If </w:t>
      </w:r>
      <w:r w:rsidR="00614AE7">
        <w:t xml:space="preserve">the </w:t>
      </w:r>
      <w:r>
        <w:t>patient</w:t>
      </w:r>
      <w:r w:rsidR="00614AE7">
        <w:t>’</w:t>
      </w:r>
      <w:r>
        <w:t xml:space="preserve">s </w:t>
      </w:r>
      <w:r w:rsidR="00614AE7">
        <w:t xml:space="preserve">tumour is </w:t>
      </w:r>
      <w:r w:rsidRPr="005127FD">
        <w:rPr>
          <w:i/>
        </w:rPr>
        <w:t>EGFR</w:t>
      </w:r>
      <w:r w:rsidRPr="005127FD">
        <w:t xml:space="preserve"> </w:t>
      </w:r>
      <w:r>
        <w:t xml:space="preserve">activating </w:t>
      </w:r>
      <w:r w:rsidR="003B6EB2">
        <w:t>variant</w:t>
      </w:r>
      <w:r>
        <w:t xml:space="preserve"> negative, but positive or equivocal on ALK IHC triage testing (staining intensity score &gt;0), they may </w:t>
      </w:r>
      <w:r w:rsidR="00614AE7">
        <w:t xml:space="preserve">undergo confirmatory </w:t>
      </w:r>
      <w:r w:rsidRPr="00F57034">
        <w:rPr>
          <w:i/>
        </w:rPr>
        <w:t>ALK</w:t>
      </w:r>
      <w:r>
        <w:t xml:space="preserve"> gene rearrangement testing using FISH if/when they have locally advanced or metastatic disease.</w:t>
      </w:r>
    </w:p>
    <w:p w14:paraId="5C0742EF" w14:textId="2323DC37" w:rsidR="005E17FA" w:rsidRDefault="005E17FA" w:rsidP="005E17FA">
      <w:r>
        <w:t xml:space="preserve">Likewise, if </w:t>
      </w:r>
      <w:r w:rsidR="00614AE7">
        <w:t xml:space="preserve">the </w:t>
      </w:r>
      <w:r>
        <w:t>patient</w:t>
      </w:r>
      <w:r w:rsidR="00614AE7">
        <w:t>’</w:t>
      </w:r>
      <w:r>
        <w:t xml:space="preserve">s </w:t>
      </w:r>
      <w:r w:rsidR="00614AE7">
        <w:t xml:space="preserve">tumour is </w:t>
      </w:r>
      <w:r>
        <w:rPr>
          <w:i/>
        </w:rPr>
        <w:t>EGFR</w:t>
      </w:r>
      <w:r>
        <w:t xml:space="preserve"> variant negative, but positive or equivocal on ROS1 IHC triage testing (staining intensity score of 2+ or 3+), they may </w:t>
      </w:r>
      <w:r w:rsidR="00614AE7">
        <w:t xml:space="preserve">undergo confirmatory </w:t>
      </w:r>
      <w:r w:rsidRPr="00F57034">
        <w:rPr>
          <w:i/>
        </w:rPr>
        <w:t>ROS1</w:t>
      </w:r>
      <w:r>
        <w:t xml:space="preserve"> gene rearrangement testing using FISH if/when they have locally advanced or metastatic disease.</w:t>
      </w:r>
    </w:p>
    <w:p w14:paraId="1F11B9BA" w14:textId="4C805570" w:rsidR="008A754B" w:rsidRDefault="005E17FA" w:rsidP="008A754B">
      <w:r>
        <w:t xml:space="preserve">If patients are not locally advanced or metastatic at the time of diagnosis, then a block retrieval item (MBS item 72860) </w:t>
      </w:r>
      <w:r w:rsidRPr="000A6CCF">
        <w:t>may be required</w:t>
      </w:r>
      <w:r>
        <w:t xml:space="preserve"> if referral to an outside laboratory is</w:t>
      </w:r>
      <w:r w:rsidR="00403D0C">
        <w:t xml:space="preserve"> required for the FISH testing.</w:t>
      </w:r>
    </w:p>
    <w:p w14:paraId="060ED337" w14:textId="77777777" w:rsidR="008A754B" w:rsidRPr="00263D08" w:rsidRDefault="008A754B" w:rsidP="00610ECF">
      <w:pPr>
        <w:pStyle w:val="NormalBeforeBullet"/>
      </w:pPr>
      <w:r w:rsidRPr="00183E4D">
        <w:t>The MBS item</w:t>
      </w:r>
      <w:r>
        <w:t>s</w:t>
      </w:r>
      <w:r w:rsidRPr="00263D08">
        <w:t xml:space="preserve"> relevant </w:t>
      </w:r>
      <w:r>
        <w:t xml:space="preserve">to the </w:t>
      </w:r>
      <w:r w:rsidRPr="00263D08">
        <w:t>comparator are summarised below.</w:t>
      </w:r>
    </w:p>
    <w:p w14:paraId="01C992C4" w14:textId="2B69C620" w:rsidR="008A754B" w:rsidRPr="00183E4D" w:rsidRDefault="008A754B" w:rsidP="008A754B">
      <w:pPr>
        <w:pStyle w:val="Caption"/>
      </w:pPr>
      <w:bookmarkStart w:id="59" w:name="_Ref350151252"/>
      <w:bookmarkStart w:id="60" w:name="_Ref350151231"/>
      <w:bookmarkStart w:id="61" w:name="_Toc350258536"/>
      <w:bookmarkStart w:id="62" w:name="_Toc381969860"/>
      <w:bookmarkStart w:id="63" w:name="_Toc2781270"/>
      <w:r w:rsidRPr="00263D08">
        <w:t xml:space="preserve">Table </w:t>
      </w:r>
      <w:r>
        <w:rPr>
          <w:noProof/>
        </w:rPr>
        <w:fldChar w:fldCharType="begin"/>
      </w:r>
      <w:r>
        <w:rPr>
          <w:noProof/>
        </w:rPr>
        <w:instrText xml:space="preserve"> SEQ Table \* ARABIC </w:instrText>
      </w:r>
      <w:r>
        <w:rPr>
          <w:noProof/>
        </w:rPr>
        <w:fldChar w:fldCharType="separate"/>
      </w:r>
      <w:r w:rsidR="00C857F3">
        <w:rPr>
          <w:noProof/>
        </w:rPr>
        <w:t>20</w:t>
      </w:r>
      <w:r>
        <w:rPr>
          <w:noProof/>
        </w:rPr>
        <w:fldChar w:fldCharType="end"/>
      </w:r>
      <w:bookmarkEnd w:id="59"/>
      <w:r w:rsidRPr="00263D08">
        <w:rPr>
          <w:noProof/>
        </w:rPr>
        <w:tab/>
      </w:r>
      <w:r w:rsidRPr="00263D08">
        <w:t>Relevant MBS item</w:t>
      </w:r>
      <w:r>
        <w:t>s</w:t>
      </w:r>
      <w:r w:rsidRPr="00263D08">
        <w:t xml:space="preserve"> for the </w:t>
      </w:r>
      <w:bookmarkEnd w:id="60"/>
      <w:bookmarkEnd w:id="61"/>
      <w:r w:rsidRPr="00263D08">
        <w:t>comparator</w:t>
      </w:r>
      <w:bookmarkEnd w:id="62"/>
      <w:bookmarkEnd w:id="63"/>
    </w:p>
    <w:tbl>
      <w:tblPr>
        <w:tblStyle w:val="TableGrid1"/>
        <w:tblW w:w="0" w:type="auto"/>
        <w:tblInd w:w="-5" w:type="dxa"/>
        <w:tblLook w:val="04A0" w:firstRow="1" w:lastRow="0" w:firstColumn="1" w:lastColumn="0" w:noHBand="0" w:noVBand="1"/>
        <w:tblCaption w:val="Relevant MBS items for the comparator"/>
        <w:tblDescription w:val="Relevant MBS items for the comparator"/>
      </w:tblPr>
      <w:tblGrid>
        <w:gridCol w:w="9021"/>
      </w:tblGrid>
      <w:tr w:rsidR="008A754B" w:rsidRPr="00183E4D" w14:paraId="5E0F320C" w14:textId="77777777" w:rsidTr="008A754B">
        <w:trPr>
          <w:cnfStyle w:val="100000000000" w:firstRow="1" w:lastRow="0" w:firstColumn="0" w:lastColumn="0" w:oddVBand="0" w:evenVBand="0" w:oddHBand="0" w:evenHBand="0" w:firstRowFirstColumn="0" w:firstRowLastColumn="0" w:lastRowFirstColumn="0" w:lastRowLastColumn="0"/>
          <w:trHeight w:val="335"/>
        </w:trPr>
        <w:tc>
          <w:tcPr>
            <w:tcW w:w="9021" w:type="dxa"/>
          </w:tcPr>
          <w:p w14:paraId="2D101C02" w14:textId="77777777" w:rsidR="008A754B" w:rsidRPr="00183E4D" w:rsidRDefault="008A754B" w:rsidP="001D6EE5">
            <w:pPr>
              <w:pStyle w:val="TableText"/>
            </w:pPr>
            <w:r w:rsidRPr="00183E4D">
              <w:t xml:space="preserve">Category </w:t>
            </w:r>
            <w:r w:rsidRPr="0059214C">
              <w:t xml:space="preserve">6 – </w:t>
            </w:r>
            <w:r>
              <w:t>PATHOLOGY SERVICES</w:t>
            </w:r>
            <w:r>
              <w:tab/>
              <w:t>Group P7 - Genetics</w:t>
            </w:r>
          </w:p>
        </w:tc>
      </w:tr>
      <w:tr w:rsidR="008A754B" w:rsidRPr="00183E4D" w14:paraId="57439A00" w14:textId="77777777" w:rsidTr="008A754B">
        <w:tc>
          <w:tcPr>
            <w:tcW w:w="9021" w:type="dxa"/>
          </w:tcPr>
          <w:p w14:paraId="07FFE57B" w14:textId="5329F897" w:rsidR="008A754B" w:rsidRPr="00263D08" w:rsidRDefault="00665A1C" w:rsidP="001D6EE5">
            <w:pPr>
              <w:pStyle w:val="TableText"/>
            </w:pPr>
            <w:r>
              <w:t>72846</w:t>
            </w:r>
          </w:p>
          <w:p w14:paraId="7F136178" w14:textId="0C329818" w:rsidR="008A754B" w:rsidRDefault="008A754B" w:rsidP="001D6EE5">
            <w:pPr>
              <w:pStyle w:val="TableText"/>
            </w:pPr>
            <w:r>
              <w:t xml:space="preserve">Immunohistochemical examination of biopsy material by immunofluorescence, immunoperoxidase or other labelled antibody techniques with multiple antigenic specificities per specimen - </w:t>
            </w:r>
            <w:r w:rsidR="00665A1C">
              <w:t>1 to 3</w:t>
            </w:r>
            <w:r>
              <w:t xml:space="preserve"> antibodies </w:t>
            </w:r>
          </w:p>
          <w:p w14:paraId="258F24DE" w14:textId="77777777" w:rsidR="008A754B" w:rsidRPr="00BB3D7A" w:rsidRDefault="008A754B" w:rsidP="001D6EE5">
            <w:pPr>
              <w:pStyle w:val="TableText"/>
            </w:pPr>
          </w:p>
          <w:p w14:paraId="7F861E41" w14:textId="43F1B7AD" w:rsidR="008A754B" w:rsidRPr="00183E4D" w:rsidRDefault="008A754B" w:rsidP="00665A1C">
            <w:pPr>
              <w:pStyle w:val="TableText"/>
            </w:pPr>
            <w:r>
              <w:rPr>
                <w:b/>
                <w:bCs/>
              </w:rPr>
              <w:t>Fee:</w:t>
            </w:r>
            <w:r>
              <w:t xml:space="preserve"> $</w:t>
            </w:r>
            <w:r w:rsidR="00665A1C">
              <w:t>59.60</w:t>
            </w:r>
            <w:r>
              <w:t xml:space="preserve"> </w:t>
            </w:r>
            <w:r>
              <w:rPr>
                <w:b/>
                <w:bCs/>
              </w:rPr>
              <w:t>Benefit:</w:t>
            </w:r>
            <w:r>
              <w:t xml:space="preserve"> 75% = $</w:t>
            </w:r>
            <w:r w:rsidR="00665A1C">
              <w:t xml:space="preserve">44.70 </w:t>
            </w:r>
            <w:r>
              <w:t xml:space="preserve"> 85% = $</w:t>
            </w:r>
            <w:r w:rsidR="00665A1C">
              <w:t>50.70</w:t>
            </w:r>
          </w:p>
        </w:tc>
      </w:tr>
      <w:tr w:rsidR="008A754B" w:rsidRPr="00183E4D" w14:paraId="0F1D9700" w14:textId="77777777" w:rsidTr="008A754B">
        <w:tc>
          <w:tcPr>
            <w:tcW w:w="9021" w:type="dxa"/>
          </w:tcPr>
          <w:p w14:paraId="5A849F9F" w14:textId="77777777" w:rsidR="008A754B" w:rsidRPr="00263D08" w:rsidRDefault="008A754B" w:rsidP="001D6EE5">
            <w:pPr>
              <w:pStyle w:val="TableText"/>
            </w:pPr>
            <w:r w:rsidRPr="00263D08">
              <w:t>73337</w:t>
            </w:r>
          </w:p>
          <w:p w14:paraId="2585D510" w14:textId="77777777" w:rsidR="0083676F" w:rsidRDefault="008A754B" w:rsidP="001D6EE5">
            <w:pPr>
              <w:pStyle w:val="TableText"/>
            </w:pPr>
            <w:r>
              <w:t>A test of tumour tissue from a patient diagnosed with non-small cell lung cancer, shown to have non-squamous histology or histology not otherwise specified, requested by, or on behalf of, a specialist or consultant physician, to determine</w:t>
            </w:r>
            <w:r w:rsidR="0083676F">
              <w:t>:</w:t>
            </w:r>
          </w:p>
          <w:p w14:paraId="2383D9B0" w14:textId="24100F6C" w:rsidR="0083676F" w:rsidRDefault="0083676F" w:rsidP="00956452">
            <w:pPr>
              <w:pStyle w:val="TableText"/>
              <w:ind w:left="720"/>
            </w:pPr>
            <w:r>
              <w:t>a.</w:t>
            </w:r>
            <w:r w:rsidR="008A754B">
              <w:t xml:space="preserve"> if the requirements relating to epidermal growth factor receptor (</w:t>
            </w:r>
            <w:r w:rsidR="008A754B" w:rsidRPr="007F786A">
              <w:rPr>
                <w:i/>
              </w:rPr>
              <w:t>EGFR</w:t>
            </w:r>
            <w:r w:rsidR="008A754B">
              <w:t xml:space="preserve">) gene status for access to </w:t>
            </w:r>
            <w:r>
              <w:t>EGFR tyrosine kinase inhibitor</w:t>
            </w:r>
            <w:r w:rsidR="008A754B">
              <w:t xml:space="preserve"> under the Pharmaceutical Benefits Scheme  are fulfilled</w:t>
            </w:r>
            <w:r>
              <w:t>; or</w:t>
            </w:r>
          </w:p>
          <w:p w14:paraId="2CEC8B5A" w14:textId="172C6FF0" w:rsidR="008A754B" w:rsidRDefault="0083676F" w:rsidP="00956452">
            <w:pPr>
              <w:pStyle w:val="TableText"/>
              <w:ind w:left="720"/>
            </w:pPr>
            <w:r>
              <w:t xml:space="preserve">b. if the requirements relating to EGFR status for access to pembrolizumab under the Pharmaceutical Benefits </w:t>
            </w:r>
            <w:r w:rsidR="00DE60C3">
              <w:t>S</w:t>
            </w:r>
            <w:r>
              <w:t>cheme are fulfilled.</w:t>
            </w:r>
          </w:p>
          <w:p w14:paraId="09AAC774" w14:textId="77777777" w:rsidR="008A754B" w:rsidRPr="00BB3D7A" w:rsidRDefault="008A754B" w:rsidP="001D6EE5">
            <w:pPr>
              <w:pStyle w:val="TableText"/>
            </w:pPr>
          </w:p>
          <w:p w14:paraId="77B252C0" w14:textId="77777777" w:rsidR="008A754B" w:rsidRPr="00183E4D" w:rsidRDefault="008A754B" w:rsidP="001D6EE5">
            <w:pPr>
              <w:pStyle w:val="TableText"/>
            </w:pPr>
            <w:r>
              <w:rPr>
                <w:b/>
                <w:bCs/>
              </w:rPr>
              <w:t>Fee:</w:t>
            </w:r>
            <w:r>
              <w:t xml:space="preserve"> $397.35 </w:t>
            </w:r>
            <w:r>
              <w:rPr>
                <w:b/>
                <w:bCs/>
              </w:rPr>
              <w:t>Benefit:</w:t>
            </w:r>
            <w:r>
              <w:t xml:space="preserve"> 75% = $298.05 85% = $337.75</w:t>
            </w:r>
          </w:p>
        </w:tc>
      </w:tr>
      <w:tr w:rsidR="008A754B" w:rsidRPr="00183E4D" w14:paraId="7976D29E" w14:textId="77777777" w:rsidTr="008A754B">
        <w:tc>
          <w:tcPr>
            <w:tcW w:w="9021" w:type="dxa"/>
          </w:tcPr>
          <w:p w14:paraId="7D36893A" w14:textId="77777777" w:rsidR="008A754B" w:rsidRPr="00263D08" w:rsidRDefault="008A754B" w:rsidP="001D6EE5">
            <w:pPr>
              <w:pStyle w:val="TableText"/>
            </w:pPr>
            <w:r w:rsidRPr="00263D08">
              <w:t>73341</w:t>
            </w:r>
          </w:p>
          <w:p w14:paraId="18862DBA" w14:textId="77777777" w:rsidR="0083676F" w:rsidRDefault="008A754B" w:rsidP="001D6EE5">
            <w:pPr>
              <w:pStyle w:val="TableText"/>
            </w:pPr>
            <w:r>
              <w:t>Fluorescence in situ hybridisation (FISH) test of tumour tissue from a patient with locally advanced or metastatic non-small cell lung cancer, which is of non-squamous histology or histology not otherwise specified, with documented evidence of anaplastic lymphoma kinase (</w:t>
            </w:r>
            <w:r w:rsidRPr="00547C61">
              <w:rPr>
                <w:i/>
              </w:rPr>
              <w:t>ALK</w:t>
            </w:r>
            <w:r>
              <w:t>) immunoreactivity by immunohistochemical (IHC) examination giving a staining intensity score &gt; 0, and with documented absence of activating mutations of the epidermal growth factor receptor (</w:t>
            </w:r>
            <w:r w:rsidRPr="007F786A">
              <w:rPr>
                <w:i/>
              </w:rPr>
              <w:t>EGFR</w:t>
            </w:r>
            <w:r>
              <w:t>) gene, requested by a specialist or consultant physician</w:t>
            </w:r>
            <w:r w:rsidR="0083676F">
              <w:t>,</w:t>
            </w:r>
            <w:r>
              <w:t xml:space="preserve"> to determine</w:t>
            </w:r>
            <w:r w:rsidR="0083676F">
              <w:t>:</w:t>
            </w:r>
          </w:p>
          <w:p w14:paraId="29CCC102" w14:textId="77777777" w:rsidR="0083676F" w:rsidRDefault="0083676F" w:rsidP="00956452">
            <w:pPr>
              <w:pStyle w:val="TableText"/>
              <w:ind w:left="720"/>
            </w:pPr>
            <w:r>
              <w:t>a.</w:t>
            </w:r>
            <w:r w:rsidR="008A754B">
              <w:t xml:space="preserve"> if requirements relating to </w:t>
            </w:r>
            <w:r w:rsidR="008A754B" w:rsidRPr="00547C61">
              <w:rPr>
                <w:i/>
              </w:rPr>
              <w:t>ALK</w:t>
            </w:r>
            <w:r w:rsidR="008A754B">
              <w:t xml:space="preserve"> gene rearrangement status for access to an anaplastic lymphoma kinase inhibitor under the Pharmaceutical Benefits Scheme (PBS) are fulfilled</w:t>
            </w:r>
            <w:r>
              <w:t>; or</w:t>
            </w:r>
          </w:p>
          <w:p w14:paraId="303B790C" w14:textId="1ECF0B87" w:rsidR="008A754B" w:rsidRDefault="0083676F" w:rsidP="00956452">
            <w:pPr>
              <w:pStyle w:val="TableText"/>
              <w:ind w:left="720"/>
            </w:pPr>
            <w:r>
              <w:t xml:space="preserve">b. if requirements relating to </w:t>
            </w:r>
            <w:r>
              <w:rPr>
                <w:i/>
              </w:rPr>
              <w:t>ALK</w:t>
            </w:r>
            <w:r>
              <w:t xml:space="preserve"> status for access to pembrolizumab under the Pharmaceutical Benefits </w:t>
            </w:r>
            <w:r w:rsidR="00DE60C3">
              <w:t>S</w:t>
            </w:r>
            <w:r>
              <w:t>cheme are fulfilled.</w:t>
            </w:r>
          </w:p>
          <w:p w14:paraId="749F8850" w14:textId="77777777" w:rsidR="008A754B" w:rsidRPr="00BB3D7A" w:rsidRDefault="008A754B" w:rsidP="001D6EE5">
            <w:pPr>
              <w:pStyle w:val="TableText"/>
            </w:pPr>
          </w:p>
          <w:p w14:paraId="273D65CB" w14:textId="77777777" w:rsidR="008A754B" w:rsidRPr="00183E4D" w:rsidRDefault="008A754B" w:rsidP="001D6EE5">
            <w:pPr>
              <w:pStyle w:val="TableText"/>
            </w:pPr>
            <w:r>
              <w:rPr>
                <w:b/>
                <w:bCs/>
              </w:rPr>
              <w:t>Fee:</w:t>
            </w:r>
            <w:r>
              <w:t xml:space="preserve"> $400.00 </w:t>
            </w:r>
            <w:r>
              <w:rPr>
                <w:b/>
                <w:bCs/>
              </w:rPr>
              <w:t>Benefit:</w:t>
            </w:r>
            <w:r>
              <w:t xml:space="preserve"> 75% = $300.00 85% = $340.00</w:t>
            </w:r>
          </w:p>
        </w:tc>
      </w:tr>
      <w:tr w:rsidR="008A754B" w:rsidRPr="00183E4D" w14:paraId="24639330" w14:textId="77777777" w:rsidTr="008A754B">
        <w:tc>
          <w:tcPr>
            <w:tcW w:w="9021" w:type="dxa"/>
          </w:tcPr>
          <w:p w14:paraId="5E7AE83D" w14:textId="77777777" w:rsidR="008A754B" w:rsidRPr="00263D08" w:rsidRDefault="008A754B" w:rsidP="001D6EE5">
            <w:pPr>
              <w:pStyle w:val="TableText"/>
            </w:pPr>
            <w:r w:rsidRPr="00263D08">
              <w:t>73344</w:t>
            </w:r>
          </w:p>
          <w:p w14:paraId="25C7573D" w14:textId="0F4896D7" w:rsidR="00FF1F97" w:rsidRDefault="008A754B" w:rsidP="001D6EE5">
            <w:pPr>
              <w:pStyle w:val="TableText"/>
            </w:pPr>
            <w:r>
              <w:t>Fluorescence in situ hybridization (FISH) test of tumour tissue from a patient with locally advanced or metastatic non-small-cell lung cancer (NSCLC), which is of non-squamous histology or histology not otherwise specified, with documented evidence of ROS proto-oncogene 1 (ROS1) immunoreactivity by immunohistochemical (IHC) examination giving a staining intensity score of 2+ or 3+; and with documented absence of both activating mutations of the epidermal growth factor receptor (</w:t>
            </w:r>
            <w:r w:rsidRPr="007F786A">
              <w:rPr>
                <w:i/>
              </w:rPr>
              <w:t>EGFR</w:t>
            </w:r>
            <w:r>
              <w:t>) gene and anaplastic lymphoma kinase (ALK) immunoreactivity by IHC, requested by a specialist or consultant physician</w:t>
            </w:r>
            <w:r w:rsidR="00FF1F97">
              <w:t>,</w:t>
            </w:r>
            <w:r>
              <w:t xml:space="preserve"> to determine</w:t>
            </w:r>
            <w:r w:rsidR="00FF1F97">
              <w:t>:</w:t>
            </w:r>
          </w:p>
          <w:p w14:paraId="01F5C901" w14:textId="77777777" w:rsidR="00FF1F97" w:rsidRDefault="00FF1F97" w:rsidP="00956452">
            <w:pPr>
              <w:pStyle w:val="TableText"/>
              <w:ind w:left="720"/>
            </w:pPr>
            <w:r>
              <w:t>a.</w:t>
            </w:r>
            <w:r w:rsidR="008A754B">
              <w:t xml:space="preserve"> if requirements relating to </w:t>
            </w:r>
            <w:r w:rsidR="008A754B" w:rsidRPr="00547C61">
              <w:rPr>
                <w:i/>
              </w:rPr>
              <w:t>ROS1</w:t>
            </w:r>
            <w:r w:rsidR="008A754B">
              <w:t xml:space="preserve"> gene rearrangement status for access to crizotinib or entrectinib under the Pharmaceutical Benefits Scheme are fulfilled</w:t>
            </w:r>
            <w:r>
              <w:t>; or</w:t>
            </w:r>
          </w:p>
          <w:p w14:paraId="2C2C5B48" w14:textId="07F9FC82" w:rsidR="008A754B" w:rsidRDefault="00FF1F97" w:rsidP="00956452">
            <w:pPr>
              <w:pStyle w:val="TableText"/>
              <w:ind w:left="720"/>
            </w:pPr>
            <w:r>
              <w:lastRenderedPageBreak/>
              <w:t xml:space="preserve"> b. if requirements relating to </w:t>
            </w:r>
            <w:r>
              <w:rPr>
                <w:i/>
              </w:rPr>
              <w:t>ROS1</w:t>
            </w:r>
            <w:r>
              <w:t xml:space="preserve"> status for access to pembrolizumab under the Pharmaceutical Benefits </w:t>
            </w:r>
            <w:r w:rsidR="00DE60C3">
              <w:t>S</w:t>
            </w:r>
            <w:r>
              <w:t>cheme are fulfilled.</w:t>
            </w:r>
          </w:p>
          <w:p w14:paraId="3CB69AF2" w14:textId="77777777" w:rsidR="008A754B" w:rsidRPr="00BB3D7A" w:rsidRDefault="008A754B" w:rsidP="001D6EE5">
            <w:pPr>
              <w:pStyle w:val="TableText"/>
            </w:pPr>
          </w:p>
          <w:p w14:paraId="4462FBD2" w14:textId="77777777" w:rsidR="008A754B" w:rsidRPr="00183E4D" w:rsidRDefault="008A754B" w:rsidP="001D6EE5">
            <w:pPr>
              <w:pStyle w:val="TableText"/>
            </w:pPr>
            <w:r>
              <w:rPr>
                <w:b/>
                <w:bCs/>
              </w:rPr>
              <w:t>Fee:</w:t>
            </w:r>
            <w:r>
              <w:t xml:space="preserve"> $400.00 </w:t>
            </w:r>
            <w:r>
              <w:rPr>
                <w:b/>
                <w:bCs/>
              </w:rPr>
              <w:t>Benefit:</w:t>
            </w:r>
            <w:r>
              <w:t xml:space="preserve"> 75% = $300.00 85% = $340.00</w:t>
            </w:r>
          </w:p>
        </w:tc>
      </w:tr>
      <w:tr w:rsidR="008A754B" w:rsidRPr="00183E4D" w14:paraId="1885E733" w14:textId="77777777" w:rsidTr="008A754B">
        <w:tc>
          <w:tcPr>
            <w:tcW w:w="9021" w:type="dxa"/>
          </w:tcPr>
          <w:p w14:paraId="1B12617F" w14:textId="77777777" w:rsidR="008A754B" w:rsidRDefault="008A754B" w:rsidP="001D6EE5">
            <w:pPr>
              <w:pStyle w:val="TableText"/>
            </w:pPr>
            <w:r>
              <w:lastRenderedPageBreak/>
              <w:t>72860</w:t>
            </w:r>
          </w:p>
          <w:p w14:paraId="2B32FC6F" w14:textId="77777777" w:rsidR="008A754B" w:rsidRPr="00756B87" w:rsidRDefault="008A754B" w:rsidP="001D6EE5">
            <w:pPr>
              <w:pStyle w:val="TableText"/>
            </w:pPr>
            <w:r w:rsidRPr="00756B87">
              <w:t>Retrieval and review of one or more archived formalin fixed paraffin embedded blocks to determine the appropriate samples for the purpose of conducting genetic testing, other than:</w:t>
            </w:r>
          </w:p>
          <w:p w14:paraId="5E0B0A1C" w14:textId="77777777" w:rsidR="008A754B" w:rsidRPr="00756B87" w:rsidRDefault="008A754B" w:rsidP="001D6EE5">
            <w:pPr>
              <w:pStyle w:val="TableText"/>
            </w:pPr>
            <w:r w:rsidRPr="00756B87">
              <w:t>(a) a service associated with a service to which item 72858 or 72859 applies; or</w:t>
            </w:r>
          </w:p>
          <w:p w14:paraId="688FC191" w14:textId="77777777" w:rsidR="008A754B" w:rsidRPr="00756B87" w:rsidRDefault="008A754B" w:rsidP="001D6EE5">
            <w:pPr>
              <w:pStyle w:val="TableText"/>
            </w:pPr>
            <w:r w:rsidRPr="00756B87">
              <w:t>(b) a service associated with, and rendered in the same patient episode as, a service to which an item in Group P5, P6, P10 or P11 applies</w:t>
            </w:r>
          </w:p>
          <w:p w14:paraId="6E01B901" w14:textId="77777777" w:rsidR="008A754B" w:rsidRPr="00756B87" w:rsidRDefault="008A754B" w:rsidP="001D6EE5">
            <w:pPr>
              <w:pStyle w:val="TableText"/>
            </w:pPr>
            <w:r w:rsidRPr="00756B87">
              <w:t>Applicable not more than once in a patient episode</w:t>
            </w:r>
          </w:p>
          <w:p w14:paraId="532359B1" w14:textId="77777777" w:rsidR="008A754B" w:rsidRPr="00756B87" w:rsidRDefault="008A754B" w:rsidP="001D6EE5">
            <w:pPr>
              <w:pStyle w:val="TableText"/>
            </w:pPr>
            <w:r w:rsidRPr="00756B87">
              <w:t> </w:t>
            </w:r>
          </w:p>
          <w:p w14:paraId="0E34BEBC" w14:textId="77777777" w:rsidR="008A754B" w:rsidRPr="00756B87" w:rsidRDefault="008A754B" w:rsidP="001D6EE5">
            <w:pPr>
              <w:pStyle w:val="TableText"/>
            </w:pPr>
            <w:r w:rsidRPr="00EA446D">
              <w:rPr>
                <w:b/>
              </w:rPr>
              <w:t>Fee</w:t>
            </w:r>
            <w:r w:rsidRPr="00756B87">
              <w:t xml:space="preserve">: $85.00 </w:t>
            </w:r>
            <w:r w:rsidRPr="00EA446D">
              <w:rPr>
                <w:b/>
              </w:rPr>
              <w:t>Benefit</w:t>
            </w:r>
            <w:r w:rsidRPr="00756B87">
              <w:t xml:space="preserve">: 75% = $63.75 85% = $72.25 </w:t>
            </w:r>
          </w:p>
        </w:tc>
      </w:tr>
      <w:tr w:rsidR="00EA446D" w:rsidRPr="00183E4D" w14:paraId="633C9432" w14:textId="77777777" w:rsidTr="008A754B">
        <w:tc>
          <w:tcPr>
            <w:tcW w:w="9021" w:type="dxa"/>
          </w:tcPr>
          <w:p w14:paraId="1C7EA578" w14:textId="14020DD9" w:rsidR="00EA446D" w:rsidRDefault="00EA446D" w:rsidP="001D6EE5">
            <w:pPr>
              <w:pStyle w:val="TableText"/>
            </w:pPr>
            <w:r>
              <w:t xml:space="preserve">MSACs supported MBS item for </w:t>
            </w:r>
            <w:r>
              <w:rPr>
                <w:i/>
              </w:rPr>
              <w:t>MET</w:t>
            </w:r>
            <w:r>
              <w:t>ex14sk testing</w:t>
            </w:r>
            <w:r w:rsidR="00665A1C">
              <w:t xml:space="preserve"> </w:t>
            </w:r>
            <w:r w:rsidR="00665A1C" w:rsidRPr="00956452">
              <w:rPr>
                <w:i/>
              </w:rPr>
              <w:t>(with amendments</w:t>
            </w:r>
            <w:r w:rsidR="00C03444">
              <w:rPr>
                <w:i/>
              </w:rPr>
              <w:t xml:space="preserve"> proposed by HTA group to be consistent with PBAC recommendations</w:t>
            </w:r>
            <w:r w:rsidR="00665A1C" w:rsidRPr="00956452">
              <w:rPr>
                <w:i/>
              </w:rPr>
              <w:t>)</w:t>
            </w:r>
          </w:p>
          <w:p w14:paraId="0038E269" w14:textId="77777777" w:rsidR="00C42761" w:rsidRDefault="00EA446D" w:rsidP="001D6EE5">
            <w:pPr>
              <w:pStyle w:val="TableText"/>
            </w:pPr>
            <w:r w:rsidRPr="002F38D7">
              <w:t>A test of tumour tissue from a patient diagnosed with locally advanced or metastatic non-small cell lung cancer</w:t>
            </w:r>
            <w:r>
              <w:t>,</w:t>
            </w:r>
            <w:r w:rsidRPr="002F38D7">
              <w:t xml:space="preserve"> </w:t>
            </w:r>
            <w:r w:rsidRPr="00956452">
              <w:rPr>
                <w:strike/>
                <w:color w:val="C00000"/>
              </w:rPr>
              <w:t xml:space="preserve">shown to have non-squamous histology or histology not otherwise specified, </w:t>
            </w:r>
            <w:r w:rsidRPr="00EA446D">
              <w:t>requested</w:t>
            </w:r>
            <w:r w:rsidRPr="002F38D7">
              <w:t xml:space="preserve"> by, or on behalf of, a specialist or consultant physician</w:t>
            </w:r>
            <w:r w:rsidR="00C42761">
              <w:t>,</w:t>
            </w:r>
            <w:r w:rsidRPr="002F38D7">
              <w:t xml:space="preserve"> to determine</w:t>
            </w:r>
            <w:r w:rsidR="00C42761">
              <w:t>:</w:t>
            </w:r>
          </w:p>
          <w:p w14:paraId="008454A1" w14:textId="3BDF0281" w:rsidR="00C42761" w:rsidRDefault="00C42761" w:rsidP="00956452">
            <w:pPr>
              <w:pStyle w:val="TableText"/>
              <w:ind w:left="720"/>
            </w:pPr>
            <w:r>
              <w:t>a.</w:t>
            </w:r>
            <w:r w:rsidR="00EA446D" w:rsidRPr="002F38D7">
              <w:t xml:space="preserve"> if the requirements relating to </w:t>
            </w:r>
            <w:r w:rsidR="00EA446D" w:rsidRPr="002C5802">
              <w:rPr>
                <w:i/>
                <w:iCs/>
              </w:rPr>
              <w:t>MET</w:t>
            </w:r>
            <w:r w:rsidR="00EA446D" w:rsidRPr="002F38D7">
              <w:t xml:space="preserve"> exon 14 skipping alteration status for access to tepotinib are fulfilled under the Pharmaceutical Benefits Scheme (PBS)</w:t>
            </w:r>
          </w:p>
          <w:p w14:paraId="18561AE3" w14:textId="1C58BF20" w:rsidR="00C42761" w:rsidRDefault="00C42761" w:rsidP="00C42761">
            <w:pPr>
              <w:pStyle w:val="TableText"/>
              <w:ind w:left="720"/>
            </w:pPr>
            <w:r w:rsidRPr="00956452">
              <w:rPr>
                <w:color w:val="C00000"/>
              </w:rPr>
              <w:t xml:space="preserve">b. if requirements relating to </w:t>
            </w:r>
            <w:r w:rsidRPr="00956452">
              <w:rPr>
                <w:i/>
                <w:color w:val="C00000"/>
              </w:rPr>
              <w:t>ROS1</w:t>
            </w:r>
            <w:r w:rsidRPr="00956452">
              <w:rPr>
                <w:color w:val="C00000"/>
              </w:rPr>
              <w:t xml:space="preserve"> status for access to pembrolizumab under the Pharmaceutical Benefits </w:t>
            </w:r>
            <w:r w:rsidR="00DE60C3">
              <w:rPr>
                <w:color w:val="C00000"/>
              </w:rPr>
              <w:t>S</w:t>
            </w:r>
            <w:r w:rsidRPr="00956452">
              <w:rPr>
                <w:color w:val="C00000"/>
              </w:rPr>
              <w:t>cheme are fulfilled.</w:t>
            </w:r>
          </w:p>
          <w:p w14:paraId="0B89D0AC" w14:textId="77777777" w:rsidR="00EA446D" w:rsidRDefault="00EA446D" w:rsidP="001D6EE5">
            <w:pPr>
              <w:pStyle w:val="TableText"/>
            </w:pPr>
          </w:p>
          <w:p w14:paraId="3E79D712" w14:textId="4D388E68" w:rsidR="00EA446D" w:rsidRDefault="00EA446D" w:rsidP="001D6EE5">
            <w:pPr>
              <w:pStyle w:val="TableText"/>
              <w:rPr>
                <w:b/>
              </w:rPr>
            </w:pPr>
            <w:r w:rsidRPr="00EA446D">
              <w:rPr>
                <w:b/>
              </w:rPr>
              <w:t>Fee</w:t>
            </w:r>
            <w:r w:rsidRPr="002F38D7">
              <w:t xml:space="preserve">: $397.35 </w:t>
            </w:r>
            <w:r w:rsidRPr="00EA446D">
              <w:rPr>
                <w:b/>
              </w:rPr>
              <w:t>Benefit</w:t>
            </w:r>
            <w:r w:rsidRPr="002F38D7">
              <w:t>: 85% = $337.75</w:t>
            </w:r>
          </w:p>
        </w:tc>
      </w:tr>
    </w:tbl>
    <w:p w14:paraId="3638639A" w14:textId="74015682" w:rsidR="00403D0C" w:rsidRPr="00DB55A5" w:rsidRDefault="00205231" w:rsidP="001D6EE5">
      <w:pPr>
        <w:pStyle w:val="TableText"/>
      </w:pPr>
      <w:r>
        <w:t>Likely</w:t>
      </w:r>
      <w:r w:rsidR="00DB55A5">
        <w:t xml:space="preserve"> changes to the proposed MBS for </w:t>
      </w:r>
      <w:r w:rsidR="00DB55A5">
        <w:rPr>
          <w:i/>
        </w:rPr>
        <w:t>MET</w:t>
      </w:r>
      <w:r w:rsidR="00DB55A5">
        <w:t xml:space="preserve">ex14sk testing are shown in red (the PBAC considered it would be appropriate for tepotinib to be available for all patients with a </w:t>
      </w:r>
      <w:r w:rsidR="00DB55A5">
        <w:rPr>
          <w:i/>
        </w:rPr>
        <w:t>MET</w:t>
      </w:r>
      <w:r w:rsidR="00DB55A5">
        <w:t>ex14sk alteration, regardless of histology</w:t>
      </w:r>
      <w:r>
        <w:t>)</w:t>
      </w:r>
      <w:r w:rsidR="00DB55A5">
        <w:t xml:space="preserve">.  </w:t>
      </w:r>
    </w:p>
    <w:p w14:paraId="502FCAAF" w14:textId="198D2FCD" w:rsidR="0071206F" w:rsidRPr="00117909" w:rsidRDefault="00117909" w:rsidP="0071206F">
      <w:pPr>
        <w:rPr>
          <w:i/>
        </w:rPr>
      </w:pPr>
      <w:r>
        <w:rPr>
          <w:i/>
        </w:rPr>
        <w:t xml:space="preserve">For application 1634 (Comprehensive genomic profiling of patients with non-squamous NSCLC) </w:t>
      </w:r>
      <w:r w:rsidR="0071206F" w:rsidRPr="00763FAA">
        <w:rPr>
          <w:i/>
        </w:rPr>
        <w:t xml:space="preserve">PASC noted that the applicants requested that near market comparators of MET exon 14 skipping alterations, and NTRK1, NTRK2, NTRK3 and KRAS G12C variants be incorporated into the list of eligible comparators. PASC considered that it would be necessary to identify the related evidentiary standards from the studies of the related codependent medicines to be considered by PBAC, and to extend the related comparative analytical performance assessments </w:t>
      </w:r>
      <w:r w:rsidR="0071206F" w:rsidRPr="00117909">
        <w:rPr>
          <w:i/>
        </w:rPr>
        <w:t>to include these additional biomarkers.</w:t>
      </w:r>
    </w:p>
    <w:p w14:paraId="28AFDB0A" w14:textId="488EAD35" w:rsidR="008A754B" w:rsidRPr="00117909" w:rsidRDefault="0071206F" w:rsidP="0071206F">
      <w:pPr>
        <w:pStyle w:val="Instructionaltext"/>
        <w:rPr>
          <w:color w:val="auto"/>
        </w:rPr>
      </w:pPr>
      <w:r w:rsidRPr="00117909">
        <w:rPr>
          <w:i/>
          <w:color w:val="auto"/>
        </w:rPr>
        <w:t xml:space="preserve">PASC advised that the near market comparators should not be included as part of the base case for the economics and financial </w:t>
      </w:r>
      <w:r w:rsidR="00F022E4" w:rsidRPr="00117909">
        <w:rPr>
          <w:i/>
          <w:color w:val="auto"/>
        </w:rPr>
        <w:t>analyses but</w:t>
      </w:r>
      <w:r w:rsidRPr="00117909">
        <w:rPr>
          <w:i/>
          <w:color w:val="auto"/>
        </w:rPr>
        <w:t xml:space="preserve"> may be considered as part of their sensitivity analyses.</w:t>
      </w:r>
      <w:r w:rsidRPr="00117909">
        <w:rPr>
          <w:color w:val="auto"/>
        </w:rPr>
        <w:t xml:space="preserve"> This will require the applicants to make a judgement call regarding what the near market comparator costs would likely to be</w:t>
      </w:r>
      <w:r w:rsidR="00117909">
        <w:rPr>
          <w:color w:val="auto"/>
        </w:rPr>
        <w:t>.</w:t>
      </w:r>
    </w:p>
    <w:p w14:paraId="750E52FA" w14:textId="77777777" w:rsidR="00C2534F" w:rsidRPr="00CE28E3" w:rsidRDefault="00C2534F" w:rsidP="00EA0E54">
      <w:pPr>
        <w:pStyle w:val="Heading2"/>
        <w:ind w:left="357" w:hanging="357"/>
      </w:pPr>
      <w:bookmarkStart w:id="64" w:name="_Toc148531139"/>
      <w:r w:rsidRPr="00CE28E3">
        <w:t>Summary of the PICO criteria</w:t>
      </w:r>
      <w:bookmarkEnd w:id="64"/>
    </w:p>
    <w:p w14:paraId="41923449" w14:textId="0F4AC9EF" w:rsidR="00C2534F" w:rsidRPr="00CE28E3" w:rsidRDefault="00C2534F" w:rsidP="00C2534F">
      <w:pPr>
        <w:spacing w:before="240"/>
      </w:pPr>
      <w:r w:rsidRPr="00CE28E3">
        <w:t xml:space="preserve">The Prior tests, Population, Investigation/Index test, Comparator and Outcomes (PPICO) that were prespecified </w:t>
      </w:r>
      <w:r w:rsidR="00096486">
        <w:t>at the start of the DCAR</w:t>
      </w:r>
      <w:r w:rsidR="00655CF9" w:rsidRPr="00CE28E3">
        <w:t xml:space="preserve"> </w:t>
      </w:r>
      <w:r w:rsidRPr="00CE28E3">
        <w:t xml:space="preserve">to guide the systematic literature review are presented in </w:t>
      </w:r>
      <w:r w:rsidRPr="00CE28E3">
        <w:fldChar w:fldCharType="begin"/>
      </w:r>
      <w:r w:rsidRPr="00CE28E3">
        <w:instrText xml:space="preserve"> REF _Ref514075061 \h </w:instrText>
      </w:r>
      <w:r w:rsidR="00CE28E3">
        <w:instrText xml:space="preserve"> \* MERGEFORMAT </w:instrText>
      </w:r>
      <w:r w:rsidRPr="00CE28E3">
        <w:fldChar w:fldCharType="separate"/>
      </w:r>
      <w:r w:rsidR="00C857F3" w:rsidRPr="00CE28E3">
        <w:t>Table</w:t>
      </w:r>
      <w:r w:rsidR="00C857F3">
        <w:t> 21</w:t>
      </w:r>
      <w:r w:rsidRPr="00CE28E3">
        <w:fldChar w:fldCharType="end"/>
      </w:r>
      <w:r w:rsidRPr="00CE28E3">
        <w:t>.</w:t>
      </w:r>
      <w:r w:rsidR="0007021F" w:rsidRPr="00CE28E3">
        <w:t xml:space="preserve"> </w:t>
      </w:r>
      <w:r w:rsidR="00FC2C17">
        <w:t xml:space="preserve">More details (separate PPICO criteria for elements of the linked evidence approach) are provided in </w:t>
      </w:r>
      <w:r w:rsidR="00FC2C17">
        <w:fldChar w:fldCharType="begin"/>
      </w:r>
      <w:r w:rsidR="00FC2C17">
        <w:instrText xml:space="preserve"> REF _Ref56607849 \h </w:instrText>
      </w:r>
      <w:r w:rsidR="00FC2C17">
        <w:fldChar w:fldCharType="separate"/>
      </w:r>
      <w:r w:rsidR="00C857F3" w:rsidRPr="00CE28E3">
        <w:t xml:space="preserve">Appendix </w:t>
      </w:r>
      <w:r w:rsidR="00C857F3">
        <w:rPr>
          <w:noProof/>
        </w:rPr>
        <w:t>A</w:t>
      </w:r>
      <w:r w:rsidR="00FC2C17">
        <w:fldChar w:fldCharType="end"/>
      </w:r>
      <w:r w:rsidR="00FC2C17">
        <w:t xml:space="preserve">. </w:t>
      </w:r>
    </w:p>
    <w:p w14:paraId="3265970B" w14:textId="19646511" w:rsidR="00C2534F" w:rsidRPr="00CE28E3" w:rsidRDefault="00C2534F" w:rsidP="00C2534F">
      <w:pPr>
        <w:pStyle w:val="Caption"/>
      </w:pPr>
      <w:bookmarkStart w:id="65" w:name="_Ref514075061"/>
      <w:bookmarkStart w:id="66" w:name="_Toc526417120"/>
      <w:bookmarkStart w:id="67" w:name="_Toc47540382"/>
      <w:r w:rsidRPr="00CE28E3">
        <w:t>Table</w:t>
      </w:r>
      <w:r w:rsidR="008B7848">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21</w:t>
      </w:r>
      <w:r w:rsidRPr="00CE28E3">
        <w:rPr>
          <w:noProof/>
        </w:rPr>
        <w:fldChar w:fldCharType="end"/>
      </w:r>
      <w:bookmarkEnd w:id="65"/>
      <w:r w:rsidRPr="00CE28E3">
        <w:tab/>
        <w:t xml:space="preserve">PPICO criteria for assessing </w:t>
      </w:r>
      <w:r w:rsidR="00FC2C17">
        <w:t xml:space="preserve">small NGS DNA/RNA panel(s) </w:t>
      </w:r>
      <w:r w:rsidRPr="00CE28E3">
        <w:t xml:space="preserve">for </w:t>
      </w:r>
      <w:bookmarkEnd w:id="66"/>
      <w:bookmarkEnd w:id="67"/>
      <w:r w:rsidR="00FC2C17">
        <w:t>non-squamous NSCLC</w:t>
      </w:r>
    </w:p>
    <w:tbl>
      <w:tblPr>
        <w:tblStyle w:val="TableGrid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PICO criteria for assessing small NGS DNA/RNA panel(s) for non-squamous NSCLC"/>
        <w:tblDescription w:val="summary of the criteria used to determine study eligibility in the assessment"/>
      </w:tblPr>
      <w:tblGrid>
        <w:gridCol w:w="2002"/>
        <w:gridCol w:w="7070"/>
      </w:tblGrid>
      <w:tr w:rsidR="00C2534F" w:rsidRPr="00CE28E3" w14:paraId="244EF8FC" w14:textId="77777777" w:rsidTr="008C7988">
        <w:trPr>
          <w:cnfStyle w:val="100000000000" w:firstRow="1" w:lastRow="0" w:firstColumn="0" w:lastColumn="0" w:oddVBand="0" w:evenVBand="0" w:oddHBand="0" w:evenHBand="0" w:firstRowFirstColumn="0" w:firstRowLastColumn="0" w:lastRowFirstColumn="0" w:lastRowLastColumn="0"/>
        </w:trPr>
        <w:tc>
          <w:tcPr>
            <w:tcW w:w="2002" w:type="dxa"/>
            <w:shd w:val="clear" w:color="auto" w:fill="auto"/>
          </w:tcPr>
          <w:p w14:paraId="7E605822" w14:textId="77777777" w:rsidR="00C2534F" w:rsidRPr="00CE28E3" w:rsidRDefault="00C2534F" w:rsidP="00052DD3">
            <w:pPr>
              <w:pStyle w:val="TableHeading0"/>
            </w:pPr>
            <w:bookmarkStart w:id="68" w:name="Title_Table15" w:colFirst="0" w:colLast="0"/>
            <w:r w:rsidRPr="00CE28E3">
              <w:t>Component</w:t>
            </w:r>
          </w:p>
        </w:tc>
        <w:tc>
          <w:tcPr>
            <w:tcW w:w="7070" w:type="dxa"/>
            <w:shd w:val="clear" w:color="auto" w:fill="auto"/>
          </w:tcPr>
          <w:p w14:paraId="51221A12" w14:textId="77777777" w:rsidR="00C2534F" w:rsidRPr="00CE28E3" w:rsidRDefault="00C2534F" w:rsidP="00052DD3">
            <w:pPr>
              <w:pStyle w:val="TableHeading0"/>
            </w:pPr>
            <w:r w:rsidRPr="00CE28E3">
              <w:t>Description</w:t>
            </w:r>
          </w:p>
        </w:tc>
      </w:tr>
      <w:bookmarkEnd w:id="68"/>
      <w:tr w:rsidR="008C7988" w:rsidRPr="00CE28E3" w14:paraId="0AF06CE6" w14:textId="77777777" w:rsidTr="008C7988">
        <w:tc>
          <w:tcPr>
            <w:tcW w:w="2002" w:type="dxa"/>
            <w:shd w:val="clear" w:color="auto" w:fill="auto"/>
          </w:tcPr>
          <w:p w14:paraId="04B2AA3A" w14:textId="44A9F8F3" w:rsidR="008C7988" w:rsidRPr="00CE28E3" w:rsidRDefault="008C7988" w:rsidP="008C7988">
            <w:pPr>
              <w:pStyle w:val="TableText"/>
            </w:pPr>
            <w:r w:rsidRPr="00084393">
              <w:rPr>
                <w:rFonts w:cs="Arial"/>
              </w:rPr>
              <w:t>Patients</w:t>
            </w:r>
          </w:p>
        </w:tc>
        <w:tc>
          <w:tcPr>
            <w:tcW w:w="7070" w:type="dxa"/>
            <w:shd w:val="clear" w:color="auto" w:fill="auto"/>
          </w:tcPr>
          <w:p w14:paraId="55391BE8" w14:textId="47C06C73" w:rsidR="008C7988" w:rsidRPr="00CE28E3" w:rsidRDefault="008C7988" w:rsidP="008C7988">
            <w:pPr>
              <w:pStyle w:val="TableText"/>
            </w:pPr>
            <w:r w:rsidRPr="00882F76">
              <w:rPr>
                <w:rFonts w:cs="Arial"/>
              </w:rPr>
              <w:t xml:space="preserve">Patients with non-squamous (or </w:t>
            </w:r>
            <w:r>
              <w:rPr>
                <w:rFonts w:cs="Arial"/>
              </w:rPr>
              <w:t xml:space="preserve">histology </w:t>
            </w:r>
            <w:r w:rsidRPr="00882F76">
              <w:rPr>
                <w:rFonts w:cs="Arial"/>
              </w:rPr>
              <w:t>not otherwise specified) non-small cell lung cancer (NSCLC)</w:t>
            </w:r>
          </w:p>
        </w:tc>
      </w:tr>
      <w:tr w:rsidR="008C7988" w:rsidRPr="00CE28E3" w14:paraId="3CC7A499" w14:textId="77777777" w:rsidTr="008C7988">
        <w:tc>
          <w:tcPr>
            <w:tcW w:w="2002" w:type="dxa"/>
            <w:shd w:val="clear" w:color="auto" w:fill="auto"/>
          </w:tcPr>
          <w:p w14:paraId="448E7052" w14:textId="68373297" w:rsidR="008C7988" w:rsidRPr="00CE28E3" w:rsidRDefault="008C7988" w:rsidP="008C7988">
            <w:pPr>
              <w:pStyle w:val="TableText"/>
            </w:pPr>
            <w:r>
              <w:rPr>
                <w:rFonts w:cs="Arial"/>
              </w:rPr>
              <w:lastRenderedPageBreak/>
              <w:t>Prior tests</w:t>
            </w:r>
          </w:p>
        </w:tc>
        <w:tc>
          <w:tcPr>
            <w:tcW w:w="7070" w:type="dxa"/>
            <w:shd w:val="clear" w:color="auto" w:fill="auto"/>
          </w:tcPr>
          <w:p w14:paraId="2777DF8B" w14:textId="289CC464" w:rsidR="008C7988" w:rsidRPr="00CE28E3" w:rsidRDefault="008C7988" w:rsidP="001D6EE5">
            <w:pPr>
              <w:pStyle w:val="TableText"/>
            </w:pPr>
            <w:r>
              <w:t>D</w:t>
            </w:r>
            <w:r w:rsidRPr="00D95C1C">
              <w:t>isea</w:t>
            </w:r>
            <w:r>
              <w:t>se staging and histology workup. This is part of routine management and there would be no change between the intervention and comparator</w:t>
            </w:r>
          </w:p>
        </w:tc>
      </w:tr>
      <w:tr w:rsidR="008C7988" w:rsidRPr="00CE28E3" w14:paraId="09D39FD0" w14:textId="77777777" w:rsidTr="008C7988">
        <w:tc>
          <w:tcPr>
            <w:tcW w:w="2002" w:type="dxa"/>
            <w:shd w:val="clear" w:color="auto" w:fill="auto"/>
          </w:tcPr>
          <w:p w14:paraId="520257E6" w14:textId="6F903E61" w:rsidR="008C7988" w:rsidRPr="00CE28E3" w:rsidRDefault="008C7988" w:rsidP="008C7988">
            <w:pPr>
              <w:pStyle w:val="TableText"/>
            </w:pPr>
            <w:r w:rsidRPr="00084393">
              <w:rPr>
                <w:rFonts w:cs="Arial"/>
              </w:rPr>
              <w:t>Intervention</w:t>
            </w:r>
          </w:p>
        </w:tc>
        <w:tc>
          <w:tcPr>
            <w:tcW w:w="7070" w:type="dxa"/>
            <w:shd w:val="clear" w:color="auto" w:fill="auto"/>
          </w:tcPr>
          <w:p w14:paraId="703DFD06" w14:textId="2B2DD838" w:rsidR="008C7988" w:rsidRDefault="00096486" w:rsidP="008C7988">
            <w:pPr>
              <w:pStyle w:val="TableText"/>
              <w:rPr>
                <w:rFonts w:cs="Arial"/>
              </w:rPr>
            </w:pPr>
            <w:r>
              <w:rPr>
                <w:rFonts w:cs="Arial"/>
              </w:rPr>
              <w:t xml:space="preserve">1. </w:t>
            </w:r>
            <w:r w:rsidR="008C7988">
              <w:rPr>
                <w:rFonts w:cs="Arial"/>
              </w:rPr>
              <w:t xml:space="preserve">Small </w:t>
            </w:r>
            <w:r w:rsidR="00117909">
              <w:rPr>
                <w:rFonts w:cs="Arial"/>
              </w:rPr>
              <w:t>NGS</w:t>
            </w:r>
            <w:r w:rsidR="008C7988">
              <w:rPr>
                <w:rFonts w:cs="Arial"/>
              </w:rPr>
              <w:t xml:space="preserve"> panel</w:t>
            </w:r>
            <w:r w:rsidR="008C7988" w:rsidRPr="009B6FAE">
              <w:rPr>
                <w:rFonts w:cs="Arial"/>
              </w:rPr>
              <w:t xml:space="preserve"> to </w:t>
            </w:r>
            <w:r w:rsidR="008C7988">
              <w:rPr>
                <w:rFonts w:cs="Arial"/>
              </w:rPr>
              <w:t xml:space="preserve">simultaneously test </w:t>
            </w:r>
            <w:r>
              <w:rPr>
                <w:rFonts w:cs="Arial"/>
              </w:rPr>
              <w:t xml:space="preserve">DNA/RNA </w:t>
            </w:r>
            <w:r w:rsidR="008C7988">
              <w:rPr>
                <w:rFonts w:cs="Arial"/>
              </w:rPr>
              <w:t xml:space="preserve">for relevant </w:t>
            </w:r>
            <w:r>
              <w:rPr>
                <w:rFonts w:cs="Arial"/>
              </w:rPr>
              <w:t xml:space="preserve">point </w:t>
            </w:r>
            <w:r w:rsidR="008C7988" w:rsidRPr="00263150">
              <w:rPr>
                <w:rFonts w:cs="Arial"/>
              </w:rPr>
              <w:t>variants</w:t>
            </w:r>
            <w:r>
              <w:rPr>
                <w:rFonts w:cs="Arial"/>
              </w:rPr>
              <w:t>/small indels or fusions</w:t>
            </w:r>
            <w:r w:rsidR="008C7988" w:rsidRPr="00263150">
              <w:rPr>
                <w:rFonts w:cs="Arial"/>
              </w:rPr>
              <w:t xml:space="preserve"> in the</w:t>
            </w:r>
            <w:r w:rsidR="008C7988">
              <w:rPr>
                <w:rFonts w:cs="Arial"/>
              </w:rPr>
              <w:t xml:space="preserve"> following genes: </w:t>
            </w:r>
            <w:r w:rsidR="008C7988" w:rsidRPr="00F57034">
              <w:rPr>
                <w:rFonts w:cs="Arial"/>
                <w:i/>
              </w:rPr>
              <w:t>EGFR</w:t>
            </w:r>
            <w:r w:rsidR="008C7988">
              <w:rPr>
                <w:rFonts w:cs="Arial"/>
              </w:rPr>
              <w:t xml:space="preserve">, </w:t>
            </w:r>
            <w:r w:rsidR="00CC4F1E">
              <w:rPr>
                <w:rFonts w:cs="Arial"/>
                <w:i/>
              </w:rPr>
              <w:t>MET</w:t>
            </w:r>
            <w:r w:rsidR="00CC4F1E">
              <w:rPr>
                <w:rFonts w:cs="Arial"/>
              </w:rPr>
              <w:t xml:space="preserve">ex14sk, </w:t>
            </w:r>
            <w:r w:rsidR="00CC4F1E">
              <w:rPr>
                <w:rFonts w:cs="Arial"/>
                <w:i/>
              </w:rPr>
              <w:t>KRAS, BRAF,</w:t>
            </w:r>
            <w:r w:rsidR="00CC4F1E" w:rsidRPr="00F57034">
              <w:rPr>
                <w:rFonts w:cs="Arial"/>
                <w:i/>
              </w:rPr>
              <w:t xml:space="preserve"> </w:t>
            </w:r>
            <w:r w:rsidR="008C7988" w:rsidRPr="00F57034">
              <w:rPr>
                <w:rFonts w:cs="Arial"/>
                <w:i/>
              </w:rPr>
              <w:t>ALK</w:t>
            </w:r>
            <w:r w:rsidR="008C7988">
              <w:rPr>
                <w:rFonts w:cs="Arial"/>
              </w:rPr>
              <w:t xml:space="preserve">, </w:t>
            </w:r>
            <w:r w:rsidR="008C7988" w:rsidRPr="00F57034">
              <w:rPr>
                <w:rFonts w:cs="Arial"/>
                <w:i/>
              </w:rPr>
              <w:t>ROS1</w:t>
            </w:r>
            <w:r w:rsidR="008C7988">
              <w:rPr>
                <w:rFonts w:cs="Arial"/>
                <w:i/>
              </w:rPr>
              <w:t>,</w:t>
            </w:r>
            <w:r w:rsidR="00CC4F1E">
              <w:rPr>
                <w:rFonts w:cs="Arial"/>
                <w:i/>
              </w:rPr>
              <w:t xml:space="preserve"> RET, NTRK</w:t>
            </w:r>
            <w:r>
              <w:rPr>
                <w:rFonts w:cs="Arial"/>
              </w:rPr>
              <w:t>; or</w:t>
            </w:r>
          </w:p>
          <w:p w14:paraId="3EF2F5FC" w14:textId="7833F35D" w:rsidR="00096486" w:rsidRPr="00E87862" w:rsidRDefault="00096486" w:rsidP="00CC4F1E">
            <w:pPr>
              <w:pStyle w:val="TableText"/>
              <w:rPr>
                <w:rFonts w:cs="Arial"/>
                <w:i/>
              </w:rPr>
            </w:pPr>
            <w:r>
              <w:t xml:space="preserve">2. </w:t>
            </w:r>
            <w:r w:rsidR="00FC2C17">
              <w:t xml:space="preserve">NGS </w:t>
            </w:r>
            <w:r>
              <w:t xml:space="preserve">DNA panel </w:t>
            </w:r>
            <w:r>
              <w:rPr>
                <w:rFonts w:cs="Arial"/>
              </w:rPr>
              <w:t xml:space="preserve">for relevant point </w:t>
            </w:r>
            <w:r w:rsidRPr="00263150">
              <w:rPr>
                <w:rFonts w:cs="Arial"/>
              </w:rPr>
              <w:t>variants</w:t>
            </w:r>
            <w:r>
              <w:rPr>
                <w:rFonts w:cs="Arial"/>
              </w:rPr>
              <w:t xml:space="preserve">/small indels </w:t>
            </w:r>
            <w:r w:rsidRPr="00263150">
              <w:rPr>
                <w:rFonts w:cs="Arial"/>
              </w:rPr>
              <w:t>in the</w:t>
            </w:r>
            <w:r>
              <w:rPr>
                <w:rFonts w:cs="Arial"/>
              </w:rPr>
              <w:t xml:space="preserve"> following genes: </w:t>
            </w:r>
            <w:r w:rsidRPr="00F57034">
              <w:rPr>
                <w:rFonts w:cs="Arial"/>
                <w:i/>
              </w:rPr>
              <w:t>EGFR</w:t>
            </w:r>
            <w:r w:rsidR="00CC4F1E">
              <w:rPr>
                <w:rFonts w:cs="Arial"/>
                <w:i/>
              </w:rPr>
              <w:t xml:space="preserve">, </w:t>
            </w:r>
            <w:r w:rsidR="00E87862">
              <w:rPr>
                <w:rFonts w:cs="Arial"/>
                <w:i/>
              </w:rPr>
              <w:t>MET</w:t>
            </w:r>
            <w:r w:rsidR="00E87862">
              <w:rPr>
                <w:rFonts w:cs="Arial"/>
              </w:rPr>
              <w:t>ex14sk</w:t>
            </w:r>
            <w:r w:rsidR="00CC4F1E">
              <w:rPr>
                <w:rFonts w:cs="Arial"/>
              </w:rPr>
              <w:t xml:space="preserve">, </w:t>
            </w:r>
            <w:r w:rsidR="00CC4F1E">
              <w:rPr>
                <w:rFonts w:cs="Arial"/>
                <w:i/>
              </w:rPr>
              <w:t xml:space="preserve">KRAS, </w:t>
            </w:r>
            <w:r w:rsidR="00CC4F1E">
              <w:rPr>
                <w:rFonts w:cs="Arial"/>
              </w:rPr>
              <w:t xml:space="preserve">and </w:t>
            </w:r>
            <w:r w:rsidR="00CC4F1E">
              <w:rPr>
                <w:rFonts w:cs="Arial"/>
                <w:i/>
              </w:rPr>
              <w:t>BRAF</w:t>
            </w:r>
            <w:r>
              <w:rPr>
                <w:rFonts w:cs="Arial"/>
                <w:i/>
              </w:rPr>
              <w:t xml:space="preserve">. </w:t>
            </w:r>
            <w:r w:rsidRPr="00096486">
              <w:rPr>
                <w:rFonts w:cs="Arial"/>
              </w:rPr>
              <w:t>If negative,</w:t>
            </w:r>
            <w:r>
              <w:rPr>
                <w:rFonts w:cs="Arial"/>
                <w:i/>
              </w:rPr>
              <w:t xml:space="preserve"> </w:t>
            </w:r>
            <w:r>
              <w:rPr>
                <w:rFonts w:cs="Arial"/>
              </w:rPr>
              <w:t xml:space="preserve">then an RNA panel for fusions in the following genes: </w:t>
            </w:r>
            <w:r w:rsidR="00E87862">
              <w:rPr>
                <w:rFonts w:cs="Arial"/>
                <w:i/>
              </w:rPr>
              <w:t>ALK</w:t>
            </w:r>
            <w:r w:rsidR="00CC4F1E">
              <w:rPr>
                <w:rFonts w:cs="Arial"/>
              </w:rPr>
              <w:t>,</w:t>
            </w:r>
            <w:r w:rsidR="00E87862">
              <w:rPr>
                <w:rFonts w:cs="Arial"/>
              </w:rPr>
              <w:t xml:space="preserve"> </w:t>
            </w:r>
            <w:r w:rsidR="00E87862">
              <w:rPr>
                <w:rFonts w:cs="Arial"/>
                <w:i/>
              </w:rPr>
              <w:t>ROS1</w:t>
            </w:r>
            <w:r w:rsidR="00CC4F1E">
              <w:rPr>
                <w:rFonts w:cs="Arial"/>
                <w:i/>
              </w:rPr>
              <w:t xml:space="preserve">, RET, </w:t>
            </w:r>
            <w:r w:rsidR="00CC4F1E">
              <w:rPr>
                <w:rFonts w:cs="Arial"/>
              </w:rPr>
              <w:t xml:space="preserve">and </w:t>
            </w:r>
            <w:r w:rsidR="00CC4F1E">
              <w:rPr>
                <w:rFonts w:cs="Arial"/>
                <w:i/>
              </w:rPr>
              <w:t>NTRK</w:t>
            </w:r>
            <w:r w:rsidR="00E87862">
              <w:rPr>
                <w:rFonts w:cs="Arial"/>
                <w:i/>
              </w:rPr>
              <w:t>.</w:t>
            </w:r>
          </w:p>
        </w:tc>
      </w:tr>
      <w:tr w:rsidR="008C7988" w:rsidRPr="00CE28E3" w14:paraId="494F9F63" w14:textId="77777777" w:rsidTr="008C7988">
        <w:tc>
          <w:tcPr>
            <w:tcW w:w="2002" w:type="dxa"/>
            <w:shd w:val="clear" w:color="auto" w:fill="auto"/>
          </w:tcPr>
          <w:p w14:paraId="16A6AB2F" w14:textId="434A9317" w:rsidR="008C7988" w:rsidRPr="00CE28E3" w:rsidRDefault="008C7988" w:rsidP="008C7988">
            <w:pPr>
              <w:pStyle w:val="TableText"/>
            </w:pPr>
            <w:r w:rsidRPr="00084393">
              <w:rPr>
                <w:rFonts w:cs="Arial"/>
              </w:rPr>
              <w:t>Comparator</w:t>
            </w:r>
          </w:p>
        </w:tc>
        <w:tc>
          <w:tcPr>
            <w:tcW w:w="7070" w:type="dxa"/>
            <w:shd w:val="clear" w:color="auto" w:fill="auto"/>
          </w:tcPr>
          <w:p w14:paraId="1301DB88" w14:textId="5B87EDAA" w:rsidR="008C7988" w:rsidRPr="008C7988" w:rsidRDefault="00F7167B" w:rsidP="00F7167B">
            <w:pPr>
              <w:pStyle w:val="TableText"/>
            </w:pPr>
            <w:r>
              <w:t>Sequential single gene t</w:t>
            </w:r>
            <w:r w:rsidR="008C7988" w:rsidRPr="009B6FAE">
              <w:t xml:space="preserve">esting for </w:t>
            </w:r>
            <w:r w:rsidR="008C7988">
              <w:t xml:space="preserve">activating mutations in the </w:t>
            </w:r>
            <w:r w:rsidR="008C7988" w:rsidRPr="00F57034">
              <w:rPr>
                <w:i/>
              </w:rPr>
              <w:t>EGFR</w:t>
            </w:r>
            <w:r w:rsidR="008C7988" w:rsidRPr="009B6FAE">
              <w:t xml:space="preserve"> </w:t>
            </w:r>
            <w:r w:rsidR="008C7988">
              <w:t>gene,</w:t>
            </w:r>
            <w:r w:rsidR="00117909">
              <w:t xml:space="preserve"> </w:t>
            </w:r>
            <w:r w:rsidR="00117909">
              <w:rPr>
                <w:i/>
              </w:rPr>
              <w:t>MET</w:t>
            </w:r>
            <w:r w:rsidR="00117909">
              <w:t>ex14sk,</w:t>
            </w:r>
            <w:r w:rsidR="00CC4F1E">
              <w:t xml:space="preserve"> </w:t>
            </w:r>
            <w:r w:rsidR="00CC4F1E">
              <w:rPr>
                <w:i/>
              </w:rPr>
              <w:t>KRAS</w:t>
            </w:r>
            <w:r w:rsidR="008C7988">
              <w:t xml:space="preserve"> </w:t>
            </w:r>
            <w:r w:rsidR="008C7988" w:rsidRPr="00B60400">
              <w:t>ALK</w:t>
            </w:r>
            <w:r w:rsidR="008C7988">
              <w:t xml:space="preserve"> IHC and ROS1 IHC, with subsequent </w:t>
            </w:r>
            <w:r w:rsidR="008C7988">
              <w:rPr>
                <w:i/>
              </w:rPr>
              <w:t xml:space="preserve">ALK </w:t>
            </w:r>
            <w:r w:rsidR="008C7988">
              <w:t xml:space="preserve">FISH </w:t>
            </w:r>
            <w:r w:rsidR="00E87862">
              <w:t>and/</w:t>
            </w:r>
            <w:r w:rsidR="008C7988">
              <w:t xml:space="preserve">or </w:t>
            </w:r>
            <w:r w:rsidR="008C7988">
              <w:rPr>
                <w:i/>
              </w:rPr>
              <w:t>ROS1</w:t>
            </w:r>
            <w:r w:rsidR="008C7988">
              <w:t xml:space="preserve"> FISH as appropriate</w:t>
            </w:r>
          </w:p>
        </w:tc>
      </w:tr>
      <w:tr w:rsidR="008C7988" w:rsidRPr="00CE28E3" w14:paraId="6D4EA00C" w14:textId="77777777" w:rsidTr="008C7988">
        <w:tc>
          <w:tcPr>
            <w:tcW w:w="2002" w:type="dxa"/>
            <w:shd w:val="clear" w:color="auto" w:fill="auto"/>
          </w:tcPr>
          <w:p w14:paraId="0EA26E89" w14:textId="481F8FAB" w:rsidR="008C7988" w:rsidRPr="00CE28E3" w:rsidRDefault="008C7988" w:rsidP="008C7988">
            <w:pPr>
              <w:pStyle w:val="TableText"/>
            </w:pPr>
            <w:r>
              <w:rPr>
                <w:rFonts w:cs="Arial"/>
              </w:rPr>
              <w:t>Evidentiary standards</w:t>
            </w:r>
          </w:p>
        </w:tc>
        <w:tc>
          <w:tcPr>
            <w:tcW w:w="7070" w:type="dxa"/>
            <w:shd w:val="clear" w:color="auto" w:fill="auto"/>
          </w:tcPr>
          <w:p w14:paraId="4F41EB18" w14:textId="77777777" w:rsidR="008C7988" w:rsidRPr="002E6705" w:rsidRDefault="008C7988" w:rsidP="001D6EE5">
            <w:pPr>
              <w:pStyle w:val="TableText"/>
            </w:pPr>
            <w:r>
              <w:rPr>
                <w:i/>
              </w:rPr>
              <w:t xml:space="preserve">EGFR </w:t>
            </w:r>
            <w:r>
              <w:t>cobas® real time PCR test</w:t>
            </w:r>
          </w:p>
          <w:p w14:paraId="2EE4E318" w14:textId="77777777" w:rsidR="008C7988" w:rsidRDefault="008C7988" w:rsidP="001D6EE5">
            <w:pPr>
              <w:pStyle w:val="TableText"/>
            </w:pPr>
            <w:r w:rsidRPr="002E6705">
              <w:rPr>
                <w:i/>
              </w:rPr>
              <w:t>ALK</w:t>
            </w:r>
            <w:r>
              <w:t xml:space="preserve"> FISH</w:t>
            </w:r>
          </w:p>
          <w:p w14:paraId="27F8CC12" w14:textId="7E0325C1" w:rsidR="008C7988" w:rsidRPr="00E87862" w:rsidRDefault="008C7988" w:rsidP="008C7988">
            <w:pPr>
              <w:pStyle w:val="TableText"/>
              <w:rPr>
                <w:rFonts w:cs="Arial"/>
              </w:rPr>
            </w:pPr>
            <w:r w:rsidRPr="002E6705">
              <w:rPr>
                <w:rFonts w:cs="Arial"/>
                <w:i/>
              </w:rPr>
              <w:t>ROS1</w:t>
            </w:r>
            <w:r w:rsidR="00E87862">
              <w:rPr>
                <w:rFonts w:cs="Arial"/>
              </w:rPr>
              <w:t xml:space="preserve"> FISH</w:t>
            </w:r>
            <w:r w:rsidRPr="00C81543">
              <w:rPr>
                <w:rFonts w:cs="Arial"/>
                <w:i/>
              </w:rPr>
              <w:t xml:space="preserve"> </w:t>
            </w:r>
          </w:p>
          <w:p w14:paraId="0614F6D9" w14:textId="05BFA5F8" w:rsidR="008C7988" w:rsidRPr="00E87862" w:rsidRDefault="008C7988" w:rsidP="008C7988">
            <w:pPr>
              <w:pStyle w:val="TableText"/>
            </w:pPr>
            <w:r w:rsidRPr="00E87862">
              <w:rPr>
                <w:rFonts w:cs="Arial"/>
                <w:i/>
              </w:rPr>
              <w:t>METex14sk</w:t>
            </w:r>
            <w:r w:rsidR="00E87862" w:rsidRPr="00E87862">
              <w:rPr>
                <w:rFonts w:cs="Arial"/>
                <w:i/>
              </w:rPr>
              <w:t xml:space="preserve"> </w:t>
            </w:r>
            <w:r w:rsidR="00E87862" w:rsidRPr="00E87862">
              <w:rPr>
                <w:rFonts w:cs="Arial"/>
              </w:rPr>
              <w:t>by RNA</w:t>
            </w:r>
            <w:r w:rsidR="00E87862">
              <w:rPr>
                <w:rFonts w:cs="Arial"/>
              </w:rPr>
              <w:t xml:space="preserve"> or DNA testing on plasma or tumour tissue</w:t>
            </w:r>
          </w:p>
        </w:tc>
      </w:tr>
      <w:tr w:rsidR="008C7988" w:rsidRPr="00CE28E3" w14:paraId="0C123B9B" w14:textId="77777777" w:rsidTr="008C7988">
        <w:tc>
          <w:tcPr>
            <w:tcW w:w="2002" w:type="dxa"/>
            <w:shd w:val="clear" w:color="auto" w:fill="auto"/>
          </w:tcPr>
          <w:p w14:paraId="72ADD7AE" w14:textId="22588D8F" w:rsidR="008C7988" w:rsidRDefault="008C7988" w:rsidP="008C7988">
            <w:pPr>
              <w:pStyle w:val="TableText"/>
              <w:rPr>
                <w:rFonts w:cs="Arial"/>
              </w:rPr>
            </w:pPr>
            <w:r w:rsidRPr="00084393">
              <w:rPr>
                <w:rFonts w:cs="Arial"/>
              </w:rPr>
              <w:t>Outcomes</w:t>
            </w:r>
          </w:p>
        </w:tc>
        <w:tc>
          <w:tcPr>
            <w:tcW w:w="7070" w:type="dxa"/>
            <w:shd w:val="clear" w:color="auto" w:fill="auto"/>
          </w:tcPr>
          <w:p w14:paraId="3A3B684A" w14:textId="77777777" w:rsidR="008C7988" w:rsidRPr="008A7BFE" w:rsidRDefault="008C7988" w:rsidP="001D6EE5">
            <w:pPr>
              <w:pStyle w:val="TableText"/>
              <w:rPr>
                <w:b/>
              </w:rPr>
            </w:pPr>
            <w:r w:rsidRPr="008A7BFE">
              <w:rPr>
                <w:b/>
              </w:rPr>
              <w:t>Test outcomes</w:t>
            </w:r>
          </w:p>
          <w:p w14:paraId="29668B3B" w14:textId="1DB9226F" w:rsidR="008C7988" w:rsidRDefault="008C7988" w:rsidP="001D6EE5">
            <w:pPr>
              <w:pStyle w:val="TableText"/>
            </w:pPr>
            <w:r>
              <w:t xml:space="preserve">Positive percent agreement and negative percent agreement of small </w:t>
            </w:r>
            <w:r w:rsidR="00704CE8">
              <w:t xml:space="preserve">DNA/RNA </w:t>
            </w:r>
            <w:r>
              <w:t>panel</w:t>
            </w:r>
            <w:r w:rsidR="00704CE8">
              <w:t>s</w:t>
            </w:r>
            <w:r>
              <w:t xml:space="preserve"> against the evidentiary standards</w:t>
            </w:r>
          </w:p>
          <w:p w14:paraId="5DF81D3D" w14:textId="4958E599" w:rsidR="008C7988" w:rsidRDefault="008C7988" w:rsidP="001D6EE5">
            <w:pPr>
              <w:pStyle w:val="TableText"/>
            </w:pPr>
            <w:r>
              <w:t xml:space="preserve">Positive predictive value and negative predictive value of small </w:t>
            </w:r>
            <w:r w:rsidR="00704CE8">
              <w:t xml:space="preserve">DNA/RNA </w:t>
            </w:r>
            <w:r>
              <w:t>panel</w:t>
            </w:r>
            <w:r w:rsidR="00704CE8">
              <w:t>s</w:t>
            </w:r>
            <w:r>
              <w:t xml:space="preserve"> against the evidentiary standards</w:t>
            </w:r>
          </w:p>
          <w:p w14:paraId="12869FF4" w14:textId="252E9B0E" w:rsidR="008C7988" w:rsidRDefault="008C7988" w:rsidP="001D6EE5">
            <w:pPr>
              <w:pStyle w:val="TableText"/>
            </w:pPr>
            <w:r>
              <w:t xml:space="preserve">Concordance between small </w:t>
            </w:r>
            <w:r w:rsidR="00704CE8">
              <w:t xml:space="preserve">DNA/RNA </w:t>
            </w:r>
            <w:r>
              <w:t>panel</w:t>
            </w:r>
            <w:r w:rsidR="00704CE8">
              <w:t>s</w:t>
            </w:r>
            <w:r>
              <w:t xml:space="preserve"> and comparator biomarker assays</w:t>
            </w:r>
          </w:p>
          <w:p w14:paraId="5DB74977" w14:textId="353617D3" w:rsidR="008C7988" w:rsidRDefault="008C7988" w:rsidP="001D6EE5">
            <w:pPr>
              <w:pStyle w:val="TableText"/>
            </w:pPr>
            <w:r w:rsidRPr="00963418">
              <w:t>Test turnaround time</w:t>
            </w:r>
          </w:p>
          <w:p w14:paraId="12458379" w14:textId="7DC7036F" w:rsidR="00C257B5" w:rsidRPr="00963418" w:rsidRDefault="00222C47" w:rsidP="001D6EE5">
            <w:pPr>
              <w:pStyle w:val="TableText"/>
            </w:pPr>
            <w:r>
              <w:t>Rebiopsy rate / test failure rate / inadequate sample rate (e.g. from an inadequate cytological specimen)</w:t>
            </w:r>
          </w:p>
          <w:p w14:paraId="5B8A321F" w14:textId="77777777" w:rsidR="008C7988" w:rsidRPr="008A7BFE" w:rsidRDefault="008C7988" w:rsidP="001D6EE5">
            <w:pPr>
              <w:pStyle w:val="TableText"/>
              <w:rPr>
                <w:b/>
              </w:rPr>
            </w:pPr>
            <w:r w:rsidRPr="008A7BFE">
              <w:rPr>
                <w:b/>
              </w:rPr>
              <w:t>Safety outcomes</w:t>
            </w:r>
          </w:p>
          <w:p w14:paraId="19F48456" w14:textId="77777777" w:rsidR="00222C47" w:rsidRPr="00BB34C8" w:rsidRDefault="00222C47" w:rsidP="00222C47">
            <w:pPr>
              <w:pStyle w:val="TableText"/>
            </w:pPr>
            <w:r>
              <w:t>Any adverse events related to treatment, repeated biopsies, adverse effects of delayed treatment due to time taken to test</w:t>
            </w:r>
          </w:p>
          <w:p w14:paraId="05A42AAF" w14:textId="16DDFCC2" w:rsidR="008C7988" w:rsidRPr="008A7BFE" w:rsidRDefault="00BF6E7C" w:rsidP="001D6EE5">
            <w:pPr>
              <w:pStyle w:val="TableText"/>
              <w:rPr>
                <w:b/>
              </w:rPr>
            </w:pPr>
            <w:r>
              <w:rPr>
                <w:b/>
              </w:rPr>
              <w:t>Effectiveness</w:t>
            </w:r>
            <w:r w:rsidR="008C7988" w:rsidRPr="008A7BFE">
              <w:rPr>
                <w:b/>
              </w:rPr>
              <w:t xml:space="preserve"> outcomes</w:t>
            </w:r>
          </w:p>
          <w:p w14:paraId="3664961A" w14:textId="7A0BE26C" w:rsidR="008C7988" w:rsidRDefault="008C7988" w:rsidP="001D6EE5">
            <w:pPr>
              <w:pStyle w:val="TableText"/>
            </w:pPr>
            <w:r>
              <w:t>Direct health outcomes (</w:t>
            </w:r>
            <w:r w:rsidR="00704CE8">
              <w:t>Disease-free and/or overall survival, disease-related or and/or all-cause mortality, disease progression, tumour control (regression/remission), incidence of metastases, tumour recurrence, quality of life, and other patient-relevant outcomes)</w:t>
            </w:r>
          </w:p>
          <w:p w14:paraId="1777AD1B" w14:textId="77777777" w:rsidR="008C7988" w:rsidRPr="008A7BFE" w:rsidRDefault="008C7988" w:rsidP="001D6EE5">
            <w:pPr>
              <w:pStyle w:val="TableText"/>
              <w:rPr>
                <w:b/>
              </w:rPr>
            </w:pPr>
            <w:r w:rsidRPr="008A7BFE">
              <w:rPr>
                <w:b/>
              </w:rPr>
              <w:t>Healthcare resources</w:t>
            </w:r>
          </w:p>
          <w:p w14:paraId="6538B20F" w14:textId="77777777" w:rsidR="008C7988" w:rsidRPr="002D3FEE" w:rsidRDefault="008C7988" w:rsidP="001D6EE5">
            <w:pPr>
              <w:pStyle w:val="TableText"/>
            </w:pPr>
            <w:r>
              <w:t>Cost</w:t>
            </w:r>
          </w:p>
          <w:p w14:paraId="4B13CDB4" w14:textId="77777777" w:rsidR="008C7988" w:rsidRPr="009B6FAE" w:rsidRDefault="008C7988" w:rsidP="001D6EE5">
            <w:pPr>
              <w:pStyle w:val="TableText"/>
            </w:pPr>
            <w:r w:rsidRPr="009B6FAE">
              <w:t>Cost-effectiveness</w:t>
            </w:r>
          </w:p>
          <w:p w14:paraId="123811DE" w14:textId="51C74D94" w:rsidR="008C7988" w:rsidRDefault="008C7988" w:rsidP="001D6EE5">
            <w:pPr>
              <w:pStyle w:val="TableText"/>
              <w:rPr>
                <w:i/>
              </w:rPr>
            </w:pPr>
            <w:r>
              <w:t>Net</w:t>
            </w:r>
            <w:r w:rsidRPr="009B6FAE">
              <w:t xml:space="preserve"> Australian Government healthcare costs</w:t>
            </w:r>
          </w:p>
        </w:tc>
      </w:tr>
      <w:tr w:rsidR="008C7988" w:rsidRPr="00CE28E3" w14:paraId="22019D94" w14:textId="77777777" w:rsidTr="00F7167B">
        <w:trPr>
          <w:trHeight w:val="838"/>
        </w:trPr>
        <w:tc>
          <w:tcPr>
            <w:tcW w:w="9072" w:type="dxa"/>
            <w:gridSpan w:val="2"/>
            <w:shd w:val="clear" w:color="auto" w:fill="auto"/>
          </w:tcPr>
          <w:p w14:paraId="7C5ED58E" w14:textId="5E004BF1" w:rsidR="008C7988" w:rsidRPr="00CE28E3" w:rsidRDefault="00F7167B" w:rsidP="008C7988">
            <w:pPr>
              <w:pStyle w:val="In-tableHeading"/>
            </w:pPr>
            <w:r>
              <w:t>Systematic review question</w:t>
            </w:r>
            <w:r w:rsidR="008C7988" w:rsidRPr="00CE28E3">
              <w:t>:</w:t>
            </w:r>
          </w:p>
          <w:p w14:paraId="58211074" w14:textId="77777777" w:rsidR="008C7988" w:rsidRDefault="008C7988" w:rsidP="00F7167B">
            <w:pPr>
              <w:pStyle w:val="TableText"/>
            </w:pPr>
            <w:r w:rsidRPr="00CE28E3">
              <w:t xml:space="preserve">What is the safety, effectiveness and cost-effectiveness of </w:t>
            </w:r>
            <w:r w:rsidR="00117909">
              <w:t xml:space="preserve">small </w:t>
            </w:r>
            <w:r w:rsidR="00F7167B">
              <w:t>NGS DNA/RNA</w:t>
            </w:r>
            <w:r w:rsidR="00117909">
              <w:t xml:space="preserve"> panel</w:t>
            </w:r>
            <w:r w:rsidR="00F7167B">
              <w:t>(s)</w:t>
            </w:r>
            <w:r w:rsidRPr="00B83B62">
              <w:t xml:space="preserve"> compared to </w:t>
            </w:r>
            <w:r w:rsidR="00F7167B">
              <w:t xml:space="preserve">sequential single </w:t>
            </w:r>
            <w:r w:rsidR="00C60EC4">
              <w:t xml:space="preserve">gene </w:t>
            </w:r>
            <w:r w:rsidR="00F7167B">
              <w:t>testing</w:t>
            </w:r>
            <w:r w:rsidRPr="00B83B62">
              <w:t xml:space="preserve"> </w:t>
            </w:r>
            <w:r w:rsidR="00F7167B">
              <w:t>in patients with non-squamous (or histology not otherwise specified) non-small cell lung cancer</w:t>
            </w:r>
            <w:r w:rsidRPr="00EA0E54">
              <w:t>?</w:t>
            </w:r>
          </w:p>
          <w:p w14:paraId="5D33A9B0" w14:textId="792FD491" w:rsidR="008A7BFE" w:rsidRPr="008A7BFE" w:rsidRDefault="008A7BFE" w:rsidP="00F7167B">
            <w:pPr>
              <w:pStyle w:val="TableText"/>
              <w:rPr>
                <w:i/>
              </w:rPr>
            </w:pPr>
            <w:r w:rsidRPr="008A7BFE">
              <w:rPr>
                <w:i/>
              </w:rPr>
              <w:t xml:space="preserve">NB: </w:t>
            </w:r>
            <w:r>
              <w:rPr>
                <w:i/>
              </w:rPr>
              <w:t xml:space="preserve">questions related to the linked evidence approach are shown in </w:t>
            </w:r>
            <w:r w:rsidRPr="008A7BFE">
              <w:fldChar w:fldCharType="begin"/>
            </w:r>
            <w:r w:rsidRPr="008A7BFE">
              <w:instrText xml:space="preserve"> REF _Ref56607849 \h </w:instrText>
            </w:r>
            <w:r>
              <w:instrText xml:space="preserve"> \* MERGEFORMAT </w:instrText>
            </w:r>
            <w:r w:rsidRPr="008A7BFE">
              <w:fldChar w:fldCharType="separate"/>
            </w:r>
            <w:r w:rsidR="00C857F3" w:rsidRPr="00CE28E3">
              <w:t xml:space="preserve">Appendix </w:t>
            </w:r>
            <w:r w:rsidR="00C857F3">
              <w:t>A</w:t>
            </w:r>
            <w:r w:rsidRPr="008A7BFE">
              <w:fldChar w:fldCharType="end"/>
            </w:r>
            <w:r>
              <w:t>.</w:t>
            </w:r>
          </w:p>
        </w:tc>
      </w:tr>
    </w:tbl>
    <w:p w14:paraId="6C09F88B" w14:textId="3B261163" w:rsidR="008C7988" w:rsidRDefault="008C7988" w:rsidP="00403D0C">
      <w:pPr>
        <w:pStyle w:val="TableFooter"/>
      </w:pPr>
      <w:r w:rsidRPr="007C7AB1">
        <w:rPr>
          <w:i/>
        </w:rPr>
        <w:t>ALK</w:t>
      </w:r>
      <w:r>
        <w:t xml:space="preserve"> = </w:t>
      </w:r>
      <w:r w:rsidRPr="00561C5F">
        <w:t>anaplastic lymphoma kinase</w:t>
      </w:r>
      <w:r>
        <w:t xml:space="preserve">; </w:t>
      </w:r>
      <w:r w:rsidR="00403D0C" w:rsidRPr="002412BE">
        <w:t>DNA = deoxyribonucleic acid;</w:t>
      </w:r>
      <w:r w:rsidR="00403D0C">
        <w:t xml:space="preserve"> </w:t>
      </w:r>
      <w:r w:rsidRPr="007C7AB1">
        <w:rPr>
          <w:i/>
        </w:rPr>
        <w:t>EGFR</w:t>
      </w:r>
      <w:r>
        <w:t xml:space="preserve"> = epidermal growth factor receptor; FISH = f</w:t>
      </w:r>
      <w:r w:rsidRPr="00561C5F">
        <w:t xml:space="preserve">luorescence </w:t>
      </w:r>
      <w:r w:rsidRPr="007C7AB1">
        <w:rPr>
          <w:i/>
        </w:rPr>
        <w:t>in situ</w:t>
      </w:r>
      <w:r w:rsidRPr="00561C5F">
        <w:t xml:space="preserve"> hybridi</w:t>
      </w:r>
      <w:r w:rsidR="000A4BA4">
        <w:t>s</w:t>
      </w:r>
      <w:r w:rsidRPr="00561C5F">
        <w:t>ation</w:t>
      </w:r>
      <w:r>
        <w:t xml:space="preserve">; IHC = </w:t>
      </w:r>
      <w:r w:rsidRPr="00CE4DC5">
        <w:t>immunohistochemistry;</w:t>
      </w:r>
      <w:r w:rsidR="00403D0C">
        <w:t xml:space="preserve"> </w:t>
      </w:r>
      <w:r w:rsidR="00403D0C" w:rsidRPr="00152F12">
        <w:rPr>
          <w:i/>
        </w:rPr>
        <w:t>KRAS</w:t>
      </w:r>
      <w:r w:rsidR="00403D0C">
        <w:t xml:space="preserve"> = Kirsten rat sarcoma;</w:t>
      </w:r>
      <w:r w:rsidRPr="00CE4DC5">
        <w:t xml:space="preserve"> </w:t>
      </w:r>
      <w:r w:rsidRPr="00CE4DC5">
        <w:rPr>
          <w:i/>
        </w:rPr>
        <w:t>MET</w:t>
      </w:r>
      <w:r w:rsidRPr="00CE4DC5">
        <w:t xml:space="preserve"> =</w:t>
      </w:r>
      <w:r>
        <w:t xml:space="preserve"> </w:t>
      </w:r>
      <w:r w:rsidR="00CE4DC5" w:rsidRPr="008F67AF">
        <w:rPr>
          <w:szCs w:val="18"/>
        </w:rPr>
        <w:t>mesenchymal-epithelial transition</w:t>
      </w:r>
      <w:r w:rsidR="00CE4DC5">
        <w:rPr>
          <w:szCs w:val="18"/>
        </w:rPr>
        <w:t xml:space="preserve">; </w:t>
      </w:r>
      <w:r w:rsidR="00220C44">
        <w:t>NGS = next generation sequencing;</w:t>
      </w:r>
      <w:r w:rsidR="00403D0C" w:rsidRPr="00403D0C">
        <w:t xml:space="preserve"> </w:t>
      </w:r>
      <w:r w:rsidR="00403D0C">
        <w:t xml:space="preserve">NTRK = neurotrophic tyrosine receptor kinase; </w:t>
      </w:r>
      <w:r w:rsidR="00403D0C" w:rsidRPr="00152F12">
        <w:rPr>
          <w:i/>
        </w:rPr>
        <w:t>RET</w:t>
      </w:r>
      <w:r w:rsidR="00403D0C">
        <w:t xml:space="preserve"> = rearranged during transfection;</w:t>
      </w:r>
      <w:r w:rsidR="00220C44">
        <w:t xml:space="preserve"> </w:t>
      </w:r>
      <w:r w:rsidR="00403D0C">
        <w:t xml:space="preserve">RNA = ribonucleic acid; </w:t>
      </w:r>
      <w:r w:rsidRPr="007C7AB1">
        <w:rPr>
          <w:i/>
        </w:rPr>
        <w:t>ROS1</w:t>
      </w:r>
      <w:r>
        <w:t xml:space="preserve"> = </w:t>
      </w:r>
      <w:r w:rsidRPr="00561C5F">
        <w:t>ROS proto-oncogene 1</w:t>
      </w:r>
    </w:p>
    <w:p w14:paraId="5AD3146C" w14:textId="77777777" w:rsidR="00C2534F" w:rsidRPr="00CE28E3" w:rsidRDefault="00C2534F" w:rsidP="00EA0E54">
      <w:pPr>
        <w:pStyle w:val="Heading2"/>
        <w:ind w:left="357" w:hanging="357"/>
      </w:pPr>
      <w:bookmarkStart w:id="69" w:name="_Toc148531140"/>
      <w:r w:rsidRPr="00CE28E3">
        <w:t>Alignment with the PICO confirmation</w:t>
      </w:r>
      <w:bookmarkEnd w:id="69"/>
    </w:p>
    <w:p w14:paraId="36305903" w14:textId="6E1BAF38" w:rsidR="00C94896" w:rsidRDefault="00C94896" w:rsidP="00C94896">
      <w:pPr>
        <w:pStyle w:val="Instructionaltext"/>
        <w:rPr>
          <w:color w:val="auto"/>
        </w:rPr>
      </w:pPr>
      <w:r w:rsidRPr="00C94896">
        <w:rPr>
          <w:color w:val="auto"/>
        </w:rPr>
        <w:t xml:space="preserve">No PICO confirmation </w:t>
      </w:r>
      <w:r w:rsidR="00DC768F">
        <w:rPr>
          <w:color w:val="auto"/>
        </w:rPr>
        <w:t xml:space="preserve">was created </w:t>
      </w:r>
      <w:r w:rsidRPr="00C94896">
        <w:rPr>
          <w:color w:val="auto"/>
        </w:rPr>
        <w:t>for MSAC assessment 1721</w:t>
      </w:r>
      <w:r w:rsidR="00DC768F">
        <w:rPr>
          <w:color w:val="auto"/>
        </w:rPr>
        <w:t>, as the topic was deemed similar enough to MSAC assessment 1634, to use that as the basis</w:t>
      </w:r>
      <w:r w:rsidRPr="00C94896">
        <w:rPr>
          <w:color w:val="auto"/>
        </w:rPr>
        <w:t xml:space="preserve">. </w:t>
      </w:r>
      <w:r w:rsidR="00403D0C">
        <w:rPr>
          <w:color w:val="auto"/>
        </w:rPr>
        <w:t xml:space="preserve">The </w:t>
      </w:r>
      <w:r w:rsidR="00326F7B">
        <w:rPr>
          <w:color w:val="auto"/>
        </w:rPr>
        <w:t>key difference</w:t>
      </w:r>
      <w:r w:rsidR="00403D0C">
        <w:rPr>
          <w:color w:val="auto"/>
        </w:rPr>
        <w:t xml:space="preserve"> to PICO confirmation 1634 were the inclusion of smaller NGS panels (rather than comprehensive NGS panels)</w:t>
      </w:r>
      <w:r w:rsidR="00326F7B">
        <w:rPr>
          <w:color w:val="auto"/>
        </w:rPr>
        <w:t xml:space="preserve">. </w:t>
      </w:r>
    </w:p>
    <w:p w14:paraId="3E1D4582" w14:textId="26F12C09" w:rsidR="00C94896" w:rsidRDefault="00C94896" w:rsidP="00C94896">
      <w:pPr>
        <w:pStyle w:val="Heading2"/>
        <w:ind w:left="357" w:hanging="357"/>
      </w:pPr>
      <w:bookmarkStart w:id="70" w:name="_Toc148531141"/>
      <w:r w:rsidRPr="00CE28E3">
        <w:lastRenderedPageBreak/>
        <w:t>Clinical management algorithms</w:t>
      </w:r>
      <w:bookmarkEnd w:id="70"/>
    </w:p>
    <w:p w14:paraId="040051B0" w14:textId="0C7F4487" w:rsidR="00C94896" w:rsidRPr="005D2C5E" w:rsidRDefault="00C94896" w:rsidP="00C94896">
      <w:r>
        <w:t xml:space="preserve">Clinical management algorithms for the current scenario and the two proposed options are shown in </w:t>
      </w:r>
      <w:r>
        <w:fldChar w:fldCharType="begin"/>
      </w:r>
      <w:r>
        <w:instrText xml:space="preserve"> REF _Ref102472521 \h </w:instrText>
      </w:r>
      <w:r>
        <w:fldChar w:fldCharType="separate"/>
      </w:r>
      <w:r w:rsidR="00C857F3">
        <w:t xml:space="preserve">Figure </w:t>
      </w:r>
      <w:r w:rsidR="00C857F3">
        <w:rPr>
          <w:noProof/>
        </w:rPr>
        <w:t>4</w:t>
      </w:r>
      <w:r>
        <w:fldChar w:fldCharType="end"/>
      </w:r>
      <w:r>
        <w:t xml:space="preserve"> to </w:t>
      </w:r>
      <w:r>
        <w:fldChar w:fldCharType="begin"/>
      </w:r>
      <w:r>
        <w:instrText xml:space="preserve"> REF _Ref102472525 \h </w:instrText>
      </w:r>
      <w:r>
        <w:fldChar w:fldCharType="separate"/>
      </w:r>
      <w:r w:rsidR="00C857F3">
        <w:t xml:space="preserve">Figure </w:t>
      </w:r>
      <w:r w:rsidR="00C857F3">
        <w:rPr>
          <w:noProof/>
        </w:rPr>
        <w:t>6</w:t>
      </w:r>
      <w:r>
        <w:fldChar w:fldCharType="end"/>
      </w:r>
      <w:r>
        <w:t xml:space="preserve">. Patients have the same treatment options in all three scenarios, the only differences between algorithms are the number of tests which patients may have. If insufficient tumour tissue is available due to sequential testing, more rebiopsies may be required in the current clinical management algorithm. </w:t>
      </w:r>
    </w:p>
    <w:p w14:paraId="658E8DC9" w14:textId="77777777" w:rsidR="003D5AD2" w:rsidRDefault="003D5AD2" w:rsidP="003251C2">
      <w:pPr>
        <w:rPr>
          <w:color w:val="538135" w:themeColor="accent6" w:themeShade="BF"/>
        </w:rPr>
        <w:sectPr w:rsidR="003D5AD2" w:rsidSect="00BC6897">
          <w:pgSz w:w="11906" w:h="16838"/>
          <w:pgMar w:top="1440" w:right="1440" w:bottom="1440" w:left="1440" w:header="708" w:footer="708" w:gutter="0"/>
          <w:cols w:space="708"/>
          <w:docGrid w:linePitch="360"/>
        </w:sectPr>
      </w:pPr>
    </w:p>
    <w:p w14:paraId="53671CFE" w14:textId="364EA4E6" w:rsidR="003D5AD2" w:rsidRDefault="001744F5" w:rsidP="003D5AD2">
      <w:pPr>
        <w:pStyle w:val="NormalBeforeBullet"/>
        <w:keepNext/>
      </w:pPr>
      <w:r w:rsidRPr="001744F5">
        <w:rPr>
          <w:noProof/>
          <w:lang w:eastAsia="en-AU"/>
        </w:rPr>
        <w:lastRenderedPageBreak/>
        <w:drawing>
          <wp:inline distT="0" distB="0" distL="0" distR="0" wp14:anchorId="297A2BEE" wp14:editId="5ECEBE63">
            <wp:extent cx="8768439" cy="4824730"/>
            <wp:effectExtent l="0" t="0" r="0" b="0"/>
            <wp:docPr id="4" name="Picture 4" descr="Current clinical management algorithm, showing sequential testing " title="Current clinical management algorithm, showing sequential tes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70"/>
                    <a:stretch/>
                  </pic:blipFill>
                  <pic:spPr bwMode="auto">
                    <a:xfrm>
                      <a:off x="0" y="0"/>
                      <a:ext cx="8768439" cy="4824730"/>
                    </a:xfrm>
                    <a:prstGeom prst="rect">
                      <a:avLst/>
                    </a:prstGeom>
                    <a:ln>
                      <a:noFill/>
                    </a:ln>
                    <a:extLst>
                      <a:ext uri="{53640926-AAD7-44D8-BBD7-CCE9431645EC}">
                        <a14:shadowObscured xmlns:a14="http://schemas.microsoft.com/office/drawing/2010/main"/>
                      </a:ext>
                    </a:extLst>
                  </pic:spPr>
                </pic:pic>
              </a:graphicData>
            </a:graphic>
          </wp:inline>
        </w:drawing>
      </w:r>
    </w:p>
    <w:p w14:paraId="3DB3DE3B" w14:textId="5CDC85A1" w:rsidR="00610ECF" w:rsidRDefault="003D5AD2" w:rsidP="001744F5">
      <w:pPr>
        <w:pStyle w:val="Caption"/>
        <w:spacing w:before="0"/>
      </w:pPr>
      <w:bookmarkStart w:id="71" w:name="_Ref102472521"/>
      <w:r>
        <w:t xml:space="preserve">Figure </w:t>
      </w:r>
      <w:fldSimple w:instr=" SEQ Figure \* ARABIC ">
        <w:r w:rsidR="00C857F3">
          <w:rPr>
            <w:noProof/>
          </w:rPr>
          <w:t>4</w:t>
        </w:r>
      </w:fldSimple>
      <w:bookmarkEnd w:id="71"/>
      <w:r>
        <w:tab/>
      </w:r>
      <w:r w:rsidR="001744F5">
        <w:t xml:space="preserve">Current clinical management algorithm, showing sequential testing </w:t>
      </w:r>
    </w:p>
    <w:p w14:paraId="33CC109E" w14:textId="3E75C5CD" w:rsidR="008F456E" w:rsidRDefault="001744F5" w:rsidP="008F456E">
      <w:pPr>
        <w:pStyle w:val="TableFigureFooter"/>
      </w:pPr>
      <w:r>
        <w:t xml:space="preserve">Source: based on </w:t>
      </w:r>
      <w:r w:rsidR="001141EF">
        <w:t xml:space="preserve">clinical algorithm from ratified PICO confirmation for MSAC application 1669. Blue boxes show the position of testing to be replaced (NB IHC testing for PD-L1 not proposed to be replaced). </w:t>
      </w:r>
      <w:r w:rsidR="001141EF">
        <w:rPr>
          <w:i/>
        </w:rPr>
        <w:t>EGFR</w:t>
      </w:r>
      <w:r w:rsidR="001141EF">
        <w:t xml:space="preserve"> T790M testing not proposed to be replaced. </w:t>
      </w:r>
      <w:r w:rsidR="008F456E">
        <w:t xml:space="preserve"> </w:t>
      </w:r>
      <w:r w:rsidR="008F456E" w:rsidRPr="007C7AB1">
        <w:rPr>
          <w:i/>
        </w:rPr>
        <w:t>ALK</w:t>
      </w:r>
      <w:r w:rsidR="008F456E">
        <w:t xml:space="preserve"> = </w:t>
      </w:r>
      <w:r w:rsidR="008F456E" w:rsidRPr="00561C5F">
        <w:t>anaplastic lymphoma kinase</w:t>
      </w:r>
      <w:r w:rsidR="008F456E">
        <w:t xml:space="preserve">; </w:t>
      </w:r>
      <w:r w:rsidR="008F456E" w:rsidRPr="007C7AB1">
        <w:rPr>
          <w:i/>
        </w:rPr>
        <w:t>EGFR</w:t>
      </w:r>
      <w:r w:rsidR="008F456E">
        <w:t xml:space="preserve"> = epidermal growth factor receptor; FISH = f</w:t>
      </w:r>
      <w:r w:rsidR="008F456E" w:rsidRPr="00561C5F">
        <w:t xml:space="preserve">luorescence </w:t>
      </w:r>
      <w:r w:rsidR="008F456E" w:rsidRPr="007C7AB1">
        <w:rPr>
          <w:i/>
        </w:rPr>
        <w:t>in situ</w:t>
      </w:r>
      <w:r w:rsidR="008F456E" w:rsidRPr="00561C5F">
        <w:t xml:space="preserve"> </w:t>
      </w:r>
      <w:r w:rsidR="00D86197" w:rsidRPr="00561C5F">
        <w:t>hybridi</w:t>
      </w:r>
      <w:r w:rsidR="00D86197">
        <w:t>s</w:t>
      </w:r>
      <w:r w:rsidR="00D86197" w:rsidRPr="00561C5F">
        <w:t>ation</w:t>
      </w:r>
      <w:r w:rsidR="008F456E">
        <w:t xml:space="preserve">; IHC = </w:t>
      </w:r>
      <w:r w:rsidR="008F456E" w:rsidRPr="00CE4DC5">
        <w:t xml:space="preserve">immunohistochemistry; </w:t>
      </w:r>
      <w:r w:rsidR="008F456E" w:rsidRPr="00CE4DC5">
        <w:rPr>
          <w:i/>
        </w:rPr>
        <w:t>MET</w:t>
      </w:r>
      <w:r w:rsidR="008F456E" w:rsidRPr="00CE4DC5">
        <w:t xml:space="preserve"> =</w:t>
      </w:r>
      <w:r w:rsidR="008F456E">
        <w:t xml:space="preserve"> </w:t>
      </w:r>
      <w:r w:rsidR="008F456E" w:rsidRPr="008F67AF">
        <w:rPr>
          <w:szCs w:val="18"/>
        </w:rPr>
        <w:t>mesenchymal-epithelial transition</w:t>
      </w:r>
      <w:r w:rsidR="008F456E">
        <w:rPr>
          <w:szCs w:val="18"/>
        </w:rPr>
        <w:t xml:space="preserve">; </w:t>
      </w:r>
      <w:r w:rsidR="008F456E">
        <w:t xml:space="preserve">NGS = next generation sequencing; </w:t>
      </w:r>
      <w:r w:rsidR="008F456E" w:rsidRPr="007C7AB1">
        <w:rPr>
          <w:i/>
        </w:rPr>
        <w:t>ROS1</w:t>
      </w:r>
      <w:r w:rsidR="008F456E">
        <w:t xml:space="preserve"> = </w:t>
      </w:r>
      <w:r w:rsidR="008F456E" w:rsidRPr="00561C5F">
        <w:t>ROS proto-oncogene 1</w:t>
      </w:r>
    </w:p>
    <w:p w14:paraId="7FE87E57" w14:textId="77777777" w:rsidR="008F456E" w:rsidRDefault="008F456E" w:rsidP="001141EF">
      <w:pPr>
        <w:pStyle w:val="TableFigureFooter"/>
      </w:pPr>
    </w:p>
    <w:p w14:paraId="4BDA6815" w14:textId="1B179AE3" w:rsidR="006125E4" w:rsidRDefault="006125E4" w:rsidP="001141EF">
      <w:pPr>
        <w:pStyle w:val="TableFigureFooter"/>
      </w:pPr>
      <w:r w:rsidRPr="006125E4">
        <w:rPr>
          <w:noProof/>
        </w:rPr>
        <w:drawing>
          <wp:inline distT="0" distB="0" distL="0" distR="0" wp14:anchorId="39A8CBE5" wp14:editId="3762AEBB">
            <wp:extent cx="6331789" cy="3733841"/>
            <wp:effectExtent l="0" t="0" r="0" b="0"/>
            <wp:docPr id="5" name="Picture 5" descr="Proposed clinical management algorithm, showing simultaneous testing of DNA and RNA (option 1)" title="Proposed clinical management algorithm, showing simultaneous testing of DNA and RNA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0037" cy="3762292"/>
                    </a:xfrm>
                    <a:prstGeom prst="rect">
                      <a:avLst/>
                    </a:prstGeom>
                  </pic:spPr>
                </pic:pic>
              </a:graphicData>
            </a:graphic>
          </wp:inline>
        </w:drawing>
      </w:r>
    </w:p>
    <w:p w14:paraId="51A33A32" w14:textId="6F8308F8" w:rsidR="006125E4" w:rsidRDefault="006125E4" w:rsidP="006125E4">
      <w:pPr>
        <w:pStyle w:val="Caption"/>
        <w:spacing w:before="0"/>
      </w:pPr>
      <w:r>
        <w:t xml:space="preserve">Figure </w:t>
      </w:r>
      <w:fldSimple w:instr=" SEQ Figure \* ARABIC ">
        <w:r w:rsidR="00C857F3">
          <w:rPr>
            <w:noProof/>
          </w:rPr>
          <w:t>5</w:t>
        </w:r>
      </w:fldSimple>
      <w:r>
        <w:tab/>
        <w:t xml:space="preserve">Proposed clinical management algorithm, showing simultaneous testing of DNA and RNA </w:t>
      </w:r>
      <w:r w:rsidR="00024BA6">
        <w:t>(option 1)</w:t>
      </w:r>
    </w:p>
    <w:p w14:paraId="63031E3F" w14:textId="6B5BD065" w:rsidR="008F456E" w:rsidRDefault="006125E4" w:rsidP="008F456E">
      <w:pPr>
        <w:pStyle w:val="Tablenotes"/>
      </w:pPr>
      <w:r>
        <w:t xml:space="preserve">Source: based on clinical algorithm from ratified PICO confirmation for MSAC application 1634. </w:t>
      </w:r>
      <w:r>
        <w:rPr>
          <w:i/>
        </w:rPr>
        <w:t>EGFR</w:t>
      </w:r>
      <w:r>
        <w:t xml:space="preserve"> T790M testing not proposed to be replaced. </w:t>
      </w:r>
      <w:r w:rsidR="008F456E" w:rsidRPr="007C7AB1">
        <w:rPr>
          <w:i/>
        </w:rPr>
        <w:t>ALK</w:t>
      </w:r>
      <w:r w:rsidR="008F456E">
        <w:t xml:space="preserve"> = </w:t>
      </w:r>
      <w:r w:rsidR="008F456E" w:rsidRPr="00561C5F">
        <w:t>anaplastic lymphoma kinase</w:t>
      </w:r>
      <w:r w:rsidR="008F456E">
        <w:t xml:space="preserve">; </w:t>
      </w:r>
      <w:r w:rsidR="008F456E" w:rsidRPr="007C7AB1">
        <w:rPr>
          <w:i/>
        </w:rPr>
        <w:t>EGFR</w:t>
      </w:r>
      <w:r w:rsidR="008F456E">
        <w:t xml:space="preserve"> = epidermal growth factor receptor; FISH = f</w:t>
      </w:r>
      <w:r w:rsidR="008F456E" w:rsidRPr="00561C5F">
        <w:t xml:space="preserve">luorescence </w:t>
      </w:r>
      <w:r w:rsidR="008F456E" w:rsidRPr="007C7AB1">
        <w:rPr>
          <w:i/>
        </w:rPr>
        <w:t>in situ</w:t>
      </w:r>
      <w:r w:rsidR="008F456E" w:rsidRPr="00561C5F">
        <w:t xml:space="preserve"> </w:t>
      </w:r>
      <w:r w:rsidR="00D86197" w:rsidRPr="00561C5F">
        <w:t>hybridi</w:t>
      </w:r>
      <w:r w:rsidR="00D86197">
        <w:t>s</w:t>
      </w:r>
      <w:r w:rsidR="00D86197" w:rsidRPr="00561C5F">
        <w:t>ation</w:t>
      </w:r>
      <w:r w:rsidR="008F456E">
        <w:t xml:space="preserve">; IHC = </w:t>
      </w:r>
      <w:r w:rsidR="008F456E" w:rsidRPr="00CE4DC5">
        <w:t xml:space="preserve">immunohistochemistry; </w:t>
      </w:r>
      <w:r w:rsidR="008F456E" w:rsidRPr="00CE4DC5">
        <w:rPr>
          <w:i/>
        </w:rPr>
        <w:t>MET</w:t>
      </w:r>
      <w:r w:rsidR="008F456E" w:rsidRPr="00CE4DC5">
        <w:t xml:space="preserve"> =</w:t>
      </w:r>
      <w:r w:rsidR="008F456E">
        <w:t xml:space="preserve"> </w:t>
      </w:r>
      <w:r w:rsidR="008F456E" w:rsidRPr="008F67AF">
        <w:rPr>
          <w:szCs w:val="18"/>
        </w:rPr>
        <w:t>mesenchymal-epithelial transition</w:t>
      </w:r>
      <w:r w:rsidR="008F456E">
        <w:rPr>
          <w:szCs w:val="18"/>
        </w:rPr>
        <w:t xml:space="preserve">; </w:t>
      </w:r>
      <w:r w:rsidR="008F456E">
        <w:t xml:space="preserve">NGS = next generation sequencing; </w:t>
      </w:r>
      <w:r w:rsidR="008F456E" w:rsidRPr="007C7AB1">
        <w:rPr>
          <w:i/>
        </w:rPr>
        <w:t>ROS1</w:t>
      </w:r>
      <w:r w:rsidR="008F456E">
        <w:t xml:space="preserve"> = </w:t>
      </w:r>
      <w:r w:rsidR="008F456E" w:rsidRPr="00561C5F">
        <w:t>ROS proto-oncogene 1</w:t>
      </w:r>
    </w:p>
    <w:p w14:paraId="7DFC6FFE" w14:textId="5608E4AF" w:rsidR="006125E4" w:rsidRDefault="006125E4" w:rsidP="006125E4">
      <w:pPr>
        <w:pStyle w:val="TableFigureFooter"/>
      </w:pPr>
    </w:p>
    <w:p w14:paraId="739DBDA5" w14:textId="77777777" w:rsidR="006125E4" w:rsidRPr="001141EF" w:rsidRDefault="006125E4" w:rsidP="001141EF">
      <w:pPr>
        <w:pStyle w:val="TableFigureFooter"/>
      </w:pPr>
    </w:p>
    <w:p w14:paraId="7BA98A89" w14:textId="57CD184B" w:rsidR="001141EF" w:rsidRDefault="00F9234A" w:rsidP="001141EF">
      <w:pPr>
        <w:pStyle w:val="TableFigureFooter"/>
      </w:pPr>
      <w:r w:rsidRPr="00F9234A">
        <w:rPr>
          <w:noProof/>
        </w:rPr>
        <w:lastRenderedPageBreak/>
        <w:drawing>
          <wp:inline distT="0" distB="0" distL="0" distR="0" wp14:anchorId="49A431EA" wp14:editId="26A27AC2">
            <wp:extent cx="8863330" cy="4083050"/>
            <wp:effectExtent l="0" t="0" r="0" b="0"/>
            <wp:docPr id="1" name="Picture 1" descr="Proposed clinical management algorithm, showing separate DNA and RNA panels (option 2)" title="Proposed clinical management algorithm, showing separate DNA and RNA panels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3330" cy="4083050"/>
                    </a:xfrm>
                    <a:prstGeom prst="rect">
                      <a:avLst/>
                    </a:prstGeom>
                  </pic:spPr>
                </pic:pic>
              </a:graphicData>
            </a:graphic>
          </wp:inline>
        </w:drawing>
      </w:r>
    </w:p>
    <w:p w14:paraId="70951D09" w14:textId="63C45237" w:rsidR="00F9234A" w:rsidRDefault="00F9234A" w:rsidP="00F9234A">
      <w:pPr>
        <w:pStyle w:val="Caption"/>
        <w:spacing w:before="0"/>
      </w:pPr>
      <w:bookmarkStart w:id="72" w:name="_Ref102472525"/>
      <w:r>
        <w:t xml:space="preserve">Figure </w:t>
      </w:r>
      <w:fldSimple w:instr=" SEQ Figure \* ARABIC ">
        <w:r w:rsidR="00C857F3">
          <w:rPr>
            <w:noProof/>
          </w:rPr>
          <w:t>6</w:t>
        </w:r>
      </w:fldSimple>
      <w:bookmarkEnd w:id="72"/>
      <w:r>
        <w:tab/>
        <w:t xml:space="preserve">Proposed clinical management algorithm, showing separate </w:t>
      </w:r>
      <w:r w:rsidR="006125E4">
        <w:t xml:space="preserve">DNA and RNA </w:t>
      </w:r>
      <w:r>
        <w:t xml:space="preserve">panels </w:t>
      </w:r>
      <w:r w:rsidR="00024BA6">
        <w:t>(option 2)</w:t>
      </w:r>
    </w:p>
    <w:p w14:paraId="7D5D4336" w14:textId="3C5696A5" w:rsidR="008F456E" w:rsidRDefault="00F9234A" w:rsidP="008F456E">
      <w:pPr>
        <w:pStyle w:val="Tablenotes"/>
      </w:pPr>
      <w:r>
        <w:t xml:space="preserve">Source: based on clinical algorithm from ratified PICO confirmation for MSAC application 1669. </w:t>
      </w:r>
      <w:r>
        <w:rPr>
          <w:i/>
        </w:rPr>
        <w:t>EGFR</w:t>
      </w:r>
      <w:r>
        <w:t xml:space="preserve"> T790M testing not proposed to be replaced. </w:t>
      </w:r>
      <w:r w:rsidR="008F456E" w:rsidRPr="007C7AB1">
        <w:rPr>
          <w:i/>
        </w:rPr>
        <w:t>ALK</w:t>
      </w:r>
      <w:r w:rsidR="008F456E">
        <w:t xml:space="preserve"> = </w:t>
      </w:r>
      <w:r w:rsidR="008F456E" w:rsidRPr="00561C5F">
        <w:t>anaplastic lymphoma kinase</w:t>
      </w:r>
      <w:r w:rsidR="008F456E">
        <w:t xml:space="preserve">; </w:t>
      </w:r>
      <w:r w:rsidR="008F456E" w:rsidRPr="007C7AB1">
        <w:rPr>
          <w:i/>
        </w:rPr>
        <w:t>EGFR</w:t>
      </w:r>
      <w:r w:rsidR="008F456E">
        <w:t xml:space="preserve"> = epidermal growth factor receptor; FISH = f</w:t>
      </w:r>
      <w:r w:rsidR="008F456E" w:rsidRPr="00561C5F">
        <w:t xml:space="preserve">luorescence </w:t>
      </w:r>
      <w:r w:rsidR="008F456E" w:rsidRPr="007C7AB1">
        <w:rPr>
          <w:i/>
        </w:rPr>
        <w:t>in situ</w:t>
      </w:r>
      <w:r w:rsidR="008F456E" w:rsidRPr="00561C5F">
        <w:t xml:space="preserve"> </w:t>
      </w:r>
      <w:r w:rsidR="00D86197" w:rsidRPr="00561C5F">
        <w:t>hybridi</w:t>
      </w:r>
      <w:r w:rsidR="00D86197">
        <w:t>s</w:t>
      </w:r>
      <w:r w:rsidR="00D86197" w:rsidRPr="00561C5F">
        <w:t>ation</w:t>
      </w:r>
      <w:r w:rsidR="008F456E">
        <w:t xml:space="preserve">; IHC = </w:t>
      </w:r>
      <w:r w:rsidR="008F456E" w:rsidRPr="00CE4DC5">
        <w:t xml:space="preserve">immunohistochemistry; </w:t>
      </w:r>
      <w:r w:rsidR="008F456E" w:rsidRPr="00CE4DC5">
        <w:rPr>
          <w:i/>
        </w:rPr>
        <w:t>MET</w:t>
      </w:r>
      <w:r w:rsidR="008F456E" w:rsidRPr="00CE4DC5">
        <w:t xml:space="preserve"> =</w:t>
      </w:r>
      <w:r w:rsidR="008F456E">
        <w:t xml:space="preserve"> </w:t>
      </w:r>
      <w:r w:rsidR="008F456E" w:rsidRPr="008F67AF">
        <w:rPr>
          <w:szCs w:val="18"/>
        </w:rPr>
        <w:t>mesenchymal-epithelial transition</w:t>
      </w:r>
      <w:r w:rsidR="008F456E">
        <w:rPr>
          <w:szCs w:val="18"/>
        </w:rPr>
        <w:t xml:space="preserve">; </w:t>
      </w:r>
      <w:r w:rsidR="008F456E">
        <w:t xml:space="preserve">NGS = next generation sequencing; </w:t>
      </w:r>
      <w:r w:rsidR="008F456E" w:rsidRPr="007C7AB1">
        <w:rPr>
          <w:i/>
        </w:rPr>
        <w:t>ROS1</w:t>
      </w:r>
      <w:r w:rsidR="008F456E">
        <w:t xml:space="preserve"> = </w:t>
      </w:r>
      <w:r w:rsidR="008F456E" w:rsidRPr="00561C5F">
        <w:t>ROS proto-oncogene 1</w:t>
      </w:r>
    </w:p>
    <w:p w14:paraId="2387DDD4" w14:textId="25BFC91B" w:rsidR="00F9234A" w:rsidRPr="001141EF" w:rsidRDefault="00F9234A" w:rsidP="00F9234A">
      <w:pPr>
        <w:pStyle w:val="TableFigureFooter"/>
      </w:pPr>
    </w:p>
    <w:p w14:paraId="08FD44A7" w14:textId="77777777" w:rsidR="003D5AD2" w:rsidRDefault="003D5AD2" w:rsidP="002463A6">
      <w:pPr>
        <w:pStyle w:val="Instructionaltext"/>
      </w:pPr>
    </w:p>
    <w:p w14:paraId="673BA9B3" w14:textId="76BB42C4" w:rsidR="003D5AD2" w:rsidRDefault="003D5AD2" w:rsidP="002463A6">
      <w:pPr>
        <w:pStyle w:val="Instructionaltext"/>
        <w:sectPr w:rsidR="003D5AD2" w:rsidSect="003D5AD2">
          <w:pgSz w:w="16838" w:h="11906" w:orient="landscape"/>
          <w:pgMar w:top="1440" w:right="1440" w:bottom="1440" w:left="1440" w:header="708" w:footer="708" w:gutter="0"/>
          <w:cols w:space="708"/>
          <w:docGrid w:linePitch="360"/>
        </w:sectPr>
      </w:pPr>
    </w:p>
    <w:p w14:paraId="512C2193" w14:textId="0E477AB8" w:rsidR="00856EF3" w:rsidRPr="003251C2" w:rsidRDefault="00856EF3" w:rsidP="002463A6">
      <w:pPr>
        <w:pStyle w:val="Instructionaltext"/>
      </w:pPr>
    </w:p>
    <w:p w14:paraId="59F5B94C" w14:textId="250F75D9" w:rsidR="004B2A4D" w:rsidRPr="00CE28E3" w:rsidRDefault="004B2A4D" w:rsidP="00EA0E54">
      <w:pPr>
        <w:pStyle w:val="Heading2"/>
        <w:ind w:left="357" w:hanging="357"/>
      </w:pPr>
      <w:bookmarkStart w:id="73" w:name="_Toc148531142"/>
      <w:r w:rsidRPr="00CE28E3">
        <w:t>Propos</w:t>
      </w:r>
      <w:r w:rsidR="00E3330E">
        <w:t>al for public funding</w:t>
      </w:r>
      <w:bookmarkEnd w:id="73"/>
    </w:p>
    <w:p w14:paraId="54A648E0" w14:textId="59D84E4C" w:rsidR="00714B8D" w:rsidRDefault="00714B8D" w:rsidP="00714B8D">
      <w:pPr>
        <w:pStyle w:val="NormalBeforeBullet"/>
      </w:pPr>
      <w:r>
        <w:t>Three new MBS items are proposed</w:t>
      </w:r>
      <w:r w:rsidR="00BA4B60">
        <w:t>:</w:t>
      </w:r>
      <w:r>
        <w:t xml:space="preserve"> one for a nucleic acid-based test of both DNA and RNA for simultaneous testing. However, not many laboratories have the capacity to perform simultaneous testing. Two additional MBS items are therefore proposed, for separate DNA and RNA panels. </w:t>
      </w:r>
      <w:r w:rsidR="00F5076C">
        <w:t xml:space="preserve">All three items are proposed to be pathologist determinable (as per </w:t>
      </w:r>
      <w:r w:rsidR="00F5076C">
        <w:rPr>
          <w:i/>
        </w:rPr>
        <w:t xml:space="preserve">EGFR </w:t>
      </w:r>
      <w:r w:rsidR="00F5076C">
        <w:t xml:space="preserve">testing, IHC testing for ALK and ROS1, </w:t>
      </w:r>
      <w:r w:rsidR="00F5076C" w:rsidRPr="00F5076C">
        <w:rPr>
          <w:i/>
        </w:rPr>
        <w:t>ALK</w:t>
      </w:r>
      <w:r w:rsidR="00F5076C">
        <w:t xml:space="preserve"> FISH and </w:t>
      </w:r>
      <w:r w:rsidR="00F5076C" w:rsidRPr="00F5076C">
        <w:rPr>
          <w:i/>
        </w:rPr>
        <w:t>ROS1</w:t>
      </w:r>
      <w:r w:rsidR="00F5076C">
        <w:t xml:space="preserve"> FISH). </w:t>
      </w:r>
    </w:p>
    <w:p w14:paraId="36466540" w14:textId="5A9D8CC5" w:rsidR="00FA62AC" w:rsidRDefault="00FA62AC" w:rsidP="00714B8D">
      <w:pPr>
        <w:pStyle w:val="NormalBeforeBullet"/>
      </w:pPr>
      <w:r>
        <w:t xml:space="preserve">The proposed fees were based on those currently in use for private patients, and reflects the costs of delivering the tests, including extraction, pathologist assessment, quality control, curation and reporting (MSAC application 1721). </w:t>
      </w:r>
    </w:p>
    <w:p w14:paraId="29BD6FF0" w14:textId="359419AD" w:rsidR="00566298" w:rsidRDefault="00566298" w:rsidP="0007021F">
      <w:pPr>
        <w:pStyle w:val="Caption"/>
      </w:pPr>
      <w:bookmarkStart w:id="74" w:name="_Ref46132829"/>
      <w:r w:rsidRPr="00CE28E3">
        <w:t>Table</w:t>
      </w:r>
      <w:r w:rsidR="008B7848">
        <w:t> </w:t>
      </w:r>
      <w:fldSimple w:instr=" SEQ Table \* ARABIC ">
        <w:r w:rsidR="00C857F3">
          <w:rPr>
            <w:noProof/>
          </w:rPr>
          <w:t>22</w:t>
        </w:r>
      </w:fldSimple>
      <w:bookmarkEnd w:id="74"/>
      <w:r w:rsidRPr="00CE28E3">
        <w:tab/>
      </w:r>
      <w:r w:rsidR="00B80F99">
        <w:t>Applicant p</w:t>
      </w:r>
      <w:r w:rsidRPr="00CE28E3">
        <w:t xml:space="preserve">roposed </w:t>
      </w:r>
      <w:r w:rsidR="001E289A">
        <w:t xml:space="preserve">MBS </w:t>
      </w:r>
      <w:r w:rsidRPr="00CE28E3">
        <w:t xml:space="preserve">item for </w:t>
      </w:r>
      <w:r w:rsidR="008F2D90">
        <w:t xml:space="preserve">DNA/RNA panel </w:t>
      </w:r>
      <w:r w:rsidR="001E289A">
        <w:t>with suggested modifications</w:t>
      </w:r>
    </w:p>
    <w:tbl>
      <w:tblPr>
        <w:tblStyle w:val="TableGrid"/>
        <w:tblW w:w="0" w:type="auto"/>
        <w:tblLook w:val="04A0" w:firstRow="1" w:lastRow="0" w:firstColumn="1" w:lastColumn="0" w:noHBand="0" w:noVBand="1"/>
        <w:tblCaption w:val="Proposed item descriptor for DNA/RNA panel "/>
        <w:tblDescription w:val="Proposed item descriptor for DNA/RNA panel "/>
      </w:tblPr>
      <w:tblGrid>
        <w:gridCol w:w="9016"/>
      </w:tblGrid>
      <w:tr w:rsidR="009009D3" w14:paraId="213EC1E6" w14:textId="77777777" w:rsidTr="003A6029">
        <w:trPr>
          <w:tblHeader/>
        </w:trPr>
        <w:tc>
          <w:tcPr>
            <w:tcW w:w="9016" w:type="dxa"/>
          </w:tcPr>
          <w:p w14:paraId="64EADD75" w14:textId="6F30D388" w:rsidR="009009D3" w:rsidRDefault="009009D3" w:rsidP="009009D3">
            <w:pPr>
              <w:pStyle w:val="TableHeading"/>
            </w:pPr>
            <w:r w:rsidRPr="00170D5B">
              <w:t xml:space="preserve">Category </w:t>
            </w:r>
            <w:r>
              <w:t>6</w:t>
            </w:r>
            <w:r w:rsidRPr="00170D5B">
              <w:t xml:space="preserve"> – </w:t>
            </w:r>
            <w:r>
              <w:t>Genetics P7</w:t>
            </w:r>
          </w:p>
        </w:tc>
      </w:tr>
      <w:tr w:rsidR="009009D3" w14:paraId="6BFB8E0E" w14:textId="77777777" w:rsidTr="009009D3">
        <w:tc>
          <w:tcPr>
            <w:tcW w:w="9016" w:type="dxa"/>
          </w:tcPr>
          <w:p w14:paraId="7541783D" w14:textId="77777777" w:rsidR="009009D3" w:rsidRPr="00ED251B" w:rsidRDefault="009009D3" w:rsidP="009009D3">
            <w:pPr>
              <w:pStyle w:val="TableText"/>
              <w:rPr>
                <w:b/>
                <w:szCs w:val="20"/>
              </w:rPr>
            </w:pPr>
            <w:r w:rsidRPr="00ED251B">
              <w:rPr>
                <w:b/>
                <w:szCs w:val="20"/>
              </w:rPr>
              <w:t>AAAA</w:t>
            </w:r>
          </w:p>
          <w:p w14:paraId="6BAEAFC6" w14:textId="77777777" w:rsidR="009009D3" w:rsidRPr="00714B8D" w:rsidRDefault="009009D3" w:rsidP="009009D3">
            <w:pPr>
              <w:pStyle w:val="TableText"/>
              <w:rPr>
                <w:szCs w:val="20"/>
              </w:rPr>
            </w:pPr>
            <w:r w:rsidRPr="00714B8D">
              <w:rPr>
                <w:szCs w:val="20"/>
              </w:rPr>
              <w:t>A nucleic acid-based multi-gene panel test of tumour tissue from a patient diagnosed with non-small cell lung cancer, shown to have non-squamous histology or histology not otherwise specified, requested by, or on behalf of, a specialist or consultant physician, to detect:</w:t>
            </w:r>
          </w:p>
          <w:p w14:paraId="279A2343" w14:textId="77777777" w:rsidR="009009D3" w:rsidRPr="00714B8D" w:rsidRDefault="009009D3" w:rsidP="00B649D2">
            <w:pPr>
              <w:pStyle w:val="TableText"/>
              <w:numPr>
                <w:ilvl w:val="0"/>
                <w:numId w:val="16"/>
              </w:numPr>
              <w:rPr>
                <w:szCs w:val="20"/>
              </w:rPr>
            </w:pPr>
            <w:r w:rsidRPr="00714B8D">
              <w:rPr>
                <w:szCs w:val="20"/>
              </w:rPr>
              <w:t xml:space="preserve">variants in at least </w:t>
            </w:r>
            <w:r w:rsidRPr="008F456E">
              <w:rPr>
                <w:i/>
                <w:szCs w:val="20"/>
              </w:rPr>
              <w:t>EGFR, BRAF, KRAS</w:t>
            </w:r>
            <w:r w:rsidRPr="00714B8D">
              <w:rPr>
                <w:szCs w:val="20"/>
              </w:rPr>
              <w:t xml:space="preserve"> and </w:t>
            </w:r>
            <w:r w:rsidRPr="008F456E">
              <w:rPr>
                <w:i/>
                <w:szCs w:val="20"/>
              </w:rPr>
              <w:t xml:space="preserve">MET </w:t>
            </w:r>
            <w:r w:rsidRPr="00714B8D">
              <w:rPr>
                <w:szCs w:val="20"/>
              </w:rPr>
              <w:t>exon 14 to determine access to specific therapies listed on the Pharmaceutical Benefits Scheme (PBS); and</w:t>
            </w:r>
          </w:p>
          <w:p w14:paraId="5F477D35" w14:textId="77777777" w:rsidR="009009D3" w:rsidRPr="00714B8D" w:rsidRDefault="009009D3" w:rsidP="00B649D2">
            <w:pPr>
              <w:pStyle w:val="TableText"/>
              <w:numPr>
                <w:ilvl w:val="0"/>
                <w:numId w:val="16"/>
              </w:numPr>
              <w:rPr>
                <w:szCs w:val="20"/>
              </w:rPr>
            </w:pPr>
            <w:r w:rsidRPr="00714B8D">
              <w:rPr>
                <w:szCs w:val="20"/>
              </w:rPr>
              <w:t xml:space="preserve">the fusion status of at least </w:t>
            </w:r>
            <w:r w:rsidRPr="008F456E">
              <w:rPr>
                <w:i/>
                <w:szCs w:val="20"/>
              </w:rPr>
              <w:t>ALK, ROS1, RET</w:t>
            </w:r>
            <w:r w:rsidRPr="00714B8D">
              <w:rPr>
                <w:szCs w:val="20"/>
              </w:rPr>
              <w:t xml:space="preserve">, and </w:t>
            </w:r>
            <w:r w:rsidRPr="008F456E">
              <w:rPr>
                <w:i/>
                <w:szCs w:val="20"/>
              </w:rPr>
              <w:t>NTRK</w:t>
            </w:r>
            <w:r w:rsidRPr="00714B8D">
              <w:rPr>
                <w:szCs w:val="20"/>
              </w:rPr>
              <w:t xml:space="preserve"> to determine access to specific therapies listed on the PBS; or</w:t>
            </w:r>
          </w:p>
          <w:p w14:paraId="549B391D" w14:textId="18E863AD" w:rsidR="009009D3" w:rsidRPr="00714B8D" w:rsidRDefault="009009D3" w:rsidP="00B649D2">
            <w:pPr>
              <w:pStyle w:val="TableText"/>
              <w:numPr>
                <w:ilvl w:val="0"/>
                <w:numId w:val="16"/>
              </w:numPr>
              <w:rPr>
                <w:szCs w:val="20"/>
              </w:rPr>
            </w:pPr>
            <w:r w:rsidRPr="00714B8D">
              <w:rPr>
                <w:szCs w:val="20"/>
              </w:rPr>
              <w:t xml:space="preserve">if the requirements relating to </w:t>
            </w:r>
            <w:r w:rsidRPr="008F456E">
              <w:rPr>
                <w:i/>
                <w:szCs w:val="20"/>
              </w:rPr>
              <w:t>EGFR, ALK</w:t>
            </w:r>
            <w:r w:rsidRPr="00714B8D">
              <w:rPr>
                <w:szCs w:val="20"/>
              </w:rPr>
              <w:t xml:space="preserve"> and </w:t>
            </w:r>
            <w:r w:rsidRPr="008F456E">
              <w:rPr>
                <w:i/>
                <w:szCs w:val="20"/>
              </w:rPr>
              <w:t xml:space="preserve">ROS1 </w:t>
            </w:r>
            <w:r w:rsidRPr="00714B8D">
              <w:rPr>
                <w:szCs w:val="20"/>
              </w:rPr>
              <w:t xml:space="preserve">status for access to </w:t>
            </w:r>
            <w:r w:rsidR="003F6D26" w:rsidRPr="007D1820">
              <w:rPr>
                <w:color w:val="0070C0"/>
                <w:szCs w:val="20"/>
              </w:rPr>
              <w:t xml:space="preserve">a PD-(L)1 immunotherapy </w:t>
            </w:r>
            <w:r w:rsidRPr="007D1820">
              <w:rPr>
                <w:strike/>
                <w:color w:val="0070C0"/>
                <w:szCs w:val="20"/>
              </w:rPr>
              <w:t>pembrolizumab</w:t>
            </w:r>
            <w:r w:rsidRPr="007D1820">
              <w:rPr>
                <w:color w:val="0070C0"/>
                <w:szCs w:val="20"/>
              </w:rPr>
              <w:t xml:space="preserve"> </w:t>
            </w:r>
            <w:r w:rsidRPr="00714B8D">
              <w:rPr>
                <w:szCs w:val="20"/>
              </w:rPr>
              <w:t>under the PBS are fulfilled.</w:t>
            </w:r>
          </w:p>
          <w:p w14:paraId="61EAE5B9" w14:textId="77777777" w:rsidR="009009D3" w:rsidRPr="00714B8D" w:rsidRDefault="009009D3" w:rsidP="009009D3">
            <w:pPr>
              <w:pStyle w:val="TableText"/>
              <w:rPr>
                <w:szCs w:val="20"/>
              </w:rPr>
            </w:pPr>
            <w:r w:rsidRPr="00714B8D">
              <w:rPr>
                <w:szCs w:val="20"/>
              </w:rPr>
              <w:t>Maximum one test per episode of disease</w:t>
            </w:r>
          </w:p>
          <w:p w14:paraId="2AA8FDA8" w14:textId="56B73952" w:rsidR="009009D3" w:rsidRPr="009009D3" w:rsidRDefault="009009D3" w:rsidP="009009D3">
            <w:pPr>
              <w:pStyle w:val="TableText"/>
              <w:rPr>
                <w:szCs w:val="20"/>
              </w:rPr>
            </w:pPr>
            <w:r w:rsidRPr="00714B8D">
              <w:rPr>
                <w:szCs w:val="20"/>
              </w:rPr>
              <w:t>This item cannot be claimed in addition to MBS items 73337</w:t>
            </w:r>
            <w:r w:rsidR="00B80F99">
              <w:rPr>
                <w:szCs w:val="20"/>
              </w:rPr>
              <w:t>,</w:t>
            </w:r>
            <w:r w:rsidR="00B80F99" w:rsidRPr="00767895">
              <w:rPr>
                <w:color w:val="C00000"/>
                <w:szCs w:val="20"/>
              </w:rPr>
              <w:t xml:space="preserve"> 73341, 73344,</w:t>
            </w:r>
            <w:r w:rsidR="00B80F99">
              <w:rPr>
                <w:color w:val="C00000"/>
                <w:szCs w:val="20"/>
              </w:rPr>
              <w:t xml:space="preserve"> or</w:t>
            </w:r>
            <w:r w:rsidR="00B80F99" w:rsidRPr="00767895">
              <w:rPr>
                <w:color w:val="C00000"/>
                <w:szCs w:val="20"/>
              </w:rPr>
              <w:t xml:space="preserve"> MBS item for </w:t>
            </w:r>
            <w:r w:rsidR="00B80F99" w:rsidRPr="00767895">
              <w:rPr>
                <w:i/>
                <w:color w:val="C00000"/>
                <w:szCs w:val="20"/>
              </w:rPr>
              <w:t>MET</w:t>
            </w:r>
            <w:r w:rsidR="00B80F99" w:rsidRPr="00767895">
              <w:rPr>
                <w:color w:val="C00000"/>
                <w:szCs w:val="20"/>
              </w:rPr>
              <w:t>ex14sk testing</w:t>
            </w:r>
          </w:p>
          <w:p w14:paraId="7FA159B6" w14:textId="3017DC04" w:rsidR="009009D3" w:rsidRDefault="009009D3" w:rsidP="009009D3">
            <w:r w:rsidRPr="009009D3">
              <w:rPr>
                <w:rFonts w:ascii="Arial Narrow" w:hAnsi="Arial Narrow"/>
                <w:b/>
                <w:bCs/>
                <w:sz w:val="20"/>
                <w:szCs w:val="20"/>
              </w:rPr>
              <w:t>Fee:</w:t>
            </w:r>
            <w:r w:rsidRPr="009009D3">
              <w:rPr>
                <w:rFonts w:ascii="Arial Narrow" w:hAnsi="Arial Narrow"/>
                <w:sz w:val="20"/>
                <w:szCs w:val="20"/>
              </w:rPr>
              <w:t xml:space="preserve">  $1,247 </w:t>
            </w:r>
            <w:r w:rsidRPr="009009D3">
              <w:rPr>
                <w:rFonts w:ascii="Arial Narrow" w:hAnsi="Arial Narrow"/>
                <w:sz w:val="20"/>
                <w:szCs w:val="20"/>
              </w:rPr>
              <w:tab/>
            </w:r>
            <w:r w:rsidRPr="009009D3">
              <w:rPr>
                <w:rFonts w:ascii="Arial Narrow" w:hAnsi="Arial Narrow"/>
                <w:b/>
                <w:bCs/>
                <w:sz w:val="20"/>
                <w:szCs w:val="20"/>
              </w:rPr>
              <w:t>Benefit:</w:t>
            </w:r>
            <w:r w:rsidRPr="009009D3">
              <w:rPr>
                <w:rFonts w:ascii="Arial Narrow" w:hAnsi="Arial Narrow"/>
                <w:sz w:val="20"/>
                <w:szCs w:val="20"/>
              </w:rPr>
              <w:t xml:space="preserve"> 75% = $935.25</w:t>
            </w:r>
            <w:r w:rsidRPr="009009D3">
              <w:rPr>
                <w:rFonts w:ascii="Arial Narrow" w:hAnsi="Arial Narrow"/>
                <w:sz w:val="20"/>
                <w:szCs w:val="20"/>
              </w:rPr>
              <w:tab/>
              <w:t>85% = $1,159.10</w:t>
            </w:r>
            <w:r w:rsidRPr="009009D3">
              <w:rPr>
                <w:rFonts w:ascii="Arial Narrow" w:hAnsi="Arial Narrow"/>
                <w:sz w:val="20"/>
                <w:szCs w:val="20"/>
                <w:vertAlign w:val="superscript"/>
              </w:rPr>
              <w:t>a</w:t>
            </w:r>
          </w:p>
        </w:tc>
      </w:tr>
    </w:tbl>
    <w:p w14:paraId="5AFDB4B4" w14:textId="0356B019" w:rsidR="009009D3" w:rsidRDefault="009009D3" w:rsidP="009009D3">
      <w:pPr>
        <w:pStyle w:val="TableFooter"/>
      </w:pPr>
      <w:r>
        <w:rPr>
          <w:vertAlign w:val="superscript"/>
        </w:rPr>
        <w:t>a</w:t>
      </w:r>
      <w:r>
        <w:t>Taking into account the Greatest Permissible Gap</w:t>
      </w:r>
    </w:p>
    <w:p w14:paraId="2FAE506D" w14:textId="1E6FB6F9" w:rsidR="008079FC" w:rsidRPr="009009D3" w:rsidRDefault="008079FC" w:rsidP="009009D3">
      <w:pPr>
        <w:pStyle w:val="TableFooter"/>
      </w:pPr>
      <w:r>
        <w:t>Suggested changes are shown in</w:t>
      </w:r>
      <w:r w:rsidR="00B701ED">
        <w:t xml:space="preserve"> red,</w:t>
      </w:r>
      <w:r>
        <w:t xml:space="preserve"> </w:t>
      </w:r>
      <w:r w:rsidR="007D1820">
        <w:t>blue and strikethrough</w:t>
      </w:r>
      <w:r w:rsidR="00B701ED">
        <w:t xml:space="preserve"> text</w:t>
      </w:r>
      <w:r w:rsidR="007D1820">
        <w:t xml:space="preserve">. </w:t>
      </w:r>
      <w:r w:rsidR="00B701ED">
        <w:t>C</w:t>
      </w:r>
      <w:r w:rsidR="007D1820">
        <w:t>hanges in r</w:t>
      </w:r>
      <w:r>
        <w:t>ed</w:t>
      </w:r>
      <w:r w:rsidR="007D1820">
        <w:t xml:space="preserve"> </w:t>
      </w:r>
      <w:r w:rsidR="00B701ED">
        <w:t xml:space="preserve">are </w:t>
      </w:r>
      <w:r>
        <w:t>to prevent co-claiming with single-gene testing</w:t>
      </w:r>
    </w:p>
    <w:p w14:paraId="54C73D49" w14:textId="47239090" w:rsidR="00714B8D" w:rsidRPr="00CE28E3" w:rsidRDefault="00714B8D" w:rsidP="00714B8D">
      <w:pPr>
        <w:pStyle w:val="Caption"/>
      </w:pPr>
      <w:r w:rsidRPr="00CE28E3">
        <w:lastRenderedPageBreak/>
        <w:t>Table</w:t>
      </w:r>
      <w:r>
        <w:t> </w:t>
      </w:r>
      <w:fldSimple w:instr=" SEQ Table \* ARABIC ">
        <w:r w:rsidR="00C857F3">
          <w:rPr>
            <w:noProof/>
          </w:rPr>
          <w:t>23</w:t>
        </w:r>
      </w:fldSimple>
      <w:r w:rsidRPr="00CE28E3">
        <w:tab/>
      </w:r>
      <w:r w:rsidR="00B80F99">
        <w:t>Applicant p</w:t>
      </w:r>
      <w:r w:rsidRPr="00CE28E3">
        <w:t xml:space="preserve">roposed </w:t>
      </w:r>
      <w:r w:rsidR="001E289A">
        <w:t xml:space="preserve">MBS </w:t>
      </w:r>
      <w:r w:rsidRPr="00CE28E3">
        <w:t>item</w:t>
      </w:r>
      <w:r w:rsidR="001E289A">
        <w:t>s</w:t>
      </w:r>
      <w:r w:rsidRPr="00CE28E3">
        <w:t xml:space="preserve"> for </w:t>
      </w:r>
      <w:r w:rsidR="003515CE">
        <w:t>separate DNA and RNA panels</w:t>
      </w:r>
      <w:r w:rsidR="001E289A">
        <w:t xml:space="preserve"> with suggested modifications</w:t>
      </w:r>
    </w:p>
    <w:tbl>
      <w:tblPr>
        <w:tblStyle w:val="TableGrid"/>
        <w:tblW w:w="0" w:type="auto"/>
        <w:tblLook w:val="04A0" w:firstRow="1" w:lastRow="0" w:firstColumn="1" w:lastColumn="0" w:noHBand="0" w:noVBand="1"/>
        <w:tblCaption w:val="Proposed item descriptor for separate DNA and RNA panels"/>
        <w:tblDescription w:val="Proposed item descriptor for separate DNA and RNA panels"/>
      </w:tblPr>
      <w:tblGrid>
        <w:gridCol w:w="9016"/>
      </w:tblGrid>
      <w:tr w:rsidR="00714B8D" w:rsidRPr="00CE28E3" w14:paraId="28AB45A5" w14:textId="77777777" w:rsidTr="003D5AD2">
        <w:trPr>
          <w:cantSplit/>
          <w:trHeight w:val="350"/>
          <w:tblHeader/>
        </w:trPr>
        <w:tc>
          <w:tcPr>
            <w:tcW w:w="9016" w:type="dxa"/>
          </w:tcPr>
          <w:p w14:paraId="7A8703D7" w14:textId="77777777" w:rsidR="00714B8D" w:rsidRPr="000F1E25" w:rsidRDefault="00714B8D" w:rsidP="003D5AD2">
            <w:pPr>
              <w:pStyle w:val="TableText"/>
              <w:rPr>
                <w:b/>
              </w:rPr>
            </w:pPr>
            <w:r w:rsidRPr="000F1E25">
              <w:rPr>
                <w:b/>
              </w:rPr>
              <w:t>Category 6 – Genetics P7</w:t>
            </w:r>
          </w:p>
        </w:tc>
      </w:tr>
      <w:tr w:rsidR="00ED251B" w:rsidRPr="00CE28E3" w14:paraId="18BAFA64" w14:textId="77777777" w:rsidTr="003D5AD2">
        <w:trPr>
          <w:cantSplit/>
          <w:tblHeader/>
        </w:trPr>
        <w:tc>
          <w:tcPr>
            <w:tcW w:w="9016" w:type="dxa"/>
          </w:tcPr>
          <w:p w14:paraId="0302D8EC" w14:textId="13B0434D" w:rsidR="00ED251B" w:rsidRPr="00ED251B" w:rsidRDefault="00ED251B" w:rsidP="00ED251B">
            <w:pPr>
              <w:pStyle w:val="TableText"/>
              <w:rPr>
                <w:b/>
                <w:szCs w:val="20"/>
              </w:rPr>
            </w:pPr>
            <w:r>
              <w:rPr>
                <w:b/>
                <w:szCs w:val="20"/>
              </w:rPr>
              <w:t>BBBB</w:t>
            </w:r>
          </w:p>
          <w:p w14:paraId="6AA16DD0" w14:textId="3AA5BAFA" w:rsidR="00ED251B" w:rsidRPr="00ED251B" w:rsidRDefault="00ED251B" w:rsidP="00ED251B">
            <w:pPr>
              <w:pStyle w:val="TableText"/>
              <w:rPr>
                <w:szCs w:val="20"/>
              </w:rPr>
            </w:pPr>
            <w:r w:rsidRPr="00ED251B">
              <w:rPr>
                <w:szCs w:val="20"/>
              </w:rPr>
              <w:t>A DNA-based multi-gene panel test of tumour tissue from a patient diagnosed with non-small cell lung cancer, shown to have non-squamous histology or histology not otherwise specified, requested by, or on behalf of, a specialist or consultant physician, to detect:</w:t>
            </w:r>
          </w:p>
          <w:p w14:paraId="4DFEC344" w14:textId="77777777" w:rsidR="00ED251B" w:rsidRPr="00ED251B" w:rsidRDefault="00ED251B" w:rsidP="00B649D2">
            <w:pPr>
              <w:pStyle w:val="TableText"/>
              <w:numPr>
                <w:ilvl w:val="0"/>
                <w:numId w:val="17"/>
              </w:numPr>
              <w:rPr>
                <w:szCs w:val="20"/>
              </w:rPr>
            </w:pPr>
            <w:r w:rsidRPr="00ED251B">
              <w:rPr>
                <w:bCs/>
                <w:szCs w:val="20"/>
              </w:rPr>
              <w:t xml:space="preserve">variants in at least </w:t>
            </w:r>
            <w:r w:rsidRPr="00ED251B">
              <w:rPr>
                <w:i/>
                <w:iCs/>
                <w:szCs w:val="20"/>
              </w:rPr>
              <w:t>EGFR</w:t>
            </w:r>
            <w:r w:rsidRPr="00ED251B">
              <w:rPr>
                <w:bCs/>
                <w:szCs w:val="20"/>
              </w:rPr>
              <w:t xml:space="preserve">, </w:t>
            </w:r>
            <w:r w:rsidRPr="00ED251B">
              <w:rPr>
                <w:i/>
                <w:iCs/>
                <w:szCs w:val="20"/>
              </w:rPr>
              <w:t>BRAF, KRAS</w:t>
            </w:r>
            <w:r w:rsidRPr="00ED251B">
              <w:rPr>
                <w:bCs/>
                <w:szCs w:val="20"/>
              </w:rPr>
              <w:t xml:space="preserve"> and </w:t>
            </w:r>
            <w:r w:rsidRPr="00ED251B">
              <w:rPr>
                <w:i/>
                <w:iCs/>
                <w:szCs w:val="20"/>
              </w:rPr>
              <w:t>MET</w:t>
            </w:r>
            <w:r w:rsidRPr="00ED251B">
              <w:rPr>
                <w:bCs/>
                <w:szCs w:val="20"/>
              </w:rPr>
              <w:t xml:space="preserve"> exon 14 to determine access to specific therapies listed on the Pharmaceutical Benefits Scheme (PBS)</w:t>
            </w:r>
            <w:r w:rsidRPr="00ED251B">
              <w:rPr>
                <w:szCs w:val="20"/>
              </w:rPr>
              <w:t>; or</w:t>
            </w:r>
          </w:p>
          <w:p w14:paraId="4195E776" w14:textId="4CB84959" w:rsidR="00ED251B" w:rsidRPr="00ED251B" w:rsidRDefault="00ED251B" w:rsidP="00B649D2">
            <w:pPr>
              <w:pStyle w:val="TableText"/>
              <w:numPr>
                <w:ilvl w:val="0"/>
                <w:numId w:val="17"/>
              </w:numPr>
              <w:rPr>
                <w:szCs w:val="20"/>
              </w:rPr>
            </w:pPr>
            <w:r w:rsidRPr="00ED251B">
              <w:rPr>
                <w:szCs w:val="20"/>
              </w:rPr>
              <w:t xml:space="preserve">if the requirements relating to </w:t>
            </w:r>
            <w:r w:rsidRPr="00ED251B">
              <w:rPr>
                <w:i/>
                <w:iCs/>
                <w:szCs w:val="20"/>
              </w:rPr>
              <w:t>EGFR</w:t>
            </w:r>
            <w:r w:rsidRPr="00ED251B">
              <w:rPr>
                <w:szCs w:val="20"/>
              </w:rPr>
              <w:t xml:space="preserve"> status for access to </w:t>
            </w:r>
            <w:r w:rsidR="003F6D26" w:rsidRPr="00B701ED">
              <w:rPr>
                <w:color w:val="C00000"/>
                <w:szCs w:val="20"/>
              </w:rPr>
              <w:t xml:space="preserve">a PD-(L)1 immunotherapy </w:t>
            </w:r>
            <w:r w:rsidRPr="00B701ED">
              <w:rPr>
                <w:strike/>
                <w:color w:val="C00000"/>
                <w:szCs w:val="20"/>
              </w:rPr>
              <w:t>pembrolizumab</w:t>
            </w:r>
            <w:r w:rsidRPr="00ED251B">
              <w:rPr>
                <w:szCs w:val="20"/>
              </w:rPr>
              <w:t xml:space="preserve"> under the PBS are fulfilled.</w:t>
            </w:r>
          </w:p>
          <w:p w14:paraId="2EDD78F4" w14:textId="77777777" w:rsidR="00ED251B" w:rsidRPr="00ED251B" w:rsidRDefault="00ED251B" w:rsidP="00ED251B">
            <w:pPr>
              <w:pStyle w:val="TableText"/>
              <w:rPr>
                <w:szCs w:val="20"/>
              </w:rPr>
            </w:pPr>
            <w:r w:rsidRPr="00ED251B">
              <w:rPr>
                <w:szCs w:val="20"/>
              </w:rPr>
              <w:t>Maximum one test per episode of disease</w:t>
            </w:r>
          </w:p>
          <w:p w14:paraId="0175EF61" w14:textId="7C6DDD4D" w:rsidR="00ED251B" w:rsidRDefault="00ED251B" w:rsidP="00ED251B">
            <w:pPr>
              <w:pStyle w:val="TableText"/>
              <w:rPr>
                <w:szCs w:val="20"/>
              </w:rPr>
            </w:pPr>
            <w:r w:rsidRPr="00ED251B">
              <w:rPr>
                <w:szCs w:val="20"/>
              </w:rPr>
              <w:t xml:space="preserve">This item cannot be claimed in addition to MBS item </w:t>
            </w:r>
            <w:r w:rsidR="008079FC" w:rsidRPr="00956452">
              <w:rPr>
                <w:color w:val="C00000"/>
                <w:szCs w:val="20"/>
              </w:rPr>
              <w:t>AAAA</w:t>
            </w:r>
            <w:r w:rsidR="008079FC">
              <w:rPr>
                <w:szCs w:val="20"/>
              </w:rPr>
              <w:t xml:space="preserve">, </w:t>
            </w:r>
            <w:r w:rsidRPr="00ED251B">
              <w:rPr>
                <w:szCs w:val="20"/>
              </w:rPr>
              <w:t>73337</w:t>
            </w:r>
            <w:r w:rsidR="00B80F99">
              <w:rPr>
                <w:szCs w:val="20"/>
              </w:rPr>
              <w:t xml:space="preserve">, or </w:t>
            </w:r>
            <w:r w:rsidR="00B80F99" w:rsidRPr="00767895">
              <w:rPr>
                <w:color w:val="C00000"/>
                <w:szCs w:val="20"/>
              </w:rPr>
              <w:t xml:space="preserve">MBS item for </w:t>
            </w:r>
            <w:r w:rsidR="00B80F99" w:rsidRPr="00767895">
              <w:rPr>
                <w:i/>
                <w:color w:val="C00000"/>
                <w:szCs w:val="20"/>
              </w:rPr>
              <w:t>MET</w:t>
            </w:r>
            <w:r w:rsidR="00B80F99" w:rsidRPr="00767895">
              <w:rPr>
                <w:color w:val="C00000"/>
                <w:szCs w:val="20"/>
              </w:rPr>
              <w:t>ex14sk testing</w:t>
            </w:r>
          </w:p>
          <w:p w14:paraId="74A0AF02" w14:textId="77777777" w:rsidR="00ED251B" w:rsidRPr="00ED251B" w:rsidRDefault="00ED251B" w:rsidP="00ED251B">
            <w:pPr>
              <w:pStyle w:val="TableText"/>
              <w:rPr>
                <w:szCs w:val="20"/>
              </w:rPr>
            </w:pPr>
          </w:p>
          <w:p w14:paraId="3E7B3C09" w14:textId="49247440" w:rsidR="00ED251B" w:rsidRPr="00ED251B" w:rsidRDefault="00ED251B" w:rsidP="0036499E">
            <w:pPr>
              <w:pStyle w:val="TableText"/>
              <w:rPr>
                <w:szCs w:val="20"/>
              </w:rPr>
            </w:pPr>
            <w:r w:rsidRPr="00ED251B">
              <w:rPr>
                <w:b/>
                <w:bCs/>
                <w:szCs w:val="20"/>
              </w:rPr>
              <w:t>Fee:</w:t>
            </w:r>
            <w:r w:rsidRPr="00AE1188">
              <w:rPr>
                <w:szCs w:val="20"/>
              </w:rPr>
              <w:t xml:space="preserve">  $</w:t>
            </w:r>
            <w:r>
              <w:rPr>
                <w:szCs w:val="20"/>
              </w:rPr>
              <w:t>682.35</w:t>
            </w:r>
            <w:r w:rsidRPr="00ED251B">
              <w:rPr>
                <w:szCs w:val="20"/>
              </w:rPr>
              <w:tab/>
            </w:r>
            <w:r w:rsidRPr="00ED251B">
              <w:rPr>
                <w:b/>
                <w:bCs/>
                <w:szCs w:val="20"/>
              </w:rPr>
              <w:t>Benefit:</w:t>
            </w:r>
            <w:r w:rsidRPr="00ED251B">
              <w:rPr>
                <w:szCs w:val="20"/>
              </w:rPr>
              <w:t xml:space="preserve"> 75% = $511.</w:t>
            </w:r>
            <w:r w:rsidR="0036499E" w:rsidRPr="00ED251B">
              <w:rPr>
                <w:szCs w:val="20"/>
              </w:rPr>
              <w:t>7</w:t>
            </w:r>
            <w:r w:rsidR="0036499E">
              <w:rPr>
                <w:szCs w:val="20"/>
              </w:rPr>
              <w:t>5</w:t>
            </w:r>
            <w:r w:rsidRPr="00ED251B">
              <w:rPr>
                <w:szCs w:val="20"/>
              </w:rPr>
              <w:tab/>
              <w:t>85% = $</w:t>
            </w:r>
            <w:r w:rsidR="0036499E" w:rsidRPr="00956452">
              <w:rPr>
                <w:color w:val="C00000"/>
                <w:szCs w:val="20"/>
              </w:rPr>
              <w:t>594.45</w:t>
            </w:r>
            <w:r w:rsidR="00B80F99" w:rsidRPr="00956452">
              <w:rPr>
                <w:color w:val="C00000"/>
                <w:szCs w:val="20"/>
                <w:vertAlign w:val="superscript"/>
              </w:rPr>
              <w:t xml:space="preserve"> a</w:t>
            </w:r>
          </w:p>
        </w:tc>
      </w:tr>
      <w:tr w:rsidR="00ED251B" w:rsidRPr="00CE28E3" w14:paraId="7FCA41C2" w14:textId="77777777" w:rsidTr="003D5AD2">
        <w:trPr>
          <w:cantSplit/>
          <w:tblHeader/>
        </w:trPr>
        <w:tc>
          <w:tcPr>
            <w:tcW w:w="9016" w:type="dxa"/>
          </w:tcPr>
          <w:p w14:paraId="08201A61" w14:textId="1355A588" w:rsidR="00ED251B" w:rsidRPr="00ED251B" w:rsidRDefault="00ED251B" w:rsidP="00ED251B">
            <w:pPr>
              <w:pStyle w:val="TableText"/>
              <w:rPr>
                <w:b/>
                <w:szCs w:val="20"/>
              </w:rPr>
            </w:pPr>
            <w:r>
              <w:rPr>
                <w:b/>
                <w:szCs w:val="20"/>
              </w:rPr>
              <w:t>CCCC</w:t>
            </w:r>
          </w:p>
          <w:p w14:paraId="52C00042" w14:textId="168C8DAD" w:rsidR="00ED251B" w:rsidRPr="00ED251B" w:rsidRDefault="00ED251B" w:rsidP="00ED251B">
            <w:pPr>
              <w:pStyle w:val="TableText"/>
              <w:rPr>
                <w:szCs w:val="20"/>
              </w:rPr>
            </w:pPr>
            <w:r w:rsidRPr="00ED251B">
              <w:rPr>
                <w:szCs w:val="20"/>
              </w:rPr>
              <w:t xml:space="preserve">A nucleic acid-based multi-gene panel test of tumour tissue from a patient diagnosed with non-small cell lung cancer, shown to have non-squamous histology or histology not otherwise specified, and with documented absence of activating </w:t>
            </w:r>
            <w:r w:rsidR="00B80F99" w:rsidRPr="00767895">
              <w:rPr>
                <w:strike/>
                <w:color w:val="C00000"/>
                <w:szCs w:val="20"/>
              </w:rPr>
              <w:t>mutations</w:t>
            </w:r>
            <w:r w:rsidR="00B80F99" w:rsidRPr="00767895">
              <w:rPr>
                <w:color w:val="C00000"/>
                <w:szCs w:val="20"/>
              </w:rPr>
              <w:t xml:space="preserve"> variants</w:t>
            </w:r>
            <w:r w:rsidRPr="00ED251B">
              <w:rPr>
                <w:szCs w:val="20"/>
              </w:rPr>
              <w:t xml:space="preserve"> of the </w:t>
            </w:r>
            <w:r w:rsidRPr="00871829">
              <w:rPr>
                <w:i/>
                <w:szCs w:val="20"/>
              </w:rPr>
              <w:t>EGFR</w:t>
            </w:r>
            <w:r w:rsidRPr="00ED251B">
              <w:rPr>
                <w:szCs w:val="20"/>
              </w:rPr>
              <w:t xml:space="preserve"> gene, </w:t>
            </w:r>
            <w:r w:rsidRPr="00871829">
              <w:rPr>
                <w:i/>
                <w:szCs w:val="20"/>
              </w:rPr>
              <w:t>KRAS, BRAF</w:t>
            </w:r>
            <w:r w:rsidRPr="00ED251B">
              <w:rPr>
                <w:szCs w:val="20"/>
              </w:rPr>
              <w:t xml:space="preserve"> and </w:t>
            </w:r>
            <w:r w:rsidRPr="00871829">
              <w:rPr>
                <w:i/>
                <w:szCs w:val="20"/>
              </w:rPr>
              <w:t>MET</w:t>
            </w:r>
            <w:r w:rsidRPr="00ED251B">
              <w:rPr>
                <w:szCs w:val="20"/>
              </w:rPr>
              <w:t xml:space="preserve"> exon14, requested by, or on behalf of, a specialist or consultant physician, to detect:</w:t>
            </w:r>
          </w:p>
          <w:p w14:paraId="2AD6D259" w14:textId="77777777" w:rsidR="00ED251B" w:rsidRPr="00ED251B" w:rsidRDefault="00ED251B" w:rsidP="00B649D2">
            <w:pPr>
              <w:pStyle w:val="TableText"/>
              <w:numPr>
                <w:ilvl w:val="0"/>
                <w:numId w:val="18"/>
              </w:numPr>
              <w:rPr>
                <w:szCs w:val="20"/>
              </w:rPr>
            </w:pPr>
            <w:r w:rsidRPr="00ED251B">
              <w:rPr>
                <w:szCs w:val="20"/>
              </w:rPr>
              <w:t xml:space="preserve">the fusion status of at least </w:t>
            </w:r>
            <w:r w:rsidRPr="00ED251B">
              <w:rPr>
                <w:i/>
                <w:iCs/>
                <w:szCs w:val="20"/>
              </w:rPr>
              <w:t>ALK, ROS1, RET</w:t>
            </w:r>
            <w:r w:rsidRPr="00ED251B">
              <w:rPr>
                <w:szCs w:val="20"/>
              </w:rPr>
              <w:t xml:space="preserve">, and </w:t>
            </w:r>
            <w:r w:rsidRPr="00ED251B">
              <w:rPr>
                <w:i/>
                <w:iCs/>
                <w:szCs w:val="20"/>
              </w:rPr>
              <w:t>NTRK</w:t>
            </w:r>
            <w:r w:rsidRPr="00ED251B">
              <w:rPr>
                <w:szCs w:val="20"/>
              </w:rPr>
              <w:t xml:space="preserve"> to determine access to specific therapies listed on</w:t>
            </w:r>
            <w:r w:rsidRPr="00ED251B" w:rsidDel="008A61CD">
              <w:rPr>
                <w:szCs w:val="20"/>
              </w:rPr>
              <w:t xml:space="preserve"> </w:t>
            </w:r>
            <w:r w:rsidRPr="00ED251B">
              <w:rPr>
                <w:szCs w:val="20"/>
              </w:rPr>
              <w:t>the Pharmaceutical Benefits Scheme (PBS) are fulfilled; or</w:t>
            </w:r>
          </w:p>
          <w:p w14:paraId="0E50692A" w14:textId="3FF41EB8" w:rsidR="00ED251B" w:rsidRPr="00ED251B" w:rsidRDefault="00ED251B" w:rsidP="00B649D2">
            <w:pPr>
              <w:pStyle w:val="TableText"/>
              <w:numPr>
                <w:ilvl w:val="0"/>
                <w:numId w:val="18"/>
              </w:numPr>
              <w:rPr>
                <w:bCs/>
                <w:szCs w:val="20"/>
              </w:rPr>
            </w:pPr>
            <w:r w:rsidRPr="00ED251B">
              <w:rPr>
                <w:szCs w:val="20"/>
              </w:rPr>
              <w:t xml:space="preserve">if the requirements relating to </w:t>
            </w:r>
            <w:r w:rsidRPr="00ED251B">
              <w:rPr>
                <w:i/>
                <w:iCs/>
                <w:szCs w:val="20"/>
              </w:rPr>
              <w:t>ALK</w:t>
            </w:r>
            <w:r w:rsidRPr="00ED251B">
              <w:rPr>
                <w:szCs w:val="20"/>
              </w:rPr>
              <w:t xml:space="preserve"> and </w:t>
            </w:r>
            <w:r w:rsidRPr="00ED251B">
              <w:rPr>
                <w:i/>
                <w:iCs/>
                <w:szCs w:val="20"/>
              </w:rPr>
              <w:t>ROS1</w:t>
            </w:r>
            <w:r w:rsidRPr="00ED251B">
              <w:rPr>
                <w:szCs w:val="20"/>
              </w:rPr>
              <w:t xml:space="preserve"> status for access to</w:t>
            </w:r>
            <w:r w:rsidR="003F6D26" w:rsidRPr="00012F57">
              <w:rPr>
                <w:color w:val="FF0000"/>
                <w:szCs w:val="20"/>
              </w:rPr>
              <w:t xml:space="preserve"> </w:t>
            </w:r>
            <w:r w:rsidR="003F6D26" w:rsidRPr="00B701ED">
              <w:rPr>
                <w:color w:val="C00000"/>
                <w:szCs w:val="20"/>
              </w:rPr>
              <w:t>a PD-(L)1 immunotherapy</w:t>
            </w:r>
            <w:r w:rsidRPr="00B701ED">
              <w:rPr>
                <w:szCs w:val="20"/>
              </w:rPr>
              <w:t xml:space="preserve"> </w:t>
            </w:r>
            <w:r w:rsidRPr="00B701ED">
              <w:rPr>
                <w:strike/>
                <w:color w:val="C00000"/>
                <w:szCs w:val="20"/>
              </w:rPr>
              <w:t xml:space="preserve">pembrolizumab </w:t>
            </w:r>
            <w:r w:rsidRPr="00ED251B">
              <w:rPr>
                <w:szCs w:val="20"/>
              </w:rPr>
              <w:t>under the PBS are fulfilled.</w:t>
            </w:r>
          </w:p>
          <w:p w14:paraId="3DDF3903" w14:textId="77777777" w:rsidR="00ED251B" w:rsidRPr="00ED251B" w:rsidRDefault="00ED251B" w:rsidP="00ED251B">
            <w:pPr>
              <w:pStyle w:val="TableText"/>
              <w:rPr>
                <w:szCs w:val="20"/>
              </w:rPr>
            </w:pPr>
            <w:r w:rsidRPr="00ED251B">
              <w:rPr>
                <w:szCs w:val="20"/>
              </w:rPr>
              <w:t>Maximum one test per episode of disease</w:t>
            </w:r>
          </w:p>
          <w:p w14:paraId="379B103E" w14:textId="15C2BC95" w:rsidR="00ED251B" w:rsidRDefault="00ED251B" w:rsidP="00ED251B">
            <w:pPr>
              <w:pStyle w:val="TableText"/>
              <w:rPr>
                <w:szCs w:val="20"/>
              </w:rPr>
            </w:pPr>
            <w:r w:rsidRPr="00ED251B">
              <w:rPr>
                <w:szCs w:val="20"/>
              </w:rPr>
              <w:t xml:space="preserve">This item can only be claimed if </w:t>
            </w:r>
            <w:r w:rsidR="00B80F99" w:rsidRPr="00767895">
              <w:rPr>
                <w:color w:val="C00000"/>
                <w:szCs w:val="20"/>
              </w:rPr>
              <w:t xml:space="preserve">the result from MBS </w:t>
            </w:r>
            <w:r w:rsidRPr="00ED251B">
              <w:rPr>
                <w:szCs w:val="20"/>
              </w:rPr>
              <w:t xml:space="preserve">item number </w:t>
            </w:r>
            <w:r w:rsidR="00FA62AC">
              <w:rPr>
                <w:szCs w:val="20"/>
              </w:rPr>
              <w:t>BBBB</w:t>
            </w:r>
            <w:r w:rsidRPr="00ED251B">
              <w:rPr>
                <w:szCs w:val="20"/>
              </w:rPr>
              <w:t xml:space="preserve"> is negative, and cannot be claimed in addition to MBS items </w:t>
            </w:r>
            <w:r w:rsidR="008079FC" w:rsidRPr="00956452">
              <w:rPr>
                <w:color w:val="C00000"/>
                <w:szCs w:val="20"/>
              </w:rPr>
              <w:t>AAAA</w:t>
            </w:r>
            <w:r w:rsidR="008079FC">
              <w:rPr>
                <w:szCs w:val="20"/>
              </w:rPr>
              <w:t xml:space="preserve">, </w:t>
            </w:r>
            <w:r w:rsidRPr="00ED251B">
              <w:rPr>
                <w:szCs w:val="20"/>
              </w:rPr>
              <w:t>73341, 73344</w:t>
            </w:r>
          </w:p>
          <w:p w14:paraId="4E872D59" w14:textId="77777777" w:rsidR="00ED251B" w:rsidRPr="00ED251B" w:rsidRDefault="00ED251B" w:rsidP="00ED251B">
            <w:pPr>
              <w:pStyle w:val="TableText"/>
              <w:rPr>
                <w:szCs w:val="20"/>
              </w:rPr>
            </w:pPr>
          </w:p>
          <w:p w14:paraId="2891E350" w14:textId="5E35A3C1" w:rsidR="00ED251B" w:rsidRDefault="00ED251B" w:rsidP="0036499E">
            <w:pPr>
              <w:pStyle w:val="TableText"/>
              <w:rPr>
                <w:szCs w:val="20"/>
              </w:rPr>
            </w:pPr>
            <w:r w:rsidRPr="00ED251B">
              <w:rPr>
                <w:bCs/>
                <w:szCs w:val="20"/>
              </w:rPr>
              <w:t>Fee:</w:t>
            </w:r>
            <w:r w:rsidRPr="00ED251B">
              <w:rPr>
                <w:szCs w:val="20"/>
              </w:rPr>
              <w:t xml:space="preserve">  $682.35</w:t>
            </w:r>
            <w:r w:rsidRPr="00ED251B">
              <w:rPr>
                <w:szCs w:val="20"/>
              </w:rPr>
              <w:tab/>
            </w:r>
            <w:r w:rsidRPr="00ED251B">
              <w:rPr>
                <w:bCs/>
                <w:szCs w:val="20"/>
              </w:rPr>
              <w:t>Benefit:</w:t>
            </w:r>
            <w:r w:rsidRPr="00ED251B">
              <w:rPr>
                <w:szCs w:val="20"/>
              </w:rPr>
              <w:t xml:space="preserve"> 75% = $511.</w:t>
            </w:r>
            <w:r w:rsidR="0036499E" w:rsidRPr="00ED251B">
              <w:rPr>
                <w:szCs w:val="20"/>
              </w:rPr>
              <w:t>7</w:t>
            </w:r>
            <w:r w:rsidR="0036499E">
              <w:rPr>
                <w:szCs w:val="20"/>
              </w:rPr>
              <w:t>5</w:t>
            </w:r>
            <w:r w:rsidRPr="00ED251B">
              <w:rPr>
                <w:szCs w:val="20"/>
              </w:rPr>
              <w:tab/>
              <w:t>85% = $</w:t>
            </w:r>
            <w:r w:rsidR="0036499E" w:rsidRPr="00956452">
              <w:rPr>
                <w:color w:val="C00000"/>
                <w:szCs w:val="20"/>
              </w:rPr>
              <w:t>594.45</w:t>
            </w:r>
            <w:r w:rsidR="00B80F99" w:rsidRPr="00956452">
              <w:rPr>
                <w:color w:val="C00000"/>
                <w:szCs w:val="20"/>
                <w:vertAlign w:val="superscript"/>
              </w:rPr>
              <w:t xml:space="preserve"> a</w:t>
            </w:r>
          </w:p>
        </w:tc>
      </w:tr>
    </w:tbl>
    <w:p w14:paraId="0CE62552" w14:textId="6D468119" w:rsidR="0036499E" w:rsidRDefault="0036499E" w:rsidP="00956452">
      <w:pPr>
        <w:pStyle w:val="Tablenotes"/>
      </w:pPr>
      <w:r>
        <w:rPr>
          <w:vertAlign w:val="superscript"/>
        </w:rPr>
        <w:t>a</w:t>
      </w:r>
      <w:r w:rsidRPr="0046081C">
        <w:t xml:space="preserve"> </w:t>
      </w:r>
      <w:r>
        <w:t>Reflects the 1 November 2021 Greatest Permissible Gap (GPG) of $87.90. A</w:t>
      </w:r>
      <w:r w:rsidRPr="00D07F41">
        <w:t>ll out-of-hospital Medicare services which have an MBS fee of $586.20 or more will attract a benefit that is greater than 85% of the MBS fee</w:t>
      </w:r>
      <w:r>
        <w:t xml:space="preserve"> – being the schedule fee less the GPG amount. </w:t>
      </w:r>
      <w:r w:rsidRPr="00D07F41">
        <w:t>The GPG amount is indexed annually on 1 November in line with the Consumer Price Index (CPI) (June quarter)</w:t>
      </w:r>
    </w:p>
    <w:p w14:paraId="44D39158" w14:textId="72F5DC7E" w:rsidR="008079FC" w:rsidRDefault="008079FC" w:rsidP="00956452">
      <w:pPr>
        <w:pStyle w:val="TableFooter"/>
      </w:pPr>
      <w:r>
        <w:t>Suggested changes are shown in red</w:t>
      </w:r>
      <w:r w:rsidR="00D62705">
        <w:t xml:space="preserve"> and strikethrough text</w:t>
      </w:r>
      <w:r>
        <w:t>.</w:t>
      </w:r>
    </w:p>
    <w:p w14:paraId="7FAC347F" w14:textId="7C45F51B" w:rsidR="00B80F99" w:rsidRPr="00B80F99" w:rsidRDefault="00B80F99" w:rsidP="00956452">
      <w:pPr>
        <w:pStyle w:val="NormalBeforeBullet"/>
      </w:pPr>
      <w:r>
        <w:t>Suggested changes to the MBS items are shown in red text. MBS items 73337, 73341 and 73344 for testing tumour tissue from patients with NSCLC use the phrase “</w:t>
      </w:r>
      <w:r>
        <w:rPr>
          <w:u w:val="single"/>
        </w:rPr>
        <w:t>under</w:t>
      </w:r>
      <w:r>
        <w:t xml:space="preserve"> the Pharmaceutical Benefits Scheme”. However, other items on the MBS use the phrase “</w:t>
      </w:r>
      <w:r w:rsidRPr="00956452">
        <w:rPr>
          <w:u w:val="single"/>
        </w:rPr>
        <w:t>on</w:t>
      </w:r>
      <w:r>
        <w:t xml:space="preserve"> the Pharmaceutical Benefits Scheme” (MBS items 11219, 13761, 13762, </w:t>
      </w:r>
      <w:r w:rsidR="00DB1C40">
        <w:t xml:space="preserve">73343), </w:t>
      </w:r>
      <w:r>
        <w:t xml:space="preserve">so </w:t>
      </w:r>
      <w:r w:rsidR="00DB1C40">
        <w:t xml:space="preserve">the use of “on” has therefore not been changed. </w:t>
      </w:r>
    </w:p>
    <w:p w14:paraId="10673870" w14:textId="70BC016D" w:rsidR="00114F50" w:rsidRDefault="009009D3" w:rsidP="00C0345A">
      <w:r>
        <w:t>The suggested wording in item CCCC only allows it to be claimed if item BBBB is “negative”</w:t>
      </w:r>
      <w:r w:rsidR="00D43FE4">
        <w:t xml:space="preserve">. The intention is that patients </w:t>
      </w:r>
      <w:r w:rsidR="0079678C">
        <w:t xml:space="preserve">can only be tested if the </w:t>
      </w:r>
      <w:r w:rsidR="0079678C" w:rsidRPr="0079678C">
        <w:rPr>
          <w:i/>
        </w:rPr>
        <w:t>variants specified</w:t>
      </w:r>
      <w:r w:rsidR="0079678C">
        <w:t xml:space="preserve"> are wildtype (as per the description of the population). ESC and MSAC may consider whether there is a risk that if other genes are included in the panel for item BBBB</w:t>
      </w:r>
      <w:r w:rsidR="00114F50">
        <w:t xml:space="preserve"> and have variants identified</w:t>
      </w:r>
      <w:r w:rsidR="008626B3">
        <w:t xml:space="preserve"> (</w:t>
      </w:r>
      <w:r w:rsidR="00911FCB">
        <w:t>e.g.,</w:t>
      </w:r>
      <w:r w:rsidR="008626B3">
        <w:t xml:space="preserve"> </w:t>
      </w:r>
      <w:r w:rsidR="008626B3" w:rsidRPr="008626B3">
        <w:rPr>
          <w:i/>
        </w:rPr>
        <w:t>TP53</w:t>
      </w:r>
      <w:r w:rsidR="008626B3">
        <w:t>, which is frequently concurrent with other variants)</w:t>
      </w:r>
      <w:r w:rsidR="0079678C">
        <w:t xml:space="preserve">, </w:t>
      </w:r>
      <w:r w:rsidR="00114F50">
        <w:t xml:space="preserve">whether </w:t>
      </w:r>
      <w:r w:rsidR="0079678C">
        <w:t xml:space="preserve">this </w:t>
      </w:r>
      <w:r w:rsidR="003A7427">
        <w:t>could be</w:t>
      </w:r>
      <w:r w:rsidR="0079678C">
        <w:t xml:space="preserve"> misinterpreted as a positive result.</w:t>
      </w:r>
      <w:r w:rsidR="001D4860">
        <w:t xml:space="preserve"> </w:t>
      </w:r>
    </w:p>
    <w:p w14:paraId="26837BED" w14:textId="77777777" w:rsidR="003F6D26" w:rsidRDefault="002D3645" w:rsidP="003F6D26">
      <w:pPr>
        <w:pStyle w:val="NormalBeforeBullet"/>
      </w:pPr>
      <w:r>
        <w:t xml:space="preserve">Note, the proposed items include testing of genes which currently do not have PBS-listed specific therapies for NSCLC (i.e. </w:t>
      </w:r>
      <w:r>
        <w:rPr>
          <w:i/>
        </w:rPr>
        <w:t>KRAS, BRAF</w:t>
      </w:r>
      <w:r>
        <w:t xml:space="preserve">, </w:t>
      </w:r>
      <w:r w:rsidRPr="00767895">
        <w:rPr>
          <w:i/>
        </w:rPr>
        <w:t>MET</w:t>
      </w:r>
      <w:r>
        <w:t>exon 14,</w:t>
      </w:r>
      <w:r>
        <w:rPr>
          <w:i/>
        </w:rPr>
        <w:t xml:space="preserve"> </w:t>
      </w:r>
      <w:r w:rsidRPr="00767895">
        <w:rPr>
          <w:i/>
        </w:rPr>
        <w:t xml:space="preserve">RET </w:t>
      </w:r>
      <w:r>
        <w:t xml:space="preserve">and </w:t>
      </w:r>
      <w:r>
        <w:rPr>
          <w:i/>
        </w:rPr>
        <w:t xml:space="preserve">NTRK), </w:t>
      </w:r>
      <w:r>
        <w:t>although</w:t>
      </w:r>
      <w:r>
        <w:rPr>
          <w:i/>
        </w:rPr>
        <w:t xml:space="preserve"> MET</w:t>
      </w:r>
      <w:r>
        <w:t xml:space="preserve">ex14sk has a PBAC-recommended specific therapy, which is not yet PBS-listed. The applicants justified the additional genes by referencing international guidelines, which recommend the inclusion of the specified genes as a minimum (given targeted therapies are available for patients with tumours with variants in the specified genes, even if they are not PBS-listed). This should future-proof the items in case the targeted therapies become PBS-listed in the near future. Concurrent variants in </w:t>
      </w:r>
      <w:r>
        <w:lastRenderedPageBreak/>
        <w:t xml:space="preserve">the listed genes are rare, so identifying pathogenic variants in the </w:t>
      </w:r>
      <w:r>
        <w:rPr>
          <w:i/>
        </w:rPr>
        <w:t xml:space="preserve">KRAS, BRAF, RET </w:t>
      </w:r>
      <w:r>
        <w:t xml:space="preserve">or </w:t>
      </w:r>
      <w:r>
        <w:rPr>
          <w:i/>
        </w:rPr>
        <w:t>NTRK</w:t>
      </w:r>
      <w:r>
        <w:t xml:space="preserve"> genes is highly likely to rule out the presence of rearrangements in </w:t>
      </w:r>
      <w:r>
        <w:rPr>
          <w:i/>
        </w:rPr>
        <w:t>ALK</w:t>
      </w:r>
      <w:r>
        <w:t xml:space="preserve"> or </w:t>
      </w:r>
      <w:r>
        <w:rPr>
          <w:i/>
        </w:rPr>
        <w:t xml:space="preserve">ROS1 </w:t>
      </w:r>
      <w:r>
        <w:t xml:space="preserve">genes. The additional genes are therefore reasonable to include, although it may result in a very small number of patients with </w:t>
      </w:r>
      <w:r>
        <w:rPr>
          <w:i/>
        </w:rPr>
        <w:t>ALK</w:t>
      </w:r>
      <w:r>
        <w:t xml:space="preserve"> or </w:t>
      </w:r>
      <w:r>
        <w:rPr>
          <w:i/>
        </w:rPr>
        <w:t>ROS1</w:t>
      </w:r>
      <w:r>
        <w:t xml:space="preserve"> variants in their tumour not being identified, and </w:t>
      </w:r>
      <w:r w:rsidR="003F6D26">
        <w:t xml:space="preserve">consequently </w:t>
      </w:r>
      <w:r>
        <w:t xml:space="preserve">missing out on </w:t>
      </w:r>
      <w:r w:rsidR="003F6D26">
        <w:t xml:space="preserve">receiving an appropriate </w:t>
      </w:r>
      <w:r>
        <w:t>targeted therapy.</w:t>
      </w:r>
      <w:r w:rsidR="00E65247">
        <w:t xml:space="preserve"> </w:t>
      </w:r>
    </w:p>
    <w:p w14:paraId="778FAE4D" w14:textId="0E41D132" w:rsidR="002D3645" w:rsidRDefault="003F6D26" w:rsidP="003F6D26">
      <w:r>
        <w:t xml:space="preserve">The proposal to refer to a PD-(L)1 immunotherapy rather than pembrolizumab reflects the fact that the PBS restriction for NSCLC of several of these medicines require that the “condition must not have evidence of an activating epidermal growth factor receptor (EGFR) gene or an anaplastic lymphoma kinase (ALK) gene rearrangement in tumour”. If MSAC supports this suggestion, then it is requested that MSAC also support the related changes to existing MBS items </w:t>
      </w:r>
      <w:r w:rsidRPr="003F6D26">
        <w:t>73337, 73341</w:t>
      </w:r>
      <w:r>
        <w:t xml:space="preserve"> and</w:t>
      </w:r>
      <w:r w:rsidRPr="003F6D26">
        <w:t xml:space="preserve"> 73344</w:t>
      </w:r>
      <w:r>
        <w:t>.</w:t>
      </w:r>
    </w:p>
    <w:p w14:paraId="51F20B59" w14:textId="751CE5B5" w:rsidR="00E65247" w:rsidRPr="00E65247" w:rsidRDefault="00E65247" w:rsidP="00C0345A">
      <w:r>
        <w:t xml:space="preserve">Sensitivity analyses have been performed to assess the impact of allowing patients with </w:t>
      </w:r>
      <w:r>
        <w:rPr>
          <w:i/>
        </w:rPr>
        <w:t>KRAS</w:t>
      </w:r>
      <w:r>
        <w:t xml:space="preserve"> and/or </w:t>
      </w:r>
      <w:r>
        <w:rPr>
          <w:i/>
        </w:rPr>
        <w:t xml:space="preserve">BRAF </w:t>
      </w:r>
      <w:r>
        <w:t xml:space="preserve">variants to access RNA testing, given there are currently no targeted treatments available for patients with </w:t>
      </w:r>
      <w:r>
        <w:rPr>
          <w:i/>
        </w:rPr>
        <w:t xml:space="preserve">KRAS </w:t>
      </w:r>
      <w:r>
        <w:t xml:space="preserve">or </w:t>
      </w:r>
      <w:r>
        <w:rPr>
          <w:i/>
        </w:rPr>
        <w:t>BRAF</w:t>
      </w:r>
      <w:r>
        <w:t xml:space="preserve"> variants. </w:t>
      </w:r>
    </w:p>
    <w:p w14:paraId="4FF156CB" w14:textId="1D2370CF" w:rsidR="00C0345A" w:rsidRDefault="00C0345A" w:rsidP="00C0345A">
      <w:r>
        <w:br w:type="page"/>
      </w:r>
    </w:p>
    <w:p w14:paraId="12048C23" w14:textId="5AA7B6D4" w:rsidR="003A2ED1" w:rsidRPr="00CE28E3" w:rsidRDefault="000443A6" w:rsidP="00421EBC">
      <w:pPr>
        <w:pStyle w:val="Heading1"/>
        <w:numPr>
          <w:ilvl w:val="0"/>
          <w:numId w:val="0"/>
        </w:numPr>
        <w:ind w:left="2127" w:hanging="2127"/>
      </w:pPr>
      <w:bookmarkStart w:id="75" w:name="_Toc148531143"/>
      <w:r w:rsidRPr="00CE28E3">
        <w:lastRenderedPageBreak/>
        <w:t xml:space="preserve">Section </w:t>
      </w:r>
      <w:r w:rsidR="00400BC7">
        <w:t>2</w:t>
      </w:r>
      <w:r w:rsidRPr="00CE28E3">
        <w:tab/>
      </w:r>
      <w:r w:rsidR="00421EBC" w:rsidRPr="00CE28E3">
        <w:t>Clinical evaluation of investigative technologies</w:t>
      </w:r>
      <w:bookmarkEnd w:id="75"/>
    </w:p>
    <w:p w14:paraId="23847147" w14:textId="600596CC" w:rsidR="00421EBC" w:rsidRPr="00CE28E3" w:rsidRDefault="00421EBC" w:rsidP="007226F5">
      <w:pPr>
        <w:pStyle w:val="Heading2"/>
        <w:numPr>
          <w:ilvl w:val="0"/>
          <w:numId w:val="0"/>
        </w:numPr>
        <w:ind w:left="357" w:hanging="357"/>
      </w:pPr>
      <w:bookmarkStart w:id="76" w:name="_Toc148531144"/>
      <w:r w:rsidRPr="00CE28E3">
        <w:t>Methods for undertaking the assessment</w:t>
      </w:r>
      <w:bookmarkEnd w:id="76"/>
    </w:p>
    <w:p w14:paraId="57FB014E" w14:textId="1E180238" w:rsidR="00277868" w:rsidRDefault="00277868" w:rsidP="00277868">
      <w:pPr>
        <w:pStyle w:val="NormalBeforeBullet"/>
      </w:pPr>
      <w:r>
        <w:t xml:space="preserve">The application from the RCPA claimed that a small DNA/RNA NGS panel or DNA ± RNA NGS panels </w:t>
      </w:r>
      <w:r w:rsidR="00633B18">
        <w:t>are</w:t>
      </w:r>
      <w:r>
        <w:t xml:space="preserve"> superior to sequential single-gene testing in patients with NSCLC. </w:t>
      </w:r>
      <w:r w:rsidR="00633B18">
        <w:t xml:space="preserve">The aim of the health technology assessment was to assess whether the evidence supported this claim, which required a full </w:t>
      </w:r>
      <w:r w:rsidR="006A0BB3">
        <w:t xml:space="preserve">health technology </w:t>
      </w:r>
      <w:r w:rsidR="00633B18">
        <w:t xml:space="preserve">assessment through to health outcomes. </w:t>
      </w:r>
    </w:p>
    <w:p w14:paraId="456AF6FA" w14:textId="5F42FDF1" w:rsidR="006A0BB3" w:rsidRDefault="00277868" w:rsidP="006A0BB3">
      <w:pPr>
        <w:pStyle w:val="Instructionaltext"/>
        <w:rPr>
          <w:color w:val="auto"/>
        </w:rPr>
      </w:pPr>
      <w:r w:rsidRPr="006A0BB3">
        <w:rPr>
          <w:color w:val="auto"/>
        </w:rPr>
        <w:t>Scoping searches indicated that there was insufficient direct from test to health outcomes evidence (comparing health outcomes in those tested by NGS against to those tested sequentially by single-gene tests)</w:t>
      </w:r>
      <w:r w:rsidR="00633B18" w:rsidRPr="006A0BB3">
        <w:rPr>
          <w:color w:val="auto"/>
        </w:rPr>
        <w:t xml:space="preserve"> on which to base the assessment. Therefore, a </w:t>
      </w:r>
      <w:r w:rsidRPr="006A0BB3">
        <w:rPr>
          <w:color w:val="auto"/>
        </w:rPr>
        <w:t xml:space="preserve">linked evidence assessment </w:t>
      </w:r>
      <w:r w:rsidR="00633B18" w:rsidRPr="006A0BB3">
        <w:rPr>
          <w:color w:val="auto"/>
        </w:rPr>
        <w:t>was also performed</w:t>
      </w:r>
      <w:r w:rsidRPr="006A0BB3">
        <w:rPr>
          <w:color w:val="auto"/>
        </w:rPr>
        <w:t>. PICO criteria were developed a prior</w:t>
      </w:r>
      <w:r w:rsidR="002522AA" w:rsidRPr="006A0BB3">
        <w:rPr>
          <w:color w:val="auto"/>
        </w:rPr>
        <w:t>i</w:t>
      </w:r>
      <w:r w:rsidRPr="006A0BB3">
        <w:rPr>
          <w:color w:val="auto"/>
        </w:rPr>
        <w:t xml:space="preserve"> for </w:t>
      </w:r>
      <w:r w:rsidR="00633B18" w:rsidRPr="006A0BB3">
        <w:rPr>
          <w:color w:val="auto"/>
        </w:rPr>
        <w:t xml:space="preserve">both the direct from test to health outcomes evidence, and </w:t>
      </w:r>
      <w:r w:rsidRPr="006A0BB3">
        <w:rPr>
          <w:color w:val="auto"/>
        </w:rPr>
        <w:t xml:space="preserve">the </w:t>
      </w:r>
      <w:r w:rsidR="006A0BB3" w:rsidRPr="006A0BB3">
        <w:rPr>
          <w:color w:val="auto"/>
        </w:rPr>
        <w:t>‘test performance’ and ‘change in management’</w:t>
      </w:r>
      <w:r w:rsidRPr="006A0BB3">
        <w:rPr>
          <w:color w:val="auto"/>
        </w:rPr>
        <w:t xml:space="preserve"> steps of a linked evidence assessment. </w:t>
      </w:r>
      <w:r w:rsidR="00633B18" w:rsidRPr="006A0BB3">
        <w:rPr>
          <w:color w:val="auto"/>
        </w:rPr>
        <w:t>The protocol was registered on PROSPERO (CRD42022334620). PubMed, Embase</w:t>
      </w:r>
      <w:r w:rsidR="002522AA" w:rsidRPr="006A0BB3">
        <w:rPr>
          <w:color w:val="auto"/>
        </w:rPr>
        <w:t>,</w:t>
      </w:r>
      <w:r w:rsidR="00633B18" w:rsidRPr="006A0BB3">
        <w:rPr>
          <w:color w:val="auto"/>
        </w:rPr>
        <w:t xml:space="preserve"> Cochrane, </w:t>
      </w:r>
      <w:r w:rsidR="002522AA" w:rsidRPr="006A0BB3">
        <w:rPr>
          <w:color w:val="auto"/>
        </w:rPr>
        <w:t>Au</w:t>
      </w:r>
      <w:r w:rsidR="00034EC4" w:rsidRPr="006A0BB3">
        <w:rPr>
          <w:color w:val="auto"/>
        </w:rPr>
        <w:t>stralian Clinical Trials Regist</w:t>
      </w:r>
      <w:r w:rsidR="002522AA" w:rsidRPr="006A0BB3">
        <w:rPr>
          <w:color w:val="auto"/>
        </w:rPr>
        <w:t xml:space="preserve">ry, </w:t>
      </w:r>
      <w:r w:rsidR="00633B18" w:rsidRPr="006A0BB3">
        <w:rPr>
          <w:color w:val="auto"/>
        </w:rPr>
        <w:t xml:space="preserve">ClinicalTrials.gov, International clinical trials registry platform, INAHTA database and PROSPERO were </w:t>
      </w:r>
      <w:r w:rsidR="0022108A" w:rsidRPr="006A0BB3">
        <w:rPr>
          <w:color w:val="auto"/>
        </w:rPr>
        <w:t>searched to identify</w:t>
      </w:r>
      <w:r w:rsidR="00633B18" w:rsidRPr="006A0BB3">
        <w:rPr>
          <w:color w:val="auto"/>
        </w:rPr>
        <w:t xml:space="preserve"> potentially relevant primary and secondary research. Search terms were developed, and tested </w:t>
      </w:r>
      <w:r w:rsidR="002522AA" w:rsidRPr="006A0BB3">
        <w:rPr>
          <w:color w:val="auto"/>
        </w:rPr>
        <w:t xml:space="preserve">using the SearchRefinery tool </w:t>
      </w:r>
      <w:r w:rsidR="00B4668F">
        <w:rPr>
          <w:color w:val="auto"/>
        </w:rPr>
        <w:fldChar w:fldCharType="begin"/>
      </w:r>
      <w:r w:rsidR="00B4668F">
        <w:rPr>
          <w:color w:val="auto"/>
        </w:rPr>
        <w:instrText xml:space="preserve"> ADDIN EN.CITE &lt;EndNote&gt;&lt;Cite&gt;&lt;Author&gt;Scells&lt;/Author&gt;&lt;Year&gt;2018&lt;/Year&gt;&lt;RecNum&gt;85&lt;/RecNum&gt;&lt;IDText&gt;1939-1942&lt;/IDText&gt;&lt;DisplayText&gt;(Scells &amp;amp; Zuccon 2018)&lt;/DisplayText&gt;&lt;record&gt;&lt;rec-number&gt;85&lt;/rec-number&gt;&lt;foreign-keys&gt;&lt;key app="EN" db-id="0tprsse9cpp5r3ea5dz5p0xw2pfwvwxpa5a5" timestamp="1653018339"&gt;85&lt;/key&gt;&lt;/foreign-keys&gt;&lt;ref-type name="Conference Paper"&gt;47&lt;/ref-type&gt;&lt;contributors&gt;&lt;authors&gt;&lt;author&gt;Scells, H.&lt;/author&gt;&lt;author&gt;Zuccon, G.&lt;/author&gt;&lt;/authors&gt;&lt;/contributors&gt;&lt;titles&gt;&lt;title&gt;searchrefiner: A query visualisation and understanding tool for systematic reviews. &lt;/title&gt;&lt;secondary-title&gt;27th ACM International Conference on Information and Knowledge Management&lt;/secondary-title&gt;&lt;/titles&gt;&lt;pages&gt;1939-1942&lt;/pages&gt;&lt;dates&gt;&lt;year&gt;2018&lt;/year&gt;&lt;/dates&gt;&lt;urls&gt;&lt;related-urls&gt;&lt;url&gt;https://sr-accelerator.com/#/searchrefinery &lt;/url&gt;&lt;/related-urls&gt;&lt;/urls&gt;&lt;/record&gt;&lt;/Cite&gt;&lt;/EndNote&gt;</w:instrText>
      </w:r>
      <w:r w:rsidR="00B4668F">
        <w:rPr>
          <w:color w:val="auto"/>
        </w:rPr>
        <w:fldChar w:fldCharType="separate"/>
      </w:r>
      <w:r w:rsidR="00B4668F">
        <w:rPr>
          <w:noProof/>
          <w:color w:val="auto"/>
        </w:rPr>
        <w:t>(Scells &amp; Zuccon 2018)</w:t>
      </w:r>
      <w:r w:rsidR="00B4668F">
        <w:rPr>
          <w:color w:val="auto"/>
        </w:rPr>
        <w:fldChar w:fldCharType="end"/>
      </w:r>
      <w:r w:rsidR="002522AA" w:rsidRPr="006A0BB3">
        <w:rPr>
          <w:color w:val="auto"/>
        </w:rPr>
        <w:t>, using relevant articles from DCAR 1495 and application 1721 as the seed citations.</w:t>
      </w:r>
      <w:r w:rsidR="00034EC4" w:rsidRPr="006A0BB3">
        <w:rPr>
          <w:color w:val="auto"/>
        </w:rPr>
        <w:t xml:space="preserve"> Relevant citations were downloaded into Endnote, where one assessor reviewed every citation based on ti</w:t>
      </w:r>
      <w:r w:rsidR="00F92DDB" w:rsidRPr="006A0BB3">
        <w:rPr>
          <w:color w:val="auto"/>
        </w:rPr>
        <w:t xml:space="preserve">tle/abstract. A second reviewer assessed the most relevant 50% citations as determined by an algorithm in Rayyan. </w:t>
      </w:r>
      <w:r w:rsidR="00432281" w:rsidRPr="006A0BB3">
        <w:rPr>
          <w:color w:val="auto"/>
        </w:rPr>
        <w:t>Full text articles determined potentially relevant by either reviewer were retrieved for assessment by one reviewer. Those which met the PICO criteria had their references</w:t>
      </w:r>
      <w:r w:rsidR="00263E29" w:rsidRPr="006A0BB3">
        <w:rPr>
          <w:color w:val="auto"/>
        </w:rPr>
        <w:t xml:space="preserve"> and citations assessed, using Citation Chaser </w:t>
      </w:r>
      <w:r w:rsidR="00B4668F">
        <w:rPr>
          <w:color w:val="auto"/>
        </w:rPr>
        <w:fldChar w:fldCharType="begin"/>
      </w:r>
      <w:r w:rsidR="00B4668F">
        <w:rPr>
          <w:color w:val="auto"/>
        </w:rPr>
        <w:instrText xml:space="preserve"> ADDIN EN.CITE &lt;EndNote&gt;&lt;Cite&gt;&lt;Author&gt;Haddaway&lt;/Author&gt;&lt;Year&gt;2021&lt;/Year&gt;&lt;RecNum&gt;155&lt;/RecNum&gt;&lt;DisplayText&gt;(Haddaway, Grainger &amp;amp; Gray 2021)&lt;/DisplayText&gt;&lt;record&gt;&lt;rec-number&gt;155&lt;/rec-number&gt;&lt;foreign-keys&gt;&lt;key app="EN" db-id="0tprsse9cpp5r3ea5dz5p0xw2pfwvwxpa5a5" timestamp="1654063527"&gt;155&lt;/key&gt;&lt;/foreign-keys&gt;&lt;ref-type name="Computer Program"&gt;9&lt;/ref-type&gt;&lt;contributors&gt;&lt;authors&gt;&lt;author&gt;Haddaway, N. R.&lt;/author&gt;&lt;author&gt;Grainger, M. J.&lt;/author&gt;&lt;author&gt;Gray, C. T.&lt;/author&gt;&lt;/authors&gt;&lt;/contributors&gt;&lt;titles&gt;&lt;title&gt;citationchaser: an R package for forward and backward citations chasing in academic searching&lt;/title&gt;&lt;short-title&gt;citationchaser: an R package for forward and backward citations chasing in academic searching&lt;/short-title&gt;&lt;/titles&gt;&lt;edition&gt;0.0.3&lt;/edition&gt;&lt;dates&gt;&lt;year&gt;2021&lt;/year&gt;&lt;/dates&gt;&lt;urls&gt;&lt;related-urls&gt;&lt;url&gt;https://github.com/nealhaddaway/citationchaser&lt;/url&gt;&lt;/related-urls&gt;&lt;/urls&gt;&lt;electronic-resource-num&gt;10.5281/zenodo.4543513&lt;/electronic-resource-num&gt;&lt;/record&gt;&lt;/Cite&gt;&lt;/EndNote&gt;</w:instrText>
      </w:r>
      <w:r w:rsidR="00B4668F">
        <w:rPr>
          <w:color w:val="auto"/>
        </w:rPr>
        <w:fldChar w:fldCharType="separate"/>
      </w:r>
      <w:r w:rsidR="00B4668F">
        <w:rPr>
          <w:noProof/>
          <w:color w:val="auto"/>
        </w:rPr>
        <w:t>(Haddaway, Grainger &amp; Gray 2021)</w:t>
      </w:r>
      <w:r w:rsidR="00B4668F">
        <w:rPr>
          <w:color w:val="auto"/>
        </w:rPr>
        <w:fldChar w:fldCharType="end"/>
      </w:r>
      <w:r w:rsidR="00263E29" w:rsidRPr="006A0BB3">
        <w:rPr>
          <w:color w:val="auto"/>
        </w:rPr>
        <w:t xml:space="preserve">. A PRISMA flowchart was developed to summarise the number of citations </w:t>
      </w:r>
      <w:r w:rsidR="006A0BB3" w:rsidRPr="006A0BB3">
        <w:rPr>
          <w:color w:val="auto"/>
        </w:rPr>
        <w:t xml:space="preserve">identified at each step. </w:t>
      </w:r>
    </w:p>
    <w:p w14:paraId="61F9B618" w14:textId="50E368A6" w:rsidR="00633B18" w:rsidRPr="006A0BB3" w:rsidRDefault="006A0BB3" w:rsidP="006A0BB3">
      <w:pPr>
        <w:pStyle w:val="Instructionaltext"/>
        <w:rPr>
          <w:color w:val="auto"/>
        </w:rPr>
      </w:pPr>
      <w:r>
        <w:rPr>
          <w:color w:val="auto"/>
        </w:rPr>
        <w:t xml:space="preserve">Each included study had its risk of bias assessed, based on the outcomes it provided and the study design. </w:t>
      </w:r>
      <w:r w:rsidR="00002064">
        <w:rPr>
          <w:color w:val="auto"/>
        </w:rPr>
        <w:t xml:space="preserve">Concordance studies were evaluated using the QUADAS 2 checklist (substituting assessment of the reference standard with assessment of the comparator). Studies on the success rate of testing or turnaround time, or studies on the effectiveness of targeted treatment in non-randomised controlled studies were assessed using a checklist for cohort studies developed by SIGN. </w:t>
      </w:r>
      <w:r w:rsidR="006278CE">
        <w:rPr>
          <w:color w:val="auto"/>
        </w:rPr>
        <w:t xml:space="preserve">The certainty of evidence was judged using GRADE for the key outcomes which fed into the assessment framework. </w:t>
      </w:r>
      <w:r w:rsidRPr="006A0BB3">
        <w:rPr>
          <w:color w:val="auto"/>
        </w:rPr>
        <w:t xml:space="preserve">A full description of the methods is provided in </w:t>
      </w:r>
      <w:r w:rsidRPr="006A0BB3">
        <w:rPr>
          <w:color w:val="auto"/>
        </w:rPr>
        <w:fldChar w:fldCharType="begin"/>
      </w:r>
      <w:r w:rsidRPr="006A0BB3">
        <w:rPr>
          <w:color w:val="auto"/>
        </w:rPr>
        <w:instrText xml:space="preserve"> REF _Ref56607849 \h  \* MERGEFORMAT </w:instrText>
      </w:r>
      <w:r w:rsidRPr="006A0BB3">
        <w:rPr>
          <w:color w:val="auto"/>
        </w:rPr>
      </w:r>
      <w:r w:rsidRPr="006A0BB3">
        <w:rPr>
          <w:color w:val="auto"/>
        </w:rPr>
        <w:fldChar w:fldCharType="separate"/>
      </w:r>
      <w:r w:rsidR="00C857F3" w:rsidRPr="00C857F3">
        <w:rPr>
          <w:color w:val="auto"/>
        </w:rPr>
        <w:t>Appendix A</w:t>
      </w:r>
      <w:r w:rsidRPr="006A0BB3">
        <w:rPr>
          <w:color w:val="auto"/>
        </w:rPr>
        <w:fldChar w:fldCharType="end"/>
      </w:r>
      <w:r w:rsidRPr="006A0BB3">
        <w:rPr>
          <w:color w:val="auto"/>
        </w:rPr>
        <w:t xml:space="preserve">. </w:t>
      </w:r>
    </w:p>
    <w:p w14:paraId="2DE5F2B5" w14:textId="16C75EF4" w:rsidR="003A2ED1" w:rsidRPr="00CE28E3" w:rsidRDefault="006A0BB3" w:rsidP="006A0BB3">
      <w:pPr>
        <w:pStyle w:val="NormalBeforeBullet"/>
      </w:pPr>
      <w:r>
        <w:t xml:space="preserve">The methods used for assessing the last step of the linked evidence approach is discussed in section </w:t>
      </w:r>
      <w:r>
        <w:fldChar w:fldCharType="begin"/>
      </w:r>
      <w:r>
        <w:instrText xml:space="preserve"> REF _Ref107399602 \h </w:instrText>
      </w:r>
      <w:r>
        <w:fldChar w:fldCharType="separate"/>
      </w:r>
      <w:r w:rsidR="00C857F3">
        <w:t>2</w:t>
      </w:r>
      <w:r w:rsidR="00C857F3" w:rsidRPr="00CE28E3">
        <w:t>.4.1</w:t>
      </w:r>
      <w:r w:rsidR="00C857F3" w:rsidRPr="00CE28E3">
        <w:tab/>
        <w:t>Methods for undertaking the assessment</w:t>
      </w:r>
      <w:r>
        <w:fldChar w:fldCharType="end"/>
      </w:r>
      <w:r>
        <w:t xml:space="preserve">. </w:t>
      </w:r>
    </w:p>
    <w:p w14:paraId="3335382A" w14:textId="7F4F642C" w:rsidR="00421EBC" w:rsidRDefault="00421EBC" w:rsidP="007226F5">
      <w:pPr>
        <w:pStyle w:val="Heading2"/>
        <w:numPr>
          <w:ilvl w:val="0"/>
          <w:numId w:val="0"/>
        </w:numPr>
        <w:ind w:left="357" w:hanging="357"/>
      </w:pPr>
      <w:bookmarkStart w:id="77" w:name="_Toc148531145"/>
      <w:r w:rsidRPr="00CE28E3">
        <w:t>Assessment framework</w:t>
      </w:r>
      <w:bookmarkEnd w:id="77"/>
      <w:r w:rsidRPr="00CE28E3">
        <w:t xml:space="preserve"> </w:t>
      </w:r>
    </w:p>
    <w:p w14:paraId="25BECCAA" w14:textId="22E313AF" w:rsidR="00121580" w:rsidRPr="006C01FD" w:rsidRDefault="00121580" w:rsidP="00121580">
      <w:pPr>
        <w:pStyle w:val="Instructionaltext"/>
        <w:rPr>
          <w:color w:val="auto"/>
        </w:rPr>
      </w:pPr>
      <w:r>
        <w:rPr>
          <w:color w:val="auto"/>
        </w:rPr>
        <w:t xml:space="preserve">A single study provided direct from test to health outcomes evidence, assessing progression free survival, overall response rate and disease </w:t>
      </w:r>
      <w:r w:rsidRPr="00F20679">
        <w:rPr>
          <w:color w:val="auto"/>
        </w:rPr>
        <w:t xml:space="preserve">control rate for those testing positive or negative for </w:t>
      </w:r>
      <w:r w:rsidRPr="00F20679">
        <w:rPr>
          <w:i/>
          <w:color w:val="auto"/>
        </w:rPr>
        <w:t xml:space="preserve">ALK </w:t>
      </w:r>
      <w:r w:rsidRPr="00F20679">
        <w:rPr>
          <w:color w:val="auto"/>
        </w:rPr>
        <w:t xml:space="preserve">fusions by IHC, FISH or NGS </w:t>
      </w:r>
      <w:r w:rsidR="00B4668F" w:rsidRPr="00956452">
        <w:rPr>
          <w:color w:val="auto"/>
        </w:rP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rsidR="00B4668F" w:rsidRPr="00F20679">
        <w:rPr>
          <w:color w:val="auto"/>
        </w:rPr>
        <w:instrText xml:space="preserve"> ADDIN EN.CITE </w:instrText>
      </w:r>
      <w:r w:rsidR="00B4668F" w:rsidRPr="00956452">
        <w:rPr>
          <w:color w:val="auto"/>
        </w:rP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rsidR="00B4668F" w:rsidRPr="00F20679">
        <w:rPr>
          <w:color w:val="auto"/>
        </w:rPr>
        <w:instrText xml:space="preserve"> ADDIN EN.CITE.DATA </w:instrText>
      </w:r>
      <w:r w:rsidR="00B4668F" w:rsidRPr="00956452">
        <w:rPr>
          <w:color w:val="auto"/>
        </w:rPr>
      </w:r>
      <w:r w:rsidR="00B4668F" w:rsidRPr="00956452">
        <w:rPr>
          <w:color w:val="auto"/>
        </w:rPr>
        <w:fldChar w:fldCharType="end"/>
      </w:r>
      <w:r w:rsidR="00B4668F" w:rsidRPr="00956452">
        <w:rPr>
          <w:color w:val="auto"/>
        </w:rPr>
      </w:r>
      <w:r w:rsidR="00B4668F" w:rsidRPr="00956452">
        <w:rPr>
          <w:color w:val="auto"/>
        </w:rPr>
        <w:fldChar w:fldCharType="separate"/>
      </w:r>
      <w:r w:rsidR="00B4668F" w:rsidRPr="00F20679">
        <w:rPr>
          <w:noProof/>
          <w:color w:val="auto"/>
        </w:rPr>
        <w:t>(Lin, C et al. 2019)</w:t>
      </w:r>
      <w:r w:rsidR="00B4668F" w:rsidRPr="00956452">
        <w:rPr>
          <w:color w:val="auto"/>
        </w:rPr>
        <w:fldChar w:fldCharType="end"/>
      </w:r>
      <w:r w:rsidRPr="00F20679">
        <w:rPr>
          <w:color w:val="auto"/>
        </w:rPr>
        <w:t xml:space="preserve"> (component 1 in </w:t>
      </w:r>
      <w:r w:rsidRPr="00956452">
        <w:rPr>
          <w:color w:val="auto"/>
        </w:rPr>
        <w:fldChar w:fldCharType="begin"/>
      </w:r>
      <w:r w:rsidRPr="00F20679">
        <w:rPr>
          <w:color w:val="auto"/>
        </w:rPr>
        <w:instrText xml:space="preserve"> REF _Ref69731162 \h </w:instrText>
      </w:r>
      <w:r w:rsidRPr="00956452">
        <w:rPr>
          <w:color w:val="auto"/>
        </w:rPr>
      </w:r>
      <w:r w:rsidRPr="00956452">
        <w:rPr>
          <w:color w:val="auto"/>
        </w:rPr>
        <w:fldChar w:fldCharType="separate"/>
      </w:r>
      <w:r w:rsidR="00C857F3" w:rsidRPr="00CE28E3">
        <w:t>Figure</w:t>
      </w:r>
      <w:r w:rsidR="00C857F3">
        <w:t> </w:t>
      </w:r>
      <w:r w:rsidR="00C857F3">
        <w:rPr>
          <w:noProof/>
        </w:rPr>
        <w:t>7</w:t>
      </w:r>
      <w:r w:rsidRPr="00956452">
        <w:rPr>
          <w:color w:val="auto"/>
        </w:rPr>
        <w:fldChar w:fldCharType="end"/>
      </w:r>
      <w:r w:rsidRPr="006C01FD">
        <w:rPr>
          <w:color w:val="auto"/>
        </w:rPr>
        <w:t xml:space="preserve">). </w:t>
      </w:r>
    </w:p>
    <w:p w14:paraId="23BE4BA2" w14:textId="77777777" w:rsidR="00121580" w:rsidRPr="006C01FD" w:rsidRDefault="00121580" w:rsidP="00121580">
      <w:pPr>
        <w:pStyle w:val="Instructionaltext"/>
        <w:rPr>
          <w:color w:val="auto"/>
        </w:rPr>
      </w:pPr>
      <w:r w:rsidRPr="006C01FD">
        <w:rPr>
          <w:color w:val="auto"/>
        </w:rPr>
        <w:t xml:space="preserve">One additional study was identified which compared health outcomes between NGS (which tested </w:t>
      </w:r>
      <w:r w:rsidRPr="006C01FD">
        <w:rPr>
          <w:i/>
          <w:color w:val="auto"/>
        </w:rPr>
        <w:t xml:space="preserve">EGFR, ALK, ROS1 </w:t>
      </w:r>
      <w:r w:rsidRPr="006C01FD">
        <w:rPr>
          <w:color w:val="auto"/>
        </w:rPr>
        <w:t xml:space="preserve">and other genes) and </w:t>
      </w:r>
      <w:r w:rsidRPr="006C01FD">
        <w:rPr>
          <w:i/>
          <w:color w:val="auto"/>
        </w:rPr>
        <w:t>EGFR</w:t>
      </w:r>
      <w:r w:rsidRPr="006C01FD">
        <w:rPr>
          <w:color w:val="auto"/>
        </w:rPr>
        <w:t xml:space="preserve"> and </w:t>
      </w:r>
      <w:r w:rsidRPr="006C01FD">
        <w:rPr>
          <w:i/>
          <w:color w:val="auto"/>
        </w:rPr>
        <w:t>ALK</w:t>
      </w:r>
      <w:r w:rsidRPr="006C01FD">
        <w:rPr>
          <w:color w:val="auto"/>
        </w:rPr>
        <w:t xml:space="preserve"> testing by sequential testing (Presley et al. 2018). However, this study was excluded as any health differences observed could have been due to the additional genes being tested, rather than the method of testing. </w:t>
      </w:r>
    </w:p>
    <w:p w14:paraId="56685054" w14:textId="333DBBCD" w:rsidR="00121580" w:rsidRDefault="00121580" w:rsidP="00121580">
      <w:pPr>
        <w:pStyle w:val="Instructionaltext"/>
        <w:rPr>
          <w:color w:val="auto"/>
        </w:rPr>
      </w:pPr>
      <w:r w:rsidRPr="006C01FD">
        <w:rPr>
          <w:color w:val="auto"/>
        </w:rPr>
        <w:lastRenderedPageBreak/>
        <w:t xml:space="preserve">A linked evidence approach was therefore used to supplement the limited direct evidence. Evidence of </w:t>
      </w:r>
      <w:r w:rsidRPr="00F20679">
        <w:rPr>
          <w:color w:val="auto"/>
        </w:rPr>
        <w:t xml:space="preserve">the comparative success rate of testing and test concordance (component 2 in </w:t>
      </w:r>
      <w:r w:rsidRPr="00956452">
        <w:rPr>
          <w:color w:val="auto"/>
        </w:rPr>
        <w:fldChar w:fldCharType="begin"/>
      </w:r>
      <w:r w:rsidRPr="00F20679">
        <w:rPr>
          <w:color w:val="auto"/>
        </w:rPr>
        <w:instrText xml:space="preserve"> REF _Ref69731162 \h </w:instrText>
      </w:r>
      <w:r w:rsidRPr="00956452">
        <w:rPr>
          <w:color w:val="auto"/>
        </w:rPr>
      </w:r>
      <w:r w:rsidRPr="00956452">
        <w:rPr>
          <w:color w:val="auto"/>
        </w:rPr>
        <w:fldChar w:fldCharType="separate"/>
      </w:r>
      <w:r w:rsidR="00C857F3" w:rsidRPr="00CE28E3">
        <w:t>Figure</w:t>
      </w:r>
      <w:r w:rsidR="00C857F3">
        <w:t> </w:t>
      </w:r>
      <w:r w:rsidR="00C857F3">
        <w:rPr>
          <w:noProof/>
        </w:rPr>
        <w:t>7</w:t>
      </w:r>
      <w:r w:rsidRPr="00956452">
        <w:rPr>
          <w:color w:val="auto"/>
        </w:rPr>
        <w:fldChar w:fldCharType="end"/>
      </w:r>
      <w:r w:rsidRPr="00F20679">
        <w:rPr>
          <w:color w:val="auto"/>
        </w:rPr>
        <w:t>) is reported in Section </w:t>
      </w:r>
      <w:r w:rsidR="00400BC7" w:rsidRPr="00F20679">
        <w:rPr>
          <w:color w:val="auto"/>
        </w:rPr>
        <w:t>2</w:t>
      </w:r>
      <w:r w:rsidRPr="00F20679">
        <w:rPr>
          <w:color w:val="auto"/>
        </w:rPr>
        <w:t xml:space="preserve">.2. Evidence of the impact of testing on the management of patients (component 3 in </w:t>
      </w:r>
      <w:r w:rsidRPr="00956452">
        <w:rPr>
          <w:color w:val="auto"/>
        </w:rPr>
        <w:fldChar w:fldCharType="begin"/>
      </w:r>
      <w:r w:rsidRPr="00F20679">
        <w:rPr>
          <w:color w:val="auto"/>
        </w:rPr>
        <w:instrText xml:space="preserve"> REF _Ref69731162 \h </w:instrText>
      </w:r>
      <w:r w:rsidRPr="00956452">
        <w:rPr>
          <w:color w:val="auto"/>
        </w:rPr>
      </w:r>
      <w:r w:rsidRPr="00956452">
        <w:rPr>
          <w:color w:val="auto"/>
        </w:rPr>
        <w:fldChar w:fldCharType="separate"/>
      </w:r>
      <w:r w:rsidR="00C857F3" w:rsidRPr="00CE28E3">
        <w:t>Figure</w:t>
      </w:r>
      <w:r w:rsidR="00C857F3">
        <w:t> </w:t>
      </w:r>
      <w:r w:rsidR="00C857F3">
        <w:rPr>
          <w:noProof/>
        </w:rPr>
        <w:t>7</w:t>
      </w:r>
      <w:r w:rsidRPr="00956452">
        <w:rPr>
          <w:color w:val="auto"/>
        </w:rPr>
        <w:fldChar w:fldCharType="end"/>
      </w:r>
      <w:r w:rsidRPr="00F20679">
        <w:rPr>
          <w:color w:val="auto"/>
        </w:rPr>
        <w:t>) is reported in Section </w:t>
      </w:r>
      <w:r w:rsidR="00400BC7" w:rsidRPr="00F20679">
        <w:rPr>
          <w:color w:val="auto"/>
        </w:rPr>
        <w:t>2</w:t>
      </w:r>
      <w:r w:rsidRPr="00F20679">
        <w:rPr>
          <w:color w:val="auto"/>
        </w:rPr>
        <w:t xml:space="preserve">.3. Evidence regarding the impact of how the change in management results in health benefits (component 4 in </w:t>
      </w:r>
      <w:r w:rsidRPr="00956452">
        <w:rPr>
          <w:color w:val="auto"/>
        </w:rPr>
        <w:fldChar w:fldCharType="begin"/>
      </w:r>
      <w:r w:rsidRPr="00F20679">
        <w:rPr>
          <w:color w:val="auto"/>
        </w:rPr>
        <w:instrText xml:space="preserve"> REF _Ref69731162 \h </w:instrText>
      </w:r>
      <w:r w:rsidRPr="00956452">
        <w:rPr>
          <w:color w:val="auto"/>
        </w:rPr>
      </w:r>
      <w:r w:rsidRPr="00956452">
        <w:rPr>
          <w:color w:val="auto"/>
        </w:rPr>
        <w:fldChar w:fldCharType="separate"/>
      </w:r>
      <w:r w:rsidR="00C857F3" w:rsidRPr="00CE28E3">
        <w:t>Figure</w:t>
      </w:r>
      <w:r w:rsidR="00C857F3">
        <w:t> </w:t>
      </w:r>
      <w:r w:rsidR="00C857F3">
        <w:rPr>
          <w:noProof/>
        </w:rPr>
        <w:t>7</w:t>
      </w:r>
      <w:r w:rsidRPr="00956452">
        <w:rPr>
          <w:color w:val="auto"/>
        </w:rPr>
        <w:fldChar w:fldCharType="end"/>
      </w:r>
      <w:r w:rsidRPr="00F20679">
        <w:rPr>
          <w:color w:val="auto"/>
        </w:rPr>
        <w:t xml:space="preserve">) is reported </w:t>
      </w:r>
      <w:r w:rsidRPr="005B08EC">
        <w:rPr>
          <w:color w:val="auto"/>
        </w:rPr>
        <w:t>in Section </w:t>
      </w:r>
      <w:r w:rsidR="00400BC7">
        <w:rPr>
          <w:color w:val="auto"/>
        </w:rPr>
        <w:t>2</w:t>
      </w:r>
      <w:r w:rsidRPr="005B08EC">
        <w:rPr>
          <w:color w:val="auto"/>
        </w:rPr>
        <w:t xml:space="preserve">.4. </w:t>
      </w:r>
    </w:p>
    <w:p w14:paraId="23C2D64F" w14:textId="77777777" w:rsidR="00121580" w:rsidRPr="00121580" w:rsidRDefault="00121580" w:rsidP="00121580"/>
    <w:p w14:paraId="0093031A" w14:textId="4EC55EEB" w:rsidR="003C1AE2" w:rsidRPr="00BA1FFB" w:rsidRDefault="00FB6D17" w:rsidP="00421EBC">
      <w:pPr>
        <w:keepNext/>
      </w:pPr>
      <w:r w:rsidRPr="00392088">
        <w:rPr>
          <w:noProof/>
          <w:lang w:eastAsia="en-AU"/>
        </w:rPr>
        <w:drawing>
          <wp:inline distT="0" distB="0" distL="0" distR="0" wp14:anchorId="56372E24" wp14:editId="552ACAE6">
            <wp:extent cx="5731510" cy="3688715"/>
            <wp:effectExtent l="0" t="0" r="2540" b="6985"/>
            <wp:docPr id="41" name="Picture 41" descr="Assessment framework for small DNA/RNA NGS panel for NSCLC" title="Assessment framework for small DNA/RNA NGS panel for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88715"/>
                    </a:xfrm>
                    <a:prstGeom prst="rect">
                      <a:avLst/>
                    </a:prstGeom>
                  </pic:spPr>
                </pic:pic>
              </a:graphicData>
            </a:graphic>
          </wp:inline>
        </w:drawing>
      </w:r>
    </w:p>
    <w:p w14:paraId="1934C75B" w14:textId="29C3A923" w:rsidR="00421EBC" w:rsidRPr="00CE28E3" w:rsidRDefault="00421EBC" w:rsidP="001247EB">
      <w:pPr>
        <w:pStyle w:val="Caption"/>
      </w:pPr>
      <w:bookmarkStart w:id="78" w:name="_Ref69731162"/>
      <w:r w:rsidRPr="00CE28E3">
        <w:t>Figure</w:t>
      </w:r>
      <w:r w:rsidR="001247EB">
        <w:t> </w:t>
      </w:r>
      <w:fldSimple w:instr=" SEQ Figure \* ARABIC ">
        <w:r w:rsidR="00C857F3">
          <w:rPr>
            <w:noProof/>
          </w:rPr>
          <w:t>7</w:t>
        </w:r>
      </w:fldSimple>
      <w:bookmarkEnd w:id="78"/>
      <w:r w:rsidRPr="00CE28E3">
        <w:tab/>
        <w:t xml:space="preserve">Assessment framework for </w:t>
      </w:r>
      <w:r w:rsidR="005020FD">
        <w:t>small DNA/RNA NGS panel</w:t>
      </w:r>
      <w:r w:rsidR="00F1508C" w:rsidRPr="00F1508C">
        <w:t xml:space="preserve"> for </w:t>
      </w:r>
      <w:r w:rsidR="005020FD">
        <w:t>NSCLC</w:t>
      </w:r>
    </w:p>
    <w:p w14:paraId="5422D06A" w14:textId="4D6A4004" w:rsidR="00006147" w:rsidRPr="00CE28E3" w:rsidRDefault="00421EBC" w:rsidP="00421EBC">
      <w:pPr>
        <w:pStyle w:val="TableFigureFooter"/>
      </w:pPr>
      <w:bookmarkStart w:id="79" w:name="_Hlk68329117"/>
      <w:r w:rsidRPr="00CE28E3">
        <w:t xml:space="preserve">Figure notes: 1: direct from test to health outcomes evidence; 2: test </w:t>
      </w:r>
      <w:r w:rsidR="000A49CB">
        <w:t xml:space="preserve">performance; 3: change in </w:t>
      </w:r>
      <w:r w:rsidRPr="00CE28E3">
        <w:t>treatment/management; 4:</w:t>
      </w:r>
      <w:r w:rsidR="00BA1FFB">
        <w:t> </w:t>
      </w:r>
      <w:r w:rsidRPr="00CE28E3">
        <w:t>influence of the change in management on health outcomes</w:t>
      </w:r>
      <w:bookmarkEnd w:id="79"/>
    </w:p>
    <w:p w14:paraId="7521913D" w14:textId="66134A80" w:rsidR="00914BEC" w:rsidRPr="00CE28E3" w:rsidRDefault="00400BC7" w:rsidP="00914BEC">
      <w:pPr>
        <w:pStyle w:val="Heading2"/>
        <w:numPr>
          <w:ilvl w:val="0"/>
          <w:numId w:val="0"/>
        </w:numPr>
      </w:pPr>
      <w:bookmarkStart w:id="80" w:name="_Toc148531146"/>
      <w:r>
        <w:t>2</w:t>
      </w:r>
      <w:r w:rsidR="00914BEC" w:rsidRPr="00CE28E3">
        <w:t>.</w:t>
      </w:r>
      <w:r w:rsidR="00916D2B">
        <w:t>1</w:t>
      </w:r>
      <w:r w:rsidR="00914BEC" w:rsidRPr="00CE28E3">
        <w:tab/>
      </w:r>
      <w:r w:rsidR="00916D2B">
        <w:t xml:space="preserve">Direct </w:t>
      </w:r>
      <w:r w:rsidR="00AA4DDF">
        <w:t xml:space="preserve">from test to health outcomes </w:t>
      </w:r>
      <w:r w:rsidR="00916D2B">
        <w:t>evidence</w:t>
      </w:r>
      <w:bookmarkEnd w:id="80"/>
      <w:r w:rsidR="00AA4DDF">
        <w:t xml:space="preserve"> </w:t>
      </w:r>
    </w:p>
    <w:p w14:paraId="150C104E" w14:textId="54EB6CA9" w:rsidR="00916D2B" w:rsidRDefault="00400BC7" w:rsidP="00916D2B">
      <w:pPr>
        <w:pStyle w:val="Heading3"/>
      </w:pPr>
      <w:bookmarkStart w:id="81" w:name="_Toc148531147"/>
      <w:r>
        <w:t>2</w:t>
      </w:r>
      <w:r w:rsidR="00916D2B" w:rsidRPr="00CE28E3">
        <w:t>.</w:t>
      </w:r>
      <w:r w:rsidR="00916D2B">
        <w:t>1</w:t>
      </w:r>
      <w:r w:rsidR="00916D2B" w:rsidRPr="00CE28E3">
        <w:t>.1</w:t>
      </w:r>
      <w:r w:rsidR="00916D2B" w:rsidRPr="00CE28E3">
        <w:tab/>
        <w:t>Methods for undertaking the assessment</w:t>
      </w:r>
      <w:bookmarkEnd w:id="81"/>
    </w:p>
    <w:p w14:paraId="19751804" w14:textId="45E5BF62" w:rsidR="000F4463" w:rsidRPr="000F4463" w:rsidRDefault="000F4463" w:rsidP="000F4463">
      <w:r>
        <w:t xml:space="preserve">The methods for identifying direct evidence are described at the start of section </w:t>
      </w:r>
      <w:r w:rsidR="00400BC7">
        <w:t>2</w:t>
      </w:r>
      <w:r>
        <w:t xml:space="preserve">. </w:t>
      </w:r>
    </w:p>
    <w:p w14:paraId="06E23C1B" w14:textId="0CB1E784" w:rsidR="00916D2B" w:rsidRDefault="00400BC7" w:rsidP="00916D2B">
      <w:pPr>
        <w:pStyle w:val="Heading3"/>
      </w:pPr>
      <w:bookmarkStart w:id="82" w:name="_Toc148531148"/>
      <w:r>
        <w:t>2</w:t>
      </w:r>
      <w:r w:rsidR="00916D2B" w:rsidRPr="00CE28E3">
        <w:t>.</w:t>
      </w:r>
      <w:r w:rsidR="00916D2B">
        <w:t>1</w:t>
      </w:r>
      <w:r w:rsidR="00916D2B" w:rsidRPr="00CE28E3">
        <w:t>.</w:t>
      </w:r>
      <w:r w:rsidR="00916D2B">
        <w:t>2</w:t>
      </w:r>
      <w:r w:rsidR="00916D2B" w:rsidRPr="00CE28E3">
        <w:tab/>
        <w:t>Characteristics of the evidence base</w:t>
      </w:r>
      <w:bookmarkEnd w:id="82"/>
    </w:p>
    <w:p w14:paraId="66DA0F3A" w14:textId="630B1348" w:rsidR="000518F0" w:rsidRPr="000B4716" w:rsidRDefault="000518F0" w:rsidP="000518F0">
      <w:r>
        <w:t>One small study provided direct evidence from testing to health outcomes (</w:t>
      </w:r>
      <w:r>
        <w:fldChar w:fldCharType="begin"/>
      </w:r>
      <w:r>
        <w:instrText xml:space="preserve"> REF _Ref106886143 \h </w:instrText>
      </w:r>
      <w:r>
        <w:fldChar w:fldCharType="separate"/>
      </w:r>
      <w:r w:rsidR="00C857F3" w:rsidRPr="00CE28E3">
        <w:t>Table</w:t>
      </w:r>
      <w:r w:rsidR="00C857F3">
        <w:t> </w:t>
      </w:r>
      <w:r w:rsidR="00C857F3">
        <w:rPr>
          <w:noProof/>
        </w:rPr>
        <w:t>24</w:t>
      </w:r>
      <w:r>
        <w:fldChar w:fldCharType="end"/>
      </w:r>
      <w:r>
        <w:t xml:space="preserve">). </w:t>
      </w:r>
      <w:r w:rsidR="000B4716">
        <w:t xml:space="preserve">It was a predictive study, retrospectively comparing health outcomes by those with and without the </w:t>
      </w:r>
      <w:r w:rsidR="000B4716">
        <w:rPr>
          <w:i/>
        </w:rPr>
        <w:t xml:space="preserve">ALK </w:t>
      </w:r>
      <w:r w:rsidR="000B4716">
        <w:t xml:space="preserve">biomarker, as determined by different testing methods. </w:t>
      </w:r>
    </w:p>
    <w:p w14:paraId="1A78EC52" w14:textId="2B0C93FC" w:rsidR="00916D2B" w:rsidRPr="00CE28E3" w:rsidRDefault="00916D2B" w:rsidP="00916D2B">
      <w:pPr>
        <w:pStyle w:val="Caption"/>
        <w:rPr>
          <w:snapToGrid w:val="0"/>
        </w:rPr>
      </w:pPr>
      <w:bookmarkStart w:id="83" w:name="_Ref106886143"/>
      <w:r w:rsidRPr="00CE28E3">
        <w:lastRenderedPageBreak/>
        <w:t>Table</w:t>
      </w:r>
      <w:r>
        <w:t> </w:t>
      </w:r>
      <w:fldSimple w:instr=" SEQ Table \* ARABIC ">
        <w:r w:rsidR="00C857F3">
          <w:rPr>
            <w:noProof/>
          </w:rPr>
          <w:t>24</w:t>
        </w:r>
      </w:fldSimple>
      <w:bookmarkEnd w:id="83"/>
      <w:r w:rsidRPr="00CE28E3">
        <w:tab/>
      </w:r>
      <w:r w:rsidRPr="00CE28E3">
        <w:rPr>
          <w:snapToGrid w:val="0"/>
        </w:rPr>
        <w:t xml:space="preserve">Key features of the </w:t>
      </w:r>
      <w:r>
        <w:rPr>
          <w:snapToGrid w:val="0"/>
        </w:rPr>
        <w:t>included</w:t>
      </w:r>
      <w:r w:rsidRPr="00CE28E3">
        <w:rPr>
          <w:snapToGrid w:val="0"/>
        </w:rPr>
        <w:t xml:space="preserve"> evidence comparing </w:t>
      </w:r>
      <w:r>
        <w:rPr>
          <w:snapToGrid w:val="0"/>
        </w:rPr>
        <w:t>NGS against IHC and FISH for selecting patients to receive crizotinib</w:t>
      </w:r>
    </w:p>
    <w:tbl>
      <w:tblPr>
        <w:tblStyle w:val="TableGrid1"/>
        <w:tblW w:w="5000" w:type="pct"/>
        <w:tblCellMar>
          <w:left w:w="28" w:type="dxa"/>
          <w:right w:w="28" w:type="dxa"/>
        </w:tblCellMar>
        <w:tblLook w:val="04A0" w:firstRow="1" w:lastRow="0" w:firstColumn="1" w:lastColumn="0" w:noHBand="0" w:noVBand="1"/>
        <w:tblCaption w:val="Key features of the included evidence comparing NGS against IHC and FISH for selecting patients to receive crizotinib"/>
        <w:tblDescription w:val="Key features of the included evidence comparing NGS against IHC and FISH for selecting patients to receive crizotinib"/>
      </w:tblPr>
      <w:tblGrid>
        <w:gridCol w:w="986"/>
        <w:gridCol w:w="489"/>
        <w:gridCol w:w="1059"/>
        <w:gridCol w:w="2005"/>
        <w:gridCol w:w="995"/>
        <w:gridCol w:w="1412"/>
        <w:gridCol w:w="1248"/>
        <w:gridCol w:w="822"/>
      </w:tblGrid>
      <w:tr w:rsidR="000518F0" w:rsidRPr="00CE28E3" w14:paraId="39F7F27C" w14:textId="77777777" w:rsidTr="008F456E">
        <w:trPr>
          <w:cnfStyle w:val="100000000000" w:firstRow="1" w:lastRow="0" w:firstColumn="0" w:lastColumn="0" w:oddVBand="0" w:evenVBand="0" w:oddHBand="0" w:evenHBand="0" w:firstRowFirstColumn="0" w:firstRowLastColumn="0" w:lastRowFirstColumn="0" w:lastRowLastColumn="0"/>
          <w:tblHeader/>
        </w:trPr>
        <w:tc>
          <w:tcPr>
            <w:tcW w:w="547" w:type="pct"/>
            <w:shd w:val="clear" w:color="auto" w:fill="auto"/>
            <w:vAlign w:val="center"/>
          </w:tcPr>
          <w:p w14:paraId="2C0EBA77" w14:textId="46842A7B" w:rsidR="00916D2B" w:rsidRPr="00CE28E3" w:rsidRDefault="00916D2B" w:rsidP="00C51E4B">
            <w:pPr>
              <w:pStyle w:val="TableHeading"/>
            </w:pPr>
            <w:r w:rsidRPr="00CE28E3">
              <w:t>Study</w:t>
            </w:r>
          </w:p>
        </w:tc>
        <w:tc>
          <w:tcPr>
            <w:tcW w:w="271" w:type="pct"/>
            <w:shd w:val="clear" w:color="auto" w:fill="auto"/>
            <w:vAlign w:val="center"/>
          </w:tcPr>
          <w:p w14:paraId="4C14354E" w14:textId="77777777" w:rsidR="00916D2B" w:rsidRPr="00CE28E3" w:rsidRDefault="00916D2B" w:rsidP="00C51E4B">
            <w:pPr>
              <w:pStyle w:val="TableHeading"/>
            </w:pPr>
            <w:r w:rsidRPr="00CE28E3">
              <w:t>N</w:t>
            </w:r>
          </w:p>
        </w:tc>
        <w:tc>
          <w:tcPr>
            <w:tcW w:w="587" w:type="pct"/>
            <w:shd w:val="clear" w:color="auto" w:fill="auto"/>
            <w:vAlign w:val="center"/>
          </w:tcPr>
          <w:p w14:paraId="3E4DD584" w14:textId="77777777" w:rsidR="00916D2B" w:rsidRPr="00CE28E3" w:rsidRDefault="00916D2B" w:rsidP="00C51E4B">
            <w:pPr>
              <w:pStyle w:val="TableHeading"/>
            </w:pPr>
            <w:r w:rsidRPr="00CE28E3">
              <w:t>Study design</w:t>
            </w:r>
          </w:p>
          <w:p w14:paraId="4B04FD2C" w14:textId="77777777" w:rsidR="00916D2B" w:rsidRPr="00CE28E3" w:rsidRDefault="00916D2B" w:rsidP="00C51E4B">
            <w:pPr>
              <w:pStyle w:val="TableHeading"/>
            </w:pPr>
            <w:r w:rsidRPr="008D2622">
              <w:t>Risk of bias</w:t>
            </w:r>
          </w:p>
        </w:tc>
        <w:tc>
          <w:tcPr>
            <w:tcW w:w="1112" w:type="pct"/>
            <w:vAlign w:val="center"/>
          </w:tcPr>
          <w:p w14:paraId="1971611F" w14:textId="77777777" w:rsidR="00916D2B" w:rsidRPr="00CE28E3" w:rsidRDefault="00916D2B" w:rsidP="00C51E4B">
            <w:pPr>
              <w:pStyle w:val="TableHeading"/>
            </w:pPr>
            <w:r w:rsidRPr="00CE28E3">
              <w:t>Population</w:t>
            </w:r>
          </w:p>
        </w:tc>
        <w:tc>
          <w:tcPr>
            <w:tcW w:w="552" w:type="pct"/>
            <w:vAlign w:val="center"/>
          </w:tcPr>
          <w:p w14:paraId="2DA79776" w14:textId="77777777" w:rsidR="00916D2B" w:rsidRPr="00CE28E3" w:rsidRDefault="00916D2B" w:rsidP="00C51E4B">
            <w:pPr>
              <w:pStyle w:val="TableHeading"/>
            </w:pPr>
            <w:r w:rsidRPr="00CE28E3">
              <w:t>Intervention</w:t>
            </w:r>
          </w:p>
        </w:tc>
        <w:tc>
          <w:tcPr>
            <w:tcW w:w="783" w:type="pct"/>
            <w:shd w:val="clear" w:color="auto" w:fill="auto"/>
            <w:vAlign w:val="center"/>
          </w:tcPr>
          <w:p w14:paraId="116A625C" w14:textId="77777777" w:rsidR="00916D2B" w:rsidRPr="00CE28E3" w:rsidRDefault="00916D2B" w:rsidP="00C51E4B">
            <w:pPr>
              <w:pStyle w:val="TableHeading"/>
            </w:pPr>
            <w:r w:rsidRPr="00CE28E3">
              <w:t>Comparator</w:t>
            </w:r>
          </w:p>
        </w:tc>
        <w:tc>
          <w:tcPr>
            <w:tcW w:w="692" w:type="pct"/>
            <w:shd w:val="clear" w:color="auto" w:fill="auto"/>
            <w:vAlign w:val="center"/>
          </w:tcPr>
          <w:p w14:paraId="394C2AC1" w14:textId="77777777" w:rsidR="00916D2B" w:rsidRPr="00CE28E3" w:rsidRDefault="00916D2B" w:rsidP="00C51E4B">
            <w:pPr>
              <w:pStyle w:val="TableHeading"/>
            </w:pPr>
            <w:r w:rsidRPr="00CE28E3">
              <w:t>Key outcome(s)</w:t>
            </w:r>
          </w:p>
        </w:tc>
        <w:tc>
          <w:tcPr>
            <w:tcW w:w="456" w:type="pct"/>
          </w:tcPr>
          <w:p w14:paraId="3A1104F5" w14:textId="77777777" w:rsidR="00916D2B" w:rsidRPr="00CE28E3" w:rsidRDefault="00916D2B" w:rsidP="00C51E4B">
            <w:pPr>
              <w:pStyle w:val="TableHeading"/>
            </w:pPr>
            <w:r w:rsidRPr="00CE28E3">
              <w:t>Result used in economic model</w:t>
            </w:r>
          </w:p>
        </w:tc>
      </w:tr>
      <w:tr w:rsidR="000518F0" w:rsidRPr="00CE28E3" w14:paraId="5D0641AB" w14:textId="77777777" w:rsidTr="008F456E">
        <w:trPr>
          <w:cnfStyle w:val="100000000000" w:firstRow="1" w:lastRow="0" w:firstColumn="0" w:lastColumn="0" w:oddVBand="0" w:evenVBand="0" w:oddHBand="0" w:evenHBand="0" w:firstRowFirstColumn="0" w:firstRowLastColumn="0" w:lastRowFirstColumn="0" w:lastRowLastColumn="0"/>
          <w:tblHeader/>
        </w:trPr>
        <w:tc>
          <w:tcPr>
            <w:tcW w:w="547" w:type="pct"/>
            <w:shd w:val="clear" w:color="auto" w:fill="auto"/>
            <w:vAlign w:val="center"/>
          </w:tcPr>
          <w:p w14:paraId="741861AE" w14:textId="574F8AA0" w:rsidR="00916D2B" w:rsidRDefault="00B4668F" w:rsidP="000518F0">
            <w:pPr>
              <w:pStyle w:val="TableText"/>
            </w:pP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 </w:instrText>
            </w: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EN.CITE.DATA </w:instrText>
            </w:r>
            <w:r>
              <w:fldChar w:fldCharType="end"/>
            </w:r>
            <w:r>
              <w:fldChar w:fldCharType="separate"/>
            </w:r>
            <w:r>
              <w:rPr>
                <w:noProof/>
              </w:rPr>
              <w:t>(Lin, C et al. 2019)</w:t>
            </w:r>
            <w:r>
              <w:fldChar w:fldCharType="end"/>
            </w:r>
          </w:p>
          <w:p w14:paraId="781E63D3" w14:textId="681F4922" w:rsidR="00380685" w:rsidRPr="000518F0" w:rsidRDefault="00380685" w:rsidP="000518F0">
            <w:pPr>
              <w:pStyle w:val="TableText"/>
            </w:pPr>
            <w:r>
              <w:t>China</w:t>
            </w:r>
          </w:p>
        </w:tc>
        <w:tc>
          <w:tcPr>
            <w:tcW w:w="271" w:type="pct"/>
            <w:shd w:val="clear" w:color="auto" w:fill="auto"/>
            <w:vAlign w:val="center"/>
          </w:tcPr>
          <w:p w14:paraId="40E87B41" w14:textId="06B342A6" w:rsidR="00916D2B" w:rsidRPr="000518F0" w:rsidRDefault="00F455EA" w:rsidP="000518F0">
            <w:pPr>
              <w:pStyle w:val="TableText"/>
            </w:pPr>
            <w:r w:rsidRPr="000518F0">
              <w:t>40</w:t>
            </w:r>
          </w:p>
        </w:tc>
        <w:tc>
          <w:tcPr>
            <w:tcW w:w="587" w:type="pct"/>
            <w:shd w:val="clear" w:color="auto" w:fill="auto"/>
            <w:vAlign w:val="center"/>
          </w:tcPr>
          <w:p w14:paraId="4F05F4C8" w14:textId="77777777" w:rsidR="00F455EA" w:rsidRDefault="000518F0" w:rsidP="000518F0">
            <w:pPr>
              <w:pStyle w:val="TableText"/>
            </w:pPr>
            <w:r>
              <w:t>Retrospective cohort, w</w:t>
            </w:r>
            <w:r w:rsidR="00F455EA" w:rsidRPr="000518F0">
              <w:t>ithin-patient comparison</w:t>
            </w:r>
          </w:p>
          <w:p w14:paraId="31CD5224" w14:textId="58C2DDE9" w:rsidR="007C57E1" w:rsidRPr="000518F0" w:rsidRDefault="007C57E1" w:rsidP="000518F0">
            <w:pPr>
              <w:pStyle w:val="TableText"/>
            </w:pPr>
            <w:r>
              <w:t>Moderate to high risk of bias</w:t>
            </w:r>
            <w:r w:rsidR="00B06759">
              <w:t xml:space="preserve"> (QUIPS)</w:t>
            </w:r>
          </w:p>
        </w:tc>
        <w:tc>
          <w:tcPr>
            <w:tcW w:w="1112" w:type="pct"/>
            <w:vAlign w:val="center"/>
          </w:tcPr>
          <w:p w14:paraId="2CD50DA4" w14:textId="75B7A096" w:rsidR="00916D2B" w:rsidRPr="000518F0" w:rsidRDefault="000518F0" w:rsidP="000518F0">
            <w:pPr>
              <w:pStyle w:val="TableText"/>
            </w:pPr>
            <w:r w:rsidRPr="000518F0">
              <w:t xml:space="preserve">Patients with </w:t>
            </w:r>
            <w:r>
              <w:t xml:space="preserve">advanced </w:t>
            </w:r>
            <w:r w:rsidRPr="000518F0">
              <w:t>NSCLC (adenocarcinoma, or NSCLC NOS)</w:t>
            </w:r>
            <w:r>
              <w:t xml:space="preserve"> who were </w:t>
            </w:r>
            <w:r>
              <w:rPr>
                <w:i/>
              </w:rPr>
              <w:t xml:space="preserve">ALK </w:t>
            </w:r>
            <w:r>
              <w:t>positive by at least one testing method, and received crizotinib for first- or second-line treatment</w:t>
            </w:r>
          </w:p>
        </w:tc>
        <w:tc>
          <w:tcPr>
            <w:tcW w:w="552" w:type="pct"/>
            <w:vAlign w:val="center"/>
          </w:tcPr>
          <w:p w14:paraId="047908E6" w14:textId="45AE9570" w:rsidR="00916D2B" w:rsidRPr="000518F0" w:rsidRDefault="000518F0" w:rsidP="000518F0">
            <w:pPr>
              <w:pStyle w:val="TableText"/>
              <w:rPr>
                <w:i/>
              </w:rPr>
            </w:pPr>
            <w:r w:rsidRPr="000518F0">
              <w:t xml:space="preserve">NGS for </w:t>
            </w:r>
            <w:r w:rsidRPr="000518F0">
              <w:rPr>
                <w:i/>
              </w:rPr>
              <w:t>ALK</w:t>
            </w:r>
          </w:p>
        </w:tc>
        <w:tc>
          <w:tcPr>
            <w:tcW w:w="783" w:type="pct"/>
            <w:shd w:val="clear" w:color="auto" w:fill="auto"/>
            <w:vAlign w:val="center"/>
          </w:tcPr>
          <w:p w14:paraId="0B85FE8F" w14:textId="2B77C293" w:rsidR="000518F0" w:rsidRPr="000518F0" w:rsidRDefault="000518F0" w:rsidP="000518F0">
            <w:pPr>
              <w:pStyle w:val="TableText"/>
              <w:rPr>
                <w:i/>
              </w:rPr>
            </w:pPr>
            <w:r w:rsidRPr="000518F0">
              <w:t xml:space="preserve">IHC for </w:t>
            </w:r>
            <w:r w:rsidRPr="000518F0">
              <w:rPr>
                <w:i/>
              </w:rPr>
              <w:t>ALK</w:t>
            </w:r>
          </w:p>
          <w:p w14:paraId="32571B80" w14:textId="0A29D605" w:rsidR="00916D2B" w:rsidRPr="000518F0" w:rsidRDefault="000518F0" w:rsidP="000518F0">
            <w:pPr>
              <w:pStyle w:val="TableText"/>
            </w:pPr>
            <w:r w:rsidRPr="000518F0">
              <w:t xml:space="preserve">FISH for </w:t>
            </w:r>
            <w:r w:rsidRPr="000518F0">
              <w:rPr>
                <w:i/>
              </w:rPr>
              <w:t>ALK</w:t>
            </w:r>
          </w:p>
        </w:tc>
        <w:tc>
          <w:tcPr>
            <w:tcW w:w="692" w:type="pct"/>
            <w:shd w:val="clear" w:color="auto" w:fill="auto"/>
            <w:vAlign w:val="center"/>
          </w:tcPr>
          <w:p w14:paraId="52C6BCF7" w14:textId="3B8B7329" w:rsidR="00916D2B" w:rsidRPr="000518F0" w:rsidRDefault="000518F0" w:rsidP="000518F0">
            <w:pPr>
              <w:pStyle w:val="TableText"/>
            </w:pPr>
            <w:r w:rsidRPr="000518F0">
              <w:t>PFS, ORR, DCR</w:t>
            </w:r>
          </w:p>
        </w:tc>
        <w:tc>
          <w:tcPr>
            <w:tcW w:w="456" w:type="pct"/>
          </w:tcPr>
          <w:p w14:paraId="2D4C23CD" w14:textId="6EB87CDE" w:rsidR="00916D2B" w:rsidRPr="000518F0" w:rsidRDefault="000518F0" w:rsidP="000518F0">
            <w:pPr>
              <w:pStyle w:val="TableText"/>
            </w:pPr>
            <w:r w:rsidRPr="000518F0">
              <w:t>No</w:t>
            </w:r>
          </w:p>
        </w:tc>
      </w:tr>
    </w:tbl>
    <w:p w14:paraId="4D987693" w14:textId="4D608302" w:rsidR="00916D2B" w:rsidRDefault="008F456E" w:rsidP="000518F0">
      <w:pPr>
        <w:pStyle w:val="Tablenotes"/>
      </w:pPr>
      <w:r w:rsidRPr="007C7AB1">
        <w:rPr>
          <w:i/>
        </w:rPr>
        <w:t>ALK</w:t>
      </w:r>
      <w:r>
        <w:t xml:space="preserve"> = </w:t>
      </w:r>
      <w:r w:rsidRPr="00561C5F">
        <w:t>anaplastic lymphoma kinase</w:t>
      </w:r>
      <w:r>
        <w:t xml:space="preserve">; </w:t>
      </w:r>
      <w:r w:rsidR="000518F0">
        <w:t xml:space="preserve">DCR = disease control rate; FISH = fluorescent </w:t>
      </w:r>
      <w:r w:rsidR="000518F0" w:rsidRPr="00956452">
        <w:rPr>
          <w:i/>
        </w:rPr>
        <w:t>in situ</w:t>
      </w:r>
      <w:r w:rsidR="000518F0">
        <w:t xml:space="preserve"> hybridisation; IHC = immunohistochemistry; NGS = next generation sequencing; NOS = not otherwise specified; NSCLC = non-small cell lung cancer; ORR = overall response rate; PFS = progression free survival</w:t>
      </w:r>
      <w:r w:rsidR="00B06759">
        <w:t>; QUIPS = Quality in Prognostic Studies tool</w:t>
      </w:r>
    </w:p>
    <w:p w14:paraId="1BD2742B" w14:textId="77777777" w:rsidR="008F456E" w:rsidRPr="00916D2B" w:rsidRDefault="008F456E" w:rsidP="000518F0">
      <w:pPr>
        <w:pStyle w:val="Tablenotes"/>
      </w:pPr>
    </w:p>
    <w:p w14:paraId="5C48C191" w14:textId="1E12A2F5" w:rsidR="00916D2B" w:rsidRDefault="00400BC7" w:rsidP="00916D2B">
      <w:pPr>
        <w:pStyle w:val="Heading3"/>
      </w:pPr>
      <w:bookmarkStart w:id="84" w:name="_Toc148531149"/>
      <w:r>
        <w:t>2</w:t>
      </w:r>
      <w:r w:rsidR="00916D2B" w:rsidRPr="00CE28E3">
        <w:t>.</w:t>
      </w:r>
      <w:r w:rsidR="00916D2B">
        <w:t>1</w:t>
      </w:r>
      <w:r w:rsidR="00916D2B" w:rsidRPr="00CE28E3">
        <w:t>.</w:t>
      </w:r>
      <w:r w:rsidR="00916D2B">
        <w:t>3</w:t>
      </w:r>
      <w:r w:rsidR="00916D2B" w:rsidRPr="00CE28E3">
        <w:tab/>
      </w:r>
      <w:r w:rsidR="00916D2B">
        <w:t>Results</w:t>
      </w:r>
      <w:bookmarkEnd w:id="84"/>
    </w:p>
    <w:p w14:paraId="6F9C985B" w14:textId="7575EAC5" w:rsidR="00D22B2D" w:rsidRDefault="000518F0" w:rsidP="00916D2B">
      <w:pPr>
        <w:pStyle w:val="NormalBeforeBullet"/>
      </w:pPr>
      <w:r>
        <w:t xml:space="preserve">Lin et al. (2019) reported on a retrospective cohort of patients with advanced NSCLC, treated at Zheijian Cancer Hospital </w:t>
      </w:r>
      <w:r w:rsidR="00C1733D">
        <w:t xml:space="preserve">in China </w:t>
      </w:r>
      <w:r>
        <w:t xml:space="preserve">between 2014 and 2017. </w:t>
      </w:r>
      <w:r w:rsidR="00C1733D">
        <w:t xml:space="preserve">A total of 55 patients were positive for </w:t>
      </w:r>
      <w:r w:rsidR="00C1733D">
        <w:rPr>
          <w:i/>
        </w:rPr>
        <w:t xml:space="preserve">ALK </w:t>
      </w:r>
      <w:r w:rsidR="00C1733D">
        <w:t xml:space="preserve">by at least one testing method (IHC, FISH and/or NGS), and of these, 40 received crizotinib. </w:t>
      </w:r>
    </w:p>
    <w:p w14:paraId="29E7E79C" w14:textId="0AE25A5B" w:rsidR="00916D2B" w:rsidRDefault="00077451" w:rsidP="00916D2B">
      <w:pPr>
        <w:pStyle w:val="NormalBeforeBullet"/>
      </w:pPr>
      <w:r>
        <w:t>The a</w:t>
      </w:r>
      <w:r w:rsidR="00C06DFC">
        <w:t>uthors</w:t>
      </w:r>
      <w:r w:rsidR="00C1733D">
        <w:t xml:space="preserve"> explored which </w:t>
      </w:r>
      <w:r w:rsidR="006217F9">
        <w:t xml:space="preserve">testing method separated those likely to respond to crizotinib most accurately. The difference between NGS </w:t>
      </w:r>
      <w:r w:rsidR="006217F9" w:rsidRPr="006217F9">
        <w:rPr>
          <w:i/>
        </w:rPr>
        <w:t>ALK</w:t>
      </w:r>
      <w:r w:rsidR="006217F9">
        <w:t xml:space="preserve">+ and </w:t>
      </w:r>
      <w:r w:rsidR="006217F9" w:rsidRPr="006217F9">
        <w:rPr>
          <w:i/>
        </w:rPr>
        <w:t>ALK</w:t>
      </w:r>
      <w:r w:rsidR="006217F9">
        <w:t>- was larger than either IHC or FISH (</w:t>
      </w:r>
      <w:r w:rsidR="006217F9">
        <w:fldChar w:fldCharType="begin"/>
      </w:r>
      <w:r w:rsidR="006217F9">
        <w:instrText xml:space="preserve"> REF _Ref106887938 \h </w:instrText>
      </w:r>
      <w:r w:rsidR="006217F9">
        <w:fldChar w:fldCharType="separate"/>
      </w:r>
      <w:r w:rsidR="00C857F3">
        <w:t xml:space="preserve">Table </w:t>
      </w:r>
      <w:r w:rsidR="00C857F3">
        <w:rPr>
          <w:noProof/>
        </w:rPr>
        <w:t>25</w:t>
      </w:r>
      <w:r w:rsidR="006217F9">
        <w:fldChar w:fldCharType="end"/>
      </w:r>
      <w:r w:rsidR="006217F9">
        <w:t xml:space="preserve">; </w:t>
      </w:r>
      <w:r w:rsidR="006217F9">
        <w:fldChar w:fldCharType="begin"/>
      </w:r>
      <w:r w:rsidR="006217F9">
        <w:instrText xml:space="preserve"> REF _Ref106888064 \h </w:instrText>
      </w:r>
      <w:r w:rsidR="006217F9">
        <w:fldChar w:fldCharType="separate"/>
      </w:r>
      <w:r w:rsidR="00C857F3" w:rsidRPr="00ED0320">
        <w:t xml:space="preserve">Figure </w:t>
      </w:r>
      <w:r w:rsidR="00C857F3">
        <w:rPr>
          <w:noProof/>
        </w:rPr>
        <w:t>8</w:t>
      </w:r>
      <w:r w:rsidR="006217F9">
        <w:fldChar w:fldCharType="end"/>
      </w:r>
      <w:r w:rsidR="005020FD">
        <w:t>). Given all the patients received crizotinib, it is unknown whether the differences in health outcomes were due to differences in response to the targeted drug</w:t>
      </w:r>
      <w:r w:rsidR="0094360D">
        <w:t xml:space="preserve"> (</w:t>
      </w:r>
      <w:r w:rsidR="00B86576">
        <w:t>i.e.,</w:t>
      </w:r>
      <w:r w:rsidR="0094360D">
        <w:t xml:space="preserve"> NGS was better at predicting which patients were likely to respond well to crizotinib than either IHC or FISH)</w:t>
      </w:r>
      <w:r w:rsidR="005020FD">
        <w:t>, or whether there were prognostic differences</w:t>
      </w:r>
      <w:r w:rsidR="0094360D">
        <w:t xml:space="preserve"> (</w:t>
      </w:r>
      <w:r w:rsidR="00B86576">
        <w:t>i.e.,</w:t>
      </w:r>
      <w:r w:rsidR="0094360D">
        <w:t xml:space="preserve"> NGS was better at predicting who would have good health outcomes regardless of the type of treatment given)</w:t>
      </w:r>
      <w:r w:rsidR="005020FD">
        <w:t xml:space="preserve">. </w:t>
      </w:r>
      <w:r w:rsidR="0094360D">
        <w:t xml:space="preserve">The study was also very small, and there was only a single study, so the results would be considered hypothesis-generating rather than conclusive. </w:t>
      </w:r>
      <w:r w:rsidR="00380685">
        <w:t xml:space="preserve">Furthermore, as the sample only includes those positive by at least one testing method, there is a risk that those classified as negative (by one or more methods) would not reflect the health outcomes of patients classified as negative by all testing methods. </w:t>
      </w:r>
    </w:p>
    <w:p w14:paraId="60E21439" w14:textId="5717DD9F" w:rsidR="00D17C81" w:rsidRDefault="00D17C81" w:rsidP="00D17C81">
      <w:pPr>
        <w:pStyle w:val="Caption"/>
      </w:pPr>
      <w:bookmarkStart w:id="85" w:name="_Ref106887938"/>
      <w:r>
        <w:t xml:space="preserve">Table </w:t>
      </w:r>
      <w:fldSimple w:instr=" SEQ Table \* ARABIC ">
        <w:r w:rsidR="00C857F3">
          <w:rPr>
            <w:noProof/>
          </w:rPr>
          <w:t>25</w:t>
        </w:r>
      </w:fldSimple>
      <w:bookmarkEnd w:id="85"/>
      <w:r>
        <w:tab/>
        <w:t>Response to crizotinib by NGS, IHC and FISH results</w:t>
      </w:r>
    </w:p>
    <w:tbl>
      <w:tblPr>
        <w:tblStyle w:val="TableGrid"/>
        <w:tblW w:w="0" w:type="auto"/>
        <w:tblLook w:val="04A0" w:firstRow="1" w:lastRow="0" w:firstColumn="1" w:lastColumn="0" w:noHBand="0" w:noVBand="1"/>
        <w:tblCaption w:val="Response to crizotinib by NGS, IHC and FISH results"/>
        <w:tblDescription w:val="Response to crizotinib by NGS, IHC and FISH results"/>
      </w:tblPr>
      <w:tblGrid>
        <w:gridCol w:w="1237"/>
        <w:gridCol w:w="1169"/>
        <w:gridCol w:w="991"/>
        <w:gridCol w:w="993"/>
        <w:gridCol w:w="992"/>
        <w:gridCol w:w="1003"/>
        <w:gridCol w:w="877"/>
        <w:gridCol w:w="877"/>
        <w:gridCol w:w="877"/>
      </w:tblGrid>
      <w:tr w:rsidR="00B46FCD" w14:paraId="7CD28876" w14:textId="0A296959" w:rsidTr="003A6029">
        <w:trPr>
          <w:trHeight w:val="653"/>
          <w:tblHeader/>
        </w:trPr>
        <w:tc>
          <w:tcPr>
            <w:tcW w:w="1237" w:type="dxa"/>
          </w:tcPr>
          <w:p w14:paraId="7174491B" w14:textId="77777777" w:rsidR="00B46FCD" w:rsidRDefault="00B46FCD" w:rsidP="00B46FCD">
            <w:pPr>
              <w:pStyle w:val="TableHeading"/>
            </w:pPr>
            <w:r>
              <w:t>Study</w:t>
            </w:r>
          </w:p>
        </w:tc>
        <w:tc>
          <w:tcPr>
            <w:tcW w:w="1169" w:type="dxa"/>
          </w:tcPr>
          <w:p w14:paraId="0BE1EA25" w14:textId="0F5C8183" w:rsidR="00B46FCD" w:rsidRDefault="00B46FCD" w:rsidP="00B46FCD">
            <w:pPr>
              <w:pStyle w:val="TableHeading"/>
            </w:pPr>
            <w:r>
              <w:t>Outcome measure</w:t>
            </w:r>
          </w:p>
        </w:tc>
        <w:tc>
          <w:tcPr>
            <w:tcW w:w="991" w:type="dxa"/>
          </w:tcPr>
          <w:p w14:paraId="15257FA1" w14:textId="20522F01" w:rsidR="00B46FCD" w:rsidRDefault="00B46FCD" w:rsidP="00B46FCD">
            <w:pPr>
              <w:pStyle w:val="TableHeading"/>
            </w:pPr>
            <w:r>
              <w:t xml:space="preserve">NGS </w:t>
            </w:r>
            <w:r w:rsidRPr="00B46FCD">
              <w:rPr>
                <w:i/>
              </w:rPr>
              <w:t>ALK</w:t>
            </w:r>
            <w:r>
              <w:t>+</w:t>
            </w:r>
          </w:p>
        </w:tc>
        <w:tc>
          <w:tcPr>
            <w:tcW w:w="993" w:type="dxa"/>
          </w:tcPr>
          <w:p w14:paraId="3A51CB8D" w14:textId="2C0B874B" w:rsidR="00B46FCD" w:rsidRDefault="00B46FCD" w:rsidP="00B46FCD">
            <w:pPr>
              <w:pStyle w:val="TableHeading"/>
            </w:pPr>
            <w:r>
              <w:t xml:space="preserve">IHC </w:t>
            </w:r>
            <w:r w:rsidRPr="00B46FCD">
              <w:rPr>
                <w:i/>
              </w:rPr>
              <w:t>ALK</w:t>
            </w:r>
            <w:r>
              <w:t>+</w:t>
            </w:r>
          </w:p>
        </w:tc>
        <w:tc>
          <w:tcPr>
            <w:tcW w:w="992" w:type="dxa"/>
          </w:tcPr>
          <w:p w14:paraId="5A9E0FD7" w14:textId="74AB6D67" w:rsidR="00B46FCD" w:rsidRDefault="00B46FCD" w:rsidP="00B46FCD">
            <w:pPr>
              <w:pStyle w:val="TableHeading"/>
            </w:pPr>
            <w:r>
              <w:t xml:space="preserve">FISH </w:t>
            </w:r>
            <w:r w:rsidRPr="00B46FCD">
              <w:rPr>
                <w:i/>
              </w:rPr>
              <w:t>ALK</w:t>
            </w:r>
            <w:r>
              <w:t>+</w:t>
            </w:r>
          </w:p>
        </w:tc>
        <w:tc>
          <w:tcPr>
            <w:tcW w:w="1003" w:type="dxa"/>
          </w:tcPr>
          <w:p w14:paraId="17837770" w14:textId="102171F7" w:rsidR="00B46FCD" w:rsidRDefault="00D17C81" w:rsidP="00B46FCD">
            <w:pPr>
              <w:pStyle w:val="TableHeading"/>
            </w:pPr>
            <w:r>
              <w:t>Triple</w:t>
            </w:r>
            <w:r w:rsidR="00B46FCD">
              <w:t xml:space="preserve"> ALK+</w:t>
            </w:r>
          </w:p>
        </w:tc>
        <w:tc>
          <w:tcPr>
            <w:tcW w:w="877" w:type="dxa"/>
          </w:tcPr>
          <w:p w14:paraId="56B86325" w14:textId="6E56EB08" w:rsidR="00B46FCD" w:rsidRDefault="00B46FCD" w:rsidP="00B46FCD">
            <w:pPr>
              <w:pStyle w:val="TableHeading"/>
            </w:pPr>
            <w:r>
              <w:t xml:space="preserve">NGS </w:t>
            </w:r>
            <w:r w:rsidRPr="00B46FCD">
              <w:rPr>
                <w:i/>
              </w:rPr>
              <w:t>ALK</w:t>
            </w:r>
            <w:r>
              <w:t>-</w:t>
            </w:r>
          </w:p>
        </w:tc>
        <w:tc>
          <w:tcPr>
            <w:tcW w:w="877" w:type="dxa"/>
          </w:tcPr>
          <w:p w14:paraId="21639E42" w14:textId="13B91042" w:rsidR="00B46FCD" w:rsidRDefault="00B46FCD" w:rsidP="00B46FCD">
            <w:pPr>
              <w:pStyle w:val="TableHeading"/>
            </w:pPr>
            <w:r>
              <w:t xml:space="preserve">IHC </w:t>
            </w:r>
            <w:r w:rsidRPr="00B46FCD">
              <w:rPr>
                <w:i/>
              </w:rPr>
              <w:t>ALK</w:t>
            </w:r>
            <w:r>
              <w:t>-</w:t>
            </w:r>
          </w:p>
        </w:tc>
        <w:tc>
          <w:tcPr>
            <w:tcW w:w="877" w:type="dxa"/>
          </w:tcPr>
          <w:p w14:paraId="71BB2C2F" w14:textId="2048D47A" w:rsidR="00B46FCD" w:rsidRDefault="00B46FCD" w:rsidP="00B46FCD">
            <w:pPr>
              <w:pStyle w:val="TableHeading"/>
            </w:pPr>
            <w:r>
              <w:t xml:space="preserve">FISH </w:t>
            </w:r>
            <w:r w:rsidRPr="00B46FCD">
              <w:rPr>
                <w:i/>
              </w:rPr>
              <w:t>ALK</w:t>
            </w:r>
            <w:r>
              <w:t>-</w:t>
            </w:r>
          </w:p>
        </w:tc>
      </w:tr>
      <w:tr w:rsidR="00B46FCD" w14:paraId="144A9FB8" w14:textId="2097C66B" w:rsidTr="00D17C81">
        <w:tc>
          <w:tcPr>
            <w:tcW w:w="1237" w:type="dxa"/>
            <w:vMerge w:val="restart"/>
          </w:tcPr>
          <w:p w14:paraId="08E18147" w14:textId="5837464E" w:rsidR="00B46FCD" w:rsidRPr="003A3CB0" w:rsidRDefault="00B4668F" w:rsidP="00B4668F">
            <w:pPr>
              <w:pStyle w:val="TableText"/>
            </w:pP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 </w:instrText>
            </w: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EN.CITE.DATA </w:instrText>
            </w:r>
            <w:r>
              <w:fldChar w:fldCharType="end"/>
            </w:r>
            <w:r>
              <w:fldChar w:fldCharType="separate"/>
            </w:r>
            <w:r>
              <w:rPr>
                <w:noProof/>
              </w:rPr>
              <w:t>(Lin, C et al. 2019)</w:t>
            </w:r>
            <w:r>
              <w:fldChar w:fldCharType="end"/>
            </w:r>
          </w:p>
        </w:tc>
        <w:tc>
          <w:tcPr>
            <w:tcW w:w="1169" w:type="dxa"/>
          </w:tcPr>
          <w:p w14:paraId="5B94589E" w14:textId="26B8DDA6" w:rsidR="00B46FCD" w:rsidRDefault="00B46FCD" w:rsidP="00B46FCD">
            <w:pPr>
              <w:pStyle w:val="TableText"/>
            </w:pPr>
            <w:r>
              <w:t>mPFS</w:t>
            </w:r>
          </w:p>
        </w:tc>
        <w:tc>
          <w:tcPr>
            <w:tcW w:w="991" w:type="dxa"/>
          </w:tcPr>
          <w:p w14:paraId="4E29261B" w14:textId="03525FF7" w:rsidR="00B46FCD" w:rsidRDefault="00B46FCD" w:rsidP="00B46FCD">
            <w:pPr>
              <w:pStyle w:val="TableText"/>
            </w:pPr>
            <w:r>
              <w:t>11.1m</w:t>
            </w:r>
          </w:p>
        </w:tc>
        <w:tc>
          <w:tcPr>
            <w:tcW w:w="993" w:type="dxa"/>
          </w:tcPr>
          <w:p w14:paraId="6F58F29F" w14:textId="6D436B6B" w:rsidR="00B46FCD" w:rsidRDefault="00B46FCD" w:rsidP="00B46FCD">
            <w:pPr>
              <w:pStyle w:val="TableText"/>
            </w:pPr>
            <w:r>
              <w:t>10.3m</w:t>
            </w:r>
          </w:p>
        </w:tc>
        <w:tc>
          <w:tcPr>
            <w:tcW w:w="992" w:type="dxa"/>
          </w:tcPr>
          <w:p w14:paraId="4260BD4A" w14:textId="2A12519D" w:rsidR="00B46FCD" w:rsidRDefault="00B46FCD" w:rsidP="00B46FCD">
            <w:pPr>
              <w:pStyle w:val="TableText"/>
            </w:pPr>
            <w:r>
              <w:t>8.8m</w:t>
            </w:r>
          </w:p>
        </w:tc>
        <w:tc>
          <w:tcPr>
            <w:tcW w:w="1003" w:type="dxa"/>
          </w:tcPr>
          <w:p w14:paraId="23FC8FA8" w14:textId="5AD24CAE" w:rsidR="00B46FCD" w:rsidRDefault="00D17C81" w:rsidP="00B46FCD">
            <w:pPr>
              <w:pStyle w:val="TableText"/>
            </w:pPr>
            <w:r>
              <w:t>8.3m</w:t>
            </w:r>
          </w:p>
        </w:tc>
        <w:tc>
          <w:tcPr>
            <w:tcW w:w="877" w:type="dxa"/>
          </w:tcPr>
          <w:p w14:paraId="0DC78A60" w14:textId="4C40169E" w:rsidR="00B46FCD" w:rsidRDefault="00D17C81" w:rsidP="00B46FCD">
            <w:pPr>
              <w:pStyle w:val="TableText"/>
            </w:pPr>
            <w:r>
              <w:t>4.6m</w:t>
            </w:r>
          </w:p>
        </w:tc>
        <w:tc>
          <w:tcPr>
            <w:tcW w:w="877" w:type="dxa"/>
          </w:tcPr>
          <w:p w14:paraId="5356C548" w14:textId="2071D5DD" w:rsidR="00B46FCD" w:rsidRDefault="00D17C81" w:rsidP="00B46FCD">
            <w:pPr>
              <w:pStyle w:val="TableText"/>
            </w:pPr>
            <w:r>
              <w:t>11.7m</w:t>
            </w:r>
          </w:p>
        </w:tc>
        <w:tc>
          <w:tcPr>
            <w:tcW w:w="877" w:type="dxa"/>
          </w:tcPr>
          <w:p w14:paraId="79A3C6AB" w14:textId="36F7C03C" w:rsidR="00B46FCD" w:rsidRDefault="00D17C81" w:rsidP="00B46FCD">
            <w:pPr>
              <w:pStyle w:val="TableText"/>
            </w:pPr>
            <w:r>
              <w:t>14.8m</w:t>
            </w:r>
          </w:p>
        </w:tc>
      </w:tr>
      <w:tr w:rsidR="00B46FCD" w14:paraId="028B9A87" w14:textId="77777777" w:rsidTr="00D17C81">
        <w:tc>
          <w:tcPr>
            <w:tcW w:w="1237" w:type="dxa"/>
            <w:vMerge/>
          </w:tcPr>
          <w:p w14:paraId="0E68A9D7" w14:textId="77777777" w:rsidR="00B46FCD" w:rsidRPr="000518F0" w:rsidRDefault="00B46FCD" w:rsidP="00B46FCD">
            <w:pPr>
              <w:pStyle w:val="TableText"/>
            </w:pPr>
          </w:p>
        </w:tc>
        <w:tc>
          <w:tcPr>
            <w:tcW w:w="1169" w:type="dxa"/>
          </w:tcPr>
          <w:p w14:paraId="60484E7B" w14:textId="732DCE2D" w:rsidR="00B46FCD" w:rsidRDefault="00B46FCD" w:rsidP="00B46FCD">
            <w:pPr>
              <w:pStyle w:val="TableText"/>
            </w:pPr>
            <w:r>
              <w:t>ORR</w:t>
            </w:r>
          </w:p>
        </w:tc>
        <w:tc>
          <w:tcPr>
            <w:tcW w:w="991" w:type="dxa"/>
          </w:tcPr>
          <w:p w14:paraId="50F7B96C" w14:textId="3DB774FB" w:rsidR="00B46FCD" w:rsidRDefault="00B46FCD" w:rsidP="00B46FCD">
            <w:pPr>
              <w:pStyle w:val="TableText"/>
            </w:pPr>
            <w:r>
              <w:t>75%</w:t>
            </w:r>
          </w:p>
        </w:tc>
        <w:tc>
          <w:tcPr>
            <w:tcW w:w="993" w:type="dxa"/>
          </w:tcPr>
          <w:p w14:paraId="4A913DEC" w14:textId="74993CBA" w:rsidR="00B46FCD" w:rsidRDefault="00B46FCD" w:rsidP="00B46FCD">
            <w:pPr>
              <w:pStyle w:val="TableText"/>
            </w:pPr>
            <w:r>
              <w:t>68.4%</w:t>
            </w:r>
          </w:p>
        </w:tc>
        <w:tc>
          <w:tcPr>
            <w:tcW w:w="992" w:type="dxa"/>
          </w:tcPr>
          <w:p w14:paraId="410170D5" w14:textId="0E2018A8" w:rsidR="00B46FCD" w:rsidRDefault="00B46FCD" w:rsidP="00B46FCD">
            <w:pPr>
              <w:pStyle w:val="TableText"/>
            </w:pPr>
            <w:r>
              <w:t>70.6%</w:t>
            </w:r>
          </w:p>
        </w:tc>
        <w:tc>
          <w:tcPr>
            <w:tcW w:w="1003" w:type="dxa"/>
          </w:tcPr>
          <w:p w14:paraId="7FA8AC65" w14:textId="43622CA7" w:rsidR="00B46FCD" w:rsidRDefault="00C51E4B" w:rsidP="00B46FCD">
            <w:pPr>
              <w:pStyle w:val="TableText"/>
            </w:pPr>
            <w:r>
              <w:t>68.8%</w:t>
            </w:r>
          </w:p>
        </w:tc>
        <w:tc>
          <w:tcPr>
            <w:tcW w:w="877" w:type="dxa"/>
          </w:tcPr>
          <w:p w14:paraId="6F527D02" w14:textId="01E3021B" w:rsidR="00B46FCD" w:rsidRDefault="00C51E4B" w:rsidP="00B46FCD">
            <w:pPr>
              <w:pStyle w:val="TableText"/>
            </w:pPr>
            <w:r>
              <w:t>25%</w:t>
            </w:r>
          </w:p>
        </w:tc>
        <w:tc>
          <w:tcPr>
            <w:tcW w:w="877" w:type="dxa"/>
          </w:tcPr>
          <w:p w14:paraId="4A92A991" w14:textId="10921586" w:rsidR="00B46FCD" w:rsidRDefault="00C51E4B" w:rsidP="00B46FCD">
            <w:pPr>
              <w:pStyle w:val="TableText"/>
            </w:pPr>
            <w:r>
              <w:t>100%</w:t>
            </w:r>
          </w:p>
        </w:tc>
        <w:tc>
          <w:tcPr>
            <w:tcW w:w="877" w:type="dxa"/>
          </w:tcPr>
          <w:p w14:paraId="777FF29E" w14:textId="44280CD9" w:rsidR="00B46FCD" w:rsidRDefault="00C51E4B" w:rsidP="00B46FCD">
            <w:pPr>
              <w:pStyle w:val="TableText"/>
            </w:pPr>
            <w:r>
              <w:t>75%</w:t>
            </w:r>
          </w:p>
        </w:tc>
      </w:tr>
      <w:tr w:rsidR="00B46FCD" w14:paraId="5BCA6409" w14:textId="77777777" w:rsidTr="00D17C81">
        <w:tc>
          <w:tcPr>
            <w:tcW w:w="1237" w:type="dxa"/>
            <w:vMerge/>
          </w:tcPr>
          <w:p w14:paraId="5DC05E57" w14:textId="77777777" w:rsidR="00B46FCD" w:rsidRPr="000518F0" w:rsidRDefault="00B46FCD" w:rsidP="00B46FCD">
            <w:pPr>
              <w:pStyle w:val="TableText"/>
            </w:pPr>
          </w:p>
        </w:tc>
        <w:tc>
          <w:tcPr>
            <w:tcW w:w="1169" w:type="dxa"/>
          </w:tcPr>
          <w:p w14:paraId="37F00AF2" w14:textId="71474AF0" w:rsidR="00B46FCD" w:rsidRDefault="00B46FCD" w:rsidP="00B46FCD">
            <w:pPr>
              <w:pStyle w:val="TableText"/>
            </w:pPr>
            <w:r>
              <w:t>DCR</w:t>
            </w:r>
          </w:p>
        </w:tc>
        <w:tc>
          <w:tcPr>
            <w:tcW w:w="991" w:type="dxa"/>
          </w:tcPr>
          <w:p w14:paraId="0EE0A981" w14:textId="7E57DB68" w:rsidR="00B46FCD" w:rsidRDefault="00B46FCD" w:rsidP="00B46FCD">
            <w:pPr>
              <w:pStyle w:val="TableText"/>
            </w:pPr>
            <w:r>
              <w:t>97.2%</w:t>
            </w:r>
          </w:p>
        </w:tc>
        <w:tc>
          <w:tcPr>
            <w:tcW w:w="993" w:type="dxa"/>
          </w:tcPr>
          <w:p w14:paraId="5BD36732" w14:textId="6ED894AC" w:rsidR="00B46FCD" w:rsidRDefault="00B46FCD" w:rsidP="00B46FCD">
            <w:pPr>
              <w:pStyle w:val="TableText"/>
            </w:pPr>
            <w:r>
              <w:t>94.7%</w:t>
            </w:r>
          </w:p>
        </w:tc>
        <w:tc>
          <w:tcPr>
            <w:tcW w:w="992" w:type="dxa"/>
          </w:tcPr>
          <w:p w14:paraId="582ABEE2" w14:textId="0C9E8C01" w:rsidR="00B46FCD" w:rsidRDefault="00B46FCD" w:rsidP="00B46FCD">
            <w:pPr>
              <w:pStyle w:val="TableText"/>
            </w:pPr>
            <w:r>
              <w:t>94.1%</w:t>
            </w:r>
          </w:p>
        </w:tc>
        <w:tc>
          <w:tcPr>
            <w:tcW w:w="1003" w:type="dxa"/>
          </w:tcPr>
          <w:p w14:paraId="367A18FA" w14:textId="1DE4E93A" w:rsidR="00B46FCD" w:rsidRDefault="00D17C81" w:rsidP="00B46FCD">
            <w:pPr>
              <w:pStyle w:val="TableText"/>
            </w:pPr>
            <w:r>
              <w:t>81.3%</w:t>
            </w:r>
          </w:p>
        </w:tc>
        <w:tc>
          <w:tcPr>
            <w:tcW w:w="877" w:type="dxa"/>
          </w:tcPr>
          <w:p w14:paraId="7AE9B625" w14:textId="50E452E4" w:rsidR="00B46FCD" w:rsidRDefault="00C51E4B" w:rsidP="00B46FCD">
            <w:pPr>
              <w:pStyle w:val="TableText"/>
            </w:pPr>
            <w:r>
              <w:t>50%</w:t>
            </w:r>
          </w:p>
        </w:tc>
        <w:tc>
          <w:tcPr>
            <w:tcW w:w="877" w:type="dxa"/>
          </w:tcPr>
          <w:p w14:paraId="72FDA5AB" w14:textId="43290662" w:rsidR="00B46FCD" w:rsidRDefault="00C51E4B" w:rsidP="00B46FCD">
            <w:pPr>
              <w:pStyle w:val="TableText"/>
            </w:pPr>
            <w:r>
              <w:t>100%</w:t>
            </w:r>
          </w:p>
        </w:tc>
        <w:tc>
          <w:tcPr>
            <w:tcW w:w="877" w:type="dxa"/>
          </w:tcPr>
          <w:p w14:paraId="07C9979F" w14:textId="7E7CDF51" w:rsidR="00B46FCD" w:rsidRDefault="00C51E4B" w:rsidP="00B46FCD">
            <w:pPr>
              <w:pStyle w:val="TableText"/>
            </w:pPr>
            <w:r>
              <w:t>100%</w:t>
            </w:r>
          </w:p>
        </w:tc>
      </w:tr>
    </w:tbl>
    <w:p w14:paraId="5F320845" w14:textId="7B9ABAB0" w:rsidR="00D17C81" w:rsidRDefault="008F456E" w:rsidP="00D17C81">
      <w:pPr>
        <w:pStyle w:val="Tablenotes"/>
      </w:pPr>
      <w:r w:rsidRPr="007C7AB1">
        <w:rPr>
          <w:i/>
        </w:rPr>
        <w:t>ALK</w:t>
      </w:r>
      <w:r>
        <w:t xml:space="preserve"> = </w:t>
      </w:r>
      <w:r w:rsidRPr="00561C5F">
        <w:t>anaplastic lymphoma kinase</w:t>
      </w:r>
      <w:r>
        <w:t xml:space="preserve">; </w:t>
      </w:r>
      <w:r w:rsidR="00D17C81">
        <w:t xml:space="preserve">DCR = disease control rate; FISH = fluorescent </w:t>
      </w:r>
      <w:r w:rsidR="00D17C81" w:rsidRPr="00956452">
        <w:rPr>
          <w:i/>
        </w:rPr>
        <w:t>in situ</w:t>
      </w:r>
      <w:r w:rsidR="00D17C81">
        <w:t xml:space="preserve"> hybridisation; IHC = immunohistochemistry; NGS = next generation sequencing; ORR = overall response rate; </w:t>
      </w:r>
      <w:r w:rsidR="00E95F73">
        <w:t>m</w:t>
      </w:r>
      <w:r w:rsidR="00D17C81">
        <w:t xml:space="preserve">PFS = </w:t>
      </w:r>
      <w:r w:rsidR="00E95F73">
        <w:t xml:space="preserve">median </w:t>
      </w:r>
      <w:r w:rsidR="00D17C81">
        <w:t>progression free survival</w:t>
      </w:r>
      <w:r w:rsidR="00E95F73">
        <w:t xml:space="preserve"> (months)</w:t>
      </w:r>
    </w:p>
    <w:p w14:paraId="5E6FD865" w14:textId="01DA9D24" w:rsidR="006217F9" w:rsidRPr="00916D2B" w:rsidRDefault="006217F9" w:rsidP="00D17C81">
      <w:pPr>
        <w:pStyle w:val="Tablenotes"/>
      </w:pPr>
      <w:r>
        <w:t xml:space="preserve">NB: those ALK- on one testing method had to have discordant results and be ALK+ on at least one other method. </w:t>
      </w:r>
    </w:p>
    <w:p w14:paraId="75B83A44" w14:textId="77777777" w:rsidR="00C1733D" w:rsidRPr="00C1733D" w:rsidRDefault="00C1733D" w:rsidP="00916D2B">
      <w:pPr>
        <w:pStyle w:val="NormalBeforeBullet"/>
      </w:pPr>
    </w:p>
    <w:p w14:paraId="0410C4E0" w14:textId="77777777" w:rsidR="00916D2B" w:rsidRPr="00ED0320" w:rsidRDefault="00916D2B" w:rsidP="00916D2B">
      <w:pPr>
        <w:pStyle w:val="NormalBeforeBullet"/>
        <w:keepNext/>
      </w:pPr>
      <w:r w:rsidRPr="00ED0320">
        <w:rPr>
          <w:noProof/>
          <w:lang w:eastAsia="en-AU"/>
        </w:rPr>
        <w:lastRenderedPageBreak/>
        <w:drawing>
          <wp:inline distT="0" distB="0" distL="0" distR="0" wp14:anchorId="14BC3BBE" wp14:editId="3D4ABE79">
            <wp:extent cx="5648325" cy="3151505"/>
            <wp:effectExtent l="0" t="0" r="9525" b="0"/>
            <wp:docPr id="2" name="Picture 2" descr="Comparison of clinical efficacy between ALK+ and ALK- patients by FISH, IHC and NGS" title="Comparison of clinical efficacy between ALK+ and ALK- patients by FISH, IHC and 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451"/>
                    <a:stretch/>
                  </pic:blipFill>
                  <pic:spPr bwMode="auto">
                    <a:xfrm>
                      <a:off x="0" y="0"/>
                      <a:ext cx="5648325" cy="3151505"/>
                    </a:xfrm>
                    <a:prstGeom prst="rect">
                      <a:avLst/>
                    </a:prstGeom>
                    <a:ln>
                      <a:noFill/>
                    </a:ln>
                    <a:extLst>
                      <a:ext uri="{53640926-AAD7-44D8-BBD7-CCE9431645EC}">
                        <a14:shadowObscured xmlns:a14="http://schemas.microsoft.com/office/drawing/2010/main"/>
                      </a:ext>
                    </a:extLst>
                  </pic:spPr>
                </pic:pic>
              </a:graphicData>
            </a:graphic>
          </wp:inline>
        </w:drawing>
      </w:r>
    </w:p>
    <w:p w14:paraId="252C7880" w14:textId="1A42D028" w:rsidR="00914BEC" w:rsidRDefault="00916D2B" w:rsidP="00916D2B">
      <w:pPr>
        <w:pStyle w:val="Caption"/>
      </w:pPr>
      <w:bookmarkStart w:id="86" w:name="_Ref106888064"/>
      <w:bookmarkStart w:id="87" w:name="_Ref106888056"/>
      <w:r w:rsidRPr="00ED0320">
        <w:t xml:space="preserve">Figure </w:t>
      </w:r>
      <w:fldSimple w:instr=" SEQ Figure \* ARABIC ">
        <w:r w:rsidR="00C857F3">
          <w:rPr>
            <w:noProof/>
          </w:rPr>
          <w:t>8</w:t>
        </w:r>
      </w:fldSimple>
      <w:bookmarkEnd w:id="86"/>
      <w:r w:rsidRPr="00ED0320">
        <w:tab/>
        <w:t>Comparison of clinical efficacy between ALK+ and ALK- patients by FISH, IHC and NGS</w:t>
      </w:r>
      <w:bookmarkEnd w:id="87"/>
    </w:p>
    <w:p w14:paraId="2C5E7174" w14:textId="77777777" w:rsidR="0093312A" w:rsidRDefault="0093312A" w:rsidP="0093312A">
      <w:pPr>
        <w:pStyle w:val="Tablenotes"/>
      </w:pPr>
      <w:r>
        <w:t xml:space="preserve">Source: </w:t>
      </w: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 </w:instrText>
      </w: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EN.CITE.DATA </w:instrText>
      </w:r>
      <w:r>
        <w:fldChar w:fldCharType="end"/>
      </w:r>
      <w:r>
        <w:fldChar w:fldCharType="separate"/>
      </w:r>
      <w:r>
        <w:rPr>
          <w:noProof/>
        </w:rPr>
        <w:t>(Lin, C et al. 2019)</w:t>
      </w:r>
      <w:r>
        <w:fldChar w:fldCharType="end"/>
      </w:r>
      <w:r>
        <w:t xml:space="preserve"> Reprinted from Lung Cancer, volume 131, Lin, C et al. “Comparison of ALK detection by FISH, IHC and NGS to predict benefit from crizotinib in advanced non-small-cell lung cancer”, p65, Copyright (2019), with permission from Elsevier</w:t>
      </w:r>
    </w:p>
    <w:p w14:paraId="3E333A38" w14:textId="77777777" w:rsidR="0093312A" w:rsidRDefault="0093312A" w:rsidP="0093312A">
      <w:pPr>
        <w:pStyle w:val="Tablenotes"/>
      </w:pPr>
      <w:r>
        <w:t xml:space="preserve">DCR = disease control rate; FISH = fluorescent </w:t>
      </w:r>
      <w:r w:rsidRPr="00956452">
        <w:rPr>
          <w:i/>
        </w:rPr>
        <w:t>in situ</w:t>
      </w:r>
      <w:r>
        <w:t xml:space="preserve"> hybridisation; IHC = immunohistochemistry; mPFS = mean progression free survival; ORR = overall response rate; *p&lt;0.05</w:t>
      </w:r>
    </w:p>
    <w:p w14:paraId="1B7665CD" w14:textId="5543A318" w:rsidR="003F66FA" w:rsidRDefault="003F66FA" w:rsidP="00916D2B">
      <w:pPr>
        <w:pStyle w:val="Tablenotes"/>
      </w:pPr>
    </w:p>
    <w:p w14:paraId="06EF0439" w14:textId="5985B718" w:rsidR="003F66FA" w:rsidRPr="00CE28E3" w:rsidRDefault="003F66FA" w:rsidP="003F66FA">
      <w:pPr>
        <w:pStyle w:val="TableHeading"/>
        <w:ind w:left="4"/>
        <w:rPr>
          <w:rFonts w:ascii="Cambria Math" w:hAnsi="Cambria Math" w:cs="Cambria Math"/>
          <w:b w:val="0"/>
          <w:color w:val="C00000"/>
        </w:rPr>
      </w:pPr>
      <w:r w:rsidRPr="003F66FA">
        <w:rPr>
          <w:rFonts w:ascii="Franklin Gothic Book" w:hAnsi="Franklin Gothic Book"/>
          <w:b w:val="0"/>
          <w:sz w:val="22"/>
        </w:rPr>
        <w:t>The certainty of the evidence is low, as it was an observational study with a moderate to high risk of bias, with a population which represents only a small p</w:t>
      </w:r>
      <w:r>
        <w:rPr>
          <w:rFonts w:ascii="Franklin Gothic Book" w:hAnsi="Franklin Gothic Book"/>
          <w:b w:val="0"/>
          <w:sz w:val="22"/>
        </w:rPr>
        <w:t>ercentage</w:t>
      </w:r>
      <w:r w:rsidRPr="003F66FA">
        <w:rPr>
          <w:rFonts w:ascii="Franklin Gothic Book" w:hAnsi="Franklin Gothic Book"/>
          <w:b w:val="0"/>
          <w:sz w:val="22"/>
        </w:rPr>
        <w:t xml:space="preserve"> of the target population (</w:t>
      </w:r>
      <w:r w:rsidR="0090004A" w:rsidRPr="003F66FA">
        <w:rPr>
          <w:rFonts w:ascii="Franklin Gothic Book" w:hAnsi="Franklin Gothic Book"/>
          <w:b w:val="0"/>
          <w:sz w:val="22"/>
        </w:rPr>
        <w:t>i.e.,</w:t>
      </w:r>
      <w:r w:rsidRPr="003F66FA">
        <w:rPr>
          <w:rFonts w:ascii="Franklin Gothic Book" w:hAnsi="Franklin Gothic Book"/>
          <w:b w:val="0"/>
          <w:sz w:val="22"/>
        </w:rPr>
        <w:t xml:space="preserve"> only those positive for ALK rearrangements by at least one method</w:t>
      </w:r>
      <w:r>
        <w:rPr>
          <w:rFonts w:ascii="Franklin Gothic Book" w:hAnsi="Franklin Gothic Book"/>
          <w:b w:val="0"/>
          <w:sz w:val="22"/>
        </w:rPr>
        <w:t>, rather than all those with NSCLC who are tested for biomarkers</w:t>
      </w:r>
      <w:r w:rsidRPr="003F66FA">
        <w:rPr>
          <w:rFonts w:ascii="Franklin Gothic Book" w:hAnsi="Franklin Gothic Book"/>
          <w:b w:val="0"/>
          <w:sz w:val="22"/>
        </w:rPr>
        <w:t>) (GRADE</w:t>
      </w:r>
      <w:r>
        <w:rPr>
          <w:rFonts w:ascii="Franklin Gothic Book" w:hAnsi="Franklin Gothic Book"/>
          <w:sz w:val="22"/>
        </w:rPr>
        <w:t xml:space="preserve"> </w:t>
      </w:r>
      <w:r w:rsidRPr="00CE28E3">
        <w:rPr>
          <w:rFonts w:ascii="Cambria Math" w:hAnsi="Cambria Math" w:cs="Cambria Math"/>
          <w:b w:val="0"/>
          <w:color w:val="00B050"/>
        </w:rPr>
        <w:t>⊕</w:t>
      </w:r>
      <w:r w:rsidRPr="00CE28E3">
        <w:rPr>
          <w:rFonts w:ascii="Cambria Math" w:hAnsi="Cambria Math" w:cs="Cambria Math"/>
          <w:b w:val="0"/>
          <w:color w:val="C00000"/>
        </w:rPr>
        <w:t>⊝⊝⊝</w:t>
      </w:r>
      <w:r w:rsidRPr="003F66FA">
        <w:rPr>
          <w:rFonts w:ascii="Cambria Math" w:hAnsi="Cambria Math" w:cs="Cambria Math"/>
          <w:b w:val="0"/>
        </w:rPr>
        <w:t>)</w:t>
      </w:r>
      <w:r>
        <w:rPr>
          <w:rFonts w:ascii="Cambria Math" w:hAnsi="Cambria Math" w:cs="Cambria Math"/>
          <w:b w:val="0"/>
        </w:rPr>
        <w:t xml:space="preserve">. </w:t>
      </w:r>
    </w:p>
    <w:p w14:paraId="1ED4A391" w14:textId="55295DF7" w:rsidR="003F66FA" w:rsidRPr="003F66FA" w:rsidRDefault="003F66FA" w:rsidP="00916D2B">
      <w:pPr>
        <w:pStyle w:val="Tablenotes"/>
        <w:rPr>
          <w:rFonts w:ascii="Franklin Gothic Book" w:eastAsiaTheme="minorHAnsi" w:hAnsi="Franklin Gothic Book" w:cstheme="minorBidi"/>
          <w:snapToGrid/>
          <w:sz w:val="22"/>
          <w:szCs w:val="22"/>
        </w:rPr>
      </w:pPr>
    </w:p>
    <w:p w14:paraId="72E40E39" w14:textId="527CBD34" w:rsidR="000709A0" w:rsidRPr="00CE28E3" w:rsidRDefault="00400BC7" w:rsidP="00674C7D">
      <w:pPr>
        <w:pStyle w:val="Heading2"/>
        <w:numPr>
          <w:ilvl w:val="0"/>
          <w:numId w:val="0"/>
        </w:numPr>
      </w:pPr>
      <w:bookmarkStart w:id="88" w:name="_Toc148531150"/>
      <w:r>
        <w:t>2</w:t>
      </w:r>
      <w:r w:rsidR="00930F4E" w:rsidRPr="00CE28E3">
        <w:t>.2</w:t>
      </w:r>
      <w:r w:rsidR="00660A74" w:rsidRPr="00CE28E3">
        <w:tab/>
      </w:r>
      <w:r w:rsidR="000709A0" w:rsidRPr="00CE28E3">
        <w:t xml:space="preserve">Linked evidence </w:t>
      </w:r>
      <w:r w:rsidR="00001AE6" w:rsidRPr="00CE28E3">
        <w:t>of</w:t>
      </w:r>
      <w:r w:rsidR="000709A0" w:rsidRPr="00CE28E3">
        <w:t xml:space="preserve"> test </w:t>
      </w:r>
      <w:r w:rsidR="007A46BF">
        <w:t>performance</w:t>
      </w:r>
      <w:bookmarkEnd w:id="88"/>
    </w:p>
    <w:p w14:paraId="4CC79631" w14:textId="7FB7DB47" w:rsidR="005F2978" w:rsidRPr="00CE28E3" w:rsidRDefault="005F2978" w:rsidP="006D75C8">
      <w:pPr>
        <w:spacing w:after="600"/>
      </w:pPr>
      <w:r>
        <w:rPr>
          <w:noProof/>
          <w:lang w:eastAsia="en-AU"/>
        </w:rPr>
        <w:drawing>
          <wp:inline distT="0" distB="0" distL="0" distR="0" wp14:anchorId="4B643026" wp14:editId="216BEF59">
            <wp:extent cx="5727700" cy="1574800"/>
            <wp:effectExtent l="0" t="0" r="0" b="0"/>
            <wp:docPr id="10" name="Picture 10" descr="Unnumbered figure. Diagrammatic representation of steps and links between test population and health outcomes (modification of framework in figure 2). Shows link (labelled testing) between test population and test results information. All other steps and links are grey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numbered figure. Diagrammatic representation of steps and links between test population and health outcomes (modification of figure 2). Shows link (labelled testing) between test population and test results information. All other steps and links are greyed out.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587387C7" w14:textId="59C7A483" w:rsidR="00660A74" w:rsidRPr="00CE28E3" w:rsidRDefault="00400BC7" w:rsidP="00674C7D">
      <w:pPr>
        <w:pStyle w:val="Heading3"/>
      </w:pPr>
      <w:bookmarkStart w:id="89" w:name="_Toc148531151"/>
      <w:r>
        <w:t>2</w:t>
      </w:r>
      <w:r w:rsidR="00660A74" w:rsidRPr="00CE28E3">
        <w:t>.</w:t>
      </w:r>
      <w:r w:rsidR="00930F4E" w:rsidRPr="00CE28E3">
        <w:t>2.</w:t>
      </w:r>
      <w:r w:rsidR="00660A74" w:rsidRPr="00CE28E3">
        <w:t>1</w:t>
      </w:r>
      <w:r w:rsidR="00660A74" w:rsidRPr="00CE28E3">
        <w:tab/>
        <w:t>Methods for undertaking the assessment</w:t>
      </w:r>
      <w:bookmarkEnd w:id="89"/>
    </w:p>
    <w:p w14:paraId="56A6DB93" w14:textId="7E514E95" w:rsidR="00DE0108" w:rsidRDefault="00136ADA" w:rsidP="00B151CF">
      <w:pPr>
        <w:pStyle w:val="Instructionaltext"/>
        <w:rPr>
          <w:color w:val="auto"/>
        </w:rPr>
      </w:pPr>
      <w:r w:rsidRPr="00136ADA">
        <w:rPr>
          <w:color w:val="auto"/>
        </w:rPr>
        <w:t xml:space="preserve">The overarching methods for the systematic review have been summarised in Section </w:t>
      </w:r>
      <w:r w:rsidR="00400BC7">
        <w:rPr>
          <w:color w:val="auto"/>
        </w:rPr>
        <w:t>2</w:t>
      </w:r>
      <w:r w:rsidRPr="00136ADA">
        <w:rPr>
          <w:color w:val="auto"/>
        </w:rPr>
        <w:t xml:space="preserve">. </w:t>
      </w:r>
      <w:r w:rsidR="00DE0108">
        <w:rPr>
          <w:color w:val="auto"/>
        </w:rPr>
        <w:t xml:space="preserve">As per the PICO criteria, studies were included in section </w:t>
      </w:r>
      <w:r w:rsidR="00400BC7">
        <w:rPr>
          <w:color w:val="auto"/>
        </w:rPr>
        <w:t>2</w:t>
      </w:r>
      <w:r w:rsidR="00DE0108">
        <w:rPr>
          <w:color w:val="auto"/>
        </w:rPr>
        <w:t>.2 if they assessed the following outcomes:</w:t>
      </w:r>
    </w:p>
    <w:p w14:paraId="055449EC" w14:textId="38040A38" w:rsidR="00DE0108" w:rsidRPr="00DE0108" w:rsidRDefault="00DE0108" w:rsidP="00B649D2">
      <w:pPr>
        <w:pStyle w:val="TableText"/>
        <w:numPr>
          <w:ilvl w:val="0"/>
          <w:numId w:val="23"/>
        </w:numPr>
      </w:pPr>
      <w:r>
        <w:t>Test failure rate / inadequate sample rate (</w:t>
      </w:r>
      <w:r w:rsidR="0090004A">
        <w:t>e.g.,</w:t>
      </w:r>
      <w:r>
        <w:t xml:space="preserve"> from an inadequate cytological specimen)</w:t>
      </w:r>
    </w:p>
    <w:p w14:paraId="1EA63738" w14:textId="73B1A16A" w:rsidR="00DE0108" w:rsidRDefault="00DE0108" w:rsidP="00B649D2">
      <w:pPr>
        <w:pStyle w:val="TableText"/>
        <w:numPr>
          <w:ilvl w:val="0"/>
          <w:numId w:val="23"/>
        </w:numPr>
      </w:pPr>
      <w:r>
        <w:lastRenderedPageBreak/>
        <w:t>Concordance between DNA/RNA assays and comparator biomarker assays</w:t>
      </w:r>
    </w:p>
    <w:p w14:paraId="4EF0F9A1" w14:textId="13E04AE7" w:rsidR="00DE0108" w:rsidRDefault="00DE0108" w:rsidP="00B649D2">
      <w:pPr>
        <w:pStyle w:val="TableText"/>
        <w:numPr>
          <w:ilvl w:val="0"/>
          <w:numId w:val="23"/>
        </w:numPr>
      </w:pPr>
      <w:r>
        <w:t>Positive percent agreement and negative percent agreement of DNA/RNA assays against the clinical utility standards</w:t>
      </w:r>
    </w:p>
    <w:p w14:paraId="0DA572B4" w14:textId="77777777" w:rsidR="00DE0108" w:rsidRDefault="00DE0108" w:rsidP="00B649D2">
      <w:pPr>
        <w:pStyle w:val="TableText"/>
        <w:numPr>
          <w:ilvl w:val="0"/>
          <w:numId w:val="23"/>
        </w:numPr>
      </w:pPr>
      <w:r>
        <w:t>Positive predictive value and negative predictive value of DNA/RNA assays against the clinical utility standards</w:t>
      </w:r>
    </w:p>
    <w:p w14:paraId="45F696E8" w14:textId="77777777" w:rsidR="00DE0108" w:rsidRDefault="00DE0108" w:rsidP="00B649D2">
      <w:pPr>
        <w:pStyle w:val="TableText"/>
        <w:numPr>
          <w:ilvl w:val="0"/>
          <w:numId w:val="23"/>
        </w:numPr>
      </w:pPr>
      <w:r>
        <w:t>Test turnaround time</w:t>
      </w:r>
    </w:p>
    <w:p w14:paraId="74C63F0F" w14:textId="0B09AA62" w:rsidR="00727A58" w:rsidRDefault="00727A58" w:rsidP="00B151CF">
      <w:pPr>
        <w:pStyle w:val="Instructionaltext"/>
        <w:rPr>
          <w:color w:val="auto"/>
        </w:rPr>
      </w:pPr>
      <w:r>
        <w:rPr>
          <w:color w:val="auto"/>
        </w:rPr>
        <w:t xml:space="preserve">Additional outcomes of comparative yield, and the frequency of concurrent variants being identified were also added to the review. </w:t>
      </w:r>
    </w:p>
    <w:p w14:paraId="2F00F39E" w14:textId="37008F15" w:rsidR="00136ADA" w:rsidRPr="00136ADA" w:rsidRDefault="00136ADA" w:rsidP="00B151CF">
      <w:pPr>
        <w:pStyle w:val="Instructionaltext"/>
        <w:rPr>
          <w:color w:val="auto"/>
        </w:rPr>
      </w:pPr>
      <w:r w:rsidRPr="00136ADA">
        <w:rPr>
          <w:color w:val="auto"/>
        </w:rPr>
        <w:t xml:space="preserve">For </w:t>
      </w:r>
      <w:r w:rsidR="00F86E32">
        <w:rPr>
          <w:color w:val="auto"/>
        </w:rPr>
        <w:t>the comparison of</w:t>
      </w:r>
      <w:r w:rsidRPr="00136ADA">
        <w:rPr>
          <w:color w:val="auto"/>
        </w:rPr>
        <w:t xml:space="preserve"> test performance of NGS and sequential single-gene testing, only comparative studies were included</w:t>
      </w:r>
      <w:r w:rsidR="00F86E32">
        <w:rPr>
          <w:color w:val="auto"/>
        </w:rPr>
        <w:t>, as single-arm studies would not have increased the certainty of the evidence</w:t>
      </w:r>
      <w:r w:rsidRPr="00136ADA">
        <w:rPr>
          <w:color w:val="auto"/>
        </w:rPr>
        <w:t xml:space="preserve">. </w:t>
      </w:r>
      <w:r w:rsidR="007E0526">
        <w:rPr>
          <w:color w:val="auto"/>
        </w:rPr>
        <w:t xml:space="preserve">This restriction also applied to the outcome of “identification of concurrent variants” for pragmatic reasons, despite comparative data not being available for this outcome. </w:t>
      </w:r>
      <w:r w:rsidR="00914BEC">
        <w:rPr>
          <w:color w:val="auto"/>
        </w:rPr>
        <w:t xml:space="preserve">For positive percent agreement and negative percent agreement, only studies which provided 2x2 data </w:t>
      </w:r>
      <w:r w:rsidR="007E0526">
        <w:rPr>
          <w:color w:val="auto"/>
        </w:rPr>
        <w:t xml:space="preserve">were </w:t>
      </w:r>
      <w:r w:rsidR="00914BEC">
        <w:rPr>
          <w:color w:val="auto"/>
        </w:rPr>
        <w:t xml:space="preserve">included. </w:t>
      </w:r>
    </w:p>
    <w:p w14:paraId="6E98595C" w14:textId="1A3E02F0" w:rsidR="00FD3B94" w:rsidRDefault="00400BC7" w:rsidP="00674C7D">
      <w:pPr>
        <w:pStyle w:val="Heading3"/>
      </w:pPr>
      <w:bookmarkStart w:id="90" w:name="_Toc148531152"/>
      <w:r>
        <w:t>2</w:t>
      </w:r>
      <w:r w:rsidR="00FD3B94" w:rsidRPr="00CE28E3">
        <w:t>.</w:t>
      </w:r>
      <w:r w:rsidR="00930F4E" w:rsidRPr="00CE28E3">
        <w:t>2.</w:t>
      </w:r>
      <w:r w:rsidR="00FD3B94" w:rsidRPr="00CE28E3">
        <w:t>2</w:t>
      </w:r>
      <w:r w:rsidR="00FD3B94" w:rsidRPr="00CE28E3">
        <w:tab/>
      </w:r>
      <w:r w:rsidR="000159DF">
        <w:t>C</w:t>
      </w:r>
      <w:r w:rsidR="004B2F45" w:rsidRPr="00CE28E3">
        <w:t>linical utility standard</w:t>
      </w:r>
      <w:bookmarkEnd w:id="90"/>
    </w:p>
    <w:p w14:paraId="6E7C5B3A" w14:textId="72FA4930" w:rsidR="00136ADA" w:rsidRPr="00136ADA" w:rsidRDefault="00136ADA" w:rsidP="00136ADA">
      <w:r>
        <w:t xml:space="preserve">There are multiple targeted drugs available for patients with NSCLC, available through the PBS. Each time a codependent application was put in for funding of a new MSAC test to determine eligibility for a PBS-listed drug, the type of test used in the key trial, is called the ‘clinical utility standard’. </w:t>
      </w:r>
      <w:r w:rsidR="008B3B11">
        <w:t xml:space="preserve">The clinical utility standard is defined, so that any other tests which could potentially be used using the same MBS item are compared against the clinical utility standard. The clinical utility standards relevant to this application are listed below. </w:t>
      </w:r>
    </w:p>
    <w:p w14:paraId="5F60F6C6" w14:textId="0CA0F80D" w:rsidR="00242F4E" w:rsidRPr="00CE28E3" w:rsidRDefault="00242F4E" w:rsidP="006B3032">
      <w:pPr>
        <w:pStyle w:val="Caption"/>
        <w:rPr>
          <w:snapToGrid w:val="0"/>
        </w:rPr>
      </w:pPr>
      <w:bookmarkStart w:id="91" w:name="_Ref46131640"/>
      <w:r w:rsidRPr="00CE28E3">
        <w:t>Table</w:t>
      </w:r>
      <w:r w:rsidR="00812282">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26</w:t>
      </w:r>
      <w:r w:rsidRPr="00CE28E3">
        <w:rPr>
          <w:noProof/>
        </w:rPr>
        <w:fldChar w:fldCharType="end"/>
      </w:r>
      <w:bookmarkEnd w:id="91"/>
      <w:r w:rsidRPr="00CE28E3">
        <w:tab/>
      </w:r>
      <w:r w:rsidR="008B3B11">
        <w:rPr>
          <w:snapToGrid w:val="0"/>
        </w:rPr>
        <w:t>Clinical utility standards for tests to determine eligibility for targeted drugs for NSCLC</w:t>
      </w:r>
    </w:p>
    <w:tbl>
      <w:tblPr>
        <w:tblStyle w:val="TableGrid1"/>
        <w:tblW w:w="5000" w:type="pct"/>
        <w:tblCellMar>
          <w:left w:w="28" w:type="dxa"/>
          <w:right w:w="28" w:type="dxa"/>
        </w:tblCellMar>
        <w:tblLook w:val="04A0" w:firstRow="1" w:lastRow="0" w:firstColumn="1" w:lastColumn="0" w:noHBand="0" w:noVBand="1"/>
        <w:tblCaption w:val="Clinical utility standards for tests to determine eligibility for targeted drugs for NSCLC"/>
        <w:tblDescription w:val="Clinical utility standards for tests to determine eligibility for targeted drugs for NSCLC"/>
      </w:tblPr>
      <w:tblGrid>
        <w:gridCol w:w="3397"/>
        <w:gridCol w:w="5619"/>
      </w:tblGrid>
      <w:tr w:rsidR="00242F4E" w:rsidRPr="00CE28E3" w14:paraId="5BD10EE1" w14:textId="77777777" w:rsidTr="00D24F44">
        <w:trPr>
          <w:cnfStyle w:val="100000000000" w:firstRow="1" w:lastRow="0" w:firstColumn="0" w:lastColumn="0" w:oddVBand="0" w:evenVBand="0" w:oddHBand="0" w:evenHBand="0" w:firstRowFirstColumn="0" w:firstRowLastColumn="0" w:lastRowFirstColumn="0" w:lastRowLastColumn="0"/>
          <w:tblHeader/>
        </w:trPr>
        <w:tc>
          <w:tcPr>
            <w:tcW w:w="1884" w:type="pct"/>
            <w:shd w:val="clear" w:color="auto" w:fill="auto"/>
            <w:vAlign w:val="center"/>
          </w:tcPr>
          <w:p w14:paraId="25E7E857" w14:textId="3EF6A20D" w:rsidR="00242F4E" w:rsidRPr="00CE28E3" w:rsidRDefault="00621B95" w:rsidP="006B3032">
            <w:pPr>
              <w:pStyle w:val="TableHeading"/>
            </w:pPr>
            <w:bookmarkStart w:id="92" w:name="ColumnTitle_Table24"/>
            <w:r>
              <w:t>Variant</w:t>
            </w:r>
          </w:p>
        </w:tc>
        <w:tc>
          <w:tcPr>
            <w:tcW w:w="3116" w:type="pct"/>
            <w:shd w:val="clear" w:color="auto" w:fill="auto"/>
            <w:vAlign w:val="center"/>
          </w:tcPr>
          <w:p w14:paraId="4CC92659" w14:textId="713FA887" w:rsidR="00242F4E" w:rsidRPr="00CE28E3" w:rsidRDefault="00D24F44" w:rsidP="00D24F44">
            <w:pPr>
              <w:pStyle w:val="TableHeading"/>
              <w:ind w:left="122"/>
            </w:pPr>
            <w:r>
              <w:t>Clinical utility</w:t>
            </w:r>
            <w:r w:rsidR="00242F4E" w:rsidRPr="00CE28E3">
              <w:t xml:space="preserve"> standard</w:t>
            </w:r>
          </w:p>
        </w:tc>
      </w:tr>
      <w:bookmarkEnd w:id="92"/>
      <w:tr w:rsidR="00242F4E" w:rsidRPr="00CE28E3" w14:paraId="6DD31FE7" w14:textId="77777777" w:rsidTr="00D24F44">
        <w:trPr>
          <w:trHeight w:val="273"/>
        </w:trPr>
        <w:tc>
          <w:tcPr>
            <w:tcW w:w="1884" w:type="pct"/>
            <w:shd w:val="clear" w:color="auto" w:fill="auto"/>
            <w:vAlign w:val="center"/>
          </w:tcPr>
          <w:p w14:paraId="7E34B2D0" w14:textId="5F2073AF" w:rsidR="00242F4E" w:rsidRPr="00621B95" w:rsidRDefault="00621B95" w:rsidP="006B3032">
            <w:pPr>
              <w:keepNext/>
              <w:spacing w:before="40"/>
              <w:rPr>
                <w:rFonts w:ascii="Arial Narrow" w:hAnsi="Arial Narrow"/>
                <w:i/>
              </w:rPr>
            </w:pPr>
            <w:r w:rsidRPr="00621B95">
              <w:rPr>
                <w:rFonts w:ascii="Arial Narrow" w:hAnsi="Arial Narrow"/>
                <w:i/>
              </w:rPr>
              <w:t>EGFR</w:t>
            </w:r>
          </w:p>
        </w:tc>
        <w:tc>
          <w:tcPr>
            <w:tcW w:w="3116" w:type="pct"/>
            <w:shd w:val="clear" w:color="auto" w:fill="auto"/>
            <w:vAlign w:val="center"/>
          </w:tcPr>
          <w:p w14:paraId="55926FAD" w14:textId="36A233F2" w:rsidR="00603B08" w:rsidRPr="00D24F44" w:rsidRDefault="007E0526" w:rsidP="00D24F44">
            <w:pPr>
              <w:pStyle w:val="TableText"/>
              <w:keepNext/>
              <w:ind w:left="122"/>
            </w:pPr>
            <w:r>
              <w:t>C</w:t>
            </w:r>
            <w:r w:rsidR="00D24F44">
              <w:t>obas PCR on tumour tissue</w:t>
            </w:r>
          </w:p>
        </w:tc>
      </w:tr>
      <w:tr w:rsidR="00242F4E" w:rsidRPr="00CE28E3" w14:paraId="652F1CBC" w14:textId="77777777" w:rsidTr="00D24F44">
        <w:trPr>
          <w:trHeight w:val="345"/>
        </w:trPr>
        <w:tc>
          <w:tcPr>
            <w:tcW w:w="1884" w:type="pct"/>
            <w:shd w:val="clear" w:color="auto" w:fill="auto"/>
            <w:vAlign w:val="center"/>
          </w:tcPr>
          <w:p w14:paraId="577BDBE0" w14:textId="6486FECC" w:rsidR="00242F4E" w:rsidRPr="00621B95" w:rsidRDefault="00621B95" w:rsidP="006B3032">
            <w:pPr>
              <w:keepNext/>
              <w:spacing w:before="40"/>
              <w:rPr>
                <w:rFonts w:ascii="Arial Narrow" w:hAnsi="Arial Narrow"/>
                <w:i/>
              </w:rPr>
            </w:pPr>
            <w:r w:rsidRPr="00621B95">
              <w:rPr>
                <w:rFonts w:ascii="Arial Narrow" w:hAnsi="Arial Narrow"/>
                <w:i/>
              </w:rPr>
              <w:t>ALK</w:t>
            </w:r>
          </w:p>
        </w:tc>
        <w:tc>
          <w:tcPr>
            <w:tcW w:w="3116" w:type="pct"/>
            <w:shd w:val="clear" w:color="auto" w:fill="auto"/>
            <w:vAlign w:val="center"/>
          </w:tcPr>
          <w:p w14:paraId="45AEFD10" w14:textId="3B70E7C0" w:rsidR="00242F4E" w:rsidRPr="00CE28E3" w:rsidRDefault="00D24F44" w:rsidP="00D24F44">
            <w:pPr>
              <w:pStyle w:val="TableText"/>
              <w:keepNext/>
              <w:ind w:left="122"/>
            </w:pPr>
            <w:r>
              <w:t>FISH on tumour tissue</w:t>
            </w:r>
          </w:p>
        </w:tc>
      </w:tr>
      <w:tr w:rsidR="00242F4E" w:rsidRPr="00CE28E3" w14:paraId="27A9EC5F" w14:textId="77777777" w:rsidTr="00D24F44">
        <w:tc>
          <w:tcPr>
            <w:tcW w:w="1884" w:type="pct"/>
            <w:shd w:val="clear" w:color="auto" w:fill="auto"/>
            <w:vAlign w:val="center"/>
          </w:tcPr>
          <w:p w14:paraId="5B6E54E7" w14:textId="78BE79D4" w:rsidR="00242F4E" w:rsidRPr="00621B95" w:rsidRDefault="00621B95" w:rsidP="006B3032">
            <w:pPr>
              <w:keepNext/>
              <w:spacing w:before="40"/>
              <w:rPr>
                <w:rFonts w:ascii="Arial Narrow" w:hAnsi="Arial Narrow"/>
                <w:i/>
              </w:rPr>
            </w:pPr>
            <w:r w:rsidRPr="00621B95">
              <w:rPr>
                <w:rFonts w:ascii="Arial Narrow" w:hAnsi="Arial Narrow"/>
                <w:i/>
              </w:rPr>
              <w:t>ROS1</w:t>
            </w:r>
          </w:p>
        </w:tc>
        <w:tc>
          <w:tcPr>
            <w:tcW w:w="3116" w:type="pct"/>
            <w:shd w:val="clear" w:color="auto" w:fill="auto"/>
            <w:vAlign w:val="center"/>
          </w:tcPr>
          <w:p w14:paraId="711AAE9F" w14:textId="34B318C9" w:rsidR="00242F4E" w:rsidRPr="00CE28E3" w:rsidRDefault="00D24F44" w:rsidP="00D24F44">
            <w:pPr>
              <w:pStyle w:val="TableText"/>
              <w:keepNext/>
              <w:ind w:left="122"/>
            </w:pPr>
            <w:r>
              <w:t>FISH on tumour tissue</w:t>
            </w:r>
          </w:p>
        </w:tc>
      </w:tr>
      <w:tr w:rsidR="00621B95" w:rsidRPr="00CE28E3" w14:paraId="4EAF7664" w14:textId="77777777" w:rsidTr="00D24F44">
        <w:tc>
          <w:tcPr>
            <w:tcW w:w="1884" w:type="pct"/>
            <w:shd w:val="clear" w:color="auto" w:fill="auto"/>
            <w:vAlign w:val="center"/>
          </w:tcPr>
          <w:p w14:paraId="5A5F0227" w14:textId="0377A913" w:rsidR="00621B95" w:rsidRDefault="00621B95" w:rsidP="006B3032">
            <w:pPr>
              <w:keepNext/>
              <w:spacing w:before="40"/>
              <w:rPr>
                <w:rFonts w:ascii="Arial Narrow" w:hAnsi="Arial Narrow"/>
              </w:rPr>
            </w:pPr>
            <w:r w:rsidRPr="00621B95">
              <w:rPr>
                <w:rFonts w:ascii="Arial Narrow" w:hAnsi="Arial Narrow"/>
                <w:i/>
              </w:rPr>
              <w:t>MET</w:t>
            </w:r>
            <w:r>
              <w:rPr>
                <w:rFonts w:ascii="Arial Narrow" w:hAnsi="Arial Narrow"/>
              </w:rPr>
              <w:t>ex14sk</w:t>
            </w:r>
          </w:p>
        </w:tc>
        <w:tc>
          <w:tcPr>
            <w:tcW w:w="3116" w:type="pct"/>
            <w:shd w:val="clear" w:color="auto" w:fill="auto"/>
            <w:vAlign w:val="center"/>
          </w:tcPr>
          <w:p w14:paraId="09E26E55" w14:textId="5E532955" w:rsidR="00621B95" w:rsidRPr="00CE28E3" w:rsidRDefault="00D24F44" w:rsidP="00D24F44">
            <w:pPr>
              <w:pStyle w:val="TableText"/>
              <w:keepNext/>
              <w:ind w:left="122"/>
            </w:pPr>
            <w:r>
              <w:t>DNA or RNA analysis on blood or tumour tissue</w:t>
            </w:r>
          </w:p>
        </w:tc>
      </w:tr>
    </w:tbl>
    <w:p w14:paraId="44E0A3F4" w14:textId="1AB8AA10" w:rsidR="00D8525E" w:rsidRPr="00380685" w:rsidRDefault="008F456E" w:rsidP="00380685">
      <w:pPr>
        <w:pStyle w:val="TableFooter"/>
      </w:pPr>
      <w:r w:rsidRPr="007C7AB1">
        <w:rPr>
          <w:i/>
        </w:rPr>
        <w:t>ALK</w:t>
      </w:r>
      <w:r>
        <w:t xml:space="preserve"> = </w:t>
      </w:r>
      <w:r w:rsidRPr="00561C5F">
        <w:t>anaplastic lymphoma kinase</w:t>
      </w:r>
      <w:r>
        <w:t xml:space="preserve">; </w:t>
      </w:r>
      <w:r w:rsidRPr="007C7AB1">
        <w:rPr>
          <w:i/>
        </w:rPr>
        <w:t>EGFR</w:t>
      </w:r>
      <w:r>
        <w:t xml:space="preserve"> = epidermal growth factor receptor; FISH = f</w:t>
      </w:r>
      <w:r w:rsidRPr="00561C5F">
        <w:t xml:space="preserve">luorescence </w:t>
      </w:r>
      <w:r w:rsidRPr="007C7AB1">
        <w:rPr>
          <w:i/>
        </w:rPr>
        <w:t>in situ</w:t>
      </w:r>
      <w:r w:rsidRPr="00561C5F">
        <w:t xml:space="preserve"> </w:t>
      </w:r>
      <w:r w:rsidR="00D86197" w:rsidRPr="00561C5F">
        <w:t>hybridi</w:t>
      </w:r>
      <w:r w:rsidR="00D86197">
        <w:t>s</w:t>
      </w:r>
      <w:r w:rsidR="00D86197" w:rsidRPr="00561C5F">
        <w:t>ation</w:t>
      </w:r>
      <w:r>
        <w:t xml:space="preserve">; </w:t>
      </w:r>
      <w:r w:rsidRPr="00CE4DC5">
        <w:rPr>
          <w:i/>
        </w:rPr>
        <w:t>MET</w:t>
      </w:r>
      <w:r w:rsidRPr="00CE4DC5">
        <w:t xml:space="preserve"> =</w:t>
      </w:r>
      <w:r>
        <w:t xml:space="preserve"> </w:t>
      </w:r>
      <w:r w:rsidRPr="008F67AF">
        <w:rPr>
          <w:szCs w:val="18"/>
        </w:rPr>
        <w:t>mesenchymal-epithelial transition</w:t>
      </w:r>
      <w:r>
        <w:rPr>
          <w:szCs w:val="18"/>
        </w:rPr>
        <w:t xml:space="preserve">; </w:t>
      </w:r>
      <w:r>
        <w:t>PCR = polymerase chain reaction</w:t>
      </w:r>
      <w:r w:rsidR="00612A99">
        <w:t xml:space="preserve">; </w:t>
      </w:r>
      <w:r w:rsidRPr="007C7AB1">
        <w:rPr>
          <w:i/>
        </w:rPr>
        <w:t>ROS1</w:t>
      </w:r>
      <w:r>
        <w:t xml:space="preserve"> = </w:t>
      </w:r>
      <w:r w:rsidRPr="00561C5F">
        <w:t>ROS proto-oncogene 1</w:t>
      </w:r>
    </w:p>
    <w:p w14:paraId="44850E94" w14:textId="09D5A3AF" w:rsidR="005275FC" w:rsidRDefault="00400BC7" w:rsidP="00674C7D">
      <w:pPr>
        <w:pStyle w:val="Heading3"/>
      </w:pPr>
      <w:bookmarkStart w:id="93" w:name="_Toc148531153"/>
      <w:r>
        <w:t>2</w:t>
      </w:r>
      <w:r w:rsidR="00660A74" w:rsidRPr="00CE28E3">
        <w:t>.</w:t>
      </w:r>
      <w:r w:rsidR="00930F4E" w:rsidRPr="00CE28E3">
        <w:t>2.</w:t>
      </w:r>
      <w:r w:rsidR="00BC15DE" w:rsidRPr="00CE28E3">
        <w:t>3</w:t>
      </w:r>
      <w:r w:rsidR="00660A74" w:rsidRPr="00CE28E3">
        <w:tab/>
      </w:r>
      <w:r w:rsidR="005275FC" w:rsidRPr="00CE28E3">
        <w:t>Characteristics of the evidence base</w:t>
      </w:r>
      <w:bookmarkEnd w:id="93"/>
    </w:p>
    <w:p w14:paraId="2D754AD7" w14:textId="07C58012" w:rsidR="002A7A09" w:rsidRDefault="002A7A09" w:rsidP="000D4C1B">
      <w:r>
        <w:t>A total of 4</w:t>
      </w:r>
      <w:r w:rsidR="005B12D8">
        <w:t>1</w:t>
      </w:r>
      <w:r>
        <w:t xml:space="preserve"> studies met the inclusion criteria, comparing the test performance of NGS (using a DNA panel, combined DNA or RNA panel, or RNA panel, or combination) against sequential single-gene testing. The most common outcome was concordance, reported by 30 studies. </w:t>
      </w:r>
    </w:p>
    <w:p w14:paraId="4341DEEE" w14:textId="4313DE16" w:rsidR="00F51539" w:rsidRDefault="00B233D2" w:rsidP="002A7A09">
      <w:r>
        <w:t xml:space="preserve">The characteristics of these studies have been provided in </w:t>
      </w:r>
      <w:r>
        <w:fldChar w:fldCharType="begin"/>
      </w:r>
      <w:r>
        <w:instrText xml:space="preserve"> REF _Ref108535290 \h </w:instrText>
      </w:r>
      <w:r>
        <w:fldChar w:fldCharType="separate"/>
      </w:r>
      <w:r w:rsidR="00C857F3">
        <w:t xml:space="preserve">Table </w:t>
      </w:r>
      <w:r w:rsidR="00C857F3">
        <w:rPr>
          <w:noProof/>
        </w:rPr>
        <w:t>78</w:t>
      </w:r>
      <w:r>
        <w:fldChar w:fldCharType="end"/>
      </w:r>
      <w:r>
        <w:t xml:space="preserve"> in </w:t>
      </w:r>
      <w:r>
        <w:fldChar w:fldCharType="begin"/>
      </w:r>
      <w:r>
        <w:instrText xml:space="preserve"> REF _Ref106359877 \h </w:instrText>
      </w:r>
      <w:r>
        <w:fldChar w:fldCharType="separate"/>
      </w:r>
      <w:r w:rsidR="00C857F3">
        <w:t xml:space="preserve">Appendix </w:t>
      </w:r>
      <w:r w:rsidR="00C857F3">
        <w:rPr>
          <w:noProof/>
        </w:rPr>
        <w:t>D</w:t>
      </w:r>
      <w:r>
        <w:fldChar w:fldCharType="end"/>
      </w:r>
      <w:r w:rsidR="002A7A09">
        <w:t xml:space="preserve">. </w:t>
      </w:r>
      <w:r>
        <w:t>The majority of these studies were classified as having a low to moderate risk of bias on the QUADAS 2 checklist</w:t>
      </w:r>
      <w:r w:rsidR="0090004A">
        <w:t>. M</w:t>
      </w:r>
      <w:r w:rsidR="00712378">
        <w:t xml:space="preserve">ost concerns </w:t>
      </w:r>
      <w:r w:rsidR="0090004A">
        <w:t xml:space="preserve">related </w:t>
      </w:r>
      <w:r w:rsidR="00712378">
        <w:t>to the selection of the patient population, or with the flow and timing of the intervention and comparator</w:t>
      </w:r>
      <w:r>
        <w:t xml:space="preserve">. A summary of the key features of studies reporting on test performance outcomes other than concordance is shown in </w:t>
      </w:r>
      <w:r>
        <w:fldChar w:fldCharType="begin"/>
      </w:r>
      <w:r>
        <w:instrText xml:space="preserve"> REF _Ref108535290 \h </w:instrText>
      </w:r>
      <w:r>
        <w:fldChar w:fldCharType="separate"/>
      </w:r>
      <w:r w:rsidR="00C857F3">
        <w:t xml:space="preserve">Table </w:t>
      </w:r>
      <w:r w:rsidR="00C857F3">
        <w:rPr>
          <w:noProof/>
        </w:rPr>
        <w:t>78</w:t>
      </w:r>
      <w:r>
        <w:fldChar w:fldCharType="end"/>
      </w:r>
      <w:r>
        <w:t>.</w:t>
      </w:r>
      <w:r w:rsidR="00712378">
        <w:t xml:space="preserve"> </w:t>
      </w:r>
      <w:r w:rsidR="000D4C1B" w:rsidRPr="00CE28E3">
        <w:t xml:space="preserve">Full study profiles and a PRISMA flowchart </w:t>
      </w:r>
      <w:r w:rsidR="005D48FE">
        <w:t>are presented</w:t>
      </w:r>
      <w:r w:rsidR="000D4C1B" w:rsidRPr="00CE28E3">
        <w:t xml:space="preserve"> in </w:t>
      </w:r>
      <w:r w:rsidR="000D4C1B" w:rsidRPr="00CE28E3">
        <w:fldChar w:fldCharType="begin"/>
      </w:r>
      <w:r w:rsidR="000D4C1B" w:rsidRPr="00CE28E3">
        <w:instrText xml:space="preserve"> REF _Ref54782829 \h </w:instrText>
      </w:r>
      <w:r w:rsidR="00CE28E3">
        <w:instrText xml:space="preserve"> \* MERGEFORMAT </w:instrText>
      </w:r>
      <w:r w:rsidR="000D4C1B" w:rsidRPr="00CE28E3">
        <w:fldChar w:fldCharType="separate"/>
      </w:r>
      <w:r w:rsidR="00C857F3" w:rsidRPr="00CE28E3">
        <w:t xml:space="preserve">Appendix </w:t>
      </w:r>
      <w:r w:rsidR="00C857F3">
        <w:rPr>
          <w:noProof/>
        </w:rPr>
        <w:t>B</w:t>
      </w:r>
      <w:r w:rsidR="000D4C1B" w:rsidRPr="00CE28E3">
        <w:fldChar w:fldCharType="end"/>
      </w:r>
      <w:r w:rsidR="000D4C1B" w:rsidRPr="00CE28E3">
        <w:t xml:space="preserve">. </w:t>
      </w:r>
      <w:bookmarkStart w:id="94" w:name="_Toc49800657"/>
    </w:p>
    <w:p w14:paraId="0359543B" w14:textId="674B6959" w:rsidR="00262D1B" w:rsidRDefault="00D468ED" w:rsidP="002A7A09">
      <w:r>
        <w:t xml:space="preserve">The two key outcomes for test performance, are </w:t>
      </w:r>
      <w:r w:rsidR="003B5E18">
        <w:t xml:space="preserve">how successful the testing strategies are at providing test results (from the tissue/cytology samples available), and from the test results, how concordant NGS was compared to sequential single-gene testing. These outcomes were used in the economic model, and the evidence base for these is summarised in </w:t>
      </w:r>
      <w:r w:rsidR="0090004A">
        <w:fldChar w:fldCharType="begin"/>
      </w:r>
      <w:r w:rsidR="0090004A">
        <w:instrText xml:space="preserve"> REF _Ref109054823 \h </w:instrText>
      </w:r>
      <w:r w:rsidR="0090004A">
        <w:fldChar w:fldCharType="separate"/>
      </w:r>
      <w:r w:rsidR="00C857F3" w:rsidRPr="00CE28E3">
        <w:t>Table</w:t>
      </w:r>
      <w:r w:rsidR="00C857F3">
        <w:t> </w:t>
      </w:r>
      <w:r w:rsidR="00C857F3">
        <w:rPr>
          <w:noProof/>
        </w:rPr>
        <w:t>27</w:t>
      </w:r>
      <w:r w:rsidR="0090004A">
        <w:fldChar w:fldCharType="end"/>
      </w:r>
      <w:r w:rsidR="0090004A">
        <w:t>.</w:t>
      </w:r>
    </w:p>
    <w:p w14:paraId="08211D34" w14:textId="10124D37" w:rsidR="00A67AE5" w:rsidRPr="00CE28E3" w:rsidRDefault="00A67AE5" w:rsidP="00A67AE5">
      <w:pPr>
        <w:pStyle w:val="Caption"/>
        <w:rPr>
          <w:snapToGrid w:val="0"/>
        </w:rPr>
      </w:pPr>
      <w:bookmarkStart w:id="95" w:name="_Ref109054823"/>
      <w:bookmarkStart w:id="96" w:name="_Ref108608705"/>
      <w:r w:rsidRPr="00CE28E3">
        <w:lastRenderedPageBreak/>
        <w:t>Table</w:t>
      </w:r>
      <w:r>
        <w:t> </w:t>
      </w:r>
      <w:fldSimple w:instr=" SEQ Table \* ARABIC ">
        <w:r w:rsidR="00C857F3">
          <w:rPr>
            <w:noProof/>
          </w:rPr>
          <w:t>27</w:t>
        </w:r>
      </w:fldSimple>
      <w:bookmarkEnd w:id="95"/>
      <w:r w:rsidRPr="00CE28E3">
        <w:tab/>
      </w:r>
      <w:r w:rsidRPr="00CE28E3">
        <w:rPr>
          <w:snapToGrid w:val="0"/>
        </w:rPr>
        <w:t xml:space="preserve">Key features of the included </w:t>
      </w:r>
      <w:r>
        <w:rPr>
          <w:snapToGrid w:val="0"/>
        </w:rPr>
        <w:t xml:space="preserve">studies </w:t>
      </w:r>
      <w:r w:rsidRPr="00CE28E3">
        <w:rPr>
          <w:snapToGrid w:val="0"/>
        </w:rPr>
        <w:t xml:space="preserve">comparing </w:t>
      </w:r>
      <w:r>
        <w:rPr>
          <w:snapToGrid w:val="0"/>
        </w:rPr>
        <w:t>NGS with sequential single-gene testing</w:t>
      </w:r>
      <w:bookmarkEnd w:id="96"/>
    </w:p>
    <w:tbl>
      <w:tblPr>
        <w:tblStyle w:val="TableGrid1"/>
        <w:tblW w:w="5000" w:type="pct"/>
        <w:tblCellMar>
          <w:left w:w="28" w:type="dxa"/>
          <w:right w:w="28" w:type="dxa"/>
        </w:tblCellMar>
        <w:tblLook w:val="04A0" w:firstRow="1" w:lastRow="0" w:firstColumn="1" w:lastColumn="0" w:noHBand="0" w:noVBand="1"/>
        <w:tblCaption w:val="Key features of the included studies comparing NGS with sequential single-gene testing"/>
        <w:tblDescription w:val="Key features of the included studies comparing NGS with sequential single-gene testing"/>
      </w:tblPr>
      <w:tblGrid>
        <w:gridCol w:w="961"/>
        <w:gridCol w:w="584"/>
        <w:gridCol w:w="1105"/>
        <w:gridCol w:w="1172"/>
        <w:gridCol w:w="1560"/>
        <w:gridCol w:w="1524"/>
        <w:gridCol w:w="1032"/>
        <w:gridCol w:w="1078"/>
      </w:tblGrid>
      <w:tr w:rsidR="005A7318" w:rsidRPr="00CE28E3" w14:paraId="7018E270" w14:textId="77777777" w:rsidTr="005A7318">
        <w:trPr>
          <w:cnfStyle w:val="100000000000" w:firstRow="1" w:lastRow="0" w:firstColumn="0" w:lastColumn="0" w:oddVBand="0" w:evenVBand="0" w:oddHBand="0" w:evenHBand="0" w:firstRowFirstColumn="0" w:firstRowLastColumn="0" w:lastRowFirstColumn="0" w:lastRowLastColumn="0"/>
          <w:tblHeader/>
        </w:trPr>
        <w:tc>
          <w:tcPr>
            <w:tcW w:w="533" w:type="pct"/>
            <w:shd w:val="clear" w:color="auto" w:fill="auto"/>
            <w:vAlign w:val="center"/>
          </w:tcPr>
          <w:p w14:paraId="796A0065" w14:textId="79E542A6" w:rsidR="00A67AE5" w:rsidRPr="00CE28E3" w:rsidRDefault="00A67AE5" w:rsidP="008E3AD1">
            <w:pPr>
              <w:pStyle w:val="TableHeading"/>
            </w:pPr>
            <w:r w:rsidRPr="00CE28E3">
              <w:t>Study</w:t>
            </w:r>
          </w:p>
        </w:tc>
        <w:tc>
          <w:tcPr>
            <w:tcW w:w="324" w:type="pct"/>
            <w:shd w:val="clear" w:color="auto" w:fill="auto"/>
            <w:vAlign w:val="center"/>
          </w:tcPr>
          <w:p w14:paraId="729E1ED8" w14:textId="77777777" w:rsidR="00A67AE5" w:rsidRPr="00CE28E3" w:rsidRDefault="00A67AE5" w:rsidP="008E3AD1">
            <w:pPr>
              <w:pStyle w:val="TableHeading"/>
            </w:pPr>
            <w:r w:rsidRPr="00CE28E3">
              <w:t>N</w:t>
            </w:r>
          </w:p>
        </w:tc>
        <w:tc>
          <w:tcPr>
            <w:tcW w:w="613" w:type="pct"/>
            <w:shd w:val="clear" w:color="auto" w:fill="auto"/>
            <w:vAlign w:val="center"/>
          </w:tcPr>
          <w:p w14:paraId="371243EC" w14:textId="77777777" w:rsidR="00A67AE5" w:rsidRPr="00CE28E3" w:rsidRDefault="00A67AE5" w:rsidP="008E3AD1">
            <w:pPr>
              <w:pStyle w:val="TableHeading"/>
            </w:pPr>
            <w:r w:rsidRPr="00CE28E3">
              <w:t>Study design</w:t>
            </w:r>
          </w:p>
          <w:p w14:paraId="52C48D86" w14:textId="77777777" w:rsidR="00A67AE5" w:rsidRPr="00CE28E3" w:rsidRDefault="00A67AE5" w:rsidP="008E3AD1">
            <w:pPr>
              <w:pStyle w:val="TableHeading"/>
            </w:pPr>
            <w:r w:rsidRPr="00CE28E3">
              <w:t>Risk of bias</w:t>
            </w:r>
          </w:p>
        </w:tc>
        <w:tc>
          <w:tcPr>
            <w:tcW w:w="650" w:type="pct"/>
            <w:vAlign w:val="center"/>
          </w:tcPr>
          <w:p w14:paraId="597630E2" w14:textId="77777777" w:rsidR="00A67AE5" w:rsidRPr="00CE28E3" w:rsidRDefault="00A67AE5" w:rsidP="008E3AD1">
            <w:pPr>
              <w:pStyle w:val="TableHeading"/>
            </w:pPr>
            <w:r w:rsidRPr="00CE28E3">
              <w:t>Population</w:t>
            </w:r>
          </w:p>
        </w:tc>
        <w:tc>
          <w:tcPr>
            <w:tcW w:w="865" w:type="pct"/>
            <w:vAlign w:val="center"/>
          </w:tcPr>
          <w:p w14:paraId="263E3AD3" w14:textId="77777777" w:rsidR="00A67AE5" w:rsidRPr="00CE28E3" w:rsidRDefault="00A67AE5" w:rsidP="008E3AD1">
            <w:pPr>
              <w:pStyle w:val="TableHeading"/>
            </w:pPr>
            <w:r w:rsidRPr="00CE28E3">
              <w:t>Intervention</w:t>
            </w:r>
          </w:p>
        </w:tc>
        <w:tc>
          <w:tcPr>
            <w:tcW w:w="845" w:type="pct"/>
            <w:shd w:val="clear" w:color="auto" w:fill="auto"/>
            <w:vAlign w:val="center"/>
          </w:tcPr>
          <w:p w14:paraId="3C6379A2" w14:textId="77777777" w:rsidR="00A67AE5" w:rsidRPr="00CE28E3" w:rsidRDefault="00A67AE5" w:rsidP="008E3AD1">
            <w:pPr>
              <w:pStyle w:val="TableHeading"/>
            </w:pPr>
            <w:r w:rsidRPr="00CE28E3">
              <w:t>Comparator</w:t>
            </w:r>
          </w:p>
        </w:tc>
        <w:tc>
          <w:tcPr>
            <w:tcW w:w="572" w:type="pct"/>
            <w:shd w:val="clear" w:color="auto" w:fill="auto"/>
            <w:vAlign w:val="center"/>
          </w:tcPr>
          <w:p w14:paraId="4F3E128B" w14:textId="77777777" w:rsidR="00A67AE5" w:rsidRPr="00CE28E3" w:rsidRDefault="00A67AE5" w:rsidP="008E3AD1">
            <w:pPr>
              <w:pStyle w:val="TableHeading"/>
            </w:pPr>
            <w:r w:rsidRPr="00CE28E3">
              <w:t>Key outcome(s)</w:t>
            </w:r>
          </w:p>
        </w:tc>
        <w:tc>
          <w:tcPr>
            <w:tcW w:w="598" w:type="pct"/>
          </w:tcPr>
          <w:p w14:paraId="1B5A3E68" w14:textId="77777777" w:rsidR="00A67AE5" w:rsidRPr="00CE28E3" w:rsidRDefault="00A67AE5" w:rsidP="008E3AD1">
            <w:pPr>
              <w:pStyle w:val="TableHeading"/>
            </w:pPr>
            <w:r w:rsidRPr="00CE28E3">
              <w:t>Result used in economic model</w:t>
            </w:r>
          </w:p>
        </w:tc>
      </w:tr>
      <w:tr w:rsidR="005A7318" w:rsidRPr="00CE28E3" w14:paraId="155A64B9" w14:textId="77777777" w:rsidTr="005A7318">
        <w:trPr>
          <w:cnfStyle w:val="100000000000" w:firstRow="1" w:lastRow="0" w:firstColumn="0" w:lastColumn="0" w:oddVBand="0" w:evenVBand="0" w:oddHBand="0" w:evenHBand="0" w:firstRowFirstColumn="0" w:firstRowLastColumn="0" w:lastRowFirstColumn="0" w:lastRowLastColumn="0"/>
          <w:tblHeader/>
        </w:trPr>
        <w:tc>
          <w:tcPr>
            <w:tcW w:w="533" w:type="pct"/>
            <w:shd w:val="clear" w:color="auto" w:fill="auto"/>
          </w:tcPr>
          <w:p w14:paraId="0DDBD0A3" w14:textId="03F49D8F" w:rsidR="003B5E18" w:rsidRDefault="00B4668F" w:rsidP="003B5E18">
            <w:pPr>
              <w:pStyle w:val="TableHeading"/>
              <w:rPr>
                <w:b w:val="0"/>
              </w:rPr>
            </w:pPr>
            <w:r>
              <w:rPr>
                <w:b w:val="0"/>
              </w:rP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Pr>
                <w:b w:val="0"/>
              </w:rPr>
              <w:instrText xml:space="preserve"> ADDIN EN.CITE </w:instrText>
            </w:r>
            <w:r>
              <w:rPr>
                <w:b w:val="0"/>
              </w:rP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Pr>
                <w:b w:val="0"/>
              </w:rPr>
              <w:instrText xml:space="preserve"> ADDIN EN.CITE.DATA </w:instrText>
            </w:r>
            <w:r>
              <w:rPr>
                <w:b w:val="0"/>
              </w:rPr>
            </w:r>
            <w:r>
              <w:rPr>
                <w:b w:val="0"/>
              </w:rPr>
              <w:fldChar w:fldCharType="end"/>
            </w:r>
            <w:r>
              <w:rPr>
                <w:b w:val="0"/>
              </w:rPr>
            </w:r>
            <w:r>
              <w:rPr>
                <w:b w:val="0"/>
              </w:rPr>
              <w:fldChar w:fldCharType="separate"/>
            </w:r>
            <w:r>
              <w:rPr>
                <w:b w:val="0"/>
                <w:noProof/>
              </w:rPr>
              <w:t>(Steeghs et al. 2022)</w:t>
            </w:r>
            <w:r>
              <w:rPr>
                <w:b w:val="0"/>
              </w:rPr>
              <w:fldChar w:fldCharType="end"/>
            </w:r>
          </w:p>
          <w:p w14:paraId="652F3AC0" w14:textId="796A1F9D" w:rsidR="003B5E18" w:rsidRDefault="003B5E18" w:rsidP="003B5E18">
            <w:pPr>
              <w:pStyle w:val="TableHeading"/>
              <w:rPr>
                <w:b w:val="0"/>
              </w:rPr>
            </w:pPr>
            <w:r>
              <w:rPr>
                <w:b w:val="0"/>
              </w:rPr>
              <w:t>The Netherlands</w:t>
            </w:r>
          </w:p>
        </w:tc>
        <w:tc>
          <w:tcPr>
            <w:tcW w:w="324" w:type="pct"/>
            <w:shd w:val="clear" w:color="auto" w:fill="auto"/>
          </w:tcPr>
          <w:p w14:paraId="5FEDBD5A" w14:textId="20800BE5" w:rsidR="003B5E18" w:rsidRPr="00CE28E3" w:rsidRDefault="003B5E18" w:rsidP="003B5E18">
            <w:pPr>
              <w:pStyle w:val="TableHeading"/>
              <w:rPr>
                <w:b w:val="0"/>
              </w:rPr>
            </w:pPr>
            <w:r>
              <w:rPr>
                <w:b w:val="0"/>
              </w:rPr>
              <w:t>4040</w:t>
            </w:r>
          </w:p>
        </w:tc>
        <w:tc>
          <w:tcPr>
            <w:tcW w:w="613" w:type="pct"/>
            <w:shd w:val="clear" w:color="auto" w:fill="auto"/>
          </w:tcPr>
          <w:p w14:paraId="62E8AAAB" w14:textId="77777777" w:rsidR="003B5E18" w:rsidRDefault="003B5E18" w:rsidP="003B5E18">
            <w:pPr>
              <w:pStyle w:val="TableHeading"/>
              <w:rPr>
                <w:b w:val="0"/>
              </w:rPr>
            </w:pPr>
            <w:r>
              <w:rPr>
                <w:b w:val="0"/>
              </w:rPr>
              <w:t>Between-patient retrospective cohort study</w:t>
            </w:r>
          </w:p>
          <w:p w14:paraId="5200D17E" w14:textId="270194A6" w:rsidR="003B5E18" w:rsidRDefault="003B5E18" w:rsidP="003B5E18">
            <w:pPr>
              <w:pStyle w:val="Tabletext0"/>
              <w:jc w:val="left"/>
            </w:pPr>
            <w:r>
              <w:t>Level III-2 interventional levels of evidence</w:t>
            </w:r>
          </w:p>
          <w:p w14:paraId="0471B607" w14:textId="77777777" w:rsidR="003B5E18" w:rsidRDefault="003B5E18" w:rsidP="003B5E18">
            <w:pPr>
              <w:pStyle w:val="Tabletext0"/>
              <w:jc w:val="left"/>
            </w:pPr>
          </w:p>
          <w:p w14:paraId="3E860B39" w14:textId="251D799A" w:rsidR="003B5E18" w:rsidRPr="00137A73" w:rsidRDefault="003B5E18" w:rsidP="003B5E18">
            <w:pPr>
              <w:pStyle w:val="TableHeading"/>
              <w:rPr>
                <w:b w:val="0"/>
              </w:rPr>
            </w:pPr>
            <w:r w:rsidRPr="00137A73">
              <w:rPr>
                <w:b w:val="0"/>
              </w:rPr>
              <w:t>Low to moderate risk of bias</w:t>
            </w:r>
            <w:r w:rsidR="00496C48">
              <w:rPr>
                <w:b w:val="0"/>
              </w:rPr>
              <w:t xml:space="preserve"> </w:t>
            </w:r>
            <w:r w:rsidR="00496C48" w:rsidRPr="00496C48">
              <w:rPr>
                <w:b w:val="0"/>
              </w:rPr>
              <w:t>(QUADAS 2)</w:t>
            </w:r>
          </w:p>
        </w:tc>
        <w:tc>
          <w:tcPr>
            <w:tcW w:w="650" w:type="pct"/>
          </w:tcPr>
          <w:p w14:paraId="37696844" w14:textId="16189C73" w:rsidR="003B5E18" w:rsidRPr="003B5E18" w:rsidRDefault="003B5E18" w:rsidP="003B5E18">
            <w:pPr>
              <w:pStyle w:val="Tabletext0"/>
              <w:jc w:val="left"/>
            </w:pPr>
            <w:r>
              <w:t>Stage IV NSCLC patients. 3343 NGS patients, 698 non-NGS patients</w:t>
            </w:r>
          </w:p>
        </w:tc>
        <w:tc>
          <w:tcPr>
            <w:tcW w:w="865" w:type="pct"/>
          </w:tcPr>
          <w:p w14:paraId="61D1DB62" w14:textId="77CEF94A" w:rsidR="003B5E18" w:rsidRPr="003B5E18" w:rsidRDefault="003B5E18" w:rsidP="003B5E18">
            <w:pPr>
              <w:pStyle w:val="TableHeading"/>
              <w:rPr>
                <w:b w:val="0"/>
              </w:rPr>
            </w:pPr>
            <w:r w:rsidRPr="003B5E18">
              <w:rPr>
                <w:b w:val="0"/>
              </w:rPr>
              <w:t>NGS (no further information given)</w:t>
            </w:r>
          </w:p>
        </w:tc>
        <w:tc>
          <w:tcPr>
            <w:tcW w:w="845" w:type="pct"/>
            <w:shd w:val="clear" w:color="auto" w:fill="auto"/>
          </w:tcPr>
          <w:p w14:paraId="4ADA20E8" w14:textId="5A3E887D" w:rsidR="003B5E18" w:rsidRPr="003B5E18" w:rsidRDefault="003B5E18" w:rsidP="003B5E18">
            <w:pPr>
              <w:pStyle w:val="TableHeading"/>
              <w:rPr>
                <w:b w:val="0"/>
              </w:rPr>
            </w:pPr>
            <w:r w:rsidRPr="003B5E18">
              <w:rPr>
                <w:b w:val="0"/>
              </w:rPr>
              <w:t>Various non-NGS single gene testing such as ICH and FISH used throughout clinical practice in the Netherlands</w:t>
            </w:r>
          </w:p>
        </w:tc>
        <w:tc>
          <w:tcPr>
            <w:tcW w:w="572" w:type="pct"/>
            <w:shd w:val="clear" w:color="auto" w:fill="auto"/>
          </w:tcPr>
          <w:p w14:paraId="6E817A8C" w14:textId="77777777" w:rsidR="003B5E18" w:rsidRDefault="003B5E18" w:rsidP="003B5E18">
            <w:pPr>
              <w:pStyle w:val="TableHeading"/>
              <w:rPr>
                <w:b w:val="0"/>
              </w:rPr>
            </w:pPr>
            <w:r>
              <w:rPr>
                <w:b w:val="0"/>
              </w:rPr>
              <w:t>Success rate of testing</w:t>
            </w:r>
          </w:p>
          <w:p w14:paraId="0057F9DA" w14:textId="77777777" w:rsidR="003B5E18" w:rsidRDefault="003B5E18" w:rsidP="003B5E18">
            <w:pPr>
              <w:pStyle w:val="TableHeading"/>
              <w:rPr>
                <w:b w:val="0"/>
              </w:rPr>
            </w:pPr>
            <w:r>
              <w:rPr>
                <w:b w:val="0"/>
              </w:rPr>
              <w:t>Comparative yield</w:t>
            </w:r>
          </w:p>
          <w:p w14:paraId="2D2D4A1C" w14:textId="66AFAE95" w:rsidR="003B5E18" w:rsidRDefault="003B5E18" w:rsidP="003B5E18">
            <w:pPr>
              <w:pStyle w:val="TableHeading"/>
              <w:rPr>
                <w:b w:val="0"/>
              </w:rPr>
            </w:pPr>
            <w:r>
              <w:rPr>
                <w:b w:val="0"/>
              </w:rPr>
              <w:t>Turnaround time</w:t>
            </w:r>
          </w:p>
        </w:tc>
        <w:tc>
          <w:tcPr>
            <w:tcW w:w="598" w:type="pct"/>
          </w:tcPr>
          <w:p w14:paraId="3D80E83E" w14:textId="13ADA89F" w:rsidR="003B5E18" w:rsidRDefault="003B5E18" w:rsidP="003B5E18">
            <w:pPr>
              <w:pStyle w:val="TableHeading"/>
              <w:rPr>
                <w:b w:val="0"/>
              </w:rPr>
            </w:pPr>
            <w:r>
              <w:rPr>
                <w:b w:val="0"/>
              </w:rPr>
              <w:t>Yes</w:t>
            </w:r>
          </w:p>
        </w:tc>
      </w:tr>
      <w:tr w:rsidR="005A7318" w:rsidRPr="00CE28E3" w14:paraId="228C8B75" w14:textId="77777777" w:rsidTr="005A7318">
        <w:trPr>
          <w:cnfStyle w:val="100000000000" w:firstRow="1" w:lastRow="0" w:firstColumn="0" w:lastColumn="0" w:oddVBand="0" w:evenVBand="0" w:oddHBand="0" w:evenHBand="0" w:firstRowFirstColumn="0" w:firstRowLastColumn="0" w:lastRowFirstColumn="0" w:lastRowLastColumn="0"/>
          <w:tblHeader/>
        </w:trPr>
        <w:tc>
          <w:tcPr>
            <w:tcW w:w="533" w:type="pct"/>
            <w:shd w:val="clear" w:color="auto" w:fill="auto"/>
          </w:tcPr>
          <w:p w14:paraId="4297E52C" w14:textId="77777777" w:rsidR="003B5E18" w:rsidRDefault="003B5E18" w:rsidP="003B5E18">
            <w:pPr>
              <w:pStyle w:val="TableHeading"/>
              <w:rPr>
                <w:b w:val="0"/>
              </w:rPr>
            </w:pPr>
            <w:r>
              <w:rPr>
                <w:b w:val="0"/>
              </w:rPr>
              <w:t xml:space="preserve">k=30 </w:t>
            </w:r>
          </w:p>
          <w:p w14:paraId="05B3C78B" w14:textId="74AE537F" w:rsidR="003B5E18" w:rsidRPr="00CE28E3" w:rsidRDefault="003B5E18" w:rsidP="003B5E18">
            <w:pPr>
              <w:pStyle w:val="TableHeading"/>
              <w:rPr>
                <w:b w:val="0"/>
              </w:rPr>
            </w:pPr>
            <w:r>
              <w:rPr>
                <w:b w:val="0"/>
              </w:rPr>
              <w:t xml:space="preserve">For more details, see </w:t>
            </w:r>
            <w:r w:rsidRPr="00A361A2">
              <w:rPr>
                <w:b w:val="0"/>
              </w:rPr>
              <w:fldChar w:fldCharType="begin"/>
            </w:r>
            <w:r w:rsidRPr="00A361A2">
              <w:rPr>
                <w:b w:val="0"/>
              </w:rPr>
              <w:instrText xml:space="preserve"> REF _Ref108535290 \h  \* MERGEFORMAT </w:instrText>
            </w:r>
            <w:r w:rsidRPr="00A361A2">
              <w:rPr>
                <w:b w:val="0"/>
              </w:rPr>
            </w:r>
            <w:r w:rsidRPr="00A361A2">
              <w:rPr>
                <w:b w:val="0"/>
              </w:rPr>
              <w:fldChar w:fldCharType="separate"/>
            </w:r>
            <w:r w:rsidR="00C857F3" w:rsidRPr="00C857F3">
              <w:rPr>
                <w:b w:val="0"/>
              </w:rPr>
              <w:t xml:space="preserve">Table </w:t>
            </w:r>
            <w:r w:rsidR="00C857F3" w:rsidRPr="00C857F3">
              <w:rPr>
                <w:b w:val="0"/>
                <w:noProof/>
              </w:rPr>
              <w:t>78</w:t>
            </w:r>
            <w:r w:rsidRPr="00A361A2">
              <w:rPr>
                <w:b w:val="0"/>
              </w:rPr>
              <w:fldChar w:fldCharType="end"/>
            </w:r>
            <w:r>
              <w:rPr>
                <w:b w:val="0"/>
              </w:rPr>
              <w:t xml:space="preserve"> </w:t>
            </w:r>
          </w:p>
        </w:tc>
        <w:tc>
          <w:tcPr>
            <w:tcW w:w="324" w:type="pct"/>
            <w:shd w:val="clear" w:color="auto" w:fill="auto"/>
          </w:tcPr>
          <w:p w14:paraId="5CFAE5DA" w14:textId="513A9203" w:rsidR="003B5E18" w:rsidRPr="00CE28E3" w:rsidRDefault="003B5E18" w:rsidP="003B5E18">
            <w:pPr>
              <w:pStyle w:val="TableHeading"/>
              <w:rPr>
                <w:b w:val="0"/>
              </w:rPr>
            </w:pPr>
            <w:r>
              <w:rPr>
                <w:b w:val="0"/>
              </w:rPr>
              <w:t>4081</w:t>
            </w:r>
          </w:p>
        </w:tc>
        <w:tc>
          <w:tcPr>
            <w:tcW w:w="613" w:type="pct"/>
            <w:shd w:val="clear" w:color="auto" w:fill="auto"/>
          </w:tcPr>
          <w:p w14:paraId="4BCD92AC" w14:textId="56D4D147" w:rsidR="003B5E18" w:rsidRDefault="003B5E18" w:rsidP="003B5E18">
            <w:pPr>
              <w:pStyle w:val="TableHeading"/>
              <w:rPr>
                <w:b w:val="0"/>
              </w:rPr>
            </w:pPr>
            <w:r>
              <w:rPr>
                <w:b w:val="0"/>
              </w:rPr>
              <w:t>Within-patient cohort studies (retrospective or prospective), or diagnostic case-control studies</w:t>
            </w:r>
          </w:p>
          <w:p w14:paraId="3D6D62FD" w14:textId="1FE01804" w:rsidR="003B5E18" w:rsidRDefault="003B5E18" w:rsidP="003B5E18">
            <w:pPr>
              <w:pStyle w:val="TableHeading"/>
              <w:rPr>
                <w:b w:val="0"/>
              </w:rPr>
            </w:pPr>
            <w:r>
              <w:rPr>
                <w:b w:val="0"/>
              </w:rPr>
              <w:t>Level III-2 and level III-3 diagnostic levels of evidence</w:t>
            </w:r>
          </w:p>
          <w:p w14:paraId="2050CB8A" w14:textId="34915DAD" w:rsidR="003B5E18" w:rsidRPr="00CE28E3" w:rsidRDefault="003B5E18" w:rsidP="003B5E18">
            <w:pPr>
              <w:pStyle w:val="TableHeading"/>
              <w:rPr>
                <w:b w:val="0"/>
              </w:rPr>
            </w:pPr>
            <w:r>
              <w:rPr>
                <w:b w:val="0"/>
              </w:rPr>
              <w:t>Predominan</w:t>
            </w:r>
            <w:r w:rsidR="00496C48">
              <w:rPr>
                <w:b w:val="0"/>
              </w:rPr>
              <w:t>tly low to moderate risk of bias (QUADAS 2)</w:t>
            </w:r>
          </w:p>
        </w:tc>
        <w:tc>
          <w:tcPr>
            <w:tcW w:w="650" w:type="pct"/>
          </w:tcPr>
          <w:p w14:paraId="569D43D3" w14:textId="7AFF89DE" w:rsidR="003B5E18" w:rsidRPr="00CE28E3" w:rsidRDefault="003B5E18" w:rsidP="003B5E18">
            <w:pPr>
              <w:pStyle w:val="TableHeading"/>
              <w:rPr>
                <w:b w:val="0"/>
              </w:rPr>
            </w:pPr>
            <w:r>
              <w:rPr>
                <w:b w:val="0"/>
              </w:rPr>
              <w:t>Patients with NSCLC, with sufficient tumour tissue/ cytology sample available for both tests (i.e. only including samples with results on both tests)</w:t>
            </w:r>
          </w:p>
        </w:tc>
        <w:tc>
          <w:tcPr>
            <w:tcW w:w="865" w:type="pct"/>
          </w:tcPr>
          <w:p w14:paraId="6A3FD58F" w14:textId="207B3752" w:rsidR="003B5E18" w:rsidRPr="00CE28E3" w:rsidRDefault="003B5E18" w:rsidP="003B5E18">
            <w:pPr>
              <w:pStyle w:val="TableHeading"/>
              <w:rPr>
                <w:b w:val="0"/>
              </w:rPr>
            </w:pPr>
            <w:r>
              <w:rPr>
                <w:b w:val="0"/>
              </w:rPr>
              <w:t xml:space="preserve">NGS  (hybrid-capture NGS, Compact NGS panel, Ion Ampliseq cancer hotspot panel, TruSight 170, Lung core 56 panel, </w:t>
            </w:r>
            <w:r w:rsidR="006D1FCB">
              <w:rPr>
                <w:b w:val="0"/>
              </w:rPr>
              <w:t xml:space="preserve">OncoAim, Oncomine Dx Target Test, SNUH FIRST cancer panel, K-MASTER Cancer </w:t>
            </w:r>
            <w:r w:rsidR="009C150D">
              <w:rPr>
                <w:b w:val="0"/>
              </w:rPr>
              <w:t>panel</w:t>
            </w:r>
            <w:r w:rsidR="006D1FCB">
              <w:rPr>
                <w:b w:val="0"/>
              </w:rPr>
              <w:t>, 454 GS-Junior NGS, Iontorrent Lung panel or not specified)</w:t>
            </w:r>
          </w:p>
        </w:tc>
        <w:tc>
          <w:tcPr>
            <w:tcW w:w="845" w:type="pct"/>
            <w:shd w:val="clear" w:color="auto" w:fill="auto"/>
          </w:tcPr>
          <w:p w14:paraId="69F97B62" w14:textId="77777777" w:rsidR="003B5E18" w:rsidRDefault="003B5E18" w:rsidP="003B5E18">
            <w:pPr>
              <w:pStyle w:val="TableHeading"/>
              <w:rPr>
                <w:b w:val="0"/>
              </w:rPr>
            </w:pPr>
            <w:r>
              <w:rPr>
                <w:b w:val="0"/>
                <w:i/>
              </w:rPr>
              <w:t>EGFR</w:t>
            </w:r>
            <w:r>
              <w:rPr>
                <w:b w:val="0"/>
              </w:rPr>
              <w:t xml:space="preserve">: RT-PCR, ARMS-PCR, MLPA, PNA-LNA clamp, PCR, SS, cobas PCR, Idylla </w:t>
            </w:r>
            <w:r>
              <w:rPr>
                <w:b w:val="0"/>
                <w:i/>
              </w:rPr>
              <w:t xml:space="preserve">EGFR </w:t>
            </w:r>
            <w:r>
              <w:rPr>
                <w:b w:val="0"/>
              </w:rPr>
              <w:t>mutation test, or pyrosequencing</w:t>
            </w:r>
          </w:p>
          <w:p w14:paraId="09BC70FC" w14:textId="77777777" w:rsidR="003B5E18" w:rsidRDefault="003B5E18" w:rsidP="003B5E18">
            <w:pPr>
              <w:pStyle w:val="TableHeading"/>
              <w:rPr>
                <w:b w:val="0"/>
              </w:rPr>
            </w:pPr>
            <w:r>
              <w:rPr>
                <w:b w:val="0"/>
                <w:i/>
              </w:rPr>
              <w:t>ALK</w:t>
            </w:r>
            <w:r>
              <w:rPr>
                <w:b w:val="0"/>
              </w:rPr>
              <w:t>: IHC + FISH or FISH</w:t>
            </w:r>
          </w:p>
          <w:p w14:paraId="32ACC03C" w14:textId="77777777" w:rsidR="003B5E18" w:rsidRDefault="003B5E18" w:rsidP="003B5E18">
            <w:pPr>
              <w:pStyle w:val="TableHeading"/>
              <w:jc w:val="both"/>
              <w:rPr>
                <w:b w:val="0"/>
              </w:rPr>
            </w:pPr>
            <w:r>
              <w:rPr>
                <w:b w:val="0"/>
                <w:i/>
              </w:rPr>
              <w:t>ROS1</w:t>
            </w:r>
            <w:r>
              <w:rPr>
                <w:b w:val="0"/>
              </w:rPr>
              <w:t xml:space="preserve">: </w:t>
            </w:r>
            <w:r w:rsidR="006D1FCB">
              <w:rPr>
                <w:b w:val="0"/>
              </w:rPr>
              <w:t>FISH or real-time PCR or reverse-transcription PCR</w:t>
            </w:r>
          </w:p>
          <w:p w14:paraId="2DF0BBF9" w14:textId="69681A35" w:rsidR="006D1FCB" w:rsidRPr="003B5E18" w:rsidRDefault="006D1FCB" w:rsidP="003B5E18">
            <w:pPr>
              <w:pStyle w:val="TableHeading"/>
              <w:jc w:val="both"/>
              <w:rPr>
                <w:b w:val="0"/>
              </w:rPr>
            </w:pPr>
            <w:r w:rsidRPr="006D1FCB">
              <w:rPr>
                <w:b w:val="0"/>
                <w:i/>
              </w:rPr>
              <w:t>METe</w:t>
            </w:r>
            <w:r>
              <w:rPr>
                <w:b w:val="0"/>
              </w:rPr>
              <w:t xml:space="preserve">x14sk: Archer </w:t>
            </w:r>
            <w:r w:rsidRPr="006D1FCB">
              <w:rPr>
                <w:b w:val="0"/>
                <w:i/>
              </w:rPr>
              <w:t>MET</w:t>
            </w:r>
            <w:r>
              <w:rPr>
                <w:b w:val="0"/>
              </w:rPr>
              <w:t xml:space="preserve"> test</w:t>
            </w:r>
          </w:p>
        </w:tc>
        <w:tc>
          <w:tcPr>
            <w:tcW w:w="572" w:type="pct"/>
            <w:shd w:val="clear" w:color="auto" w:fill="auto"/>
          </w:tcPr>
          <w:p w14:paraId="0767FDF3" w14:textId="28E1C3FA" w:rsidR="003B5E18" w:rsidRPr="00CE28E3" w:rsidRDefault="003B5E18" w:rsidP="003B5E18">
            <w:pPr>
              <w:pStyle w:val="TableHeading"/>
              <w:rPr>
                <w:b w:val="0"/>
              </w:rPr>
            </w:pPr>
            <w:r>
              <w:rPr>
                <w:b w:val="0"/>
              </w:rPr>
              <w:t>Concordance between testing methods on EGFR, ALK, ROS and METex14sk</w:t>
            </w:r>
          </w:p>
        </w:tc>
        <w:tc>
          <w:tcPr>
            <w:tcW w:w="598" w:type="pct"/>
          </w:tcPr>
          <w:p w14:paraId="3B86197C" w14:textId="645EA63F" w:rsidR="003B5E18" w:rsidRPr="00CE28E3" w:rsidRDefault="003B5E18" w:rsidP="003B5E18">
            <w:pPr>
              <w:pStyle w:val="TableHeading"/>
              <w:rPr>
                <w:b w:val="0"/>
              </w:rPr>
            </w:pPr>
            <w:r>
              <w:rPr>
                <w:b w:val="0"/>
              </w:rPr>
              <w:t>Yes</w:t>
            </w:r>
          </w:p>
        </w:tc>
      </w:tr>
    </w:tbl>
    <w:p w14:paraId="78543E67" w14:textId="7240730F" w:rsidR="005A7318" w:rsidRDefault="005A7318" w:rsidP="005A7318">
      <w:pPr>
        <w:pStyle w:val="Tablenotes"/>
      </w:pPr>
      <w:r w:rsidRPr="007C7AB1">
        <w:rPr>
          <w:i/>
        </w:rPr>
        <w:t>ALK</w:t>
      </w:r>
      <w:r>
        <w:t xml:space="preserve"> = </w:t>
      </w:r>
      <w:r w:rsidRPr="00561C5F">
        <w:t>anaplastic lymphoma kinase</w:t>
      </w:r>
      <w:r>
        <w:t xml:space="preserve">; ARMS-PCR = amplification-refractory mutation system polymerase chain reaction; </w:t>
      </w:r>
      <w:r w:rsidRPr="007C7AB1">
        <w:rPr>
          <w:i/>
        </w:rPr>
        <w:t>EGFR</w:t>
      </w:r>
      <w:r>
        <w:t xml:space="preserve"> = epidermal growth factor receptor; FISH = fluorescent </w:t>
      </w:r>
      <w:r w:rsidRPr="00956452">
        <w:rPr>
          <w:i/>
        </w:rPr>
        <w:t>in situ</w:t>
      </w:r>
      <w:r>
        <w:t xml:space="preserve"> hybridisation; IHC = immunohistochemistry; MLPA = Multiplex ligation-dependent probe amplification; </w:t>
      </w:r>
      <w:r w:rsidRPr="00CE4DC5">
        <w:rPr>
          <w:i/>
        </w:rPr>
        <w:t>MET</w:t>
      </w:r>
      <w:r w:rsidRPr="00CE4DC5">
        <w:t xml:space="preserve"> =</w:t>
      </w:r>
      <w:r>
        <w:t xml:space="preserve"> </w:t>
      </w:r>
      <w:r w:rsidRPr="008F67AF">
        <w:rPr>
          <w:szCs w:val="18"/>
        </w:rPr>
        <w:t>mesenchymal-epithelial transition</w:t>
      </w:r>
      <w:r>
        <w:rPr>
          <w:szCs w:val="18"/>
        </w:rPr>
        <w:t xml:space="preserve">; </w:t>
      </w:r>
      <w:r>
        <w:t xml:space="preserve">NGS = next generation sequencing; NSCLC = non-small cell lung cancer; </w:t>
      </w:r>
      <w:r w:rsidRPr="00380685">
        <w:rPr>
          <w:i/>
        </w:rPr>
        <w:t>ROS1</w:t>
      </w:r>
      <w:r>
        <w:t xml:space="preserve"> = ROS proto-oncogene 1; RT-PCR = real time polymerase chain reaction; SS = Sanger sequencing</w:t>
      </w:r>
    </w:p>
    <w:p w14:paraId="648E1100" w14:textId="75CE65FC" w:rsidR="000D4C1B" w:rsidRDefault="00400BC7" w:rsidP="00674C7D">
      <w:pPr>
        <w:pStyle w:val="Heading3"/>
      </w:pPr>
      <w:bookmarkStart w:id="97" w:name="_Toc148531154"/>
      <w:bookmarkEnd w:id="94"/>
      <w:r>
        <w:t>2</w:t>
      </w:r>
      <w:r w:rsidR="000D4C1B" w:rsidRPr="00CE28E3">
        <w:t>.2.4</w:t>
      </w:r>
      <w:r w:rsidR="008967C4">
        <w:tab/>
      </w:r>
      <w:r w:rsidR="000D4C1B" w:rsidRPr="00CE28E3">
        <w:t>Results</w:t>
      </w:r>
      <w:bookmarkEnd w:id="97"/>
    </w:p>
    <w:p w14:paraId="363E79A7" w14:textId="7C2F24AD" w:rsidR="002E3CFF" w:rsidRDefault="003A3CB0" w:rsidP="002E3CFF">
      <w:pPr>
        <w:pStyle w:val="Heading4"/>
      </w:pPr>
      <w:bookmarkStart w:id="98" w:name="_Ref106806294"/>
      <w:r>
        <w:t>Success rate of testing/rate of sufficient tissue</w:t>
      </w:r>
      <w:bookmarkEnd w:id="98"/>
    </w:p>
    <w:p w14:paraId="106C7960" w14:textId="5A116D55" w:rsidR="0078378E" w:rsidRDefault="002E3CFF" w:rsidP="002E3CFF">
      <w:r>
        <w:t>One of the claims made regarding the use of a small NGS panel rather than sequential testing, is that it makes more efficient use of the tumour sample, requiring fewer re-bio</w:t>
      </w:r>
      <w:r w:rsidR="0078378E">
        <w:t xml:space="preserve">psies (and is therefore safer). </w:t>
      </w:r>
      <w:r>
        <w:t xml:space="preserve">In the </w:t>
      </w:r>
      <w:r w:rsidR="00197D44">
        <w:t xml:space="preserve">majority of the </w:t>
      </w:r>
      <w:r>
        <w:t>literature identified in the systematic review, rebiopsies were only performed at the point of progression. If patients had insufficient tissue for testing, then international practice is to use circulating t</w:t>
      </w:r>
      <w:r w:rsidR="00024D34">
        <w:t>umour</w:t>
      </w:r>
      <w:r>
        <w:t xml:space="preserve"> DNA extraction and evaluation, rather than rebiopsy </w:t>
      </w:r>
      <w:r w:rsidR="00B4668F">
        <w:fldChar w:fldCharType="begin">
          <w:fldData xml:space="preserve">PEVuZE5vdGU+PENpdGU+PEF1dGhvcj5MaTwvQXV0aG9yPjxZZWFyPjIwMjE8L1llYXI+PFJlY051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bT4xMTY8L1JlY051bT48SURUZXh0PjEwMDE2NzwvSURUZXh0PjxEaXNwbGF5VGV4dD4oR3JpZXNp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</w:fldData>
        </w:fldChar>
      </w:r>
      <w:r w:rsidR="006D4612">
        <w:instrText xml:space="preserve"> ADDIN EN.CITE.DATA </w:instrText>
      </w:r>
      <w:r w:rsidR="006D4612">
        <w:fldChar w:fldCharType="end"/>
      </w:r>
      <w:r w:rsidR="00B4668F">
        <w:fldChar w:fldCharType="separate"/>
      </w:r>
      <w:r w:rsidR="006D4612">
        <w:rPr>
          <w:noProof/>
        </w:rPr>
        <w:t>(Griesinger et al. 2021; Li, W, Li, Y, et al. 2021)</w:t>
      </w:r>
      <w:r w:rsidR="00B4668F">
        <w:fldChar w:fldCharType="end"/>
      </w:r>
      <w:r w:rsidR="000D50C7">
        <w:t xml:space="preserve">. However, assessing use to circulating tumour DNA extraction and evaluation is out of scope of this assessment. </w:t>
      </w:r>
      <w:r w:rsidR="003A0032">
        <w:t xml:space="preserve"> </w:t>
      </w:r>
      <w:r w:rsidR="00024D34">
        <w:t>For more discussion on testing of circulating tumour DNA, see ‘</w:t>
      </w:r>
      <w:r w:rsidR="00024D34">
        <w:fldChar w:fldCharType="begin"/>
      </w:r>
      <w:r w:rsidR="00024D34">
        <w:instrText xml:space="preserve"> REF _Ref106802859 \h </w:instrText>
      </w:r>
      <w:r w:rsidR="00024D34">
        <w:fldChar w:fldCharType="separate"/>
      </w:r>
      <w:r w:rsidR="00C857F3" w:rsidRPr="00CE28E3">
        <w:t>Section 5</w:t>
      </w:r>
      <w:r w:rsidR="00C857F3" w:rsidRPr="00CE28E3">
        <w:tab/>
        <w:t xml:space="preserve">Other relevant </w:t>
      </w:r>
      <w:r w:rsidR="00C857F3" w:rsidRPr="00CE28E3">
        <w:lastRenderedPageBreak/>
        <w:t>information</w:t>
      </w:r>
      <w:r w:rsidR="00024D34">
        <w:fldChar w:fldCharType="end"/>
      </w:r>
      <w:r w:rsidR="00024D34">
        <w:t xml:space="preserve">’. </w:t>
      </w:r>
      <w:r w:rsidR="00EC5C1B">
        <w:t xml:space="preserve">However, in Australian practice, access to PBS-listed drugs for </w:t>
      </w:r>
      <w:r w:rsidR="00197D44">
        <w:t xml:space="preserve">targetable variants in NSCLC is restricted to those which </w:t>
      </w:r>
      <w:r w:rsidR="00EC5C1B">
        <w:t xml:space="preserve">have been identified in tumour tissue or cytology. </w:t>
      </w:r>
      <w:r w:rsidR="00197D44">
        <w:t>There is the possibility that patients with insufficient tumour tissue</w:t>
      </w:r>
      <w:r w:rsidR="0090004A">
        <w:t xml:space="preserve"> for</w:t>
      </w:r>
      <w:r w:rsidR="00197D44">
        <w:t xml:space="preserve"> testing would therefore have a rebiopsy. </w:t>
      </w:r>
    </w:p>
    <w:p w14:paraId="60FEC159" w14:textId="1B95BFF4" w:rsidR="002E3CFF" w:rsidRDefault="00481DFE" w:rsidP="007B6731">
      <w:r>
        <w:t xml:space="preserve">The best evidence identified on success rates of testing was published by Steeghs et al. (2022) </w:t>
      </w:r>
      <w:r w:rsidR="009B5A2A">
        <w:t xml:space="preserve">in a </w:t>
      </w:r>
      <w:r w:rsidR="00F86E32">
        <w:t xml:space="preserve">large </w:t>
      </w:r>
      <w:r w:rsidR="009B5A2A">
        <w:t>retrospective cohort study</w:t>
      </w:r>
      <w:r w:rsidR="00F86E32">
        <w:t xml:space="preserve"> from the Netherlands</w:t>
      </w:r>
      <w:r w:rsidR="009B5A2A">
        <w:t xml:space="preserve"> (with a comparison between cohorts of patients rather than within-patient comparisons)</w:t>
      </w:r>
      <w:r w:rsidR="0053485A" w:rsidRPr="0053485A">
        <w:t xml:space="preserve"> </w: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 </w:instrTex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EN.CITE.DATA </w:instrText>
      </w:r>
      <w:r w:rsidR="00B4668F">
        <w:fldChar w:fldCharType="end"/>
      </w:r>
      <w:r w:rsidR="00B4668F">
        <w:fldChar w:fldCharType="separate"/>
      </w:r>
      <w:r w:rsidR="00B4668F">
        <w:rPr>
          <w:noProof/>
        </w:rPr>
        <w:t>(Steeghs et al. 2022)</w:t>
      </w:r>
      <w:r w:rsidR="00B4668F">
        <w:fldChar w:fldCharType="end"/>
      </w:r>
      <w:r w:rsidR="009B5A2A">
        <w:t xml:space="preserve">. The other studies which provided comparisons of </w:t>
      </w:r>
      <w:r w:rsidR="007B6731">
        <w:t>the success rate of sequential testing and NGS were within-patient (</w:t>
      </w:r>
      <w:r w:rsidR="002E3CFF">
        <w:t>whe</w:t>
      </w:r>
      <w:r w:rsidR="00CC3239">
        <w:t>re</w:t>
      </w:r>
      <w:r w:rsidR="002E3CFF">
        <w:t xml:space="preserve"> patients were tested </w:t>
      </w:r>
      <w:r w:rsidR="00197D44">
        <w:t xml:space="preserve">samples </w:t>
      </w:r>
      <w:r w:rsidR="002E3CFF">
        <w:t>using both an NGS panel and with sequential testing)</w:t>
      </w:r>
      <w:r w:rsidR="007B6731">
        <w:t>. C</w:t>
      </w:r>
      <w:r w:rsidR="002E3CFF">
        <w:t xml:space="preserve">omparing the rate of insufficient tissue </w:t>
      </w:r>
      <w:r w:rsidR="007B6731">
        <w:t xml:space="preserve">from this style of study </w:t>
      </w:r>
      <w:r w:rsidR="00CC3239">
        <w:t>may not reflect results achieved in clinical practice where NGS is expected to replace sequential testing</w:t>
      </w:r>
      <w:r w:rsidR="002E3CFF">
        <w:t>, as the prior use of one type of test would influence the volume of tissu</w:t>
      </w:r>
      <w:r w:rsidR="00CC3239">
        <w:t>e left for subsequent tests</w:t>
      </w:r>
      <w:r w:rsidR="00857124">
        <w:t xml:space="preserve"> (for more information on the results from within-study comparisons, see </w:t>
      </w:r>
      <w:r w:rsidR="00857124">
        <w:fldChar w:fldCharType="begin"/>
      </w:r>
      <w:r w:rsidR="00857124">
        <w:instrText xml:space="preserve"> REF _Ref106359877 \h </w:instrText>
      </w:r>
      <w:r w:rsidR="00857124">
        <w:fldChar w:fldCharType="separate"/>
      </w:r>
      <w:r w:rsidR="00C857F3">
        <w:t xml:space="preserve">Appendix </w:t>
      </w:r>
      <w:r w:rsidR="00C857F3">
        <w:rPr>
          <w:noProof/>
        </w:rPr>
        <w:t>D</w:t>
      </w:r>
      <w:r w:rsidR="00857124">
        <w:fldChar w:fldCharType="end"/>
      </w:r>
      <w:r w:rsidR="00857124">
        <w:t>).</w:t>
      </w:r>
    </w:p>
    <w:p w14:paraId="6BDB7E5E" w14:textId="0349D93F" w:rsidR="00EC5C1B" w:rsidRDefault="007B6731" w:rsidP="002E3CFF">
      <w:r>
        <w:t xml:space="preserve">Steeghs et al. (2022) reported that </w:t>
      </w:r>
      <w:r w:rsidR="003A3CB0">
        <w:t>NGS had a higher rate of success of testing all the genes of interest in patients with NSCLC, than the comparative sequential single-gene strategy (97.2% vs 94.6%</w:t>
      </w:r>
      <w:r w:rsidR="006A0EA5">
        <w:t xml:space="preserve">; </w:t>
      </w:r>
      <w:r w:rsidR="006A0EA5">
        <w:fldChar w:fldCharType="begin"/>
      </w:r>
      <w:r w:rsidR="006A0EA5">
        <w:instrText xml:space="preserve"> REF _Ref107561697 \h </w:instrText>
      </w:r>
      <w:r w:rsidR="006A0EA5">
        <w:fldChar w:fldCharType="separate"/>
      </w:r>
      <w:r w:rsidR="00C857F3">
        <w:t xml:space="preserve">Table </w:t>
      </w:r>
      <w:r w:rsidR="00C857F3">
        <w:rPr>
          <w:noProof/>
        </w:rPr>
        <w:t>28</w:t>
      </w:r>
      <w:r w:rsidR="006A0EA5">
        <w:fldChar w:fldCharType="end"/>
      </w:r>
      <w:r w:rsidR="006A0EA5">
        <w:t xml:space="preserve">, </w:t>
      </w:r>
      <w:r w:rsidR="006A0EA5">
        <w:fldChar w:fldCharType="begin"/>
      </w:r>
      <w:r w:rsidR="006A0EA5">
        <w:instrText xml:space="preserve"> REF _Ref107561710 \h </w:instrText>
      </w:r>
      <w:r w:rsidR="006A0EA5">
        <w:fldChar w:fldCharType="separate"/>
      </w:r>
      <w:r w:rsidR="00C857F3">
        <w:t xml:space="preserve">Figure </w:t>
      </w:r>
      <w:r w:rsidR="00C857F3">
        <w:rPr>
          <w:noProof/>
        </w:rPr>
        <w:t>9</w:t>
      </w:r>
      <w:r w:rsidR="006A0EA5">
        <w:fldChar w:fldCharType="end"/>
      </w:r>
      <w:r w:rsidR="003A3CB0">
        <w:t>)</w:t>
      </w:r>
      <w:r w:rsidR="0053485A" w:rsidRPr="0053485A">
        <w:t xml:space="preserve"> </w: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 </w:instrTex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EN.CITE.DATA </w:instrText>
      </w:r>
      <w:r w:rsidR="00B4668F">
        <w:fldChar w:fldCharType="end"/>
      </w:r>
      <w:r w:rsidR="00B4668F">
        <w:fldChar w:fldCharType="separate"/>
      </w:r>
      <w:r w:rsidR="00B4668F">
        <w:rPr>
          <w:noProof/>
        </w:rPr>
        <w:t>(Steeghs et al. 2022)</w:t>
      </w:r>
      <w:r w:rsidR="00B4668F">
        <w:fldChar w:fldCharType="end"/>
      </w:r>
      <w:r w:rsidR="003A3CB0">
        <w:t xml:space="preserve">. </w:t>
      </w:r>
      <w:r w:rsidR="0042005A">
        <w:t xml:space="preserve">Therefore, if NGS replaced sequential gene-testing, for every 1000 patients tested, an additional 26 patients would receive results for the genes of interest. </w:t>
      </w:r>
    </w:p>
    <w:p w14:paraId="27249B0F" w14:textId="7374A1C1" w:rsidR="0091370A" w:rsidRPr="003F174D" w:rsidRDefault="003F174D" w:rsidP="002E3CFF">
      <w:r>
        <w:t xml:space="preserve">It is unknown how applicable the data from this study are to Australia, as biomarkers other than </w:t>
      </w:r>
      <w:r>
        <w:rPr>
          <w:i/>
        </w:rPr>
        <w:t>EGFR, ALK, ROS1</w:t>
      </w:r>
      <w:r>
        <w:t xml:space="preserve"> and </w:t>
      </w:r>
      <w:r>
        <w:rPr>
          <w:i/>
        </w:rPr>
        <w:t xml:space="preserve">MET </w:t>
      </w:r>
      <w:r>
        <w:t>were also assessed in some patient</w:t>
      </w:r>
      <w:r w:rsidR="00586126">
        <w:t>s</w:t>
      </w:r>
      <w:r>
        <w:t xml:space="preserve">, and gene fusions were tested with a mix of NGS on RNA, FISH and IHC. </w:t>
      </w:r>
      <w:r w:rsidR="006278CE">
        <w:t xml:space="preserve">The certainty of the evidence was rated as </w:t>
      </w:r>
      <w:r w:rsidR="00496C48">
        <w:t>moderate</w:t>
      </w:r>
      <w:r w:rsidR="006278CE">
        <w:t xml:space="preserve">, due to the difference between the proposed intervention (Small DNA/RNA panel or DNA ± RNA panels) and the study (which included the use of IHC and FISH for gene fusions), the observational study design, and the </w:t>
      </w:r>
      <w:r w:rsidR="00496C48">
        <w:t>low to moderate</w:t>
      </w:r>
      <w:r w:rsidR="006278CE">
        <w:t xml:space="preserve"> risk of bias in the study (GRADE </w:t>
      </w:r>
      <w:r w:rsidR="006278CE" w:rsidRPr="006278CE">
        <w:rPr>
          <w:rFonts w:ascii="Cambria Math" w:hAnsi="Cambria Math" w:cs="Cambria Math"/>
          <w:color w:val="00B050"/>
        </w:rPr>
        <w:t>⊕</w:t>
      </w:r>
      <w:r w:rsidR="00496C48" w:rsidRPr="006278CE">
        <w:rPr>
          <w:rFonts w:ascii="Cambria Math" w:hAnsi="Cambria Math" w:cs="Cambria Math"/>
          <w:color w:val="00B050"/>
        </w:rPr>
        <w:t>⊕</w:t>
      </w:r>
      <w:r w:rsidR="006278CE" w:rsidRPr="006278CE">
        <w:rPr>
          <w:rFonts w:ascii="Cambria Math" w:hAnsi="Cambria Math" w:cs="Cambria Math"/>
          <w:color w:val="C00000"/>
        </w:rPr>
        <w:t>⊝⊝</w:t>
      </w:r>
      <w:r w:rsidR="006278CE">
        <w:t xml:space="preserve">). </w:t>
      </w:r>
    </w:p>
    <w:p w14:paraId="3DCDC8BC" w14:textId="60B7FB68" w:rsidR="00024D34" w:rsidRDefault="00024D34" w:rsidP="00024D34">
      <w:pPr>
        <w:pStyle w:val="Caption"/>
      </w:pPr>
      <w:bookmarkStart w:id="99" w:name="_Ref107561697"/>
      <w:bookmarkStart w:id="100" w:name="_Ref107561693"/>
      <w:r>
        <w:t xml:space="preserve">Table </w:t>
      </w:r>
      <w:fldSimple w:instr=" SEQ Table \* ARABIC ">
        <w:r w:rsidR="00C857F3">
          <w:rPr>
            <w:noProof/>
          </w:rPr>
          <w:t>28</w:t>
        </w:r>
      </w:fldSimple>
      <w:bookmarkEnd w:id="99"/>
      <w:r>
        <w:tab/>
        <w:t>Success rates of sequential single-gene testing and NGS (</w:t>
      </w:r>
      <w:r w:rsidR="00507833">
        <w:t>between</w:t>
      </w:r>
      <w:r w:rsidR="00077451">
        <w:t>-</w:t>
      </w:r>
      <w:r w:rsidR="00507833">
        <w:t>patient comparison</w:t>
      </w:r>
      <w:r w:rsidR="00B371FB">
        <w:t>)</w:t>
      </w:r>
      <w:bookmarkEnd w:id="100"/>
    </w:p>
    <w:tbl>
      <w:tblPr>
        <w:tblStyle w:val="TableGrid"/>
        <w:tblW w:w="5000" w:type="pct"/>
        <w:tblLook w:val="04A0" w:firstRow="1" w:lastRow="0" w:firstColumn="1" w:lastColumn="0" w:noHBand="0" w:noVBand="1"/>
        <w:tblCaption w:val="Success rates of sequential single-gene testing and NGS (between-patient comparison)"/>
        <w:tblDescription w:val="Success rates of sequential single-gene testing and NGS (between-patient comparison)"/>
      </w:tblPr>
      <w:tblGrid>
        <w:gridCol w:w="919"/>
        <w:gridCol w:w="1429"/>
        <w:gridCol w:w="1155"/>
        <w:gridCol w:w="1657"/>
        <w:gridCol w:w="1340"/>
        <w:gridCol w:w="1176"/>
        <w:gridCol w:w="1340"/>
      </w:tblGrid>
      <w:tr w:rsidR="004910CD" w14:paraId="068CA27F" w14:textId="77777777" w:rsidTr="003A6029">
        <w:trPr>
          <w:trHeight w:val="70"/>
          <w:tblHeader/>
        </w:trPr>
        <w:tc>
          <w:tcPr>
            <w:tcW w:w="510" w:type="pct"/>
          </w:tcPr>
          <w:p w14:paraId="73073ED6" w14:textId="2684CBCC" w:rsidR="004910CD" w:rsidRDefault="004910CD" w:rsidP="00EB1F76">
            <w:pPr>
              <w:pStyle w:val="Tabletext0"/>
            </w:pPr>
            <w:r>
              <w:t>Study</w:t>
            </w:r>
          </w:p>
        </w:tc>
        <w:tc>
          <w:tcPr>
            <w:tcW w:w="792" w:type="pct"/>
          </w:tcPr>
          <w:p w14:paraId="0D7349CB" w14:textId="17609045" w:rsidR="004910CD" w:rsidRDefault="004910CD" w:rsidP="00EB1F76">
            <w:pPr>
              <w:pStyle w:val="In-tableHeading"/>
            </w:pPr>
            <w:r>
              <w:t>Population</w:t>
            </w:r>
          </w:p>
        </w:tc>
        <w:tc>
          <w:tcPr>
            <w:tcW w:w="641" w:type="pct"/>
          </w:tcPr>
          <w:p w14:paraId="780298D7" w14:textId="38577013" w:rsidR="004910CD" w:rsidRPr="003A3CB0" w:rsidRDefault="004910CD" w:rsidP="00EB1F76">
            <w:pPr>
              <w:pStyle w:val="In-tableHeading"/>
              <w:rPr>
                <w:i/>
              </w:rPr>
            </w:pPr>
            <w:r>
              <w:t>Intervention</w:t>
            </w:r>
          </w:p>
        </w:tc>
        <w:tc>
          <w:tcPr>
            <w:tcW w:w="919" w:type="pct"/>
          </w:tcPr>
          <w:p w14:paraId="16AE6F1D" w14:textId="24723233" w:rsidR="004910CD" w:rsidRPr="003A3CB0" w:rsidRDefault="004910CD" w:rsidP="00EB1F76">
            <w:pPr>
              <w:pStyle w:val="In-tableHeading"/>
              <w:rPr>
                <w:i/>
              </w:rPr>
            </w:pPr>
            <w:r>
              <w:t>Comparator</w:t>
            </w:r>
          </w:p>
        </w:tc>
        <w:tc>
          <w:tcPr>
            <w:tcW w:w="743" w:type="pct"/>
          </w:tcPr>
          <w:p w14:paraId="3CE95A84" w14:textId="11E6FFED" w:rsidR="004910CD" w:rsidRPr="003A3CB0" w:rsidRDefault="004910CD" w:rsidP="00EB1F76">
            <w:pPr>
              <w:pStyle w:val="In-tableHeading"/>
              <w:rPr>
                <w:i/>
              </w:rPr>
            </w:pPr>
            <w:r>
              <w:t xml:space="preserve">Genes </w:t>
            </w:r>
          </w:p>
        </w:tc>
        <w:tc>
          <w:tcPr>
            <w:tcW w:w="652" w:type="pct"/>
          </w:tcPr>
          <w:p w14:paraId="5F424F85" w14:textId="7F4AF0DB" w:rsidR="004910CD" w:rsidRPr="00EB1F76" w:rsidRDefault="004910CD" w:rsidP="00EB1F76">
            <w:pPr>
              <w:pStyle w:val="In-tableHeading"/>
            </w:pPr>
            <w:r w:rsidRPr="00EB1F76">
              <w:t>Success of single gene testing</w:t>
            </w:r>
          </w:p>
        </w:tc>
        <w:tc>
          <w:tcPr>
            <w:tcW w:w="743" w:type="pct"/>
          </w:tcPr>
          <w:p w14:paraId="0DF18BCB" w14:textId="7FC195B2" w:rsidR="004910CD" w:rsidRPr="00EB1F76" w:rsidRDefault="004910CD" w:rsidP="000935B4">
            <w:pPr>
              <w:pStyle w:val="Tabletext0"/>
              <w:jc w:val="left"/>
              <w:rPr>
                <w:b/>
              </w:rPr>
            </w:pPr>
            <w:r w:rsidRPr="00EB1F76">
              <w:rPr>
                <w:b/>
              </w:rPr>
              <w:t>Success of NGS</w:t>
            </w:r>
          </w:p>
        </w:tc>
      </w:tr>
      <w:tr w:rsidR="004910CD" w14:paraId="0E84EF8E" w14:textId="77777777" w:rsidTr="00585826">
        <w:tc>
          <w:tcPr>
            <w:tcW w:w="510" w:type="pct"/>
            <w:vMerge w:val="restart"/>
          </w:tcPr>
          <w:p w14:paraId="365B6963" w14:textId="26F8F9C1" w:rsidR="004910CD" w:rsidRPr="003A3CB0" w:rsidRDefault="00B4668F" w:rsidP="00806893">
            <w:pPr>
              <w:pStyle w:val="TableText"/>
            </w:pP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 </w:instrTex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EN.CITE.DATA </w:instrText>
            </w:r>
            <w:r>
              <w:fldChar w:fldCharType="end"/>
            </w:r>
            <w:r>
              <w:fldChar w:fldCharType="separate"/>
            </w:r>
            <w:r>
              <w:rPr>
                <w:noProof/>
              </w:rPr>
              <w:t>(Steeghs et al. 2022)</w:t>
            </w:r>
            <w:r>
              <w:fldChar w:fldCharType="end"/>
            </w:r>
          </w:p>
          <w:p w14:paraId="6BE6C571" w14:textId="77777777" w:rsidR="004910CD" w:rsidRDefault="004910CD" w:rsidP="00806893">
            <w:pPr>
              <w:pStyle w:val="TableText"/>
            </w:pPr>
          </w:p>
          <w:p w14:paraId="01B7E436" w14:textId="14144E8E" w:rsidR="004910CD" w:rsidRPr="003A3CB0" w:rsidRDefault="004910CD" w:rsidP="00806893">
            <w:pPr>
              <w:pStyle w:val="TableText"/>
            </w:pPr>
          </w:p>
        </w:tc>
        <w:tc>
          <w:tcPr>
            <w:tcW w:w="792" w:type="pct"/>
            <w:vMerge w:val="restart"/>
          </w:tcPr>
          <w:p w14:paraId="057D9C77" w14:textId="28E31619" w:rsidR="004910CD" w:rsidRDefault="004910CD" w:rsidP="00806893">
            <w:pPr>
              <w:pStyle w:val="TableText"/>
            </w:pPr>
            <w:r>
              <w:t>4233 patients with adenocarcinoma</w:t>
            </w:r>
          </w:p>
        </w:tc>
        <w:tc>
          <w:tcPr>
            <w:tcW w:w="641" w:type="pct"/>
            <w:vMerge w:val="restart"/>
          </w:tcPr>
          <w:p w14:paraId="0610F445" w14:textId="506F7F0F" w:rsidR="004910CD" w:rsidRDefault="004910CD" w:rsidP="00806893">
            <w:pPr>
              <w:pStyle w:val="TableText"/>
            </w:pPr>
            <w:r>
              <w:t xml:space="preserve">NGS </w:t>
            </w:r>
            <w:r w:rsidR="00733CAF">
              <w:t>of DNA</w:t>
            </w:r>
          </w:p>
          <w:p w14:paraId="2B1502CF" w14:textId="6566247D" w:rsidR="005C2C8A" w:rsidRDefault="005C2C8A" w:rsidP="00733CAF">
            <w:pPr>
              <w:pStyle w:val="TableText"/>
            </w:pPr>
            <w:r>
              <w:t xml:space="preserve">Gene fusions examined by FISH, IHC and/or RNA-based </w:t>
            </w:r>
            <w:r w:rsidR="00733CAF">
              <w:t>NGS</w:t>
            </w:r>
          </w:p>
        </w:tc>
        <w:tc>
          <w:tcPr>
            <w:tcW w:w="919" w:type="pct"/>
            <w:vMerge w:val="restart"/>
          </w:tcPr>
          <w:p w14:paraId="75204C9D" w14:textId="050CB81F" w:rsidR="004910CD" w:rsidRDefault="004910CD" w:rsidP="00806893">
            <w:pPr>
              <w:pStyle w:val="TableText"/>
            </w:pPr>
            <w:r>
              <w:t>Predominantly traditional single gene tests (e.g. Sanger sequencing). High sensitive single-gene tests (i.e. ddPCR) only, plus IHC and/or FISH</w:t>
            </w:r>
          </w:p>
        </w:tc>
        <w:tc>
          <w:tcPr>
            <w:tcW w:w="743" w:type="pct"/>
          </w:tcPr>
          <w:p w14:paraId="06BA926F" w14:textId="3314E3CA" w:rsidR="004910CD" w:rsidRPr="00937982" w:rsidRDefault="004910CD" w:rsidP="00806893">
            <w:pPr>
              <w:pStyle w:val="TableText"/>
              <w:rPr>
                <w:vertAlign w:val="superscript"/>
              </w:rPr>
            </w:pPr>
            <w:r w:rsidRPr="003A3CB0">
              <w:rPr>
                <w:i/>
              </w:rPr>
              <w:t>EGFR</w:t>
            </w:r>
          </w:p>
        </w:tc>
        <w:tc>
          <w:tcPr>
            <w:tcW w:w="652" w:type="pct"/>
          </w:tcPr>
          <w:p w14:paraId="5CDF4268" w14:textId="437389C9" w:rsidR="004910CD" w:rsidRPr="00937982" w:rsidRDefault="004910CD" w:rsidP="00806893">
            <w:pPr>
              <w:pStyle w:val="TableText"/>
              <w:rPr>
                <w:vertAlign w:val="superscript"/>
              </w:rPr>
            </w:pPr>
            <w:r>
              <w:t>827/833 (99.3%)</w:t>
            </w:r>
            <w:r>
              <w:rPr>
                <w:vertAlign w:val="superscript"/>
              </w:rPr>
              <w:t>a</w:t>
            </w:r>
          </w:p>
        </w:tc>
        <w:tc>
          <w:tcPr>
            <w:tcW w:w="743" w:type="pct"/>
            <w:vMerge w:val="restart"/>
          </w:tcPr>
          <w:p w14:paraId="607930EB" w14:textId="59107A92" w:rsidR="004910CD" w:rsidRDefault="004910CD" w:rsidP="00806893">
            <w:pPr>
              <w:pStyle w:val="TableText"/>
            </w:pPr>
            <w:r>
              <w:t>Overall</w:t>
            </w:r>
          </w:p>
          <w:p w14:paraId="342BC72E" w14:textId="110AA56E" w:rsidR="004910CD" w:rsidRDefault="004910CD" w:rsidP="00806893">
            <w:pPr>
              <w:pStyle w:val="TableText"/>
            </w:pPr>
            <w:r>
              <w:t>3248/3342 (97.2%) success</w:t>
            </w:r>
            <w:r>
              <w:rPr>
                <w:vertAlign w:val="superscript"/>
              </w:rPr>
              <w:t>b</w:t>
            </w:r>
          </w:p>
        </w:tc>
      </w:tr>
      <w:tr w:rsidR="004910CD" w14:paraId="5D195307" w14:textId="77777777" w:rsidTr="00585826">
        <w:tc>
          <w:tcPr>
            <w:tcW w:w="510" w:type="pct"/>
            <w:vMerge/>
          </w:tcPr>
          <w:p w14:paraId="273ED51D" w14:textId="77777777" w:rsidR="004910CD" w:rsidRPr="003A3CB0" w:rsidRDefault="004910CD" w:rsidP="00806893">
            <w:pPr>
              <w:pStyle w:val="TableText"/>
            </w:pPr>
          </w:p>
        </w:tc>
        <w:tc>
          <w:tcPr>
            <w:tcW w:w="792" w:type="pct"/>
            <w:vMerge/>
          </w:tcPr>
          <w:p w14:paraId="6FCA37F0" w14:textId="77777777" w:rsidR="004910CD" w:rsidRDefault="004910CD" w:rsidP="00806893">
            <w:pPr>
              <w:pStyle w:val="TableText"/>
            </w:pPr>
          </w:p>
        </w:tc>
        <w:tc>
          <w:tcPr>
            <w:tcW w:w="641" w:type="pct"/>
            <w:vMerge/>
          </w:tcPr>
          <w:p w14:paraId="3082939A" w14:textId="3EE845CA" w:rsidR="004910CD" w:rsidRDefault="004910CD" w:rsidP="00806893">
            <w:pPr>
              <w:pStyle w:val="TableText"/>
            </w:pPr>
          </w:p>
        </w:tc>
        <w:tc>
          <w:tcPr>
            <w:tcW w:w="919" w:type="pct"/>
            <w:vMerge/>
          </w:tcPr>
          <w:p w14:paraId="1C653B29" w14:textId="77777777" w:rsidR="004910CD" w:rsidRDefault="004910CD" w:rsidP="00806893">
            <w:pPr>
              <w:pStyle w:val="TableText"/>
            </w:pPr>
          </w:p>
        </w:tc>
        <w:tc>
          <w:tcPr>
            <w:tcW w:w="743" w:type="pct"/>
          </w:tcPr>
          <w:p w14:paraId="729B60EB" w14:textId="4279AFD9" w:rsidR="004910CD" w:rsidRDefault="004910CD" w:rsidP="00806893">
            <w:pPr>
              <w:pStyle w:val="TableText"/>
            </w:pPr>
            <w:r>
              <w:rPr>
                <w:i/>
              </w:rPr>
              <w:t>KRAS</w:t>
            </w:r>
          </w:p>
        </w:tc>
        <w:tc>
          <w:tcPr>
            <w:tcW w:w="652" w:type="pct"/>
          </w:tcPr>
          <w:p w14:paraId="4DE20D15" w14:textId="515BEAC7" w:rsidR="004910CD" w:rsidRDefault="004910CD" w:rsidP="00806893">
            <w:pPr>
              <w:pStyle w:val="TableText"/>
            </w:pPr>
            <w:r>
              <w:t>682/689 (99.0%)</w:t>
            </w:r>
            <w:r>
              <w:rPr>
                <w:vertAlign w:val="superscript"/>
              </w:rPr>
              <w:t>a</w:t>
            </w:r>
          </w:p>
        </w:tc>
        <w:tc>
          <w:tcPr>
            <w:tcW w:w="743" w:type="pct"/>
            <w:vMerge/>
          </w:tcPr>
          <w:p w14:paraId="2526D07F" w14:textId="77777777" w:rsidR="004910CD" w:rsidRDefault="004910CD" w:rsidP="00806893">
            <w:pPr>
              <w:pStyle w:val="TableText"/>
            </w:pPr>
          </w:p>
        </w:tc>
      </w:tr>
      <w:tr w:rsidR="004910CD" w14:paraId="76125B4F" w14:textId="77777777" w:rsidTr="00585826">
        <w:tc>
          <w:tcPr>
            <w:tcW w:w="510" w:type="pct"/>
            <w:vMerge/>
          </w:tcPr>
          <w:p w14:paraId="74C22087" w14:textId="77777777" w:rsidR="004910CD" w:rsidRPr="003A3CB0" w:rsidRDefault="004910CD" w:rsidP="00806893">
            <w:pPr>
              <w:pStyle w:val="TableText"/>
            </w:pPr>
          </w:p>
        </w:tc>
        <w:tc>
          <w:tcPr>
            <w:tcW w:w="792" w:type="pct"/>
            <w:vMerge/>
          </w:tcPr>
          <w:p w14:paraId="570A1971" w14:textId="77777777" w:rsidR="004910CD" w:rsidRDefault="004910CD" w:rsidP="00806893">
            <w:pPr>
              <w:pStyle w:val="TableText"/>
            </w:pPr>
          </w:p>
        </w:tc>
        <w:tc>
          <w:tcPr>
            <w:tcW w:w="641" w:type="pct"/>
            <w:vMerge/>
          </w:tcPr>
          <w:p w14:paraId="5666D6C0" w14:textId="3BD0DF0F" w:rsidR="004910CD" w:rsidRDefault="004910CD" w:rsidP="00806893">
            <w:pPr>
              <w:pStyle w:val="TableText"/>
            </w:pPr>
          </w:p>
        </w:tc>
        <w:tc>
          <w:tcPr>
            <w:tcW w:w="919" w:type="pct"/>
            <w:vMerge/>
          </w:tcPr>
          <w:p w14:paraId="42495965" w14:textId="77777777" w:rsidR="004910CD" w:rsidRDefault="004910CD" w:rsidP="00806893">
            <w:pPr>
              <w:pStyle w:val="TableText"/>
            </w:pPr>
          </w:p>
        </w:tc>
        <w:tc>
          <w:tcPr>
            <w:tcW w:w="743" w:type="pct"/>
          </w:tcPr>
          <w:p w14:paraId="12F742C6" w14:textId="4E4AB10E" w:rsidR="004910CD" w:rsidRPr="003A3CB0" w:rsidRDefault="004910CD" w:rsidP="00806893">
            <w:pPr>
              <w:pStyle w:val="TableText"/>
              <w:rPr>
                <w:i/>
              </w:rPr>
            </w:pPr>
            <w:r>
              <w:rPr>
                <w:i/>
              </w:rPr>
              <w:t>BRAF</w:t>
            </w:r>
          </w:p>
        </w:tc>
        <w:tc>
          <w:tcPr>
            <w:tcW w:w="652" w:type="pct"/>
          </w:tcPr>
          <w:p w14:paraId="32C9598E" w14:textId="1F88EA82" w:rsidR="004910CD" w:rsidRDefault="004910CD" w:rsidP="00806893">
            <w:pPr>
              <w:pStyle w:val="TableText"/>
            </w:pPr>
            <w:r>
              <w:t>516/523 (98.7%)</w:t>
            </w:r>
            <w:r>
              <w:rPr>
                <w:vertAlign w:val="superscript"/>
              </w:rPr>
              <w:t>a</w:t>
            </w:r>
          </w:p>
        </w:tc>
        <w:tc>
          <w:tcPr>
            <w:tcW w:w="743" w:type="pct"/>
            <w:vMerge/>
          </w:tcPr>
          <w:p w14:paraId="717D7C31" w14:textId="77777777" w:rsidR="004910CD" w:rsidRDefault="004910CD" w:rsidP="00806893">
            <w:pPr>
              <w:pStyle w:val="TableText"/>
            </w:pPr>
          </w:p>
        </w:tc>
      </w:tr>
      <w:tr w:rsidR="004910CD" w14:paraId="58D611ED" w14:textId="77777777" w:rsidTr="00585826">
        <w:tc>
          <w:tcPr>
            <w:tcW w:w="510" w:type="pct"/>
            <w:vMerge/>
          </w:tcPr>
          <w:p w14:paraId="63F579AA" w14:textId="77777777" w:rsidR="004910CD" w:rsidRPr="003A3CB0" w:rsidRDefault="004910CD" w:rsidP="00806893">
            <w:pPr>
              <w:pStyle w:val="TableText"/>
            </w:pPr>
          </w:p>
        </w:tc>
        <w:tc>
          <w:tcPr>
            <w:tcW w:w="792" w:type="pct"/>
            <w:vMerge/>
          </w:tcPr>
          <w:p w14:paraId="5269AD21" w14:textId="77777777" w:rsidR="004910CD" w:rsidRDefault="004910CD" w:rsidP="00806893">
            <w:pPr>
              <w:pStyle w:val="TableText"/>
            </w:pPr>
          </w:p>
        </w:tc>
        <w:tc>
          <w:tcPr>
            <w:tcW w:w="641" w:type="pct"/>
            <w:vMerge/>
          </w:tcPr>
          <w:p w14:paraId="5B4952C9" w14:textId="397ED978" w:rsidR="004910CD" w:rsidRDefault="004910CD" w:rsidP="00806893">
            <w:pPr>
              <w:pStyle w:val="TableText"/>
            </w:pPr>
          </w:p>
        </w:tc>
        <w:tc>
          <w:tcPr>
            <w:tcW w:w="919" w:type="pct"/>
            <w:vMerge/>
          </w:tcPr>
          <w:p w14:paraId="26F9D5AB" w14:textId="77777777" w:rsidR="004910CD" w:rsidRDefault="004910CD" w:rsidP="00806893">
            <w:pPr>
              <w:pStyle w:val="TableText"/>
            </w:pPr>
          </w:p>
        </w:tc>
        <w:tc>
          <w:tcPr>
            <w:tcW w:w="743" w:type="pct"/>
          </w:tcPr>
          <w:p w14:paraId="5986C322" w14:textId="531E814E" w:rsidR="004910CD" w:rsidRDefault="004910CD" w:rsidP="00806893">
            <w:pPr>
              <w:pStyle w:val="TableText"/>
              <w:rPr>
                <w:i/>
              </w:rPr>
            </w:pPr>
            <w:r w:rsidRPr="003A3CB0">
              <w:rPr>
                <w:i/>
              </w:rPr>
              <w:t>ALK</w:t>
            </w:r>
          </w:p>
        </w:tc>
        <w:tc>
          <w:tcPr>
            <w:tcW w:w="652" w:type="pct"/>
          </w:tcPr>
          <w:p w14:paraId="21F8CA2B" w14:textId="124AB938" w:rsidR="004910CD" w:rsidRDefault="004910CD" w:rsidP="00806893">
            <w:pPr>
              <w:pStyle w:val="TableText"/>
            </w:pPr>
            <w:r>
              <w:t>459/488 (94.1%)</w:t>
            </w:r>
            <w:r>
              <w:rPr>
                <w:vertAlign w:val="superscript"/>
              </w:rPr>
              <w:t>a</w:t>
            </w:r>
          </w:p>
        </w:tc>
        <w:tc>
          <w:tcPr>
            <w:tcW w:w="743" w:type="pct"/>
            <w:vMerge/>
          </w:tcPr>
          <w:p w14:paraId="60708CCA" w14:textId="77777777" w:rsidR="004910CD" w:rsidRDefault="004910CD" w:rsidP="00806893">
            <w:pPr>
              <w:pStyle w:val="TableText"/>
            </w:pPr>
          </w:p>
        </w:tc>
      </w:tr>
      <w:tr w:rsidR="004910CD" w14:paraId="6C60F054" w14:textId="77777777" w:rsidTr="00585826">
        <w:tc>
          <w:tcPr>
            <w:tcW w:w="510" w:type="pct"/>
            <w:vMerge/>
          </w:tcPr>
          <w:p w14:paraId="12F87209" w14:textId="77777777" w:rsidR="004910CD" w:rsidRPr="003A3CB0" w:rsidRDefault="004910CD" w:rsidP="00806893">
            <w:pPr>
              <w:pStyle w:val="TableText"/>
            </w:pPr>
          </w:p>
        </w:tc>
        <w:tc>
          <w:tcPr>
            <w:tcW w:w="792" w:type="pct"/>
            <w:vMerge/>
          </w:tcPr>
          <w:p w14:paraId="63573517" w14:textId="77777777" w:rsidR="004910CD" w:rsidRDefault="004910CD" w:rsidP="00806893">
            <w:pPr>
              <w:pStyle w:val="TableText"/>
            </w:pPr>
          </w:p>
        </w:tc>
        <w:tc>
          <w:tcPr>
            <w:tcW w:w="641" w:type="pct"/>
            <w:vMerge/>
          </w:tcPr>
          <w:p w14:paraId="603B758B" w14:textId="3B23B157" w:rsidR="004910CD" w:rsidRDefault="004910CD" w:rsidP="00806893">
            <w:pPr>
              <w:pStyle w:val="TableText"/>
            </w:pPr>
          </w:p>
        </w:tc>
        <w:tc>
          <w:tcPr>
            <w:tcW w:w="919" w:type="pct"/>
            <w:vMerge/>
          </w:tcPr>
          <w:p w14:paraId="64195120" w14:textId="77777777" w:rsidR="004910CD" w:rsidRDefault="004910CD" w:rsidP="00806893">
            <w:pPr>
              <w:pStyle w:val="TableText"/>
            </w:pPr>
          </w:p>
        </w:tc>
        <w:tc>
          <w:tcPr>
            <w:tcW w:w="743" w:type="pct"/>
          </w:tcPr>
          <w:p w14:paraId="3A4A2D97" w14:textId="1F1CF5D9" w:rsidR="004910CD" w:rsidRDefault="004910CD" w:rsidP="00806893">
            <w:pPr>
              <w:pStyle w:val="TableText"/>
            </w:pPr>
            <w:r w:rsidRPr="003A3CB0">
              <w:rPr>
                <w:i/>
              </w:rPr>
              <w:t>ROS1</w:t>
            </w:r>
          </w:p>
        </w:tc>
        <w:tc>
          <w:tcPr>
            <w:tcW w:w="652" w:type="pct"/>
          </w:tcPr>
          <w:p w14:paraId="4AC3C216" w14:textId="426F2D63" w:rsidR="004910CD" w:rsidRDefault="004910CD" w:rsidP="00806893">
            <w:pPr>
              <w:pStyle w:val="TableText"/>
            </w:pPr>
            <w:r>
              <w:t>302/336 (89.9%)</w:t>
            </w:r>
            <w:r>
              <w:rPr>
                <w:vertAlign w:val="superscript"/>
              </w:rPr>
              <w:t>a</w:t>
            </w:r>
          </w:p>
        </w:tc>
        <w:tc>
          <w:tcPr>
            <w:tcW w:w="743" w:type="pct"/>
            <w:vMerge/>
          </w:tcPr>
          <w:p w14:paraId="033A3DC9" w14:textId="77777777" w:rsidR="004910CD" w:rsidRDefault="004910CD" w:rsidP="00806893">
            <w:pPr>
              <w:pStyle w:val="TableText"/>
            </w:pPr>
          </w:p>
        </w:tc>
      </w:tr>
      <w:tr w:rsidR="004910CD" w14:paraId="3DEC4C99" w14:textId="77777777" w:rsidTr="00585826">
        <w:tc>
          <w:tcPr>
            <w:tcW w:w="510" w:type="pct"/>
            <w:vMerge/>
          </w:tcPr>
          <w:p w14:paraId="4F4F220A" w14:textId="0F3510BB" w:rsidR="004910CD" w:rsidRPr="003A3CB0" w:rsidRDefault="004910CD" w:rsidP="00806893">
            <w:pPr>
              <w:pStyle w:val="TableText"/>
            </w:pPr>
          </w:p>
        </w:tc>
        <w:tc>
          <w:tcPr>
            <w:tcW w:w="792" w:type="pct"/>
            <w:vMerge/>
          </w:tcPr>
          <w:p w14:paraId="4829659A" w14:textId="77777777" w:rsidR="004910CD" w:rsidRDefault="004910CD" w:rsidP="00806893">
            <w:pPr>
              <w:pStyle w:val="TableText"/>
            </w:pPr>
          </w:p>
        </w:tc>
        <w:tc>
          <w:tcPr>
            <w:tcW w:w="641" w:type="pct"/>
            <w:vMerge/>
          </w:tcPr>
          <w:p w14:paraId="29D9C0A9" w14:textId="239C8F12" w:rsidR="004910CD" w:rsidRDefault="004910CD" w:rsidP="00806893">
            <w:pPr>
              <w:pStyle w:val="TableText"/>
            </w:pPr>
          </w:p>
        </w:tc>
        <w:tc>
          <w:tcPr>
            <w:tcW w:w="919" w:type="pct"/>
            <w:vMerge/>
          </w:tcPr>
          <w:p w14:paraId="21C0E3DF" w14:textId="77777777" w:rsidR="004910CD" w:rsidRDefault="004910CD" w:rsidP="00806893">
            <w:pPr>
              <w:pStyle w:val="TableText"/>
            </w:pPr>
          </w:p>
        </w:tc>
        <w:tc>
          <w:tcPr>
            <w:tcW w:w="743" w:type="pct"/>
          </w:tcPr>
          <w:p w14:paraId="7FF298A2" w14:textId="4E6CEF97" w:rsidR="004910CD" w:rsidRDefault="004910CD" w:rsidP="00806893">
            <w:pPr>
              <w:pStyle w:val="TableText"/>
            </w:pPr>
            <w:r>
              <w:rPr>
                <w:i/>
              </w:rPr>
              <w:t>METex14sk</w:t>
            </w:r>
          </w:p>
        </w:tc>
        <w:tc>
          <w:tcPr>
            <w:tcW w:w="652" w:type="pct"/>
          </w:tcPr>
          <w:p w14:paraId="18D668A7" w14:textId="64E837FE" w:rsidR="004910CD" w:rsidRDefault="004910CD" w:rsidP="00806893">
            <w:pPr>
              <w:pStyle w:val="TableText"/>
            </w:pPr>
            <w:r>
              <w:t>82/88 (93.2%)</w:t>
            </w:r>
            <w:r>
              <w:rPr>
                <w:vertAlign w:val="superscript"/>
              </w:rPr>
              <w:t>a</w:t>
            </w:r>
          </w:p>
        </w:tc>
        <w:tc>
          <w:tcPr>
            <w:tcW w:w="743" w:type="pct"/>
            <w:vMerge/>
          </w:tcPr>
          <w:p w14:paraId="17E16BAB" w14:textId="77777777" w:rsidR="004910CD" w:rsidRDefault="004910CD" w:rsidP="00806893">
            <w:pPr>
              <w:pStyle w:val="TableText"/>
            </w:pPr>
          </w:p>
        </w:tc>
      </w:tr>
      <w:tr w:rsidR="004910CD" w14:paraId="627EF32B" w14:textId="77777777" w:rsidTr="00585826">
        <w:tc>
          <w:tcPr>
            <w:tcW w:w="510" w:type="pct"/>
            <w:vMerge/>
          </w:tcPr>
          <w:p w14:paraId="3B8C2FBD" w14:textId="77777777" w:rsidR="004910CD" w:rsidRPr="003A3CB0" w:rsidRDefault="004910CD" w:rsidP="00806893">
            <w:pPr>
              <w:pStyle w:val="TableText"/>
            </w:pPr>
          </w:p>
        </w:tc>
        <w:tc>
          <w:tcPr>
            <w:tcW w:w="792" w:type="pct"/>
            <w:vMerge/>
          </w:tcPr>
          <w:p w14:paraId="6134E2A5" w14:textId="77777777" w:rsidR="004910CD" w:rsidRDefault="004910CD" w:rsidP="00806893">
            <w:pPr>
              <w:pStyle w:val="TableText"/>
            </w:pPr>
          </w:p>
        </w:tc>
        <w:tc>
          <w:tcPr>
            <w:tcW w:w="641" w:type="pct"/>
            <w:vMerge/>
          </w:tcPr>
          <w:p w14:paraId="0C1036F6" w14:textId="772BAA65" w:rsidR="004910CD" w:rsidRDefault="004910CD" w:rsidP="00806893">
            <w:pPr>
              <w:pStyle w:val="TableText"/>
            </w:pPr>
          </w:p>
        </w:tc>
        <w:tc>
          <w:tcPr>
            <w:tcW w:w="919" w:type="pct"/>
            <w:vMerge/>
          </w:tcPr>
          <w:p w14:paraId="651931EA" w14:textId="77777777" w:rsidR="004910CD" w:rsidRDefault="004910CD" w:rsidP="00806893">
            <w:pPr>
              <w:pStyle w:val="TableText"/>
            </w:pPr>
          </w:p>
        </w:tc>
        <w:tc>
          <w:tcPr>
            <w:tcW w:w="743" w:type="pct"/>
          </w:tcPr>
          <w:p w14:paraId="129CC0D7" w14:textId="574A2839" w:rsidR="004910CD" w:rsidRPr="003A3CB0" w:rsidRDefault="004910CD" w:rsidP="00000FA7">
            <w:pPr>
              <w:pStyle w:val="TableText"/>
              <w:rPr>
                <w:i/>
              </w:rPr>
            </w:pPr>
            <w:r>
              <w:t xml:space="preserve">Overall </w:t>
            </w:r>
          </w:p>
        </w:tc>
        <w:tc>
          <w:tcPr>
            <w:tcW w:w="652" w:type="pct"/>
          </w:tcPr>
          <w:p w14:paraId="229EC1FD" w14:textId="5D6BB1D1" w:rsidR="004910CD" w:rsidRDefault="004910CD" w:rsidP="00806893">
            <w:pPr>
              <w:pStyle w:val="TableText"/>
            </w:pPr>
            <w:r>
              <w:t>660/698 (94.6%) success</w:t>
            </w:r>
            <w:r>
              <w:rPr>
                <w:vertAlign w:val="superscript"/>
              </w:rPr>
              <w:t>b</w:t>
            </w:r>
          </w:p>
        </w:tc>
        <w:tc>
          <w:tcPr>
            <w:tcW w:w="743" w:type="pct"/>
            <w:vMerge/>
          </w:tcPr>
          <w:p w14:paraId="3F84BE22" w14:textId="77777777" w:rsidR="004910CD" w:rsidRDefault="004910CD" w:rsidP="00806893">
            <w:pPr>
              <w:pStyle w:val="TableText"/>
            </w:pPr>
          </w:p>
        </w:tc>
      </w:tr>
    </w:tbl>
    <w:p w14:paraId="0CEB984F" w14:textId="77777777" w:rsidR="007B0FC7" w:rsidRDefault="00585826" w:rsidP="00937982">
      <w:pPr>
        <w:pStyle w:val="TableFooter"/>
      </w:pPr>
      <w:r w:rsidRPr="007C7AB1">
        <w:rPr>
          <w:i/>
        </w:rPr>
        <w:t>ALK</w:t>
      </w:r>
      <w:r>
        <w:t xml:space="preserve"> = </w:t>
      </w:r>
      <w:r w:rsidRPr="00561C5F">
        <w:t>anaplastic lymphoma kinase</w:t>
      </w:r>
      <w:r>
        <w:t xml:space="preserve">; </w:t>
      </w:r>
      <w:r w:rsidRPr="00152F12">
        <w:rPr>
          <w:i/>
        </w:rPr>
        <w:t>BRAF</w:t>
      </w:r>
      <w:r>
        <w:t xml:space="preserve"> = proto-oncogene B-Raf and v-Raf murine sarcoma viral oncogene homolog B; ddPCR = digital droplet polymerase chain reaction; </w:t>
      </w:r>
      <w:r w:rsidRPr="007C7AB1">
        <w:rPr>
          <w:i/>
        </w:rPr>
        <w:t>EGFR</w:t>
      </w:r>
      <w:r>
        <w:t xml:space="preserve"> = e</w:t>
      </w:r>
      <w:r w:rsidR="007B0FC7">
        <w:t>pidermal growth factor receptor</w:t>
      </w:r>
      <w:r>
        <w:t xml:space="preserve">; FISH = fluorescent </w:t>
      </w:r>
      <w:r w:rsidRPr="00956452">
        <w:rPr>
          <w:i/>
        </w:rPr>
        <w:t>in situ</w:t>
      </w:r>
      <w:r>
        <w:t xml:space="preserve"> hybridisation; IHC = immunohistochemistry; </w:t>
      </w:r>
      <w:r w:rsidRPr="00152F12">
        <w:rPr>
          <w:i/>
        </w:rPr>
        <w:t>KRAS</w:t>
      </w:r>
      <w:r>
        <w:t xml:space="preserve"> = Kirsten rat sarcoma; </w:t>
      </w:r>
      <w:r w:rsidRPr="00CE4DC5">
        <w:rPr>
          <w:i/>
        </w:rPr>
        <w:t>MET</w:t>
      </w:r>
      <w:r w:rsidRPr="00CE4DC5">
        <w:t xml:space="preserve"> =</w:t>
      </w:r>
      <w:r>
        <w:t xml:space="preserve"> </w:t>
      </w:r>
      <w:r w:rsidRPr="008F67AF">
        <w:rPr>
          <w:szCs w:val="18"/>
        </w:rPr>
        <w:t>mesenchymal-epithelial transition</w:t>
      </w:r>
      <w:r>
        <w:rPr>
          <w:szCs w:val="18"/>
        </w:rPr>
        <w:t xml:space="preserve">; </w:t>
      </w:r>
      <w:r>
        <w:t xml:space="preserve">NGS = next generation sequencing; RNA = ribonucleic acid; </w:t>
      </w:r>
      <w:r w:rsidRPr="00380685">
        <w:rPr>
          <w:i/>
        </w:rPr>
        <w:t>ROS1</w:t>
      </w:r>
      <w:r>
        <w:t xml:space="preserve"> = ROS proto-oncogene 1</w:t>
      </w:r>
    </w:p>
    <w:p w14:paraId="3F9CE625" w14:textId="59D76AB3" w:rsidR="00917B4A" w:rsidRDefault="00937982" w:rsidP="00937982">
      <w:pPr>
        <w:pStyle w:val="TableFooter"/>
        <w:rPr>
          <w:vertAlign w:val="superscript"/>
        </w:rPr>
      </w:pPr>
      <w:r>
        <w:rPr>
          <w:vertAlign w:val="superscript"/>
        </w:rPr>
        <w:t>a</w:t>
      </w:r>
      <w:r w:rsidRPr="00937982">
        <w:t xml:space="preserve"> </w:t>
      </w:r>
      <w:r w:rsidR="006A0EA5">
        <w:t>C</w:t>
      </w:r>
      <w:r>
        <w:t>alculated from supplementary data (counting “insufficient quantity” and “insufficient quality” as test failures,</w:t>
      </w:r>
      <w:r w:rsidR="000D50C7">
        <w:t xml:space="preserve"> </w:t>
      </w:r>
      <w:r>
        <w:t>but exclud</w:t>
      </w:r>
      <w:r w:rsidR="006A0EA5">
        <w:t>ing</w:t>
      </w:r>
      <w:r>
        <w:t xml:space="preserve"> those “not analysed” or “not performed” although the reasons for not performing testing were not stated).</w:t>
      </w:r>
    </w:p>
    <w:p w14:paraId="382C7323" w14:textId="66497A0A" w:rsidR="00937982" w:rsidRPr="00937982" w:rsidRDefault="00937982" w:rsidP="00937982">
      <w:pPr>
        <w:pStyle w:val="TableFooter"/>
      </w:pPr>
      <w:r>
        <w:rPr>
          <w:vertAlign w:val="superscript"/>
        </w:rPr>
        <w:t>b</w:t>
      </w:r>
      <w:r>
        <w:t>Reported in the journal article</w:t>
      </w:r>
    </w:p>
    <w:p w14:paraId="6D53CA55" w14:textId="77777777" w:rsidR="00EC5C1B" w:rsidRDefault="00EC5C1B" w:rsidP="00EC5C1B">
      <w:pPr>
        <w:keepNext/>
      </w:pPr>
      <w:r w:rsidRPr="00EC5C1B">
        <w:rPr>
          <w:noProof/>
          <w:lang w:eastAsia="en-AU"/>
        </w:rPr>
        <w:lastRenderedPageBreak/>
        <w:drawing>
          <wp:inline distT="0" distB="0" distL="0" distR="0" wp14:anchorId="0A387EFE" wp14:editId="4A970463">
            <wp:extent cx="4848902" cy="2810267"/>
            <wp:effectExtent l="0" t="0" r="8890" b="9525"/>
            <wp:docPr id="20" name="Picture 20" descr="Comparison of pathogenic variants identified by NGS vs non-NGS methods (Sanger sequencing, HRM, MassARRAY, Pyrosequencing, Idylla, Cobas, ddPCR, FISH, IHC and/or RNA-based sequencing) in patients with adenocarcinoma" title="Comparison of pathogenic variants identified by NGS vs non-NGS methods (Sanger sequencing, HRM, MassARRAY, Pyrosequencing, Idylla, Cobas, ddPCR, FISH, IHC and/or RNA-based sequencing) in patients with adeno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8902" cy="2810267"/>
                    </a:xfrm>
                    <a:prstGeom prst="rect">
                      <a:avLst/>
                    </a:prstGeom>
                  </pic:spPr>
                </pic:pic>
              </a:graphicData>
            </a:graphic>
          </wp:inline>
        </w:drawing>
      </w:r>
    </w:p>
    <w:p w14:paraId="61FC777A" w14:textId="4FBF6912" w:rsidR="00783C51" w:rsidRDefault="00EC5C1B" w:rsidP="00EC5C1B">
      <w:pPr>
        <w:pStyle w:val="Caption"/>
      </w:pPr>
      <w:bookmarkStart w:id="101" w:name="_Ref107561710"/>
      <w:r>
        <w:t xml:space="preserve">Figure </w:t>
      </w:r>
      <w:fldSimple w:instr=" SEQ Figure \* ARABIC ">
        <w:r w:rsidR="00C857F3">
          <w:rPr>
            <w:noProof/>
          </w:rPr>
          <w:t>9</w:t>
        </w:r>
      </w:fldSimple>
      <w:bookmarkEnd w:id="101"/>
      <w:r w:rsidR="00586126">
        <w:t xml:space="preserve"> </w:t>
      </w:r>
      <w:r>
        <w:t>Comparison of pathogenic variants identified by NGS vs non-NGS methods (Sanger sequencing, HRM, MassARRAY, Pyrosequencing, Idylla, Cobas, ddPCR, FISH, IHC and/or RNA-based sequencing)</w:t>
      </w:r>
      <w:r w:rsidR="00B823F7">
        <w:t xml:space="preserve"> in patients with adenocarcinoma</w:t>
      </w:r>
      <w:r>
        <w:t xml:space="preserve">. </w:t>
      </w:r>
    </w:p>
    <w:p w14:paraId="2A7F1609" w14:textId="19B922E0" w:rsidR="00EC5C1B" w:rsidRDefault="00EC5C1B" w:rsidP="00783C51">
      <w:pPr>
        <w:pStyle w:val="TableFooter"/>
      </w:pPr>
      <w:r>
        <w:t xml:space="preserve">Source: </w: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 </w:instrTex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EN.CITE.DATA </w:instrText>
      </w:r>
      <w:r w:rsidR="00B4668F">
        <w:fldChar w:fldCharType="end"/>
      </w:r>
      <w:r w:rsidR="00B4668F">
        <w:fldChar w:fldCharType="separate"/>
      </w:r>
      <w:r w:rsidR="00B4668F">
        <w:rPr>
          <w:noProof/>
        </w:rPr>
        <w:t>(Steeghs et al. 2022)</w:t>
      </w:r>
      <w:r w:rsidR="00B4668F">
        <w:fldChar w:fldCharType="end"/>
      </w:r>
      <w:r>
        <w:t>, p91</w:t>
      </w:r>
      <w:r w:rsidR="00783C51">
        <w:t xml:space="preserve">. Reproduced with permission under Creative Common CC-BY license. </w:t>
      </w:r>
    </w:p>
    <w:p w14:paraId="4BFA8132" w14:textId="77777777" w:rsidR="00380685" w:rsidRDefault="00380685" w:rsidP="00380685">
      <w:pPr>
        <w:pStyle w:val="Tablenotes"/>
      </w:pPr>
      <w:r w:rsidRPr="007C7AB1">
        <w:rPr>
          <w:i/>
        </w:rPr>
        <w:t>ALK</w:t>
      </w:r>
      <w:r>
        <w:t xml:space="preserve"> = </w:t>
      </w:r>
      <w:r w:rsidRPr="00561C5F">
        <w:t>anaplastic lymphoma kinase</w:t>
      </w:r>
      <w:r>
        <w:t xml:space="preserve">; </w:t>
      </w:r>
      <w:r w:rsidRPr="00152F12">
        <w:rPr>
          <w:i/>
        </w:rPr>
        <w:t>BRAF</w:t>
      </w:r>
      <w:r>
        <w:t xml:space="preserve"> = proto-oncogene B-Raf and v-Raf murine sarcoma viral oncogene homolog B; ddPCR = digital droplet polymerase chain reaction; </w:t>
      </w:r>
      <w:r w:rsidRPr="007C7AB1">
        <w:rPr>
          <w:i/>
        </w:rPr>
        <w:t>EGFR</w:t>
      </w:r>
      <w:r>
        <w:t xml:space="preserve"> = epidermal growth factor receptor; </w:t>
      </w:r>
      <w:r w:rsidRPr="00152F12">
        <w:rPr>
          <w:i/>
        </w:rPr>
        <w:t>ERBB2</w:t>
      </w:r>
      <w:r>
        <w:t xml:space="preserve"> = erb-b2 receptor tyrosine kinase 2; FISH = fluorescent </w:t>
      </w:r>
      <w:r w:rsidRPr="00956452">
        <w:rPr>
          <w:i/>
        </w:rPr>
        <w:t>in situ</w:t>
      </w:r>
      <w:r>
        <w:t xml:space="preserve"> hybridisation; HRM = high resolution melting; IHC = immunohistochemistry; </w:t>
      </w:r>
      <w:r w:rsidRPr="00152F12">
        <w:rPr>
          <w:i/>
        </w:rPr>
        <w:t>KRAS</w:t>
      </w:r>
      <w:r>
        <w:t xml:space="preserve"> = Kirsten rat sarcoma; </w:t>
      </w:r>
      <w:r w:rsidRPr="00CE4DC5">
        <w:rPr>
          <w:i/>
        </w:rPr>
        <w:t>MET</w:t>
      </w:r>
      <w:r w:rsidRPr="00CE4DC5">
        <w:t xml:space="preserve"> =</w:t>
      </w:r>
      <w:r>
        <w:t xml:space="preserve"> </w:t>
      </w:r>
      <w:r w:rsidRPr="008F67AF">
        <w:rPr>
          <w:szCs w:val="18"/>
        </w:rPr>
        <w:t>mesenchymal-epithelial transition</w:t>
      </w:r>
      <w:r>
        <w:rPr>
          <w:szCs w:val="18"/>
        </w:rPr>
        <w:t xml:space="preserve">; </w:t>
      </w:r>
      <w:r>
        <w:t xml:space="preserve">NGS = next generation sequencing; </w:t>
      </w:r>
      <w:r w:rsidRPr="00152F12">
        <w:rPr>
          <w:i/>
        </w:rPr>
        <w:t>RET</w:t>
      </w:r>
      <w:r>
        <w:t xml:space="preserve"> = rearranged during transfection; RNA = ribonucleic acid; </w:t>
      </w:r>
      <w:r w:rsidRPr="00380685">
        <w:rPr>
          <w:i/>
        </w:rPr>
        <w:t>ROS1</w:t>
      </w:r>
      <w:r>
        <w:t xml:space="preserve"> = ROS proto-oncogene 1; If multiple variants were identified in one patient, only the first variant was included in the pie chart (so that the sum = 100%), **p&lt;0.01, *p&lt;0.05</w:t>
      </w:r>
    </w:p>
    <w:p w14:paraId="7BB08526" w14:textId="5A28EEAC" w:rsidR="00B371FB" w:rsidRDefault="007B1A40" w:rsidP="00E14964">
      <w:pPr>
        <w:pStyle w:val="TableFooter"/>
      </w:pPr>
      <w:r>
        <w:t>If multiple variants were identified in one patient, only the first variant was included in the pie chart (so that the</w:t>
      </w:r>
      <w:r w:rsidR="00E14964">
        <w:t xml:space="preserve"> sum = 100%), **p&lt;0.01, *p&lt;0.05</w:t>
      </w:r>
    </w:p>
    <w:p w14:paraId="3F4309B2" w14:textId="7627BCF3" w:rsidR="001C2A48" w:rsidRPr="00B371FB" w:rsidRDefault="006F20D3" w:rsidP="00674C7D">
      <w:pPr>
        <w:pStyle w:val="Heading4"/>
      </w:pPr>
      <w:r>
        <w:t>Concordance, positive percent agreement and negative percent agreement</w:t>
      </w:r>
    </w:p>
    <w:p w14:paraId="553A3F48" w14:textId="65ACD1BC" w:rsidR="00621B95" w:rsidRDefault="00621B95" w:rsidP="00292394">
      <w:r w:rsidRPr="00CE28E3">
        <w:t xml:space="preserve">To assess the </w:t>
      </w:r>
      <w:r w:rsidR="00C033B2">
        <w:t>concordance</w:t>
      </w:r>
      <w:r w:rsidRPr="00CE28E3">
        <w:t xml:space="preserve"> of the proposed test</w:t>
      </w:r>
      <w:r w:rsidR="00C033B2">
        <w:t>, compared to the comparator (single-gene testing)</w:t>
      </w:r>
      <w:r w:rsidRPr="00CE28E3">
        <w:t>, studies were only included if they provided data that could be extracted into a classic 2</w:t>
      </w:r>
      <w:r>
        <w:t>-by-</w:t>
      </w:r>
      <w:r w:rsidRPr="00CE28E3">
        <w:t>2 table</w:t>
      </w:r>
      <w:r w:rsidR="006E672F">
        <w:t xml:space="preserve"> by patient (rather than by variant)</w:t>
      </w:r>
      <w:r w:rsidRPr="00CE28E3">
        <w:t xml:space="preserve">, in which the results of the </w:t>
      </w:r>
      <w:r>
        <w:t>NGS</w:t>
      </w:r>
      <w:r w:rsidRPr="00CE28E3">
        <w:t xml:space="preserve"> were cross-classified against the results of </w:t>
      </w:r>
      <w:r>
        <w:t>single-gene testing</w:t>
      </w:r>
      <w:r w:rsidRPr="00CE28E3">
        <w:t xml:space="preserve"> and </w:t>
      </w:r>
      <w:bookmarkStart w:id="102" w:name="OLE_LINK436"/>
      <w:bookmarkStart w:id="103" w:name="OLE_LINK437"/>
      <w:r w:rsidRPr="00CE28E3">
        <w:t xml:space="preserve">Bayes’ Theorem </w:t>
      </w:r>
      <w:bookmarkEnd w:id="102"/>
      <w:bookmarkEnd w:id="103"/>
      <w:r w:rsidRPr="00CE28E3">
        <w:t>was applied</w:t>
      </w:r>
      <w:r>
        <w:t>.</w:t>
      </w:r>
      <w:r w:rsidR="009F0A91">
        <w:t xml:space="preserve"> </w:t>
      </w:r>
    </w:p>
    <w:p w14:paraId="369A8C04" w14:textId="32F5DF1C" w:rsidR="00621B95" w:rsidRPr="00CE28E3" w:rsidRDefault="00621B95" w:rsidP="00292394">
      <w:r>
        <w:fldChar w:fldCharType="begin"/>
      </w:r>
      <w:r>
        <w:instrText xml:space="preserve"> REF _Ref406161847 \h </w:instrText>
      </w:r>
      <w:r w:rsidR="009F0A91">
        <w:instrText xml:space="preserve"> \* MERGEFORMAT </w:instrText>
      </w:r>
      <w:r>
        <w:fldChar w:fldCharType="separate"/>
      </w:r>
      <w:r w:rsidR="00C857F3" w:rsidRPr="00CE28E3">
        <w:t>Table</w:t>
      </w:r>
      <w:r w:rsidR="00C857F3">
        <w:t> 29</w:t>
      </w:r>
      <w:r>
        <w:fldChar w:fldCharType="end"/>
      </w:r>
      <w:r>
        <w:t xml:space="preserve"> </w:t>
      </w:r>
      <w:r w:rsidR="009F0A91">
        <w:t xml:space="preserve">explains how the key concepts of the positive percent agreement (PPA) and negative percent agreement (NPA) were calculated. </w:t>
      </w:r>
      <w:r w:rsidR="009F0A91" w:rsidRPr="00836977">
        <w:t>The data on concordance were meta-analysed</w:t>
      </w:r>
      <w:r w:rsidR="009F0A91">
        <w:t xml:space="preserve"> to provide the PPA and NPA (akin to the concepts of sensitivity and </w:t>
      </w:r>
      <w:r w:rsidR="00586126">
        <w:t>specificity but</w:t>
      </w:r>
      <w:r w:rsidR="009F0A91">
        <w:t xml:space="preserve"> compared against the comparator or clinical utility standard rather than a reference standard)</w:t>
      </w:r>
      <w:r w:rsidR="009F0A91" w:rsidRPr="00836977">
        <w:t xml:space="preserve">, and the forest plots are shown in </w:t>
      </w:r>
      <w:r w:rsidR="009F0A91">
        <w:fldChar w:fldCharType="begin"/>
      </w:r>
      <w:r w:rsidR="009F0A91">
        <w:instrText xml:space="preserve"> REF _Ref106359877 \h </w:instrText>
      </w:r>
      <w:r w:rsidR="009F0A91">
        <w:fldChar w:fldCharType="separate"/>
      </w:r>
      <w:r w:rsidR="00C857F3">
        <w:t xml:space="preserve">Appendix </w:t>
      </w:r>
      <w:r w:rsidR="00C857F3">
        <w:rPr>
          <w:noProof/>
        </w:rPr>
        <w:t>D</w:t>
      </w:r>
      <w:r w:rsidR="009F0A91">
        <w:fldChar w:fldCharType="end"/>
      </w:r>
      <w:r w:rsidR="009F0A91">
        <w:t>. The results were then transformed to the prevalence of the target variants in the Australian population</w:t>
      </w:r>
      <w:r w:rsidR="0006227F">
        <w:t xml:space="preserve"> with non-squamous NSCLC</w:t>
      </w:r>
      <w:r w:rsidR="009F0A91">
        <w:t xml:space="preserve">. </w:t>
      </w:r>
    </w:p>
    <w:p w14:paraId="61FA4DA4" w14:textId="4B19273F" w:rsidR="00621B95" w:rsidRPr="00CE28E3" w:rsidRDefault="00621B95" w:rsidP="00621B95">
      <w:pPr>
        <w:pStyle w:val="Caption"/>
      </w:pPr>
      <w:bookmarkStart w:id="104" w:name="_Ref406161847"/>
      <w:bookmarkStart w:id="105" w:name="_Toc432677285"/>
      <w:bookmarkStart w:id="106" w:name="_Toc406659807"/>
      <w:r w:rsidRPr="00CE28E3">
        <w:lastRenderedPageBreak/>
        <w:t>Table</w:t>
      </w:r>
      <w:r>
        <w:t> </w:t>
      </w:r>
      <w:fldSimple w:instr=" SEQ Table \* ARABIC ">
        <w:r w:rsidR="00C857F3">
          <w:rPr>
            <w:noProof/>
          </w:rPr>
          <w:t>29</w:t>
        </w:r>
      </w:fldSimple>
      <w:bookmarkEnd w:id="104"/>
      <w:r w:rsidRPr="00CE28E3">
        <w:rPr>
          <w:noProof/>
        </w:rPr>
        <w:tab/>
      </w:r>
      <w:r w:rsidRPr="00CE28E3">
        <w:t>Diagnostic accuracy data extraction</w:t>
      </w:r>
      <w:bookmarkEnd w:id="105"/>
      <w:r w:rsidRPr="00CE28E3">
        <w:t xml:space="preserve"> </w:t>
      </w:r>
      <w:bookmarkEnd w:id="106"/>
    </w:p>
    <w:tbl>
      <w:tblPr>
        <w:tblStyle w:val="TableGrid1"/>
        <w:tblW w:w="9039" w:type="dxa"/>
        <w:tblLayout w:type="fixed"/>
        <w:tblLook w:val="0020" w:firstRow="1" w:lastRow="0" w:firstColumn="0" w:lastColumn="0" w:noHBand="0" w:noVBand="0"/>
        <w:tblCaption w:val="Diagnostic accuracy data extraction (2x2 table)"/>
        <w:tblDescription w:val="Diagnostic accuracy data extraction "/>
      </w:tblPr>
      <w:tblGrid>
        <w:gridCol w:w="1526"/>
        <w:gridCol w:w="1134"/>
        <w:gridCol w:w="2268"/>
        <w:gridCol w:w="1984"/>
        <w:gridCol w:w="2127"/>
      </w:tblGrid>
      <w:tr w:rsidR="00836977" w:rsidRPr="00CE28E3" w14:paraId="7FE0332B" w14:textId="77777777" w:rsidTr="00EB562B">
        <w:trPr>
          <w:cnfStyle w:val="100000000000" w:firstRow="1" w:lastRow="0" w:firstColumn="0" w:lastColumn="0" w:oddVBand="0" w:evenVBand="0" w:oddHBand="0" w:evenHBand="0" w:firstRowFirstColumn="0" w:firstRowLastColumn="0" w:lastRowFirstColumn="0" w:lastRowLastColumn="0"/>
          <w:trHeight w:val="405"/>
        </w:trPr>
        <w:tc>
          <w:tcPr>
            <w:tcW w:w="1526" w:type="dxa"/>
            <w:tcBorders>
              <w:bottom w:val="nil"/>
              <w:right w:val="nil"/>
            </w:tcBorders>
            <w:vAlign w:val="center"/>
          </w:tcPr>
          <w:p w14:paraId="5A8184C3" w14:textId="77777777" w:rsidR="00836977" w:rsidRPr="00CE28E3" w:rsidRDefault="00836977" w:rsidP="00037FDC">
            <w:pPr>
              <w:pStyle w:val="In-tableHeading"/>
            </w:pPr>
            <w:bookmarkStart w:id="107" w:name="Title_Table27" w:colFirst="0" w:colLast="0"/>
          </w:p>
        </w:tc>
        <w:tc>
          <w:tcPr>
            <w:tcW w:w="1134" w:type="dxa"/>
            <w:tcBorders>
              <w:left w:val="nil"/>
              <w:bottom w:val="nil"/>
            </w:tcBorders>
            <w:vAlign w:val="center"/>
          </w:tcPr>
          <w:p w14:paraId="35CF142B" w14:textId="77777777" w:rsidR="00836977" w:rsidRPr="00CE28E3" w:rsidRDefault="00836977" w:rsidP="00037FDC">
            <w:pPr>
              <w:pStyle w:val="In-tableHeading"/>
            </w:pPr>
          </w:p>
        </w:tc>
        <w:tc>
          <w:tcPr>
            <w:tcW w:w="4252" w:type="dxa"/>
            <w:gridSpan w:val="2"/>
            <w:tcBorders>
              <w:bottom w:val="nil"/>
            </w:tcBorders>
            <w:vAlign w:val="center"/>
          </w:tcPr>
          <w:p w14:paraId="58A3B5CF" w14:textId="726DF52F" w:rsidR="00836977" w:rsidRPr="00CE28E3" w:rsidRDefault="00836977" w:rsidP="00037FDC">
            <w:pPr>
              <w:pStyle w:val="In-tableHeading"/>
            </w:pPr>
            <w:r>
              <w:t>Single gene testing / clinical utility standard</w:t>
            </w:r>
          </w:p>
        </w:tc>
        <w:tc>
          <w:tcPr>
            <w:tcW w:w="2127" w:type="dxa"/>
            <w:tcBorders>
              <w:bottom w:val="nil"/>
            </w:tcBorders>
            <w:vAlign w:val="center"/>
          </w:tcPr>
          <w:p w14:paraId="1B82B180" w14:textId="77777777" w:rsidR="00836977" w:rsidRPr="00CE28E3" w:rsidRDefault="00836977" w:rsidP="00037FDC">
            <w:pPr>
              <w:pStyle w:val="In-tableHeading"/>
            </w:pPr>
          </w:p>
        </w:tc>
      </w:tr>
      <w:bookmarkEnd w:id="107"/>
      <w:tr w:rsidR="00621B95" w:rsidRPr="00CE28E3" w14:paraId="6890760C" w14:textId="77777777" w:rsidTr="00EB562B">
        <w:trPr>
          <w:trHeight w:val="310"/>
        </w:trPr>
        <w:tc>
          <w:tcPr>
            <w:tcW w:w="1526" w:type="dxa"/>
            <w:tcBorders>
              <w:top w:val="nil"/>
              <w:right w:val="nil"/>
            </w:tcBorders>
            <w:vAlign w:val="center"/>
          </w:tcPr>
          <w:p w14:paraId="5717F740" w14:textId="77777777" w:rsidR="00621B95" w:rsidRPr="00CE28E3" w:rsidRDefault="00621B95" w:rsidP="00037FDC">
            <w:pPr>
              <w:pStyle w:val="TableText1"/>
              <w:jc w:val="left"/>
              <w:rPr>
                <w:color w:val="FFFFFF" w:themeColor="background1"/>
                <w:sz w:val="20"/>
              </w:rPr>
            </w:pPr>
            <w:r w:rsidRPr="00CE28E3">
              <w:rPr>
                <w:color w:val="FFFFFF" w:themeColor="background1"/>
                <w:sz w:val="20"/>
              </w:rPr>
              <w:t>-</w:t>
            </w:r>
          </w:p>
        </w:tc>
        <w:tc>
          <w:tcPr>
            <w:tcW w:w="1134" w:type="dxa"/>
            <w:tcBorders>
              <w:top w:val="nil"/>
              <w:left w:val="nil"/>
              <w:bottom w:val="single" w:sz="4" w:space="0" w:color="auto"/>
            </w:tcBorders>
            <w:vAlign w:val="center"/>
          </w:tcPr>
          <w:p w14:paraId="4D752B30" w14:textId="77777777" w:rsidR="00621B95" w:rsidRPr="00CE28E3" w:rsidRDefault="00621B95" w:rsidP="00037FDC">
            <w:pPr>
              <w:pStyle w:val="TableText1"/>
              <w:rPr>
                <w:color w:val="FFFFFF" w:themeColor="background1"/>
                <w:sz w:val="20"/>
              </w:rPr>
            </w:pPr>
            <w:r w:rsidRPr="00CE28E3">
              <w:rPr>
                <w:color w:val="FFFFFF" w:themeColor="background1"/>
                <w:sz w:val="20"/>
              </w:rPr>
              <w:t>-</w:t>
            </w:r>
          </w:p>
        </w:tc>
        <w:tc>
          <w:tcPr>
            <w:tcW w:w="2268" w:type="dxa"/>
            <w:tcBorders>
              <w:top w:val="nil"/>
            </w:tcBorders>
            <w:vAlign w:val="center"/>
          </w:tcPr>
          <w:p w14:paraId="2306C195" w14:textId="598C7164" w:rsidR="00621B95" w:rsidRPr="00CE28E3" w:rsidRDefault="00836977" w:rsidP="00836977">
            <w:pPr>
              <w:pStyle w:val="TableText1"/>
              <w:ind w:left="113"/>
              <w:rPr>
                <w:sz w:val="20"/>
              </w:rPr>
            </w:pPr>
            <w:r>
              <w:rPr>
                <w:i/>
                <w:sz w:val="20"/>
              </w:rPr>
              <w:t>Variant</w:t>
            </w:r>
            <w:r w:rsidR="00621B95" w:rsidRPr="00CE28E3">
              <w:rPr>
                <w:i/>
                <w:sz w:val="20"/>
              </w:rPr>
              <w:t xml:space="preserve"> +</w:t>
            </w:r>
          </w:p>
        </w:tc>
        <w:tc>
          <w:tcPr>
            <w:tcW w:w="1984" w:type="dxa"/>
            <w:tcBorders>
              <w:top w:val="nil"/>
            </w:tcBorders>
            <w:vAlign w:val="center"/>
          </w:tcPr>
          <w:p w14:paraId="553D2F3E" w14:textId="6C8C2395" w:rsidR="00621B95" w:rsidRPr="00CE28E3" w:rsidRDefault="00836977" w:rsidP="00037FDC">
            <w:pPr>
              <w:pStyle w:val="TableText1"/>
              <w:ind w:left="113"/>
              <w:rPr>
                <w:sz w:val="20"/>
              </w:rPr>
            </w:pPr>
            <w:r>
              <w:rPr>
                <w:i/>
                <w:sz w:val="20"/>
              </w:rPr>
              <w:t>Variant</w:t>
            </w:r>
            <w:r w:rsidR="00621B95" w:rsidRPr="00CE28E3">
              <w:rPr>
                <w:i/>
                <w:sz w:val="20"/>
              </w:rPr>
              <w:t xml:space="preserve"> –</w:t>
            </w:r>
          </w:p>
        </w:tc>
        <w:tc>
          <w:tcPr>
            <w:tcW w:w="2127" w:type="dxa"/>
            <w:tcBorders>
              <w:top w:val="nil"/>
            </w:tcBorders>
            <w:vAlign w:val="center"/>
          </w:tcPr>
          <w:p w14:paraId="274A4D9E" w14:textId="77777777" w:rsidR="00621B95" w:rsidRPr="00CE28E3" w:rsidRDefault="00621B95" w:rsidP="00037FDC">
            <w:pPr>
              <w:pStyle w:val="TableText1"/>
              <w:rPr>
                <w:color w:val="FFFFFF" w:themeColor="background1"/>
                <w:sz w:val="20"/>
              </w:rPr>
            </w:pPr>
            <w:r w:rsidRPr="00CE28E3">
              <w:rPr>
                <w:color w:val="FFFFFF" w:themeColor="background1"/>
                <w:sz w:val="20"/>
              </w:rPr>
              <w:t>-</w:t>
            </w:r>
          </w:p>
        </w:tc>
      </w:tr>
      <w:tr w:rsidR="00836977" w:rsidRPr="00CE28E3" w14:paraId="22CC0959" w14:textId="77777777" w:rsidTr="00EB562B">
        <w:trPr>
          <w:trHeight w:val="449"/>
        </w:trPr>
        <w:tc>
          <w:tcPr>
            <w:tcW w:w="1526" w:type="dxa"/>
            <w:vMerge w:val="restart"/>
            <w:tcBorders>
              <w:right w:val="single" w:sz="4" w:space="0" w:color="auto"/>
            </w:tcBorders>
            <w:vAlign w:val="center"/>
          </w:tcPr>
          <w:p w14:paraId="090D876D" w14:textId="7EE64198" w:rsidR="00836977" w:rsidRPr="00CE28E3" w:rsidRDefault="00836977" w:rsidP="00037FDC">
            <w:pPr>
              <w:pStyle w:val="TableText1"/>
              <w:jc w:val="left"/>
              <w:rPr>
                <w:b/>
                <w:sz w:val="20"/>
              </w:rPr>
            </w:pPr>
            <w:r>
              <w:rPr>
                <w:b/>
                <w:sz w:val="20"/>
              </w:rPr>
              <w:t>NGS</w:t>
            </w:r>
            <w:r w:rsidRPr="00CE28E3">
              <w:rPr>
                <w:b/>
                <w:sz w:val="20"/>
              </w:rPr>
              <w:t xml:space="preserve"> </w:t>
            </w:r>
          </w:p>
        </w:tc>
        <w:tc>
          <w:tcPr>
            <w:tcW w:w="1134" w:type="dxa"/>
            <w:tcBorders>
              <w:left w:val="single" w:sz="4" w:space="0" w:color="auto"/>
            </w:tcBorders>
            <w:vAlign w:val="center"/>
          </w:tcPr>
          <w:p w14:paraId="671104A3" w14:textId="6C9FBFB6" w:rsidR="00836977" w:rsidRPr="00CE28E3" w:rsidRDefault="00836977" w:rsidP="00037FDC">
            <w:pPr>
              <w:pStyle w:val="TableText1"/>
              <w:rPr>
                <w:sz w:val="20"/>
              </w:rPr>
            </w:pPr>
            <w:r>
              <w:rPr>
                <w:i/>
                <w:sz w:val="20"/>
              </w:rPr>
              <w:t>Variant</w:t>
            </w:r>
            <w:r w:rsidRPr="00CE28E3">
              <w:rPr>
                <w:i/>
                <w:sz w:val="20"/>
              </w:rPr>
              <w:t xml:space="preserve"> +</w:t>
            </w:r>
          </w:p>
        </w:tc>
        <w:tc>
          <w:tcPr>
            <w:tcW w:w="2268" w:type="dxa"/>
            <w:vAlign w:val="center"/>
          </w:tcPr>
          <w:p w14:paraId="12EBC938" w14:textId="70CC906B" w:rsidR="00836977" w:rsidRPr="00CE28E3" w:rsidRDefault="00836977" w:rsidP="00836977">
            <w:pPr>
              <w:pStyle w:val="TableText1"/>
              <w:ind w:left="113"/>
              <w:jc w:val="left"/>
              <w:rPr>
                <w:sz w:val="20"/>
              </w:rPr>
            </w:pPr>
            <w:r>
              <w:rPr>
                <w:sz w:val="20"/>
              </w:rPr>
              <w:t>a. Positive concordance</w:t>
            </w:r>
          </w:p>
        </w:tc>
        <w:tc>
          <w:tcPr>
            <w:tcW w:w="1984" w:type="dxa"/>
            <w:vAlign w:val="center"/>
          </w:tcPr>
          <w:p w14:paraId="7A932150" w14:textId="64AD640B" w:rsidR="00836977" w:rsidRPr="00CE28E3" w:rsidRDefault="00836977" w:rsidP="00836977">
            <w:pPr>
              <w:pStyle w:val="TableText1"/>
              <w:ind w:left="113"/>
              <w:jc w:val="left"/>
              <w:rPr>
                <w:sz w:val="20"/>
              </w:rPr>
            </w:pPr>
            <w:r>
              <w:rPr>
                <w:sz w:val="20"/>
              </w:rPr>
              <w:t>b. Incremental variants identified by NGS</w:t>
            </w:r>
          </w:p>
        </w:tc>
        <w:tc>
          <w:tcPr>
            <w:tcW w:w="2127" w:type="dxa"/>
            <w:vAlign w:val="center"/>
          </w:tcPr>
          <w:p w14:paraId="7971EE33" w14:textId="2A6E9A6F" w:rsidR="00836977" w:rsidRPr="00CE28E3" w:rsidRDefault="00B371FB" w:rsidP="00037FDC">
            <w:pPr>
              <w:pStyle w:val="TableText1"/>
              <w:rPr>
                <w:sz w:val="20"/>
              </w:rPr>
            </w:pPr>
            <w:r>
              <w:rPr>
                <w:sz w:val="20"/>
              </w:rPr>
              <w:t>Positive predictive value =  a/(a+b)</w:t>
            </w:r>
          </w:p>
        </w:tc>
      </w:tr>
      <w:tr w:rsidR="00836977" w:rsidRPr="00CE28E3" w14:paraId="0DF07FCC" w14:textId="77777777" w:rsidTr="00EB562B">
        <w:trPr>
          <w:trHeight w:val="426"/>
        </w:trPr>
        <w:tc>
          <w:tcPr>
            <w:tcW w:w="1526" w:type="dxa"/>
            <w:vMerge/>
            <w:tcBorders>
              <w:right w:val="single" w:sz="4" w:space="0" w:color="auto"/>
            </w:tcBorders>
            <w:vAlign w:val="center"/>
          </w:tcPr>
          <w:p w14:paraId="088F67B0" w14:textId="5F7BF9A6" w:rsidR="00836977" w:rsidRPr="00CE28E3" w:rsidRDefault="00836977" w:rsidP="00037FDC">
            <w:pPr>
              <w:pStyle w:val="TableText"/>
              <w:keepNext/>
              <w:rPr>
                <w:color w:val="FFFFFF" w:themeColor="background1"/>
              </w:rPr>
            </w:pPr>
          </w:p>
        </w:tc>
        <w:tc>
          <w:tcPr>
            <w:tcW w:w="1134" w:type="dxa"/>
            <w:tcBorders>
              <w:left w:val="single" w:sz="4" w:space="0" w:color="auto"/>
            </w:tcBorders>
            <w:vAlign w:val="center"/>
          </w:tcPr>
          <w:p w14:paraId="008981F0" w14:textId="73A9462E" w:rsidR="00836977" w:rsidRPr="00CE28E3" w:rsidRDefault="00836977" w:rsidP="00037FDC">
            <w:pPr>
              <w:pStyle w:val="TableText1"/>
              <w:rPr>
                <w:sz w:val="20"/>
              </w:rPr>
            </w:pPr>
            <w:r>
              <w:rPr>
                <w:i/>
                <w:sz w:val="20"/>
              </w:rPr>
              <w:t>Variant</w:t>
            </w:r>
            <w:r w:rsidRPr="00CE28E3">
              <w:rPr>
                <w:i/>
                <w:sz w:val="20"/>
              </w:rPr>
              <w:t xml:space="preserve"> –</w:t>
            </w:r>
          </w:p>
        </w:tc>
        <w:tc>
          <w:tcPr>
            <w:tcW w:w="2268" w:type="dxa"/>
            <w:vAlign w:val="center"/>
          </w:tcPr>
          <w:p w14:paraId="364A941A" w14:textId="557E1935" w:rsidR="00836977" w:rsidRPr="00CE28E3" w:rsidRDefault="00836977" w:rsidP="00836977">
            <w:pPr>
              <w:pStyle w:val="TableText1"/>
              <w:ind w:left="113"/>
              <w:jc w:val="left"/>
              <w:rPr>
                <w:sz w:val="20"/>
              </w:rPr>
            </w:pPr>
            <w:r>
              <w:rPr>
                <w:sz w:val="20"/>
              </w:rPr>
              <w:t>c. Variants identified by single-gene testing but not NGS</w:t>
            </w:r>
          </w:p>
        </w:tc>
        <w:tc>
          <w:tcPr>
            <w:tcW w:w="1984" w:type="dxa"/>
            <w:vAlign w:val="center"/>
          </w:tcPr>
          <w:p w14:paraId="662080F6" w14:textId="16591E0F" w:rsidR="00836977" w:rsidRPr="00CE28E3" w:rsidRDefault="00836977" w:rsidP="00836977">
            <w:pPr>
              <w:pStyle w:val="TableText1"/>
              <w:ind w:left="113"/>
              <w:jc w:val="left"/>
              <w:rPr>
                <w:sz w:val="20"/>
              </w:rPr>
            </w:pPr>
            <w:r>
              <w:rPr>
                <w:sz w:val="20"/>
              </w:rPr>
              <w:t>d. Negative concordance</w:t>
            </w:r>
          </w:p>
        </w:tc>
        <w:tc>
          <w:tcPr>
            <w:tcW w:w="2127" w:type="dxa"/>
            <w:vAlign w:val="center"/>
          </w:tcPr>
          <w:p w14:paraId="080048AB" w14:textId="270B89AC" w:rsidR="00836977" w:rsidRPr="00CE28E3" w:rsidRDefault="00B371FB" w:rsidP="00037FDC">
            <w:pPr>
              <w:pStyle w:val="TableText1"/>
              <w:rPr>
                <w:sz w:val="20"/>
              </w:rPr>
            </w:pPr>
            <w:r>
              <w:rPr>
                <w:sz w:val="20"/>
              </w:rPr>
              <w:t>Negative predictive value = d/(c+d)</w:t>
            </w:r>
          </w:p>
        </w:tc>
      </w:tr>
      <w:tr w:rsidR="00621B95" w:rsidRPr="00CE28E3" w14:paraId="7BC272D5" w14:textId="77777777" w:rsidTr="00EB562B">
        <w:trPr>
          <w:trHeight w:val="149"/>
        </w:trPr>
        <w:tc>
          <w:tcPr>
            <w:tcW w:w="1526" w:type="dxa"/>
            <w:tcBorders>
              <w:right w:val="nil"/>
            </w:tcBorders>
            <w:vAlign w:val="center"/>
          </w:tcPr>
          <w:p w14:paraId="5E636703" w14:textId="77777777" w:rsidR="00621B95" w:rsidRPr="00CE28E3" w:rsidRDefault="00621B95" w:rsidP="00037FDC">
            <w:pPr>
              <w:pStyle w:val="TableText"/>
              <w:rPr>
                <w:color w:val="FFFFFF" w:themeColor="background1"/>
              </w:rPr>
            </w:pPr>
            <w:r w:rsidRPr="00CE28E3">
              <w:rPr>
                <w:color w:val="FFFFFF" w:themeColor="background1"/>
              </w:rPr>
              <w:t>-</w:t>
            </w:r>
          </w:p>
        </w:tc>
        <w:tc>
          <w:tcPr>
            <w:tcW w:w="1134" w:type="dxa"/>
            <w:tcBorders>
              <w:left w:val="nil"/>
            </w:tcBorders>
            <w:vAlign w:val="center"/>
          </w:tcPr>
          <w:p w14:paraId="2673B6E2" w14:textId="77777777" w:rsidR="00621B95" w:rsidRPr="00CE28E3" w:rsidRDefault="00621B95" w:rsidP="00037FDC">
            <w:pPr>
              <w:pStyle w:val="TableText1"/>
              <w:rPr>
                <w:color w:val="FFFFFF" w:themeColor="background1"/>
                <w:sz w:val="20"/>
              </w:rPr>
            </w:pPr>
            <w:r w:rsidRPr="00CE28E3">
              <w:rPr>
                <w:color w:val="FFFFFF" w:themeColor="background1"/>
                <w:sz w:val="20"/>
              </w:rPr>
              <w:t>-</w:t>
            </w:r>
          </w:p>
        </w:tc>
        <w:tc>
          <w:tcPr>
            <w:tcW w:w="2268" w:type="dxa"/>
            <w:vAlign w:val="center"/>
          </w:tcPr>
          <w:p w14:paraId="403BB8F2" w14:textId="1C8CE69E" w:rsidR="00621B95" w:rsidRPr="00CE28E3" w:rsidRDefault="00836977" w:rsidP="00836977">
            <w:pPr>
              <w:pStyle w:val="TableText1"/>
              <w:ind w:left="113"/>
              <w:jc w:val="left"/>
              <w:rPr>
                <w:sz w:val="20"/>
                <w:highlight w:val="yellow"/>
              </w:rPr>
            </w:pPr>
            <w:r>
              <w:rPr>
                <w:sz w:val="20"/>
              </w:rPr>
              <w:t>Positive percent agreement = a/(a+c)</w:t>
            </w:r>
          </w:p>
        </w:tc>
        <w:tc>
          <w:tcPr>
            <w:tcW w:w="1984" w:type="dxa"/>
            <w:vAlign w:val="center"/>
          </w:tcPr>
          <w:p w14:paraId="4E32E245" w14:textId="7B3A9052" w:rsidR="00621B95" w:rsidRPr="00CE28E3" w:rsidRDefault="00836977" w:rsidP="00836977">
            <w:pPr>
              <w:pStyle w:val="TableText1"/>
              <w:ind w:left="113"/>
              <w:jc w:val="left"/>
              <w:rPr>
                <w:sz w:val="20"/>
                <w:highlight w:val="yellow"/>
              </w:rPr>
            </w:pPr>
            <w:r>
              <w:rPr>
                <w:sz w:val="20"/>
              </w:rPr>
              <w:t>Negative percent agreement = d/(b+d)</w:t>
            </w:r>
          </w:p>
        </w:tc>
        <w:tc>
          <w:tcPr>
            <w:tcW w:w="2127" w:type="dxa"/>
            <w:vAlign w:val="center"/>
          </w:tcPr>
          <w:p w14:paraId="111F606A" w14:textId="77777777" w:rsidR="00621B95" w:rsidRPr="00CE28E3" w:rsidRDefault="00621B95" w:rsidP="00037FDC">
            <w:pPr>
              <w:pStyle w:val="TableText1"/>
              <w:rPr>
                <w:color w:val="FFFFFF" w:themeColor="background1"/>
                <w:sz w:val="20"/>
              </w:rPr>
            </w:pPr>
            <w:r w:rsidRPr="00CE28E3">
              <w:rPr>
                <w:color w:val="FFFFFF" w:themeColor="background1"/>
                <w:sz w:val="20"/>
              </w:rPr>
              <w:t>-</w:t>
            </w:r>
          </w:p>
        </w:tc>
      </w:tr>
    </w:tbl>
    <w:p w14:paraId="34732AF1" w14:textId="77777777" w:rsidR="006F20D3" w:rsidRDefault="006F20D3" w:rsidP="006F20D3">
      <w:pPr>
        <w:jc w:val="both"/>
      </w:pPr>
      <w:bookmarkStart w:id="108" w:name="_Ref106366579"/>
    </w:p>
    <w:p w14:paraId="614A05C3" w14:textId="28DA42C5" w:rsidR="006F20D3" w:rsidRDefault="00712378" w:rsidP="00292394">
      <w:r>
        <w:t xml:space="preserve">A total of </w:t>
      </w:r>
      <w:r w:rsidR="00A67AE5">
        <w:t>30</w:t>
      </w:r>
      <w:r>
        <w:t xml:space="preserve"> studies were identified which provided 2x2 data per gene assessed, and were able to be included on the outcome of concordance. </w:t>
      </w:r>
      <w:r w:rsidR="006F20D3">
        <w:t xml:space="preserve">The summary of the concordance results are shown in </w:t>
      </w:r>
      <w:r w:rsidR="00586126">
        <w:fldChar w:fldCharType="begin"/>
      </w:r>
      <w:r w:rsidR="00586126">
        <w:instrText xml:space="preserve"> REF _Ref108626509 \h </w:instrText>
      </w:r>
      <w:r w:rsidR="00586126">
        <w:fldChar w:fldCharType="separate"/>
      </w:r>
      <w:r w:rsidR="00C857F3">
        <w:t xml:space="preserve">Table </w:t>
      </w:r>
      <w:r w:rsidR="00C857F3">
        <w:rPr>
          <w:noProof/>
        </w:rPr>
        <w:t>30</w:t>
      </w:r>
      <w:r w:rsidR="00586126">
        <w:fldChar w:fldCharType="end"/>
      </w:r>
      <w:r w:rsidR="006F20D3">
        <w:t xml:space="preserve">. </w:t>
      </w:r>
    </w:p>
    <w:p w14:paraId="7EEB60F5" w14:textId="0DC172CA" w:rsidR="006F20D3" w:rsidRDefault="006F20D3" w:rsidP="006F20D3">
      <w:pPr>
        <w:pStyle w:val="Instructionaltext"/>
      </w:pPr>
      <w:r w:rsidRPr="00ED3A5A">
        <w:rPr>
          <w:color w:val="auto"/>
        </w:rPr>
        <w:t xml:space="preserve">For those tested with </w:t>
      </w:r>
      <w:r w:rsidR="001C773C">
        <w:rPr>
          <w:color w:val="auto"/>
        </w:rPr>
        <w:t xml:space="preserve">DNA </w:t>
      </w:r>
      <w:r w:rsidRPr="00ED3A5A">
        <w:rPr>
          <w:color w:val="auto"/>
        </w:rPr>
        <w:t xml:space="preserve">NGS </w:t>
      </w:r>
      <w:r w:rsidR="001C773C">
        <w:rPr>
          <w:color w:val="auto"/>
        </w:rPr>
        <w:t xml:space="preserve">± IHC, FISH or RNA NGS </w:t>
      </w:r>
      <w:r w:rsidRPr="00ED3A5A">
        <w:rPr>
          <w:color w:val="auto"/>
        </w:rPr>
        <w:t xml:space="preserve">instead of single-gene testing, the vast majority of patients </w:t>
      </w:r>
      <w:r w:rsidR="001C773C">
        <w:rPr>
          <w:color w:val="auto"/>
        </w:rPr>
        <w:t xml:space="preserve">(95.7%) </w:t>
      </w:r>
      <w:r w:rsidRPr="00ED3A5A">
        <w:rPr>
          <w:color w:val="auto"/>
        </w:rPr>
        <w:t xml:space="preserve">would be classified the same (due to concordant variants identified in 22.4% of </w:t>
      </w:r>
      <w:r w:rsidR="00586126" w:rsidRPr="00ED3A5A">
        <w:rPr>
          <w:color w:val="auto"/>
        </w:rPr>
        <w:t>patients and</w:t>
      </w:r>
      <w:r w:rsidRPr="00ED3A5A">
        <w:rPr>
          <w:color w:val="auto"/>
        </w:rPr>
        <w:t xml:space="preserve"> </w:t>
      </w:r>
      <w:r>
        <w:rPr>
          <w:color w:val="auto"/>
        </w:rPr>
        <w:t>being found to have no pathogenic variants in</w:t>
      </w:r>
      <w:r w:rsidRPr="00ED3A5A">
        <w:rPr>
          <w:color w:val="auto"/>
        </w:rPr>
        <w:t xml:space="preserve"> </w:t>
      </w:r>
      <w:r w:rsidRPr="00ED3A5A">
        <w:rPr>
          <w:i/>
          <w:color w:val="auto"/>
        </w:rPr>
        <w:t xml:space="preserve">EGFR, ALK, ROS1 or METex14sk </w:t>
      </w:r>
      <w:r w:rsidRPr="00ED3A5A">
        <w:rPr>
          <w:color w:val="auto"/>
        </w:rPr>
        <w:t xml:space="preserve">by both forms of testing in 73.3% of patients). In the 4.3% of cases where the tests were discordant, the majority (3.5%) were due to NGS identifying an additional variant in one of the four specified genes, whereas in a very small proportion of patients (0.8%), the NGS did not detect a variant identified by single-gene testing. </w:t>
      </w:r>
      <w:r>
        <w:rPr>
          <w:color w:val="auto"/>
        </w:rPr>
        <w:t xml:space="preserve">Li et al. (2016) </w:t>
      </w:r>
      <w:r w:rsidRPr="00ED3A5A">
        <w:rPr>
          <w:color w:val="auto"/>
        </w:rPr>
        <w:t xml:space="preserve">suggest a non-inferiority margin of 5% difference in PPA and NPA for </w:t>
      </w:r>
      <w:r>
        <w:rPr>
          <w:color w:val="auto"/>
        </w:rPr>
        <w:t xml:space="preserve">concordance </w:t>
      </w:r>
      <w:r w:rsidR="00B4668F">
        <w:rPr>
          <w:color w:val="auto"/>
        </w:rPr>
        <w:fldChar w:fldCharType="begin"/>
      </w:r>
      <w:r w:rsidR="006D4612">
        <w:rPr>
          <w:color w:val="auto"/>
        </w:rPr>
        <w:instrText xml:space="preserve"> ADDIN EN.CITE &lt;EndNote&gt;&lt;Cite&gt;&lt;Author&gt;Li&lt;/Author&gt;&lt;Year&gt;2016&lt;/Year&gt;&lt;RecNum&gt;170&lt;/RecNum&gt;&lt;IDText&gt;94-101&lt;/IDText&gt;&lt;DisplayText&gt;(Li et al. 2016)&lt;/DisplayText&gt;&lt;record&gt;&lt;rec-number&gt;170&lt;/rec-number&gt;&lt;foreign-keys&gt;&lt;key app="EN" db-id="0tprsse9cpp5r3ea5dz5p0xw2pfwvwxpa5a5" timestamp="1655264279"&gt;170&lt;/key&gt;&lt;/foreign-keys&gt;&lt;ref-type name="Journal Article"&gt;17&lt;/ref-type&gt;&lt;contributors&gt;&lt;authors&gt;&lt;author&gt;Li, Wenbin&lt;/author&gt;&lt;author&gt;Zhang, Jing&lt;/author&gt;&lt;author&gt;Guo, Lei&lt;/author&gt;&lt;author&gt;Chuai, Shannon&lt;/author&gt;&lt;author&gt;Shan, Ling&lt;/author&gt;&lt;author&gt;Ying, Jianming&lt;/author&gt;&lt;/authors&gt;&lt;/contributors&gt;&lt;titles&gt;&lt;title&gt;Combinational Analysis of FISH and Immunohistochemistry Reveals Rare Genomic Events in ALK Fusion Patterns in NSCLC that Responds to Crizotinib Treatment&lt;/title&gt;&lt;secondary-title&gt;Journal of thoracic oncology : official publication of the International Association for the Study of Lung Cancer&lt;/secondary-title&gt;&lt;/titles&gt;&lt;periodical&gt;&lt;full-title&gt;Journal of thoracic oncology : official publication of the International Association for the Study of Lung Cancer&lt;/full-title&gt;&lt;/periodical&gt;&lt;pages&gt;94-101&lt;/pages&gt;&lt;volume&gt;12&lt;/volume&gt;&lt;number&gt;1&lt;/number&gt;&lt;dates&gt;&lt;year&gt;2016&lt;/year&gt;&lt;/dates&gt;&lt;urls&gt;&lt;related-urls&gt;&lt;url&gt;https://www.sciencedirect.com/science/article/pii/S1556086416309303?via%3Dihub&lt;/url&gt;&lt;/related-urls&gt;&lt;/urls&gt;&lt;electronic-resource-num&gt;10.1016/j.jtho.2016.08.145&lt;/electronic-resource-num&gt;&lt;research-notes&gt;P - Include? cases with discordance between FISH and NGS&lt;/research-notes&gt;&lt;/record&gt;&lt;/Cite&gt;&lt;/EndNote&gt;</w:instrText>
      </w:r>
      <w:r w:rsidR="00B4668F">
        <w:rPr>
          <w:color w:val="auto"/>
        </w:rPr>
        <w:fldChar w:fldCharType="separate"/>
      </w:r>
      <w:r w:rsidR="006D4612">
        <w:rPr>
          <w:noProof/>
          <w:color w:val="auto"/>
        </w:rPr>
        <w:t>(Li et al. 2016)</w:t>
      </w:r>
      <w:r w:rsidR="00B4668F">
        <w:rPr>
          <w:color w:val="auto"/>
        </w:rPr>
        <w:fldChar w:fldCharType="end"/>
      </w:r>
      <w:r w:rsidR="00B4668F">
        <w:rPr>
          <w:color w:val="auto"/>
        </w:rPr>
        <w:t xml:space="preserve">, </w:t>
      </w:r>
      <w:r>
        <w:rPr>
          <w:color w:val="auto"/>
        </w:rPr>
        <w:t xml:space="preserve">suggesting that NGS is non-inferior to single-gene testing. </w:t>
      </w:r>
    </w:p>
    <w:p w14:paraId="4503C9CB" w14:textId="15BD3A59" w:rsidR="006F20D3" w:rsidRPr="0006227F" w:rsidRDefault="006F20D3" w:rsidP="00712378">
      <w:r>
        <w:t xml:space="preserve">Discordant classifications on </w:t>
      </w:r>
      <w:r>
        <w:rPr>
          <w:i/>
        </w:rPr>
        <w:t xml:space="preserve">EGFR </w:t>
      </w:r>
      <w:r>
        <w:t xml:space="preserve">variants were due to the NGS panels frequently </w:t>
      </w:r>
      <w:r w:rsidR="001922A7">
        <w:t>being more comprehensive than single-gene testing (</w:t>
      </w:r>
      <w:r>
        <w:t>including variants not included on single-gene tests</w:t>
      </w:r>
      <w:r w:rsidR="001922A7">
        <w:t>)</w:t>
      </w:r>
      <w:r>
        <w:t xml:space="preserve">, or due to a difference in the level of analytical sensitivity between the tests (NGS had a higher level of sensitivity, and lower threshold of detection, than Sanger sequencing, the cobas assay, and some PCR tests, whereas ARMS-PCR was set at a </w:t>
      </w:r>
      <w:r w:rsidR="007706B2">
        <w:t>higher-level</w:t>
      </w:r>
      <w:r>
        <w:t xml:space="preserve"> sensitivity than NGS in several studies). Comments on the cases of discordance are compiled in </w:t>
      </w:r>
      <w:r>
        <w:fldChar w:fldCharType="begin"/>
      </w:r>
      <w:r>
        <w:instrText xml:space="preserve"> REF _Ref106610379 \h </w:instrText>
      </w:r>
      <w:r>
        <w:fldChar w:fldCharType="separate"/>
      </w:r>
      <w:r w:rsidR="00C857F3">
        <w:t xml:space="preserve">Table </w:t>
      </w:r>
      <w:r w:rsidR="00C857F3">
        <w:rPr>
          <w:noProof/>
        </w:rPr>
        <w:t>83</w:t>
      </w:r>
      <w:r>
        <w:fldChar w:fldCharType="end"/>
      </w:r>
      <w:r>
        <w:t xml:space="preserve"> in </w:t>
      </w:r>
      <w:r>
        <w:fldChar w:fldCharType="begin"/>
      </w:r>
      <w:r>
        <w:instrText xml:space="preserve"> REF _Ref106359877 \h </w:instrText>
      </w:r>
      <w:r>
        <w:fldChar w:fldCharType="separate"/>
      </w:r>
      <w:r w:rsidR="00C857F3">
        <w:t xml:space="preserve">Appendix </w:t>
      </w:r>
      <w:r w:rsidR="00C857F3">
        <w:rPr>
          <w:noProof/>
        </w:rPr>
        <w:t>D</w:t>
      </w:r>
      <w:r>
        <w:fldChar w:fldCharType="end"/>
      </w:r>
      <w:r w:rsidR="00712378">
        <w:t xml:space="preserve">. </w:t>
      </w:r>
      <w:r w:rsidR="0006227F">
        <w:t xml:space="preserve">Tan et al. (2020) reported that NGS identified an additional 12 variants, or which 7 (58%) were common variants (ex19del, L858R or T790M), and 5 (42%) were rare variants. Similarly, Park et al. (2020) reported that of the 16 incremental </w:t>
      </w:r>
      <w:r w:rsidR="0006227F">
        <w:rPr>
          <w:i/>
        </w:rPr>
        <w:t xml:space="preserve">EGFR </w:t>
      </w:r>
      <w:r w:rsidR="0006227F">
        <w:t xml:space="preserve">variants identified by NGS, 8 were in hotspot locations (in regions tested by PCR, but below the sensitivity threshold), and the remaining 8 were in locations not tested by PCR, although half of the rare variants identified were considered actionable, and </w:t>
      </w:r>
      <w:r w:rsidR="0006227F">
        <w:rPr>
          <w:i/>
        </w:rPr>
        <w:t>EGFR</w:t>
      </w:r>
      <w:r w:rsidR="0006227F">
        <w:t xml:space="preserve"> TKIs were administered. </w:t>
      </w:r>
    </w:p>
    <w:p w14:paraId="3983F73B" w14:textId="5C82828E" w:rsidR="00B56736" w:rsidRDefault="00B56736" w:rsidP="00712378">
      <w:r>
        <w:t xml:space="preserve">For </w:t>
      </w:r>
      <w:r w:rsidRPr="00B56736">
        <w:rPr>
          <w:i/>
        </w:rPr>
        <w:t>EGFR</w:t>
      </w:r>
      <w:r>
        <w:t xml:space="preserve"> and </w:t>
      </w:r>
      <w:r>
        <w:rPr>
          <w:i/>
        </w:rPr>
        <w:t>ROS1</w:t>
      </w:r>
      <w:r>
        <w:t xml:space="preserve">, there were insufficient studies comparing NGS against the clinical utility standard (cobas assay and FISH) to provide results for NGS against the clinical utility standard, separate from other tests potentially used in Australia. For </w:t>
      </w:r>
      <w:r>
        <w:rPr>
          <w:i/>
        </w:rPr>
        <w:t>ALK</w:t>
      </w:r>
      <w:r>
        <w:t xml:space="preserve">, </w:t>
      </w:r>
      <w:r w:rsidR="00B052D1">
        <w:t>NGS was able to be compared to the clinical utility standard (FISH)</w:t>
      </w:r>
      <w:r w:rsidR="00D26226">
        <w:t xml:space="preserve"> in six studies</w:t>
      </w:r>
      <w:r w:rsidR="00B052D1">
        <w:t xml:space="preserve">, with a PPA of </w:t>
      </w:r>
      <w:r w:rsidR="00D26226">
        <w:t>93</w:t>
      </w:r>
      <w:r w:rsidR="00B052D1">
        <w:t>% (95%CI 72%, 98%</w:t>
      </w:r>
      <w:r w:rsidR="00D26226">
        <w:t xml:space="preserve">) and NPA of 97% (79%, 100%). </w:t>
      </w:r>
    </w:p>
    <w:p w14:paraId="15D7604C" w14:textId="7E5E4919" w:rsidR="004951B7" w:rsidRDefault="004951B7" w:rsidP="00712378">
      <w:r>
        <w:t>The negative predictive value (</w:t>
      </w:r>
      <w:r w:rsidR="00754F4B">
        <w:t xml:space="preserve">NPV; </w:t>
      </w:r>
      <w:r>
        <w:t xml:space="preserve">the likelihood that someone classified as being wildtype by NGS would also be classified as wildtype on single-gene testing) was very high (ranging from 99.6% for </w:t>
      </w:r>
      <w:r w:rsidRPr="004951B7">
        <w:rPr>
          <w:i/>
        </w:rPr>
        <w:t xml:space="preserve">EGFR </w:t>
      </w:r>
      <w:r>
        <w:t xml:space="preserve">to 99.9% for </w:t>
      </w:r>
      <w:r w:rsidRPr="004951B7">
        <w:rPr>
          <w:i/>
        </w:rPr>
        <w:t>MET</w:t>
      </w:r>
      <w:r>
        <w:t>ex14sk). The positive predictive value</w:t>
      </w:r>
      <w:r w:rsidR="00754F4B">
        <w:t>s</w:t>
      </w:r>
      <w:r>
        <w:t xml:space="preserve"> (</w:t>
      </w:r>
      <w:r w:rsidR="00754F4B">
        <w:t xml:space="preserve">PPV; </w:t>
      </w:r>
      <w:r>
        <w:t>the likelihood that someone with an actionable variant identified by NGS would also be classified as having an actionable variant by single-gene testing</w:t>
      </w:r>
      <w:r w:rsidR="00754F4B">
        <w:t>)</w:t>
      </w:r>
      <w:r>
        <w:t xml:space="preserve"> was less consistent, with </w:t>
      </w:r>
      <w:r w:rsidR="00754F4B">
        <w:t xml:space="preserve">the PPV for </w:t>
      </w:r>
      <w:r w:rsidR="00754F4B">
        <w:rPr>
          <w:i/>
        </w:rPr>
        <w:t xml:space="preserve">ALK </w:t>
      </w:r>
      <w:r w:rsidR="00754F4B">
        <w:t xml:space="preserve">rearrangements being </w:t>
      </w:r>
      <w:r w:rsidR="000578C0">
        <w:t xml:space="preserve">73.7%, and for </w:t>
      </w:r>
      <w:r w:rsidR="000578C0">
        <w:rPr>
          <w:i/>
        </w:rPr>
        <w:t xml:space="preserve">ROS1 </w:t>
      </w:r>
      <w:r w:rsidR="000578C0">
        <w:t xml:space="preserve">and </w:t>
      </w:r>
      <w:r w:rsidR="000578C0">
        <w:rPr>
          <w:i/>
        </w:rPr>
        <w:t>MET</w:t>
      </w:r>
      <w:r w:rsidR="000578C0">
        <w:t xml:space="preserve">ex14sk being 100%. </w:t>
      </w:r>
      <w:r w:rsidR="008C66BB">
        <w:t xml:space="preserve">These results suggest </w:t>
      </w:r>
      <w:r w:rsidR="008C66BB">
        <w:lastRenderedPageBreak/>
        <w:t xml:space="preserve">that although the largest discordance (in raw numbers) would be the additional </w:t>
      </w:r>
      <w:r w:rsidR="008C66BB">
        <w:rPr>
          <w:i/>
        </w:rPr>
        <w:t>EGFR</w:t>
      </w:r>
      <w:r w:rsidR="008C66BB">
        <w:t xml:space="preserve"> variants detected, the largest relative difference would be in the patients being identified with </w:t>
      </w:r>
      <w:r w:rsidR="008C66BB">
        <w:rPr>
          <w:i/>
        </w:rPr>
        <w:t>ALK</w:t>
      </w:r>
      <w:r w:rsidR="008C66BB">
        <w:t xml:space="preserve"> rearrangements. </w:t>
      </w:r>
    </w:p>
    <w:p w14:paraId="02274E41" w14:textId="534F98A3" w:rsidR="0029294E" w:rsidRPr="008C66BB" w:rsidRDefault="0029294E" w:rsidP="00712378">
      <w:r w:rsidRPr="00B82939">
        <w:t xml:space="preserve">Only four studies reported </w:t>
      </w:r>
      <w:r>
        <w:t xml:space="preserve">using a </w:t>
      </w:r>
      <w:r w:rsidRPr="00B82939">
        <w:t xml:space="preserve">threshold </w:t>
      </w:r>
      <w:r>
        <w:t>of 15% t</w:t>
      </w:r>
      <w:r w:rsidRPr="00B82939">
        <w:t xml:space="preserve">o determine a positive result on </w:t>
      </w:r>
      <w:r w:rsidRPr="00B82939">
        <w:rPr>
          <w:i/>
        </w:rPr>
        <w:t>ALK</w:t>
      </w:r>
      <w:r w:rsidRPr="00B82939">
        <w:t xml:space="preserve"> FISH testing. These four studies reported similar results to the studies overall (PPA 91%; 95%CI 42, 99; NPA 99%; 95%CI 95, 100). There </w:t>
      </w:r>
      <w:r w:rsidRPr="009E242A">
        <w:t>were insufficient details</w:t>
      </w:r>
      <w:r w:rsidRPr="00B82939">
        <w:t xml:space="preserve"> provided in the studies with discordance between </w:t>
      </w:r>
      <w:r w:rsidRPr="009E242A">
        <w:rPr>
          <w:i/>
        </w:rPr>
        <w:t xml:space="preserve">ALK </w:t>
      </w:r>
      <w:r w:rsidRPr="00B82939">
        <w:rPr>
          <w:i/>
        </w:rPr>
        <w:t>(</w:t>
      </w:r>
      <w:r w:rsidRPr="00B82939">
        <w:t xml:space="preserve">FISH ± IHC) and NGS to </w:t>
      </w:r>
      <w:r w:rsidRPr="009E242A">
        <w:t>determine</w:t>
      </w:r>
      <w:r w:rsidRPr="00B82939">
        <w:t xml:space="preserve"> whether the additional cases identified </w:t>
      </w:r>
      <w:r w:rsidRPr="009E242A">
        <w:t xml:space="preserve">by NGS </w:t>
      </w:r>
      <w:r w:rsidRPr="00B82939">
        <w:t xml:space="preserve">would </w:t>
      </w:r>
      <w:r w:rsidRPr="009E242A">
        <w:t xml:space="preserve">potentially </w:t>
      </w:r>
      <w:r w:rsidRPr="00B82939">
        <w:t xml:space="preserve">allow </w:t>
      </w:r>
      <w:r w:rsidRPr="00B82939">
        <w:rPr>
          <w:i/>
        </w:rPr>
        <w:t>ALK</w:t>
      </w:r>
      <w:r w:rsidRPr="00B82939">
        <w:t xml:space="preserve"> TKIs </w:t>
      </w:r>
      <w:r w:rsidRPr="009E242A">
        <w:t xml:space="preserve">to be used in </w:t>
      </w:r>
      <w:r w:rsidRPr="00B82939">
        <w:t>patients who currently are not eligible</w:t>
      </w:r>
      <w:r w:rsidRPr="009E242A">
        <w:t xml:space="preserve"> based on the current PBS criteria</w:t>
      </w:r>
      <w:r w:rsidRPr="00B82939">
        <w:t>.</w:t>
      </w:r>
      <w:r>
        <w:t xml:space="preserve"> </w:t>
      </w:r>
    </w:p>
    <w:p w14:paraId="5C217FCA" w14:textId="05FA5DCC" w:rsidR="00615B4E" w:rsidRDefault="00615B4E" w:rsidP="00615B4E">
      <w:pPr>
        <w:pStyle w:val="Caption"/>
      </w:pPr>
      <w:bookmarkStart w:id="109" w:name="_Ref108626509"/>
      <w:r>
        <w:t xml:space="preserve">Table </w:t>
      </w:r>
      <w:fldSimple w:instr=" SEQ Table \* ARABIC ">
        <w:r w:rsidR="00C857F3">
          <w:rPr>
            <w:noProof/>
          </w:rPr>
          <w:t>30</w:t>
        </w:r>
      </w:fldSimple>
      <w:bookmarkEnd w:id="108"/>
      <w:bookmarkEnd w:id="109"/>
      <w:r>
        <w:tab/>
        <w:t>Summary of concordance data between NGS and single-gene testing</w:t>
      </w:r>
    </w:p>
    <w:tbl>
      <w:tblPr>
        <w:tblStyle w:val="TableGrid"/>
        <w:tblW w:w="5000" w:type="pct"/>
        <w:tblLayout w:type="fixed"/>
        <w:tblLook w:val="04A0" w:firstRow="1" w:lastRow="0" w:firstColumn="1" w:lastColumn="0" w:noHBand="0" w:noVBand="1"/>
        <w:tblCaption w:val="Summary of concordance data between NGS and single-gene testing"/>
        <w:tblDescription w:val="Summary of concordance data between NGS and single-gene testing"/>
      </w:tblPr>
      <w:tblGrid>
        <w:gridCol w:w="703"/>
        <w:gridCol w:w="994"/>
        <w:gridCol w:w="957"/>
        <w:gridCol w:w="884"/>
        <w:gridCol w:w="837"/>
        <w:gridCol w:w="1006"/>
        <w:gridCol w:w="709"/>
        <w:gridCol w:w="709"/>
        <w:gridCol w:w="1001"/>
        <w:gridCol w:w="570"/>
        <w:gridCol w:w="646"/>
      </w:tblGrid>
      <w:tr w:rsidR="00754F4B" w:rsidRPr="00796D44" w14:paraId="66B0ED9B" w14:textId="1C4A9898" w:rsidTr="00956452">
        <w:trPr>
          <w:tblHeader/>
        </w:trPr>
        <w:tc>
          <w:tcPr>
            <w:tcW w:w="390" w:type="pct"/>
            <w:vMerge w:val="restart"/>
          </w:tcPr>
          <w:p w14:paraId="25F79D88" w14:textId="4F16EEDE" w:rsidR="00754F4B" w:rsidRPr="00796D44" w:rsidRDefault="00754F4B" w:rsidP="006F53B4">
            <w:pPr>
              <w:pStyle w:val="In-tableHeading"/>
            </w:pPr>
            <w:r>
              <w:t>Gene</w:t>
            </w:r>
          </w:p>
        </w:tc>
        <w:tc>
          <w:tcPr>
            <w:tcW w:w="551" w:type="pct"/>
            <w:vMerge w:val="restart"/>
          </w:tcPr>
          <w:p w14:paraId="27633736" w14:textId="77777777" w:rsidR="00754F4B" w:rsidRPr="00796D44" w:rsidRDefault="00754F4B" w:rsidP="006F53B4">
            <w:pPr>
              <w:pStyle w:val="In-tableHeading"/>
            </w:pPr>
            <w:r w:rsidRPr="00796D44">
              <w:t>Evidence base</w:t>
            </w:r>
          </w:p>
        </w:tc>
        <w:tc>
          <w:tcPr>
            <w:tcW w:w="531" w:type="pct"/>
            <w:vMerge w:val="restart"/>
          </w:tcPr>
          <w:p w14:paraId="2449CD10" w14:textId="35E5B975" w:rsidR="00754F4B" w:rsidRPr="00796D44" w:rsidRDefault="00754F4B" w:rsidP="006F53B4">
            <w:pPr>
              <w:pStyle w:val="In-tableHeading"/>
            </w:pPr>
            <w:r w:rsidRPr="00796D44">
              <w:t>PPA</w:t>
            </w:r>
            <w:r w:rsidR="0029294E">
              <w:t xml:space="preserve"> (95%CI)</w:t>
            </w:r>
          </w:p>
        </w:tc>
        <w:tc>
          <w:tcPr>
            <w:tcW w:w="490" w:type="pct"/>
            <w:vMerge w:val="restart"/>
          </w:tcPr>
          <w:p w14:paraId="3E4CAC5D" w14:textId="51D24386" w:rsidR="00754F4B" w:rsidRPr="00796D44" w:rsidRDefault="00754F4B" w:rsidP="006F53B4">
            <w:pPr>
              <w:pStyle w:val="In-tableHeading"/>
            </w:pPr>
            <w:r w:rsidRPr="00796D44">
              <w:t>NPA</w:t>
            </w:r>
            <w:r w:rsidR="0029294E">
              <w:t xml:space="preserve"> (95%CI)</w:t>
            </w:r>
          </w:p>
        </w:tc>
        <w:tc>
          <w:tcPr>
            <w:tcW w:w="464" w:type="pct"/>
            <w:vMerge w:val="restart"/>
          </w:tcPr>
          <w:p w14:paraId="1E7D458D" w14:textId="69DF8AF7" w:rsidR="00754F4B" w:rsidRPr="00796D44" w:rsidRDefault="00754F4B" w:rsidP="006F53B4">
            <w:pPr>
              <w:pStyle w:val="In-tableHeading"/>
            </w:pPr>
            <w:r w:rsidRPr="00796D44">
              <w:t>Prev</w:t>
            </w:r>
            <w:r>
              <w:t>-</w:t>
            </w:r>
            <w:r w:rsidRPr="00796D44">
              <w:t>alence</w:t>
            </w:r>
          </w:p>
        </w:tc>
        <w:tc>
          <w:tcPr>
            <w:tcW w:w="1899" w:type="pct"/>
            <w:gridSpan w:val="4"/>
          </w:tcPr>
          <w:p w14:paraId="46E1FCED" w14:textId="28D0EBBF" w:rsidR="00754F4B" w:rsidRPr="00796D44" w:rsidRDefault="00754F4B" w:rsidP="006F53B4">
            <w:pPr>
              <w:pStyle w:val="In-tableHeading"/>
            </w:pPr>
            <w:r>
              <w:t>Per 1000 successfully tested</w:t>
            </w:r>
            <w:r w:rsidR="0029294E">
              <w:t xml:space="preserve"> (95%CI)</w:t>
            </w:r>
          </w:p>
        </w:tc>
        <w:tc>
          <w:tcPr>
            <w:tcW w:w="316" w:type="pct"/>
            <w:vMerge w:val="restart"/>
          </w:tcPr>
          <w:p w14:paraId="2B6876A2" w14:textId="1C84B5FB" w:rsidR="00754F4B" w:rsidRDefault="00754F4B" w:rsidP="006F53B4">
            <w:pPr>
              <w:pStyle w:val="In-tableHeading"/>
            </w:pPr>
            <w:r>
              <w:t>PPV</w:t>
            </w:r>
          </w:p>
        </w:tc>
        <w:tc>
          <w:tcPr>
            <w:tcW w:w="358" w:type="pct"/>
            <w:vMerge w:val="restart"/>
          </w:tcPr>
          <w:p w14:paraId="74CCD17D" w14:textId="6E3C70B5" w:rsidR="00754F4B" w:rsidRDefault="00754F4B" w:rsidP="006F53B4">
            <w:pPr>
              <w:pStyle w:val="In-tableHeading"/>
            </w:pPr>
            <w:r>
              <w:t>NPV</w:t>
            </w:r>
          </w:p>
        </w:tc>
      </w:tr>
      <w:tr w:rsidR="00754F4B" w:rsidRPr="00796D44" w14:paraId="60961793" w14:textId="708D932E" w:rsidTr="00956452">
        <w:trPr>
          <w:tblHeader/>
        </w:trPr>
        <w:tc>
          <w:tcPr>
            <w:tcW w:w="390" w:type="pct"/>
            <w:vMerge/>
          </w:tcPr>
          <w:p w14:paraId="2C984786" w14:textId="77777777" w:rsidR="00754F4B" w:rsidRPr="00796D44" w:rsidRDefault="00754F4B" w:rsidP="006F53B4">
            <w:pPr>
              <w:pStyle w:val="In-tableHeading"/>
            </w:pPr>
          </w:p>
        </w:tc>
        <w:tc>
          <w:tcPr>
            <w:tcW w:w="551" w:type="pct"/>
            <w:vMerge/>
          </w:tcPr>
          <w:p w14:paraId="68FCAEF4" w14:textId="77777777" w:rsidR="00754F4B" w:rsidRPr="00796D44" w:rsidRDefault="00754F4B" w:rsidP="006F53B4">
            <w:pPr>
              <w:pStyle w:val="In-tableHeading"/>
            </w:pPr>
          </w:p>
        </w:tc>
        <w:tc>
          <w:tcPr>
            <w:tcW w:w="531" w:type="pct"/>
            <w:vMerge/>
          </w:tcPr>
          <w:p w14:paraId="40D0A739" w14:textId="77777777" w:rsidR="00754F4B" w:rsidRPr="00796D44" w:rsidRDefault="00754F4B" w:rsidP="006F53B4">
            <w:pPr>
              <w:pStyle w:val="In-tableHeading"/>
            </w:pPr>
          </w:p>
        </w:tc>
        <w:tc>
          <w:tcPr>
            <w:tcW w:w="490" w:type="pct"/>
            <w:vMerge/>
          </w:tcPr>
          <w:p w14:paraId="1FAC14B8" w14:textId="77777777" w:rsidR="00754F4B" w:rsidRPr="00796D44" w:rsidRDefault="00754F4B" w:rsidP="006F53B4">
            <w:pPr>
              <w:pStyle w:val="In-tableHeading"/>
            </w:pPr>
          </w:p>
        </w:tc>
        <w:tc>
          <w:tcPr>
            <w:tcW w:w="464" w:type="pct"/>
            <w:vMerge/>
          </w:tcPr>
          <w:p w14:paraId="27A3969C" w14:textId="77777777" w:rsidR="00754F4B" w:rsidRPr="00796D44" w:rsidRDefault="00754F4B" w:rsidP="006F53B4">
            <w:pPr>
              <w:pStyle w:val="In-tableHeading"/>
            </w:pPr>
          </w:p>
        </w:tc>
        <w:tc>
          <w:tcPr>
            <w:tcW w:w="558" w:type="pct"/>
          </w:tcPr>
          <w:p w14:paraId="49D5A840" w14:textId="77777777" w:rsidR="00754F4B" w:rsidRPr="00796D44" w:rsidRDefault="00754F4B" w:rsidP="006F53B4">
            <w:pPr>
              <w:pStyle w:val="In-tableHeading"/>
            </w:pPr>
            <w:r w:rsidRPr="00796D44">
              <w:t>NGS+ /SG+</w:t>
            </w:r>
          </w:p>
        </w:tc>
        <w:tc>
          <w:tcPr>
            <w:tcW w:w="393" w:type="pct"/>
          </w:tcPr>
          <w:p w14:paraId="24A48754" w14:textId="77777777" w:rsidR="00754F4B" w:rsidRPr="00796D44" w:rsidRDefault="00754F4B" w:rsidP="006F53B4">
            <w:pPr>
              <w:pStyle w:val="In-tableHeading"/>
            </w:pPr>
            <w:r w:rsidRPr="00796D44">
              <w:t>NGS+ /SG-</w:t>
            </w:r>
          </w:p>
        </w:tc>
        <w:tc>
          <w:tcPr>
            <w:tcW w:w="393" w:type="pct"/>
          </w:tcPr>
          <w:p w14:paraId="56E86074" w14:textId="77777777" w:rsidR="00754F4B" w:rsidRPr="00796D44" w:rsidRDefault="00754F4B" w:rsidP="006F53B4">
            <w:pPr>
              <w:pStyle w:val="In-tableHeading"/>
            </w:pPr>
            <w:r w:rsidRPr="00796D44">
              <w:t>NGS- /SG+</w:t>
            </w:r>
          </w:p>
        </w:tc>
        <w:tc>
          <w:tcPr>
            <w:tcW w:w="555" w:type="pct"/>
          </w:tcPr>
          <w:p w14:paraId="2BC93229" w14:textId="77777777" w:rsidR="00754F4B" w:rsidRPr="00796D44" w:rsidRDefault="00754F4B" w:rsidP="006F53B4">
            <w:pPr>
              <w:pStyle w:val="In-tableHeading"/>
            </w:pPr>
            <w:r w:rsidRPr="00796D44">
              <w:t>NGS- /SG-</w:t>
            </w:r>
          </w:p>
        </w:tc>
        <w:tc>
          <w:tcPr>
            <w:tcW w:w="316" w:type="pct"/>
            <w:vMerge/>
          </w:tcPr>
          <w:p w14:paraId="374A6C33" w14:textId="7AA81042" w:rsidR="00754F4B" w:rsidRPr="00796D44" w:rsidRDefault="00754F4B" w:rsidP="006F53B4">
            <w:pPr>
              <w:pStyle w:val="In-tableHeading"/>
            </w:pPr>
          </w:p>
        </w:tc>
        <w:tc>
          <w:tcPr>
            <w:tcW w:w="358" w:type="pct"/>
            <w:vMerge/>
          </w:tcPr>
          <w:p w14:paraId="025445C6" w14:textId="7DEFA93C" w:rsidR="00754F4B" w:rsidRPr="00796D44" w:rsidRDefault="00754F4B" w:rsidP="006F53B4">
            <w:pPr>
              <w:pStyle w:val="In-tableHeading"/>
            </w:pPr>
          </w:p>
        </w:tc>
      </w:tr>
      <w:tr w:rsidR="00754F4B" w:rsidRPr="00796D44" w14:paraId="265259F3" w14:textId="76056C5B" w:rsidTr="00956452">
        <w:tc>
          <w:tcPr>
            <w:tcW w:w="390" w:type="pct"/>
          </w:tcPr>
          <w:p w14:paraId="79134395" w14:textId="77777777" w:rsidR="00754F4B" w:rsidRPr="006F53B4" w:rsidRDefault="00754F4B" w:rsidP="006F53B4">
            <w:pPr>
              <w:pStyle w:val="Tabletext0"/>
              <w:rPr>
                <w:i/>
              </w:rPr>
            </w:pPr>
            <w:r w:rsidRPr="006F53B4">
              <w:rPr>
                <w:i/>
              </w:rPr>
              <w:t>EGFR</w:t>
            </w:r>
          </w:p>
        </w:tc>
        <w:tc>
          <w:tcPr>
            <w:tcW w:w="551" w:type="pct"/>
          </w:tcPr>
          <w:p w14:paraId="73149B85" w14:textId="77777777" w:rsidR="00754F4B" w:rsidRPr="00796D44" w:rsidRDefault="00754F4B" w:rsidP="006F53B4">
            <w:pPr>
              <w:pStyle w:val="Tabletext0"/>
            </w:pPr>
            <w:r w:rsidRPr="00796D44">
              <w:t>n=2611</w:t>
            </w:r>
          </w:p>
          <w:p w14:paraId="789F28D6" w14:textId="77777777" w:rsidR="00754F4B" w:rsidRPr="00796D44" w:rsidRDefault="00754F4B" w:rsidP="006F53B4">
            <w:pPr>
              <w:pStyle w:val="Tabletext0"/>
            </w:pPr>
            <w:r w:rsidRPr="00796D44">
              <w:t>k=22</w:t>
            </w:r>
          </w:p>
        </w:tc>
        <w:tc>
          <w:tcPr>
            <w:tcW w:w="531" w:type="pct"/>
          </w:tcPr>
          <w:p w14:paraId="0CEE8CC3" w14:textId="77777777" w:rsidR="00754F4B" w:rsidRPr="00796D44" w:rsidRDefault="00754F4B" w:rsidP="006F53B4">
            <w:pPr>
              <w:pStyle w:val="Tabletext0"/>
            </w:pPr>
            <w:r w:rsidRPr="00796D44">
              <w:t>0.98 (0.95, 0.99)</w:t>
            </w:r>
          </w:p>
        </w:tc>
        <w:tc>
          <w:tcPr>
            <w:tcW w:w="490" w:type="pct"/>
          </w:tcPr>
          <w:p w14:paraId="369AC16C" w14:textId="77777777" w:rsidR="00754F4B" w:rsidRPr="00796D44" w:rsidRDefault="00754F4B" w:rsidP="006F53B4">
            <w:pPr>
              <w:pStyle w:val="Tabletext0"/>
            </w:pPr>
            <w:r w:rsidRPr="00796D44">
              <w:t>0.97 (0.95, 0.99)</w:t>
            </w:r>
          </w:p>
        </w:tc>
        <w:tc>
          <w:tcPr>
            <w:tcW w:w="464" w:type="pct"/>
          </w:tcPr>
          <w:p w14:paraId="69FB28FE" w14:textId="25ED8AE1" w:rsidR="00754F4B" w:rsidRPr="00B26AFD" w:rsidRDefault="00754F4B" w:rsidP="006F53B4">
            <w:pPr>
              <w:pStyle w:val="Tabletext0"/>
              <w:rPr>
                <w:vertAlign w:val="superscript"/>
              </w:rPr>
            </w:pPr>
            <w:r w:rsidRPr="00796D44">
              <w:t>15%</w:t>
            </w:r>
            <w:r>
              <w:rPr>
                <w:vertAlign w:val="superscript"/>
              </w:rPr>
              <w:t>a</w:t>
            </w:r>
          </w:p>
        </w:tc>
        <w:tc>
          <w:tcPr>
            <w:tcW w:w="558" w:type="pct"/>
          </w:tcPr>
          <w:p w14:paraId="69638591" w14:textId="77777777" w:rsidR="00754F4B" w:rsidRDefault="00754F4B" w:rsidP="00615B4E">
            <w:pPr>
              <w:pStyle w:val="Tabletext0"/>
              <w:jc w:val="left"/>
            </w:pPr>
            <w:r w:rsidRPr="00796D44">
              <w:t xml:space="preserve">147 </w:t>
            </w:r>
          </w:p>
          <w:p w14:paraId="63609387" w14:textId="3CBAE803" w:rsidR="00754F4B" w:rsidRPr="00796D44" w:rsidRDefault="00754F4B" w:rsidP="00615B4E">
            <w:pPr>
              <w:pStyle w:val="Tabletext0"/>
              <w:jc w:val="left"/>
            </w:pPr>
            <w:r w:rsidRPr="00796D44">
              <w:t>(143, 149)</w:t>
            </w:r>
          </w:p>
        </w:tc>
        <w:tc>
          <w:tcPr>
            <w:tcW w:w="393" w:type="pct"/>
          </w:tcPr>
          <w:p w14:paraId="622F0425" w14:textId="77777777" w:rsidR="00754F4B" w:rsidRDefault="00754F4B" w:rsidP="006F53B4">
            <w:pPr>
              <w:pStyle w:val="Tabletext0"/>
            </w:pPr>
            <w:r w:rsidRPr="00796D44">
              <w:t xml:space="preserve">25 </w:t>
            </w:r>
          </w:p>
          <w:p w14:paraId="0B089A88" w14:textId="62FEC095" w:rsidR="00754F4B" w:rsidRPr="00796D44" w:rsidRDefault="00754F4B" w:rsidP="006F53B4">
            <w:pPr>
              <w:pStyle w:val="Tabletext0"/>
            </w:pPr>
            <w:r w:rsidRPr="00796D44">
              <w:t>(8, 42)</w:t>
            </w:r>
          </w:p>
        </w:tc>
        <w:tc>
          <w:tcPr>
            <w:tcW w:w="393" w:type="pct"/>
          </w:tcPr>
          <w:p w14:paraId="7313D5CE" w14:textId="77777777" w:rsidR="00754F4B" w:rsidRDefault="00754F4B" w:rsidP="006F53B4">
            <w:pPr>
              <w:pStyle w:val="Tabletext0"/>
            </w:pPr>
            <w:r w:rsidRPr="00796D44">
              <w:t xml:space="preserve">3 </w:t>
            </w:r>
          </w:p>
          <w:p w14:paraId="641D09E1" w14:textId="34887C43" w:rsidR="00754F4B" w:rsidRPr="00796D44" w:rsidRDefault="00754F4B" w:rsidP="006F53B4">
            <w:pPr>
              <w:pStyle w:val="Tabletext0"/>
            </w:pPr>
            <w:r w:rsidRPr="00796D44">
              <w:t>(1, 7)</w:t>
            </w:r>
          </w:p>
        </w:tc>
        <w:tc>
          <w:tcPr>
            <w:tcW w:w="555" w:type="pct"/>
          </w:tcPr>
          <w:p w14:paraId="7F22001E" w14:textId="77777777" w:rsidR="00754F4B" w:rsidRDefault="00754F4B" w:rsidP="006F53B4">
            <w:pPr>
              <w:pStyle w:val="Tabletext0"/>
            </w:pPr>
            <w:r w:rsidRPr="00796D44">
              <w:t xml:space="preserve">825 </w:t>
            </w:r>
          </w:p>
          <w:p w14:paraId="4910D89A" w14:textId="1CB8F880" w:rsidR="00754F4B" w:rsidRPr="00796D44" w:rsidRDefault="00754F4B" w:rsidP="006F53B4">
            <w:pPr>
              <w:pStyle w:val="Tabletext0"/>
            </w:pPr>
            <w:r w:rsidRPr="00796D44">
              <w:t>(808, 842)</w:t>
            </w:r>
          </w:p>
        </w:tc>
        <w:tc>
          <w:tcPr>
            <w:tcW w:w="316" w:type="pct"/>
          </w:tcPr>
          <w:p w14:paraId="6A4C06C0" w14:textId="4F7B67EB" w:rsidR="00754F4B" w:rsidRPr="00796D44" w:rsidRDefault="00754F4B" w:rsidP="006F53B4">
            <w:pPr>
              <w:pStyle w:val="Tabletext0"/>
            </w:pPr>
            <w:r>
              <w:t>0.85</w:t>
            </w:r>
          </w:p>
        </w:tc>
        <w:tc>
          <w:tcPr>
            <w:tcW w:w="358" w:type="pct"/>
          </w:tcPr>
          <w:p w14:paraId="491ADE70" w14:textId="6EB606DE" w:rsidR="00754F4B" w:rsidRPr="00796D44" w:rsidRDefault="00754F4B" w:rsidP="006F53B4">
            <w:pPr>
              <w:pStyle w:val="Tabletext0"/>
            </w:pPr>
            <w:r>
              <w:t>1.00</w:t>
            </w:r>
          </w:p>
        </w:tc>
      </w:tr>
      <w:tr w:rsidR="00754F4B" w:rsidRPr="00796D44" w14:paraId="122FD4AF" w14:textId="26D45784" w:rsidTr="00956452">
        <w:tc>
          <w:tcPr>
            <w:tcW w:w="390" w:type="pct"/>
          </w:tcPr>
          <w:p w14:paraId="40517620" w14:textId="77777777" w:rsidR="00754F4B" w:rsidRPr="006F53B4" w:rsidRDefault="00754F4B" w:rsidP="006F53B4">
            <w:pPr>
              <w:pStyle w:val="Tabletext0"/>
              <w:rPr>
                <w:i/>
              </w:rPr>
            </w:pPr>
            <w:r w:rsidRPr="006F53B4">
              <w:rPr>
                <w:i/>
              </w:rPr>
              <w:t>ALK</w:t>
            </w:r>
          </w:p>
        </w:tc>
        <w:tc>
          <w:tcPr>
            <w:tcW w:w="551" w:type="pct"/>
          </w:tcPr>
          <w:p w14:paraId="102D81F8" w14:textId="77777777" w:rsidR="00754F4B" w:rsidRDefault="00754F4B" w:rsidP="006F53B4">
            <w:pPr>
              <w:pStyle w:val="Tabletext0"/>
            </w:pPr>
            <w:r>
              <w:t>n=1464</w:t>
            </w:r>
          </w:p>
          <w:p w14:paraId="3CDFC07D" w14:textId="77777777" w:rsidR="00754F4B" w:rsidRPr="00796D44" w:rsidRDefault="00754F4B" w:rsidP="006F53B4">
            <w:pPr>
              <w:pStyle w:val="Tabletext0"/>
            </w:pPr>
            <w:r>
              <w:t>k=11</w:t>
            </w:r>
          </w:p>
        </w:tc>
        <w:tc>
          <w:tcPr>
            <w:tcW w:w="531" w:type="pct"/>
          </w:tcPr>
          <w:p w14:paraId="6EE85A7E" w14:textId="77777777" w:rsidR="00754F4B" w:rsidRPr="00796D44" w:rsidRDefault="00754F4B" w:rsidP="006F53B4">
            <w:pPr>
              <w:pStyle w:val="Tabletext0"/>
            </w:pPr>
            <w:r>
              <w:t>0.92 (0.77, 0.97)</w:t>
            </w:r>
          </w:p>
        </w:tc>
        <w:tc>
          <w:tcPr>
            <w:tcW w:w="490" w:type="pct"/>
          </w:tcPr>
          <w:p w14:paraId="62E480DE" w14:textId="77777777" w:rsidR="00754F4B" w:rsidRPr="00796D44" w:rsidRDefault="00754F4B" w:rsidP="006F53B4">
            <w:pPr>
              <w:pStyle w:val="Tabletext0"/>
            </w:pPr>
            <w:r>
              <w:t>0.99 (0.93, 1.00)</w:t>
            </w:r>
          </w:p>
        </w:tc>
        <w:tc>
          <w:tcPr>
            <w:tcW w:w="464" w:type="pct"/>
          </w:tcPr>
          <w:p w14:paraId="7330B078" w14:textId="6196C1A7" w:rsidR="00754F4B" w:rsidRPr="00B26AFD" w:rsidRDefault="00754F4B" w:rsidP="006F53B4">
            <w:pPr>
              <w:pStyle w:val="Tabletext0"/>
              <w:rPr>
                <w:vertAlign w:val="superscript"/>
              </w:rPr>
            </w:pPr>
            <w:r>
              <w:t>3%</w:t>
            </w:r>
            <w:r>
              <w:rPr>
                <w:vertAlign w:val="superscript"/>
              </w:rPr>
              <w:t>b</w:t>
            </w:r>
          </w:p>
        </w:tc>
        <w:tc>
          <w:tcPr>
            <w:tcW w:w="558" w:type="pct"/>
          </w:tcPr>
          <w:p w14:paraId="6053E8FD" w14:textId="77777777" w:rsidR="00754F4B" w:rsidRDefault="00754F4B" w:rsidP="00615B4E">
            <w:pPr>
              <w:pStyle w:val="Tabletext0"/>
              <w:jc w:val="left"/>
            </w:pPr>
            <w:r>
              <w:t xml:space="preserve">28 </w:t>
            </w:r>
          </w:p>
          <w:p w14:paraId="2DEED40C" w14:textId="09496928" w:rsidR="00754F4B" w:rsidRPr="00796D44" w:rsidRDefault="00754F4B" w:rsidP="00615B4E">
            <w:pPr>
              <w:pStyle w:val="Tabletext0"/>
              <w:jc w:val="left"/>
            </w:pPr>
            <w:r>
              <w:t>(23, 29)</w:t>
            </w:r>
          </w:p>
        </w:tc>
        <w:tc>
          <w:tcPr>
            <w:tcW w:w="393" w:type="pct"/>
          </w:tcPr>
          <w:p w14:paraId="659A8B7A" w14:textId="77777777" w:rsidR="00754F4B" w:rsidRDefault="00754F4B" w:rsidP="006F53B4">
            <w:pPr>
              <w:pStyle w:val="Tabletext0"/>
            </w:pPr>
            <w:r>
              <w:t xml:space="preserve">10 </w:t>
            </w:r>
          </w:p>
          <w:p w14:paraId="3E498BEE" w14:textId="32F46A30" w:rsidR="00754F4B" w:rsidRPr="00796D44" w:rsidRDefault="00754F4B" w:rsidP="006F53B4">
            <w:pPr>
              <w:pStyle w:val="Tabletext0"/>
            </w:pPr>
            <w:r>
              <w:t>(0, 68)</w:t>
            </w:r>
          </w:p>
        </w:tc>
        <w:tc>
          <w:tcPr>
            <w:tcW w:w="393" w:type="pct"/>
          </w:tcPr>
          <w:p w14:paraId="08D4B1F3" w14:textId="77777777" w:rsidR="00754F4B" w:rsidRDefault="00754F4B" w:rsidP="006F53B4">
            <w:pPr>
              <w:pStyle w:val="Tabletext0"/>
            </w:pPr>
            <w:r>
              <w:t xml:space="preserve">2 </w:t>
            </w:r>
          </w:p>
          <w:p w14:paraId="2689EC73" w14:textId="7A401E3B" w:rsidR="00754F4B" w:rsidRPr="00796D44" w:rsidRDefault="00754F4B" w:rsidP="006F53B4">
            <w:pPr>
              <w:pStyle w:val="Tabletext0"/>
            </w:pPr>
            <w:r>
              <w:t>(1, 7)</w:t>
            </w:r>
          </w:p>
        </w:tc>
        <w:tc>
          <w:tcPr>
            <w:tcW w:w="555" w:type="pct"/>
          </w:tcPr>
          <w:p w14:paraId="2E6ABD27" w14:textId="77777777" w:rsidR="00754F4B" w:rsidRDefault="00754F4B" w:rsidP="006F53B4">
            <w:pPr>
              <w:pStyle w:val="Tabletext0"/>
            </w:pPr>
            <w:r>
              <w:t xml:space="preserve">960 </w:t>
            </w:r>
          </w:p>
          <w:p w14:paraId="1440BA18" w14:textId="6A287DB0" w:rsidR="00754F4B" w:rsidRPr="00796D44" w:rsidRDefault="00754F4B" w:rsidP="006F53B4">
            <w:pPr>
              <w:pStyle w:val="Tabletext0"/>
            </w:pPr>
            <w:r>
              <w:t>(902, 97)</w:t>
            </w:r>
          </w:p>
        </w:tc>
        <w:tc>
          <w:tcPr>
            <w:tcW w:w="316" w:type="pct"/>
          </w:tcPr>
          <w:p w14:paraId="3B2DFB29" w14:textId="71526161" w:rsidR="00754F4B" w:rsidRDefault="00754F4B" w:rsidP="006F53B4">
            <w:pPr>
              <w:pStyle w:val="Tabletext0"/>
            </w:pPr>
            <w:r>
              <w:t>0.74</w:t>
            </w:r>
          </w:p>
        </w:tc>
        <w:tc>
          <w:tcPr>
            <w:tcW w:w="358" w:type="pct"/>
          </w:tcPr>
          <w:p w14:paraId="3B2E1ADA" w14:textId="480F7EED" w:rsidR="00754F4B" w:rsidRDefault="00754F4B" w:rsidP="006F53B4">
            <w:pPr>
              <w:pStyle w:val="Tabletext0"/>
            </w:pPr>
            <w:r>
              <w:t>1.00</w:t>
            </w:r>
          </w:p>
        </w:tc>
      </w:tr>
      <w:tr w:rsidR="00754F4B" w:rsidRPr="00796D44" w14:paraId="55A8B502" w14:textId="72C8E400" w:rsidTr="00956452">
        <w:tc>
          <w:tcPr>
            <w:tcW w:w="390" w:type="pct"/>
          </w:tcPr>
          <w:p w14:paraId="4FFEE642" w14:textId="77777777" w:rsidR="00754F4B" w:rsidRPr="006F53B4" w:rsidRDefault="00754F4B" w:rsidP="006F53B4">
            <w:pPr>
              <w:pStyle w:val="Tabletext0"/>
              <w:rPr>
                <w:i/>
              </w:rPr>
            </w:pPr>
            <w:r w:rsidRPr="006F53B4">
              <w:rPr>
                <w:i/>
              </w:rPr>
              <w:t>ROS1</w:t>
            </w:r>
          </w:p>
        </w:tc>
        <w:tc>
          <w:tcPr>
            <w:tcW w:w="551" w:type="pct"/>
          </w:tcPr>
          <w:p w14:paraId="00D46406" w14:textId="77777777" w:rsidR="00754F4B" w:rsidRDefault="00754F4B" w:rsidP="006F53B4">
            <w:pPr>
              <w:pStyle w:val="Tabletext0"/>
            </w:pPr>
            <w:r>
              <w:t>n=830</w:t>
            </w:r>
          </w:p>
          <w:p w14:paraId="6F0DD8D3" w14:textId="77777777" w:rsidR="00754F4B" w:rsidRPr="00796D44" w:rsidRDefault="00754F4B" w:rsidP="006F53B4">
            <w:pPr>
              <w:pStyle w:val="Tabletext0"/>
            </w:pPr>
            <w:r>
              <w:t>k=6</w:t>
            </w:r>
          </w:p>
        </w:tc>
        <w:tc>
          <w:tcPr>
            <w:tcW w:w="531" w:type="pct"/>
          </w:tcPr>
          <w:p w14:paraId="0143FBA9" w14:textId="77777777" w:rsidR="00754F4B" w:rsidRPr="00796D44" w:rsidRDefault="00754F4B" w:rsidP="006F53B4">
            <w:pPr>
              <w:pStyle w:val="Tabletext0"/>
            </w:pPr>
            <w:r>
              <w:t>0.86 (0.63, 0.96)</w:t>
            </w:r>
          </w:p>
        </w:tc>
        <w:tc>
          <w:tcPr>
            <w:tcW w:w="490" w:type="pct"/>
          </w:tcPr>
          <w:p w14:paraId="281A3BB7" w14:textId="77777777" w:rsidR="00754F4B" w:rsidRPr="00796D44" w:rsidRDefault="00754F4B" w:rsidP="006F53B4">
            <w:pPr>
              <w:pStyle w:val="Tabletext0"/>
            </w:pPr>
            <w:r>
              <w:t>1.00 (0.99, 1.00)</w:t>
            </w:r>
          </w:p>
        </w:tc>
        <w:tc>
          <w:tcPr>
            <w:tcW w:w="464" w:type="pct"/>
          </w:tcPr>
          <w:p w14:paraId="1171B39A" w14:textId="32BDAABF" w:rsidR="00754F4B" w:rsidRPr="00B26AFD" w:rsidRDefault="00754F4B" w:rsidP="006F53B4">
            <w:pPr>
              <w:pStyle w:val="Tabletext0"/>
              <w:rPr>
                <w:vertAlign w:val="superscript"/>
              </w:rPr>
            </w:pPr>
            <w:r>
              <w:t>1.61%</w:t>
            </w:r>
            <w:r>
              <w:rPr>
                <w:vertAlign w:val="superscript"/>
              </w:rPr>
              <w:t>c</w:t>
            </w:r>
          </w:p>
        </w:tc>
        <w:tc>
          <w:tcPr>
            <w:tcW w:w="558" w:type="pct"/>
          </w:tcPr>
          <w:p w14:paraId="41EE4958" w14:textId="77777777" w:rsidR="00754F4B" w:rsidRDefault="00754F4B" w:rsidP="00615B4E">
            <w:pPr>
              <w:pStyle w:val="Tabletext0"/>
              <w:jc w:val="left"/>
            </w:pPr>
            <w:r>
              <w:t xml:space="preserve">14 </w:t>
            </w:r>
          </w:p>
          <w:p w14:paraId="5203CAF0" w14:textId="3FE15107" w:rsidR="00754F4B" w:rsidRPr="00796D44" w:rsidRDefault="00754F4B" w:rsidP="00615B4E">
            <w:pPr>
              <w:pStyle w:val="Tabletext0"/>
              <w:jc w:val="left"/>
            </w:pPr>
            <w:r>
              <w:t>(10, 15)</w:t>
            </w:r>
          </w:p>
        </w:tc>
        <w:tc>
          <w:tcPr>
            <w:tcW w:w="393" w:type="pct"/>
          </w:tcPr>
          <w:p w14:paraId="4A460F42" w14:textId="77777777" w:rsidR="00754F4B" w:rsidRDefault="00754F4B" w:rsidP="006F53B4">
            <w:pPr>
              <w:pStyle w:val="Tabletext0"/>
            </w:pPr>
            <w:r>
              <w:t xml:space="preserve">0 </w:t>
            </w:r>
          </w:p>
          <w:p w14:paraId="768D2CEB" w14:textId="6E0ED674" w:rsidR="00754F4B" w:rsidRPr="00796D44" w:rsidRDefault="00754F4B" w:rsidP="006F53B4">
            <w:pPr>
              <w:pStyle w:val="Tabletext0"/>
            </w:pPr>
            <w:r>
              <w:t>(0, 10)</w:t>
            </w:r>
          </w:p>
        </w:tc>
        <w:tc>
          <w:tcPr>
            <w:tcW w:w="393" w:type="pct"/>
          </w:tcPr>
          <w:p w14:paraId="107ABA42" w14:textId="77777777" w:rsidR="00754F4B" w:rsidRDefault="00754F4B" w:rsidP="006F53B4">
            <w:pPr>
              <w:pStyle w:val="Tabletext0"/>
            </w:pPr>
            <w:r>
              <w:t xml:space="preserve">2 </w:t>
            </w:r>
          </w:p>
          <w:p w14:paraId="21011FB8" w14:textId="7F30DC27" w:rsidR="00754F4B" w:rsidRPr="00796D44" w:rsidRDefault="00754F4B" w:rsidP="006F53B4">
            <w:pPr>
              <w:pStyle w:val="Tabletext0"/>
            </w:pPr>
            <w:r>
              <w:t>(1, 6)</w:t>
            </w:r>
          </w:p>
        </w:tc>
        <w:tc>
          <w:tcPr>
            <w:tcW w:w="555" w:type="pct"/>
          </w:tcPr>
          <w:p w14:paraId="174E4D79" w14:textId="77777777" w:rsidR="00754F4B" w:rsidRDefault="00754F4B" w:rsidP="006F53B4">
            <w:pPr>
              <w:pStyle w:val="Tabletext0"/>
            </w:pPr>
            <w:r>
              <w:t xml:space="preserve">984 </w:t>
            </w:r>
          </w:p>
          <w:p w14:paraId="432AA27F" w14:textId="4FAF68A4" w:rsidR="00754F4B" w:rsidRPr="00796D44" w:rsidRDefault="00754F4B" w:rsidP="006F53B4">
            <w:pPr>
              <w:pStyle w:val="Tabletext0"/>
            </w:pPr>
            <w:r>
              <w:t>(974, 984)</w:t>
            </w:r>
          </w:p>
        </w:tc>
        <w:tc>
          <w:tcPr>
            <w:tcW w:w="316" w:type="pct"/>
          </w:tcPr>
          <w:p w14:paraId="70187A62" w14:textId="6AA6074D" w:rsidR="00754F4B" w:rsidRDefault="00754F4B" w:rsidP="006F53B4">
            <w:pPr>
              <w:pStyle w:val="Tabletext0"/>
            </w:pPr>
            <w:r>
              <w:t>1.00</w:t>
            </w:r>
          </w:p>
        </w:tc>
        <w:tc>
          <w:tcPr>
            <w:tcW w:w="358" w:type="pct"/>
          </w:tcPr>
          <w:p w14:paraId="1FDFC6CB" w14:textId="6DC1335D" w:rsidR="00754F4B" w:rsidRDefault="00754F4B" w:rsidP="006F53B4">
            <w:pPr>
              <w:pStyle w:val="Tabletext0"/>
            </w:pPr>
            <w:r>
              <w:t>1.00</w:t>
            </w:r>
          </w:p>
        </w:tc>
      </w:tr>
      <w:tr w:rsidR="00754F4B" w:rsidRPr="00796D44" w14:paraId="36CE64E3" w14:textId="66DA17B6" w:rsidTr="00956452">
        <w:tc>
          <w:tcPr>
            <w:tcW w:w="390" w:type="pct"/>
          </w:tcPr>
          <w:p w14:paraId="4434E385" w14:textId="076CAD81" w:rsidR="00754F4B" w:rsidRPr="006F53B4" w:rsidRDefault="00754F4B" w:rsidP="006F53B4">
            <w:pPr>
              <w:pStyle w:val="Tabletext0"/>
              <w:rPr>
                <w:i/>
              </w:rPr>
            </w:pPr>
            <w:r w:rsidRPr="006F53B4">
              <w:rPr>
                <w:i/>
              </w:rPr>
              <w:t>MET</w:t>
            </w:r>
            <w:r>
              <w:rPr>
                <w:i/>
              </w:rPr>
              <w:t xml:space="preserve"> </w:t>
            </w:r>
            <w:r w:rsidRPr="006F53B4">
              <w:t>ex14s</w:t>
            </w:r>
            <w:r w:rsidRPr="006F53B4">
              <w:rPr>
                <w:i/>
              </w:rPr>
              <w:t>k</w:t>
            </w:r>
          </w:p>
        </w:tc>
        <w:tc>
          <w:tcPr>
            <w:tcW w:w="551" w:type="pct"/>
          </w:tcPr>
          <w:p w14:paraId="3C093E55" w14:textId="77777777" w:rsidR="00754F4B" w:rsidRDefault="00754F4B" w:rsidP="006F53B4">
            <w:pPr>
              <w:pStyle w:val="Tabletext0"/>
            </w:pPr>
            <w:r>
              <w:t>n=99</w:t>
            </w:r>
          </w:p>
          <w:p w14:paraId="49A914A0" w14:textId="77777777" w:rsidR="00754F4B" w:rsidRPr="00796D44" w:rsidRDefault="00754F4B" w:rsidP="006F53B4">
            <w:pPr>
              <w:pStyle w:val="Tabletext0"/>
            </w:pPr>
            <w:r>
              <w:t>k=1</w:t>
            </w:r>
          </w:p>
        </w:tc>
        <w:tc>
          <w:tcPr>
            <w:tcW w:w="531" w:type="pct"/>
          </w:tcPr>
          <w:p w14:paraId="76891E7B" w14:textId="77777777" w:rsidR="00754F4B" w:rsidRPr="00796D44" w:rsidRDefault="00754F4B" w:rsidP="006F53B4">
            <w:pPr>
              <w:pStyle w:val="Tabletext0"/>
            </w:pPr>
            <w:r>
              <w:t>0.98 (0.89, 1.00)</w:t>
            </w:r>
          </w:p>
        </w:tc>
        <w:tc>
          <w:tcPr>
            <w:tcW w:w="490" w:type="pct"/>
          </w:tcPr>
          <w:p w14:paraId="05634528" w14:textId="77777777" w:rsidR="00754F4B" w:rsidRPr="00796D44" w:rsidRDefault="00754F4B" w:rsidP="006F53B4">
            <w:pPr>
              <w:pStyle w:val="Tabletext0"/>
            </w:pPr>
            <w:r>
              <w:t>1.00 (0.93, 1.00)</w:t>
            </w:r>
          </w:p>
        </w:tc>
        <w:tc>
          <w:tcPr>
            <w:tcW w:w="464" w:type="pct"/>
          </w:tcPr>
          <w:p w14:paraId="4C60B55F" w14:textId="163D013A" w:rsidR="00754F4B" w:rsidRPr="00B26AFD" w:rsidRDefault="00754F4B" w:rsidP="006F53B4">
            <w:pPr>
              <w:pStyle w:val="Tabletext0"/>
              <w:rPr>
                <w:vertAlign w:val="superscript"/>
              </w:rPr>
            </w:pPr>
            <w:r>
              <w:t>3.6%</w:t>
            </w:r>
            <w:r>
              <w:rPr>
                <w:vertAlign w:val="superscript"/>
              </w:rPr>
              <w:t>d</w:t>
            </w:r>
          </w:p>
        </w:tc>
        <w:tc>
          <w:tcPr>
            <w:tcW w:w="558" w:type="pct"/>
          </w:tcPr>
          <w:p w14:paraId="12A9A5C5" w14:textId="77777777" w:rsidR="00754F4B" w:rsidRDefault="00754F4B" w:rsidP="00615B4E">
            <w:pPr>
              <w:pStyle w:val="Tabletext0"/>
              <w:jc w:val="left"/>
            </w:pPr>
            <w:r>
              <w:t xml:space="preserve">35 </w:t>
            </w:r>
          </w:p>
          <w:p w14:paraId="351ACCF0" w14:textId="550DEF7E" w:rsidR="00754F4B" w:rsidRPr="00796D44" w:rsidRDefault="00754F4B" w:rsidP="00615B4E">
            <w:pPr>
              <w:pStyle w:val="Tabletext0"/>
              <w:jc w:val="left"/>
            </w:pPr>
            <w:r>
              <w:t>(32, 36)</w:t>
            </w:r>
          </w:p>
        </w:tc>
        <w:tc>
          <w:tcPr>
            <w:tcW w:w="393" w:type="pct"/>
          </w:tcPr>
          <w:p w14:paraId="4155C035" w14:textId="77777777" w:rsidR="00754F4B" w:rsidRDefault="00754F4B" w:rsidP="006F53B4">
            <w:pPr>
              <w:pStyle w:val="Tabletext0"/>
            </w:pPr>
            <w:r>
              <w:t xml:space="preserve">0 </w:t>
            </w:r>
          </w:p>
          <w:p w14:paraId="6034DB58" w14:textId="2882E9F2" w:rsidR="00754F4B" w:rsidRPr="00796D44" w:rsidRDefault="00754F4B" w:rsidP="006F53B4">
            <w:pPr>
              <w:pStyle w:val="Tabletext0"/>
            </w:pPr>
            <w:r>
              <w:t>(0, 69)</w:t>
            </w:r>
          </w:p>
        </w:tc>
        <w:tc>
          <w:tcPr>
            <w:tcW w:w="393" w:type="pct"/>
          </w:tcPr>
          <w:p w14:paraId="3DB448F8" w14:textId="77777777" w:rsidR="00754F4B" w:rsidRDefault="00754F4B" w:rsidP="006F53B4">
            <w:pPr>
              <w:pStyle w:val="Tabletext0"/>
            </w:pPr>
            <w:r>
              <w:t xml:space="preserve">1 </w:t>
            </w:r>
          </w:p>
          <w:p w14:paraId="66CF95BC" w14:textId="0A6AC92C" w:rsidR="00754F4B" w:rsidRPr="00796D44" w:rsidRDefault="00754F4B" w:rsidP="006F53B4">
            <w:pPr>
              <w:pStyle w:val="Tabletext0"/>
            </w:pPr>
            <w:r>
              <w:t>(0, 4)</w:t>
            </w:r>
          </w:p>
        </w:tc>
        <w:tc>
          <w:tcPr>
            <w:tcW w:w="555" w:type="pct"/>
          </w:tcPr>
          <w:p w14:paraId="6C501BA5" w14:textId="77777777" w:rsidR="00754F4B" w:rsidRDefault="00754F4B" w:rsidP="006F53B4">
            <w:pPr>
              <w:pStyle w:val="Tabletext0"/>
            </w:pPr>
            <w:r>
              <w:t xml:space="preserve">964 </w:t>
            </w:r>
          </w:p>
          <w:p w14:paraId="44B0342C" w14:textId="05F392B7" w:rsidR="00754F4B" w:rsidRPr="00796D44" w:rsidRDefault="00754F4B" w:rsidP="006F53B4">
            <w:pPr>
              <w:pStyle w:val="Tabletext0"/>
            </w:pPr>
            <w:r>
              <w:t>(895, 964)</w:t>
            </w:r>
          </w:p>
        </w:tc>
        <w:tc>
          <w:tcPr>
            <w:tcW w:w="316" w:type="pct"/>
          </w:tcPr>
          <w:p w14:paraId="2BDFC930" w14:textId="741BDAA6" w:rsidR="00754F4B" w:rsidRDefault="00754F4B" w:rsidP="006F53B4">
            <w:pPr>
              <w:pStyle w:val="Tabletext0"/>
            </w:pPr>
            <w:r>
              <w:t>1.00</w:t>
            </w:r>
          </w:p>
        </w:tc>
        <w:tc>
          <w:tcPr>
            <w:tcW w:w="358" w:type="pct"/>
          </w:tcPr>
          <w:p w14:paraId="57CC8346" w14:textId="35092EEB" w:rsidR="00754F4B" w:rsidRDefault="00754F4B" w:rsidP="006F53B4">
            <w:pPr>
              <w:pStyle w:val="Tabletext0"/>
            </w:pPr>
            <w:r>
              <w:t>1.00</w:t>
            </w:r>
          </w:p>
        </w:tc>
      </w:tr>
      <w:tr w:rsidR="00754F4B" w:rsidRPr="00796D44" w14:paraId="1BF63D8D" w14:textId="5BD4EC52" w:rsidTr="00956452">
        <w:tc>
          <w:tcPr>
            <w:tcW w:w="390" w:type="pct"/>
          </w:tcPr>
          <w:p w14:paraId="27011755" w14:textId="77777777" w:rsidR="00754F4B" w:rsidRDefault="00754F4B" w:rsidP="006F53B4">
            <w:pPr>
              <w:pStyle w:val="Tabletext0"/>
            </w:pPr>
            <w:r>
              <w:t xml:space="preserve">Total </w:t>
            </w:r>
          </w:p>
        </w:tc>
        <w:tc>
          <w:tcPr>
            <w:tcW w:w="551" w:type="pct"/>
          </w:tcPr>
          <w:p w14:paraId="6FE8DA90" w14:textId="11727031" w:rsidR="00754F4B" w:rsidRPr="001C773C" w:rsidRDefault="00754F4B" w:rsidP="006F53B4">
            <w:pPr>
              <w:pStyle w:val="Tabletext0"/>
              <w:rPr>
                <w:color w:val="FFFFFF" w:themeColor="background1"/>
              </w:rPr>
            </w:pPr>
            <w:r w:rsidRPr="001C773C">
              <w:rPr>
                <w:color w:val="FFFFFF" w:themeColor="background1"/>
              </w:rPr>
              <w:t>-</w:t>
            </w:r>
          </w:p>
        </w:tc>
        <w:tc>
          <w:tcPr>
            <w:tcW w:w="531" w:type="pct"/>
          </w:tcPr>
          <w:p w14:paraId="5315B97A" w14:textId="2CEDC462" w:rsidR="00754F4B" w:rsidRPr="001C773C" w:rsidRDefault="00754F4B" w:rsidP="006F53B4">
            <w:pPr>
              <w:pStyle w:val="Tabletext0"/>
              <w:rPr>
                <w:color w:val="FFFFFF" w:themeColor="background1"/>
              </w:rPr>
            </w:pPr>
            <w:r w:rsidRPr="001C773C">
              <w:rPr>
                <w:color w:val="FFFFFF" w:themeColor="background1"/>
              </w:rPr>
              <w:t>-</w:t>
            </w:r>
          </w:p>
        </w:tc>
        <w:tc>
          <w:tcPr>
            <w:tcW w:w="490" w:type="pct"/>
          </w:tcPr>
          <w:p w14:paraId="03795E35" w14:textId="6B674C3C" w:rsidR="00754F4B" w:rsidRPr="001C773C" w:rsidRDefault="00754F4B" w:rsidP="006F53B4">
            <w:pPr>
              <w:pStyle w:val="Tabletext0"/>
              <w:rPr>
                <w:color w:val="FFFFFF" w:themeColor="background1"/>
              </w:rPr>
            </w:pPr>
            <w:r w:rsidRPr="001C773C">
              <w:rPr>
                <w:color w:val="FFFFFF" w:themeColor="background1"/>
              </w:rPr>
              <w:t>-</w:t>
            </w:r>
          </w:p>
        </w:tc>
        <w:tc>
          <w:tcPr>
            <w:tcW w:w="464" w:type="pct"/>
          </w:tcPr>
          <w:p w14:paraId="621FC568" w14:textId="4CDB2625" w:rsidR="00754F4B" w:rsidRDefault="00754F4B" w:rsidP="006F53B4">
            <w:pPr>
              <w:pStyle w:val="Tabletext0"/>
            </w:pPr>
            <w:r>
              <w:t>23.21%</w:t>
            </w:r>
          </w:p>
        </w:tc>
        <w:tc>
          <w:tcPr>
            <w:tcW w:w="558" w:type="pct"/>
          </w:tcPr>
          <w:p w14:paraId="77E522C9" w14:textId="77777777" w:rsidR="00754F4B" w:rsidRDefault="00754F4B" w:rsidP="006F53B4">
            <w:pPr>
              <w:pStyle w:val="Tabletext0"/>
            </w:pPr>
            <w:r>
              <w:t>224</w:t>
            </w:r>
          </w:p>
        </w:tc>
        <w:tc>
          <w:tcPr>
            <w:tcW w:w="393" w:type="pct"/>
          </w:tcPr>
          <w:p w14:paraId="2C746A76" w14:textId="77777777" w:rsidR="00754F4B" w:rsidRDefault="00754F4B" w:rsidP="006F53B4">
            <w:pPr>
              <w:pStyle w:val="Tabletext0"/>
            </w:pPr>
            <w:r>
              <w:t>35</w:t>
            </w:r>
          </w:p>
        </w:tc>
        <w:tc>
          <w:tcPr>
            <w:tcW w:w="393" w:type="pct"/>
          </w:tcPr>
          <w:p w14:paraId="09250B02" w14:textId="77777777" w:rsidR="00754F4B" w:rsidRDefault="00754F4B" w:rsidP="006F53B4">
            <w:pPr>
              <w:pStyle w:val="Tabletext0"/>
            </w:pPr>
            <w:r>
              <w:t>8</w:t>
            </w:r>
          </w:p>
        </w:tc>
        <w:tc>
          <w:tcPr>
            <w:tcW w:w="555" w:type="pct"/>
          </w:tcPr>
          <w:p w14:paraId="6D2412E8" w14:textId="0EA28032" w:rsidR="00754F4B" w:rsidRDefault="00754F4B" w:rsidP="006F53B4">
            <w:pPr>
              <w:pStyle w:val="Tabletext0"/>
            </w:pPr>
            <w:r>
              <w:t>733</w:t>
            </w:r>
          </w:p>
        </w:tc>
        <w:tc>
          <w:tcPr>
            <w:tcW w:w="316" w:type="pct"/>
          </w:tcPr>
          <w:p w14:paraId="09582548" w14:textId="77777777" w:rsidR="00754F4B" w:rsidRDefault="00754F4B" w:rsidP="006F53B4">
            <w:pPr>
              <w:pStyle w:val="Tabletext0"/>
            </w:pPr>
          </w:p>
        </w:tc>
        <w:tc>
          <w:tcPr>
            <w:tcW w:w="358" w:type="pct"/>
          </w:tcPr>
          <w:p w14:paraId="127AE21B" w14:textId="77777777" w:rsidR="00754F4B" w:rsidRDefault="00754F4B" w:rsidP="006F53B4">
            <w:pPr>
              <w:pStyle w:val="Tabletext0"/>
            </w:pPr>
          </w:p>
        </w:tc>
      </w:tr>
    </w:tbl>
    <w:p w14:paraId="5E2BD302" w14:textId="7863E2EE" w:rsidR="000C5912" w:rsidRPr="00B26AFD" w:rsidRDefault="000C5912" w:rsidP="000C5912">
      <w:pPr>
        <w:pStyle w:val="TableFooter"/>
      </w:pPr>
      <w:r w:rsidRPr="00B26AFD">
        <w:rPr>
          <w:vertAlign w:val="superscript"/>
        </w:rPr>
        <w:t>a</w:t>
      </w:r>
      <w:r w:rsidRPr="00B26AFD">
        <w:t xml:space="preserve">Based on p18 </w:t>
      </w:r>
      <w:hyperlink r:id="rId39" w:history="1">
        <w:r w:rsidRPr="000C5912">
          <w:rPr>
            <w:rStyle w:val="Hyperlink"/>
          </w:rPr>
          <w:t>MSAC 1161 PSD</w:t>
        </w:r>
      </w:hyperlink>
      <w:r w:rsidRPr="00B26AFD">
        <w:t>, November 2012</w:t>
      </w:r>
    </w:p>
    <w:p w14:paraId="524ACC11" w14:textId="2B05CFC1" w:rsidR="000C5912" w:rsidRPr="00B26AFD" w:rsidRDefault="000C5912" w:rsidP="000C5912">
      <w:pPr>
        <w:pStyle w:val="TableFooter"/>
      </w:pPr>
      <w:r w:rsidRPr="00B26AFD">
        <w:rPr>
          <w:vertAlign w:val="superscript"/>
        </w:rPr>
        <w:t>b</w:t>
      </w:r>
      <w:r w:rsidRPr="00B26AFD">
        <w:t xml:space="preserve">Based on p5 </w:t>
      </w:r>
      <w:hyperlink r:id="rId40" w:history="1">
        <w:r w:rsidRPr="000C5912">
          <w:rPr>
            <w:rStyle w:val="Hyperlink"/>
          </w:rPr>
          <w:t>MSAC 1250.1 PSD</w:t>
        </w:r>
      </w:hyperlink>
      <w:r w:rsidRPr="00B26AFD">
        <w:t>, November 2014</w:t>
      </w:r>
    </w:p>
    <w:p w14:paraId="1A8387F0" w14:textId="18FFEC5E" w:rsidR="000C5912" w:rsidRPr="00B26AFD" w:rsidRDefault="000C5912" w:rsidP="000C5912">
      <w:pPr>
        <w:pStyle w:val="TableFooter"/>
      </w:pPr>
      <w:r w:rsidRPr="00B26AFD">
        <w:rPr>
          <w:vertAlign w:val="superscript"/>
        </w:rPr>
        <w:t>c</w:t>
      </w:r>
      <w:r w:rsidRPr="00B26AFD">
        <w:t xml:space="preserve">Based on p12 </w:t>
      </w:r>
      <w:hyperlink r:id="rId41" w:history="1">
        <w:r w:rsidRPr="000C5912">
          <w:rPr>
            <w:rStyle w:val="Hyperlink"/>
          </w:rPr>
          <w:t>MSAC 1454 PSD</w:t>
        </w:r>
      </w:hyperlink>
      <w:r w:rsidRPr="00B26AFD">
        <w:t>, July 2018</w:t>
      </w:r>
    </w:p>
    <w:p w14:paraId="4302BAE9" w14:textId="2D1B900A" w:rsidR="000C5912" w:rsidRPr="00B26AFD" w:rsidRDefault="000C5912" w:rsidP="000C5912">
      <w:pPr>
        <w:pStyle w:val="TableFooter"/>
      </w:pPr>
      <w:r w:rsidRPr="00B26AFD">
        <w:rPr>
          <w:vertAlign w:val="superscript"/>
        </w:rPr>
        <w:t>d</w:t>
      </w:r>
      <w:r w:rsidRPr="00B26AFD">
        <w:t xml:space="preserve">Based on Table 11, p27 </w:t>
      </w:r>
      <w:hyperlink r:id="rId42" w:history="1">
        <w:r w:rsidRPr="000C5912">
          <w:rPr>
            <w:rStyle w:val="Hyperlink"/>
          </w:rPr>
          <w:t>Tepotinib PBAC PSD</w:t>
        </w:r>
      </w:hyperlink>
      <w:r w:rsidRPr="00B26AFD">
        <w:t>, November 2021</w:t>
      </w:r>
    </w:p>
    <w:p w14:paraId="38B8FB0D" w14:textId="0E851AC6" w:rsidR="004951B7" w:rsidRDefault="00A9721D" w:rsidP="008B7F12">
      <w:pPr>
        <w:pStyle w:val="TableFooter"/>
      </w:pPr>
      <w:r w:rsidRPr="007C7AB1">
        <w:rPr>
          <w:i/>
        </w:rPr>
        <w:t>ALK</w:t>
      </w:r>
      <w:r>
        <w:t xml:space="preserve"> = </w:t>
      </w:r>
      <w:r w:rsidRPr="00561C5F">
        <w:t>anaplastic lymphoma kinase</w:t>
      </w:r>
      <w:r>
        <w:t xml:space="preserve">; </w:t>
      </w:r>
      <w:r w:rsidR="0029294E">
        <w:t xml:space="preserve">CI = confidence interval; </w:t>
      </w:r>
      <w:r w:rsidRPr="007C7AB1">
        <w:rPr>
          <w:i/>
        </w:rPr>
        <w:t>EGFR</w:t>
      </w:r>
      <w:r>
        <w:t xml:space="preserve"> = epidermal growth factor receptor; </w:t>
      </w:r>
      <w:r w:rsidR="0029294E">
        <w:t xml:space="preserve">k = number of studies; </w:t>
      </w:r>
      <w:r w:rsidRPr="00CE4DC5">
        <w:rPr>
          <w:i/>
        </w:rPr>
        <w:t>MET</w:t>
      </w:r>
      <w:r w:rsidRPr="00CE4DC5">
        <w:t xml:space="preserve"> =</w:t>
      </w:r>
      <w:r>
        <w:t xml:space="preserve"> </w:t>
      </w:r>
      <w:r w:rsidRPr="008F67AF">
        <w:rPr>
          <w:szCs w:val="18"/>
        </w:rPr>
        <w:t>mesenchymal-epithelial transition</w:t>
      </w:r>
      <w:r>
        <w:rPr>
          <w:szCs w:val="18"/>
        </w:rPr>
        <w:t xml:space="preserve">; </w:t>
      </w:r>
      <w:r w:rsidR="0029294E">
        <w:rPr>
          <w:szCs w:val="18"/>
        </w:rPr>
        <w:t xml:space="preserve">n = number of patients; </w:t>
      </w:r>
      <w:r w:rsidR="00373449">
        <w:t>NGS = next generation sequenci</w:t>
      </w:r>
      <w:r w:rsidR="008B7F12">
        <w:t xml:space="preserve">ng; NPA = negative percent agreement; </w:t>
      </w:r>
      <w:r w:rsidR="00910771">
        <w:t xml:space="preserve">NPV = negative predictive value; </w:t>
      </w:r>
      <w:r w:rsidR="008B7F12">
        <w:t>PPA = positive percent agreement;</w:t>
      </w:r>
      <w:r w:rsidRPr="00A9721D">
        <w:rPr>
          <w:i/>
        </w:rPr>
        <w:t xml:space="preserve"> </w:t>
      </w:r>
      <w:r w:rsidR="00910771">
        <w:t xml:space="preserve">PPV = positive predictive value; </w:t>
      </w:r>
      <w:r w:rsidRPr="00380685">
        <w:rPr>
          <w:i/>
        </w:rPr>
        <w:t>ROS1</w:t>
      </w:r>
      <w:r>
        <w:t xml:space="preserve"> = ROS proto-oncogene 1;</w:t>
      </w:r>
      <w:r w:rsidR="008B7F12">
        <w:t xml:space="preserve"> SG = single-gene testing</w:t>
      </w:r>
    </w:p>
    <w:p w14:paraId="5EE3D4E4" w14:textId="57A9CDC9" w:rsidR="00712378" w:rsidRDefault="00210E9E" w:rsidP="00210E9E">
      <w:r>
        <w:t xml:space="preserve">The main sources of bias in the included studies </w:t>
      </w:r>
      <w:r w:rsidR="00354014">
        <w:t>were</w:t>
      </w:r>
      <w:r w:rsidR="005428CC">
        <w:t xml:space="preserve"> the lack of clarity </w:t>
      </w:r>
      <w:r w:rsidR="00B56736">
        <w:t xml:space="preserve">regarding whether the interpretation of the tests </w:t>
      </w:r>
      <w:r w:rsidR="00354014">
        <w:t>was</w:t>
      </w:r>
      <w:r w:rsidR="00B56736">
        <w:t xml:space="preserve"> independent of each other, and how directly relevant the patient samples were. Most studies included a small proportion of patients with squamous NSCLC, who are not proposed to be eligible for testing with the proposed MBS items for NGS in </w:t>
      </w:r>
      <w:r w:rsidR="00586126">
        <w:t>Australia but</w:t>
      </w:r>
      <w:r w:rsidR="00B56736">
        <w:t xml:space="preserve"> were a small enough proportion (&lt;20%) that they were considered to have a small impact on the results. </w:t>
      </w:r>
      <w:r w:rsidR="00D26226">
        <w:t xml:space="preserve">Although the prevalence of biomarkers varies a large amount between populations, the transformation of the data to accepted Australian prevalence data should mean that the results per 1000 patients test are likely to be applicable to the target population. </w:t>
      </w:r>
    </w:p>
    <w:p w14:paraId="6FB7B258" w14:textId="550E1A6D" w:rsidR="001C773C" w:rsidRPr="001C773C" w:rsidRDefault="001C773C" w:rsidP="00210E9E">
      <w:r>
        <w:t xml:space="preserve">The overall certainty of the evidence on concordance is rated as moderate (for concordance of </w:t>
      </w:r>
      <w:r>
        <w:rPr>
          <w:i/>
        </w:rPr>
        <w:t xml:space="preserve">EGFR, ALK </w:t>
      </w:r>
      <w:r>
        <w:t xml:space="preserve">and </w:t>
      </w:r>
      <w:r>
        <w:rPr>
          <w:i/>
        </w:rPr>
        <w:t xml:space="preserve">ROS1 </w:t>
      </w:r>
      <w:r>
        <w:t>variants</w:t>
      </w:r>
      <w:r>
        <w:rPr>
          <w:i/>
        </w:rPr>
        <w:t xml:space="preserve">), </w:t>
      </w:r>
      <w:r>
        <w:t xml:space="preserve">as most of the studies used designs applicable to the study question, the populations were appropriate, the studies relatively consistent, and there were sufficient studies that the results were relatively precise (GRADE </w:t>
      </w:r>
      <w:r w:rsidRPr="001C773C">
        <w:rPr>
          <w:rFonts w:ascii="Cambria Math" w:hAnsi="Cambria Math" w:cs="Cambria Math"/>
          <w:color w:val="00B050"/>
        </w:rPr>
        <w:t>⊕⊕⊕</w:t>
      </w:r>
      <w:r w:rsidRPr="001C773C">
        <w:rPr>
          <w:rFonts w:ascii="Cambria Math" w:hAnsi="Cambria Math" w:cs="Cambria Math"/>
          <w:color w:val="C00000"/>
        </w:rPr>
        <w:t>⊝</w:t>
      </w:r>
      <w:r w:rsidRPr="001C773C">
        <w:t>)</w:t>
      </w:r>
      <w:r w:rsidR="008C66BB">
        <w:t>.</w:t>
      </w:r>
      <w:r w:rsidRPr="001C773C">
        <w:t xml:space="preserve"> </w:t>
      </w:r>
    </w:p>
    <w:p w14:paraId="06494A52" w14:textId="443CA6E1" w:rsidR="00D91E43" w:rsidRPr="00B371FB" w:rsidRDefault="009C3E5D" w:rsidP="00D91E43">
      <w:pPr>
        <w:pStyle w:val="Heading4"/>
      </w:pPr>
      <w:r>
        <w:lastRenderedPageBreak/>
        <w:t>Y</w:t>
      </w:r>
      <w:r w:rsidR="00D91E43" w:rsidRPr="00B371FB">
        <w:t>ield of targetable variants</w:t>
      </w:r>
    </w:p>
    <w:p w14:paraId="7B2ECAB6" w14:textId="7AFCBF7C" w:rsidR="00D91E43" w:rsidRDefault="00725B22" w:rsidP="00B151CF">
      <w:pPr>
        <w:pStyle w:val="Instructionaltext"/>
        <w:rPr>
          <w:color w:val="auto"/>
        </w:rPr>
      </w:pPr>
      <w:r>
        <w:rPr>
          <w:color w:val="auto"/>
        </w:rPr>
        <w:t xml:space="preserve">The best published evidence for </w:t>
      </w:r>
      <w:r w:rsidR="009C3E5D">
        <w:rPr>
          <w:color w:val="auto"/>
        </w:rPr>
        <w:t xml:space="preserve">comparative </w:t>
      </w:r>
      <w:r>
        <w:rPr>
          <w:color w:val="auto"/>
        </w:rPr>
        <w:t xml:space="preserve">yield </w:t>
      </w:r>
      <w:r w:rsidR="009C3E5D">
        <w:rPr>
          <w:color w:val="auto"/>
        </w:rPr>
        <w:t xml:space="preserve">data </w:t>
      </w:r>
      <w:r>
        <w:rPr>
          <w:color w:val="auto"/>
        </w:rPr>
        <w:t>w</w:t>
      </w:r>
      <w:r w:rsidR="009C3E5D">
        <w:rPr>
          <w:color w:val="auto"/>
        </w:rPr>
        <w:t>ere</w:t>
      </w:r>
      <w:r>
        <w:rPr>
          <w:color w:val="auto"/>
        </w:rPr>
        <w:t xml:space="preserve"> provided by Steeghs et al. (2022), who compared the success rate of testing and the yield of therapeutically relevant alterations detected by NGS and non-NGS-approaches in </w:t>
      </w:r>
      <w:r w:rsidRPr="000935B4">
        <w:rPr>
          <w:color w:val="auto"/>
        </w:rPr>
        <w:t>patients with NSCLC</w:t>
      </w:r>
      <w:r w:rsidR="00A21CE1" w:rsidRPr="000935B4">
        <w:rPr>
          <w:color w:val="auto"/>
        </w:rPr>
        <w:t xml:space="preserve"> (</w:t>
      </w:r>
      <w:r w:rsidR="00A21CE1" w:rsidRPr="000935B4">
        <w:rPr>
          <w:color w:val="auto"/>
        </w:rPr>
        <w:fldChar w:fldCharType="begin"/>
      </w:r>
      <w:r w:rsidR="00A21CE1" w:rsidRPr="000935B4">
        <w:rPr>
          <w:color w:val="auto"/>
        </w:rPr>
        <w:instrText xml:space="preserve"> REF _Ref107561697 \h  \* MERGEFORMAT </w:instrText>
      </w:r>
      <w:r w:rsidR="00A21CE1" w:rsidRPr="000935B4">
        <w:rPr>
          <w:color w:val="auto"/>
        </w:rPr>
      </w:r>
      <w:r w:rsidR="00A21CE1" w:rsidRPr="000935B4">
        <w:rPr>
          <w:color w:val="auto"/>
        </w:rPr>
        <w:fldChar w:fldCharType="separate"/>
      </w:r>
      <w:r w:rsidR="00C857F3" w:rsidRPr="00C857F3">
        <w:rPr>
          <w:color w:val="auto"/>
        </w:rPr>
        <w:t>Table 28</w:t>
      </w:r>
      <w:r w:rsidR="00A21CE1" w:rsidRPr="000935B4">
        <w:rPr>
          <w:color w:val="auto"/>
        </w:rPr>
        <w:fldChar w:fldCharType="end"/>
      </w:r>
      <w:r w:rsidR="00A21CE1" w:rsidRPr="000935B4">
        <w:rPr>
          <w:color w:val="auto"/>
        </w:rPr>
        <w:t>)</w:t>
      </w:r>
      <w:r w:rsidR="008659B1" w:rsidRPr="000935B4">
        <w:rPr>
          <w:color w:val="auto"/>
        </w:rPr>
        <w:t>.</w:t>
      </w:r>
      <w:r w:rsidRPr="000935B4">
        <w:rPr>
          <w:color w:val="auto"/>
        </w:rPr>
        <w:t xml:space="preserve"> </w:t>
      </w:r>
      <w:r w:rsidR="00565080" w:rsidRPr="000935B4">
        <w:rPr>
          <w:color w:val="auto"/>
        </w:rPr>
        <w:t>The authors suggested that the higher alteration rate reported by NGS was due to lower failure rates (2.8</w:t>
      </w:r>
      <w:r w:rsidR="00336990">
        <w:rPr>
          <w:color w:val="auto"/>
        </w:rPr>
        <w:t>%</w:t>
      </w:r>
      <w:r w:rsidR="00565080" w:rsidRPr="000935B4">
        <w:rPr>
          <w:color w:val="auto"/>
        </w:rPr>
        <w:t xml:space="preserve"> vs 5.4%), a higher frequency rate of </w:t>
      </w:r>
      <w:r w:rsidR="00565080" w:rsidRPr="00956452">
        <w:rPr>
          <w:i/>
          <w:color w:val="auto"/>
        </w:rPr>
        <w:t>ALK</w:t>
      </w:r>
      <w:r w:rsidR="00565080" w:rsidRPr="000935B4">
        <w:rPr>
          <w:color w:val="auto"/>
        </w:rPr>
        <w:t xml:space="preserve">-rearrangements being reported by NGS than non-NGS approaches (IHC and/or FISH), </w:t>
      </w:r>
      <w:r w:rsidR="00336990">
        <w:rPr>
          <w:color w:val="auto"/>
        </w:rPr>
        <w:t xml:space="preserve">and </w:t>
      </w:r>
      <w:r w:rsidR="00565080" w:rsidRPr="000935B4">
        <w:rPr>
          <w:color w:val="auto"/>
        </w:rPr>
        <w:t xml:space="preserve">differences in tissue availability (there was insufficient tissue for </w:t>
      </w:r>
      <w:r w:rsidR="00565080" w:rsidRPr="00956452">
        <w:rPr>
          <w:i/>
          <w:color w:val="auto"/>
        </w:rPr>
        <w:t xml:space="preserve">ALK </w:t>
      </w:r>
      <w:r w:rsidR="00565080" w:rsidRPr="000935B4">
        <w:rPr>
          <w:color w:val="auto"/>
        </w:rPr>
        <w:t xml:space="preserve">testing in 3.7% of samples which were being tested with single-gene testing, and 1.1% </w:t>
      </w:r>
      <w:r w:rsidR="00336990">
        <w:rPr>
          <w:color w:val="auto"/>
        </w:rPr>
        <w:t xml:space="preserve">of samples tested with </w:t>
      </w:r>
      <w:r w:rsidR="00565080" w:rsidRPr="000935B4">
        <w:rPr>
          <w:color w:val="auto"/>
        </w:rPr>
        <w:t>NGS)</w:t>
      </w:r>
      <w:r w:rsidR="0053485A" w:rsidRPr="000935B4">
        <w:rPr>
          <w:color w:val="auto"/>
        </w:rPr>
        <w:t xml:space="preserve"> </w:t>
      </w:r>
      <w:r w:rsidR="00B4668F">
        <w:rPr>
          <w:color w:val="auto"/>
        </w:rP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rPr>
          <w:color w:val="auto"/>
        </w:rPr>
        <w:instrText xml:space="preserve"> ADDIN EN.CITE </w:instrText>
      </w:r>
      <w:r w:rsidR="00B4668F">
        <w:rPr>
          <w:color w:val="auto"/>
        </w:rP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rPr>
          <w:color w:val="auto"/>
        </w:rPr>
        <w:instrText xml:space="preserve"> ADDIN EN.CITE.DATA </w:instrText>
      </w:r>
      <w:r w:rsidR="00B4668F">
        <w:rPr>
          <w:color w:val="auto"/>
        </w:rPr>
      </w:r>
      <w:r w:rsidR="00B4668F">
        <w:rPr>
          <w:color w:val="auto"/>
        </w:rPr>
        <w:fldChar w:fldCharType="end"/>
      </w:r>
      <w:r w:rsidR="00B4668F">
        <w:rPr>
          <w:color w:val="auto"/>
        </w:rPr>
      </w:r>
      <w:r w:rsidR="00B4668F">
        <w:rPr>
          <w:color w:val="auto"/>
        </w:rPr>
        <w:fldChar w:fldCharType="separate"/>
      </w:r>
      <w:r w:rsidR="00B4668F">
        <w:rPr>
          <w:noProof/>
          <w:color w:val="auto"/>
        </w:rPr>
        <w:t>(Steeghs et al. 2022)</w:t>
      </w:r>
      <w:r w:rsidR="00B4668F">
        <w:rPr>
          <w:color w:val="auto"/>
        </w:rPr>
        <w:fldChar w:fldCharType="end"/>
      </w:r>
      <w:r w:rsidR="00565080" w:rsidRPr="000935B4">
        <w:rPr>
          <w:color w:val="auto"/>
        </w:rPr>
        <w:t xml:space="preserve">. </w:t>
      </w:r>
    </w:p>
    <w:p w14:paraId="4D1CDA04" w14:textId="37ED9ED8" w:rsidR="00725B22" w:rsidRDefault="00725B22" w:rsidP="00725B22">
      <w:pPr>
        <w:pStyle w:val="Caption"/>
      </w:pPr>
      <w:bookmarkStart w:id="110" w:name="_Ref109055256"/>
      <w:r>
        <w:t xml:space="preserve">Table </w:t>
      </w:r>
      <w:fldSimple w:instr=" SEQ Table \* ARABIC ">
        <w:r w:rsidR="00C857F3">
          <w:rPr>
            <w:noProof/>
          </w:rPr>
          <w:t>31</w:t>
        </w:r>
      </w:fldSimple>
      <w:bookmarkEnd w:id="110"/>
      <w:r>
        <w:tab/>
      </w:r>
      <w:r w:rsidR="00A21CE1">
        <w:t xml:space="preserve">Comparative </w:t>
      </w:r>
      <w:r w:rsidR="00D251E8">
        <w:t xml:space="preserve">diagnostic </w:t>
      </w:r>
      <w:r w:rsidR="00A21CE1">
        <w:t>yield</w:t>
      </w:r>
      <w:r>
        <w:t xml:space="preserve"> of </w:t>
      </w:r>
      <w:r w:rsidR="00A21CE1">
        <w:t xml:space="preserve">NGS and </w:t>
      </w:r>
      <w:r>
        <w:t>sequent</w:t>
      </w:r>
      <w:r w:rsidR="00A21CE1">
        <w:t>ial single-gene testing</w:t>
      </w:r>
      <w:r>
        <w:t xml:space="preserve"> (between patient comparison)</w:t>
      </w:r>
      <w:r w:rsidR="00A21CE1">
        <w:t>, taking into account comparative success rate</w:t>
      </w:r>
    </w:p>
    <w:tbl>
      <w:tblPr>
        <w:tblStyle w:val="TableGrid"/>
        <w:tblW w:w="5000" w:type="pct"/>
        <w:tblLook w:val="04A0" w:firstRow="1" w:lastRow="0" w:firstColumn="1" w:lastColumn="0" w:noHBand="0" w:noVBand="1"/>
        <w:tblCaption w:val="Comparative yield of NGS and sequential single-gene testing (between patient comparison), taking into account comparative success rate"/>
        <w:tblDescription w:val="Comparative yield of NGS and sequential single-gene testing (between patient comparison), taking into account comparative success rate"/>
      </w:tblPr>
      <w:tblGrid>
        <w:gridCol w:w="919"/>
        <w:gridCol w:w="1156"/>
        <w:gridCol w:w="2173"/>
        <w:gridCol w:w="1417"/>
        <w:gridCol w:w="1134"/>
        <w:gridCol w:w="1199"/>
        <w:gridCol w:w="1018"/>
      </w:tblGrid>
      <w:tr w:rsidR="009C3E5D" w14:paraId="746B6A4C" w14:textId="1E54604E" w:rsidTr="003A6029">
        <w:trPr>
          <w:trHeight w:val="70"/>
          <w:tblHeader/>
        </w:trPr>
        <w:tc>
          <w:tcPr>
            <w:tcW w:w="510" w:type="pct"/>
            <w:vMerge w:val="restart"/>
          </w:tcPr>
          <w:p w14:paraId="66E4A417" w14:textId="77777777" w:rsidR="009C3E5D" w:rsidRDefault="009C3E5D" w:rsidP="00E63F8A">
            <w:pPr>
              <w:pStyle w:val="Tabletext0"/>
            </w:pPr>
            <w:r>
              <w:t>Study</w:t>
            </w:r>
          </w:p>
        </w:tc>
        <w:tc>
          <w:tcPr>
            <w:tcW w:w="641" w:type="pct"/>
            <w:vMerge w:val="restart"/>
          </w:tcPr>
          <w:p w14:paraId="6C7801FC" w14:textId="77777777" w:rsidR="009C3E5D" w:rsidRPr="003A3CB0" w:rsidRDefault="009C3E5D" w:rsidP="00E63F8A">
            <w:pPr>
              <w:pStyle w:val="In-tableHeading"/>
              <w:rPr>
                <w:i/>
              </w:rPr>
            </w:pPr>
            <w:r>
              <w:t>Intervention</w:t>
            </w:r>
          </w:p>
        </w:tc>
        <w:tc>
          <w:tcPr>
            <w:tcW w:w="1205" w:type="pct"/>
            <w:vMerge w:val="restart"/>
          </w:tcPr>
          <w:p w14:paraId="52F11582" w14:textId="77777777" w:rsidR="009C3E5D" w:rsidRPr="003A3CB0" w:rsidRDefault="009C3E5D" w:rsidP="00E63F8A">
            <w:pPr>
              <w:pStyle w:val="In-tableHeading"/>
              <w:rPr>
                <w:i/>
              </w:rPr>
            </w:pPr>
            <w:r>
              <w:t>Comparator</w:t>
            </w:r>
          </w:p>
        </w:tc>
        <w:tc>
          <w:tcPr>
            <w:tcW w:w="2644" w:type="pct"/>
            <w:gridSpan w:val="4"/>
          </w:tcPr>
          <w:p w14:paraId="25FF417E" w14:textId="26807F52" w:rsidR="009C3E5D" w:rsidRPr="00A301BA" w:rsidRDefault="009C3E5D" w:rsidP="00725B22">
            <w:pPr>
              <w:pStyle w:val="Tabletext0"/>
              <w:rPr>
                <w:b/>
              </w:rPr>
            </w:pPr>
            <w:r w:rsidRPr="00A301BA">
              <w:rPr>
                <w:b/>
              </w:rPr>
              <w:t xml:space="preserve">Yield of therapeutically relevant alterations </w:t>
            </w:r>
          </w:p>
        </w:tc>
      </w:tr>
      <w:tr w:rsidR="00A301BA" w14:paraId="20F6605D" w14:textId="4C80383E" w:rsidTr="003A6029">
        <w:trPr>
          <w:trHeight w:val="70"/>
          <w:tblHeader/>
        </w:trPr>
        <w:tc>
          <w:tcPr>
            <w:tcW w:w="510" w:type="pct"/>
            <w:vMerge/>
          </w:tcPr>
          <w:p w14:paraId="42599ED6" w14:textId="77777777" w:rsidR="00A301BA" w:rsidRDefault="00A301BA" w:rsidP="00A301BA">
            <w:pPr>
              <w:pStyle w:val="Tabletext0"/>
            </w:pPr>
          </w:p>
        </w:tc>
        <w:tc>
          <w:tcPr>
            <w:tcW w:w="641" w:type="pct"/>
            <w:vMerge/>
          </w:tcPr>
          <w:p w14:paraId="032F4898" w14:textId="77777777" w:rsidR="00A301BA" w:rsidRDefault="00A301BA" w:rsidP="00A301BA">
            <w:pPr>
              <w:pStyle w:val="In-tableHeading"/>
            </w:pPr>
          </w:p>
        </w:tc>
        <w:tc>
          <w:tcPr>
            <w:tcW w:w="1205" w:type="pct"/>
            <w:vMerge/>
          </w:tcPr>
          <w:p w14:paraId="4800A252" w14:textId="77777777" w:rsidR="00A301BA" w:rsidRDefault="00A301BA" w:rsidP="00A301BA">
            <w:pPr>
              <w:pStyle w:val="In-tableHeading"/>
            </w:pPr>
          </w:p>
        </w:tc>
        <w:tc>
          <w:tcPr>
            <w:tcW w:w="786" w:type="pct"/>
          </w:tcPr>
          <w:p w14:paraId="0021AC53" w14:textId="3795FF12" w:rsidR="00A301BA" w:rsidRPr="00A301BA" w:rsidRDefault="009C3E5D" w:rsidP="00A301BA">
            <w:pPr>
              <w:pStyle w:val="In-tableHeading"/>
            </w:pPr>
            <w:r>
              <w:t>Genes</w:t>
            </w:r>
          </w:p>
        </w:tc>
        <w:tc>
          <w:tcPr>
            <w:tcW w:w="629" w:type="pct"/>
          </w:tcPr>
          <w:p w14:paraId="5B5FF8FC" w14:textId="04D5260E" w:rsidR="00A301BA" w:rsidRPr="00A301BA" w:rsidRDefault="00A301BA" w:rsidP="00A301BA">
            <w:pPr>
              <w:pStyle w:val="In-tableHeading"/>
            </w:pPr>
            <w:r w:rsidRPr="00A301BA">
              <w:t>NGS</w:t>
            </w:r>
          </w:p>
        </w:tc>
        <w:tc>
          <w:tcPr>
            <w:tcW w:w="665" w:type="pct"/>
          </w:tcPr>
          <w:p w14:paraId="0BDFBA2F" w14:textId="7EBC7E77" w:rsidR="00A301BA" w:rsidRPr="00A301BA" w:rsidRDefault="00A301BA" w:rsidP="00A301BA">
            <w:pPr>
              <w:pStyle w:val="Tabletext0"/>
              <w:rPr>
                <w:b/>
              </w:rPr>
            </w:pPr>
            <w:r w:rsidRPr="00A301BA">
              <w:rPr>
                <w:b/>
              </w:rPr>
              <w:t>Single-gene testing</w:t>
            </w:r>
          </w:p>
        </w:tc>
        <w:tc>
          <w:tcPr>
            <w:tcW w:w="565" w:type="pct"/>
          </w:tcPr>
          <w:p w14:paraId="6DFA8893" w14:textId="24C14D30" w:rsidR="00A301BA" w:rsidRPr="00A301BA" w:rsidRDefault="00A301BA" w:rsidP="00A301BA">
            <w:pPr>
              <w:pStyle w:val="Tabletext0"/>
              <w:rPr>
                <w:b/>
              </w:rPr>
            </w:pPr>
            <w:r>
              <w:rPr>
                <w:b/>
              </w:rPr>
              <w:t>Difference</w:t>
            </w:r>
          </w:p>
        </w:tc>
      </w:tr>
      <w:tr w:rsidR="009C3E5D" w14:paraId="6D67896E" w14:textId="3F565861" w:rsidTr="00277C59">
        <w:tc>
          <w:tcPr>
            <w:tcW w:w="510" w:type="pct"/>
            <w:vMerge w:val="restart"/>
          </w:tcPr>
          <w:p w14:paraId="57D9EA28" w14:textId="56B57B1F" w:rsidR="009C3E5D" w:rsidRPr="003A3CB0" w:rsidRDefault="00B4668F" w:rsidP="00A301BA">
            <w:pPr>
              <w:pStyle w:val="TableText"/>
            </w:pP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 </w:instrTex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EN.CITE.DATA </w:instrText>
            </w:r>
            <w:r>
              <w:fldChar w:fldCharType="end"/>
            </w:r>
            <w:r>
              <w:fldChar w:fldCharType="separate"/>
            </w:r>
            <w:r>
              <w:rPr>
                <w:noProof/>
              </w:rPr>
              <w:t>(Steeghs et al. 2022)</w:t>
            </w:r>
            <w:r>
              <w:fldChar w:fldCharType="end"/>
            </w:r>
          </w:p>
          <w:p w14:paraId="5DF8E6CF" w14:textId="77777777" w:rsidR="009C3E5D" w:rsidRDefault="009C3E5D" w:rsidP="00A301BA">
            <w:pPr>
              <w:pStyle w:val="TableText"/>
            </w:pPr>
          </w:p>
          <w:p w14:paraId="30BB6AB7" w14:textId="77777777" w:rsidR="009C3E5D" w:rsidRPr="003A3CB0" w:rsidRDefault="009C3E5D" w:rsidP="00A301BA">
            <w:pPr>
              <w:pStyle w:val="TableText"/>
            </w:pPr>
          </w:p>
        </w:tc>
        <w:tc>
          <w:tcPr>
            <w:tcW w:w="641" w:type="pct"/>
            <w:vMerge w:val="restart"/>
          </w:tcPr>
          <w:p w14:paraId="20F9CE51" w14:textId="77777777" w:rsidR="009C3E5D" w:rsidRDefault="009C3E5D" w:rsidP="00A301BA">
            <w:pPr>
              <w:pStyle w:val="TableText"/>
            </w:pPr>
            <w:r>
              <w:t xml:space="preserve">NGS </w:t>
            </w:r>
          </w:p>
        </w:tc>
        <w:tc>
          <w:tcPr>
            <w:tcW w:w="1205" w:type="pct"/>
            <w:vMerge w:val="restart"/>
          </w:tcPr>
          <w:p w14:paraId="2A6CB91E" w14:textId="1A8CB683" w:rsidR="009C3E5D" w:rsidRDefault="009C3E5D" w:rsidP="006278CE">
            <w:pPr>
              <w:pStyle w:val="TableText"/>
            </w:pPr>
            <w:r>
              <w:t>Predominantly traditional single gene</w:t>
            </w:r>
            <w:r w:rsidR="006278CE">
              <w:t xml:space="preserve"> tests (e.g. Sanger sequencing)</w:t>
            </w:r>
            <w:r>
              <w:t>, plus IHC and/or FISH</w:t>
            </w:r>
          </w:p>
        </w:tc>
        <w:tc>
          <w:tcPr>
            <w:tcW w:w="786" w:type="pct"/>
          </w:tcPr>
          <w:p w14:paraId="77F34006" w14:textId="1F6439F0" w:rsidR="009C3E5D" w:rsidRPr="00A301BA" w:rsidRDefault="009C3E5D" w:rsidP="00A301BA">
            <w:pPr>
              <w:pStyle w:val="TableText"/>
            </w:pPr>
            <w:r>
              <w:t>Overall</w:t>
            </w:r>
          </w:p>
        </w:tc>
        <w:tc>
          <w:tcPr>
            <w:tcW w:w="629" w:type="pct"/>
          </w:tcPr>
          <w:p w14:paraId="1AFD456D" w14:textId="26DC9956" w:rsidR="009C3E5D" w:rsidRPr="00937982" w:rsidRDefault="009C3E5D" w:rsidP="00A301BA">
            <w:pPr>
              <w:pStyle w:val="TableText"/>
              <w:rPr>
                <w:vertAlign w:val="superscript"/>
              </w:rPr>
            </w:pPr>
            <w:r w:rsidRPr="00A301BA">
              <w:t>62.4%</w:t>
            </w:r>
          </w:p>
        </w:tc>
        <w:tc>
          <w:tcPr>
            <w:tcW w:w="665" w:type="pct"/>
          </w:tcPr>
          <w:p w14:paraId="015D252B" w14:textId="1E2C0679" w:rsidR="009C3E5D" w:rsidRDefault="009C3E5D" w:rsidP="00A301BA">
            <w:pPr>
              <w:pStyle w:val="TableText"/>
            </w:pPr>
            <w:r>
              <w:t>56.5%</w:t>
            </w:r>
          </w:p>
        </w:tc>
        <w:tc>
          <w:tcPr>
            <w:tcW w:w="565" w:type="pct"/>
          </w:tcPr>
          <w:p w14:paraId="6E894725" w14:textId="7CCD2316" w:rsidR="009C3E5D" w:rsidRDefault="009C3E5D" w:rsidP="00A301BA">
            <w:pPr>
              <w:pStyle w:val="TableText"/>
            </w:pPr>
            <w:r>
              <w:t>p=0.004</w:t>
            </w:r>
          </w:p>
        </w:tc>
      </w:tr>
      <w:tr w:rsidR="009C3E5D" w14:paraId="5D3874C3" w14:textId="77777777" w:rsidTr="00277C59">
        <w:tc>
          <w:tcPr>
            <w:tcW w:w="510" w:type="pct"/>
            <w:vMerge/>
          </w:tcPr>
          <w:p w14:paraId="51A5F3D9" w14:textId="77777777" w:rsidR="009C3E5D" w:rsidRPr="003A3CB0" w:rsidRDefault="009C3E5D" w:rsidP="00A301BA">
            <w:pPr>
              <w:pStyle w:val="TableText"/>
            </w:pPr>
          </w:p>
        </w:tc>
        <w:tc>
          <w:tcPr>
            <w:tcW w:w="641" w:type="pct"/>
            <w:vMerge/>
          </w:tcPr>
          <w:p w14:paraId="6688BA80" w14:textId="77777777" w:rsidR="009C3E5D" w:rsidRDefault="009C3E5D" w:rsidP="00A301BA">
            <w:pPr>
              <w:pStyle w:val="TableText"/>
            </w:pPr>
          </w:p>
        </w:tc>
        <w:tc>
          <w:tcPr>
            <w:tcW w:w="1205" w:type="pct"/>
            <w:vMerge/>
          </w:tcPr>
          <w:p w14:paraId="2667A535" w14:textId="77777777" w:rsidR="009C3E5D" w:rsidRDefault="009C3E5D" w:rsidP="00A301BA">
            <w:pPr>
              <w:pStyle w:val="TableText"/>
            </w:pPr>
          </w:p>
        </w:tc>
        <w:tc>
          <w:tcPr>
            <w:tcW w:w="786" w:type="pct"/>
          </w:tcPr>
          <w:p w14:paraId="71399A86" w14:textId="67713B36" w:rsidR="009C3E5D" w:rsidRDefault="009C3E5D" w:rsidP="00A301BA">
            <w:pPr>
              <w:pStyle w:val="TableText"/>
            </w:pPr>
            <w:r w:rsidRPr="009C3E5D">
              <w:rPr>
                <w:i/>
              </w:rPr>
              <w:t>EGFR, MET, ALK, ROS1</w:t>
            </w:r>
            <w:r>
              <w:t xml:space="preserve"> only</w:t>
            </w:r>
          </w:p>
        </w:tc>
        <w:tc>
          <w:tcPr>
            <w:tcW w:w="629" w:type="pct"/>
          </w:tcPr>
          <w:p w14:paraId="49E9F054" w14:textId="3FECE98A" w:rsidR="009C3E5D" w:rsidRPr="00A301BA" w:rsidRDefault="009C3E5D" w:rsidP="00A301BA">
            <w:pPr>
              <w:pStyle w:val="TableText"/>
            </w:pPr>
            <w:r>
              <w:t>20.3%</w:t>
            </w:r>
          </w:p>
        </w:tc>
        <w:tc>
          <w:tcPr>
            <w:tcW w:w="665" w:type="pct"/>
          </w:tcPr>
          <w:p w14:paraId="2EB5A4DA" w14:textId="4A08401E" w:rsidR="009C3E5D" w:rsidRDefault="009C3E5D" w:rsidP="00A301BA">
            <w:pPr>
              <w:pStyle w:val="TableText"/>
            </w:pPr>
            <w:r>
              <w:t>15.8%</w:t>
            </w:r>
          </w:p>
        </w:tc>
        <w:tc>
          <w:tcPr>
            <w:tcW w:w="565" w:type="pct"/>
          </w:tcPr>
          <w:p w14:paraId="09820CF9" w14:textId="568D263D" w:rsidR="009C3E5D" w:rsidRDefault="009C3E5D" w:rsidP="00A301BA">
            <w:pPr>
              <w:pStyle w:val="TableText"/>
            </w:pPr>
            <w:r>
              <w:t>not stated</w:t>
            </w:r>
          </w:p>
        </w:tc>
      </w:tr>
    </w:tbl>
    <w:p w14:paraId="1F593CA4" w14:textId="1F2DAC98" w:rsidR="003E653C" w:rsidRDefault="006278CE" w:rsidP="006278CE">
      <w:pPr>
        <w:pStyle w:val="TableFooter"/>
      </w:pPr>
      <w:r w:rsidRPr="007C7AB1">
        <w:rPr>
          <w:i/>
        </w:rPr>
        <w:t>ALK</w:t>
      </w:r>
      <w:r>
        <w:t xml:space="preserve"> = </w:t>
      </w:r>
      <w:r w:rsidRPr="00561C5F">
        <w:t>anaplastic lymphoma kinase</w:t>
      </w:r>
      <w:r>
        <w:t xml:space="preserve">; </w:t>
      </w:r>
      <w:r w:rsidRPr="006278CE">
        <w:t>DNA</w:t>
      </w:r>
      <w:r w:rsidRPr="002412BE">
        <w:t xml:space="preserve"> </w:t>
      </w:r>
      <w:r w:rsidRPr="007C7AB1">
        <w:rPr>
          <w:i/>
        </w:rPr>
        <w:t>EGFR</w:t>
      </w:r>
      <w:r>
        <w:t xml:space="preserve"> = epidermal growth factor receptor; FISH = fluorescent </w:t>
      </w:r>
      <w:r w:rsidRPr="00956452">
        <w:rPr>
          <w:i/>
        </w:rPr>
        <w:t>in situ</w:t>
      </w:r>
      <w:r>
        <w:t xml:space="preserve"> hybridisation; IHC = immunohistochemistry; </w:t>
      </w:r>
      <w:r w:rsidRPr="00CE4DC5">
        <w:rPr>
          <w:i/>
        </w:rPr>
        <w:t>MET</w:t>
      </w:r>
      <w:r w:rsidRPr="00CE4DC5">
        <w:t xml:space="preserve"> =</w:t>
      </w:r>
      <w:r>
        <w:t xml:space="preserve"> </w:t>
      </w:r>
      <w:r w:rsidRPr="008F67AF">
        <w:rPr>
          <w:szCs w:val="18"/>
        </w:rPr>
        <w:t>mesenchymal-epithelial transition</w:t>
      </w:r>
      <w:r>
        <w:rPr>
          <w:szCs w:val="18"/>
        </w:rPr>
        <w:t xml:space="preserve">; </w:t>
      </w:r>
      <w:r>
        <w:t>NGS = next generation sequencing;</w:t>
      </w:r>
      <w:r w:rsidRPr="006278CE">
        <w:rPr>
          <w:i/>
        </w:rPr>
        <w:t xml:space="preserve"> </w:t>
      </w:r>
      <w:r w:rsidRPr="00380685">
        <w:rPr>
          <w:i/>
        </w:rPr>
        <w:t>ROS1</w:t>
      </w:r>
      <w:r>
        <w:t xml:space="preserve"> = ROS proto-oncogene 1</w:t>
      </w:r>
    </w:p>
    <w:p w14:paraId="04574DB9" w14:textId="6FEA7A3E" w:rsidR="00A21CE1" w:rsidRDefault="00A21CE1">
      <w:r>
        <w:t xml:space="preserve">Comparative </w:t>
      </w:r>
      <w:r w:rsidR="003F4657">
        <w:t>yields</w:t>
      </w:r>
      <w:r>
        <w:t xml:space="preserve"> were also calculated using the 2x2 data </w:t>
      </w:r>
      <w:r w:rsidR="00E42F14">
        <w:t>collated for concordance (applying Australian-relevant prevalence figures). The difference between the yield of NGS and single-gene tested in these studies was much lower than reported by Steeghs et al. (2022</w:t>
      </w:r>
      <w:r w:rsidR="003F4657">
        <w:t>). However</w:t>
      </w:r>
      <w:r w:rsidR="00E42F14">
        <w:t xml:space="preserve">, the concordance data only included results for patients in whom testing was successful for both NGS and single-gene testing. </w:t>
      </w:r>
    </w:p>
    <w:p w14:paraId="19B1E534" w14:textId="196847E2" w:rsidR="00A21CE1" w:rsidRDefault="00A21CE1" w:rsidP="00A21CE1">
      <w:pPr>
        <w:pStyle w:val="Caption"/>
      </w:pPr>
      <w:r>
        <w:t xml:space="preserve">Table </w:t>
      </w:r>
      <w:fldSimple w:instr=" SEQ Table \* ARABIC ">
        <w:r w:rsidR="00C857F3">
          <w:rPr>
            <w:noProof/>
          </w:rPr>
          <w:t>32</w:t>
        </w:r>
      </w:fldSimple>
      <w:r>
        <w:tab/>
        <w:t xml:space="preserve">Comparative </w:t>
      </w:r>
      <w:r w:rsidR="00D251E8">
        <w:t xml:space="preserve">diagnostic </w:t>
      </w:r>
      <w:r>
        <w:t>yield of NGS and single-gene testing (in those who were successfully tested by both)</w:t>
      </w:r>
    </w:p>
    <w:tbl>
      <w:tblPr>
        <w:tblStyle w:val="TableGrid"/>
        <w:tblW w:w="5000" w:type="pct"/>
        <w:tblLook w:val="04A0" w:firstRow="1" w:lastRow="0" w:firstColumn="1" w:lastColumn="0" w:noHBand="0" w:noVBand="1"/>
        <w:tblCaption w:val="Comparative yield of NGS and single-gene testing (in those who were successfully tested by both)"/>
        <w:tblDescription w:val="Comparative yield of NGS and single-gene testing (in those who were successfully tested by both)"/>
      </w:tblPr>
      <w:tblGrid>
        <w:gridCol w:w="1487"/>
        <w:gridCol w:w="1284"/>
        <w:gridCol w:w="1194"/>
        <w:gridCol w:w="1152"/>
        <w:gridCol w:w="1084"/>
        <w:gridCol w:w="1412"/>
        <w:gridCol w:w="1403"/>
      </w:tblGrid>
      <w:tr w:rsidR="00A21CE1" w:rsidRPr="00796D44" w14:paraId="2A59D365" w14:textId="4DED1CC3" w:rsidTr="003A6029">
        <w:trPr>
          <w:tblHeader/>
        </w:trPr>
        <w:tc>
          <w:tcPr>
            <w:tcW w:w="825" w:type="pct"/>
            <w:vMerge w:val="restart"/>
          </w:tcPr>
          <w:p w14:paraId="58B2B4AF" w14:textId="77777777" w:rsidR="00A21CE1" w:rsidRPr="00796D44" w:rsidRDefault="00A21CE1" w:rsidP="007C5A36">
            <w:pPr>
              <w:pStyle w:val="In-tableHeading"/>
            </w:pPr>
            <w:r>
              <w:t>Gene</w:t>
            </w:r>
          </w:p>
        </w:tc>
        <w:tc>
          <w:tcPr>
            <w:tcW w:w="712" w:type="pct"/>
            <w:vMerge w:val="restart"/>
          </w:tcPr>
          <w:p w14:paraId="5ACA91A3" w14:textId="77777777" w:rsidR="00A21CE1" w:rsidRPr="00796D44" w:rsidRDefault="00A21CE1" w:rsidP="007C5A36">
            <w:pPr>
              <w:pStyle w:val="In-tableHeading"/>
            </w:pPr>
            <w:r w:rsidRPr="00796D44">
              <w:t>Evidence base</w:t>
            </w:r>
          </w:p>
        </w:tc>
        <w:tc>
          <w:tcPr>
            <w:tcW w:w="662" w:type="pct"/>
            <w:vMerge w:val="restart"/>
          </w:tcPr>
          <w:p w14:paraId="284201EB" w14:textId="33A90E8C" w:rsidR="00A21CE1" w:rsidRPr="00796D44" w:rsidRDefault="00A21CE1" w:rsidP="007C5A36">
            <w:pPr>
              <w:pStyle w:val="In-tableHeading"/>
            </w:pPr>
            <w:r w:rsidRPr="00796D44">
              <w:t>PPA</w:t>
            </w:r>
            <w:r w:rsidR="0099155A">
              <w:t xml:space="preserve"> (95%CI) </w:t>
            </w:r>
          </w:p>
        </w:tc>
        <w:tc>
          <w:tcPr>
            <w:tcW w:w="639" w:type="pct"/>
            <w:vMerge w:val="restart"/>
          </w:tcPr>
          <w:p w14:paraId="075056D6" w14:textId="2130F5D8" w:rsidR="00A21CE1" w:rsidRPr="00796D44" w:rsidRDefault="00A21CE1" w:rsidP="007C5A36">
            <w:pPr>
              <w:pStyle w:val="In-tableHeading"/>
            </w:pPr>
            <w:r w:rsidRPr="00796D44">
              <w:t>NPA</w:t>
            </w:r>
            <w:r w:rsidR="0099155A">
              <w:t xml:space="preserve"> (95%CI)</w:t>
            </w:r>
          </w:p>
        </w:tc>
        <w:tc>
          <w:tcPr>
            <w:tcW w:w="601" w:type="pct"/>
            <w:vMerge w:val="restart"/>
          </w:tcPr>
          <w:p w14:paraId="302007A4" w14:textId="77777777" w:rsidR="00A21CE1" w:rsidRPr="00796D44" w:rsidRDefault="00A21CE1" w:rsidP="007C5A36">
            <w:pPr>
              <w:pStyle w:val="In-tableHeading"/>
            </w:pPr>
            <w:r w:rsidRPr="00796D44">
              <w:t>Prevalence</w:t>
            </w:r>
          </w:p>
        </w:tc>
        <w:tc>
          <w:tcPr>
            <w:tcW w:w="1561" w:type="pct"/>
            <w:gridSpan w:val="2"/>
          </w:tcPr>
          <w:p w14:paraId="1C75474C" w14:textId="47E6E25A" w:rsidR="00A21CE1" w:rsidRDefault="00A21CE1" w:rsidP="007C5A36">
            <w:pPr>
              <w:pStyle w:val="In-tableHeading"/>
            </w:pPr>
            <w:r>
              <w:t>Per 1000 successfully tested</w:t>
            </w:r>
          </w:p>
        </w:tc>
      </w:tr>
      <w:tr w:rsidR="00A21CE1" w:rsidRPr="00796D44" w14:paraId="5F4CCD4D" w14:textId="5A3CFC02" w:rsidTr="003A6029">
        <w:trPr>
          <w:tblHeader/>
        </w:trPr>
        <w:tc>
          <w:tcPr>
            <w:tcW w:w="825" w:type="pct"/>
            <w:vMerge/>
          </w:tcPr>
          <w:p w14:paraId="530F87A8" w14:textId="77777777" w:rsidR="00A21CE1" w:rsidRPr="00796D44" w:rsidRDefault="00A21CE1" w:rsidP="00A21CE1">
            <w:pPr>
              <w:pStyle w:val="In-tableHeading"/>
            </w:pPr>
          </w:p>
        </w:tc>
        <w:tc>
          <w:tcPr>
            <w:tcW w:w="712" w:type="pct"/>
            <w:vMerge/>
          </w:tcPr>
          <w:p w14:paraId="15D41A31" w14:textId="77777777" w:rsidR="00A21CE1" w:rsidRPr="00796D44" w:rsidRDefault="00A21CE1" w:rsidP="00A21CE1">
            <w:pPr>
              <w:pStyle w:val="In-tableHeading"/>
            </w:pPr>
          </w:p>
        </w:tc>
        <w:tc>
          <w:tcPr>
            <w:tcW w:w="662" w:type="pct"/>
            <w:vMerge/>
          </w:tcPr>
          <w:p w14:paraId="04FD7B55" w14:textId="77777777" w:rsidR="00A21CE1" w:rsidRPr="00796D44" w:rsidRDefault="00A21CE1" w:rsidP="00A21CE1">
            <w:pPr>
              <w:pStyle w:val="In-tableHeading"/>
            </w:pPr>
          </w:p>
        </w:tc>
        <w:tc>
          <w:tcPr>
            <w:tcW w:w="639" w:type="pct"/>
            <w:vMerge/>
          </w:tcPr>
          <w:p w14:paraId="0B7121D5" w14:textId="77777777" w:rsidR="00A21CE1" w:rsidRPr="00796D44" w:rsidRDefault="00A21CE1" w:rsidP="00A21CE1">
            <w:pPr>
              <w:pStyle w:val="In-tableHeading"/>
            </w:pPr>
          </w:p>
        </w:tc>
        <w:tc>
          <w:tcPr>
            <w:tcW w:w="601" w:type="pct"/>
            <w:vMerge/>
          </w:tcPr>
          <w:p w14:paraId="0E2B9377" w14:textId="77777777" w:rsidR="00A21CE1" w:rsidRPr="00796D44" w:rsidRDefault="00A21CE1" w:rsidP="00A21CE1">
            <w:pPr>
              <w:pStyle w:val="In-tableHeading"/>
            </w:pPr>
          </w:p>
        </w:tc>
        <w:tc>
          <w:tcPr>
            <w:tcW w:w="783" w:type="pct"/>
          </w:tcPr>
          <w:p w14:paraId="4C09C161" w14:textId="7E5060E0" w:rsidR="00A21CE1" w:rsidRPr="00796D44" w:rsidRDefault="00A21CE1" w:rsidP="00A21CE1">
            <w:pPr>
              <w:pStyle w:val="In-tableHeading"/>
            </w:pPr>
            <w:r>
              <w:t>Yield by NGS</w:t>
            </w:r>
          </w:p>
        </w:tc>
        <w:tc>
          <w:tcPr>
            <w:tcW w:w="778" w:type="pct"/>
          </w:tcPr>
          <w:p w14:paraId="709CCAEA" w14:textId="6CA17D90" w:rsidR="00A21CE1" w:rsidRPr="00796D44" w:rsidRDefault="00A21CE1" w:rsidP="00A21CE1">
            <w:pPr>
              <w:pStyle w:val="In-tableHeading"/>
            </w:pPr>
            <w:r>
              <w:t>Yield by SG</w:t>
            </w:r>
          </w:p>
        </w:tc>
      </w:tr>
      <w:tr w:rsidR="00A21CE1" w:rsidRPr="00796D44" w14:paraId="01BA4BDD" w14:textId="4A216C51" w:rsidTr="00A21CE1">
        <w:tc>
          <w:tcPr>
            <w:tcW w:w="825" w:type="pct"/>
          </w:tcPr>
          <w:p w14:paraId="206CFF35" w14:textId="77777777" w:rsidR="00A21CE1" w:rsidRPr="006F53B4" w:rsidRDefault="00A21CE1" w:rsidP="00A21CE1">
            <w:pPr>
              <w:pStyle w:val="Tabletext0"/>
              <w:rPr>
                <w:i/>
              </w:rPr>
            </w:pPr>
            <w:r w:rsidRPr="006F53B4">
              <w:rPr>
                <w:i/>
              </w:rPr>
              <w:t>EGFR</w:t>
            </w:r>
          </w:p>
        </w:tc>
        <w:tc>
          <w:tcPr>
            <w:tcW w:w="712" w:type="pct"/>
          </w:tcPr>
          <w:p w14:paraId="10874DE1" w14:textId="77777777" w:rsidR="00A21CE1" w:rsidRPr="00796D44" w:rsidRDefault="00A21CE1" w:rsidP="00A21CE1">
            <w:pPr>
              <w:pStyle w:val="Tabletext0"/>
            </w:pPr>
            <w:r w:rsidRPr="00796D44">
              <w:t>n=2611</w:t>
            </w:r>
          </w:p>
          <w:p w14:paraId="31C35800" w14:textId="77777777" w:rsidR="00A21CE1" w:rsidRPr="00796D44" w:rsidRDefault="00A21CE1" w:rsidP="00A21CE1">
            <w:pPr>
              <w:pStyle w:val="Tabletext0"/>
            </w:pPr>
            <w:r w:rsidRPr="00796D44">
              <w:t>k=22</w:t>
            </w:r>
          </w:p>
        </w:tc>
        <w:tc>
          <w:tcPr>
            <w:tcW w:w="662" w:type="pct"/>
          </w:tcPr>
          <w:p w14:paraId="2E13D8BC" w14:textId="77777777" w:rsidR="00A21CE1" w:rsidRPr="00796D44" w:rsidRDefault="00A21CE1" w:rsidP="00A21CE1">
            <w:pPr>
              <w:pStyle w:val="Tabletext0"/>
            </w:pPr>
            <w:r w:rsidRPr="00796D44">
              <w:t>0.98 (0.95, 0.99)</w:t>
            </w:r>
          </w:p>
        </w:tc>
        <w:tc>
          <w:tcPr>
            <w:tcW w:w="639" w:type="pct"/>
          </w:tcPr>
          <w:p w14:paraId="4A6E6AE1" w14:textId="77777777" w:rsidR="00A21CE1" w:rsidRPr="00796D44" w:rsidRDefault="00A21CE1" w:rsidP="00A21CE1">
            <w:pPr>
              <w:pStyle w:val="Tabletext0"/>
            </w:pPr>
            <w:r w:rsidRPr="00796D44">
              <w:t>0.97 (0.95, 0.99)</w:t>
            </w:r>
          </w:p>
        </w:tc>
        <w:tc>
          <w:tcPr>
            <w:tcW w:w="601" w:type="pct"/>
          </w:tcPr>
          <w:p w14:paraId="090717A1" w14:textId="77777777" w:rsidR="00A21CE1" w:rsidRPr="00B26AFD" w:rsidRDefault="00A21CE1" w:rsidP="00A21CE1">
            <w:pPr>
              <w:pStyle w:val="Tabletext0"/>
              <w:rPr>
                <w:vertAlign w:val="superscript"/>
              </w:rPr>
            </w:pPr>
            <w:r w:rsidRPr="00796D44">
              <w:t>15%</w:t>
            </w:r>
            <w:r>
              <w:rPr>
                <w:vertAlign w:val="superscript"/>
              </w:rPr>
              <w:t>a</w:t>
            </w:r>
          </w:p>
        </w:tc>
        <w:tc>
          <w:tcPr>
            <w:tcW w:w="783" w:type="pct"/>
          </w:tcPr>
          <w:p w14:paraId="6CFC785D" w14:textId="7CDE6F2F" w:rsidR="00A21CE1" w:rsidRPr="00796D44" w:rsidRDefault="00A21CE1" w:rsidP="00A21CE1">
            <w:pPr>
              <w:pStyle w:val="Tabletext0"/>
            </w:pPr>
            <w:r>
              <w:t>172</w:t>
            </w:r>
          </w:p>
        </w:tc>
        <w:tc>
          <w:tcPr>
            <w:tcW w:w="778" w:type="pct"/>
          </w:tcPr>
          <w:p w14:paraId="7F453C42" w14:textId="2A3D477F" w:rsidR="00A21CE1" w:rsidRPr="00796D44" w:rsidRDefault="00A21CE1" w:rsidP="00A21CE1">
            <w:pPr>
              <w:pStyle w:val="Tabletext0"/>
            </w:pPr>
            <w:r>
              <w:t>150</w:t>
            </w:r>
          </w:p>
        </w:tc>
      </w:tr>
      <w:tr w:rsidR="00A21CE1" w:rsidRPr="00796D44" w14:paraId="5F9E8648" w14:textId="1E25B234" w:rsidTr="00A21CE1">
        <w:tc>
          <w:tcPr>
            <w:tcW w:w="825" w:type="pct"/>
          </w:tcPr>
          <w:p w14:paraId="62FD0A3E" w14:textId="77777777" w:rsidR="00A21CE1" w:rsidRPr="006F53B4" w:rsidRDefault="00A21CE1" w:rsidP="00A21CE1">
            <w:pPr>
              <w:pStyle w:val="Tabletext0"/>
              <w:rPr>
                <w:i/>
              </w:rPr>
            </w:pPr>
            <w:r w:rsidRPr="006F53B4">
              <w:rPr>
                <w:i/>
              </w:rPr>
              <w:t>ALK</w:t>
            </w:r>
          </w:p>
        </w:tc>
        <w:tc>
          <w:tcPr>
            <w:tcW w:w="712" w:type="pct"/>
          </w:tcPr>
          <w:p w14:paraId="207EC5C5" w14:textId="77777777" w:rsidR="00A21CE1" w:rsidRDefault="00A21CE1" w:rsidP="00A21CE1">
            <w:pPr>
              <w:pStyle w:val="Tabletext0"/>
            </w:pPr>
            <w:r>
              <w:t>n=1464</w:t>
            </w:r>
          </w:p>
          <w:p w14:paraId="3A75C77F" w14:textId="77777777" w:rsidR="00A21CE1" w:rsidRPr="00796D44" w:rsidRDefault="00A21CE1" w:rsidP="00A21CE1">
            <w:pPr>
              <w:pStyle w:val="Tabletext0"/>
            </w:pPr>
            <w:r>
              <w:t>k=11</w:t>
            </w:r>
          </w:p>
        </w:tc>
        <w:tc>
          <w:tcPr>
            <w:tcW w:w="662" w:type="pct"/>
          </w:tcPr>
          <w:p w14:paraId="53731E10" w14:textId="77777777" w:rsidR="00A21CE1" w:rsidRPr="00796D44" w:rsidRDefault="00A21CE1" w:rsidP="00A21CE1">
            <w:pPr>
              <w:pStyle w:val="Tabletext0"/>
            </w:pPr>
            <w:r>
              <w:t>0.92 (0.77, 0.97)</w:t>
            </w:r>
          </w:p>
        </w:tc>
        <w:tc>
          <w:tcPr>
            <w:tcW w:w="639" w:type="pct"/>
          </w:tcPr>
          <w:p w14:paraId="02553E3B" w14:textId="77777777" w:rsidR="00A21CE1" w:rsidRPr="00796D44" w:rsidRDefault="00A21CE1" w:rsidP="00A21CE1">
            <w:pPr>
              <w:pStyle w:val="Tabletext0"/>
            </w:pPr>
            <w:r>
              <w:t>0.99 (0.93, 1.00)</w:t>
            </w:r>
          </w:p>
        </w:tc>
        <w:tc>
          <w:tcPr>
            <w:tcW w:w="601" w:type="pct"/>
          </w:tcPr>
          <w:p w14:paraId="1B411EEC" w14:textId="77777777" w:rsidR="00A21CE1" w:rsidRPr="00B26AFD" w:rsidRDefault="00A21CE1" w:rsidP="00A21CE1">
            <w:pPr>
              <w:pStyle w:val="Tabletext0"/>
              <w:rPr>
                <w:vertAlign w:val="superscript"/>
              </w:rPr>
            </w:pPr>
            <w:r>
              <w:t>3%</w:t>
            </w:r>
            <w:r>
              <w:rPr>
                <w:vertAlign w:val="superscript"/>
              </w:rPr>
              <w:t>b</w:t>
            </w:r>
          </w:p>
        </w:tc>
        <w:tc>
          <w:tcPr>
            <w:tcW w:w="783" w:type="pct"/>
          </w:tcPr>
          <w:p w14:paraId="6FDAE297" w14:textId="4C7CBE56" w:rsidR="00A21CE1" w:rsidRDefault="00A21CE1" w:rsidP="00A21CE1">
            <w:pPr>
              <w:pStyle w:val="Tabletext0"/>
            </w:pPr>
            <w:r>
              <w:t>38</w:t>
            </w:r>
          </w:p>
        </w:tc>
        <w:tc>
          <w:tcPr>
            <w:tcW w:w="778" w:type="pct"/>
          </w:tcPr>
          <w:p w14:paraId="2732430B" w14:textId="13918246" w:rsidR="00A21CE1" w:rsidRDefault="00A21CE1" w:rsidP="00A21CE1">
            <w:pPr>
              <w:pStyle w:val="Tabletext0"/>
            </w:pPr>
            <w:r>
              <w:t>30</w:t>
            </w:r>
          </w:p>
        </w:tc>
      </w:tr>
      <w:tr w:rsidR="00A21CE1" w:rsidRPr="00796D44" w14:paraId="41BF8C1C" w14:textId="4E42C1C8" w:rsidTr="00A21CE1">
        <w:tc>
          <w:tcPr>
            <w:tcW w:w="825" w:type="pct"/>
          </w:tcPr>
          <w:p w14:paraId="5F9255D1" w14:textId="77777777" w:rsidR="00A21CE1" w:rsidRPr="006F53B4" w:rsidRDefault="00A21CE1" w:rsidP="00A21CE1">
            <w:pPr>
              <w:pStyle w:val="Tabletext0"/>
              <w:rPr>
                <w:i/>
              </w:rPr>
            </w:pPr>
            <w:r w:rsidRPr="006F53B4">
              <w:rPr>
                <w:i/>
              </w:rPr>
              <w:t>ROS1</w:t>
            </w:r>
          </w:p>
        </w:tc>
        <w:tc>
          <w:tcPr>
            <w:tcW w:w="712" w:type="pct"/>
          </w:tcPr>
          <w:p w14:paraId="0BF30EB7" w14:textId="77777777" w:rsidR="00A21CE1" w:rsidRDefault="00A21CE1" w:rsidP="00A21CE1">
            <w:pPr>
              <w:pStyle w:val="Tabletext0"/>
            </w:pPr>
            <w:r>
              <w:t>n=830</w:t>
            </w:r>
          </w:p>
          <w:p w14:paraId="06884984" w14:textId="77777777" w:rsidR="00A21CE1" w:rsidRPr="00796D44" w:rsidRDefault="00A21CE1" w:rsidP="00A21CE1">
            <w:pPr>
              <w:pStyle w:val="Tabletext0"/>
            </w:pPr>
            <w:r>
              <w:t>k=6</w:t>
            </w:r>
          </w:p>
        </w:tc>
        <w:tc>
          <w:tcPr>
            <w:tcW w:w="662" w:type="pct"/>
          </w:tcPr>
          <w:p w14:paraId="357907EC" w14:textId="77777777" w:rsidR="00A21CE1" w:rsidRPr="00796D44" w:rsidRDefault="00A21CE1" w:rsidP="00A21CE1">
            <w:pPr>
              <w:pStyle w:val="Tabletext0"/>
            </w:pPr>
            <w:r>
              <w:t>0.86 (0.63, 0.96)</w:t>
            </w:r>
          </w:p>
        </w:tc>
        <w:tc>
          <w:tcPr>
            <w:tcW w:w="639" w:type="pct"/>
          </w:tcPr>
          <w:p w14:paraId="7F31C0B2" w14:textId="77777777" w:rsidR="00A21CE1" w:rsidRPr="00796D44" w:rsidRDefault="00A21CE1" w:rsidP="00A21CE1">
            <w:pPr>
              <w:pStyle w:val="Tabletext0"/>
            </w:pPr>
            <w:r>
              <w:t>1.00 (0.99, 1.00)</w:t>
            </w:r>
          </w:p>
        </w:tc>
        <w:tc>
          <w:tcPr>
            <w:tcW w:w="601" w:type="pct"/>
          </w:tcPr>
          <w:p w14:paraId="32BA764F" w14:textId="77777777" w:rsidR="00A21CE1" w:rsidRPr="00B26AFD" w:rsidRDefault="00A21CE1" w:rsidP="00A21CE1">
            <w:pPr>
              <w:pStyle w:val="Tabletext0"/>
              <w:rPr>
                <w:vertAlign w:val="superscript"/>
              </w:rPr>
            </w:pPr>
            <w:r>
              <w:t>1.61%</w:t>
            </w:r>
            <w:r>
              <w:rPr>
                <w:vertAlign w:val="superscript"/>
              </w:rPr>
              <w:t>c</w:t>
            </w:r>
          </w:p>
        </w:tc>
        <w:tc>
          <w:tcPr>
            <w:tcW w:w="783" w:type="pct"/>
          </w:tcPr>
          <w:p w14:paraId="470149C9" w14:textId="3970B4B2" w:rsidR="00A21CE1" w:rsidRDefault="00A21CE1" w:rsidP="00A21CE1">
            <w:pPr>
              <w:pStyle w:val="Tabletext0"/>
            </w:pPr>
            <w:r>
              <w:t>14</w:t>
            </w:r>
          </w:p>
        </w:tc>
        <w:tc>
          <w:tcPr>
            <w:tcW w:w="778" w:type="pct"/>
          </w:tcPr>
          <w:p w14:paraId="7210E5C0" w14:textId="48ADDC98" w:rsidR="00A21CE1" w:rsidRDefault="00A21CE1" w:rsidP="00A21CE1">
            <w:pPr>
              <w:pStyle w:val="Tabletext0"/>
            </w:pPr>
            <w:r>
              <w:t>16</w:t>
            </w:r>
          </w:p>
        </w:tc>
      </w:tr>
      <w:tr w:rsidR="00A21CE1" w:rsidRPr="00796D44" w14:paraId="20E71028" w14:textId="0D4AFDA0" w:rsidTr="00A21CE1">
        <w:tc>
          <w:tcPr>
            <w:tcW w:w="825" w:type="pct"/>
          </w:tcPr>
          <w:p w14:paraId="6C6EE04A" w14:textId="77777777" w:rsidR="00A21CE1" w:rsidRPr="006F53B4" w:rsidRDefault="00A21CE1" w:rsidP="00A21CE1">
            <w:pPr>
              <w:pStyle w:val="Tabletext0"/>
              <w:rPr>
                <w:i/>
              </w:rPr>
            </w:pPr>
            <w:r w:rsidRPr="006F53B4">
              <w:rPr>
                <w:i/>
              </w:rPr>
              <w:t>MET</w:t>
            </w:r>
            <w:r w:rsidRPr="006F53B4">
              <w:t>ex14s</w:t>
            </w:r>
            <w:r w:rsidRPr="006F53B4">
              <w:rPr>
                <w:i/>
              </w:rPr>
              <w:t>k</w:t>
            </w:r>
          </w:p>
        </w:tc>
        <w:tc>
          <w:tcPr>
            <w:tcW w:w="712" w:type="pct"/>
          </w:tcPr>
          <w:p w14:paraId="749F7A14" w14:textId="77777777" w:rsidR="00A21CE1" w:rsidRDefault="00A21CE1" w:rsidP="00A21CE1">
            <w:pPr>
              <w:pStyle w:val="Tabletext0"/>
            </w:pPr>
            <w:r>
              <w:t>n=99</w:t>
            </w:r>
          </w:p>
          <w:p w14:paraId="251B5391" w14:textId="77777777" w:rsidR="00A21CE1" w:rsidRPr="00796D44" w:rsidRDefault="00A21CE1" w:rsidP="00A21CE1">
            <w:pPr>
              <w:pStyle w:val="Tabletext0"/>
            </w:pPr>
            <w:r>
              <w:t>k=1</w:t>
            </w:r>
          </w:p>
        </w:tc>
        <w:tc>
          <w:tcPr>
            <w:tcW w:w="662" w:type="pct"/>
          </w:tcPr>
          <w:p w14:paraId="2461B6B9" w14:textId="77777777" w:rsidR="00A21CE1" w:rsidRPr="00796D44" w:rsidRDefault="00A21CE1" w:rsidP="00A21CE1">
            <w:pPr>
              <w:pStyle w:val="Tabletext0"/>
            </w:pPr>
            <w:r>
              <w:t>0.98 (0.89, 1.00)</w:t>
            </w:r>
          </w:p>
        </w:tc>
        <w:tc>
          <w:tcPr>
            <w:tcW w:w="639" w:type="pct"/>
          </w:tcPr>
          <w:p w14:paraId="53AB90E7" w14:textId="77777777" w:rsidR="00A21CE1" w:rsidRPr="00796D44" w:rsidRDefault="00A21CE1" w:rsidP="00A21CE1">
            <w:pPr>
              <w:pStyle w:val="Tabletext0"/>
            </w:pPr>
            <w:r>
              <w:t>1.00 (0.93, 1.00)</w:t>
            </w:r>
          </w:p>
        </w:tc>
        <w:tc>
          <w:tcPr>
            <w:tcW w:w="601" w:type="pct"/>
          </w:tcPr>
          <w:p w14:paraId="77E2C282" w14:textId="77777777" w:rsidR="00A21CE1" w:rsidRPr="00B26AFD" w:rsidRDefault="00A21CE1" w:rsidP="00A21CE1">
            <w:pPr>
              <w:pStyle w:val="Tabletext0"/>
              <w:rPr>
                <w:vertAlign w:val="superscript"/>
              </w:rPr>
            </w:pPr>
            <w:r>
              <w:t>3.6%</w:t>
            </w:r>
            <w:r>
              <w:rPr>
                <w:vertAlign w:val="superscript"/>
              </w:rPr>
              <w:t>d</w:t>
            </w:r>
          </w:p>
        </w:tc>
        <w:tc>
          <w:tcPr>
            <w:tcW w:w="783" w:type="pct"/>
          </w:tcPr>
          <w:p w14:paraId="038CDD97" w14:textId="70AB617A" w:rsidR="00A21CE1" w:rsidRDefault="00A21CE1" w:rsidP="00A21CE1">
            <w:pPr>
              <w:pStyle w:val="Tabletext0"/>
            </w:pPr>
            <w:r>
              <w:t>35</w:t>
            </w:r>
          </w:p>
        </w:tc>
        <w:tc>
          <w:tcPr>
            <w:tcW w:w="778" w:type="pct"/>
          </w:tcPr>
          <w:p w14:paraId="10F094CE" w14:textId="6B4CC040" w:rsidR="00A21CE1" w:rsidRDefault="00A21CE1" w:rsidP="00A21CE1">
            <w:pPr>
              <w:pStyle w:val="Tabletext0"/>
            </w:pPr>
            <w:r>
              <w:t>36</w:t>
            </w:r>
          </w:p>
        </w:tc>
      </w:tr>
      <w:tr w:rsidR="00A21CE1" w:rsidRPr="00796D44" w14:paraId="550D1A03" w14:textId="788966B8" w:rsidTr="00A21CE1">
        <w:tc>
          <w:tcPr>
            <w:tcW w:w="825" w:type="pct"/>
          </w:tcPr>
          <w:p w14:paraId="5B639F61" w14:textId="77777777" w:rsidR="00A21CE1" w:rsidRDefault="00A21CE1" w:rsidP="00A21CE1">
            <w:pPr>
              <w:pStyle w:val="Tabletext0"/>
            </w:pPr>
            <w:r>
              <w:t xml:space="preserve">Total </w:t>
            </w:r>
          </w:p>
        </w:tc>
        <w:tc>
          <w:tcPr>
            <w:tcW w:w="712" w:type="pct"/>
          </w:tcPr>
          <w:p w14:paraId="17E625B5" w14:textId="77777777" w:rsidR="00A21CE1" w:rsidRDefault="00A21CE1" w:rsidP="00A21CE1">
            <w:pPr>
              <w:pStyle w:val="Tabletext0"/>
            </w:pPr>
          </w:p>
        </w:tc>
        <w:tc>
          <w:tcPr>
            <w:tcW w:w="662" w:type="pct"/>
          </w:tcPr>
          <w:p w14:paraId="73413F95" w14:textId="77777777" w:rsidR="00A21CE1" w:rsidRDefault="00A21CE1" w:rsidP="00A21CE1">
            <w:pPr>
              <w:pStyle w:val="Tabletext0"/>
            </w:pPr>
          </w:p>
        </w:tc>
        <w:tc>
          <w:tcPr>
            <w:tcW w:w="639" w:type="pct"/>
          </w:tcPr>
          <w:p w14:paraId="29312520" w14:textId="77777777" w:rsidR="00A21CE1" w:rsidRDefault="00A21CE1" w:rsidP="00A21CE1">
            <w:pPr>
              <w:pStyle w:val="Tabletext0"/>
            </w:pPr>
          </w:p>
        </w:tc>
        <w:tc>
          <w:tcPr>
            <w:tcW w:w="601" w:type="pct"/>
          </w:tcPr>
          <w:p w14:paraId="5D6A08FA" w14:textId="77777777" w:rsidR="00A21CE1" w:rsidRDefault="00A21CE1" w:rsidP="00A21CE1">
            <w:pPr>
              <w:pStyle w:val="Tabletext0"/>
            </w:pPr>
          </w:p>
        </w:tc>
        <w:tc>
          <w:tcPr>
            <w:tcW w:w="783" w:type="pct"/>
          </w:tcPr>
          <w:p w14:paraId="61D8EFA9" w14:textId="36F9AC6B" w:rsidR="00A21CE1" w:rsidRDefault="00A21CE1" w:rsidP="00A21CE1">
            <w:pPr>
              <w:pStyle w:val="Tabletext0"/>
            </w:pPr>
            <w:r>
              <w:t>259 (25.9%)</w:t>
            </w:r>
          </w:p>
        </w:tc>
        <w:tc>
          <w:tcPr>
            <w:tcW w:w="778" w:type="pct"/>
          </w:tcPr>
          <w:p w14:paraId="4A369069" w14:textId="2EDF772B" w:rsidR="00A21CE1" w:rsidRDefault="00A21CE1" w:rsidP="00A21CE1">
            <w:pPr>
              <w:pStyle w:val="Tabletext0"/>
            </w:pPr>
            <w:r>
              <w:t>232 (23.2%)</w:t>
            </w:r>
          </w:p>
        </w:tc>
      </w:tr>
    </w:tbl>
    <w:p w14:paraId="20758CB6" w14:textId="77777777" w:rsidR="00A21CE1" w:rsidRPr="00B26AFD" w:rsidRDefault="00A21CE1" w:rsidP="00A21CE1">
      <w:pPr>
        <w:pStyle w:val="TableFooter"/>
      </w:pPr>
      <w:r w:rsidRPr="00B26AFD">
        <w:rPr>
          <w:vertAlign w:val="superscript"/>
        </w:rPr>
        <w:t>a</w:t>
      </w:r>
      <w:r w:rsidRPr="00B26AFD">
        <w:t>Based on p18 MSAC 1161 PSD, November 2012</w:t>
      </w:r>
    </w:p>
    <w:p w14:paraId="58A3DAB0" w14:textId="77777777" w:rsidR="00A21CE1" w:rsidRPr="00B26AFD" w:rsidRDefault="00A21CE1" w:rsidP="00A21CE1">
      <w:pPr>
        <w:pStyle w:val="TableFooter"/>
      </w:pPr>
      <w:r w:rsidRPr="00B26AFD">
        <w:rPr>
          <w:vertAlign w:val="superscript"/>
        </w:rPr>
        <w:t>b</w:t>
      </w:r>
      <w:r w:rsidRPr="00B26AFD">
        <w:t>Based on p5 MSAC 1250.1 PSD, November 2014</w:t>
      </w:r>
    </w:p>
    <w:p w14:paraId="21097119" w14:textId="77777777" w:rsidR="00A21CE1" w:rsidRPr="00B26AFD" w:rsidRDefault="00A21CE1" w:rsidP="00A21CE1">
      <w:pPr>
        <w:pStyle w:val="TableFooter"/>
      </w:pPr>
      <w:r w:rsidRPr="00B26AFD">
        <w:rPr>
          <w:vertAlign w:val="superscript"/>
        </w:rPr>
        <w:t>c</w:t>
      </w:r>
      <w:r w:rsidRPr="00B26AFD">
        <w:t>Based on p12 MSAC 1254 PSD, July 2018</w:t>
      </w:r>
    </w:p>
    <w:p w14:paraId="024499C9" w14:textId="77777777" w:rsidR="00A21CE1" w:rsidRPr="00B26AFD" w:rsidRDefault="00A21CE1" w:rsidP="00A21CE1">
      <w:pPr>
        <w:pStyle w:val="TableFooter"/>
      </w:pPr>
      <w:r w:rsidRPr="00B26AFD">
        <w:rPr>
          <w:vertAlign w:val="superscript"/>
        </w:rPr>
        <w:t>d</w:t>
      </w:r>
      <w:r w:rsidRPr="00B26AFD">
        <w:t>Based on Table 11, p27 Tepotinib PBAC PSD, November 2021</w:t>
      </w:r>
    </w:p>
    <w:p w14:paraId="2E527446" w14:textId="1AFEC8D7" w:rsidR="008659B1" w:rsidRDefault="00EF5DC7" w:rsidP="00060959">
      <w:pPr>
        <w:pStyle w:val="TableFooter"/>
      </w:pPr>
      <w:r w:rsidRPr="007C7AB1">
        <w:rPr>
          <w:i/>
        </w:rPr>
        <w:t>ALK</w:t>
      </w:r>
      <w:r>
        <w:t xml:space="preserve"> = </w:t>
      </w:r>
      <w:r w:rsidRPr="00561C5F">
        <w:t>anaplastic lymphoma kinase</w:t>
      </w:r>
      <w:r>
        <w:t xml:space="preserve">; </w:t>
      </w:r>
      <w:r w:rsidRPr="007C7AB1">
        <w:rPr>
          <w:i/>
        </w:rPr>
        <w:t>EGFR</w:t>
      </w:r>
      <w:r>
        <w:t xml:space="preserve"> = epidermal growth factor receptor; </w:t>
      </w:r>
      <w:r w:rsidRPr="00CE4DC5">
        <w:rPr>
          <w:i/>
        </w:rPr>
        <w:t>MET</w:t>
      </w:r>
      <w:r w:rsidRPr="00CE4DC5">
        <w:t xml:space="preserve"> =</w:t>
      </w:r>
      <w:r>
        <w:t xml:space="preserve"> </w:t>
      </w:r>
      <w:r w:rsidRPr="008F67AF">
        <w:rPr>
          <w:szCs w:val="18"/>
        </w:rPr>
        <w:t>mesenchymal-epithelial transition</w:t>
      </w:r>
      <w:r>
        <w:rPr>
          <w:szCs w:val="18"/>
        </w:rPr>
        <w:t xml:space="preserve">; </w:t>
      </w:r>
      <w:r w:rsidR="00A21CE1">
        <w:t>NGS = next generation sequencing; NPA = negative percent agreement; PPA = positive percent agre</w:t>
      </w:r>
      <w:r w:rsidR="00060959">
        <w:t xml:space="preserve">ement; </w:t>
      </w:r>
      <w:r w:rsidRPr="00380685">
        <w:rPr>
          <w:i/>
        </w:rPr>
        <w:t>ROS1</w:t>
      </w:r>
      <w:r>
        <w:t xml:space="preserve"> = ROS proto-oncogene 1; </w:t>
      </w:r>
      <w:r w:rsidR="00060959">
        <w:t>SG = single-gene testing</w:t>
      </w:r>
    </w:p>
    <w:p w14:paraId="31845CA4" w14:textId="23BA60F9" w:rsidR="00F73195" w:rsidRDefault="00400982" w:rsidP="00F73195">
      <w:pPr>
        <w:pStyle w:val="Heading4"/>
      </w:pPr>
      <w:r>
        <w:lastRenderedPageBreak/>
        <w:t>Proportion of samples with</w:t>
      </w:r>
      <w:r w:rsidR="00F73195">
        <w:t xml:space="preserve"> concurrent variants detected</w:t>
      </w:r>
    </w:p>
    <w:p w14:paraId="695D4DC2" w14:textId="0925A817" w:rsidR="00F73195" w:rsidRPr="00F73195" w:rsidRDefault="00F73195" w:rsidP="00F73195">
      <w:r>
        <w:t xml:space="preserve">One of the claims made in the application was that an advantage of NGS is the ability to detect concurrent variants. </w:t>
      </w:r>
      <w:r w:rsidR="004009CF">
        <w:t xml:space="preserve">Nine cohort studies were identified that reported on the </w:t>
      </w:r>
      <w:r w:rsidR="00400982">
        <w:t>proportion of samples with</w:t>
      </w:r>
      <w:r w:rsidR="004009CF">
        <w:t xml:space="preserve"> concurrent variants detected by NGS panels. However, the clinical implications of the identification of concurrent variants </w:t>
      </w:r>
      <w:r w:rsidR="008D652E">
        <w:t>are</w:t>
      </w:r>
      <w:r w:rsidR="004009CF">
        <w:t xml:space="preserve"> unclear. These data are shown in </w:t>
      </w:r>
      <w:r w:rsidR="004009CF">
        <w:fldChar w:fldCharType="begin"/>
      </w:r>
      <w:r w:rsidR="004009CF">
        <w:instrText xml:space="preserve"> REF _Ref106359877 \h </w:instrText>
      </w:r>
      <w:r w:rsidR="004009CF">
        <w:fldChar w:fldCharType="separate"/>
      </w:r>
      <w:r w:rsidR="00C857F3">
        <w:t xml:space="preserve">Appendix </w:t>
      </w:r>
      <w:r w:rsidR="00C857F3">
        <w:rPr>
          <w:noProof/>
        </w:rPr>
        <w:t>D</w:t>
      </w:r>
      <w:r w:rsidR="004009CF">
        <w:fldChar w:fldCharType="end"/>
      </w:r>
      <w:r w:rsidR="004009CF">
        <w:t>.</w:t>
      </w:r>
    </w:p>
    <w:p w14:paraId="09229E15" w14:textId="77777777" w:rsidR="00DE0108" w:rsidRDefault="00DE0108" w:rsidP="00DE0108">
      <w:pPr>
        <w:pStyle w:val="Heading4"/>
      </w:pPr>
      <w:r>
        <w:t>Turnaround time</w:t>
      </w:r>
    </w:p>
    <w:p w14:paraId="10174C38" w14:textId="227A83E6" w:rsidR="00DE0108" w:rsidRDefault="00405F7F" w:rsidP="00DE0108">
      <w:r>
        <w:t>Three</w:t>
      </w:r>
      <w:r w:rsidR="00DE0108">
        <w:t xml:space="preserve"> studies compared the turnaround time for NGS versus a sequential single-gene testing strategy in patients with NSCLC (</w:t>
      </w:r>
      <w:r w:rsidR="00DE0108">
        <w:fldChar w:fldCharType="begin"/>
      </w:r>
      <w:r w:rsidR="00DE0108">
        <w:instrText xml:space="preserve"> REF _Ref106878042 \h </w:instrText>
      </w:r>
      <w:r w:rsidR="00DE0108">
        <w:fldChar w:fldCharType="separate"/>
      </w:r>
      <w:r w:rsidR="00C857F3">
        <w:t xml:space="preserve">Table </w:t>
      </w:r>
      <w:r w:rsidR="00C857F3">
        <w:rPr>
          <w:noProof/>
        </w:rPr>
        <w:t>33</w:t>
      </w:r>
      <w:r w:rsidR="00DE0108">
        <w:fldChar w:fldCharType="end"/>
      </w:r>
      <w:r w:rsidR="00DE0108">
        <w:t xml:space="preserve">), with </w:t>
      </w:r>
      <w:r>
        <w:t xml:space="preserve">eight </w:t>
      </w:r>
      <w:r w:rsidR="00DE0108">
        <w:t>studies reporting mean or median turnaround time for individual types of testing (</w:t>
      </w:r>
      <w:r w:rsidR="00DE0108">
        <w:fldChar w:fldCharType="begin"/>
      </w:r>
      <w:r w:rsidR="00DE0108">
        <w:instrText xml:space="preserve"> REF _Ref106878148 \h </w:instrText>
      </w:r>
      <w:r w:rsidR="00DE0108">
        <w:fldChar w:fldCharType="separate"/>
      </w:r>
      <w:r w:rsidR="00C857F3">
        <w:t xml:space="preserve">Table </w:t>
      </w:r>
      <w:r w:rsidR="00C857F3">
        <w:rPr>
          <w:noProof/>
        </w:rPr>
        <w:t>87</w:t>
      </w:r>
      <w:r w:rsidR="00DE0108">
        <w:fldChar w:fldCharType="end"/>
      </w:r>
      <w:r w:rsidR="00DE0108">
        <w:t>). Although NGS took more time than individual single-gene tests</w:t>
      </w:r>
      <w:r w:rsidR="006D1822">
        <w:t xml:space="preserve"> (see </w:t>
      </w:r>
      <w:r w:rsidR="006D1822">
        <w:fldChar w:fldCharType="begin"/>
      </w:r>
      <w:r w:rsidR="006D1822">
        <w:instrText xml:space="preserve"> REF _Ref106359877 \h </w:instrText>
      </w:r>
      <w:r w:rsidR="006D1822">
        <w:fldChar w:fldCharType="separate"/>
      </w:r>
      <w:r w:rsidR="00C857F3">
        <w:t xml:space="preserve">Appendix </w:t>
      </w:r>
      <w:r w:rsidR="00C857F3">
        <w:rPr>
          <w:noProof/>
        </w:rPr>
        <w:t>D</w:t>
      </w:r>
      <w:r w:rsidR="006D1822">
        <w:fldChar w:fldCharType="end"/>
      </w:r>
      <w:r w:rsidR="006D1822">
        <w:t>)</w:t>
      </w:r>
      <w:r w:rsidR="00DE0108">
        <w:t xml:space="preserve">, when the entire strategy was taken into account (i.e. on a per person analysis rather than per gene), NGS was </w:t>
      </w:r>
      <w:r>
        <w:t xml:space="preserve">as fast or marginally </w:t>
      </w:r>
      <w:r w:rsidR="00DE0108">
        <w:t>faster at providing test results. Dall-Olio et al. (2020) used the Oncomine Focus Assay which analyses both DNA and RNA at the same time</w:t>
      </w:r>
      <w:r w:rsidR="0099155A">
        <w:t xml:space="preserve"> </w:t>
      </w:r>
      <w:r w:rsidR="00B4668F">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rsidR="00B4668F">
        <w:instrText xml:space="preserve"> ADDIN EN.CITE </w:instrText>
      </w:r>
      <w:r w:rsidR="00B4668F">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rsidR="00B4668F">
        <w:instrText xml:space="preserve"> ADDIN EN.CITE.DATA </w:instrText>
      </w:r>
      <w:r w:rsidR="00B4668F">
        <w:fldChar w:fldCharType="end"/>
      </w:r>
      <w:r w:rsidR="00B4668F">
        <w:fldChar w:fldCharType="separate"/>
      </w:r>
      <w:r w:rsidR="00B4668F">
        <w:rPr>
          <w:noProof/>
        </w:rPr>
        <w:t>(Dall'Olio et al. 2020)</w:t>
      </w:r>
      <w:r w:rsidR="00B4668F">
        <w:fldChar w:fldCharType="end"/>
      </w:r>
      <w:r w:rsidR="00DE0108">
        <w:t>. Conversely, the panel used by Li et al. (2021)</w:t>
      </w:r>
      <w:r w:rsidR="00D22B2D">
        <w:t xml:space="preserve"> </w:t>
      </w:r>
      <w:r w:rsidR="00B4668F">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EN.CITE.DATA </w:instrText>
      </w:r>
      <w:r w:rsidR="006D4612">
        <w:fldChar w:fldCharType="end"/>
      </w:r>
      <w:r w:rsidR="00B4668F">
        <w:fldChar w:fldCharType="separate"/>
      </w:r>
      <w:r w:rsidR="006D4612">
        <w:rPr>
          <w:noProof/>
        </w:rPr>
        <w:t>(Li, W, Li, Y, et al. 2021)</w:t>
      </w:r>
      <w:r w:rsidR="00B4668F">
        <w:fldChar w:fldCharType="end"/>
      </w:r>
      <w:r w:rsidR="00DE0108">
        <w:t xml:space="preserve"> appears to have only used DNA, so is less relevant to the proposed panel(s) for use in Australia</w:t>
      </w:r>
      <w:r>
        <w:t xml:space="preserve">, </w:t>
      </w:r>
      <w:r w:rsidR="00071955">
        <w:t>while</w:t>
      </w:r>
      <w:r>
        <w:t xml:space="preserve"> Steeghs et al. (2022) did not provide details of whether the RNA testing was incorporated into the same panel as the DNA </w:t>
      </w:r>
      <w:r w:rsidR="003F4657">
        <w:t>testing or</w:t>
      </w:r>
      <w:r>
        <w:t xml:space="preserve"> </w:t>
      </w:r>
      <w:r w:rsidR="00071955">
        <w:t xml:space="preserve">tested </w:t>
      </w:r>
      <w:r w:rsidR="006640AF">
        <w:t xml:space="preserve">separately </w: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 </w:instrText>
      </w:r>
      <w:r w:rsidR="00B4668F">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rsidR="00B4668F">
        <w:instrText xml:space="preserve"> ADDIN EN.CITE.DATA </w:instrText>
      </w:r>
      <w:r w:rsidR="00B4668F">
        <w:fldChar w:fldCharType="end"/>
      </w:r>
      <w:r w:rsidR="00B4668F">
        <w:fldChar w:fldCharType="separate"/>
      </w:r>
      <w:r w:rsidR="00B4668F">
        <w:rPr>
          <w:noProof/>
        </w:rPr>
        <w:t>(Steeghs et al. 2022)</w:t>
      </w:r>
      <w:r w:rsidR="00B4668F">
        <w:fldChar w:fldCharType="end"/>
      </w:r>
      <w:r>
        <w:t>.</w:t>
      </w:r>
      <w:r w:rsidR="00DE0108">
        <w:t xml:space="preserve"> </w:t>
      </w:r>
    </w:p>
    <w:p w14:paraId="68D3C9D9" w14:textId="3FB942B9" w:rsidR="00DE0108" w:rsidRPr="001D1E8C" w:rsidRDefault="00DE0108" w:rsidP="00DE0108">
      <w:r>
        <w:t>N</w:t>
      </w:r>
      <w:r w:rsidR="00071955">
        <w:t>one of the studies explicitly</w:t>
      </w:r>
      <w:r>
        <w:t xml:space="preserve"> reflected the scenario of a small DNA NGS panel followed by reflex testing of a small RNA NGS panel if the DNA panel was negative. It is expected that a combined DNA/RNA panel would have a longer turnaround time than a DNA-only panel, but a shorter turnaround time tha</w:t>
      </w:r>
      <w:r w:rsidR="00917086">
        <w:t>n</w:t>
      </w:r>
      <w:r>
        <w:t xml:space="preserve"> a DNA panel, followed by an RNA panel if no pathogenic variants are identified on the DNA panel. It is therefore uncertain what the difference in turnaround time is likely to be in Australia, with the expected mix of DNA/RNA or DNA ± RNA panels. </w:t>
      </w:r>
      <w:r w:rsidR="002D37B6">
        <w:t xml:space="preserve">The certainty of the evidence is rated as very low (GRADE </w:t>
      </w:r>
      <w:r w:rsidR="002D37B6" w:rsidRPr="002D37B6">
        <w:rPr>
          <w:rFonts w:ascii="Cambria Math" w:hAnsi="Cambria Math" w:cs="Cambria Math"/>
          <w:color w:val="00B050"/>
        </w:rPr>
        <w:t>⊕</w:t>
      </w:r>
      <w:r w:rsidR="002D37B6" w:rsidRPr="002D37B6">
        <w:rPr>
          <w:rFonts w:ascii="Cambria Math" w:hAnsi="Cambria Math" w:cs="Cambria Math"/>
          <w:color w:val="C00000"/>
        </w:rPr>
        <w:t>⊝⊝⊝</w:t>
      </w:r>
      <w:r w:rsidR="002D37B6">
        <w:t>).</w:t>
      </w:r>
    </w:p>
    <w:p w14:paraId="1FF36AF1" w14:textId="6B854B31" w:rsidR="00DE0108" w:rsidRDefault="00DE0108" w:rsidP="00DE0108">
      <w:pPr>
        <w:pStyle w:val="Caption"/>
      </w:pPr>
      <w:bookmarkStart w:id="111" w:name="_Ref106878042"/>
      <w:r>
        <w:t xml:space="preserve">Table </w:t>
      </w:r>
      <w:fldSimple w:instr=" SEQ Table \* ARABIC ">
        <w:r w:rsidR="00C857F3">
          <w:rPr>
            <w:noProof/>
          </w:rPr>
          <w:t>33</w:t>
        </w:r>
      </w:fldSimple>
      <w:bookmarkEnd w:id="111"/>
      <w:r>
        <w:t xml:space="preserve"> Turnaround time for NGS vs sequential single-gene testing strategy </w:t>
      </w:r>
    </w:p>
    <w:tbl>
      <w:tblPr>
        <w:tblStyle w:val="TableGrid"/>
        <w:tblW w:w="5000" w:type="pct"/>
        <w:tblLook w:val="04A0" w:firstRow="1" w:lastRow="0" w:firstColumn="1" w:lastColumn="0" w:noHBand="0" w:noVBand="1"/>
        <w:tblCaption w:val="Turnaround time for NGS vs sequential single-gene testing strategy "/>
        <w:tblDescription w:val="Turnaround time for NGS vs sequential single-gene testing strategy "/>
      </w:tblPr>
      <w:tblGrid>
        <w:gridCol w:w="1018"/>
        <w:gridCol w:w="1538"/>
        <w:gridCol w:w="1351"/>
        <w:gridCol w:w="1655"/>
        <w:gridCol w:w="1297"/>
        <w:gridCol w:w="1138"/>
        <w:gridCol w:w="1019"/>
      </w:tblGrid>
      <w:tr w:rsidR="00DE0108" w:rsidRPr="00606456" w14:paraId="1834A5FD" w14:textId="77777777" w:rsidTr="003A6029">
        <w:trPr>
          <w:trHeight w:val="818"/>
          <w:tblHeader/>
        </w:trPr>
        <w:tc>
          <w:tcPr>
            <w:tcW w:w="565" w:type="pct"/>
          </w:tcPr>
          <w:p w14:paraId="585A629C" w14:textId="77777777" w:rsidR="00DE0108" w:rsidRPr="00606456" w:rsidRDefault="00DE0108" w:rsidP="001331B5">
            <w:pPr>
              <w:pStyle w:val="TableHeading"/>
            </w:pPr>
            <w:r>
              <w:t>Study</w:t>
            </w:r>
          </w:p>
        </w:tc>
        <w:tc>
          <w:tcPr>
            <w:tcW w:w="853" w:type="pct"/>
          </w:tcPr>
          <w:p w14:paraId="1E85EA51" w14:textId="77777777" w:rsidR="00DE0108" w:rsidRDefault="00DE0108" w:rsidP="001331B5">
            <w:pPr>
              <w:pStyle w:val="TableHeading"/>
            </w:pPr>
            <w:r>
              <w:t>Population</w:t>
            </w:r>
          </w:p>
        </w:tc>
        <w:tc>
          <w:tcPr>
            <w:tcW w:w="749" w:type="pct"/>
          </w:tcPr>
          <w:p w14:paraId="127AF1A2" w14:textId="77777777" w:rsidR="00DE0108" w:rsidRPr="00606456" w:rsidRDefault="00DE0108" w:rsidP="001331B5">
            <w:pPr>
              <w:pStyle w:val="TableHeading"/>
            </w:pPr>
            <w:r>
              <w:t>Intervention (NGS)</w:t>
            </w:r>
          </w:p>
        </w:tc>
        <w:tc>
          <w:tcPr>
            <w:tcW w:w="918" w:type="pct"/>
          </w:tcPr>
          <w:p w14:paraId="11947CEA" w14:textId="77777777" w:rsidR="00DE0108" w:rsidRPr="00606456" w:rsidRDefault="00DE0108" w:rsidP="001331B5">
            <w:pPr>
              <w:pStyle w:val="TableHeading"/>
            </w:pPr>
            <w:r>
              <w:t>Comparator (SG)</w:t>
            </w:r>
          </w:p>
        </w:tc>
        <w:tc>
          <w:tcPr>
            <w:tcW w:w="719" w:type="pct"/>
          </w:tcPr>
          <w:p w14:paraId="0888E52B" w14:textId="77777777" w:rsidR="00DE0108" w:rsidRPr="00606456" w:rsidRDefault="00DE0108" w:rsidP="001331B5">
            <w:pPr>
              <w:pStyle w:val="TableHeading"/>
            </w:pPr>
            <w:r>
              <w:t>Turnaround time for NGS</w:t>
            </w:r>
          </w:p>
        </w:tc>
        <w:tc>
          <w:tcPr>
            <w:tcW w:w="631" w:type="pct"/>
          </w:tcPr>
          <w:p w14:paraId="06CC5307" w14:textId="77777777" w:rsidR="00DE0108" w:rsidRPr="00606456" w:rsidRDefault="00DE0108" w:rsidP="001331B5">
            <w:pPr>
              <w:pStyle w:val="TableHeading"/>
            </w:pPr>
            <w:r>
              <w:t>Turnaround time for comparator</w:t>
            </w:r>
          </w:p>
        </w:tc>
        <w:tc>
          <w:tcPr>
            <w:tcW w:w="565" w:type="pct"/>
          </w:tcPr>
          <w:p w14:paraId="6799F40E" w14:textId="77777777" w:rsidR="00DE0108" w:rsidRPr="00606456" w:rsidRDefault="00DE0108" w:rsidP="001331B5">
            <w:pPr>
              <w:pStyle w:val="TableHeading"/>
            </w:pPr>
            <w:r>
              <w:t xml:space="preserve">Difference </w:t>
            </w:r>
          </w:p>
        </w:tc>
      </w:tr>
      <w:tr w:rsidR="00DE0108" w:rsidRPr="00606456" w14:paraId="5CB83C69" w14:textId="77777777" w:rsidTr="00EF5DC7">
        <w:trPr>
          <w:trHeight w:val="243"/>
        </w:trPr>
        <w:tc>
          <w:tcPr>
            <w:tcW w:w="565" w:type="pct"/>
          </w:tcPr>
          <w:p w14:paraId="36D099C7" w14:textId="642C6D57" w:rsidR="00DE0108" w:rsidRPr="00105FA9" w:rsidRDefault="00B4668F" w:rsidP="00B4668F">
            <w:pPr>
              <w:pStyle w:val="TableText"/>
            </w:pP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 </w:instrText>
            </w: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EN.CITE.DATA </w:instrText>
            </w:r>
            <w:r>
              <w:fldChar w:fldCharType="end"/>
            </w:r>
            <w:r>
              <w:fldChar w:fldCharType="separate"/>
            </w:r>
            <w:r>
              <w:rPr>
                <w:noProof/>
              </w:rPr>
              <w:t>(Dall'Olio et al. 2020)</w:t>
            </w:r>
            <w:r>
              <w:fldChar w:fldCharType="end"/>
            </w:r>
          </w:p>
        </w:tc>
        <w:tc>
          <w:tcPr>
            <w:tcW w:w="853" w:type="pct"/>
          </w:tcPr>
          <w:p w14:paraId="13F2879A" w14:textId="77777777" w:rsidR="001331B5" w:rsidRDefault="001331B5" w:rsidP="001331B5">
            <w:pPr>
              <w:spacing w:before="0" w:after="120"/>
            </w:pPr>
            <w:r w:rsidRPr="7579F35B">
              <w:rPr>
                <w:rFonts w:ascii="Arial Narrow" w:eastAsia="Arial Narrow" w:hAnsi="Arial Narrow" w:cs="Arial Narrow"/>
                <w:sz w:val="20"/>
                <w:szCs w:val="20"/>
              </w:rPr>
              <w:t xml:space="preserve">N=537 </w:t>
            </w:r>
          </w:p>
          <w:p w14:paraId="5A48CA07" w14:textId="77777777" w:rsidR="001331B5" w:rsidRDefault="001331B5" w:rsidP="001331B5">
            <w:pPr>
              <w:spacing w:before="0" w:after="120"/>
            </w:pPr>
            <w:r w:rsidRPr="7579F35B">
              <w:rPr>
                <w:rFonts w:ascii="Arial Narrow" w:eastAsia="Arial Narrow" w:hAnsi="Arial Narrow" w:cs="Arial Narrow"/>
                <w:sz w:val="20"/>
                <w:szCs w:val="20"/>
              </w:rPr>
              <w:t xml:space="preserve">Consecutive NSCLC (adenocarcinoma) patients </w:t>
            </w:r>
          </w:p>
          <w:p w14:paraId="7BA829FA" w14:textId="357B5964" w:rsidR="00DE0108" w:rsidRPr="00105FA9" w:rsidRDefault="001331B5" w:rsidP="001331B5">
            <w:pPr>
              <w:pStyle w:val="TableText"/>
            </w:pPr>
            <w:r w:rsidRPr="00F513D7">
              <w:t>Histology and cytology samples</w:t>
            </w:r>
          </w:p>
        </w:tc>
        <w:tc>
          <w:tcPr>
            <w:tcW w:w="749" w:type="pct"/>
          </w:tcPr>
          <w:p w14:paraId="7D5F4EFB" w14:textId="77777777" w:rsidR="00DE0108" w:rsidRPr="00105FA9" w:rsidRDefault="00DE0108" w:rsidP="001331B5">
            <w:pPr>
              <w:pStyle w:val="TableText"/>
            </w:pPr>
            <w:r w:rsidRPr="00105FA9">
              <w:t>Oncomine Focus Assay on DNA and RNA</w:t>
            </w:r>
          </w:p>
        </w:tc>
        <w:tc>
          <w:tcPr>
            <w:tcW w:w="918" w:type="pct"/>
          </w:tcPr>
          <w:p w14:paraId="4C65FA6E" w14:textId="77777777" w:rsidR="00DE0108" w:rsidRPr="00105FA9" w:rsidRDefault="00DE0108" w:rsidP="001331B5">
            <w:pPr>
              <w:pStyle w:val="TableText"/>
            </w:pPr>
            <w:r w:rsidRPr="00105FA9">
              <w:t>Single gene (</w:t>
            </w:r>
            <w:r w:rsidRPr="00EF5DC7">
              <w:rPr>
                <w:i/>
              </w:rPr>
              <w:t>EGFR, KRAS, BRAF, MET or HER2),</w:t>
            </w:r>
            <w:r w:rsidRPr="00105FA9">
              <w:t xml:space="preserve"> IHC and FISH </w:t>
            </w:r>
          </w:p>
        </w:tc>
        <w:tc>
          <w:tcPr>
            <w:tcW w:w="719" w:type="pct"/>
          </w:tcPr>
          <w:p w14:paraId="7F45228D" w14:textId="77777777" w:rsidR="00DE0108" w:rsidRPr="00105FA9" w:rsidRDefault="00DE0108" w:rsidP="001331B5">
            <w:pPr>
              <w:pStyle w:val="TableText"/>
            </w:pPr>
            <w:r w:rsidRPr="00105FA9">
              <w:t>Mean 10 working days</w:t>
            </w:r>
          </w:p>
        </w:tc>
        <w:tc>
          <w:tcPr>
            <w:tcW w:w="631" w:type="pct"/>
          </w:tcPr>
          <w:p w14:paraId="1A4B7E33" w14:textId="77777777" w:rsidR="00DE0108" w:rsidRPr="00105FA9" w:rsidRDefault="00DE0108" w:rsidP="001331B5">
            <w:pPr>
              <w:pStyle w:val="TableText"/>
            </w:pPr>
            <w:r w:rsidRPr="00105FA9">
              <w:t>Mean 13.15 days</w:t>
            </w:r>
          </w:p>
        </w:tc>
        <w:tc>
          <w:tcPr>
            <w:tcW w:w="565" w:type="pct"/>
          </w:tcPr>
          <w:p w14:paraId="5D35317C" w14:textId="77777777" w:rsidR="00DE0108" w:rsidRPr="00105FA9" w:rsidRDefault="00DE0108" w:rsidP="001331B5">
            <w:pPr>
              <w:pStyle w:val="TableText"/>
            </w:pPr>
            <w:r w:rsidRPr="00105FA9">
              <w:t>-3.15 days</w:t>
            </w:r>
          </w:p>
        </w:tc>
      </w:tr>
      <w:tr w:rsidR="00DE0108" w:rsidRPr="00606456" w14:paraId="29E53EC6" w14:textId="77777777" w:rsidTr="00EF5DC7">
        <w:trPr>
          <w:trHeight w:val="243"/>
        </w:trPr>
        <w:tc>
          <w:tcPr>
            <w:tcW w:w="565" w:type="pct"/>
          </w:tcPr>
          <w:p w14:paraId="22F2643C" w14:textId="2C7E9E3D" w:rsidR="00DE0108" w:rsidRPr="00105FA9" w:rsidRDefault="00B4668F" w:rsidP="006D4612">
            <w:pPr>
              <w:pStyle w:val="TableText"/>
            </w:pPr>
            <w:r>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EN.CITE.DATA </w:instrText>
            </w:r>
            <w:r w:rsidR="006D4612">
              <w:fldChar w:fldCharType="end"/>
            </w:r>
            <w:r>
              <w:fldChar w:fldCharType="separate"/>
            </w:r>
            <w:r w:rsidR="006D4612">
              <w:rPr>
                <w:noProof/>
              </w:rPr>
              <w:t>(Li, W, Li, Y, et al. 2021)</w:t>
            </w:r>
            <w:r>
              <w:fldChar w:fldCharType="end"/>
            </w:r>
          </w:p>
        </w:tc>
        <w:tc>
          <w:tcPr>
            <w:tcW w:w="853" w:type="pct"/>
          </w:tcPr>
          <w:p w14:paraId="4ADA853D" w14:textId="2AB477F0" w:rsidR="001331B5" w:rsidRDefault="001331B5" w:rsidP="001331B5">
            <w:pPr>
              <w:pStyle w:val="Tabletext0"/>
              <w:spacing w:before="0" w:after="120"/>
              <w:jc w:val="left"/>
            </w:pPr>
            <w:r>
              <w:t>884 newly diagnose</w:t>
            </w:r>
            <w:r w:rsidR="00917086">
              <w:t>d</w:t>
            </w:r>
            <w:r>
              <w:t>, treatment-naïve metastatic NSCLC patients with limited tissue sample</w:t>
            </w:r>
          </w:p>
          <w:p w14:paraId="47FC0E57" w14:textId="686A05A8" w:rsidR="00DE0108" w:rsidRPr="00105FA9" w:rsidRDefault="001331B5" w:rsidP="00DE60C3">
            <w:pPr>
              <w:pStyle w:val="Tabletext0"/>
              <w:spacing w:before="0" w:after="120"/>
              <w:jc w:val="left"/>
            </w:pPr>
            <w:r>
              <w:t xml:space="preserve">FFPE samples from core biopsy, fine-needle aspiration, bronchoscopic </w:t>
            </w:r>
            <w:r>
              <w:lastRenderedPageBreak/>
              <w:t>biopsy, pleural effusion (cytology specimen), and excisional biopsy</w:t>
            </w:r>
          </w:p>
        </w:tc>
        <w:tc>
          <w:tcPr>
            <w:tcW w:w="749" w:type="pct"/>
          </w:tcPr>
          <w:p w14:paraId="2BBEF074" w14:textId="77777777" w:rsidR="00DE0108" w:rsidRPr="00105FA9" w:rsidRDefault="00DE0108" w:rsidP="001331B5">
            <w:pPr>
              <w:pStyle w:val="TableText"/>
            </w:pPr>
            <w:r w:rsidRPr="00105FA9">
              <w:lastRenderedPageBreak/>
              <w:t>NGS on DNA only</w:t>
            </w:r>
          </w:p>
        </w:tc>
        <w:tc>
          <w:tcPr>
            <w:tcW w:w="918" w:type="pct"/>
          </w:tcPr>
          <w:p w14:paraId="571B6B9B" w14:textId="77777777" w:rsidR="00DE0108" w:rsidRPr="00105FA9" w:rsidRDefault="00DE0108" w:rsidP="001331B5">
            <w:pPr>
              <w:pStyle w:val="TableText"/>
            </w:pPr>
            <w:r w:rsidRPr="00105FA9">
              <w:t>ARMS-PCR and IHC/FISH</w:t>
            </w:r>
          </w:p>
        </w:tc>
        <w:tc>
          <w:tcPr>
            <w:tcW w:w="719" w:type="pct"/>
          </w:tcPr>
          <w:p w14:paraId="51FBEE80" w14:textId="77777777" w:rsidR="00DE0108" w:rsidRPr="00105FA9" w:rsidRDefault="00DE0108" w:rsidP="001331B5">
            <w:pPr>
              <w:pStyle w:val="TableText"/>
            </w:pPr>
            <w:r w:rsidRPr="00105FA9">
              <w:t>Median 12 business days (range 5 - 79 days)</w:t>
            </w:r>
          </w:p>
        </w:tc>
        <w:tc>
          <w:tcPr>
            <w:tcW w:w="631" w:type="pct"/>
          </w:tcPr>
          <w:p w14:paraId="48F9927F" w14:textId="77777777" w:rsidR="00DE0108" w:rsidRPr="00105FA9" w:rsidRDefault="00DE0108" w:rsidP="001331B5">
            <w:pPr>
              <w:pStyle w:val="TableText"/>
            </w:pPr>
            <w:r w:rsidRPr="00105FA9">
              <w:t>Median 13 business days (range 9 – 86)</w:t>
            </w:r>
          </w:p>
        </w:tc>
        <w:tc>
          <w:tcPr>
            <w:tcW w:w="565" w:type="pct"/>
          </w:tcPr>
          <w:p w14:paraId="2975DE7E" w14:textId="77777777" w:rsidR="00DE0108" w:rsidRPr="00105FA9" w:rsidRDefault="00DE0108" w:rsidP="001331B5">
            <w:pPr>
              <w:pStyle w:val="TableText"/>
            </w:pPr>
            <w:r w:rsidRPr="00105FA9">
              <w:t>-1 day</w:t>
            </w:r>
          </w:p>
        </w:tc>
      </w:tr>
      <w:tr w:rsidR="00DE0108" w:rsidRPr="00606456" w14:paraId="0381382D" w14:textId="77777777" w:rsidTr="00EF5DC7">
        <w:trPr>
          <w:trHeight w:val="243"/>
        </w:trPr>
        <w:tc>
          <w:tcPr>
            <w:tcW w:w="565" w:type="pct"/>
          </w:tcPr>
          <w:p w14:paraId="5AA5F1D8" w14:textId="0BF3789B" w:rsidR="00DE0108" w:rsidRPr="00105FA9" w:rsidRDefault="00B4668F" w:rsidP="00B4668F">
            <w:pPr>
              <w:pStyle w:val="TableText"/>
            </w:pP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 </w:instrTex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EN.CITE.DATA </w:instrText>
            </w:r>
            <w:r>
              <w:fldChar w:fldCharType="end"/>
            </w:r>
            <w:r>
              <w:fldChar w:fldCharType="separate"/>
            </w:r>
            <w:r>
              <w:rPr>
                <w:noProof/>
              </w:rPr>
              <w:t>(Steeghs et al. 2022)</w:t>
            </w:r>
            <w:r>
              <w:fldChar w:fldCharType="end"/>
            </w:r>
          </w:p>
        </w:tc>
        <w:tc>
          <w:tcPr>
            <w:tcW w:w="853" w:type="pct"/>
          </w:tcPr>
          <w:p w14:paraId="2B3BC2FD" w14:textId="5E01E3D5" w:rsidR="00DE0108" w:rsidRDefault="001331B5" w:rsidP="001331B5">
            <w:pPr>
              <w:pStyle w:val="Tabletext0"/>
              <w:jc w:val="left"/>
            </w:pPr>
            <w:r>
              <w:t>Stage IV NSCLC patients. 3343 NGS patients, 698 non-NGS patients</w:t>
            </w:r>
          </w:p>
        </w:tc>
        <w:tc>
          <w:tcPr>
            <w:tcW w:w="749" w:type="pct"/>
          </w:tcPr>
          <w:p w14:paraId="2EB41D62" w14:textId="3FB5DA7A" w:rsidR="00DE0108" w:rsidRPr="00105FA9" w:rsidRDefault="005D1843" w:rsidP="005D1843">
            <w:pPr>
              <w:pStyle w:val="TableText"/>
            </w:pPr>
            <w:r>
              <w:t>NGS on DNA, plus fusions tested by IHC, FISH or RNA NGS</w:t>
            </w:r>
          </w:p>
        </w:tc>
        <w:tc>
          <w:tcPr>
            <w:tcW w:w="918" w:type="pct"/>
          </w:tcPr>
          <w:p w14:paraId="4ED7F84A" w14:textId="334540BF" w:rsidR="00DE0108" w:rsidRPr="00105FA9" w:rsidRDefault="00EF5DC7" w:rsidP="001331B5">
            <w:pPr>
              <w:pStyle w:val="TableText"/>
            </w:pPr>
            <w:r>
              <w:t>Various non-NGS single gene testing such as ICH and FISH used throughout clinical practice in the Netherlands</w:t>
            </w:r>
          </w:p>
        </w:tc>
        <w:tc>
          <w:tcPr>
            <w:tcW w:w="719" w:type="pct"/>
          </w:tcPr>
          <w:p w14:paraId="4E5D17DB" w14:textId="77777777" w:rsidR="00DE0108" w:rsidRPr="00105FA9" w:rsidRDefault="00DE0108" w:rsidP="001331B5">
            <w:pPr>
              <w:pStyle w:val="TableText"/>
            </w:pPr>
            <w:r>
              <w:t>Median 10 days (range 0 - 495; IQR 7 – 14)</w:t>
            </w:r>
          </w:p>
        </w:tc>
        <w:tc>
          <w:tcPr>
            <w:tcW w:w="631" w:type="pct"/>
          </w:tcPr>
          <w:p w14:paraId="646918C1" w14:textId="77777777" w:rsidR="00DE0108" w:rsidRPr="00105FA9" w:rsidRDefault="00DE0108" w:rsidP="001331B5">
            <w:pPr>
              <w:pStyle w:val="TableText"/>
            </w:pPr>
            <w:r>
              <w:t>Median 10 days (range 2 – 63; IQR 7 – 13)</w:t>
            </w:r>
          </w:p>
        </w:tc>
        <w:tc>
          <w:tcPr>
            <w:tcW w:w="565" w:type="pct"/>
          </w:tcPr>
          <w:p w14:paraId="2EE7890B" w14:textId="77777777" w:rsidR="00DE0108" w:rsidRPr="00105FA9" w:rsidRDefault="00DE0108" w:rsidP="001331B5">
            <w:pPr>
              <w:pStyle w:val="TableText"/>
            </w:pPr>
            <w:r>
              <w:t>0 days</w:t>
            </w:r>
          </w:p>
        </w:tc>
      </w:tr>
    </w:tbl>
    <w:p w14:paraId="0F54CD46" w14:textId="0FDFD658" w:rsidR="00DE0108" w:rsidRDefault="00EF5DC7" w:rsidP="00EF5DC7">
      <w:pPr>
        <w:pStyle w:val="TableFooter"/>
      </w:pPr>
      <w:r>
        <w:t>ARMS-PCR = amplification-refractory mutation system polymerase chain reaction;</w:t>
      </w:r>
      <w:r w:rsidRPr="00152F12">
        <w:rPr>
          <w:i/>
        </w:rPr>
        <w:t xml:space="preserve"> </w:t>
      </w:r>
      <w:r w:rsidRPr="002412BE">
        <w:t>DNA = deoxyribonucleic acid;</w:t>
      </w:r>
      <w:r w:rsidRPr="00EF5DC7">
        <w:rPr>
          <w:i/>
        </w:rPr>
        <w:t xml:space="preserve"> </w:t>
      </w:r>
      <w:r w:rsidRPr="007C7AB1">
        <w:rPr>
          <w:i/>
        </w:rPr>
        <w:t>EGFR</w:t>
      </w:r>
      <w:r>
        <w:t xml:space="preserve"> = epi</w:t>
      </w:r>
      <w:r w:rsidR="002D37B6">
        <w:t xml:space="preserve">dermal growth factor receptor; </w:t>
      </w:r>
      <w:r>
        <w:t xml:space="preserve">FISH = fluorescent </w:t>
      </w:r>
      <w:r w:rsidRPr="00956452">
        <w:rPr>
          <w:i/>
        </w:rPr>
        <w:t>in situ</w:t>
      </w:r>
      <w:r>
        <w:t xml:space="preserve"> hybridisation; IHC = immunohistochemistry;</w:t>
      </w:r>
      <w:r w:rsidRPr="00152F12">
        <w:rPr>
          <w:i/>
        </w:rPr>
        <w:t xml:space="preserve"> KRAS</w:t>
      </w:r>
      <w:r>
        <w:t xml:space="preserve"> = Kirsten rat sarcoma</w:t>
      </w:r>
      <w:r w:rsidRPr="006D7211">
        <w:t xml:space="preserve">; </w:t>
      </w:r>
      <w:r>
        <w:t>NGS = next generation sequencing;</w:t>
      </w:r>
      <w:r w:rsidRPr="00EF5DC7">
        <w:t xml:space="preserve"> </w:t>
      </w:r>
      <w:r>
        <w:t>NSCLC = non-small cell lung cancer; RNA = ribonucleic acid; SG = single-gene testing</w:t>
      </w:r>
    </w:p>
    <w:p w14:paraId="677885AA" w14:textId="33819EEA" w:rsidR="000709A0" w:rsidRPr="00CE28E3" w:rsidRDefault="00400BC7" w:rsidP="00674C7D">
      <w:pPr>
        <w:pStyle w:val="Heading2"/>
        <w:numPr>
          <w:ilvl w:val="0"/>
          <w:numId w:val="0"/>
        </w:numPr>
      </w:pPr>
      <w:bookmarkStart w:id="112" w:name="_Toc148531155"/>
      <w:r>
        <w:t>2</w:t>
      </w:r>
      <w:r w:rsidR="00F91353" w:rsidRPr="00CE28E3">
        <w:t>.</w:t>
      </w:r>
      <w:r w:rsidR="00930F4E" w:rsidRPr="00CE28E3">
        <w:t>3</w:t>
      </w:r>
      <w:r w:rsidR="00660A74" w:rsidRPr="00CE28E3">
        <w:tab/>
      </w:r>
      <w:r w:rsidR="000709A0" w:rsidRPr="00CE28E3">
        <w:t xml:space="preserve">Linked evidence </w:t>
      </w:r>
      <w:r w:rsidR="00906E65" w:rsidRPr="00CE28E3">
        <w:t>of</w:t>
      </w:r>
      <w:r w:rsidR="000709A0" w:rsidRPr="00CE28E3">
        <w:t xml:space="preserve"> change in management</w:t>
      </w:r>
      <w:bookmarkEnd w:id="112"/>
    </w:p>
    <w:p w14:paraId="79442EEB" w14:textId="7F2CF627" w:rsidR="005F2978" w:rsidRPr="00CE28E3" w:rsidRDefault="005F2978" w:rsidP="006D75C8">
      <w:pPr>
        <w:spacing w:after="600"/>
      </w:pPr>
      <w:r>
        <w:rPr>
          <w:noProof/>
          <w:lang w:eastAsia="en-AU"/>
        </w:rPr>
        <w:drawing>
          <wp:inline distT="0" distB="0" distL="0" distR="0" wp14:anchorId="7AEC34CB" wp14:editId="7AAB240D">
            <wp:extent cx="5727700" cy="1574800"/>
            <wp:effectExtent l="0" t="0" r="0" b="0"/>
            <wp:docPr id="11" name="Picture 11" descr="Unnumbered figure. Diagrammatic representation of steps and links between test population and health outcomes (modification of the framework in figure 2). Shows link (labelled decision-making) between test results information and change in clinical decisions, and link between change in clinical decisions and health outcomes (labelled treatment/management). All other links are greyed out. All steps except test population and change in clinical decisions are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numbered figure. Diagrammatic representation of steps and links between test population and health outcomes (modification of figure 2). Shows link (labelled decision-making) between test results information and change in clinical decisions, and link between change in clinical decisions and health outcomes (labelled treatment/management). All other links are greyed out. All steps except test population and change in clinical decisions are greyed ou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2B2E6DD4" w14:textId="1C3C5054" w:rsidR="00660A74" w:rsidRPr="00CE28E3" w:rsidRDefault="00400BC7" w:rsidP="00674C7D">
      <w:pPr>
        <w:pStyle w:val="Heading3"/>
      </w:pPr>
      <w:bookmarkStart w:id="113" w:name="_Toc148531156"/>
      <w:r>
        <w:t>2</w:t>
      </w:r>
      <w:r w:rsidR="00F91353" w:rsidRPr="00CE28E3">
        <w:t>.</w:t>
      </w:r>
      <w:r w:rsidR="00930F4E" w:rsidRPr="00CE28E3">
        <w:t>3</w:t>
      </w:r>
      <w:r w:rsidR="00660A74" w:rsidRPr="00CE28E3">
        <w:t>.1</w:t>
      </w:r>
      <w:r w:rsidR="00660A74" w:rsidRPr="00CE28E3">
        <w:tab/>
        <w:t>Methods for</w:t>
      </w:r>
      <w:r w:rsidR="00136ADA">
        <w:t xml:space="preserve"> </w:t>
      </w:r>
      <w:r w:rsidR="00660A74" w:rsidRPr="00CE28E3">
        <w:t>undertaking the assessment</w:t>
      </w:r>
      <w:bookmarkEnd w:id="113"/>
    </w:p>
    <w:p w14:paraId="77770CA4" w14:textId="6A0CEFEE" w:rsidR="001A30CF" w:rsidRDefault="00C20BD2" w:rsidP="00B151CF">
      <w:pPr>
        <w:pStyle w:val="Instructionaltext"/>
        <w:rPr>
          <w:color w:val="auto"/>
        </w:rPr>
      </w:pPr>
      <w:r w:rsidRPr="00136ADA">
        <w:rPr>
          <w:color w:val="auto"/>
        </w:rPr>
        <w:t xml:space="preserve">The overarching methods for the systematic review have been summarised in Section </w:t>
      </w:r>
      <w:r w:rsidR="00400BC7">
        <w:rPr>
          <w:color w:val="auto"/>
        </w:rPr>
        <w:t>2</w:t>
      </w:r>
      <w:r w:rsidRPr="00136ADA">
        <w:rPr>
          <w:color w:val="auto"/>
        </w:rPr>
        <w:t xml:space="preserve">. </w:t>
      </w:r>
      <w:r w:rsidR="001A30CF">
        <w:rPr>
          <w:color w:val="auto"/>
        </w:rPr>
        <w:t>The outcomes sought to assess whether the use of NGS would result in differences in the way patients are managed, as compared to sequential single-gene testing were:</w:t>
      </w:r>
    </w:p>
    <w:p w14:paraId="55F7CDEB" w14:textId="5F134E80" w:rsidR="001A30CF" w:rsidRPr="001A30CF" w:rsidRDefault="001A30CF" w:rsidP="00B649D2">
      <w:pPr>
        <w:pStyle w:val="Instructionaltext"/>
        <w:numPr>
          <w:ilvl w:val="0"/>
          <w:numId w:val="24"/>
        </w:numPr>
        <w:rPr>
          <w:color w:val="auto"/>
        </w:rPr>
      </w:pPr>
      <w:r w:rsidRPr="001A30CF">
        <w:rPr>
          <w:color w:val="auto"/>
        </w:rPr>
        <w:t xml:space="preserve">Any changes in management between small DNA/RNA panel(s) and sequential testing (e.g. rebiopsy rate, timing of treatment initiation, different treatments received due to </w:t>
      </w:r>
      <w:r w:rsidR="00220474">
        <w:rPr>
          <w:color w:val="auto"/>
        </w:rPr>
        <w:t>false positives (</w:t>
      </w:r>
      <w:r w:rsidRPr="001A30CF">
        <w:rPr>
          <w:color w:val="auto"/>
        </w:rPr>
        <w:t>FP</w:t>
      </w:r>
      <w:r w:rsidR="00220474">
        <w:rPr>
          <w:color w:val="auto"/>
        </w:rPr>
        <w:t>) and false negatives (</w:t>
      </w:r>
      <w:r w:rsidRPr="001A30CF">
        <w:rPr>
          <w:color w:val="auto"/>
        </w:rPr>
        <w:t>FN</w:t>
      </w:r>
      <w:r w:rsidR="00220474">
        <w:rPr>
          <w:color w:val="auto"/>
        </w:rPr>
        <w:t>)</w:t>
      </w:r>
      <w:r w:rsidRPr="001A30CF">
        <w:rPr>
          <w:color w:val="auto"/>
        </w:rPr>
        <w:t>)</w:t>
      </w:r>
    </w:p>
    <w:p w14:paraId="010D430C" w14:textId="51A2EE5E" w:rsidR="00660A74" w:rsidRPr="00CE28E3" w:rsidRDefault="00400BC7" w:rsidP="00674C7D">
      <w:pPr>
        <w:pStyle w:val="Heading3"/>
      </w:pPr>
      <w:bookmarkStart w:id="114" w:name="_Toc148531157"/>
      <w:r>
        <w:t>2</w:t>
      </w:r>
      <w:r w:rsidR="00F91353" w:rsidRPr="00CE28E3">
        <w:t>.</w:t>
      </w:r>
      <w:r w:rsidR="00930F4E" w:rsidRPr="00CE28E3">
        <w:t>3</w:t>
      </w:r>
      <w:r w:rsidR="00660A74" w:rsidRPr="00CE28E3">
        <w:t>.2</w:t>
      </w:r>
      <w:r w:rsidR="00660A74" w:rsidRPr="00CE28E3">
        <w:tab/>
      </w:r>
      <w:r w:rsidR="009C1D27" w:rsidRPr="00CE28E3">
        <w:t>Characteristics of the evidence base</w:t>
      </w:r>
      <w:bookmarkEnd w:id="114"/>
    </w:p>
    <w:p w14:paraId="65D366DB" w14:textId="730F4CAB" w:rsidR="00B247AD" w:rsidRPr="00CE28E3" w:rsidRDefault="00B247AD" w:rsidP="00B247AD">
      <w:bookmarkStart w:id="115" w:name="_Ref54862556"/>
      <w:r w:rsidRPr="00CE28E3">
        <w:t xml:space="preserve">A total of </w:t>
      </w:r>
      <w:r w:rsidR="00146905">
        <w:t>9</w:t>
      </w:r>
      <w:r w:rsidRPr="00CE28E3">
        <w:t xml:space="preserve"> studies met the inclusion criteria for assess</w:t>
      </w:r>
      <w:r w:rsidR="00707C18">
        <w:t>ing</w:t>
      </w:r>
      <w:r w:rsidRPr="00CE28E3">
        <w:t xml:space="preserve"> change in management</w:t>
      </w:r>
      <w:r w:rsidR="005A0496">
        <w:t xml:space="preserve"> following</w:t>
      </w:r>
      <w:r w:rsidR="005A0496" w:rsidRPr="00707C18">
        <w:t xml:space="preserve"> </w:t>
      </w:r>
      <w:r w:rsidR="00146905">
        <w:t>small NGS panel testing.</w:t>
      </w:r>
      <w:r w:rsidR="005A0496">
        <w:t xml:space="preserve"> </w:t>
      </w:r>
      <w:r w:rsidRPr="00CE28E3">
        <w:t xml:space="preserve">Full study profiles and a PRISMA flowchart </w:t>
      </w:r>
      <w:r w:rsidR="00524BE8">
        <w:t>are</w:t>
      </w:r>
      <w:r w:rsidRPr="00CE28E3">
        <w:t xml:space="preserve"> shown in </w:t>
      </w:r>
      <w:r w:rsidRPr="00CE28E3">
        <w:fldChar w:fldCharType="begin"/>
      </w:r>
      <w:r w:rsidRPr="00CE28E3">
        <w:instrText xml:space="preserve"> REF _Ref54782829 \h </w:instrText>
      </w:r>
      <w:r w:rsidR="00CE28E3">
        <w:instrText xml:space="preserve"> \* MERGEFORMAT </w:instrText>
      </w:r>
      <w:r w:rsidRPr="00CE28E3">
        <w:fldChar w:fldCharType="separate"/>
      </w:r>
      <w:r w:rsidR="00C857F3" w:rsidRPr="00CE28E3">
        <w:t xml:space="preserve">Appendix </w:t>
      </w:r>
      <w:r w:rsidR="00C857F3">
        <w:rPr>
          <w:noProof/>
        </w:rPr>
        <w:t>B</w:t>
      </w:r>
      <w:r w:rsidRPr="00CE28E3">
        <w:fldChar w:fldCharType="end"/>
      </w:r>
      <w:r w:rsidRPr="00CE28E3">
        <w:t xml:space="preserve">.  </w:t>
      </w:r>
    </w:p>
    <w:p w14:paraId="42EB5EA2" w14:textId="26A4DF12" w:rsidR="00B247AD" w:rsidRPr="00CE28E3" w:rsidRDefault="00B247AD" w:rsidP="00CC1D1A">
      <w:r w:rsidRPr="00CE28E3">
        <w:t xml:space="preserve">A summary of the key features of the change in management evidence is provided in </w:t>
      </w:r>
      <w:r w:rsidR="00915F98">
        <w:fldChar w:fldCharType="begin"/>
      </w:r>
      <w:r w:rsidR="00915F98">
        <w:instrText xml:space="preserve"> REF _Ref69728032 \h </w:instrText>
      </w:r>
      <w:r w:rsidR="00915F98">
        <w:fldChar w:fldCharType="separate"/>
      </w:r>
      <w:r w:rsidR="00C857F3" w:rsidRPr="00CE28E3">
        <w:t>Table</w:t>
      </w:r>
      <w:r w:rsidR="00C857F3">
        <w:t> </w:t>
      </w:r>
      <w:r w:rsidR="00C857F3">
        <w:rPr>
          <w:noProof/>
        </w:rPr>
        <w:t>34</w:t>
      </w:r>
      <w:r w:rsidR="00915F98">
        <w:fldChar w:fldCharType="end"/>
      </w:r>
      <w:r w:rsidRPr="00CE28E3">
        <w:t>.</w:t>
      </w:r>
    </w:p>
    <w:p w14:paraId="7211E896" w14:textId="03E55A15" w:rsidR="00BF56FA" w:rsidRPr="007436F9" w:rsidRDefault="00CC1D1A" w:rsidP="007436F9">
      <w:pPr>
        <w:pStyle w:val="Caption"/>
        <w:rPr>
          <w:snapToGrid w:val="0"/>
        </w:rPr>
      </w:pPr>
      <w:bookmarkStart w:id="116" w:name="_Ref69728032"/>
      <w:r w:rsidRPr="00CE28E3">
        <w:lastRenderedPageBreak/>
        <w:t>Table</w:t>
      </w:r>
      <w:r w:rsidR="00915F98">
        <w:t> </w:t>
      </w:r>
      <w:fldSimple w:instr=" SEQ Table \* ARABIC ">
        <w:r w:rsidR="00C857F3">
          <w:rPr>
            <w:noProof/>
          </w:rPr>
          <w:t>34</w:t>
        </w:r>
      </w:fldSimple>
      <w:bookmarkEnd w:id="115"/>
      <w:bookmarkEnd w:id="116"/>
      <w:r w:rsidRPr="00CE28E3">
        <w:tab/>
      </w:r>
      <w:r w:rsidRPr="00CE28E3">
        <w:rPr>
          <w:snapToGrid w:val="0"/>
        </w:rPr>
        <w:t xml:space="preserve">Key features of the included </w:t>
      </w:r>
      <w:r w:rsidR="00B247AD" w:rsidRPr="00CE28E3">
        <w:rPr>
          <w:snapToGrid w:val="0"/>
        </w:rPr>
        <w:t xml:space="preserve">change in management </w:t>
      </w:r>
      <w:r w:rsidRPr="00CE28E3">
        <w:rPr>
          <w:snapToGrid w:val="0"/>
        </w:rPr>
        <w:t xml:space="preserve">evidence comparing </w:t>
      </w:r>
      <w:r w:rsidR="00A819D2">
        <w:rPr>
          <w:snapToGrid w:val="0"/>
        </w:rPr>
        <w:t>NGS</w:t>
      </w:r>
      <w:r w:rsidRPr="00CE28E3">
        <w:rPr>
          <w:snapToGrid w:val="0"/>
        </w:rPr>
        <w:t xml:space="preserve"> with </w:t>
      </w:r>
      <w:r w:rsidR="00A819D2">
        <w:rPr>
          <w:snapToGrid w:val="0"/>
        </w:rPr>
        <w:t>sequential single-gene testing</w:t>
      </w:r>
    </w:p>
    <w:tbl>
      <w:tblPr>
        <w:tblStyle w:val="TableGrid1"/>
        <w:tblpPr w:leftFromText="180" w:rightFromText="180" w:vertAnchor="text" w:tblpY="1"/>
        <w:tblOverlap w:val="never"/>
        <w:tblW w:w="4950" w:type="pct"/>
        <w:tblCellMar>
          <w:left w:w="28" w:type="dxa"/>
          <w:right w:w="28" w:type="dxa"/>
        </w:tblCellMar>
        <w:tblLook w:val="04A0" w:firstRow="1" w:lastRow="0" w:firstColumn="1" w:lastColumn="0" w:noHBand="0" w:noVBand="1"/>
        <w:tblCaption w:val="Key features of the included change in management evidence comparing NGS with sequential single-gene testing"/>
        <w:tblDescription w:val="Key features of the included change in management evidence comparing NGS with sequential single-gene testing"/>
      </w:tblPr>
      <w:tblGrid>
        <w:gridCol w:w="1112"/>
        <w:gridCol w:w="452"/>
        <w:gridCol w:w="1059"/>
        <w:gridCol w:w="1307"/>
        <w:gridCol w:w="1398"/>
        <w:gridCol w:w="1642"/>
        <w:gridCol w:w="1119"/>
        <w:gridCol w:w="837"/>
      </w:tblGrid>
      <w:tr w:rsidR="003C3BCE" w:rsidRPr="00CE28E3" w14:paraId="77DED256"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vAlign w:val="center"/>
          </w:tcPr>
          <w:p w14:paraId="500D7FBF" w14:textId="0DFD220A" w:rsidR="00CC1D1A" w:rsidRPr="00CE28E3" w:rsidRDefault="00CC1D1A" w:rsidP="00045FEB">
            <w:pPr>
              <w:pStyle w:val="TableHeading"/>
            </w:pPr>
            <w:bookmarkStart w:id="117" w:name="ColumnTitle_Table28"/>
            <w:r w:rsidRPr="00CE28E3">
              <w:t>Study</w:t>
            </w:r>
          </w:p>
        </w:tc>
        <w:tc>
          <w:tcPr>
            <w:tcW w:w="253" w:type="pct"/>
            <w:shd w:val="clear" w:color="auto" w:fill="auto"/>
            <w:vAlign w:val="center"/>
          </w:tcPr>
          <w:p w14:paraId="30EA9928" w14:textId="77777777" w:rsidR="00CC1D1A" w:rsidRPr="00CE28E3" w:rsidRDefault="00CC1D1A" w:rsidP="00045FEB">
            <w:pPr>
              <w:pStyle w:val="TableHeading"/>
            </w:pPr>
            <w:r w:rsidRPr="00CE28E3">
              <w:t>N</w:t>
            </w:r>
          </w:p>
        </w:tc>
        <w:tc>
          <w:tcPr>
            <w:tcW w:w="593" w:type="pct"/>
            <w:shd w:val="clear" w:color="auto" w:fill="auto"/>
            <w:vAlign w:val="center"/>
          </w:tcPr>
          <w:p w14:paraId="3302540C" w14:textId="77777777" w:rsidR="00CC1D1A" w:rsidRPr="00CE28E3" w:rsidRDefault="00CC1D1A" w:rsidP="00045FEB">
            <w:pPr>
              <w:pStyle w:val="TableHeading"/>
            </w:pPr>
            <w:r w:rsidRPr="00CE28E3">
              <w:t>Study design</w:t>
            </w:r>
          </w:p>
          <w:p w14:paraId="7B5F12E4" w14:textId="77777777" w:rsidR="00CC1D1A" w:rsidRPr="00CE28E3" w:rsidRDefault="00CC1D1A" w:rsidP="00045FEB">
            <w:pPr>
              <w:pStyle w:val="TableHeading"/>
            </w:pPr>
            <w:r w:rsidRPr="00CE28E3">
              <w:t>Risk of bias</w:t>
            </w:r>
          </w:p>
        </w:tc>
        <w:tc>
          <w:tcPr>
            <w:tcW w:w="732" w:type="pct"/>
            <w:vAlign w:val="center"/>
          </w:tcPr>
          <w:p w14:paraId="0964C06C" w14:textId="77777777" w:rsidR="00CC1D1A" w:rsidRPr="00CE28E3" w:rsidRDefault="00CC1D1A" w:rsidP="00045FEB">
            <w:pPr>
              <w:pStyle w:val="TableHeading"/>
            </w:pPr>
            <w:r w:rsidRPr="00CE28E3">
              <w:t>Population</w:t>
            </w:r>
          </w:p>
        </w:tc>
        <w:tc>
          <w:tcPr>
            <w:tcW w:w="783" w:type="pct"/>
            <w:vAlign w:val="center"/>
          </w:tcPr>
          <w:p w14:paraId="7936B1FE" w14:textId="77777777" w:rsidR="00CC1D1A" w:rsidRPr="00CE28E3" w:rsidRDefault="00CC1D1A" w:rsidP="00045FEB">
            <w:pPr>
              <w:pStyle w:val="TableHeading"/>
            </w:pPr>
            <w:r w:rsidRPr="00CE28E3">
              <w:t>Intervention</w:t>
            </w:r>
          </w:p>
        </w:tc>
        <w:tc>
          <w:tcPr>
            <w:tcW w:w="920" w:type="pct"/>
            <w:shd w:val="clear" w:color="auto" w:fill="auto"/>
            <w:vAlign w:val="center"/>
          </w:tcPr>
          <w:p w14:paraId="42575768" w14:textId="77777777" w:rsidR="00CC1D1A" w:rsidRPr="00CE28E3" w:rsidRDefault="00CC1D1A" w:rsidP="00045FEB">
            <w:pPr>
              <w:pStyle w:val="TableHeading"/>
            </w:pPr>
            <w:r w:rsidRPr="00CE28E3">
              <w:t>Comparator</w:t>
            </w:r>
          </w:p>
        </w:tc>
        <w:tc>
          <w:tcPr>
            <w:tcW w:w="627" w:type="pct"/>
            <w:shd w:val="clear" w:color="auto" w:fill="auto"/>
            <w:vAlign w:val="center"/>
          </w:tcPr>
          <w:p w14:paraId="2BC10D9E" w14:textId="77777777" w:rsidR="00CC1D1A" w:rsidRPr="00CE28E3" w:rsidRDefault="00CC1D1A" w:rsidP="00045FEB">
            <w:pPr>
              <w:pStyle w:val="TableHeading"/>
            </w:pPr>
            <w:r w:rsidRPr="00CE28E3">
              <w:t>Key outcome(s)</w:t>
            </w:r>
          </w:p>
        </w:tc>
        <w:tc>
          <w:tcPr>
            <w:tcW w:w="469" w:type="pct"/>
          </w:tcPr>
          <w:p w14:paraId="28344243" w14:textId="77777777" w:rsidR="00CC1D1A" w:rsidRPr="00CE28E3" w:rsidRDefault="00CC1D1A" w:rsidP="00045FEB">
            <w:pPr>
              <w:pStyle w:val="TableHeading"/>
            </w:pPr>
            <w:r w:rsidRPr="00CE28E3">
              <w:t>Result used in economic model</w:t>
            </w:r>
          </w:p>
        </w:tc>
      </w:tr>
      <w:bookmarkEnd w:id="117"/>
      <w:tr w:rsidR="00441A20" w:rsidRPr="00CE28E3" w14:paraId="1FF37E4D"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0EB2209A" w14:textId="7AF4E71B" w:rsidR="00441A20" w:rsidRDefault="00B4668F" w:rsidP="00441A20">
            <w:pPr>
              <w:pStyle w:val="TableText"/>
            </w:pP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 </w:instrText>
            </w: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EN.CITE.DATA </w:instrText>
            </w:r>
            <w:r>
              <w:fldChar w:fldCharType="end"/>
            </w:r>
            <w:r>
              <w:fldChar w:fldCharType="separate"/>
            </w:r>
            <w:r>
              <w:rPr>
                <w:noProof/>
              </w:rPr>
              <w:t>(Ali et al. 2016)</w:t>
            </w:r>
            <w:r>
              <w:fldChar w:fldCharType="end"/>
            </w:r>
          </w:p>
          <w:p w14:paraId="153774A2" w14:textId="76F102A8" w:rsidR="00441A20" w:rsidRPr="00847EEA" w:rsidRDefault="00441A20" w:rsidP="00441A20">
            <w:pPr>
              <w:pStyle w:val="TableText"/>
            </w:pPr>
            <w:r>
              <w:t>United States</w:t>
            </w:r>
          </w:p>
        </w:tc>
        <w:tc>
          <w:tcPr>
            <w:tcW w:w="253" w:type="pct"/>
            <w:shd w:val="clear" w:color="auto" w:fill="auto"/>
          </w:tcPr>
          <w:p w14:paraId="0B822333" w14:textId="0336798B" w:rsidR="00441A20" w:rsidRPr="00985704" w:rsidRDefault="00441A20" w:rsidP="00441A20">
            <w:pPr>
              <w:pStyle w:val="TableText"/>
            </w:pPr>
            <w:r>
              <w:t>11</w:t>
            </w:r>
          </w:p>
        </w:tc>
        <w:tc>
          <w:tcPr>
            <w:tcW w:w="593" w:type="pct"/>
            <w:shd w:val="clear" w:color="auto" w:fill="auto"/>
          </w:tcPr>
          <w:p w14:paraId="751C0955" w14:textId="77777777" w:rsidR="00A01881" w:rsidRDefault="00A01881" w:rsidP="00A01881">
            <w:pPr>
              <w:pStyle w:val="Tabletext0"/>
              <w:spacing w:before="0" w:after="120"/>
              <w:jc w:val="left"/>
            </w:pPr>
            <w:r>
              <w:t>Retrospective cohort study</w:t>
            </w:r>
          </w:p>
          <w:p w14:paraId="4F9F084D" w14:textId="77777777" w:rsidR="00A01881" w:rsidRDefault="00A01881" w:rsidP="00A01881">
            <w:pPr>
              <w:pStyle w:val="Tabletext0"/>
              <w:spacing w:before="0" w:after="120"/>
              <w:jc w:val="left"/>
            </w:pPr>
            <w:r>
              <w:t xml:space="preserve">Level III-2 </w:t>
            </w:r>
          </w:p>
          <w:p w14:paraId="1A8D25C9" w14:textId="324A2E90" w:rsidR="004569A2" w:rsidRPr="00985704" w:rsidRDefault="00A01881" w:rsidP="00A01881">
            <w:pPr>
              <w:pStyle w:val="Tabletext0"/>
              <w:spacing w:before="0" w:after="120"/>
              <w:jc w:val="left"/>
            </w:pPr>
            <w:r>
              <w:t>Moderate risk of bias (QUADAS 2)</w:t>
            </w:r>
          </w:p>
        </w:tc>
        <w:tc>
          <w:tcPr>
            <w:tcW w:w="732" w:type="pct"/>
          </w:tcPr>
          <w:p w14:paraId="19B480AB" w14:textId="77777777" w:rsidR="00441A20" w:rsidRDefault="00441A20" w:rsidP="00441A20">
            <w:pPr>
              <w:pStyle w:val="TableText"/>
            </w:pPr>
            <w:r>
              <w:t xml:space="preserve">11/41 </w:t>
            </w:r>
          </w:p>
          <w:p w14:paraId="33EF43B9" w14:textId="67614582" w:rsidR="00441A20" w:rsidRPr="00985704" w:rsidRDefault="00441A20" w:rsidP="00441A20">
            <w:pPr>
              <w:pStyle w:val="TableText"/>
            </w:pPr>
            <w:r>
              <w:t xml:space="preserve">Patients with </w:t>
            </w:r>
            <w:r w:rsidRPr="00956452">
              <w:rPr>
                <w:i/>
              </w:rPr>
              <w:t>ALK</w:t>
            </w:r>
            <w:r>
              <w:t xml:space="preserve"> rearrangements whose results were discordant between NGS and FISH</w:t>
            </w:r>
          </w:p>
        </w:tc>
        <w:tc>
          <w:tcPr>
            <w:tcW w:w="783" w:type="pct"/>
          </w:tcPr>
          <w:p w14:paraId="7D05D06B" w14:textId="55E6CE22" w:rsidR="00441A20" w:rsidRPr="00985704" w:rsidRDefault="00441A20" w:rsidP="00441A20">
            <w:pPr>
              <w:pStyle w:val="TableText"/>
            </w:pPr>
            <w:r>
              <w:t>Hybrid-capture based CGP using NGS, 236 cancer related genes, plus 47 introns from 19 genes frequently rearranged in cancer</w:t>
            </w:r>
          </w:p>
        </w:tc>
        <w:tc>
          <w:tcPr>
            <w:tcW w:w="920" w:type="pct"/>
            <w:shd w:val="clear" w:color="auto" w:fill="auto"/>
          </w:tcPr>
          <w:p w14:paraId="63198C42" w14:textId="23DB9C99" w:rsidR="00441A20" w:rsidRPr="00985704" w:rsidRDefault="00441A20" w:rsidP="00441A20">
            <w:pPr>
              <w:pStyle w:val="TableText"/>
            </w:pPr>
            <w:r w:rsidRPr="00956452">
              <w:rPr>
                <w:i/>
              </w:rPr>
              <w:t>ALK</w:t>
            </w:r>
            <w:r>
              <w:t xml:space="preserve"> FISH testing</w:t>
            </w:r>
          </w:p>
        </w:tc>
        <w:tc>
          <w:tcPr>
            <w:tcW w:w="627" w:type="pct"/>
            <w:shd w:val="clear" w:color="auto" w:fill="auto"/>
          </w:tcPr>
          <w:p w14:paraId="6626B5B0" w14:textId="7A31BFF9" w:rsidR="00441A20" w:rsidRDefault="00441A20" w:rsidP="00441A20">
            <w:pPr>
              <w:pStyle w:val="TableText"/>
            </w:pPr>
            <w:r>
              <w:t xml:space="preserve">Treatment received </w:t>
            </w:r>
            <w:r w:rsidRPr="00BF56FA">
              <w:t>in</w:t>
            </w:r>
            <w:r>
              <w:rPr>
                <w:i/>
              </w:rPr>
              <w:t xml:space="preserve"> ALK </w:t>
            </w:r>
            <w:r w:rsidRPr="00BF56FA">
              <w:t xml:space="preserve">discordant </w:t>
            </w:r>
            <w:r>
              <w:t>cases</w:t>
            </w:r>
          </w:p>
        </w:tc>
        <w:tc>
          <w:tcPr>
            <w:tcW w:w="469" w:type="pct"/>
          </w:tcPr>
          <w:p w14:paraId="7615087C" w14:textId="60D892BD" w:rsidR="00441A20" w:rsidRDefault="00441A20" w:rsidP="00441A20">
            <w:pPr>
              <w:pStyle w:val="TableText"/>
            </w:pPr>
            <w:r>
              <w:t>No</w:t>
            </w:r>
          </w:p>
        </w:tc>
      </w:tr>
      <w:tr w:rsidR="00441A20" w:rsidRPr="00CE28E3" w14:paraId="4DAFC51A"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53D21709" w14:textId="689DD41D" w:rsidR="00441A20" w:rsidRDefault="00B4668F" w:rsidP="00441A20">
            <w:pPr>
              <w:pStyle w:val="TableText"/>
            </w:pPr>
            <w:r>
              <w:fldChar w:fldCharType="begin"/>
            </w:r>
            <w:r>
              <w:instrText xml:space="preserve"> ADDIN EN.CITE &lt;EndNote&gt;&lt;Cite&gt;&lt;Author&gt;de Biase&lt;/Author&gt;&lt;Year&gt;2013&lt;/Year&gt;&lt;RecNum&gt;158&lt;/RecNum&gt;&lt;IDText&gt;e83607-NA&lt;/IDText&gt;&lt;DisplayText&gt;(de Biase et al. 2013)&lt;/DisplayText&gt;&lt;record&gt;&lt;rec-number&gt;158&lt;/rec-number&gt;&lt;foreign-keys&gt;&lt;key app="EN" db-id="0tprsse9cpp5r3ea5dz5p0xw2pfwvwxpa5a5" timestamp="1655264277"&gt;158&lt;/key&gt;&lt;/foreign-keys&gt;&lt;ref-type name="Journal Article"&gt;17&lt;/ref-type&gt;&lt;contributors&gt;&lt;authors&gt;&lt;author&gt;de Biase, Dario&lt;/author&gt;&lt;author&gt;Visani, Michela&lt;/author&gt;&lt;author&gt;Malapelle, Umberto&lt;/author&gt;&lt;author&gt;Simonato, Francesca&lt;/author&gt;&lt;author&gt;Cesari, Valentina&lt;/author&gt;&lt;author&gt;Bellevicine, Claudio&lt;/author&gt;&lt;author&gt;Pession, Annalisa&lt;/author&gt;&lt;author&gt;Troncone, Giancarlo&lt;/author&gt;&lt;author&gt;Fassina, Ambrogio&lt;/author&gt;&lt;author&gt;Tallini, Giovanni&lt;/author&gt;&lt;/authors&gt;&lt;/contributors&gt;&lt;titles&gt;&lt;title&gt;Next-Generation Sequencing of Lung Cancer EGFR Exons 18-21 Allows Effective Molecular Diagnosis of Small Routine Samples (Cytology and Biopsy)&lt;/title&gt;&lt;secondary-title&gt;PloS one&lt;/secondary-title&gt;&lt;/titles&gt;&lt;periodical&gt;&lt;full-title&gt;PLoS One&lt;/full-title&gt;&lt;/periodical&gt;&lt;pages&gt;e83607-NA&lt;/pages&gt;&lt;volume&gt;8&lt;/volume&gt;&lt;number&gt;12&lt;/number&gt;&lt;dates&gt;&lt;year&gt;2013&lt;/year&gt;&lt;/dates&gt;&lt;urls&gt;&lt;/urls&gt;&lt;electronic-resource-num&gt;10.1371/journal.pone.0083607&lt;/electronic-resource-num&gt;&lt;research-notes&gt;P - Include. concordance in predictions of clinical relevance. &lt;/research-notes&gt;&lt;/record&gt;&lt;/Cite&gt;&lt;/EndNote&gt;</w:instrText>
            </w:r>
            <w:r>
              <w:fldChar w:fldCharType="separate"/>
            </w:r>
            <w:r>
              <w:rPr>
                <w:noProof/>
              </w:rPr>
              <w:t>(de Biase et al. 2013)</w:t>
            </w:r>
            <w:r>
              <w:fldChar w:fldCharType="end"/>
            </w:r>
          </w:p>
          <w:p w14:paraId="17AF6A0D" w14:textId="6BBAE5D1" w:rsidR="00441A20" w:rsidRPr="00844EEA" w:rsidRDefault="00441A20" w:rsidP="00441A20">
            <w:pPr>
              <w:pStyle w:val="TableText"/>
            </w:pPr>
            <w:r>
              <w:t>Italy</w:t>
            </w:r>
          </w:p>
        </w:tc>
        <w:tc>
          <w:tcPr>
            <w:tcW w:w="253" w:type="pct"/>
            <w:shd w:val="clear" w:color="auto" w:fill="auto"/>
          </w:tcPr>
          <w:p w14:paraId="3F842966" w14:textId="0DD31BFF" w:rsidR="00441A20" w:rsidRDefault="00441A20" w:rsidP="00441A20">
            <w:pPr>
              <w:pStyle w:val="TableText"/>
            </w:pPr>
            <w:r>
              <w:t>14</w:t>
            </w:r>
          </w:p>
        </w:tc>
        <w:tc>
          <w:tcPr>
            <w:tcW w:w="593" w:type="pct"/>
            <w:shd w:val="clear" w:color="auto" w:fill="auto"/>
          </w:tcPr>
          <w:p w14:paraId="509806AA" w14:textId="77777777" w:rsidR="00A01881" w:rsidRDefault="00A01881" w:rsidP="00A01881">
            <w:pPr>
              <w:pStyle w:val="Tabletext0"/>
              <w:spacing w:before="0" w:after="120"/>
              <w:jc w:val="left"/>
            </w:pPr>
            <w:r>
              <w:t>Cohort study</w:t>
            </w:r>
          </w:p>
          <w:p w14:paraId="73447B13" w14:textId="77777777" w:rsidR="00A01881" w:rsidRDefault="00A01881" w:rsidP="00A01881">
            <w:pPr>
              <w:pStyle w:val="Tabletext0"/>
              <w:spacing w:before="0" w:after="120"/>
              <w:jc w:val="left"/>
            </w:pPr>
            <w:r>
              <w:t>Level III-2</w:t>
            </w:r>
          </w:p>
          <w:p w14:paraId="4C34FC21" w14:textId="25328782" w:rsidR="004569A2" w:rsidRDefault="00A01881" w:rsidP="00A01881">
            <w:pPr>
              <w:pStyle w:val="TableText"/>
            </w:pPr>
            <w:r>
              <w:t>Low risk of bias (QUADAS 2)</w:t>
            </w:r>
          </w:p>
        </w:tc>
        <w:tc>
          <w:tcPr>
            <w:tcW w:w="732" w:type="pct"/>
          </w:tcPr>
          <w:p w14:paraId="4E1DEC10" w14:textId="77777777" w:rsidR="00441A20" w:rsidRDefault="00441A20" w:rsidP="00441A20">
            <w:pPr>
              <w:pStyle w:val="Tabletext0"/>
              <w:spacing w:before="0" w:after="120"/>
              <w:jc w:val="left"/>
            </w:pPr>
            <w:r>
              <w:t xml:space="preserve">14/80 </w:t>
            </w:r>
          </w:p>
          <w:p w14:paraId="27B9622B" w14:textId="7A87FDBB" w:rsidR="00441A20" w:rsidRDefault="00441A20" w:rsidP="00441A20">
            <w:pPr>
              <w:pStyle w:val="Tabletext0"/>
              <w:spacing w:before="0" w:after="120"/>
              <w:jc w:val="left"/>
            </w:pPr>
            <w:r>
              <w:t>NSCLC samples randomly selected from patients underwent diagnostic workup</w:t>
            </w:r>
            <w:r>
              <w:rPr>
                <w:rFonts w:eastAsiaTheme="minorHAnsi" w:cstheme="minorBidi"/>
                <w:szCs w:val="22"/>
                <w:lang w:eastAsia="en-US"/>
              </w:rPr>
              <w:t xml:space="preserve"> </w:t>
            </w:r>
          </w:p>
        </w:tc>
        <w:tc>
          <w:tcPr>
            <w:tcW w:w="783" w:type="pct"/>
          </w:tcPr>
          <w:p w14:paraId="0DF7DFD8" w14:textId="273EA47A" w:rsidR="00441A20" w:rsidRDefault="00441A20" w:rsidP="00441A20">
            <w:pPr>
              <w:pStyle w:val="TableText"/>
            </w:pPr>
            <w:r>
              <w:t xml:space="preserve">NGS, targeting </w:t>
            </w:r>
            <w:r w:rsidRPr="00A45B53">
              <w:rPr>
                <w:i/>
              </w:rPr>
              <w:t>EGFR</w:t>
            </w:r>
            <w:r>
              <w:t xml:space="preserve"> exon 18-21, using a 454 GS-Junior Next Generation sequencer (Roche Diagnostics)</w:t>
            </w:r>
          </w:p>
        </w:tc>
        <w:tc>
          <w:tcPr>
            <w:tcW w:w="920" w:type="pct"/>
            <w:shd w:val="clear" w:color="auto" w:fill="auto"/>
          </w:tcPr>
          <w:p w14:paraId="79531B3C" w14:textId="29389B30" w:rsidR="00441A20" w:rsidRDefault="00441A20" w:rsidP="00441A20">
            <w:pPr>
              <w:pStyle w:val="TableText"/>
            </w:pPr>
            <w:r>
              <w:t>Sanger sequencing carried out using the GenomeLab DTCS Kit (Beckman Coulter, U.S.A.) and a CEQ2000 XL automatic DNA sequencer (Beckman Coulter)  and the BigDye Terminator kit (version 3.1; Life Technologies)</w:t>
            </w:r>
          </w:p>
        </w:tc>
        <w:tc>
          <w:tcPr>
            <w:tcW w:w="627" w:type="pct"/>
            <w:shd w:val="clear" w:color="auto" w:fill="auto"/>
          </w:tcPr>
          <w:p w14:paraId="0448CEBA" w14:textId="5AB983B2" w:rsidR="00441A20" w:rsidRDefault="00441A20" w:rsidP="00441A20">
            <w:pPr>
              <w:pStyle w:val="TableText"/>
            </w:pPr>
            <w:r>
              <w:t xml:space="preserve">Treatment received in </w:t>
            </w:r>
            <w:r>
              <w:rPr>
                <w:i/>
              </w:rPr>
              <w:t xml:space="preserve">EGFR </w:t>
            </w:r>
            <w:r>
              <w:t>discordant cases</w:t>
            </w:r>
          </w:p>
        </w:tc>
        <w:tc>
          <w:tcPr>
            <w:tcW w:w="469" w:type="pct"/>
          </w:tcPr>
          <w:p w14:paraId="782F67D8" w14:textId="5450D12E" w:rsidR="00441A20" w:rsidRDefault="00441A20" w:rsidP="00441A20">
            <w:pPr>
              <w:pStyle w:val="TableText"/>
            </w:pPr>
            <w:r>
              <w:t>No</w:t>
            </w:r>
          </w:p>
        </w:tc>
      </w:tr>
      <w:tr w:rsidR="00441A20" w:rsidRPr="00CE28E3" w14:paraId="2E9FC443"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7551F9BF" w14:textId="188C1D3C" w:rsidR="00441A20" w:rsidRDefault="00B4668F" w:rsidP="00441A20">
            <w:pPr>
              <w:pStyle w:val="TableText"/>
            </w:pPr>
            <w:r>
              <w:fldChar w:fldCharType="begin"/>
            </w:r>
            <w:r>
              <w:instrText xml:space="preserve"> ADDIN EN.CITE &lt;EndNote&gt;&lt;Cite&gt;&lt;Author&gt;DiBardino&lt;/Author&gt;&lt;Year&gt;2016&lt;/Year&gt;&lt;RecNum&gt;66&lt;/RecNum&gt;&lt;IDText&gt;517-+&lt;/IDText&gt;&lt;DisplayText&gt;(DiBardino et al. 2016)&lt;/DisplayText&gt;&lt;record&gt;&lt;rec-number&gt;66&lt;/rec-number&gt;&lt;foreign-keys&gt;&lt;key app="EN" db-id="0tprsse9cpp5r3ea5dz5p0xw2pfwvwxpa5a5" timestamp="1651814838"&gt;66&lt;/key&gt;&lt;/foreign-keys&gt;&lt;ref-type name="Journal Article"&gt;17&lt;/ref-type&gt;&lt;contributors&gt;&lt;authors&gt;&lt;author&gt;DiBardino, D. M.&lt;/author&gt;&lt;author&gt;Saqi, A.&lt;/author&gt;&lt;author&gt;Elvin, J. A.&lt;/author&gt;&lt;author&gt;Greenbowe, J.&lt;/author&gt;&lt;author&gt;Suh, J. H.&lt;/author&gt;&lt;author&gt;Miller, V. A.&lt;/author&gt;&lt;author&gt;Ali, S. M.&lt;/author&gt;&lt;author&gt;Stoopler, M.&lt;/author&gt;&lt;author&gt;Bulman, W. A.&lt;/author&gt;&lt;/authors&gt;&lt;/contributors&gt;&lt;titles&gt;&lt;title&gt;Yield and Clinical Utility of Next-Generation Sequencing in Selected Patients With Lung Adenocarcinoma&lt;/title&gt;&lt;secondary-title&gt;Clinical Lung Cancer&lt;/secondary-title&gt;&lt;/titles&gt;&lt;periodical&gt;&lt;full-title&gt;Clinical Lung Cancer&lt;/full-title&gt;&lt;/periodical&gt;&lt;pages&gt;517-+&lt;/pages&gt;&lt;volume&gt;17&lt;/volume&gt;&lt;number&gt;6&lt;/number&gt;&lt;dates&gt;&lt;year&gt;2016&lt;/year&gt;&lt;pub-dates&gt;&lt;date&gt;Nov&lt;/date&gt;&lt;/pub-dates&gt;&lt;/dates&gt;&lt;isbn&gt;1525-7304&lt;/isbn&gt;&lt;accession-num&gt;WOS:000386329500006&lt;/accession-num&gt;&lt;urls&gt;&lt;related-urls&gt;&lt;url&gt;&lt;style face="underline" font="default" size="100%"&gt;&amp;lt;Go to ISI&amp;gt;://WOS:000386329500006&lt;/style&gt;&lt;/url&gt;&lt;url&gt;&lt;style face="underline" font="default" size="100%"&gt;https://ac.els-cdn.com/S1525730416301334/1-s2.0-S1525730416301334-main.pdf?_tid=88836b01-beeb-4440-9c4c-11e1353c1d27&amp;amp;acdnat=1548814245_225f28b86c26e094b8379606d5e03732&lt;/style&gt;&lt;/url&gt;&lt;/related-urls&gt;&lt;/urls&gt;&lt;electronic-resource-num&gt;10.1016/j.cllc.2016.05.017&lt;/electronic-resource-num&gt;&lt;research-notes&gt;management data. can&amp;apos;t extract 2x2 concordance. &lt;/research-notes&gt;&lt;/record&gt;&lt;/Cite&gt;&lt;/EndNote&gt;</w:instrText>
            </w:r>
            <w:r>
              <w:fldChar w:fldCharType="separate"/>
            </w:r>
            <w:r>
              <w:rPr>
                <w:noProof/>
              </w:rPr>
              <w:t>(DiBardino et al. 2016)</w:t>
            </w:r>
            <w:r>
              <w:fldChar w:fldCharType="end"/>
            </w:r>
          </w:p>
          <w:p w14:paraId="26DFCED0" w14:textId="1061E606" w:rsidR="00441A20" w:rsidRPr="00985704" w:rsidRDefault="00441A20" w:rsidP="00441A20">
            <w:pPr>
              <w:pStyle w:val="TableText"/>
            </w:pPr>
            <w:r>
              <w:t>United States</w:t>
            </w:r>
          </w:p>
        </w:tc>
        <w:tc>
          <w:tcPr>
            <w:tcW w:w="253" w:type="pct"/>
            <w:shd w:val="clear" w:color="auto" w:fill="auto"/>
          </w:tcPr>
          <w:p w14:paraId="730DC2D2" w14:textId="56186DB9" w:rsidR="00441A20" w:rsidRPr="00985704" w:rsidRDefault="00441A20" w:rsidP="00441A20">
            <w:pPr>
              <w:pStyle w:val="TableText"/>
            </w:pPr>
            <w:r>
              <w:t>49</w:t>
            </w:r>
          </w:p>
        </w:tc>
        <w:tc>
          <w:tcPr>
            <w:tcW w:w="593" w:type="pct"/>
            <w:shd w:val="clear" w:color="auto" w:fill="auto"/>
          </w:tcPr>
          <w:p w14:paraId="3CD3431C" w14:textId="77777777" w:rsidR="00A01881" w:rsidRDefault="00A01881" w:rsidP="00A01881">
            <w:pPr>
              <w:pStyle w:val="Tabletext0"/>
              <w:spacing w:before="0" w:after="120"/>
              <w:jc w:val="left"/>
            </w:pPr>
            <w:r>
              <w:t>Retrospective cohort study</w:t>
            </w:r>
          </w:p>
          <w:p w14:paraId="0FC26F01" w14:textId="77777777" w:rsidR="00A01881" w:rsidRDefault="00A01881" w:rsidP="00A01881">
            <w:pPr>
              <w:pStyle w:val="Tabletext0"/>
              <w:spacing w:before="0" w:after="120"/>
              <w:jc w:val="left"/>
            </w:pPr>
            <w:r>
              <w:t>Level III-2</w:t>
            </w:r>
          </w:p>
          <w:p w14:paraId="71F7FA82" w14:textId="31292712" w:rsidR="004569A2" w:rsidRPr="00985704" w:rsidRDefault="00A01881" w:rsidP="00A01881">
            <w:pPr>
              <w:pStyle w:val="TableText"/>
            </w:pPr>
            <w:r>
              <w:t>Low to moderate risk of bias (QUADAS 2)</w:t>
            </w:r>
          </w:p>
        </w:tc>
        <w:tc>
          <w:tcPr>
            <w:tcW w:w="732" w:type="pct"/>
          </w:tcPr>
          <w:p w14:paraId="3D26A821" w14:textId="7BD1CBD6" w:rsidR="00441A20" w:rsidRDefault="00441A20" w:rsidP="00441A20">
            <w:pPr>
              <w:pStyle w:val="Tabletext0"/>
              <w:spacing w:before="0" w:after="120"/>
              <w:jc w:val="left"/>
            </w:pPr>
            <w:r>
              <w:t>N=49</w:t>
            </w:r>
          </w:p>
          <w:p w14:paraId="51522FC2" w14:textId="00B8EBB9" w:rsidR="00441A20" w:rsidRPr="009733C9" w:rsidRDefault="00441A20" w:rsidP="00441A20">
            <w:pPr>
              <w:pStyle w:val="TableText"/>
              <w:spacing w:before="0" w:after="120"/>
              <w:rPr>
                <w:snapToGrid w:val="0"/>
              </w:rPr>
            </w:pPr>
            <w:r>
              <w:rPr>
                <w:snapToGrid w:val="0"/>
              </w:rPr>
              <w:t>NSCLC patient case series, 30 (61%) metastatic</w:t>
            </w:r>
          </w:p>
        </w:tc>
        <w:tc>
          <w:tcPr>
            <w:tcW w:w="783" w:type="pct"/>
          </w:tcPr>
          <w:p w14:paraId="58FEF9EB" w14:textId="6EC9978E" w:rsidR="00441A20" w:rsidRPr="00985704" w:rsidRDefault="00441A20" w:rsidP="00441A20">
            <w:pPr>
              <w:pStyle w:val="TableText"/>
            </w:pPr>
            <w:r w:rsidRPr="00762C49">
              <w:t>Hybridisation capture and sequencing of exons of 236 genes and 19 rearrangement</w:t>
            </w:r>
          </w:p>
        </w:tc>
        <w:tc>
          <w:tcPr>
            <w:tcW w:w="920" w:type="pct"/>
            <w:shd w:val="clear" w:color="auto" w:fill="auto"/>
          </w:tcPr>
          <w:p w14:paraId="48C6A169" w14:textId="46C82410" w:rsidR="00441A20" w:rsidRPr="00985704" w:rsidRDefault="00441A20" w:rsidP="00441A20">
            <w:pPr>
              <w:pStyle w:val="TableText"/>
            </w:pPr>
            <w:r w:rsidRPr="00762C49">
              <w:t xml:space="preserve">Single gene assay for </w:t>
            </w:r>
            <w:r w:rsidRPr="007F786A">
              <w:rPr>
                <w:i/>
              </w:rPr>
              <w:t>EGFR</w:t>
            </w:r>
            <w:r w:rsidRPr="00762C49">
              <w:t xml:space="preserve"> (n=25), FISH for </w:t>
            </w:r>
            <w:r w:rsidRPr="00547C61">
              <w:rPr>
                <w:i/>
              </w:rPr>
              <w:t>ALK</w:t>
            </w:r>
            <w:r w:rsidRPr="00762C49">
              <w:t xml:space="preserve"> (n=20)</w:t>
            </w:r>
          </w:p>
        </w:tc>
        <w:tc>
          <w:tcPr>
            <w:tcW w:w="627" w:type="pct"/>
            <w:shd w:val="clear" w:color="auto" w:fill="auto"/>
          </w:tcPr>
          <w:p w14:paraId="072B0859" w14:textId="4FF50F32" w:rsidR="00441A20" w:rsidRPr="00985704" w:rsidRDefault="00441A20" w:rsidP="00441A20">
            <w:pPr>
              <w:pStyle w:val="TableText"/>
            </w:pPr>
            <w:r>
              <w:t>Management changes due to NGS (</w:t>
            </w:r>
            <w:r>
              <w:rPr>
                <w:i/>
              </w:rPr>
              <w:t xml:space="preserve">EGFR, ALK </w:t>
            </w:r>
            <w:r w:rsidRPr="00BF56FA">
              <w:t>and</w:t>
            </w:r>
            <w:r>
              <w:rPr>
                <w:i/>
              </w:rPr>
              <w:t xml:space="preserve"> ROS1 )</w:t>
            </w:r>
          </w:p>
        </w:tc>
        <w:tc>
          <w:tcPr>
            <w:tcW w:w="469" w:type="pct"/>
          </w:tcPr>
          <w:p w14:paraId="18EBF196" w14:textId="52D574D5" w:rsidR="00441A20" w:rsidRPr="00985704" w:rsidRDefault="00441A20" w:rsidP="00441A20">
            <w:pPr>
              <w:pStyle w:val="TableText"/>
            </w:pPr>
            <w:r>
              <w:t>No</w:t>
            </w:r>
          </w:p>
        </w:tc>
      </w:tr>
      <w:tr w:rsidR="00441A20" w:rsidRPr="00CE28E3" w14:paraId="41B6788A"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2C6DDD4B" w14:textId="67AF507A" w:rsidR="00441A20" w:rsidRDefault="00B4668F" w:rsidP="00441A20">
            <w:pPr>
              <w:pStyle w:val="TableText"/>
            </w:pPr>
            <w:r>
              <w:fldChar w:fldCharType="begin">
                <w:fldData xml:space="preserve">PEVuZE5vdGU+PENpdGU+PEF1dGhvcj5HdXRpZXJyZXo8L0F1dGhvcj48WWVhcj4yMDE3PC9ZZWFy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=
</w:fldData>
              </w:fldChar>
            </w:r>
            <w:r>
              <w:instrText xml:space="preserve"> ADDIN EN.CITE </w:instrText>
            </w:r>
            <w:r>
              <w:fldChar w:fldCharType="begin">
                <w:fldData xml:space="preserve">PEVuZE5vdGU+PENpdGU+PEF1dGhvcj5HdXRpZXJyZXo8L0F1dGhvcj48WWVhcj4yMDE3PC9ZZWFy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=
</w:fldData>
              </w:fldChar>
            </w:r>
            <w:r>
              <w:instrText xml:space="preserve"> ADDIN EN.CITE.DATA </w:instrText>
            </w:r>
            <w:r>
              <w:fldChar w:fldCharType="end"/>
            </w:r>
            <w:r>
              <w:fldChar w:fldCharType="separate"/>
            </w:r>
            <w:r>
              <w:rPr>
                <w:noProof/>
              </w:rPr>
              <w:t>(Gutierrez et al. 2017)</w:t>
            </w:r>
            <w:r>
              <w:fldChar w:fldCharType="end"/>
            </w:r>
          </w:p>
          <w:p w14:paraId="2A8B04EC" w14:textId="1F2EE256" w:rsidR="00441A20" w:rsidRPr="00847EEA" w:rsidRDefault="00441A20" w:rsidP="00441A20">
            <w:pPr>
              <w:pStyle w:val="TableText"/>
            </w:pPr>
            <w:r>
              <w:t>United States</w:t>
            </w:r>
          </w:p>
        </w:tc>
        <w:tc>
          <w:tcPr>
            <w:tcW w:w="253" w:type="pct"/>
            <w:shd w:val="clear" w:color="auto" w:fill="auto"/>
          </w:tcPr>
          <w:p w14:paraId="3248A4AE" w14:textId="4D23D23C" w:rsidR="00441A20" w:rsidRPr="00985704" w:rsidRDefault="00441A20" w:rsidP="00441A20">
            <w:pPr>
              <w:pStyle w:val="TableText"/>
            </w:pPr>
            <w:r>
              <w:t>53</w:t>
            </w:r>
          </w:p>
        </w:tc>
        <w:tc>
          <w:tcPr>
            <w:tcW w:w="593" w:type="pct"/>
            <w:shd w:val="clear" w:color="auto" w:fill="auto"/>
          </w:tcPr>
          <w:p w14:paraId="1ACFE081" w14:textId="77777777" w:rsidR="00A01881" w:rsidRDefault="00A01881" w:rsidP="00A01881">
            <w:pPr>
              <w:pStyle w:val="Tabletext0"/>
              <w:spacing w:before="0" w:after="120"/>
              <w:jc w:val="left"/>
            </w:pPr>
            <w:r>
              <w:t>Retrospective cohort study</w:t>
            </w:r>
          </w:p>
          <w:p w14:paraId="33E46EC9" w14:textId="77777777" w:rsidR="00A01881" w:rsidRDefault="00A01881" w:rsidP="00A01881">
            <w:pPr>
              <w:pStyle w:val="Tabletext0"/>
              <w:spacing w:before="0" w:after="120"/>
              <w:jc w:val="left"/>
            </w:pPr>
            <w:r>
              <w:t>Level III-2</w:t>
            </w:r>
          </w:p>
          <w:p w14:paraId="27E283F9" w14:textId="5D7AD827" w:rsidR="00441A20" w:rsidRPr="00985704" w:rsidRDefault="00A01881" w:rsidP="00A01881">
            <w:pPr>
              <w:pStyle w:val="TableText"/>
            </w:pPr>
            <w:r>
              <w:t xml:space="preserve">Low risk of bias </w:t>
            </w:r>
            <w:r w:rsidRPr="00FE1788">
              <w:t>(</w:t>
            </w:r>
            <w:r>
              <w:t>SIGN for cohorts)</w:t>
            </w:r>
          </w:p>
        </w:tc>
        <w:tc>
          <w:tcPr>
            <w:tcW w:w="732" w:type="pct"/>
          </w:tcPr>
          <w:p w14:paraId="5A8D67C4" w14:textId="02E07611" w:rsidR="00441A20" w:rsidRDefault="00441A20" w:rsidP="00441A20">
            <w:pPr>
              <w:pStyle w:val="Tabletext0"/>
              <w:spacing w:before="0" w:after="120"/>
              <w:jc w:val="left"/>
              <w:rPr>
                <w:snapToGrid w:val="0"/>
              </w:rPr>
            </w:pPr>
            <w:r>
              <w:rPr>
                <w:snapToGrid w:val="0"/>
              </w:rPr>
              <w:t>N=53/814</w:t>
            </w:r>
          </w:p>
          <w:p w14:paraId="37EDBC5A" w14:textId="21F785AE" w:rsidR="00441A20" w:rsidRPr="00A11338" w:rsidRDefault="00441A20" w:rsidP="00441A20">
            <w:pPr>
              <w:pStyle w:val="TableText"/>
              <w:rPr>
                <w:i/>
              </w:rPr>
            </w:pPr>
            <w:r>
              <w:rPr>
                <w:snapToGrid w:val="0"/>
              </w:rPr>
              <w:t xml:space="preserve">Patients with non-squamous NSCLC in 2013 to 2015, who had insufficient tissue for testing </w:t>
            </w:r>
            <w:r>
              <w:rPr>
                <w:i/>
                <w:snapToGrid w:val="0"/>
              </w:rPr>
              <w:t>EGFR/ALK</w:t>
            </w:r>
          </w:p>
        </w:tc>
        <w:tc>
          <w:tcPr>
            <w:tcW w:w="783" w:type="pct"/>
          </w:tcPr>
          <w:p w14:paraId="365F9AD1" w14:textId="162802F7" w:rsidR="00441A20" w:rsidRPr="00985704" w:rsidRDefault="00441A20" w:rsidP="00441A20">
            <w:pPr>
              <w:pStyle w:val="TableText"/>
            </w:pPr>
            <w:r>
              <w:t>Full panel NGS testing for 7 genes</w:t>
            </w:r>
          </w:p>
        </w:tc>
        <w:tc>
          <w:tcPr>
            <w:tcW w:w="920" w:type="pct"/>
            <w:shd w:val="clear" w:color="auto" w:fill="auto"/>
          </w:tcPr>
          <w:p w14:paraId="0CC320C4" w14:textId="1EAB572C" w:rsidR="00441A20" w:rsidRPr="00985704" w:rsidRDefault="00441A20" w:rsidP="00441A20">
            <w:pPr>
              <w:pStyle w:val="TableText"/>
            </w:pPr>
            <w:r>
              <w:t>-</w:t>
            </w:r>
          </w:p>
        </w:tc>
        <w:tc>
          <w:tcPr>
            <w:tcW w:w="627" w:type="pct"/>
            <w:shd w:val="clear" w:color="auto" w:fill="auto"/>
          </w:tcPr>
          <w:p w14:paraId="34CCB4B4" w14:textId="6D123BE0" w:rsidR="00441A20" w:rsidRDefault="00441A20" w:rsidP="00441A20">
            <w:pPr>
              <w:pStyle w:val="TableText"/>
            </w:pPr>
            <w:r>
              <w:t>Rate of rebiopsy</w:t>
            </w:r>
          </w:p>
        </w:tc>
        <w:tc>
          <w:tcPr>
            <w:tcW w:w="469" w:type="pct"/>
          </w:tcPr>
          <w:p w14:paraId="2C3D2B64" w14:textId="38E001D6" w:rsidR="00441A20" w:rsidRDefault="00441A20" w:rsidP="00441A20">
            <w:pPr>
              <w:pStyle w:val="TableText"/>
            </w:pPr>
            <w:r>
              <w:t>No</w:t>
            </w:r>
          </w:p>
        </w:tc>
      </w:tr>
      <w:tr w:rsidR="00441A20" w:rsidRPr="00CE28E3" w14:paraId="22BEC79A"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333718C6" w14:textId="46AFA50F" w:rsidR="00441A20" w:rsidRDefault="00B4668F" w:rsidP="00441A20">
            <w:pPr>
              <w:pStyle w:val="TableText"/>
            </w:pPr>
            <w:r>
              <w:fldChar w:fldCharType="begin"/>
            </w:r>
            <w:r>
              <w:instrText xml:space="preserve"> ADDIN EN.CITE &lt;EndNote&gt;&lt;Cite&gt;&lt;Author&gt;Hamblin&lt;/Author&gt;&lt;Year&gt;2017&lt;/Year&gt;&lt;RecNum&gt;161&lt;/RecNum&gt;&lt;IDText&gt;e1002230-NA&lt;/IDText&gt;&lt;DisplayText&gt;(Hamblin et al. 2017)&lt;/DisplayText&gt;&lt;record&gt;&lt;rec-number&gt;161&lt;/rec-number&gt;&lt;foreign-keys&gt;&lt;key app="EN" db-id="0tprsse9cpp5r3ea5dz5p0xw2pfwvwxpa5a5" timestamp="1655264278"&gt;161&lt;/key&gt;&lt;/foreign-keys&gt;&lt;ref-type name="Journal Article"&gt;17&lt;/ref-type&gt;&lt;contributors&gt;&lt;authors&gt;&lt;author&gt;Hamblin, Angela&lt;/author&gt;&lt;author&gt;Wordsworth, Sarah&lt;/author&gt;&lt;author&gt;Fermont, Jilles M.&lt;/author&gt;&lt;author&gt;Page, Suzanne&lt;/author&gt;&lt;author&gt;Kaur, Kulvinder&lt;/author&gt;&lt;author&gt;Camps, Carme&lt;/author&gt;&lt;author&gt;Kaisaki, Pamela J.&lt;/author&gt;&lt;author&gt;Gupta, Avinash&lt;/author&gt;&lt;author&gt;Talbot, Denis&lt;/author&gt;&lt;author&gt;Middleton, Mark R.&lt;/author&gt;&lt;author&gt;Henderson, Shirley&lt;/author&gt;&lt;author&gt;Cutts, Anthony&lt;/author&gt;&lt;author&gt;Vavoulis, Dimitrios V.&lt;/author&gt;&lt;author&gt;Housby, Nick&lt;/author&gt;&lt;author&gt;Tomlinson, Ian&lt;/author&gt;&lt;author&gt;Taylor, Jenny C.&lt;/author&gt;&lt;author&gt;Schuh, Anna&lt;/author&gt;&lt;/authors&gt;&lt;/contributors&gt;&lt;titles&gt;&lt;title&gt;Clinical applicability and cost of a 46-gene panel for genomic analysis of solid tumours: Retrospective validation and prospective audit in the UK National Health Service&lt;/title&gt;&lt;secondary-title&gt;PLoS medicine&lt;/secondary-title&gt;&lt;/titles&gt;&lt;periodical&gt;&lt;full-title&gt;PLoS medicine&lt;/full-title&gt;&lt;/periodical&gt;&lt;pages&gt;e1002230-NA&lt;/pages&gt;&lt;volume&gt;14&lt;/volume&gt;&lt;number&gt;2&lt;/number&gt;&lt;dates&gt;&lt;year&gt;2017&lt;/year&gt;&lt;/dates&gt;&lt;urls&gt;&lt;related-urls&gt;&lt;url&gt;https://www.ncbi.nlm.nih.gov/pmc/articles/PMC5308858/pdf/pmed.1002230.pdf&lt;/url&gt;&lt;/related-urls&gt;&lt;/urls&gt;&lt;electronic-resource-num&gt;10.1371/journal.pmed.1002230&lt;/electronic-resource-num&gt;&lt;research-notes&gt;P - rare EGFR mutation - change in management&lt;/research-notes&gt;&lt;/record&gt;&lt;/Cite&gt;&lt;/EndNote&gt;</w:instrText>
            </w:r>
            <w:r>
              <w:fldChar w:fldCharType="separate"/>
            </w:r>
            <w:r>
              <w:rPr>
                <w:noProof/>
              </w:rPr>
              <w:t>(Hamblin et al. 2017)</w:t>
            </w:r>
            <w:r>
              <w:fldChar w:fldCharType="end"/>
            </w:r>
          </w:p>
          <w:p w14:paraId="68AF68BD" w14:textId="335825E7" w:rsidR="00441A20" w:rsidRDefault="00441A20" w:rsidP="00441A20">
            <w:pPr>
              <w:pStyle w:val="TableText"/>
            </w:pPr>
            <w:r>
              <w:t>United Kingdom</w:t>
            </w:r>
          </w:p>
        </w:tc>
        <w:tc>
          <w:tcPr>
            <w:tcW w:w="253" w:type="pct"/>
            <w:shd w:val="clear" w:color="auto" w:fill="auto"/>
          </w:tcPr>
          <w:p w14:paraId="2C51F7B9" w14:textId="5DEE13A8" w:rsidR="00441A20" w:rsidRPr="00441A20" w:rsidRDefault="00441A20" w:rsidP="00441A20">
            <w:pPr>
              <w:pStyle w:val="TableText"/>
            </w:pPr>
            <w:r w:rsidRPr="00441A20">
              <w:t>4</w:t>
            </w:r>
          </w:p>
        </w:tc>
        <w:tc>
          <w:tcPr>
            <w:tcW w:w="593" w:type="pct"/>
            <w:shd w:val="clear" w:color="auto" w:fill="auto"/>
          </w:tcPr>
          <w:p w14:paraId="737697DF" w14:textId="77777777" w:rsidR="00A01881" w:rsidRDefault="00A01881" w:rsidP="00A01881">
            <w:pPr>
              <w:pStyle w:val="Tabletext0"/>
              <w:spacing w:before="0" w:after="120"/>
              <w:jc w:val="left"/>
            </w:pPr>
            <w:r>
              <w:t>Prospective cohort</w:t>
            </w:r>
          </w:p>
          <w:p w14:paraId="27AD2FE3" w14:textId="77777777" w:rsidR="00A01881" w:rsidRDefault="00A01881" w:rsidP="00A01881">
            <w:pPr>
              <w:pStyle w:val="Tabletext0"/>
              <w:spacing w:before="0" w:after="120"/>
              <w:jc w:val="left"/>
            </w:pPr>
            <w:r>
              <w:t>Level III-2</w:t>
            </w:r>
          </w:p>
          <w:p w14:paraId="5F993E9C" w14:textId="3A12E444" w:rsidR="00441A20" w:rsidRPr="00B66515" w:rsidRDefault="00A01881" w:rsidP="00A01881">
            <w:pPr>
              <w:pStyle w:val="TableText"/>
            </w:pPr>
            <w:r>
              <w:t xml:space="preserve">Low risk of bias </w:t>
            </w:r>
            <w:r w:rsidRPr="00FE1788">
              <w:t>(</w:t>
            </w:r>
            <w:r>
              <w:t>SIGN for cohorts)</w:t>
            </w:r>
          </w:p>
        </w:tc>
        <w:tc>
          <w:tcPr>
            <w:tcW w:w="732" w:type="pct"/>
          </w:tcPr>
          <w:p w14:paraId="1503CEAD" w14:textId="0E466A64" w:rsidR="00441A20" w:rsidRPr="00CE28E3" w:rsidRDefault="00441A20" w:rsidP="00441A20">
            <w:pPr>
              <w:pStyle w:val="TableText"/>
              <w:rPr>
                <w:b/>
              </w:rPr>
            </w:pPr>
            <w:r>
              <w:t xml:space="preserve">N=4/108 NSCLC </w:t>
            </w:r>
            <w:r w:rsidRPr="00393F66">
              <w:t>patients who treating clinicians thought might benefit from more extensive genetic analysis</w:t>
            </w:r>
            <w:r>
              <w:t>, who had discordant results between NGS and cobas assays</w:t>
            </w:r>
          </w:p>
        </w:tc>
        <w:tc>
          <w:tcPr>
            <w:tcW w:w="783" w:type="pct"/>
          </w:tcPr>
          <w:p w14:paraId="4E1C7AD2" w14:textId="0F2A64CA" w:rsidR="00441A20" w:rsidRDefault="00441A20" w:rsidP="00441A20">
            <w:pPr>
              <w:pStyle w:val="TableText"/>
            </w:pPr>
            <w:r>
              <w:t xml:space="preserve">NGS using 46-gene Ion </w:t>
            </w:r>
            <w:r w:rsidR="00DE60C3">
              <w:t>A</w:t>
            </w:r>
            <w:r>
              <w:t xml:space="preserve">mpliSeq Cancer Hotspot Panel (Thermo Fisher </w:t>
            </w:r>
            <w:r w:rsidRPr="00EF6C4C">
              <w:t>Scientific</w:t>
            </w:r>
            <w:r>
              <w:t>)</w:t>
            </w:r>
          </w:p>
        </w:tc>
        <w:tc>
          <w:tcPr>
            <w:tcW w:w="920" w:type="pct"/>
            <w:shd w:val="clear" w:color="auto" w:fill="auto"/>
          </w:tcPr>
          <w:p w14:paraId="35A09811" w14:textId="56128510" w:rsidR="00441A20" w:rsidRPr="00CE28E3" w:rsidRDefault="00441A20" w:rsidP="00441A20">
            <w:pPr>
              <w:pStyle w:val="TableText"/>
              <w:rPr>
                <w:b/>
              </w:rPr>
            </w:pPr>
            <w:r>
              <w:t xml:space="preserve">Roche cobas </w:t>
            </w:r>
            <w:r>
              <w:rPr>
                <w:i/>
              </w:rPr>
              <w:t xml:space="preserve">EGFR/KRAS/BRAF </w:t>
            </w:r>
            <w:r>
              <w:t>(for NSCLC samples)</w:t>
            </w:r>
          </w:p>
        </w:tc>
        <w:tc>
          <w:tcPr>
            <w:tcW w:w="627" w:type="pct"/>
            <w:shd w:val="clear" w:color="auto" w:fill="auto"/>
          </w:tcPr>
          <w:p w14:paraId="6CF68C7B" w14:textId="371B020C" w:rsidR="00441A20" w:rsidRPr="00CE28E3" w:rsidRDefault="00441A20" w:rsidP="00441A20">
            <w:pPr>
              <w:pStyle w:val="TableText"/>
              <w:rPr>
                <w:b/>
              </w:rPr>
            </w:pPr>
            <w:r>
              <w:t>Treatment received in discordant cases</w:t>
            </w:r>
          </w:p>
        </w:tc>
        <w:tc>
          <w:tcPr>
            <w:tcW w:w="469" w:type="pct"/>
          </w:tcPr>
          <w:p w14:paraId="49782F63" w14:textId="0D34732C" w:rsidR="00441A20" w:rsidRPr="00EF698E" w:rsidRDefault="00441A20" w:rsidP="00441A20">
            <w:pPr>
              <w:pStyle w:val="TableText"/>
            </w:pPr>
            <w:r w:rsidRPr="00EF698E">
              <w:t>No</w:t>
            </w:r>
          </w:p>
        </w:tc>
      </w:tr>
    </w:tbl>
    <w:p w14:paraId="54E938E7" w14:textId="56776167" w:rsidR="003B1CF1" w:rsidRDefault="003B1CF1" w:rsidP="003B1CF1">
      <w:pPr>
        <w:tabs>
          <w:tab w:val="left" w:pos="965"/>
        </w:tabs>
      </w:pPr>
    </w:p>
    <w:tbl>
      <w:tblPr>
        <w:tblStyle w:val="TableGrid1"/>
        <w:tblpPr w:leftFromText="180" w:rightFromText="180" w:vertAnchor="text" w:tblpY="1"/>
        <w:tblOverlap w:val="never"/>
        <w:tblW w:w="4950" w:type="pct"/>
        <w:tblCellMar>
          <w:left w:w="28" w:type="dxa"/>
          <w:right w:w="28" w:type="dxa"/>
        </w:tblCellMar>
        <w:tblLook w:val="04A0" w:firstRow="1" w:lastRow="0" w:firstColumn="1" w:lastColumn="0" w:noHBand="0" w:noVBand="1"/>
      </w:tblPr>
      <w:tblGrid>
        <w:gridCol w:w="1112"/>
        <w:gridCol w:w="452"/>
        <w:gridCol w:w="1059"/>
        <w:gridCol w:w="1307"/>
        <w:gridCol w:w="1398"/>
        <w:gridCol w:w="1642"/>
        <w:gridCol w:w="1119"/>
        <w:gridCol w:w="837"/>
      </w:tblGrid>
      <w:tr w:rsidR="003B1CF1" w:rsidRPr="00CE28E3" w14:paraId="658C010B" w14:textId="77777777" w:rsidTr="004C2653">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vAlign w:val="center"/>
          </w:tcPr>
          <w:p w14:paraId="2F2D82D6" w14:textId="30DB9450" w:rsidR="003B1CF1" w:rsidRPr="003B1CF1" w:rsidRDefault="003B1CF1" w:rsidP="003B1CF1">
            <w:pPr>
              <w:pStyle w:val="TableText"/>
              <w:rPr>
                <w:b/>
              </w:rPr>
            </w:pPr>
            <w:r w:rsidRPr="003B1CF1">
              <w:rPr>
                <w:b/>
              </w:rPr>
              <w:t>Study</w:t>
            </w:r>
          </w:p>
        </w:tc>
        <w:tc>
          <w:tcPr>
            <w:tcW w:w="253" w:type="pct"/>
            <w:shd w:val="clear" w:color="auto" w:fill="auto"/>
            <w:vAlign w:val="center"/>
          </w:tcPr>
          <w:p w14:paraId="0001297B" w14:textId="72D5841F" w:rsidR="003B1CF1" w:rsidRPr="003B1CF1" w:rsidRDefault="003B1CF1" w:rsidP="003B1CF1">
            <w:pPr>
              <w:pStyle w:val="TableText"/>
              <w:rPr>
                <w:b/>
              </w:rPr>
            </w:pPr>
            <w:r w:rsidRPr="003B1CF1">
              <w:rPr>
                <w:b/>
              </w:rPr>
              <w:t>N</w:t>
            </w:r>
          </w:p>
        </w:tc>
        <w:tc>
          <w:tcPr>
            <w:tcW w:w="593" w:type="pct"/>
            <w:shd w:val="clear" w:color="auto" w:fill="auto"/>
            <w:vAlign w:val="center"/>
          </w:tcPr>
          <w:p w14:paraId="043A88E9" w14:textId="77777777" w:rsidR="003B1CF1" w:rsidRPr="003B1CF1" w:rsidRDefault="003B1CF1" w:rsidP="003B1CF1">
            <w:pPr>
              <w:pStyle w:val="TableHeading"/>
            </w:pPr>
            <w:r w:rsidRPr="003B1CF1">
              <w:t>Study design</w:t>
            </w:r>
          </w:p>
          <w:p w14:paraId="47A11013" w14:textId="54A2F8A2" w:rsidR="003B1CF1" w:rsidRPr="003B1CF1" w:rsidRDefault="003B1CF1" w:rsidP="003B1CF1">
            <w:pPr>
              <w:pStyle w:val="Tabletext0"/>
              <w:spacing w:before="0" w:after="120"/>
              <w:jc w:val="left"/>
              <w:rPr>
                <w:b/>
              </w:rPr>
            </w:pPr>
            <w:r w:rsidRPr="003B1CF1">
              <w:rPr>
                <w:b/>
              </w:rPr>
              <w:t>Risk of bias</w:t>
            </w:r>
          </w:p>
        </w:tc>
        <w:tc>
          <w:tcPr>
            <w:tcW w:w="732" w:type="pct"/>
            <w:vAlign w:val="center"/>
          </w:tcPr>
          <w:p w14:paraId="08F2922F" w14:textId="0B293C37" w:rsidR="003B1CF1" w:rsidRPr="003B1CF1" w:rsidRDefault="003B1CF1" w:rsidP="003B1CF1">
            <w:pPr>
              <w:pStyle w:val="Tabletext0"/>
              <w:spacing w:before="0" w:after="120"/>
              <w:jc w:val="left"/>
              <w:rPr>
                <w:b/>
              </w:rPr>
            </w:pPr>
            <w:r w:rsidRPr="003B1CF1">
              <w:rPr>
                <w:b/>
              </w:rPr>
              <w:t>Population</w:t>
            </w:r>
          </w:p>
        </w:tc>
        <w:tc>
          <w:tcPr>
            <w:tcW w:w="783" w:type="pct"/>
            <w:vAlign w:val="center"/>
          </w:tcPr>
          <w:p w14:paraId="5CDEB7EA" w14:textId="47F7C9E5" w:rsidR="003B1CF1" w:rsidRPr="003B1CF1" w:rsidRDefault="003B1CF1" w:rsidP="003B1CF1">
            <w:pPr>
              <w:pStyle w:val="Tabletext0"/>
              <w:spacing w:before="0" w:after="120"/>
              <w:jc w:val="left"/>
              <w:rPr>
                <w:b/>
              </w:rPr>
            </w:pPr>
            <w:r w:rsidRPr="003B1CF1">
              <w:rPr>
                <w:b/>
              </w:rPr>
              <w:t>Intervention</w:t>
            </w:r>
          </w:p>
        </w:tc>
        <w:tc>
          <w:tcPr>
            <w:tcW w:w="920" w:type="pct"/>
            <w:shd w:val="clear" w:color="auto" w:fill="auto"/>
            <w:vAlign w:val="center"/>
          </w:tcPr>
          <w:p w14:paraId="6742779A" w14:textId="08092DB6" w:rsidR="003B1CF1" w:rsidRPr="003B1CF1" w:rsidRDefault="003B1CF1" w:rsidP="003B1CF1">
            <w:pPr>
              <w:pStyle w:val="Tabletext0"/>
              <w:spacing w:before="0" w:after="120"/>
              <w:rPr>
                <w:b/>
              </w:rPr>
            </w:pPr>
            <w:r w:rsidRPr="003B1CF1">
              <w:rPr>
                <w:b/>
              </w:rPr>
              <w:t>Comparator</w:t>
            </w:r>
          </w:p>
        </w:tc>
        <w:tc>
          <w:tcPr>
            <w:tcW w:w="627" w:type="pct"/>
            <w:shd w:val="clear" w:color="auto" w:fill="auto"/>
            <w:vAlign w:val="center"/>
          </w:tcPr>
          <w:p w14:paraId="7BF348DA" w14:textId="632B5896" w:rsidR="003B1CF1" w:rsidRPr="003B1CF1" w:rsidRDefault="003B1CF1" w:rsidP="003B1CF1">
            <w:pPr>
              <w:pStyle w:val="TableText"/>
              <w:rPr>
                <w:b/>
              </w:rPr>
            </w:pPr>
            <w:r w:rsidRPr="003B1CF1">
              <w:rPr>
                <w:b/>
              </w:rPr>
              <w:t>Key outcome(s)</w:t>
            </w:r>
          </w:p>
        </w:tc>
        <w:tc>
          <w:tcPr>
            <w:tcW w:w="469" w:type="pct"/>
          </w:tcPr>
          <w:p w14:paraId="3F3EC157" w14:textId="10F2588C" w:rsidR="003B1CF1" w:rsidRPr="003B1CF1" w:rsidRDefault="003B1CF1" w:rsidP="003B1CF1">
            <w:pPr>
              <w:pStyle w:val="TableText"/>
              <w:rPr>
                <w:b/>
              </w:rPr>
            </w:pPr>
            <w:r w:rsidRPr="003B1CF1">
              <w:rPr>
                <w:b/>
              </w:rPr>
              <w:t>Result used in economic model</w:t>
            </w:r>
          </w:p>
        </w:tc>
      </w:tr>
      <w:tr w:rsidR="00441A20" w:rsidRPr="00CE28E3" w14:paraId="0498A596"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7CF27D9F" w14:textId="0E90C4C6" w:rsidR="00441A20" w:rsidRDefault="00B4668F" w:rsidP="00441A20">
            <w:pPr>
              <w:pStyle w:val="TableText"/>
            </w:pPr>
            <w:r>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EN.CITE.DATA </w:instrText>
            </w:r>
            <w:r w:rsidR="006D4612">
              <w:fldChar w:fldCharType="end"/>
            </w:r>
            <w:r>
              <w:fldChar w:fldCharType="separate"/>
            </w:r>
            <w:r w:rsidR="006D4612">
              <w:rPr>
                <w:noProof/>
              </w:rPr>
              <w:t>(Li, W, Li, Y, et al. 2021)</w:t>
            </w:r>
            <w:r>
              <w:fldChar w:fldCharType="end"/>
            </w:r>
          </w:p>
          <w:p w14:paraId="6C972CDC" w14:textId="75046443" w:rsidR="00441A20" w:rsidRPr="00E41B8D" w:rsidRDefault="00441A20" w:rsidP="00441A20">
            <w:pPr>
              <w:pStyle w:val="TableText"/>
            </w:pPr>
            <w:r>
              <w:t>China</w:t>
            </w:r>
          </w:p>
        </w:tc>
        <w:tc>
          <w:tcPr>
            <w:tcW w:w="253" w:type="pct"/>
            <w:shd w:val="clear" w:color="auto" w:fill="auto"/>
          </w:tcPr>
          <w:p w14:paraId="7EA0E8A8" w14:textId="029F9675" w:rsidR="00441A20" w:rsidRPr="00A11338" w:rsidRDefault="00441A20" w:rsidP="00441A20">
            <w:pPr>
              <w:pStyle w:val="TableText"/>
            </w:pPr>
            <w:r w:rsidRPr="00A11338">
              <w:t>172</w:t>
            </w:r>
          </w:p>
        </w:tc>
        <w:tc>
          <w:tcPr>
            <w:tcW w:w="593" w:type="pct"/>
            <w:shd w:val="clear" w:color="auto" w:fill="auto"/>
          </w:tcPr>
          <w:p w14:paraId="189EA4C9" w14:textId="77777777" w:rsidR="00A01881" w:rsidRDefault="00A01881" w:rsidP="00A01881">
            <w:pPr>
              <w:pStyle w:val="Tabletext0"/>
              <w:spacing w:before="0" w:after="120"/>
              <w:jc w:val="left"/>
            </w:pPr>
            <w:r>
              <w:t>Cohort study (retrospective or prospective unknown)</w:t>
            </w:r>
          </w:p>
          <w:p w14:paraId="19247F99" w14:textId="77777777" w:rsidR="00A01881" w:rsidRDefault="00A01881" w:rsidP="00A01881">
            <w:pPr>
              <w:pStyle w:val="Tabletext0"/>
              <w:spacing w:before="0" w:after="120"/>
              <w:jc w:val="left"/>
            </w:pPr>
            <w:r>
              <w:t xml:space="preserve">Level III-2 </w:t>
            </w:r>
          </w:p>
          <w:p w14:paraId="7E0A753B" w14:textId="283FDC7C" w:rsidR="00441A20" w:rsidRPr="009062F6" w:rsidRDefault="00A01881" w:rsidP="00A01881">
            <w:pPr>
              <w:pStyle w:val="TableText"/>
            </w:pPr>
            <w:r>
              <w:t xml:space="preserve">Low to moderate risk of bias </w:t>
            </w:r>
            <w:r w:rsidRPr="00FE1788">
              <w:t>(QUADAS 2)</w:t>
            </w:r>
          </w:p>
        </w:tc>
        <w:tc>
          <w:tcPr>
            <w:tcW w:w="732" w:type="pct"/>
          </w:tcPr>
          <w:p w14:paraId="7240508A" w14:textId="096188E0" w:rsidR="00441A20" w:rsidRPr="003C3BCE" w:rsidRDefault="00441A20" w:rsidP="00441A20">
            <w:pPr>
              <w:pStyle w:val="Tabletext0"/>
              <w:spacing w:before="0" w:after="120"/>
              <w:jc w:val="left"/>
            </w:pPr>
            <w:r>
              <w:t>N=172/1,392 newly diagnose, treatment-naïve metastatic NSCLC patients with limited tissue sample, who had insufficient tissue for NGS</w:t>
            </w:r>
          </w:p>
        </w:tc>
        <w:tc>
          <w:tcPr>
            <w:tcW w:w="783" w:type="pct"/>
          </w:tcPr>
          <w:p w14:paraId="285EC4EE" w14:textId="3758F509" w:rsidR="00441A20" w:rsidRDefault="00441A20" w:rsidP="00146905">
            <w:pPr>
              <w:pStyle w:val="Tabletext0"/>
              <w:spacing w:before="0" w:after="120"/>
              <w:jc w:val="left"/>
            </w:pPr>
            <w:r>
              <w:t xml:space="preserve">Tissue NGS panel designed against 56 cancer-related genes (Burning Rock Biotech, China), </w:t>
            </w:r>
            <w:r w:rsidRPr="008F7517">
              <w:t xml:space="preserve">sequenced on the </w:t>
            </w:r>
            <w:r>
              <w:t>NextSeq N500 platform (Illumina)</w:t>
            </w:r>
          </w:p>
        </w:tc>
        <w:tc>
          <w:tcPr>
            <w:tcW w:w="920" w:type="pct"/>
            <w:shd w:val="clear" w:color="auto" w:fill="auto"/>
          </w:tcPr>
          <w:p w14:paraId="44DC685A" w14:textId="3475F011" w:rsidR="00441A20" w:rsidRDefault="00441A20" w:rsidP="00441A20">
            <w:pPr>
              <w:pStyle w:val="Tabletext0"/>
              <w:spacing w:before="0" w:after="120"/>
            </w:pPr>
            <w:r>
              <w:t xml:space="preserve">ARMS-PCR for </w:t>
            </w:r>
            <w:r>
              <w:rPr>
                <w:i/>
              </w:rPr>
              <w:t>EGFR/KRAS/BRAF</w:t>
            </w:r>
            <w:r>
              <w:t xml:space="preserve">, </w:t>
            </w:r>
          </w:p>
          <w:p w14:paraId="569C1D56" w14:textId="4D43BFD7" w:rsidR="00441A20" w:rsidRDefault="00441A20" w:rsidP="00441A20">
            <w:pPr>
              <w:pStyle w:val="Tabletext0"/>
              <w:spacing w:before="0" w:after="120"/>
            </w:pPr>
            <w:r>
              <w:t xml:space="preserve">IHC for </w:t>
            </w:r>
            <w:r>
              <w:rPr>
                <w:i/>
              </w:rPr>
              <w:t>A</w:t>
            </w:r>
            <w:r w:rsidRPr="00921296">
              <w:rPr>
                <w:i/>
              </w:rPr>
              <w:t>LK</w:t>
            </w:r>
            <w:r>
              <w:t xml:space="preserve"> </w:t>
            </w:r>
          </w:p>
          <w:p w14:paraId="56B5AF9B" w14:textId="4896D747" w:rsidR="00441A20" w:rsidRPr="00B66515" w:rsidRDefault="00441A20" w:rsidP="00441A20">
            <w:pPr>
              <w:pStyle w:val="Tabletext0"/>
              <w:spacing w:before="0" w:after="120"/>
            </w:pPr>
            <w:r>
              <w:t xml:space="preserve">FISH: </w:t>
            </w:r>
            <w:r w:rsidRPr="00921296">
              <w:rPr>
                <w:i/>
              </w:rPr>
              <w:t>ROS1</w:t>
            </w:r>
            <w:r>
              <w:t xml:space="preserve"> and </w:t>
            </w:r>
            <w:r w:rsidRPr="00921296">
              <w:rPr>
                <w:i/>
              </w:rPr>
              <w:t>RET</w:t>
            </w:r>
            <w:r>
              <w:t xml:space="preserve"> </w:t>
            </w:r>
          </w:p>
        </w:tc>
        <w:tc>
          <w:tcPr>
            <w:tcW w:w="627" w:type="pct"/>
            <w:shd w:val="clear" w:color="auto" w:fill="auto"/>
          </w:tcPr>
          <w:p w14:paraId="131EC2A6" w14:textId="7D1CCEBA" w:rsidR="00441A20" w:rsidRDefault="00441A20" w:rsidP="00441A20">
            <w:pPr>
              <w:pStyle w:val="TableText"/>
            </w:pPr>
            <w:r>
              <w:t>Rate of rebiopsy</w:t>
            </w:r>
          </w:p>
        </w:tc>
        <w:tc>
          <w:tcPr>
            <w:tcW w:w="469" w:type="pct"/>
          </w:tcPr>
          <w:p w14:paraId="1E1E1F04" w14:textId="373D3181" w:rsidR="00441A20" w:rsidRPr="00EF698E" w:rsidRDefault="00441A20" w:rsidP="00441A20">
            <w:pPr>
              <w:pStyle w:val="TableText"/>
            </w:pPr>
            <w:r w:rsidRPr="00EF698E">
              <w:t>No</w:t>
            </w:r>
          </w:p>
        </w:tc>
      </w:tr>
      <w:tr w:rsidR="00441A20" w:rsidRPr="00CE28E3" w14:paraId="22ED50F7"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019F7EE2" w14:textId="5185E00A" w:rsidR="00441A20" w:rsidRDefault="00B4668F" w:rsidP="00441A20">
            <w:pPr>
              <w:pStyle w:val="TableText"/>
            </w:pP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 </w:instrText>
            </w: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EN.CITE.DATA </w:instrText>
            </w:r>
            <w:r>
              <w:fldChar w:fldCharType="end"/>
            </w:r>
            <w:r>
              <w:fldChar w:fldCharType="separate"/>
            </w:r>
            <w:r>
              <w:rPr>
                <w:noProof/>
              </w:rPr>
              <w:t>(Robert et al. 2022)</w:t>
            </w:r>
            <w:r>
              <w:fldChar w:fldCharType="end"/>
            </w:r>
          </w:p>
          <w:p w14:paraId="6F22D49B" w14:textId="7414A3AF" w:rsidR="00441A20" w:rsidRDefault="00441A20" w:rsidP="00441A20">
            <w:pPr>
              <w:pStyle w:val="TableText"/>
            </w:pPr>
            <w:r>
              <w:t>United States</w:t>
            </w:r>
          </w:p>
        </w:tc>
        <w:tc>
          <w:tcPr>
            <w:tcW w:w="253" w:type="pct"/>
            <w:shd w:val="clear" w:color="auto" w:fill="auto"/>
          </w:tcPr>
          <w:p w14:paraId="26432B42" w14:textId="07A4DE8F" w:rsidR="00441A20" w:rsidRPr="00441A20" w:rsidRDefault="00441A20" w:rsidP="00441A20">
            <w:pPr>
              <w:pStyle w:val="TableText"/>
            </w:pPr>
            <w:r w:rsidRPr="00441A20">
              <w:t>3474</w:t>
            </w:r>
          </w:p>
        </w:tc>
        <w:tc>
          <w:tcPr>
            <w:tcW w:w="593" w:type="pct"/>
            <w:shd w:val="clear" w:color="auto" w:fill="auto"/>
          </w:tcPr>
          <w:p w14:paraId="06CAB186" w14:textId="77777777" w:rsidR="00A01881" w:rsidRDefault="00A01881" w:rsidP="00A01881">
            <w:pPr>
              <w:pStyle w:val="Tabletext0"/>
              <w:spacing w:before="0" w:after="120"/>
              <w:jc w:val="left"/>
            </w:pPr>
            <w:r>
              <w:t>Retrospective cohort study</w:t>
            </w:r>
          </w:p>
          <w:p w14:paraId="29091649" w14:textId="77777777" w:rsidR="00A01881" w:rsidRDefault="00A01881" w:rsidP="00A01881">
            <w:pPr>
              <w:pStyle w:val="Tabletext0"/>
              <w:spacing w:before="0" w:after="120"/>
              <w:jc w:val="left"/>
            </w:pPr>
            <w:r>
              <w:t>Level III-2</w:t>
            </w:r>
          </w:p>
          <w:p w14:paraId="79DF3AA5" w14:textId="5CA8A641" w:rsidR="00441A20" w:rsidRPr="00CE28E3" w:rsidRDefault="00A01881" w:rsidP="00A01881">
            <w:pPr>
              <w:pStyle w:val="TableText"/>
              <w:rPr>
                <w:b/>
              </w:rPr>
            </w:pPr>
            <w:r w:rsidRPr="00A01881">
              <w:t>Low risk of bias</w:t>
            </w:r>
          </w:p>
        </w:tc>
        <w:tc>
          <w:tcPr>
            <w:tcW w:w="732" w:type="pct"/>
          </w:tcPr>
          <w:p w14:paraId="03D9CA93" w14:textId="7DE1F30C" w:rsidR="00441A20" w:rsidRPr="00CE28E3" w:rsidRDefault="00441A20" w:rsidP="00441A20">
            <w:pPr>
              <w:pStyle w:val="TableText"/>
              <w:rPr>
                <w:b/>
              </w:rPr>
            </w:pPr>
            <w:r>
              <w:t>N=3474 patients with mNSCLC that initiated 1</w:t>
            </w:r>
            <w:r w:rsidRPr="036200B1">
              <w:rPr>
                <w:vertAlign w:val="superscript"/>
              </w:rPr>
              <w:t>st</w:t>
            </w:r>
            <w:r>
              <w:t xml:space="preserve"> line treatment and had not received diagnosis or treatment for another cancer</w:t>
            </w:r>
          </w:p>
        </w:tc>
        <w:tc>
          <w:tcPr>
            <w:tcW w:w="783" w:type="pct"/>
          </w:tcPr>
          <w:p w14:paraId="553D1BFA" w14:textId="603608B2" w:rsidR="00441A20" w:rsidRDefault="00441A20" w:rsidP="00441A20">
            <w:pPr>
              <w:pStyle w:val="TableText"/>
            </w:pPr>
            <w:r>
              <w:t>Time from testing order to testing result for NGS</w:t>
            </w:r>
          </w:p>
        </w:tc>
        <w:tc>
          <w:tcPr>
            <w:tcW w:w="920" w:type="pct"/>
            <w:shd w:val="clear" w:color="auto" w:fill="auto"/>
          </w:tcPr>
          <w:p w14:paraId="246736F7" w14:textId="0CAD1EDF" w:rsidR="00441A20" w:rsidRPr="00CE28E3" w:rsidRDefault="00441A20" w:rsidP="00441A20">
            <w:pPr>
              <w:pStyle w:val="TableText"/>
              <w:rPr>
                <w:b/>
              </w:rPr>
            </w:pPr>
            <w:r>
              <w:t xml:space="preserve">Time from testing order to testing result for single biomarker testing of </w:t>
            </w:r>
            <w:r w:rsidR="004A3D42">
              <w:rPr>
                <w:i/>
              </w:rPr>
              <w:t>EGFR</w:t>
            </w:r>
            <w:r w:rsidRPr="005E1840">
              <w:rPr>
                <w:i/>
              </w:rPr>
              <w:t>, ALK, ROS1, BRAF,</w:t>
            </w:r>
            <w:r>
              <w:t xml:space="preserve"> and PD-L1</w:t>
            </w:r>
          </w:p>
        </w:tc>
        <w:tc>
          <w:tcPr>
            <w:tcW w:w="627" w:type="pct"/>
            <w:shd w:val="clear" w:color="auto" w:fill="auto"/>
          </w:tcPr>
          <w:p w14:paraId="26B45FD9" w14:textId="64124F7C" w:rsidR="00441A20" w:rsidRPr="00EF698E" w:rsidRDefault="00441A20" w:rsidP="00441A20">
            <w:pPr>
              <w:pStyle w:val="TableText"/>
            </w:pPr>
            <w:r w:rsidRPr="00EF698E">
              <w:t>Timing of treatment initiation</w:t>
            </w:r>
          </w:p>
        </w:tc>
        <w:tc>
          <w:tcPr>
            <w:tcW w:w="469" w:type="pct"/>
          </w:tcPr>
          <w:p w14:paraId="70CDD18F" w14:textId="0BBBFBDD" w:rsidR="00441A20" w:rsidRPr="00EF698E" w:rsidRDefault="00441A20" w:rsidP="00441A20">
            <w:pPr>
              <w:pStyle w:val="TableText"/>
            </w:pPr>
            <w:r w:rsidRPr="00EF698E">
              <w:t>No</w:t>
            </w:r>
          </w:p>
        </w:tc>
      </w:tr>
      <w:tr w:rsidR="00441A20" w:rsidRPr="00CE28E3" w14:paraId="26BEABE7"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54AAC07E" w14:textId="711CE0C2" w:rsidR="00441A20" w:rsidRDefault="00B4668F" w:rsidP="00441A20">
            <w:pPr>
              <w:pStyle w:val="TableText"/>
            </w:pP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 </w:instrText>
            </w: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EN.CITE.DATA </w:instrText>
            </w:r>
            <w:r>
              <w:fldChar w:fldCharType="end"/>
            </w:r>
            <w:r>
              <w:fldChar w:fldCharType="separate"/>
            </w:r>
            <w:r>
              <w:rPr>
                <w:noProof/>
              </w:rPr>
              <w:t>(Sakaguchi et al. 2021)</w:t>
            </w:r>
            <w:r>
              <w:fldChar w:fldCharType="end"/>
            </w:r>
          </w:p>
          <w:p w14:paraId="61A8C7E5" w14:textId="55272E3C" w:rsidR="00441A20" w:rsidRPr="007D0D9C" w:rsidRDefault="00441A20" w:rsidP="00441A20">
            <w:pPr>
              <w:pStyle w:val="TableText"/>
            </w:pPr>
            <w:r>
              <w:t>Japan</w:t>
            </w:r>
          </w:p>
        </w:tc>
        <w:tc>
          <w:tcPr>
            <w:tcW w:w="253" w:type="pct"/>
            <w:shd w:val="clear" w:color="auto" w:fill="auto"/>
          </w:tcPr>
          <w:p w14:paraId="23097E46" w14:textId="42677283" w:rsidR="00441A20" w:rsidRPr="00441A20" w:rsidRDefault="00441A20" w:rsidP="00441A20">
            <w:pPr>
              <w:pStyle w:val="TableText"/>
            </w:pPr>
            <w:r w:rsidRPr="00441A20">
              <w:t>4</w:t>
            </w:r>
          </w:p>
        </w:tc>
        <w:tc>
          <w:tcPr>
            <w:tcW w:w="593" w:type="pct"/>
            <w:shd w:val="clear" w:color="auto" w:fill="auto"/>
          </w:tcPr>
          <w:p w14:paraId="61B372E0" w14:textId="77777777" w:rsidR="00911E24" w:rsidRDefault="00911E24" w:rsidP="00911E24">
            <w:pPr>
              <w:pStyle w:val="Tabletext0"/>
              <w:spacing w:before="0" w:after="120"/>
              <w:jc w:val="left"/>
            </w:pPr>
            <w:r>
              <w:t>Retrospective cohort study</w:t>
            </w:r>
          </w:p>
          <w:p w14:paraId="3C4AD60A" w14:textId="77777777" w:rsidR="00911E24" w:rsidRDefault="00911E24" w:rsidP="00911E24">
            <w:pPr>
              <w:pStyle w:val="Tabletext0"/>
              <w:spacing w:before="0" w:after="120"/>
              <w:jc w:val="left"/>
            </w:pPr>
            <w:r>
              <w:t>Level III-3</w:t>
            </w:r>
          </w:p>
          <w:p w14:paraId="3E3E145A" w14:textId="1E020F3B" w:rsidR="00441A20" w:rsidRPr="00CE28E3" w:rsidRDefault="00911E24" w:rsidP="00911E24">
            <w:pPr>
              <w:pStyle w:val="TableText"/>
              <w:rPr>
                <w:b/>
              </w:rPr>
            </w:pPr>
            <w:r>
              <w:t xml:space="preserve">Moderate risk of bias </w:t>
            </w:r>
            <w:r w:rsidRPr="00FE1788">
              <w:t>(QUADAS 2)</w:t>
            </w:r>
          </w:p>
        </w:tc>
        <w:tc>
          <w:tcPr>
            <w:tcW w:w="732" w:type="pct"/>
          </w:tcPr>
          <w:p w14:paraId="6E9FA120" w14:textId="7A2A4CC6" w:rsidR="00441A20" w:rsidRPr="00CE28E3" w:rsidRDefault="00441A20" w:rsidP="00441A20">
            <w:pPr>
              <w:pStyle w:val="TableText"/>
              <w:rPr>
                <w:b/>
              </w:rPr>
            </w:pPr>
            <w:r>
              <w:t xml:space="preserve">N=4/116 NSCLC samples that underwent NGS and conventional screening for </w:t>
            </w:r>
            <w:r w:rsidR="004A3D42" w:rsidRPr="00956452">
              <w:rPr>
                <w:i/>
              </w:rPr>
              <w:t>EGFR</w:t>
            </w:r>
            <w:r>
              <w:t xml:space="preserve"> mutations simultaneously and had discordant results</w:t>
            </w:r>
          </w:p>
        </w:tc>
        <w:tc>
          <w:tcPr>
            <w:tcW w:w="783" w:type="pct"/>
          </w:tcPr>
          <w:p w14:paraId="7CF5400F" w14:textId="24088707" w:rsidR="00441A20" w:rsidRDefault="00441A20" w:rsidP="00441A20">
            <w:pPr>
              <w:pStyle w:val="TableText"/>
            </w:pPr>
            <w:r>
              <w:t>Oncomine Dx target test</w:t>
            </w:r>
          </w:p>
        </w:tc>
        <w:tc>
          <w:tcPr>
            <w:tcW w:w="920" w:type="pct"/>
            <w:shd w:val="clear" w:color="auto" w:fill="auto"/>
          </w:tcPr>
          <w:p w14:paraId="67A76DF7" w14:textId="29212A07" w:rsidR="00441A20" w:rsidRPr="00CE28E3" w:rsidRDefault="00441A20" w:rsidP="00441A20">
            <w:pPr>
              <w:pStyle w:val="TableText"/>
              <w:rPr>
                <w:b/>
              </w:rPr>
            </w:pPr>
            <w:r>
              <w:t xml:space="preserve">PNA-LNA PCR (Rt-qPCR) clamp test for </w:t>
            </w:r>
            <w:r w:rsidR="004A3D42">
              <w:rPr>
                <w:i/>
              </w:rPr>
              <w:t>EGFR</w:t>
            </w:r>
            <w:r>
              <w:t xml:space="preserve"> mutations.</w:t>
            </w:r>
          </w:p>
        </w:tc>
        <w:tc>
          <w:tcPr>
            <w:tcW w:w="627" w:type="pct"/>
            <w:shd w:val="clear" w:color="auto" w:fill="auto"/>
          </w:tcPr>
          <w:p w14:paraId="1D3299F0" w14:textId="2AA8F2C7" w:rsidR="00441A20" w:rsidRDefault="00441A20" w:rsidP="00441A20">
            <w:pPr>
              <w:pStyle w:val="TableText"/>
              <w:rPr>
                <w:b/>
              </w:rPr>
            </w:pPr>
            <w:r>
              <w:t xml:space="preserve">Treatment received in </w:t>
            </w:r>
            <w:r>
              <w:rPr>
                <w:i/>
              </w:rPr>
              <w:t xml:space="preserve">EGFR </w:t>
            </w:r>
            <w:r>
              <w:t>discordant cases</w:t>
            </w:r>
          </w:p>
        </w:tc>
        <w:tc>
          <w:tcPr>
            <w:tcW w:w="469" w:type="pct"/>
          </w:tcPr>
          <w:p w14:paraId="394853AB" w14:textId="78D74A99" w:rsidR="00441A20" w:rsidRPr="00EF698E" w:rsidRDefault="00441A20" w:rsidP="00441A20">
            <w:pPr>
              <w:pStyle w:val="TableText"/>
            </w:pPr>
            <w:r w:rsidRPr="00EF698E">
              <w:t>No</w:t>
            </w:r>
          </w:p>
        </w:tc>
      </w:tr>
      <w:tr w:rsidR="00441A20" w:rsidRPr="00CE28E3" w14:paraId="7CCC2077" w14:textId="77777777" w:rsidTr="003C3BCE">
        <w:trPr>
          <w:cnfStyle w:val="100000000000" w:firstRow="1" w:lastRow="0" w:firstColumn="0" w:lastColumn="0" w:oddVBand="0" w:evenVBand="0" w:oddHBand="0" w:evenHBand="0" w:firstRowFirstColumn="0" w:firstRowLastColumn="0" w:lastRowFirstColumn="0" w:lastRowLastColumn="0"/>
          <w:tblHeader/>
        </w:trPr>
        <w:tc>
          <w:tcPr>
            <w:tcW w:w="623" w:type="pct"/>
            <w:shd w:val="clear" w:color="auto" w:fill="auto"/>
          </w:tcPr>
          <w:p w14:paraId="2E8E640D" w14:textId="38FB1980" w:rsidR="00441A20" w:rsidRPr="00911E24" w:rsidRDefault="00B4668F" w:rsidP="00441A20">
            <w:pPr>
              <w:pStyle w:val="TableText"/>
            </w:pPr>
            <w:r w:rsidRPr="00911E24">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rsidRPr="00911E24">
              <w:instrText xml:space="preserve"> ADDIN EN.CITE </w:instrText>
            </w:r>
            <w:r w:rsidRPr="00911E24">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rsidRPr="00911E24">
              <w:instrText xml:space="preserve"> ADDIN EN.CITE.DATA </w:instrText>
            </w:r>
            <w:r w:rsidRPr="00911E24">
              <w:fldChar w:fldCharType="end"/>
            </w:r>
            <w:r w:rsidRPr="00911E24">
              <w:fldChar w:fldCharType="separate"/>
            </w:r>
            <w:r w:rsidRPr="00911E24">
              <w:rPr>
                <w:noProof/>
              </w:rPr>
              <w:t>(Schrock et al. 2016)</w:t>
            </w:r>
            <w:r w:rsidRPr="00911E24">
              <w:fldChar w:fldCharType="end"/>
            </w:r>
          </w:p>
          <w:p w14:paraId="6FAB1845" w14:textId="4B4B68A2" w:rsidR="00441A20" w:rsidRPr="009062B9" w:rsidRDefault="00441A20" w:rsidP="00441A20">
            <w:pPr>
              <w:pStyle w:val="TableText"/>
            </w:pPr>
            <w:r>
              <w:t>United States and Israel</w:t>
            </w:r>
          </w:p>
        </w:tc>
        <w:tc>
          <w:tcPr>
            <w:tcW w:w="253" w:type="pct"/>
            <w:shd w:val="clear" w:color="auto" w:fill="auto"/>
          </w:tcPr>
          <w:p w14:paraId="11CEFC64" w14:textId="7093F4BA" w:rsidR="00441A20" w:rsidRPr="00441A20" w:rsidRDefault="00441A20" w:rsidP="00441A20">
            <w:pPr>
              <w:pStyle w:val="TableText"/>
            </w:pPr>
            <w:r>
              <w:t>17</w:t>
            </w:r>
          </w:p>
        </w:tc>
        <w:tc>
          <w:tcPr>
            <w:tcW w:w="593" w:type="pct"/>
            <w:shd w:val="clear" w:color="auto" w:fill="auto"/>
          </w:tcPr>
          <w:p w14:paraId="6BF9925D" w14:textId="77777777" w:rsidR="00911E24" w:rsidRDefault="00911E24" w:rsidP="00911E24">
            <w:pPr>
              <w:pStyle w:val="Tabletext0"/>
              <w:spacing w:before="0" w:after="120"/>
              <w:jc w:val="left"/>
            </w:pPr>
            <w:r>
              <w:t>Case series</w:t>
            </w:r>
          </w:p>
          <w:p w14:paraId="6070DDF6" w14:textId="77777777" w:rsidR="00911E24" w:rsidRDefault="00911E24" w:rsidP="00911E24">
            <w:pPr>
              <w:pStyle w:val="Tabletext0"/>
              <w:spacing w:before="0" w:after="120"/>
              <w:jc w:val="left"/>
            </w:pPr>
            <w:r>
              <w:t>Level IV</w:t>
            </w:r>
          </w:p>
          <w:p w14:paraId="4CB53C67" w14:textId="65002106" w:rsidR="00441A20" w:rsidRPr="00CE28E3" w:rsidRDefault="00911E24" w:rsidP="00911E24">
            <w:pPr>
              <w:pStyle w:val="TableText"/>
              <w:rPr>
                <w:b/>
              </w:rPr>
            </w:pPr>
            <w:r>
              <w:t>Moderate to high risk of bias (NHLBI for case series)</w:t>
            </w:r>
          </w:p>
        </w:tc>
        <w:tc>
          <w:tcPr>
            <w:tcW w:w="732" w:type="pct"/>
          </w:tcPr>
          <w:p w14:paraId="5FDB1E79" w14:textId="281DAEF9" w:rsidR="00441A20" w:rsidRPr="00CE28E3" w:rsidRDefault="00441A20" w:rsidP="00441A20">
            <w:pPr>
              <w:pStyle w:val="TableText"/>
              <w:rPr>
                <w:b/>
              </w:rPr>
            </w:pPr>
            <w:r>
              <w:t xml:space="preserve">N=17/400 consecutive NSCLC cases with </w:t>
            </w:r>
            <w:r>
              <w:rPr>
                <w:i/>
              </w:rPr>
              <w:t xml:space="preserve">EGFR </w:t>
            </w:r>
            <w:r>
              <w:t>exon 19 deletions identified by CGP but negative on single gene testing</w:t>
            </w:r>
          </w:p>
        </w:tc>
        <w:tc>
          <w:tcPr>
            <w:tcW w:w="783" w:type="pct"/>
          </w:tcPr>
          <w:p w14:paraId="742CE6BD" w14:textId="2E92AA31" w:rsidR="00441A20" w:rsidRDefault="00441A20" w:rsidP="00441A20">
            <w:pPr>
              <w:pStyle w:val="TableText"/>
            </w:pPr>
            <w:r>
              <w:t xml:space="preserve">Hybrid capture-based CGP using NGS </w:t>
            </w:r>
          </w:p>
        </w:tc>
        <w:tc>
          <w:tcPr>
            <w:tcW w:w="920" w:type="pct"/>
            <w:shd w:val="clear" w:color="auto" w:fill="auto"/>
          </w:tcPr>
          <w:p w14:paraId="799CD83E" w14:textId="12049667" w:rsidR="00441A20" w:rsidRPr="00CE28E3" w:rsidRDefault="00441A20" w:rsidP="00441A20">
            <w:pPr>
              <w:pStyle w:val="TableText"/>
              <w:rPr>
                <w:b/>
              </w:rPr>
            </w:pPr>
            <w:r>
              <w:t>Non-hybrid based capture testing</w:t>
            </w:r>
          </w:p>
        </w:tc>
        <w:tc>
          <w:tcPr>
            <w:tcW w:w="627" w:type="pct"/>
            <w:shd w:val="clear" w:color="auto" w:fill="auto"/>
          </w:tcPr>
          <w:p w14:paraId="1120BED5" w14:textId="0ED83235" w:rsidR="00441A20" w:rsidRDefault="00441A20" w:rsidP="00441A20">
            <w:pPr>
              <w:pStyle w:val="TableText"/>
            </w:pPr>
            <w:r>
              <w:t xml:space="preserve">Treatment received in </w:t>
            </w:r>
            <w:r>
              <w:rPr>
                <w:i/>
              </w:rPr>
              <w:t xml:space="preserve">EGFR </w:t>
            </w:r>
            <w:r>
              <w:t>discordant cases</w:t>
            </w:r>
          </w:p>
        </w:tc>
        <w:tc>
          <w:tcPr>
            <w:tcW w:w="469" w:type="pct"/>
          </w:tcPr>
          <w:p w14:paraId="3045B20B" w14:textId="7528817A" w:rsidR="00441A20" w:rsidRPr="00EF698E" w:rsidRDefault="00441A20" w:rsidP="00441A20">
            <w:pPr>
              <w:pStyle w:val="TableText"/>
            </w:pPr>
            <w:r w:rsidRPr="00EF698E">
              <w:t>No</w:t>
            </w:r>
          </w:p>
        </w:tc>
      </w:tr>
    </w:tbl>
    <w:p w14:paraId="0F5131B8" w14:textId="767F3E2A" w:rsidR="00524BE8" w:rsidRPr="00146905" w:rsidRDefault="003C3BCE" w:rsidP="00146905">
      <w:pPr>
        <w:pStyle w:val="Tablenotes"/>
      </w:pPr>
      <w:r w:rsidRPr="007C7AB1">
        <w:rPr>
          <w:i/>
        </w:rPr>
        <w:t>ALK</w:t>
      </w:r>
      <w:r>
        <w:t xml:space="preserve"> = </w:t>
      </w:r>
      <w:r w:rsidRPr="00561C5F">
        <w:t>anaplastic lymphoma kinase</w:t>
      </w:r>
      <w:r>
        <w:t>; ARMS-PCR = amplification-refractory mutation system polymerase chain reaction;</w:t>
      </w:r>
      <w:r w:rsidRPr="00152F12">
        <w:rPr>
          <w:i/>
        </w:rPr>
        <w:t xml:space="preserve"> BRAF</w:t>
      </w:r>
      <w:r>
        <w:t xml:space="preserve"> = proto-oncogene B-Raf and v-Raf murine sarcoma viral oncogene homolog B; </w:t>
      </w:r>
      <w:r w:rsidR="005E1840">
        <w:t xml:space="preserve">CGP = comprehensive genomic profiling; </w:t>
      </w:r>
      <w:r w:rsidRPr="002412BE">
        <w:t xml:space="preserve">DNA = deoxyribonucleic acid; </w:t>
      </w:r>
      <w:r w:rsidRPr="007C7AB1">
        <w:rPr>
          <w:i/>
        </w:rPr>
        <w:t>EGFR</w:t>
      </w:r>
      <w:r>
        <w:t xml:space="preserve"> = epidermal growth factor receptor; FFPE = formalin-fixed paraffin embedded; FISH = fluorescent </w:t>
      </w:r>
      <w:r w:rsidRPr="00956452">
        <w:rPr>
          <w:i/>
        </w:rPr>
        <w:t>in situ</w:t>
      </w:r>
      <w:r>
        <w:t xml:space="preserve"> hybridisation; IHC = immunohistochemistry; </w:t>
      </w:r>
      <w:r w:rsidRPr="00152F12">
        <w:rPr>
          <w:i/>
        </w:rPr>
        <w:t>KRAS</w:t>
      </w:r>
      <w:r>
        <w:t xml:space="preserve"> = Kirsten rat sarcoma; </w:t>
      </w:r>
      <w:r w:rsidRPr="00CE4DC5">
        <w:rPr>
          <w:i/>
        </w:rPr>
        <w:t>MET</w:t>
      </w:r>
      <w:r w:rsidRPr="00CE4DC5">
        <w:t xml:space="preserve"> =</w:t>
      </w:r>
      <w:r>
        <w:t xml:space="preserve"> </w:t>
      </w:r>
      <w:r w:rsidRPr="008F67AF">
        <w:rPr>
          <w:szCs w:val="18"/>
        </w:rPr>
        <w:t>mesenchymal-epithelial transition</w:t>
      </w:r>
      <w:r w:rsidR="005E1840">
        <w:rPr>
          <w:szCs w:val="18"/>
        </w:rPr>
        <w:t xml:space="preserve">; </w:t>
      </w:r>
      <w:r>
        <w:t>NGS = next generation sequencing</w:t>
      </w:r>
      <w:r w:rsidR="005E1840">
        <w:t xml:space="preserve">; </w:t>
      </w:r>
      <w:r>
        <w:t>NSCLC = non-small cell lung cancer; PCR = polymerase chain reaction; PFS = progression free survival;</w:t>
      </w:r>
      <w:r w:rsidR="005E1840">
        <w:t xml:space="preserve"> PNA-LNA = peptide nucleic acid, locked nucleic acid polymerase chain reaction;</w:t>
      </w:r>
      <w:r>
        <w:t xml:space="preserve"> </w:t>
      </w:r>
      <w:r w:rsidRPr="00152F12">
        <w:rPr>
          <w:i/>
        </w:rPr>
        <w:t>RET</w:t>
      </w:r>
      <w:r>
        <w:t xml:space="preserve"> = rearranged during transfection; RNA = ribonucleic acid; </w:t>
      </w:r>
      <w:r w:rsidRPr="00380685">
        <w:rPr>
          <w:i/>
        </w:rPr>
        <w:t>ROS1</w:t>
      </w:r>
      <w:r>
        <w:t xml:space="preserve"> = ROS proto-oncogene 1; RT-PCR = real</w:t>
      </w:r>
      <w:r w:rsidR="00146905">
        <w:t xml:space="preserve"> time polymerase chain reaction</w:t>
      </w:r>
    </w:p>
    <w:p w14:paraId="26925F32" w14:textId="7FF454CC" w:rsidR="009C1D27" w:rsidRDefault="00400BC7" w:rsidP="00674C7D">
      <w:pPr>
        <w:pStyle w:val="Heading3"/>
      </w:pPr>
      <w:bookmarkStart w:id="118" w:name="_Toc148531158"/>
      <w:r>
        <w:lastRenderedPageBreak/>
        <w:t>2</w:t>
      </w:r>
      <w:r w:rsidR="009C1D27" w:rsidRPr="00CE28E3">
        <w:t>.3.</w:t>
      </w:r>
      <w:r w:rsidR="009803A9">
        <w:t>3</w:t>
      </w:r>
      <w:r w:rsidR="009C1D27" w:rsidRPr="00CE28E3">
        <w:tab/>
        <w:t>Results</w:t>
      </w:r>
      <w:bookmarkEnd w:id="118"/>
    </w:p>
    <w:p w14:paraId="1C3E0D01" w14:textId="77777777" w:rsidR="00500DC1" w:rsidRDefault="00500DC1" w:rsidP="00C20BD2">
      <w:pPr>
        <w:pStyle w:val="Heading4"/>
      </w:pPr>
      <w:bookmarkStart w:id="119" w:name="_Toc2781349"/>
      <w:r>
        <w:t>Rate of rebiopsy</w:t>
      </w:r>
      <w:bookmarkEnd w:id="119"/>
      <w:r>
        <w:t xml:space="preserve"> </w:t>
      </w:r>
    </w:p>
    <w:p w14:paraId="1385971D" w14:textId="00262DE6" w:rsidR="00500DC1" w:rsidRDefault="00500DC1" w:rsidP="00500DC1">
      <w:r w:rsidRPr="00C20BD2">
        <w:t xml:space="preserve">The rate of rebiopsy is an important safety outcome for patients undergoing testing. Although </w:t>
      </w:r>
      <w:r w:rsidR="00647E3B">
        <w:t xml:space="preserve">the rate of test failure may be a proxy for the rate of rebiopsy, the use of liquid biopsy is becoming more common, so studies were specifically sought to determine the rate of tissue rebiopsy. </w:t>
      </w:r>
    </w:p>
    <w:p w14:paraId="467FCF43" w14:textId="1E1FC4DC" w:rsidR="00A71813" w:rsidRDefault="007B7143" w:rsidP="00500DC1">
      <w:r>
        <w:t xml:space="preserve">Two </w:t>
      </w:r>
      <w:r w:rsidR="00146905">
        <w:t>case series</w:t>
      </w:r>
      <w:r>
        <w:t xml:space="preserve"> reported on the rate of repeat biopsies performed</w:t>
      </w:r>
      <w:r w:rsidR="00146905">
        <w:t xml:space="preserve"> (due to insufficient tissue for NGS, or for unspecified testing)</w:t>
      </w:r>
      <w:r>
        <w:t xml:space="preserve">. </w:t>
      </w:r>
      <w:r w:rsidR="008A11FA">
        <w:t>In those with insufficient tissue for NGS, repeat biopsies were only performed in 13</w:t>
      </w:r>
      <w:r w:rsidR="00136D8C">
        <w:t>%</w:t>
      </w:r>
      <w:r w:rsidR="008A11FA">
        <w:t xml:space="preserve"> to 43% of cases. The remaining cases were either tested using liquid biopsy or not biomarker tested. </w:t>
      </w:r>
      <w:r w:rsidR="000935B4">
        <w:t xml:space="preserve">Li et al. </w:t>
      </w:r>
      <w:r w:rsidR="00B4668F">
        <w:fldChar w:fldCharType="begin">
          <w:fldData xml:space="preserve">PEVuZE5vdGU+PENpdGUgRXhjbHVkZUF1dGg9IjEiPjxBdXRob3I+TGk8L0F1dGhvcj48WWVhcj4y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</w:fldData>
        </w:fldChar>
      </w:r>
      <w:r w:rsidR="006D4612">
        <w:instrText xml:space="preserve"> ADDIN EN.CITE </w:instrText>
      </w:r>
      <w:r w:rsidR="006D4612">
        <w:fldChar w:fldCharType="begin">
          <w:fldData xml:space="preserve">PEVuZE5vdGU+PENpdGUgRXhjbHVkZUF1dGg9IjEiPjxBdXRob3I+TGk8L0F1dGhvcj48WWVhcj4y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</w:fldData>
        </w:fldChar>
      </w:r>
      <w:r w:rsidR="006D4612">
        <w:instrText xml:space="preserve"> ADDIN EN.CITE.DATA </w:instrText>
      </w:r>
      <w:r w:rsidR="006D4612">
        <w:fldChar w:fldCharType="end"/>
      </w:r>
      <w:r w:rsidR="00B4668F">
        <w:fldChar w:fldCharType="separate"/>
      </w:r>
      <w:r w:rsidR="006D4612">
        <w:rPr>
          <w:noProof/>
        </w:rPr>
        <w:t>(2021)</w:t>
      </w:r>
      <w:r w:rsidR="00B4668F">
        <w:fldChar w:fldCharType="end"/>
      </w:r>
      <w:r w:rsidR="003743D5">
        <w:t xml:space="preserve"> </w:t>
      </w:r>
      <w:r w:rsidR="00A71813">
        <w:t xml:space="preserve">reported that in cases where NGS testing had been </w:t>
      </w:r>
      <w:r w:rsidR="002E573B">
        <w:t>attempted but</w:t>
      </w:r>
      <w:r w:rsidR="00A71813">
        <w:t xml:space="preserve"> failed due to insufficient DNA (n=71), failed library (n=3) or low-quality sequences (n=7), ARMS-PCR and IHC/FISH testing were performed, rather than repeat biopsy or liquid biopsy for a second attempt at NGS </w:t>
      </w:r>
      <w:r w:rsidR="00B4668F">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EN.CITE.DATA </w:instrText>
      </w:r>
      <w:r w:rsidR="006D4612">
        <w:fldChar w:fldCharType="end"/>
      </w:r>
      <w:r w:rsidR="00B4668F">
        <w:fldChar w:fldCharType="separate"/>
      </w:r>
      <w:r w:rsidR="006D4612">
        <w:rPr>
          <w:noProof/>
        </w:rPr>
        <w:t>(Li, W, Li, Y, et al. 2021)</w:t>
      </w:r>
      <w:r w:rsidR="00B4668F">
        <w:fldChar w:fldCharType="end"/>
      </w:r>
      <w:r w:rsidR="00A71813">
        <w:t xml:space="preserve">. </w:t>
      </w:r>
      <w:r w:rsidR="00146905">
        <w:t>No comparative information was provided, regarding whether the use of a small NGS panel(s) (DNA/RNA or DNA±RNA) would result in fewer rebiopsies than using sequential single-gene testing</w:t>
      </w:r>
      <w:r w:rsidR="002E573B">
        <w:t xml:space="preserve"> (</w:t>
      </w:r>
      <w:r w:rsidR="002E573B">
        <w:fldChar w:fldCharType="begin"/>
      </w:r>
      <w:r w:rsidR="002E573B">
        <w:instrText xml:space="preserve"> REF _Ref109055646 \h </w:instrText>
      </w:r>
      <w:r w:rsidR="002E573B">
        <w:fldChar w:fldCharType="separate"/>
      </w:r>
      <w:r w:rsidR="00C857F3">
        <w:t xml:space="preserve">Table </w:t>
      </w:r>
      <w:r w:rsidR="00C857F3">
        <w:rPr>
          <w:noProof/>
        </w:rPr>
        <w:t>35</w:t>
      </w:r>
      <w:r w:rsidR="002E573B">
        <w:fldChar w:fldCharType="end"/>
      </w:r>
      <w:r w:rsidR="002E573B">
        <w:t>)</w:t>
      </w:r>
      <w:r w:rsidR="00146905">
        <w:t xml:space="preserve">. </w:t>
      </w:r>
    </w:p>
    <w:p w14:paraId="60EB2295" w14:textId="7D2B5560" w:rsidR="00A54256" w:rsidRDefault="00D808AF" w:rsidP="00500DC1">
      <w:r>
        <w:t>It is unlikely that the</w:t>
      </w:r>
      <w:r w:rsidR="00A71813">
        <w:t xml:space="preserve"> </w:t>
      </w:r>
      <w:r w:rsidR="00146905">
        <w:t xml:space="preserve">low </w:t>
      </w:r>
      <w:r w:rsidR="00A71813">
        <w:t xml:space="preserve">rate of </w:t>
      </w:r>
      <w:r w:rsidR="00146905">
        <w:t xml:space="preserve">tissue biopsy </w:t>
      </w:r>
      <w:r>
        <w:t xml:space="preserve">would be applicable to the Australian setting, </w:t>
      </w:r>
      <w:r w:rsidR="00146905">
        <w:t xml:space="preserve">as </w:t>
      </w:r>
      <w:r>
        <w:t xml:space="preserve">the current restrictions for access to PBS-listed </w:t>
      </w:r>
      <w:r w:rsidR="00146905">
        <w:t xml:space="preserve">targeted </w:t>
      </w:r>
      <w:r>
        <w:t>drugs</w:t>
      </w:r>
      <w:r w:rsidR="00146905">
        <w:t xml:space="preserve"> </w:t>
      </w:r>
      <w:r w:rsidR="00F31F04">
        <w:t>requires the biomarkers to be identified on tumour ti</w:t>
      </w:r>
      <w:r w:rsidR="00146905">
        <w:t>ssue/cytology rather than blood</w:t>
      </w:r>
      <w:r>
        <w:t xml:space="preserve">. </w:t>
      </w:r>
      <w:r w:rsidR="00B53FFF">
        <w:t xml:space="preserve"> (GRADE </w:t>
      </w:r>
      <w:r w:rsidR="00B53FFF" w:rsidRPr="002D37B6">
        <w:rPr>
          <w:rFonts w:ascii="Cambria Math" w:hAnsi="Cambria Math" w:cs="Cambria Math"/>
          <w:color w:val="00B050"/>
        </w:rPr>
        <w:t>⊕</w:t>
      </w:r>
      <w:r w:rsidR="00B53FFF" w:rsidRPr="002D37B6">
        <w:rPr>
          <w:rFonts w:ascii="Cambria Math" w:hAnsi="Cambria Math" w:cs="Cambria Math"/>
          <w:color w:val="C00000"/>
        </w:rPr>
        <w:t>⊝⊝⊝</w:t>
      </w:r>
      <w:r w:rsidR="00B53FFF">
        <w:t>).</w:t>
      </w:r>
    </w:p>
    <w:p w14:paraId="72387901" w14:textId="1113DAE9" w:rsidR="00F31F04" w:rsidRDefault="00F31F04" w:rsidP="00F31F04">
      <w:pPr>
        <w:pStyle w:val="Caption"/>
      </w:pPr>
      <w:bookmarkStart w:id="120" w:name="_Ref109055646"/>
      <w:r>
        <w:t xml:space="preserve">Table </w:t>
      </w:r>
      <w:fldSimple w:instr=" SEQ Table \* ARABIC ">
        <w:r w:rsidR="00C857F3">
          <w:rPr>
            <w:noProof/>
          </w:rPr>
          <w:t>35</w:t>
        </w:r>
      </w:fldSimple>
      <w:bookmarkEnd w:id="120"/>
      <w:r>
        <w:tab/>
        <w:t>Rate of rebiopsies in patients with insufficient tumour tissue available from initial sample</w:t>
      </w:r>
    </w:p>
    <w:tbl>
      <w:tblPr>
        <w:tblStyle w:val="TableGrid"/>
        <w:tblW w:w="0" w:type="auto"/>
        <w:tblLook w:val="04A0" w:firstRow="1" w:lastRow="0" w:firstColumn="1" w:lastColumn="0" w:noHBand="0" w:noVBand="1"/>
        <w:tblCaption w:val="Rate of rebiopsies in patients with insufficient tumour tissue available from initial sample"/>
        <w:tblDescription w:val="Rate of rebiopsies in patients with insufficient tumour tissue available from initial sample"/>
      </w:tblPr>
      <w:tblGrid>
        <w:gridCol w:w="2122"/>
        <w:gridCol w:w="2976"/>
        <w:gridCol w:w="3918"/>
      </w:tblGrid>
      <w:tr w:rsidR="00A54256" w14:paraId="6ADE2CDB" w14:textId="77777777" w:rsidTr="003A6029">
        <w:trPr>
          <w:tblHeader/>
        </w:trPr>
        <w:tc>
          <w:tcPr>
            <w:tcW w:w="2122" w:type="dxa"/>
          </w:tcPr>
          <w:p w14:paraId="7092A655" w14:textId="4528EA33" w:rsidR="00A54256" w:rsidRDefault="00A54256" w:rsidP="00A54256">
            <w:pPr>
              <w:pStyle w:val="TableHeading"/>
            </w:pPr>
            <w:r>
              <w:t>Study</w:t>
            </w:r>
          </w:p>
        </w:tc>
        <w:tc>
          <w:tcPr>
            <w:tcW w:w="2976" w:type="dxa"/>
          </w:tcPr>
          <w:p w14:paraId="45040E14" w14:textId="17E092C7" w:rsidR="00A54256" w:rsidRDefault="00A54256" w:rsidP="002E573B">
            <w:pPr>
              <w:pStyle w:val="TableHeading"/>
            </w:pPr>
            <w:r>
              <w:t>Patients with insufficient tissue for testing (from initial sample)</w:t>
            </w:r>
          </w:p>
        </w:tc>
        <w:tc>
          <w:tcPr>
            <w:tcW w:w="3918" w:type="dxa"/>
          </w:tcPr>
          <w:p w14:paraId="479CF134" w14:textId="52578DE6" w:rsidR="00A54256" w:rsidRDefault="00A54256" w:rsidP="00A54256">
            <w:pPr>
              <w:pStyle w:val="TableHeading"/>
            </w:pPr>
            <w:r>
              <w:t xml:space="preserve">Rebiopsy performed </w:t>
            </w:r>
          </w:p>
        </w:tc>
      </w:tr>
      <w:tr w:rsidR="00A54256" w14:paraId="220CE046" w14:textId="77777777" w:rsidTr="00A54256">
        <w:tc>
          <w:tcPr>
            <w:tcW w:w="2122" w:type="dxa"/>
          </w:tcPr>
          <w:p w14:paraId="3584D480" w14:textId="0E0E85E3" w:rsidR="001124AF" w:rsidRDefault="00B4668F" w:rsidP="00A54256">
            <w:pPr>
              <w:pStyle w:val="Tabletext0"/>
            </w:pPr>
            <w:r>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EN.CITE.DATA </w:instrText>
            </w:r>
            <w:r w:rsidR="006D4612">
              <w:fldChar w:fldCharType="end"/>
            </w:r>
            <w:r>
              <w:fldChar w:fldCharType="separate"/>
            </w:r>
            <w:r w:rsidR="006D4612">
              <w:rPr>
                <w:noProof/>
              </w:rPr>
              <w:t>(Li, W, Li, Y, et al. 2021)</w:t>
            </w:r>
            <w:r>
              <w:fldChar w:fldCharType="end"/>
            </w:r>
          </w:p>
          <w:p w14:paraId="686BCD02" w14:textId="1448522A" w:rsidR="008A11FA" w:rsidRDefault="008A11FA" w:rsidP="00A54256">
            <w:pPr>
              <w:pStyle w:val="Tabletext0"/>
            </w:pPr>
            <w:r>
              <w:t>China</w:t>
            </w:r>
          </w:p>
        </w:tc>
        <w:tc>
          <w:tcPr>
            <w:tcW w:w="2976" w:type="dxa"/>
          </w:tcPr>
          <w:p w14:paraId="0AA4C4E2" w14:textId="13A500E8" w:rsidR="00A54256" w:rsidRDefault="008A11FA" w:rsidP="000935B4">
            <w:pPr>
              <w:pStyle w:val="Tabletext0"/>
              <w:jc w:val="left"/>
            </w:pPr>
            <w:r>
              <w:t>172/1184 insufficient tissue for NGS</w:t>
            </w:r>
          </w:p>
        </w:tc>
        <w:tc>
          <w:tcPr>
            <w:tcW w:w="3918" w:type="dxa"/>
          </w:tcPr>
          <w:p w14:paraId="0A39E0F3" w14:textId="3F78C64F" w:rsidR="00A54256" w:rsidRDefault="008A11FA" w:rsidP="00A54256">
            <w:pPr>
              <w:pStyle w:val="Tabletext0"/>
            </w:pPr>
            <w:r>
              <w:t>23/173 (13.3%) repeat biopsy for tissue NGS</w:t>
            </w:r>
          </w:p>
          <w:p w14:paraId="6E21CEF1" w14:textId="6520C6D7" w:rsidR="008A11FA" w:rsidRDefault="008A11FA" w:rsidP="00A54256">
            <w:pPr>
              <w:pStyle w:val="Tabletext0"/>
            </w:pPr>
            <w:r>
              <w:t>143/173 (82.7%) plasma NGS</w:t>
            </w:r>
          </w:p>
        </w:tc>
      </w:tr>
      <w:tr w:rsidR="00A54256" w14:paraId="5B8B8A87" w14:textId="77777777" w:rsidTr="00A54256">
        <w:tc>
          <w:tcPr>
            <w:tcW w:w="2122" w:type="dxa"/>
          </w:tcPr>
          <w:p w14:paraId="552C8790" w14:textId="5A8204E8" w:rsidR="00A54256" w:rsidRDefault="00B4668F" w:rsidP="00A54256">
            <w:pPr>
              <w:pStyle w:val="Tabletext0"/>
            </w:pPr>
            <w:r>
              <w:fldChar w:fldCharType="begin">
                <w:fldData xml:space="preserve">PEVuZE5vdGU+PENpdGU+PEF1dGhvcj5HdXRpZXJyZXo8L0F1dGhvcj48WWVhcj4yMDE3PC9ZZWFy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=
</w:fldData>
              </w:fldChar>
            </w:r>
            <w:r>
              <w:instrText xml:space="preserve"> ADDIN EN.CITE </w:instrText>
            </w:r>
            <w:r>
              <w:fldChar w:fldCharType="begin">
                <w:fldData xml:space="preserve">PEVuZE5vdGU+PENpdGU+PEF1dGhvcj5HdXRpZXJyZXo8L0F1dGhvcj48WWVhcj4yMDE3PC9ZZWFy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=
</w:fldData>
              </w:fldChar>
            </w:r>
            <w:r>
              <w:instrText xml:space="preserve"> ADDIN EN.CITE.DATA </w:instrText>
            </w:r>
            <w:r>
              <w:fldChar w:fldCharType="end"/>
            </w:r>
            <w:r>
              <w:fldChar w:fldCharType="separate"/>
            </w:r>
            <w:r>
              <w:rPr>
                <w:noProof/>
              </w:rPr>
              <w:t>(Gutierrez et al. 2017)</w:t>
            </w:r>
            <w:r>
              <w:fldChar w:fldCharType="end"/>
            </w:r>
          </w:p>
          <w:p w14:paraId="6304A67C" w14:textId="0BD84519" w:rsidR="008A11FA" w:rsidRDefault="008A11FA" w:rsidP="00A54256">
            <w:pPr>
              <w:pStyle w:val="Tabletext0"/>
            </w:pPr>
            <w:r>
              <w:t>United States</w:t>
            </w:r>
          </w:p>
        </w:tc>
        <w:tc>
          <w:tcPr>
            <w:tcW w:w="2976" w:type="dxa"/>
          </w:tcPr>
          <w:p w14:paraId="4473C0B5" w14:textId="10A2BA94" w:rsidR="00A54256" w:rsidRPr="00A54256" w:rsidRDefault="00A54256" w:rsidP="000935B4">
            <w:pPr>
              <w:pStyle w:val="Tabletext0"/>
              <w:jc w:val="left"/>
              <w:rPr>
                <w:i/>
              </w:rPr>
            </w:pPr>
            <w:r>
              <w:t xml:space="preserve">53/814 insufficient tissue for testing </w:t>
            </w:r>
            <w:r>
              <w:rPr>
                <w:i/>
              </w:rPr>
              <w:t xml:space="preserve">EGFR/ALK </w:t>
            </w:r>
            <w:r w:rsidRPr="00A54256">
              <w:t>(not explicit by what method)</w:t>
            </w:r>
          </w:p>
        </w:tc>
        <w:tc>
          <w:tcPr>
            <w:tcW w:w="3918" w:type="dxa"/>
          </w:tcPr>
          <w:p w14:paraId="13FE8964" w14:textId="66695E63" w:rsidR="00A54256" w:rsidRDefault="00A54256" w:rsidP="00A54256">
            <w:pPr>
              <w:pStyle w:val="Tabletext0"/>
            </w:pPr>
            <w:r>
              <w:t xml:space="preserve">23/53 </w:t>
            </w:r>
            <w:r w:rsidR="008A11FA">
              <w:t xml:space="preserve">(43.4%) </w:t>
            </w:r>
            <w:r>
              <w:t>repeat biopsy</w:t>
            </w:r>
            <w:r w:rsidR="008A11FA">
              <w:t xml:space="preserve"> </w:t>
            </w:r>
          </w:p>
          <w:p w14:paraId="27B4BB8B" w14:textId="7F64EDEF" w:rsidR="00A54256" w:rsidRDefault="008A11FA" w:rsidP="008A11FA">
            <w:pPr>
              <w:pStyle w:val="Tabletext0"/>
            </w:pPr>
            <w:r>
              <w:t>30</w:t>
            </w:r>
            <w:r w:rsidR="002E573B">
              <w:t>/53 (56.6%)</w:t>
            </w:r>
            <w:r>
              <w:t xml:space="preserve"> not tested</w:t>
            </w:r>
          </w:p>
        </w:tc>
      </w:tr>
    </w:tbl>
    <w:p w14:paraId="1A258B5A" w14:textId="74D6D04C" w:rsidR="00146905" w:rsidRDefault="00146905" w:rsidP="00146905">
      <w:pPr>
        <w:pStyle w:val="TableFooter"/>
      </w:pPr>
      <w:r w:rsidRPr="007C7AB1">
        <w:rPr>
          <w:i/>
        </w:rPr>
        <w:t>ALK</w:t>
      </w:r>
      <w:r>
        <w:t xml:space="preserve"> = </w:t>
      </w:r>
      <w:r w:rsidRPr="00561C5F">
        <w:t>anaplastic lymphoma kinase</w:t>
      </w:r>
      <w:r>
        <w:t xml:space="preserve">; </w:t>
      </w:r>
      <w:r w:rsidRPr="007C7AB1">
        <w:rPr>
          <w:i/>
        </w:rPr>
        <w:t>EGFR</w:t>
      </w:r>
      <w:r>
        <w:t xml:space="preserve"> = epidermal growth factor receptor;</w:t>
      </w:r>
      <w:r w:rsidRPr="00146905">
        <w:t xml:space="preserve"> </w:t>
      </w:r>
      <w:r>
        <w:t>NGS = next generation sequencing</w:t>
      </w:r>
    </w:p>
    <w:p w14:paraId="1DD5CF1A" w14:textId="5A982739" w:rsidR="008E1BE2" w:rsidRDefault="008E1BE2" w:rsidP="008E1BE2">
      <w:pPr>
        <w:pStyle w:val="Heading4"/>
      </w:pPr>
      <w:r>
        <w:t>Change in treatment</w:t>
      </w:r>
    </w:p>
    <w:p w14:paraId="6A39B350" w14:textId="14011F79" w:rsidR="008173D1" w:rsidRDefault="008173D1" w:rsidP="00541F29">
      <w:r>
        <w:t xml:space="preserve">In patients with sufficient tissue to test either sequential single gene testing or NGS, and in whom the two different testing methods provide concordant results, the treatment received is expected to be the same. From section </w:t>
      </w:r>
      <w:r w:rsidR="00400BC7">
        <w:t>2</w:t>
      </w:r>
      <w:r>
        <w:t xml:space="preserve">.2.4, concordance data (adjusted with Australian prevalence data) suggested that for 1000 patients successfully tested, 733 patients would be found to be wildtype on </w:t>
      </w:r>
      <w:r>
        <w:rPr>
          <w:i/>
        </w:rPr>
        <w:t>EGFR, ALK</w:t>
      </w:r>
      <w:r w:rsidR="00420D6B">
        <w:rPr>
          <w:i/>
        </w:rPr>
        <w:t>,</w:t>
      </w:r>
      <w:r>
        <w:rPr>
          <w:i/>
        </w:rPr>
        <w:t xml:space="preserve"> ROS1 </w:t>
      </w:r>
      <w:r w:rsidR="00420D6B" w:rsidRPr="00420D6B">
        <w:t>and</w:t>
      </w:r>
      <w:r w:rsidR="00420D6B">
        <w:rPr>
          <w:i/>
        </w:rPr>
        <w:t xml:space="preserve"> METex14sk </w:t>
      </w:r>
      <w:r>
        <w:t>on both methods (</w:t>
      </w:r>
      <w:r w:rsidR="002E573B">
        <w:t>i.e.,</w:t>
      </w:r>
      <w:r>
        <w:t xml:space="preserve"> would receive </w:t>
      </w:r>
      <w:r w:rsidR="00BB1311">
        <w:t>standard of care, immunotherapy and/or chemotherapy,</w:t>
      </w:r>
      <w:r>
        <w:t xml:space="preserve"> regardless of the proposed introduction of NGS). Similarly, for every 1000 patients successfully tested, 224 patients would be found to have variants on </w:t>
      </w:r>
      <w:r>
        <w:rPr>
          <w:i/>
        </w:rPr>
        <w:t>EGFR, ALK, ROS1 or MET</w:t>
      </w:r>
      <w:r>
        <w:t xml:space="preserve">ex14sk </w:t>
      </w:r>
      <w:r w:rsidR="00420D6B">
        <w:t>by both methods, so would be eligible for targeted drugs (assuming other criterion are met).</w:t>
      </w:r>
    </w:p>
    <w:p w14:paraId="4D8EC1A3" w14:textId="1022AE6B" w:rsidR="00DE693C" w:rsidRDefault="00420D6B" w:rsidP="00DE693C">
      <w:r>
        <w:t xml:space="preserve">This section therefore focuses on the management of </w:t>
      </w:r>
      <w:r w:rsidR="009021D3">
        <w:t xml:space="preserve">the 4.3% of </w:t>
      </w:r>
      <w:r>
        <w:t xml:space="preserve">patients with results </w:t>
      </w:r>
      <w:r w:rsidR="009021D3">
        <w:t xml:space="preserve">expected to be </w:t>
      </w:r>
      <w:r>
        <w:t xml:space="preserve">discordant between single-gene testing and NGS. </w:t>
      </w:r>
      <w:r w:rsidR="00A20A38">
        <w:t>Six</w:t>
      </w:r>
      <w:r w:rsidR="009021D3">
        <w:t xml:space="preserve"> </w:t>
      </w:r>
      <w:r w:rsidR="007436F9">
        <w:t xml:space="preserve">before-and-after </w:t>
      </w:r>
      <w:r w:rsidR="009021D3">
        <w:t>case series reported on this outcome.</w:t>
      </w:r>
      <w:r w:rsidR="00DE693C">
        <w:t xml:space="preserve"> In cases where NGS detected a variant which had been missed by single-gene testing, targeted treatment was prescribed in between 17.6% and 100% of cases</w:t>
      </w:r>
      <w:r w:rsidR="00495A4C">
        <w:t xml:space="preserve"> (</w:t>
      </w:r>
      <w:r w:rsidR="00495A4C">
        <w:fldChar w:fldCharType="begin"/>
      </w:r>
      <w:r w:rsidR="00495A4C">
        <w:instrText xml:space="preserve"> REF _Ref109055898 \h </w:instrText>
      </w:r>
      <w:r w:rsidR="00495A4C">
        <w:fldChar w:fldCharType="separate"/>
      </w:r>
      <w:r w:rsidR="00C857F3">
        <w:t xml:space="preserve">Table </w:t>
      </w:r>
      <w:r w:rsidR="00C857F3">
        <w:rPr>
          <w:noProof/>
        </w:rPr>
        <w:t>36</w:t>
      </w:r>
      <w:r w:rsidR="00495A4C">
        <w:fldChar w:fldCharType="end"/>
      </w:r>
      <w:r w:rsidR="00495A4C">
        <w:t>)</w:t>
      </w:r>
      <w:r w:rsidR="00DE693C">
        <w:t xml:space="preserve">. </w:t>
      </w:r>
      <w:r w:rsidR="008100AC">
        <w:t xml:space="preserve">The studies did not specify what criteria were used to determine whether particular variants were deemed ‘actionable’ or not (other than the presence of a targeted treatment available for variants in that particular gene). </w:t>
      </w:r>
      <w:r w:rsidR="00DE693C" w:rsidRPr="008100AC">
        <w:t>The</w:t>
      </w:r>
      <w:r w:rsidR="00DE693C">
        <w:t xml:space="preserve"> studies are too small and heterogeneous to derive any </w:t>
      </w:r>
      <w:r w:rsidR="00647AA7">
        <w:lastRenderedPageBreak/>
        <w:t xml:space="preserve">reliable estimates on the proportion of patients whose management is changed due to NGS. </w:t>
      </w:r>
      <w:r w:rsidR="00DE693C">
        <w:t xml:space="preserve">One study also reported on two cases whose management was based on peptide nucleic acid-locked nucleic acid (PNA-LNA) PCR clamp and would have missed access to a targeted drug if based on NGS alone </w:t>
      </w:r>
      <w:r w:rsidR="00B4668F">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rsidR="00B4668F">
        <w:instrText xml:space="preserve"> ADDIN EN.CITE </w:instrText>
      </w:r>
      <w:r w:rsidR="00B4668F">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rsidR="00B4668F">
        <w:instrText xml:space="preserve"> ADDIN EN.CITE.DATA </w:instrText>
      </w:r>
      <w:r w:rsidR="00B4668F">
        <w:fldChar w:fldCharType="end"/>
      </w:r>
      <w:r w:rsidR="00B4668F">
        <w:fldChar w:fldCharType="separate"/>
      </w:r>
      <w:r w:rsidR="00B4668F">
        <w:rPr>
          <w:noProof/>
        </w:rPr>
        <w:t>(Sakaguchi et al. 2021)</w:t>
      </w:r>
      <w:r w:rsidR="00B4668F">
        <w:fldChar w:fldCharType="end"/>
      </w:r>
      <w:r w:rsidR="00DE693C">
        <w:t>.</w:t>
      </w:r>
      <w:r w:rsidR="00B53FFF">
        <w:t xml:space="preserve"> The certainty of evidence was rated as very low, due to the small number of studies and the very small numbers of discordant cases (where it can be assumed that NGS altered management compared to single-gene testing alone), with a large amount of heterogeneity low (GRADE </w:t>
      </w:r>
      <w:r w:rsidR="00B53FFF" w:rsidRPr="002D37B6">
        <w:rPr>
          <w:rFonts w:ascii="Cambria Math" w:hAnsi="Cambria Math" w:cs="Cambria Math"/>
          <w:color w:val="00B050"/>
        </w:rPr>
        <w:t>⊕</w:t>
      </w:r>
      <w:r w:rsidR="00B53FFF" w:rsidRPr="002D37B6">
        <w:rPr>
          <w:rFonts w:ascii="Cambria Math" w:hAnsi="Cambria Math" w:cs="Cambria Math"/>
          <w:color w:val="C00000"/>
        </w:rPr>
        <w:t>⊝⊝⊝</w:t>
      </w:r>
      <w:r w:rsidR="00B53FFF">
        <w:t>).</w:t>
      </w:r>
    </w:p>
    <w:p w14:paraId="64498335" w14:textId="7BCC2777" w:rsidR="00A20A38" w:rsidRDefault="00A20A38" w:rsidP="00A20A38">
      <w:pPr>
        <w:pStyle w:val="Caption"/>
      </w:pPr>
      <w:bookmarkStart w:id="121" w:name="_Ref109055898"/>
      <w:r>
        <w:t xml:space="preserve">Table </w:t>
      </w:r>
      <w:fldSimple w:instr=" SEQ Table \* ARABIC ">
        <w:r w:rsidR="00C857F3">
          <w:rPr>
            <w:noProof/>
          </w:rPr>
          <w:t>36</w:t>
        </w:r>
      </w:fldSimple>
      <w:bookmarkEnd w:id="121"/>
      <w:r>
        <w:tab/>
        <w:t>Studies which mention treatment in discordant cases between NGS and single-gene testing</w:t>
      </w:r>
    </w:p>
    <w:tbl>
      <w:tblPr>
        <w:tblStyle w:val="TableGrid"/>
        <w:tblW w:w="5000" w:type="pct"/>
        <w:tblLook w:val="04A0" w:firstRow="1" w:lastRow="0" w:firstColumn="1" w:lastColumn="0" w:noHBand="0" w:noVBand="1"/>
        <w:tblCaption w:val="Studies which mention treatment in discordant cases between NGS and single-gene testing"/>
        <w:tblDescription w:val="Studies which mention treatment in discordant cases between NGS and single-gene testing"/>
      </w:tblPr>
      <w:tblGrid>
        <w:gridCol w:w="1083"/>
        <w:gridCol w:w="1684"/>
        <w:gridCol w:w="1420"/>
        <w:gridCol w:w="1084"/>
        <w:gridCol w:w="1028"/>
        <w:gridCol w:w="2717"/>
      </w:tblGrid>
      <w:tr w:rsidR="00AA1ACC" w14:paraId="0BFE928F" w14:textId="77777777" w:rsidTr="003A6029">
        <w:trPr>
          <w:tblHeader/>
        </w:trPr>
        <w:tc>
          <w:tcPr>
            <w:tcW w:w="601" w:type="pct"/>
          </w:tcPr>
          <w:p w14:paraId="72AEDF01" w14:textId="77777777" w:rsidR="00EC046B" w:rsidRDefault="00EC046B" w:rsidP="007F6A9B">
            <w:pPr>
              <w:pStyle w:val="TableHeading"/>
            </w:pPr>
            <w:r>
              <w:t>Study</w:t>
            </w:r>
          </w:p>
        </w:tc>
        <w:tc>
          <w:tcPr>
            <w:tcW w:w="934" w:type="pct"/>
          </w:tcPr>
          <w:p w14:paraId="4A343361" w14:textId="5CE68B7D" w:rsidR="00EC046B" w:rsidRDefault="00EC046B" w:rsidP="007F6A9B">
            <w:pPr>
              <w:pStyle w:val="TableHeading"/>
            </w:pPr>
            <w:r>
              <w:t>Population</w:t>
            </w:r>
          </w:p>
        </w:tc>
        <w:tc>
          <w:tcPr>
            <w:tcW w:w="787" w:type="pct"/>
          </w:tcPr>
          <w:p w14:paraId="39AE1F73" w14:textId="0F083DB6" w:rsidR="00EC046B" w:rsidRDefault="00EC046B" w:rsidP="007F6A9B">
            <w:pPr>
              <w:pStyle w:val="TableHeading"/>
            </w:pPr>
            <w:r>
              <w:t>Intervention</w:t>
            </w:r>
          </w:p>
        </w:tc>
        <w:tc>
          <w:tcPr>
            <w:tcW w:w="601" w:type="pct"/>
          </w:tcPr>
          <w:p w14:paraId="67F962CE" w14:textId="3AFC9F4D" w:rsidR="00EC046B" w:rsidRDefault="00872C2A" w:rsidP="007F6A9B">
            <w:pPr>
              <w:pStyle w:val="TableHeading"/>
            </w:pPr>
            <w:r>
              <w:t>Prior testing</w:t>
            </w:r>
          </w:p>
        </w:tc>
        <w:tc>
          <w:tcPr>
            <w:tcW w:w="570" w:type="pct"/>
          </w:tcPr>
          <w:p w14:paraId="7E63BBA9" w14:textId="43CD39B3" w:rsidR="00EC046B" w:rsidRDefault="00AA1ACC" w:rsidP="007F6A9B">
            <w:pPr>
              <w:pStyle w:val="TableHeading"/>
            </w:pPr>
            <w:r>
              <w:t xml:space="preserve">Relevant </w:t>
            </w:r>
            <w:r w:rsidR="00EC046B">
              <w:t>Biomarker</w:t>
            </w:r>
          </w:p>
        </w:tc>
        <w:tc>
          <w:tcPr>
            <w:tcW w:w="1507" w:type="pct"/>
          </w:tcPr>
          <w:p w14:paraId="6550657B" w14:textId="225E78AC" w:rsidR="00EC046B" w:rsidRDefault="00EC046B" w:rsidP="007F6A9B">
            <w:pPr>
              <w:pStyle w:val="TableHeading"/>
            </w:pPr>
            <w:r>
              <w:t xml:space="preserve">Change in management </w:t>
            </w:r>
          </w:p>
        </w:tc>
      </w:tr>
      <w:tr w:rsidR="00AA1ACC" w14:paraId="0D7556CC" w14:textId="77777777" w:rsidTr="00AA1ACC">
        <w:tc>
          <w:tcPr>
            <w:tcW w:w="601" w:type="pct"/>
          </w:tcPr>
          <w:p w14:paraId="3F4361E9" w14:textId="4FAC8A69" w:rsidR="00615C9F" w:rsidRPr="00146AB6" w:rsidRDefault="00B4668F" w:rsidP="00B4668F">
            <w:pPr>
              <w:pStyle w:val="Tabletext0"/>
            </w:pP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 </w:instrText>
            </w: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EN.CITE.DATA </w:instrText>
            </w:r>
            <w:r>
              <w:fldChar w:fldCharType="end"/>
            </w:r>
            <w:r>
              <w:fldChar w:fldCharType="separate"/>
            </w:r>
            <w:r>
              <w:rPr>
                <w:noProof/>
              </w:rPr>
              <w:t>(Ali et al. 2016)</w:t>
            </w:r>
            <w:r>
              <w:fldChar w:fldCharType="end"/>
            </w:r>
          </w:p>
        </w:tc>
        <w:tc>
          <w:tcPr>
            <w:tcW w:w="934" w:type="pct"/>
          </w:tcPr>
          <w:p w14:paraId="170FF247" w14:textId="6CF09190" w:rsidR="00615C9F" w:rsidRPr="004E2ADE" w:rsidRDefault="00C80AA0" w:rsidP="004E2ADE">
            <w:pPr>
              <w:pStyle w:val="Tabletext0"/>
              <w:jc w:val="left"/>
            </w:pPr>
            <w:r>
              <w:t>11/</w:t>
            </w:r>
            <w:r w:rsidR="004E2ADE">
              <w:t>47 p</w:t>
            </w:r>
            <w:r w:rsidR="004E2ADE" w:rsidRPr="004E2ADE">
              <w:t xml:space="preserve">atients with NSCLC and </w:t>
            </w:r>
            <w:r w:rsidR="004E2ADE" w:rsidRPr="00956452">
              <w:rPr>
                <w:i/>
              </w:rPr>
              <w:t>ALK</w:t>
            </w:r>
            <w:r w:rsidR="004E2ADE" w:rsidRPr="004E2ADE">
              <w:t xml:space="preserve"> rearrangements, detected on NGS</w:t>
            </w:r>
            <w:r>
              <w:t xml:space="preserve"> but not on FISH</w:t>
            </w:r>
          </w:p>
        </w:tc>
        <w:tc>
          <w:tcPr>
            <w:tcW w:w="787" w:type="pct"/>
          </w:tcPr>
          <w:p w14:paraId="59CE3DF8" w14:textId="569F774F" w:rsidR="00615C9F" w:rsidRDefault="004E2ADE" w:rsidP="00615C9F">
            <w:pPr>
              <w:pStyle w:val="Tabletext0"/>
              <w:jc w:val="left"/>
            </w:pPr>
            <w:r>
              <w:t>NGS</w:t>
            </w:r>
          </w:p>
        </w:tc>
        <w:tc>
          <w:tcPr>
            <w:tcW w:w="601" w:type="pct"/>
          </w:tcPr>
          <w:p w14:paraId="582C4B6D" w14:textId="55539735" w:rsidR="00615C9F" w:rsidRDefault="004E2ADE" w:rsidP="00615C9F">
            <w:pPr>
              <w:pStyle w:val="Tabletext0"/>
            </w:pPr>
            <w:r>
              <w:t>FISH</w:t>
            </w:r>
            <w:r w:rsidR="00F53493">
              <w:t xml:space="preserve"> (those positive had 20 – 100% cells stained)</w:t>
            </w:r>
          </w:p>
        </w:tc>
        <w:tc>
          <w:tcPr>
            <w:tcW w:w="570" w:type="pct"/>
          </w:tcPr>
          <w:p w14:paraId="365689DD" w14:textId="5359C12E" w:rsidR="00615C9F" w:rsidRDefault="005155BB" w:rsidP="00615C9F">
            <w:pPr>
              <w:pStyle w:val="Tabletext0"/>
              <w:rPr>
                <w:i/>
              </w:rPr>
            </w:pPr>
            <w:r>
              <w:rPr>
                <w:i/>
              </w:rPr>
              <w:t>ALK</w:t>
            </w:r>
          </w:p>
        </w:tc>
        <w:tc>
          <w:tcPr>
            <w:tcW w:w="1507" w:type="pct"/>
          </w:tcPr>
          <w:p w14:paraId="30F3A107" w14:textId="32B75128" w:rsidR="00615C9F" w:rsidRDefault="00615C9F" w:rsidP="00615C9F">
            <w:pPr>
              <w:pStyle w:val="Tabletext0"/>
              <w:jc w:val="left"/>
            </w:pPr>
            <w:r>
              <w:t xml:space="preserve">9/11 </w:t>
            </w:r>
            <w:r w:rsidR="00647AA7">
              <w:t xml:space="preserve">(81.8% of discordant) </w:t>
            </w:r>
            <w:r w:rsidRPr="00956452">
              <w:rPr>
                <w:i/>
              </w:rPr>
              <w:t>ALK</w:t>
            </w:r>
            <w:r>
              <w:t>+ NGS/</w:t>
            </w:r>
            <w:r w:rsidRPr="00956452">
              <w:rPr>
                <w:i/>
              </w:rPr>
              <w:t>ALK</w:t>
            </w:r>
            <w:r>
              <w:t xml:space="preserve">- FISH received crizotinib based on NGS </w:t>
            </w:r>
          </w:p>
        </w:tc>
      </w:tr>
      <w:tr w:rsidR="00AA1ACC" w14:paraId="624FEBAE" w14:textId="77777777" w:rsidTr="00AA1ACC">
        <w:tc>
          <w:tcPr>
            <w:tcW w:w="601" w:type="pct"/>
          </w:tcPr>
          <w:p w14:paraId="3B9488F3" w14:textId="66B9DC56" w:rsidR="00615C9F" w:rsidRPr="00BF56FA" w:rsidRDefault="00B4668F" w:rsidP="00B4668F">
            <w:pPr>
              <w:pStyle w:val="Tabletext0"/>
            </w:pPr>
            <w:r>
              <w:fldChar w:fldCharType="begin"/>
            </w:r>
            <w:r>
              <w:instrText xml:space="preserve"> ADDIN EN.CITE &lt;EndNote&gt;&lt;Cite&gt;&lt;Author&gt;de Biase&lt;/Author&gt;&lt;Year&gt;2013&lt;/Year&gt;&lt;RecNum&gt;158&lt;/RecNum&gt;&lt;IDText&gt;e83607-NA&lt;/IDText&gt;&lt;DisplayText&gt;(de Biase et al. 2013)&lt;/DisplayText&gt;&lt;record&gt;&lt;rec-number&gt;158&lt;/rec-number&gt;&lt;foreign-keys&gt;&lt;key app="EN" db-id="0tprsse9cpp5r3ea5dz5p0xw2pfwvwxpa5a5" timestamp="1655264277"&gt;158&lt;/key&gt;&lt;/foreign-keys&gt;&lt;ref-type name="Journal Article"&gt;17&lt;/ref-type&gt;&lt;contributors&gt;&lt;authors&gt;&lt;author&gt;de Biase, Dario&lt;/author&gt;&lt;author&gt;Visani, Michela&lt;/author&gt;&lt;author&gt;Malapelle, Umberto&lt;/author&gt;&lt;author&gt;Simonato, Francesca&lt;/author&gt;&lt;author&gt;Cesari, Valentina&lt;/author&gt;&lt;author&gt;Bellevicine, Claudio&lt;/author&gt;&lt;author&gt;Pession, Annalisa&lt;/author&gt;&lt;author&gt;Troncone, Giancarlo&lt;/author&gt;&lt;author&gt;Fassina, Ambrogio&lt;/author&gt;&lt;author&gt;Tallini, Giovanni&lt;/author&gt;&lt;/authors&gt;&lt;/contributors&gt;&lt;titles&gt;&lt;title&gt;Next-Generation Sequencing of Lung Cancer EGFR Exons 18-21 Allows Effective Molecular Diagnosis of Small Routine Samples (Cytology and Biopsy)&lt;/title&gt;&lt;secondary-title&gt;PloS one&lt;/secondary-title&gt;&lt;/titles&gt;&lt;periodical&gt;&lt;full-title&gt;PLoS One&lt;/full-title&gt;&lt;/periodical&gt;&lt;pages&gt;e83607-NA&lt;/pages&gt;&lt;volume&gt;8&lt;/volume&gt;&lt;number&gt;12&lt;/number&gt;&lt;dates&gt;&lt;year&gt;2013&lt;/year&gt;&lt;/dates&gt;&lt;urls&gt;&lt;/urls&gt;&lt;electronic-resource-num&gt;10.1371/journal.pone.0083607&lt;/electronic-resource-num&gt;&lt;research-notes&gt;P - Include. concordance in predictions of clinical relevance. &lt;/research-notes&gt;&lt;/record&gt;&lt;/Cite&gt;&lt;/EndNote&gt;</w:instrText>
            </w:r>
            <w:r>
              <w:fldChar w:fldCharType="separate"/>
            </w:r>
            <w:r>
              <w:rPr>
                <w:noProof/>
              </w:rPr>
              <w:t>(de Biase et al. 2013)</w:t>
            </w:r>
            <w:r>
              <w:fldChar w:fldCharType="end"/>
            </w:r>
          </w:p>
        </w:tc>
        <w:tc>
          <w:tcPr>
            <w:tcW w:w="934" w:type="pct"/>
          </w:tcPr>
          <w:p w14:paraId="4C56B69B" w14:textId="2618F01F" w:rsidR="00615C9F" w:rsidRDefault="00C80AA0" w:rsidP="00615C9F">
            <w:pPr>
              <w:pStyle w:val="Tabletext0"/>
              <w:jc w:val="left"/>
            </w:pPr>
            <w:r>
              <w:t>14/</w:t>
            </w:r>
            <w:r w:rsidR="00615C9F">
              <w:t>80 patients with NSCLC</w:t>
            </w:r>
            <w:r>
              <w:t xml:space="preserve"> with discordant results between NGS and Sanger sequencing</w:t>
            </w:r>
          </w:p>
        </w:tc>
        <w:tc>
          <w:tcPr>
            <w:tcW w:w="787" w:type="pct"/>
          </w:tcPr>
          <w:p w14:paraId="35A83A77" w14:textId="151190B9" w:rsidR="00615C9F" w:rsidRDefault="00615C9F" w:rsidP="00615C9F">
            <w:pPr>
              <w:pStyle w:val="Tabletext0"/>
              <w:jc w:val="left"/>
            </w:pPr>
            <w:r>
              <w:t>NGS (454 GS-Junior platform)</w:t>
            </w:r>
          </w:p>
        </w:tc>
        <w:tc>
          <w:tcPr>
            <w:tcW w:w="601" w:type="pct"/>
          </w:tcPr>
          <w:p w14:paraId="11D7BF20" w14:textId="517891EF" w:rsidR="00615C9F" w:rsidRDefault="00615C9F" w:rsidP="00615C9F">
            <w:pPr>
              <w:pStyle w:val="Tabletext0"/>
            </w:pPr>
            <w:r>
              <w:t>Sanger Sequencing</w:t>
            </w:r>
          </w:p>
        </w:tc>
        <w:tc>
          <w:tcPr>
            <w:tcW w:w="570" w:type="pct"/>
          </w:tcPr>
          <w:p w14:paraId="1CCBE493" w14:textId="00B0754D" w:rsidR="00615C9F" w:rsidRPr="000C6454" w:rsidRDefault="00615C9F" w:rsidP="00615C9F">
            <w:pPr>
              <w:pStyle w:val="Tabletext0"/>
              <w:rPr>
                <w:i/>
              </w:rPr>
            </w:pPr>
            <w:r>
              <w:rPr>
                <w:i/>
              </w:rPr>
              <w:t>EGFR</w:t>
            </w:r>
          </w:p>
        </w:tc>
        <w:tc>
          <w:tcPr>
            <w:tcW w:w="1507" w:type="pct"/>
          </w:tcPr>
          <w:p w14:paraId="1F2015E2" w14:textId="01644EFD" w:rsidR="00615C9F" w:rsidRDefault="00615C9F" w:rsidP="00615C9F">
            <w:pPr>
              <w:pStyle w:val="Tabletext0"/>
              <w:jc w:val="left"/>
            </w:pPr>
            <w:r>
              <w:t xml:space="preserve">14 additional cases with </w:t>
            </w:r>
            <w:r>
              <w:rPr>
                <w:i/>
              </w:rPr>
              <w:t xml:space="preserve">EGFR </w:t>
            </w:r>
            <w:r>
              <w:t xml:space="preserve">variants identified (4 additional cases of exon 19 deletions, 2 additional cases L858R, individual cases of F795S, V845M, P691T, K708N, G721W + R831H, S752F + T785I, D807G, P772S), </w:t>
            </w:r>
          </w:p>
          <w:p w14:paraId="5C798F3D" w14:textId="546FA6AE" w:rsidR="00615C9F" w:rsidRDefault="00615C9F" w:rsidP="00615C9F">
            <w:pPr>
              <w:pStyle w:val="Tabletext0"/>
              <w:jc w:val="left"/>
            </w:pPr>
            <w:r>
              <w:t>6/14 discordant cases treated with TKIs (</w:t>
            </w:r>
            <w:r w:rsidR="00647AA7">
              <w:t>42.9% of discordant</w:t>
            </w:r>
            <w:r>
              <w:t>)</w:t>
            </w:r>
          </w:p>
          <w:p w14:paraId="550CACD9" w14:textId="2E4E0A02" w:rsidR="00615C9F" w:rsidRPr="00070CAC" w:rsidRDefault="00615C9F" w:rsidP="00615C9F">
            <w:pPr>
              <w:pStyle w:val="Tabletext0"/>
              <w:jc w:val="left"/>
            </w:pPr>
            <w:r>
              <w:t>1 case with resistance variant identified by NGS but not Sanger Sequencing (R831H) ruled out use of TKI</w:t>
            </w:r>
          </w:p>
        </w:tc>
      </w:tr>
      <w:tr w:rsidR="00AA1ACC" w14:paraId="62EF89E5" w14:textId="77777777" w:rsidTr="00AA1ACC">
        <w:tc>
          <w:tcPr>
            <w:tcW w:w="601" w:type="pct"/>
          </w:tcPr>
          <w:p w14:paraId="7F8B0A7A" w14:textId="4699A610" w:rsidR="00615C9F" w:rsidRDefault="00B4668F" w:rsidP="00B4668F">
            <w:pPr>
              <w:pStyle w:val="Tabletext0"/>
            </w:pPr>
            <w:r>
              <w:fldChar w:fldCharType="begin"/>
            </w:r>
            <w:r>
              <w:instrText xml:space="preserve"> ADDIN EN.CITE &lt;EndNote&gt;&lt;Cite&gt;&lt;Author&gt;DiBardino&lt;/Author&gt;&lt;Year&gt;2016&lt;/Year&gt;&lt;RecNum&gt;66&lt;/RecNum&gt;&lt;IDText&gt;517-+&lt;/IDText&gt;&lt;DisplayText&gt;(DiBardino et al. 2016)&lt;/DisplayText&gt;&lt;record&gt;&lt;rec-number&gt;66&lt;/rec-number&gt;&lt;foreign-keys&gt;&lt;key app="EN" db-id="0tprsse9cpp5r3ea5dz5p0xw2pfwvwxpa5a5" timestamp="1651814838"&gt;66&lt;/key&gt;&lt;/foreign-keys&gt;&lt;ref-type name="Journal Article"&gt;17&lt;/ref-type&gt;&lt;contributors&gt;&lt;authors&gt;&lt;author&gt;DiBardino, D. M.&lt;/author&gt;&lt;author&gt;Saqi, A.&lt;/author&gt;&lt;author&gt;Elvin, J. A.&lt;/author&gt;&lt;author&gt;Greenbowe, J.&lt;/author&gt;&lt;author&gt;Suh, J. H.&lt;/author&gt;&lt;author&gt;Miller, V. A.&lt;/author&gt;&lt;author&gt;Ali, S. M.&lt;/author&gt;&lt;author&gt;Stoopler, M.&lt;/author&gt;&lt;author&gt;Bulman, W. A.&lt;/author&gt;&lt;/authors&gt;&lt;/contributors&gt;&lt;titles&gt;&lt;title&gt;Yield and Clinical Utility of Next-Generation Sequencing in Selected Patients With Lung Adenocarcinoma&lt;/title&gt;&lt;secondary-title&gt;Clinical Lung Cancer&lt;/secondary-title&gt;&lt;/titles&gt;&lt;periodical&gt;&lt;full-title&gt;Clinical Lung Cancer&lt;/full-title&gt;&lt;/periodical&gt;&lt;pages&gt;517-+&lt;/pages&gt;&lt;volume&gt;17&lt;/volume&gt;&lt;number&gt;6&lt;/number&gt;&lt;dates&gt;&lt;year&gt;2016&lt;/year&gt;&lt;pub-dates&gt;&lt;date&gt;Nov&lt;/date&gt;&lt;/pub-dates&gt;&lt;/dates&gt;&lt;isbn&gt;1525-7304&lt;/isbn&gt;&lt;accession-num&gt;WOS:000386329500006&lt;/accession-num&gt;&lt;urls&gt;&lt;related-urls&gt;&lt;url&gt;&lt;style face="underline" font="default" size="100%"&gt;&amp;lt;Go to ISI&amp;gt;://WOS:000386329500006&lt;/style&gt;&lt;/url&gt;&lt;url&gt;&lt;style face="underline" font="default" size="100%"&gt;https://ac.els-cdn.com/S1525730416301334/1-s2.0-S1525730416301334-main.pdf?_tid=88836b01-beeb-4440-9c4c-11e1353c1d27&amp;amp;acdnat=1548814245_225f28b86c26e094b8379606d5e03732&lt;/style&gt;&lt;/url&gt;&lt;/related-urls&gt;&lt;/urls&gt;&lt;electronic-resource-num&gt;10.1016/j.cllc.2016.05.017&lt;/electronic-resource-num&gt;&lt;research-notes&gt;management data. can&amp;apos;t extract 2x2 concordance. &lt;/research-notes&gt;&lt;/record&gt;&lt;/Cite&gt;&lt;/EndNote&gt;</w:instrText>
            </w:r>
            <w:r>
              <w:fldChar w:fldCharType="separate"/>
            </w:r>
            <w:r>
              <w:rPr>
                <w:noProof/>
              </w:rPr>
              <w:t>(DiBardino et al. 2016)</w:t>
            </w:r>
            <w:r>
              <w:fldChar w:fldCharType="end"/>
            </w:r>
          </w:p>
        </w:tc>
        <w:tc>
          <w:tcPr>
            <w:tcW w:w="934" w:type="pct"/>
          </w:tcPr>
          <w:p w14:paraId="5EC50E06" w14:textId="02E2C1D3" w:rsidR="00615C9F" w:rsidRDefault="00615C9F" w:rsidP="00615C9F">
            <w:pPr>
              <w:pStyle w:val="Tabletext0"/>
              <w:jc w:val="left"/>
            </w:pPr>
            <w:r>
              <w:t xml:space="preserve">49 patients with NSCLC where extended genetic testing was specifically requested (due to having stage IV cancer, negative or mixed results on single-gene studies, </w:t>
            </w:r>
            <w:r w:rsidR="00DE60C3">
              <w:t>non-smokers</w:t>
            </w:r>
            <w:r>
              <w:t>, progression of disease during chemotherapy, before enrolment in a trial, or disease recurrence)</w:t>
            </w:r>
          </w:p>
        </w:tc>
        <w:tc>
          <w:tcPr>
            <w:tcW w:w="787" w:type="pct"/>
          </w:tcPr>
          <w:p w14:paraId="141DE67B" w14:textId="04EE0ED2" w:rsidR="00615C9F" w:rsidRDefault="00615C9F" w:rsidP="00615C9F">
            <w:pPr>
              <w:pStyle w:val="Tabletext0"/>
              <w:jc w:val="left"/>
            </w:pPr>
            <w:r>
              <w:t>NGS (Comprehensive genomic profiling, Foundation Medicine)</w:t>
            </w:r>
          </w:p>
        </w:tc>
        <w:tc>
          <w:tcPr>
            <w:tcW w:w="601" w:type="pct"/>
          </w:tcPr>
          <w:p w14:paraId="5A1FAF69" w14:textId="27244D23" w:rsidR="00615C9F" w:rsidRDefault="00615C9F" w:rsidP="00615C9F">
            <w:pPr>
              <w:pStyle w:val="Tabletext0"/>
            </w:pPr>
            <w:r>
              <w:t>Routine testing (details not explicit)</w:t>
            </w:r>
          </w:p>
        </w:tc>
        <w:tc>
          <w:tcPr>
            <w:tcW w:w="570" w:type="pct"/>
          </w:tcPr>
          <w:p w14:paraId="0B8AD03A" w14:textId="5DCA31D0" w:rsidR="00615C9F" w:rsidRPr="000C6454" w:rsidRDefault="00615C9F" w:rsidP="00615C9F">
            <w:pPr>
              <w:pStyle w:val="Tabletext0"/>
            </w:pPr>
            <w:r w:rsidRPr="000C6454">
              <w:rPr>
                <w:i/>
              </w:rPr>
              <w:t>EGFR</w:t>
            </w:r>
            <w:r w:rsidRPr="000C6454">
              <w:t xml:space="preserve">, </w:t>
            </w:r>
            <w:r w:rsidRPr="000C6454">
              <w:rPr>
                <w:i/>
              </w:rPr>
              <w:t>ALK</w:t>
            </w:r>
            <w:r>
              <w:t xml:space="preserve">, </w:t>
            </w:r>
            <w:r w:rsidRPr="000C6454">
              <w:rPr>
                <w:i/>
              </w:rPr>
              <w:t>ROS1</w:t>
            </w:r>
            <w:r>
              <w:rPr>
                <w:i/>
              </w:rPr>
              <w:t xml:space="preserve">, METex14 </w:t>
            </w:r>
            <w:r>
              <w:t>(and other not reported here)</w:t>
            </w:r>
          </w:p>
        </w:tc>
        <w:tc>
          <w:tcPr>
            <w:tcW w:w="1507" w:type="pct"/>
          </w:tcPr>
          <w:p w14:paraId="663C772C" w14:textId="17DF89C1" w:rsidR="00615C9F" w:rsidRDefault="00615C9F" w:rsidP="00615C9F">
            <w:pPr>
              <w:pStyle w:val="Tabletext0"/>
              <w:jc w:val="left"/>
            </w:pPr>
            <w:r>
              <w:t>5/49 had management change due to NGS</w:t>
            </w:r>
            <w:r w:rsidR="00647AA7">
              <w:t xml:space="preserve"> </w:t>
            </w:r>
          </w:p>
          <w:p w14:paraId="686B4975" w14:textId="734DC7A7" w:rsidR="00615C9F" w:rsidRDefault="00615C9F" w:rsidP="00615C9F">
            <w:pPr>
              <w:pStyle w:val="Tabletext0"/>
              <w:jc w:val="left"/>
            </w:pPr>
            <w:r>
              <w:t xml:space="preserve">1 case given erlotinib due to </w:t>
            </w:r>
            <w:r w:rsidRPr="00956452">
              <w:rPr>
                <w:i/>
              </w:rPr>
              <w:t>EGFR</w:t>
            </w:r>
            <w:r>
              <w:t xml:space="preserve"> L858R variant</w:t>
            </w:r>
          </w:p>
          <w:p w14:paraId="4D494C46" w14:textId="16F0144A" w:rsidR="00615C9F" w:rsidRDefault="00615C9F" w:rsidP="00615C9F">
            <w:pPr>
              <w:pStyle w:val="Tabletext0"/>
              <w:jc w:val="left"/>
            </w:pPr>
            <w:r>
              <w:t xml:space="preserve">2 cases discontinued erlotinib </w:t>
            </w:r>
            <w:r w:rsidRPr="00956452">
              <w:rPr>
                <w:i/>
              </w:rPr>
              <w:t>(EGFR</w:t>
            </w:r>
            <w:r>
              <w:t xml:space="preserve"> E709_T710&gt;D variant; and </w:t>
            </w:r>
            <w:r w:rsidRPr="00956452">
              <w:rPr>
                <w:i/>
              </w:rPr>
              <w:t>EGFR</w:t>
            </w:r>
            <w:r>
              <w:t xml:space="preserve"> wildtype)</w:t>
            </w:r>
          </w:p>
          <w:p w14:paraId="76181FC9" w14:textId="5C41AA57" w:rsidR="00615C9F" w:rsidRDefault="00615C9F" w:rsidP="00615C9F">
            <w:pPr>
              <w:pStyle w:val="Tabletext0"/>
              <w:jc w:val="left"/>
            </w:pPr>
            <w:r>
              <w:t>1 case started crizotinib (METex14 splice site)</w:t>
            </w:r>
          </w:p>
          <w:p w14:paraId="0F2BBB54" w14:textId="5197B414" w:rsidR="00615C9F" w:rsidRDefault="00615C9F" w:rsidP="00615C9F">
            <w:pPr>
              <w:pStyle w:val="Tabletext0"/>
              <w:jc w:val="left"/>
            </w:pPr>
            <w:r>
              <w:t xml:space="preserve">1 case started ceritinib for </w:t>
            </w:r>
            <w:r w:rsidRPr="00956452">
              <w:rPr>
                <w:i/>
              </w:rPr>
              <w:t>ROS1</w:t>
            </w:r>
            <w:r>
              <w:t xml:space="preserve"> variant</w:t>
            </w:r>
          </w:p>
          <w:p w14:paraId="41328120" w14:textId="1BC242C8" w:rsidR="00615C9F" w:rsidRDefault="00DE693C" w:rsidP="00615C9F">
            <w:pPr>
              <w:pStyle w:val="Tabletext0"/>
              <w:jc w:val="left"/>
            </w:pPr>
            <w:r>
              <w:t>(unclear what % of discordant)</w:t>
            </w:r>
          </w:p>
          <w:p w14:paraId="1E38BD33" w14:textId="1C868ECC" w:rsidR="00615C9F" w:rsidRDefault="00615C9F" w:rsidP="00615C9F">
            <w:pPr>
              <w:pStyle w:val="Tabletext0"/>
              <w:jc w:val="left"/>
            </w:pPr>
            <w:r>
              <w:t>Potential change in management:</w:t>
            </w:r>
          </w:p>
          <w:p w14:paraId="0C9927DD" w14:textId="39D97ECC" w:rsidR="00615C9F" w:rsidRDefault="00615C9F" w:rsidP="00615C9F">
            <w:pPr>
              <w:pStyle w:val="Tabletext0"/>
              <w:jc w:val="left"/>
            </w:pPr>
            <w:r>
              <w:t>1 (</w:t>
            </w:r>
            <w:r w:rsidRPr="00956452">
              <w:rPr>
                <w:i/>
              </w:rPr>
              <w:t>EML4-ALK</w:t>
            </w:r>
            <w:r>
              <w:t xml:space="preserve"> fusion detected) (unclear why patient did not receive available treatment)</w:t>
            </w:r>
          </w:p>
        </w:tc>
      </w:tr>
      <w:tr w:rsidR="00AA1ACC" w14:paraId="10F4F5F7" w14:textId="77777777" w:rsidTr="00AA1ACC">
        <w:tc>
          <w:tcPr>
            <w:tcW w:w="601" w:type="pct"/>
          </w:tcPr>
          <w:p w14:paraId="249CC884" w14:textId="29E44EC0" w:rsidR="00615C9F" w:rsidRPr="00BF56FA" w:rsidRDefault="00B4668F" w:rsidP="00B4668F">
            <w:pPr>
              <w:pStyle w:val="Tabletext0"/>
            </w:pPr>
            <w:r>
              <w:fldChar w:fldCharType="begin"/>
            </w:r>
            <w:r>
              <w:instrText xml:space="preserve"> ADDIN EN.CITE &lt;EndNote&gt;&lt;Cite&gt;&lt;Author&gt;Hamblin&lt;/Author&gt;&lt;Year&gt;2017&lt;/Year&gt;&lt;RecNum&gt;161&lt;/RecNum&gt;&lt;IDText&gt;e1002230-NA&lt;/IDText&gt;&lt;DisplayText&gt;(Hamblin et al. 2017)&lt;/DisplayText&gt;&lt;record&gt;&lt;rec-number&gt;161&lt;/rec-number&gt;&lt;foreign-keys&gt;&lt;key app="EN" db-id="0tprsse9cpp5r3ea5dz5p0xw2pfwvwxpa5a5" timestamp="1655264278"&gt;161&lt;/key&gt;&lt;/foreign-keys&gt;&lt;ref-type name="Journal Article"&gt;17&lt;/ref-type&gt;&lt;contributors&gt;&lt;authors&gt;&lt;author&gt;Hamblin, Angela&lt;/author&gt;&lt;author&gt;Wordsworth, Sarah&lt;/author&gt;&lt;author&gt;Fermont, Jilles M.&lt;/author&gt;&lt;author&gt;Page, Suzanne&lt;/author&gt;&lt;author&gt;Kaur, Kulvinder&lt;/author&gt;&lt;author&gt;Camps, Carme&lt;/author&gt;&lt;author&gt;Kaisaki, Pamela J.&lt;/author&gt;&lt;author&gt;Gupta, Avinash&lt;/author&gt;&lt;author&gt;Talbot, Denis&lt;/author&gt;&lt;author&gt;Middleton, Mark R.&lt;/author&gt;&lt;author&gt;Henderson, Shirley&lt;/author&gt;&lt;author&gt;Cutts, Anthony&lt;/author&gt;&lt;author&gt;Vavoulis, Dimitrios V.&lt;/author&gt;&lt;author&gt;Housby, Nick&lt;/author&gt;&lt;author&gt;Tomlinson, Ian&lt;/author&gt;&lt;author&gt;Taylor, Jenny C.&lt;/author&gt;&lt;author&gt;Schuh, Anna&lt;/author&gt;&lt;/authors&gt;&lt;/contributors&gt;&lt;titles&gt;&lt;title&gt;Clinical applicability and cost of a 46-gene panel for genomic analysis of solid tumours: Retrospective validation and prospective audit in the UK National Health Service&lt;/title&gt;&lt;secondary-title&gt;PLoS medicine&lt;/secondary-title&gt;&lt;/titles&gt;&lt;periodical&gt;&lt;full-title&gt;PLoS medicine&lt;/full-title&gt;&lt;/periodical&gt;&lt;pages&gt;e1002230-NA&lt;/pages&gt;&lt;volume&gt;14&lt;/volume&gt;&lt;number&gt;2&lt;/number&gt;&lt;dates&gt;&lt;year&gt;2017&lt;/year&gt;&lt;/dates&gt;&lt;urls&gt;&lt;related-urls&gt;&lt;url&gt;https://www.ncbi.nlm.nih.gov/pmc/articles/PMC5308858/pdf/pmed.1002230.pdf&lt;/url&gt;&lt;/related-urls&gt;&lt;/urls&gt;&lt;electronic-resource-num&gt;10.1371/journal.pmed.1002230&lt;/electronic-resource-num&gt;&lt;research-notes&gt;P - rare EGFR mutation - change in management&lt;/research-notes&gt;&lt;/record&gt;&lt;/Cite&gt;&lt;/EndNote&gt;</w:instrText>
            </w:r>
            <w:r>
              <w:fldChar w:fldCharType="separate"/>
            </w:r>
            <w:r>
              <w:rPr>
                <w:noProof/>
              </w:rPr>
              <w:t>(Hamblin et al. 2017)</w:t>
            </w:r>
            <w:r>
              <w:fldChar w:fldCharType="end"/>
            </w:r>
          </w:p>
        </w:tc>
        <w:tc>
          <w:tcPr>
            <w:tcW w:w="934" w:type="pct"/>
          </w:tcPr>
          <w:p w14:paraId="2DC536E9" w14:textId="08D59628" w:rsidR="00615C9F" w:rsidRDefault="00C80AA0" w:rsidP="00615C9F">
            <w:pPr>
              <w:pStyle w:val="Tabletext0"/>
              <w:jc w:val="left"/>
            </w:pPr>
            <w:r>
              <w:t>4/</w:t>
            </w:r>
            <w:r w:rsidR="00615C9F">
              <w:t>351 patients with NSCLC which clinicians thought would benefit from more extensive analysis</w:t>
            </w:r>
            <w:r>
              <w:t>, with discordant results</w:t>
            </w:r>
          </w:p>
        </w:tc>
        <w:tc>
          <w:tcPr>
            <w:tcW w:w="787" w:type="pct"/>
          </w:tcPr>
          <w:p w14:paraId="01D86303" w14:textId="235F5CDE" w:rsidR="00615C9F" w:rsidRDefault="00615C9F" w:rsidP="00615C9F">
            <w:pPr>
              <w:pStyle w:val="Tabletext0"/>
              <w:jc w:val="left"/>
            </w:pPr>
            <w:r>
              <w:t>Ion AmpliSeq Targeted hotspot NGS cancer panel (46 genes, 189 amplicons)</w:t>
            </w:r>
          </w:p>
        </w:tc>
        <w:tc>
          <w:tcPr>
            <w:tcW w:w="601" w:type="pct"/>
          </w:tcPr>
          <w:p w14:paraId="655B1FD0" w14:textId="71F4F442" w:rsidR="00615C9F" w:rsidRPr="00507D68" w:rsidRDefault="00615C9F" w:rsidP="00615C9F">
            <w:pPr>
              <w:pStyle w:val="Tabletext0"/>
            </w:pPr>
            <w:r w:rsidRPr="00507D68">
              <w:t>Single gene testing (Cobas assay)</w:t>
            </w:r>
          </w:p>
        </w:tc>
        <w:tc>
          <w:tcPr>
            <w:tcW w:w="570" w:type="pct"/>
          </w:tcPr>
          <w:p w14:paraId="73E05178" w14:textId="39E420BB" w:rsidR="00615C9F" w:rsidRPr="00507D68" w:rsidRDefault="00615C9F" w:rsidP="00615C9F">
            <w:pPr>
              <w:pStyle w:val="Tabletext0"/>
              <w:rPr>
                <w:i/>
              </w:rPr>
            </w:pPr>
            <w:r w:rsidRPr="00507D68">
              <w:rPr>
                <w:i/>
              </w:rPr>
              <w:t>EGFR</w:t>
            </w:r>
          </w:p>
        </w:tc>
        <w:tc>
          <w:tcPr>
            <w:tcW w:w="1507" w:type="pct"/>
          </w:tcPr>
          <w:p w14:paraId="7FA25071" w14:textId="0933784A" w:rsidR="00615C9F" w:rsidRPr="00507D68" w:rsidRDefault="00615C9F" w:rsidP="00647AA7">
            <w:pPr>
              <w:pStyle w:val="Tabletext0"/>
              <w:jc w:val="left"/>
            </w:pPr>
            <w:r>
              <w:t xml:space="preserve">Additional 4 cases with </w:t>
            </w:r>
            <w:r>
              <w:rPr>
                <w:i/>
              </w:rPr>
              <w:t>EGFR</w:t>
            </w:r>
            <w:r>
              <w:t xml:space="preserve"> variants identified (outside the scope of cobas assay; M600T, S720C, V742I and L861Q) and received erlotinib</w:t>
            </w:r>
            <w:r w:rsidR="00647AA7">
              <w:t xml:space="preserve"> (100% of discordant)</w:t>
            </w:r>
            <w:r w:rsidR="004E2ADE">
              <w:t>.</w:t>
            </w:r>
          </w:p>
        </w:tc>
      </w:tr>
      <w:tr w:rsidR="00AA1ACC" w14:paraId="4252C8AB" w14:textId="77777777" w:rsidTr="00AA1ACC">
        <w:tc>
          <w:tcPr>
            <w:tcW w:w="601" w:type="pct"/>
          </w:tcPr>
          <w:p w14:paraId="4948B898" w14:textId="0482008A" w:rsidR="00615C9F" w:rsidRPr="005155BB" w:rsidRDefault="00B4668F" w:rsidP="00B4668F">
            <w:pPr>
              <w:pStyle w:val="Tabletext0"/>
            </w:pPr>
            <w:r>
              <w:lastRenderedPageBreak/>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 </w:instrText>
            </w: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EN.CITE.DATA </w:instrText>
            </w:r>
            <w:r>
              <w:fldChar w:fldCharType="end"/>
            </w:r>
            <w:r>
              <w:fldChar w:fldCharType="separate"/>
            </w:r>
            <w:r>
              <w:rPr>
                <w:noProof/>
              </w:rPr>
              <w:t>(Sakaguchi et al. 2021)</w:t>
            </w:r>
            <w:r>
              <w:fldChar w:fldCharType="end"/>
            </w:r>
          </w:p>
        </w:tc>
        <w:tc>
          <w:tcPr>
            <w:tcW w:w="934" w:type="pct"/>
          </w:tcPr>
          <w:p w14:paraId="05DE862D" w14:textId="6CCCCB21" w:rsidR="00615C9F" w:rsidRDefault="00C80AA0" w:rsidP="00615C9F">
            <w:pPr>
              <w:pStyle w:val="Tabletext0"/>
              <w:jc w:val="left"/>
            </w:pPr>
            <w:r>
              <w:t>4/</w:t>
            </w:r>
            <w:r w:rsidR="00935D34">
              <w:t>116 samples from consecutive NSCLC patients</w:t>
            </w:r>
            <w:r>
              <w:t xml:space="preserve"> with discordant results</w:t>
            </w:r>
            <w:r w:rsidR="00935D34">
              <w:t xml:space="preserve"> </w:t>
            </w:r>
          </w:p>
        </w:tc>
        <w:tc>
          <w:tcPr>
            <w:tcW w:w="787" w:type="pct"/>
          </w:tcPr>
          <w:p w14:paraId="44CE0F7D" w14:textId="521DA327" w:rsidR="00615C9F" w:rsidRDefault="00935D34" w:rsidP="00615C9F">
            <w:pPr>
              <w:pStyle w:val="Tabletext0"/>
              <w:jc w:val="left"/>
            </w:pPr>
            <w:r>
              <w:t>Oncomine Dx Target Test</w:t>
            </w:r>
          </w:p>
        </w:tc>
        <w:tc>
          <w:tcPr>
            <w:tcW w:w="601" w:type="pct"/>
          </w:tcPr>
          <w:p w14:paraId="30350F85" w14:textId="2D0380C4" w:rsidR="00615C9F" w:rsidRPr="00507D68" w:rsidRDefault="00935D34" w:rsidP="00615C9F">
            <w:pPr>
              <w:pStyle w:val="Tabletext0"/>
            </w:pPr>
            <w:r>
              <w:t>PNA-LNA PCR clamp test</w:t>
            </w:r>
          </w:p>
        </w:tc>
        <w:tc>
          <w:tcPr>
            <w:tcW w:w="570" w:type="pct"/>
          </w:tcPr>
          <w:p w14:paraId="7EA12460" w14:textId="237C19DC" w:rsidR="00615C9F" w:rsidRPr="00507D68" w:rsidRDefault="00AA1ACC" w:rsidP="00615C9F">
            <w:pPr>
              <w:pStyle w:val="Tabletext0"/>
              <w:rPr>
                <w:i/>
              </w:rPr>
            </w:pPr>
            <w:r>
              <w:rPr>
                <w:i/>
              </w:rPr>
              <w:t>EGFR</w:t>
            </w:r>
          </w:p>
        </w:tc>
        <w:tc>
          <w:tcPr>
            <w:tcW w:w="1507" w:type="pct"/>
          </w:tcPr>
          <w:p w14:paraId="540432F7" w14:textId="55A19E2F" w:rsidR="00AA1ACC" w:rsidRDefault="006260CD" w:rsidP="00AA1ACC">
            <w:pPr>
              <w:pStyle w:val="Tabletext0"/>
              <w:jc w:val="left"/>
            </w:pPr>
            <w:r>
              <w:t>4</w:t>
            </w:r>
            <w:r w:rsidR="00615C9F" w:rsidRPr="00AA1ACC">
              <w:t xml:space="preserve"> discordant cases</w:t>
            </w:r>
            <w:r w:rsidR="00AA1ACC" w:rsidRPr="00AA1ACC">
              <w:t xml:space="preserve"> </w:t>
            </w:r>
          </w:p>
          <w:p w14:paraId="74723BA6" w14:textId="77777777" w:rsidR="00AA1ACC" w:rsidRDefault="00AA1ACC" w:rsidP="00AA1ACC">
            <w:pPr>
              <w:pStyle w:val="Tabletext0"/>
              <w:jc w:val="left"/>
            </w:pPr>
            <w:r w:rsidRPr="00AA1ACC">
              <w:t>3</w:t>
            </w:r>
            <w:r>
              <w:t xml:space="preserve"> e</w:t>
            </w:r>
            <w:r w:rsidR="00615C9F" w:rsidRPr="00AA1ACC">
              <w:t xml:space="preserve">xon 19 deletion detected by PNA-LNA PCA clamp but not by Oncomine Dx Target Test. </w:t>
            </w:r>
          </w:p>
          <w:p w14:paraId="21368847" w14:textId="42E561E3" w:rsidR="006260CD" w:rsidRDefault="00615C9F" w:rsidP="00AA1ACC">
            <w:pPr>
              <w:pStyle w:val="Tabletext0"/>
              <w:jc w:val="left"/>
            </w:pPr>
            <w:r w:rsidRPr="00AA1ACC">
              <w:t>2 received osimer</w:t>
            </w:r>
            <w:r w:rsidR="004E2ADE">
              <w:t>tinib (and would not have, based on NGS</w:t>
            </w:r>
            <w:r w:rsidR="00647AA7">
              <w:t>)(50% of discordant</w:t>
            </w:r>
            <w:r w:rsidR="004E2ADE">
              <w:t>)</w:t>
            </w:r>
            <w:r w:rsidRPr="00AA1ACC">
              <w:t>.</w:t>
            </w:r>
            <w:r w:rsidR="006260CD">
              <w:t xml:space="preserve"> </w:t>
            </w:r>
          </w:p>
          <w:p w14:paraId="06FD6686" w14:textId="671420CF" w:rsidR="00615C9F" w:rsidRPr="00AA1ACC" w:rsidRDefault="006260CD" w:rsidP="00AA1ACC">
            <w:pPr>
              <w:pStyle w:val="Tabletext0"/>
              <w:jc w:val="left"/>
            </w:pPr>
            <w:r>
              <w:t xml:space="preserve">2 had </w:t>
            </w:r>
            <w:r w:rsidR="00495A4C">
              <w:t>early-stage</w:t>
            </w:r>
            <w:r>
              <w:t xml:space="preserve"> disease and underwent surgery (no change in management)</w:t>
            </w:r>
          </w:p>
        </w:tc>
      </w:tr>
      <w:tr w:rsidR="00AA1ACC" w14:paraId="042B7D13" w14:textId="77777777" w:rsidTr="00AA1ACC">
        <w:tc>
          <w:tcPr>
            <w:tcW w:w="601" w:type="pct"/>
          </w:tcPr>
          <w:p w14:paraId="35E282A3" w14:textId="066D2338" w:rsidR="00615C9F" w:rsidRPr="00BF56FA" w:rsidRDefault="00B4668F" w:rsidP="00B4668F">
            <w:pPr>
              <w:pStyle w:val="Tabletext0"/>
            </w:pP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 </w:instrText>
            </w: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EN.CITE.DATA </w:instrText>
            </w:r>
            <w:r>
              <w:fldChar w:fldCharType="end"/>
            </w:r>
            <w:r>
              <w:fldChar w:fldCharType="separate"/>
            </w:r>
            <w:r>
              <w:rPr>
                <w:noProof/>
              </w:rPr>
              <w:t>(Schrock et al. 2016)</w:t>
            </w:r>
            <w:r>
              <w:fldChar w:fldCharType="end"/>
            </w:r>
          </w:p>
        </w:tc>
        <w:tc>
          <w:tcPr>
            <w:tcW w:w="934" w:type="pct"/>
          </w:tcPr>
          <w:p w14:paraId="4DBA78F6" w14:textId="602EA3E6" w:rsidR="00615C9F" w:rsidRPr="00615C9F" w:rsidRDefault="00C80AA0" w:rsidP="00615C9F">
            <w:pPr>
              <w:pStyle w:val="Tabletext0"/>
              <w:jc w:val="left"/>
            </w:pPr>
            <w:r>
              <w:t>17/</w:t>
            </w:r>
            <w:r w:rsidR="00615C9F">
              <w:t xml:space="preserve">77 patients with </w:t>
            </w:r>
            <w:r w:rsidR="00615C9F">
              <w:rPr>
                <w:i/>
              </w:rPr>
              <w:t>EGFR</w:t>
            </w:r>
            <w:r w:rsidR="00615C9F">
              <w:t xml:space="preserve"> variants found by NGS and had previous </w:t>
            </w:r>
            <w:r w:rsidR="00615C9F">
              <w:rPr>
                <w:i/>
              </w:rPr>
              <w:t xml:space="preserve">EGFR </w:t>
            </w:r>
            <w:r w:rsidR="00615C9F">
              <w:t>test results</w:t>
            </w:r>
            <w:r>
              <w:t xml:space="preserve"> which were discordant</w:t>
            </w:r>
          </w:p>
        </w:tc>
        <w:tc>
          <w:tcPr>
            <w:tcW w:w="787" w:type="pct"/>
          </w:tcPr>
          <w:p w14:paraId="05BF55BB" w14:textId="34E6E2DF" w:rsidR="00615C9F" w:rsidRPr="00615C9F" w:rsidRDefault="00615C9F" w:rsidP="00615C9F">
            <w:pPr>
              <w:pStyle w:val="Tabletext0"/>
              <w:jc w:val="left"/>
            </w:pPr>
            <w:r>
              <w:t>H</w:t>
            </w:r>
            <w:r w:rsidRPr="00615C9F">
              <w:t>ybrid capture-based NGS</w:t>
            </w:r>
          </w:p>
        </w:tc>
        <w:tc>
          <w:tcPr>
            <w:tcW w:w="601" w:type="pct"/>
          </w:tcPr>
          <w:p w14:paraId="18488AAD" w14:textId="0783D28B" w:rsidR="00615C9F" w:rsidRDefault="00615C9F" w:rsidP="00615C9F">
            <w:pPr>
              <w:pStyle w:val="Tabletext0"/>
            </w:pPr>
            <w:r>
              <w:t xml:space="preserve">Non hybrid capture-based assay </w:t>
            </w:r>
          </w:p>
        </w:tc>
        <w:tc>
          <w:tcPr>
            <w:tcW w:w="570" w:type="pct"/>
          </w:tcPr>
          <w:p w14:paraId="31FCDAFA" w14:textId="30E9D0D1" w:rsidR="00615C9F" w:rsidRPr="00541F29" w:rsidRDefault="00615C9F" w:rsidP="00615C9F">
            <w:pPr>
              <w:pStyle w:val="Tabletext0"/>
              <w:rPr>
                <w:i/>
                <w:highlight w:val="yellow"/>
              </w:rPr>
            </w:pPr>
            <w:r w:rsidRPr="00AA1ACC">
              <w:rPr>
                <w:i/>
              </w:rPr>
              <w:t>EGFR</w:t>
            </w:r>
          </w:p>
        </w:tc>
        <w:tc>
          <w:tcPr>
            <w:tcW w:w="1507" w:type="pct"/>
          </w:tcPr>
          <w:p w14:paraId="0D0DB5FB" w14:textId="5B19302C" w:rsidR="00615C9F" w:rsidRDefault="00615C9F" w:rsidP="005155BB">
            <w:pPr>
              <w:pStyle w:val="Tabletext0"/>
              <w:jc w:val="left"/>
            </w:pPr>
            <w:r>
              <w:t xml:space="preserve">17 “false negatives” by prior testing (S752_I759del; T750_L759&gt;NLD; T751_I759&gt;N; 2 x T751_L760&gt;NL; </w:t>
            </w:r>
            <w:r w:rsidR="005155BB">
              <w:t>9 x E746_A750del; 2 x L747_A750&gt;(, L747_K754&gt;G)</w:t>
            </w:r>
          </w:p>
          <w:p w14:paraId="4C697147" w14:textId="4B8C44E0" w:rsidR="00615C9F" w:rsidRDefault="00615C9F" w:rsidP="00647AA7">
            <w:pPr>
              <w:pStyle w:val="Tabletext0"/>
              <w:jc w:val="left"/>
            </w:pPr>
            <w:r>
              <w:t xml:space="preserve">3 </w:t>
            </w:r>
            <w:r w:rsidR="005155BB">
              <w:t>patients</w:t>
            </w:r>
            <w:r w:rsidR="00647AA7">
              <w:t xml:space="preserve"> </w:t>
            </w:r>
            <w:r w:rsidR="005155BB">
              <w:t>prescribed</w:t>
            </w:r>
            <w:r w:rsidR="005155BB">
              <w:rPr>
                <w:vertAlign w:val="superscript"/>
              </w:rPr>
              <w:t>a</w:t>
            </w:r>
            <w:r>
              <w:t xml:space="preserve"> </w:t>
            </w:r>
            <w:r w:rsidRPr="00956452">
              <w:rPr>
                <w:i/>
              </w:rPr>
              <w:t>EGFR</w:t>
            </w:r>
            <w:r>
              <w:t xml:space="preserve"> TKI (2 afatinib, 1 erlotinib)</w:t>
            </w:r>
            <w:r w:rsidR="00647AA7">
              <w:t xml:space="preserve"> (17.6% of discordant)</w:t>
            </w:r>
          </w:p>
        </w:tc>
      </w:tr>
    </w:tbl>
    <w:p w14:paraId="3E76E3A9" w14:textId="0C5620BB" w:rsidR="001638A7" w:rsidRPr="005155BB" w:rsidRDefault="005155BB" w:rsidP="00CF628C">
      <w:pPr>
        <w:pStyle w:val="TableFooter"/>
      </w:pPr>
      <w:r>
        <w:rPr>
          <w:vertAlign w:val="superscript"/>
        </w:rPr>
        <w:t>a</w:t>
      </w:r>
      <w:r>
        <w:t>One patient passed away before beginning treatment with afatinib</w:t>
      </w:r>
    </w:p>
    <w:p w14:paraId="17C2EF72" w14:textId="3A5EB451" w:rsidR="00E41B8D" w:rsidRDefault="00C80AA0" w:rsidP="00CF628C">
      <w:pPr>
        <w:pStyle w:val="TableFooter"/>
        <w:rPr>
          <w:i/>
        </w:rPr>
      </w:pPr>
      <w:r w:rsidRPr="007C7AB1">
        <w:rPr>
          <w:i/>
        </w:rPr>
        <w:t>ALK</w:t>
      </w:r>
      <w:r>
        <w:t xml:space="preserve"> = </w:t>
      </w:r>
      <w:r w:rsidRPr="00561C5F">
        <w:t>anaplastic lymphoma kinase</w:t>
      </w:r>
      <w:r>
        <w:t xml:space="preserve">; </w:t>
      </w:r>
      <w:r w:rsidRPr="007C7AB1">
        <w:rPr>
          <w:i/>
        </w:rPr>
        <w:t>EGFR</w:t>
      </w:r>
      <w:r>
        <w:t xml:space="preserve"> = epidermal growth factor receptor;</w:t>
      </w:r>
      <w:r w:rsidRPr="00C80AA0">
        <w:t xml:space="preserve"> </w:t>
      </w:r>
      <w:r>
        <w:t xml:space="preserve">FISH = fluorescent </w:t>
      </w:r>
      <w:r w:rsidRPr="00956452">
        <w:rPr>
          <w:i/>
        </w:rPr>
        <w:t>in situ</w:t>
      </w:r>
      <w:r>
        <w:t xml:space="preserve"> hybridisation; </w:t>
      </w:r>
      <w:r w:rsidRPr="00CE4DC5">
        <w:rPr>
          <w:i/>
        </w:rPr>
        <w:t>MET</w:t>
      </w:r>
      <w:r w:rsidRPr="00CE4DC5">
        <w:t xml:space="preserve"> =</w:t>
      </w:r>
      <w:r>
        <w:t xml:space="preserve"> </w:t>
      </w:r>
      <w:r w:rsidRPr="008F67AF">
        <w:rPr>
          <w:szCs w:val="18"/>
        </w:rPr>
        <w:t>mesenchymal-epithelial transition</w:t>
      </w:r>
      <w:r>
        <w:rPr>
          <w:szCs w:val="18"/>
        </w:rPr>
        <w:t xml:space="preserve">; </w:t>
      </w:r>
      <w:r w:rsidR="00CF628C">
        <w:t xml:space="preserve">NGS = next generation sequencing; NSCLC = non-small cell lung cancer; </w:t>
      </w:r>
      <w:r w:rsidR="00DE693C">
        <w:t>PNA-LNA PCR = peptide nucleic acid-locked nucleic acid polymerase chain reaction</w:t>
      </w:r>
      <w:r>
        <w:t xml:space="preserve">; </w:t>
      </w:r>
      <w:r w:rsidRPr="00380685">
        <w:rPr>
          <w:i/>
        </w:rPr>
        <w:t>ROS1</w:t>
      </w:r>
      <w:r>
        <w:t xml:space="preserve"> = ROS proto-oncogene 1; TKI = tyrosine kinase inhibitor (therapy)</w:t>
      </w:r>
    </w:p>
    <w:p w14:paraId="0FDABAC2" w14:textId="6AFB0C52" w:rsidR="00946028" w:rsidRDefault="00946028" w:rsidP="00844EEA">
      <w:pPr>
        <w:pStyle w:val="Tablenotes"/>
      </w:pPr>
    </w:p>
    <w:p w14:paraId="53CF1275" w14:textId="5A3A3C73" w:rsidR="00024E93" w:rsidRDefault="00024E93" w:rsidP="00024E93">
      <w:pPr>
        <w:pStyle w:val="Heading4"/>
      </w:pPr>
      <w:r>
        <w:t>Timing of treatment initiation</w:t>
      </w:r>
    </w:p>
    <w:p w14:paraId="26057657" w14:textId="44142489" w:rsidR="00CF0F56" w:rsidRDefault="00CF0F56" w:rsidP="00024E93">
      <w:r>
        <w:t xml:space="preserve">Only one study was identified comparing the time to treatment for patients who were tested with NGS, versus being tested with other methods for biomarkers in NSCLC. </w:t>
      </w:r>
    </w:p>
    <w:p w14:paraId="274F7C6C" w14:textId="5193E813" w:rsidR="00481E44" w:rsidRDefault="00024E93" w:rsidP="00024E93">
      <w:r>
        <w:t xml:space="preserve">Robert et al. (2022) reported on the timing of ordering testing, testing times, and treatment in patients with metastatic NSCLC, who initiated first-line systemic therapy for metastatic disease between April 2018 and March 2020 </w:t>
      </w:r>
      <w:r w:rsidR="00B4668F">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rsidR="00B4668F">
        <w:instrText xml:space="preserve"> ADDIN EN.CITE </w:instrText>
      </w:r>
      <w:r w:rsidR="00B4668F">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rsidR="00B4668F">
        <w:instrText xml:space="preserve"> ADDIN EN.CITE.DATA </w:instrText>
      </w:r>
      <w:r w:rsidR="00B4668F">
        <w:fldChar w:fldCharType="end"/>
      </w:r>
      <w:r w:rsidR="00B4668F">
        <w:fldChar w:fldCharType="separate"/>
      </w:r>
      <w:r w:rsidR="00B4668F">
        <w:rPr>
          <w:noProof/>
        </w:rPr>
        <w:t>(Robert et al. 2022)</w:t>
      </w:r>
      <w:r w:rsidR="00B4668F">
        <w:fldChar w:fldCharType="end"/>
      </w:r>
      <w:r>
        <w:t xml:space="preserve">. </w:t>
      </w:r>
      <w:r w:rsidR="00B87E05">
        <w:t xml:space="preserve">These data were from the Molecularly Informed Lung Cancer Treatment (MYLUNG) study from the United States. </w:t>
      </w:r>
      <w:r w:rsidR="00481E44">
        <w:t>The methods used for testing individual biomarkers were not explicit; the article stated it included</w:t>
      </w:r>
      <w:r w:rsidR="00116B4F">
        <w:t xml:space="preserve"> any method of testing (</w:t>
      </w:r>
      <w:r w:rsidR="005726E8">
        <w:t>e.g.,</w:t>
      </w:r>
      <w:r w:rsidR="00116B4F">
        <w:t xml:space="preserve"> </w:t>
      </w:r>
      <w:r w:rsidR="00481E44">
        <w:t xml:space="preserve">both IHC and ISH), although it is unclear whether NGS results were also included in the single-biomarker results. </w:t>
      </w:r>
      <w:r w:rsidR="00653A70">
        <w:t xml:space="preserve">The median time from diagnosis to first-line treatment was very similar, regardless of whether single gene testing was performed, or the use of NGS (medians of 36 to 38 days). </w:t>
      </w:r>
    </w:p>
    <w:p w14:paraId="4CEACD72" w14:textId="50327FFC" w:rsidR="00024E93" w:rsidRDefault="00024E93" w:rsidP="00024E93">
      <w:r>
        <w:t xml:space="preserve">Although the authors were able to determine the length of time between diagnosis, </w:t>
      </w:r>
      <w:r w:rsidR="005726E8">
        <w:t>testing,</w:t>
      </w:r>
      <w:r>
        <w:t xml:space="preserve"> and treatment, they were unable to determine the extent to which institutional processes had an influence (such as policies regarding reflex testing). </w:t>
      </w:r>
      <w:r w:rsidR="00641D14">
        <w:t xml:space="preserve">The certainty of the evidence was rated as being very low, due to the lack of </w:t>
      </w:r>
      <w:r w:rsidR="00570E66">
        <w:t xml:space="preserve">clarity </w:t>
      </w:r>
      <w:r w:rsidR="00641D14">
        <w:t xml:space="preserve">regarding the applicability of the intervention and comparators, and the influence which the institutional policies would have on the applicability of the data to the Australian setting (GRADE </w:t>
      </w:r>
      <w:r w:rsidR="00641D14" w:rsidRPr="002D37B6">
        <w:rPr>
          <w:rFonts w:ascii="Cambria Math" w:hAnsi="Cambria Math" w:cs="Cambria Math"/>
          <w:color w:val="00B050"/>
        </w:rPr>
        <w:t>⊕</w:t>
      </w:r>
      <w:r w:rsidR="00641D14" w:rsidRPr="002D37B6">
        <w:rPr>
          <w:rFonts w:ascii="Cambria Math" w:hAnsi="Cambria Math" w:cs="Cambria Math"/>
          <w:color w:val="C00000"/>
        </w:rPr>
        <w:t>⊝⊝⊝</w:t>
      </w:r>
      <w:r w:rsidR="00641D14">
        <w:t>).</w:t>
      </w:r>
    </w:p>
    <w:p w14:paraId="15EDE541" w14:textId="30A148C5" w:rsidR="00024E93" w:rsidRDefault="00024E93" w:rsidP="00077451">
      <w:pPr>
        <w:pStyle w:val="Caption"/>
      </w:pPr>
      <w:r>
        <w:lastRenderedPageBreak/>
        <w:t xml:space="preserve">Table </w:t>
      </w:r>
      <w:fldSimple w:instr=" SEQ Table \* ARABIC ">
        <w:r w:rsidR="00C857F3">
          <w:rPr>
            <w:noProof/>
          </w:rPr>
          <w:t>37</w:t>
        </w:r>
      </w:fldSimple>
      <w:r>
        <w:tab/>
        <w:t>Data from Robert et al. (2022) on time from diagnosis to testing, results, and 1L treatment initiation for single-gene testing, or for NGS (overall)</w:t>
      </w:r>
    </w:p>
    <w:tbl>
      <w:tblPr>
        <w:tblStyle w:val="TableGrid"/>
        <w:tblW w:w="0" w:type="auto"/>
        <w:tblLook w:val="04A0" w:firstRow="1" w:lastRow="0" w:firstColumn="1" w:lastColumn="0" w:noHBand="0" w:noVBand="1"/>
        <w:tblCaption w:val="Data from Robert et al. (2022) on time from diagnosis to testing, results, and 1L treatment initiation for single-gene testing, or for NGS (overall)"/>
        <w:tblDescription w:val="Data from Robert et al. (2022) on time from diagnosis to testing, results, and 1L treatment initiation for single-gene testing, or for NGS (overall)"/>
      </w:tblPr>
      <w:tblGrid>
        <w:gridCol w:w="1168"/>
        <w:gridCol w:w="670"/>
        <w:gridCol w:w="992"/>
        <w:gridCol w:w="851"/>
        <w:gridCol w:w="1276"/>
        <w:gridCol w:w="850"/>
        <w:gridCol w:w="1276"/>
        <w:gridCol w:w="709"/>
        <w:gridCol w:w="1224"/>
      </w:tblGrid>
      <w:tr w:rsidR="00024E93" w14:paraId="16C819CA" w14:textId="77777777" w:rsidTr="003A6029">
        <w:trPr>
          <w:tblHeader/>
        </w:trPr>
        <w:tc>
          <w:tcPr>
            <w:tcW w:w="1168" w:type="dxa"/>
          </w:tcPr>
          <w:p w14:paraId="6280B8B7" w14:textId="77777777" w:rsidR="00024E93" w:rsidRDefault="00024E93" w:rsidP="00077451">
            <w:pPr>
              <w:pStyle w:val="TableHeading"/>
            </w:pPr>
            <w:r>
              <w:t>Biomarker</w:t>
            </w:r>
          </w:p>
        </w:tc>
        <w:tc>
          <w:tcPr>
            <w:tcW w:w="670" w:type="dxa"/>
          </w:tcPr>
          <w:p w14:paraId="7F3B36F8" w14:textId="77777777" w:rsidR="00024E93" w:rsidRDefault="00024E93" w:rsidP="00077451">
            <w:pPr>
              <w:pStyle w:val="TableHeading"/>
            </w:pPr>
            <w:r>
              <w:t>N</w:t>
            </w:r>
          </w:p>
        </w:tc>
        <w:tc>
          <w:tcPr>
            <w:tcW w:w="992" w:type="dxa"/>
          </w:tcPr>
          <w:p w14:paraId="1DB8B6EA" w14:textId="77777777" w:rsidR="00024E93" w:rsidRDefault="00024E93" w:rsidP="00077451">
            <w:pPr>
              <w:pStyle w:val="TableHeading"/>
            </w:pPr>
            <w:r>
              <w:t>Time from diagnosis to testing order (median days, (IQR))</w:t>
            </w:r>
          </w:p>
        </w:tc>
        <w:tc>
          <w:tcPr>
            <w:tcW w:w="851" w:type="dxa"/>
          </w:tcPr>
          <w:p w14:paraId="524DFB5C" w14:textId="77777777" w:rsidR="00024E93" w:rsidRDefault="00024E93" w:rsidP="00077451">
            <w:pPr>
              <w:pStyle w:val="TableHeading"/>
            </w:pPr>
            <w:r>
              <w:t>N</w:t>
            </w:r>
          </w:p>
        </w:tc>
        <w:tc>
          <w:tcPr>
            <w:tcW w:w="1276" w:type="dxa"/>
          </w:tcPr>
          <w:p w14:paraId="14B0D5C9" w14:textId="77777777" w:rsidR="00024E93" w:rsidRDefault="00024E93" w:rsidP="00077451">
            <w:pPr>
              <w:pStyle w:val="TableHeading"/>
            </w:pPr>
            <w:r>
              <w:t>Time from diagnosis to 1L treatment (median days, (IQR))</w:t>
            </w:r>
          </w:p>
        </w:tc>
        <w:tc>
          <w:tcPr>
            <w:tcW w:w="850" w:type="dxa"/>
          </w:tcPr>
          <w:p w14:paraId="5F063FEF" w14:textId="77777777" w:rsidR="00024E93" w:rsidRDefault="00024E93" w:rsidP="00077451">
            <w:pPr>
              <w:pStyle w:val="TableHeading"/>
            </w:pPr>
            <w:r>
              <w:t>N</w:t>
            </w:r>
          </w:p>
        </w:tc>
        <w:tc>
          <w:tcPr>
            <w:tcW w:w="1276" w:type="dxa"/>
          </w:tcPr>
          <w:p w14:paraId="0DCF8B58" w14:textId="77777777" w:rsidR="00024E93" w:rsidRDefault="00024E93" w:rsidP="00077451">
            <w:pPr>
              <w:pStyle w:val="TableHeading"/>
            </w:pPr>
            <w:r>
              <w:t>Time from testing order to testing result (median days, (IQR))</w:t>
            </w:r>
          </w:p>
        </w:tc>
        <w:tc>
          <w:tcPr>
            <w:tcW w:w="709" w:type="dxa"/>
          </w:tcPr>
          <w:p w14:paraId="6E216870" w14:textId="77777777" w:rsidR="00024E93" w:rsidRDefault="00024E93" w:rsidP="00077451">
            <w:pPr>
              <w:pStyle w:val="TableHeading"/>
            </w:pPr>
            <w:r>
              <w:t>N</w:t>
            </w:r>
          </w:p>
        </w:tc>
        <w:tc>
          <w:tcPr>
            <w:tcW w:w="1224" w:type="dxa"/>
          </w:tcPr>
          <w:p w14:paraId="12B076BE" w14:textId="77777777" w:rsidR="00024E93" w:rsidRDefault="00024E93" w:rsidP="00077451">
            <w:pPr>
              <w:pStyle w:val="TableHeading"/>
            </w:pPr>
            <w:r>
              <w:t>Time from testing result to 1L treatment initiation (median days (IQR))</w:t>
            </w:r>
          </w:p>
        </w:tc>
      </w:tr>
      <w:tr w:rsidR="00024E93" w14:paraId="0F920698" w14:textId="77777777" w:rsidTr="007C5A36">
        <w:tc>
          <w:tcPr>
            <w:tcW w:w="1168" w:type="dxa"/>
          </w:tcPr>
          <w:p w14:paraId="159207CB" w14:textId="77777777" w:rsidR="00024E93" w:rsidRPr="00ED4A7C" w:rsidRDefault="00024E93" w:rsidP="00077451">
            <w:pPr>
              <w:pStyle w:val="Tabletext0"/>
              <w:keepNext/>
              <w:rPr>
                <w:i/>
              </w:rPr>
            </w:pPr>
            <w:r>
              <w:rPr>
                <w:i/>
              </w:rPr>
              <w:t>EGFR</w:t>
            </w:r>
          </w:p>
        </w:tc>
        <w:tc>
          <w:tcPr>
            <w:tcW w:w="670" w:type="dxa"/>
          </w:tcPr>
          <w:p w14:paraId="1E41AD12" w14:textId="77777777" w:rsidR="00024E93" w:rsidRDefault="00024E93" w:rsidP="00077451">
            <w:pPr>
              <w:pStyle w:val="Tabletext0"/>
              <w:keepNext/>
            </w:pPr>
            <w:r>
              <w:t>2425</w:t>
            </w:r>
          </w:p>
        </w:tc>
        <w:tc>
          <w:tcPr>
            <w:tcW w:w="992" w:type="dxa"/>
          </w:tcPr>
          <w:p w14:paraId="58995977" w14:textId="77777777" w:rsidR="00024E93" w:rsidRDefault="00024E93" w:rsidP="00077451">
            <w:pPr>
              <w:pStyle w:val="Tabletext0"/>
              <w:keepNext/>
            </w:pPr>
            <w:r>
              <w:t>2 (1, 14)</w:t>
            </w:r>
          </w:p>
        </w:tc>
        <w:tc>
          <w:tcPr>
            <w:tcW w:w="851" w:type="dxa"/>
          </w:tcPr>
          <w:p w14:paraId="0E0A007A" w14:textId="77777777" w:rsidR="00024E93" w:rsidRDefault="00024E93" w:rsidP="00077451">
            <w:pPr>
              <w:pStyle w:val="Tabletext0"/>
              <w:keepNext/>
            </w:pPr>
            <w:r>
              <w:t xml:space="preserve">2443 </w:t>
            </w:r>
          </w:p>
        </w:tc>
        <w:tc>
          <w:tcPr>
            <w:tcW w:w="1276" w:type="dxa"/>
          </w:tcPr>
          <w:p w14:paraId="30C0FE6B" w14:textId="77777777" w:rsidR="00024E93" w:rsidRDefault="00024E93" w:rsidP="00077451">
            <w:pPr>
              <w:pStyle w:val="Tabletext0"/>
              <w:keepNext/>
            </w:pPr>
            <w:r>
              <w:t>36 (23, 57)</w:t>
            </w:r>
          </w:p>
        </w:tc>
        <w:tc>
          <w:tcPr>
            <w:tcW w:w="850" w:type="dxa"/>
          </w:tcPr>
          <w:p w14:paraId="76ED2E40" w14:textId="77777777" w:rsidR="00024E93" w:rsidRDefault="00024E93" w:rsidP="00077451">
            <w:pPr>
              <w:pStyle w:val="Tabletext0"/>
              <w:keepNext/>
            </w:pPr>
            <w:r>
              <w:t>2398</w:t>
            </w:r>
          </w:p>
        </w:tc>
        <w:tc>
          <w:tcPr>
            <w:tcW w:w="1276" w:type="dxa"/>
          </w:tcPr>
          <w:p w14:paraId="04145639" w14:textId="77777777" w:rsidR="00024E93" w:rsidRDefault="00024E93" w:rsidP="00077451">
            <w:pPr>
              <w:pStyle w:val="Tabletext0"/>
              <w:keepNext/>
            </w:pPr>
            <w:r>
              <w:t>15 (10, 22)</w:t>
            </w:r>
          </w:p>
        </w:tc>
        <w:tc>
          <w:tcPr>
            <w:tcW w:w="709" w:type="dxa"/>
          </w:tcPr>
          <w:p w14:paraId="1B3C7DAF" w14:textId="77777777" w:rsidR="00024E93" w:rsidRDefault="00024E93" w:rsidP="00077451">
            <w:pPr>
              <w:pStyle w:val="Tabletext0"/>
              <w:keepNext/>
            </w:pPr>
            <w:r>
              <w:t>2412</w:t>
            </w:r>
          </w:p>
        </w:tc>
        <w:tc>
          <w:tcPr>
            <w:tcW w:w="1224" w:type="dxa"/>
          </w:tcPr>
          <w:p w14:paraId="7AAE6628" w14:textId="77777777" w:rsidR="00024E93" w:rsidRDefault="00024E93" w:rsidP="00077451">
            <w:pPr>
              <w:pStyle w:val="Tabletext0"/>
              <w:keepNext/>
            </w:pPr>
            <w:r>
              <w:t>15 (4, 35)</w:t>
            </w:r>
          </w:p>
        </w:tc>
      </w:tr>
      <w:tr w:rsidR="00024E93" w14:paraId="7B76C7BA" w14:textId="77777777" w:rsidTr="007C5A36">
        <w:tc>
          <w:tcPr>
            <w:tcW w:w="1168" w:type="dxa"/>
          </w:tcPr>
          <w:p w14:paraId="7013A4A5" w14:textId="77777777" w:rsidR="00024E93" w:rsidRPr="00ED4A7C" w:rsidRDefault="00024E93" w:rsidP="007C5A36">
            <w:pPr>
              <w:pStyle w:val="Tabletext0"/>
              <w:rPr>
                <w:i/>
              </w:rPr>
            </w:pPr>
            <w:r>
              <w:rPr>
                <w:i/>
              </w:rPr>
              <w:t>ALK</w:t>
            </w:r>
          </w:p>
        </w:tc>
        <w:tc>
          <w:tcPr>
            <w:tcW w:w="670" w:type="dxa"/>
          </w:tcPr>
          <w:p w14:paraId="3CA04D52" w14:textId="77777777" w:rsidR="00024E93" w:rsidRDefault="00024E93" w:rsidP="007C5A36">
            <w:pPr>
              <w:pStyle w:val="Tabletext0"/>
            </w:pPr>
            <w:r>
              <w:t>2431</w:t>
            </w:r>
          </w:p>
        </w:tc>
        <w:tc>
          <w:tcPr>
            <w:tcW w:w="992" w:type="dxa"/>
          </w:tcPr>
          <w:p w14:paraId="6CC31489" w14:textId="77777777" w:rsidR="00024E93" w:rsidRDefault="00024E93" w:rsidP="007C5A36">
            <w:pPr>
              <w:pStyle w:val="Tabletext0"/>
            </w:pPr>
            <w:r>
              <w:t>2 (1, 13)</w:t>
            </w:r>
          </w:p>
        </w:tc>
        <w:tc>
          <w:tcPr>
            <w:tcW w:w="851" w:type="dxa"/>
          </w:tcPr>
          <w:p w14:paraId="12F7AC21" w14:textId="77777777" w:rsidR="00024E93" w:rsidRDefault="00024E93" w:rsidP="007C5A36">
            <w:pPr>
              <w:pStyle w:val="Tabletext0"/>
            </w:pPr>
            <w:r>
              <w:t>2446</w:t>
            </w:r>
          </w:p>
        </w:tc>
        <w:tc>
          <w:tcPr>
            <w:tcW w:w="1276" w:type="dxa"/>
          </w:tcPr>
          <w:p w14:paraId="4293383E" w14:textId="77777777" w:rsidR="00024E93" w:rsidRDefault="00024E93" w:rsidP="007C5A36">
            <w:pPr>
              <w:pStyle w:val="Tabletext0"/>
            </w:pPr>
            <w:r>
              <w:t>37 (23, 57)</w:t>
            </w:r>
          </w:p>
        </w:tc>
        <w:tc>
          <w:tcPr>
            <w:tcW w:w="850" w:type="dxa"/>
          </w:tcPr>
          <w:p w14:paraId="24E17C97" w14:textId="77777777" w:rsidR="00024E93" w:rsidRDefault="00024E93" w:rsidP="007C5A36">
            <w:pPr>
              <w:pStyle w:val="Tabletext0"/>
            </w:pPr>
            <w:r>
              <w:t>2401</w:t>
            </w:r>
          </w:p>
        </w:tc>
        <w:tc>
          <w:tcPr>
            <w:tcW w:w="1276" w:type="dxa"/>
          </w:tcPr>
          <w:p w14:paraId="79756D11" w14:textId="77777777" w:rsidR="00024E93" w:rsidRDefault="00024E93" w:rsidP="007C5A36">
            <w:pPr>
              <w:pStyle w:val="Tabletext0"/>
            </w:pPr>
            <w:r>
              <w:t>14 (9, 21)</w:t>
            </w:r>
          </w:p>
        </w:tc>
        <w:tc>
          <w:tcPr>
            <w:tcW w:w="709" w:type="dxa"/>
          </w:tcPr>
          <w:p w14:paraId="28E61891" w14:textId="77777777" w:rsidR="00024E93" w:rsidRDefault="00024E93" w:rsidP="007C5A36">
            <w:pPr>
              <w:pStyle w:val="Tabletext0"/>
            </w:pPr>
            <w:r>
              <w:t xml:space="preserve">2411 </w:t>
            </w:r>
          </w:p>
        </w:tc>
        <w:tc>
          <w:tcPr>
            <w:tcW w:w="1224" w:type="dxa"/>
          </w:tcPr>
          <w:p w14:paraId="1E494207" w14:textId="77777777" w:rsidR="00024E93" w:rsidRDefault="00024E93" w:rsidP="007C5A36">
            <w:pPr>
              <w:pStyle w:val="Tabletext0"/>
            </w:pPr>
            <w:r>
              <w:t>16 (5, 35)</w:t>
            </w:r>
          </w:p>
        </w:tc>
      </w:tr>
      <w:tr w:rsidR="00024E93" w14:paraId="56F1DBF5" w14:textId="77777777" w:rsidTr="007C5A36">
        <w:tc>
          <w:tcPr>
            <w:tcW w:w="1168" w:type="dxa"/>
          </w:tcPr>
          <w:p w14:paraId="16D92BD3" w14:textId="77777777" w:rsidR="00024E93" w:rsidRPr="00ED4A7C" w:rsidRDefault="00024E93" w:rsidP="007C5A36">
            <w:pPr>
              <w:pStyle w:val="Tabletext0"/>
              <w:rPr>
                <w:i/>
              </w:rPr>
            </w:pPr>
            <w:r>
              <w:rPr>
                <w:i/>
              </w:rPr>
              <w:t>ROS1</w:t>
            </w:r>
          </w:p>
        </w:tc>
        <w:tc>
          <w:tcPr>
            <w:tcW w:w="670" w:type="dxa"/>
          </w:tcPr>
          <w:p w14:paraId="2472FDDE" w14:textId="77777777" w:rsidR="00024E93" w:rsidRDefault="00024E93" w:rsidP="007C5A36">
            <w:pPr>
              <w:pStyle w:val="Tabletext0"/>
            </w:pPr>
            <w:r>
              <w:t>2331</w:t>
            </w:r>
          </w:p>
        </w:tc>
        <w:tc>
          <w:tcPr>
            <w:tcW w:w="992" w:type="dxa"/>
          </w:tcPr>
          <w:p w14:paraId="6A81FAAC" w14:textId="77777777" w:rsidR="00024E93" w:rsidRDefault="00024E93" w:rsidP="007C5A36">
            <w:pPr>
              <w:pStyle w:val="Tabletext0"/>
            </w:pPr>
            <w:r>
              <w:t>3 (1, 14)</w:t>
            </w:r>
          </w:p>
        </w:tc>
        <w:tc>
          <w:tcPr>
            <w:tcW w:w="851" w:type="dxa"/>
          </w:tcPr>
          <w:p w14:paraId="177A8E33" w14:textId="77777777" w:rsidR="00024E93" w:rsidRDefault="00024E93" w:rsidP="007C5A36">
            <w:pPr>
              <w:pStyle w:val="Tabletext0"/>
            </w:pPr>
            <w:r>
              <w:t>2348</w:t>
            </w:r>
          </w:p>
        </w:tc>
        <w:tc>
          <w:tcPr>
            <w:tcW w:w="1276" w:type="dxa"/>
          </w:tcPr>
          <w:p w14:paraId="53ADFBB7" w14:textId="77777777" w:rsidR="00024E93" w:rsidRDefault="00024E93" w:rsidP="007C5A36">
            <w:pPr>
              <w:pStyle w:val="Tabletext0"/>
            </w:pPr>
            <w:r>
              <w:t>37 (23, 57)</w:t>
            </w:r>
          </w:p>
        </w:tc>
        <w:tc>
          <w:tcPr>
            <w:tcW w:w="850" w:type="dxa"/>
          </w:tcPr>
          <w:p w14:paraId="549E765E" w14:textId="77777777" w:rsidR="00024E93" w:rsidRDefault="00024E93" w:rsidP="007C5A36">
            <w:pPr>
              <w:pStyle w:val="Tabletext0"/>
            </w:pPr>
            <w:r>
              <w:t xml:space="preserve">2298 </w:t>
            </w:r>
          </w:p>
        </w:tc>
        <w:tc>
          <w:tcPr>
            <w:tcW w:w="1276" w:type="dxa"/>
          </w:tcPr>
          <w:p w14:paraId="5E2FDAA6" w14:textId="77777777" w:rsidR="00024E93" w:rsidRDefault="00024E93" w:rsidP="007C5A36">
            <w:pPr>
              <w:pStyle w:val="Tabletext0"/>
            </w:pPr>
            <w:r>
              <w:t>14 (9, 22)</w:t>
            </w:r>
          </w:p>
        </w:tc>
        <w:tc>
          <w:tcPr>
            <w:tcW w:w="709" w:type="dxa"/>
          </w:tcPr>
          <w:p w14:paraId="6CE3FEB9" w14:textId="77777777" w:rsidR="00024E93" w:rsidRDefault="00024E93" w:rsidP="007C5A36">
            <w:pPr>
              <w:pStyle w:val="Tabletext0"/>
            </w:pPr>
            <w:r>
              <w:t>2309</w:t>
            </w:r>
          </w:p>
        </w:tc>
        <w:tc>
          <w:tcPr>
            <w:tcW w:w="1224" w:type="dxa"/>
          </w:tcPr>
          <w:p w14:paraId="01AFF90B" w14:textId="77777777" w:rsidR="00024E93" w:rsidRDefault="00024E93" w:rsidP="007C5A36">
            <w:pPr>
              <w:pStyle w:val="Tabletext0"/>
            </w:pPr>
            <w:r>
              <w:t>16 (4, 34)</w:t>
            </w:r>
          </w:p>
        </w:tc>
      </w:tr>
      <w:tr w:rsidR="00024E93" w14:paraId="6B27FE81" w14:textId="77777777" w:rsidTr="007C5A36">
        <w:tc>
          <w:tcPr>
            <w:tcW w:w="1168" w:type="dxa"/>
          </w:tcPr>
          <w:p w14:paraId="1790325B" w14:textId="77777777" w:rsidR="00024E93" w:rsidRDefault="00024E93" w:rsidP="007C5A36">
            <w:pPr>
              <w:pStyle w:val="Tabletext0"/>
            </w:pPr>
            <w:r>
              <w:t>NGS</w:t>
            </w:r>
          </w:p>
        </w:tc>
        <w:tc>
          <w:tcPr>
            <w:tcW w:w="670" w:type="dxa"/>
          </w:tcPr>
          <w:p w14:paraId="11E88A34" w14:textId="77777777" w:rsidR="00024E93" w:rsidRDefault="00024E93" w:rsidP="007C5A36">
            <w:pPr>
              <w:pStyle w:val="Tabletext0"/>
            </w:pPr>
            <w:r>
              <w:t>1276</w:t>
            </w:r>
          </w:p>
        </w:tc>
        <w:tc>
          <w:tcPr>
            <w:tcW w:w="992" w:type="dxa"/>
          </w:tcPr>
          <w:p w14:paraId="210AA8C3" w14:textId="77777777" w:rsidR="00024E93" w:rsidRDefault="00024E93" w:rsidP="007C5A36">
            <w:pPr>
              <w:pStyle w:val="Tabletext0"/>
            </w:pPr>
            <w:r>
              <w:t>6 (1, 19)</w:t>
            </w:r>
          </w:p>
        </w:tc>
        <w:tc>
          <w:tcPr>
            <w:tcW w:w="851" w:type="dxa"/>
          </w:tcPr>
          <w:p w14:paraId="30F8F956" w14:textId="77777777" w:rsidR="00024E93" w:rsidRDefault="00024E93" w:rsidP="007C5A36">
            <w:pPr>
              <w:pStyle w:val="Tabletext0"/>
            </w:pPr>
            <w:r>
              <w:t>1288</w:t>
            </w:r>
          </w:p>
        </w:tc>
        <w:tc>
          <w:tcPr>
            <w:tcW w:w="1276" w:type="dxa"/>
          </w:tcPr>
          <w:p w14:paraId="5A82306E" w14:textId="77777777" w:rsidR="00024E93" w:rsidRDefault="00024E93" w:rsidP="007C5A36">
            <w:pPr>
              <w:pStyle w:val="Tabletext0"/>
            </w:pPr>
            <w:r>
              <w:t>38 (23, 57)</w:t>
            </w:r>
          </w:p>
        </w:tc>
        <w:tc>
          <w:tcPr>
            <w:tcW w:w="850" w:type="dxa"/>
          </w:tcPr>
          <w:p w14:paraId="4F88E425" w14:textId="77777777" w:rsidR="00024E93" w:rsidRDefault="00024E93" w:rsidP="007C5A36">
            <w:pPr>
              <w:pStyle w:val="Tabletext0"/>
            </w:pPr>
            <w:r>
              <w:t>1268</w:t>
            </w:r>
          </w:p>
        </w:tc>
        <w:tc>
          <w:tcPr>
            <w:tcW w:w="1276" w:type="dxa"/>
          </w:tcPr>
          <w:p w14:paraId="51A546C4" w14:textId="77777777" w:rsidR="00024E93" w:rsidRDefault="00024E93" w:rsidP="007C5A36">
            <w:pPr>
              <w:pStyle w:val="Tabletext0"/>
            </w:pPr>
            <w:r>
              <w:t>18 (13, 27)</w:t>
            </w:r>
          </w:p>
        </w:tc>
        <w:tc>
          <w:tcPr>
            <w:tcW w:w="709" w:type="dxa"/>
          </w:tcPr>
          <w:p w14:paraId="4C98B98D" w14:textId="77777777" w:rsidR="00024E93" w:rsidRDefault="00024E93" w:rsidP="007C5A36">
            <w:pPr>
              <w:pStyle w:val="Tabletext0"/>
            </w:pPr>
            <w:r>
              <w:t>1278</w:t>
            </w:r>
          </w:p>
        </w:tc>
        <w:tc>
          <w:tcPr>
            <w:tcW w:w="1224" w:type="dxa"/>
          </w:tcPr>
          <w:p w14:paraId="1A1322BA" w14:textId="77777777" w:rsidR="00024E93" w:rsidRDefault="00024E93" w:rsidP="007C5A36">
            <w:pPr>
              <w:pStyle w:val="Tabletext0"/>
            </w:pPr>
            <w:r>
              <w:t>10 (-5, 25)</w:t>
            </w:r>
          </w:p>
        </w:tc>
      </w:tr>
    </w:tbl>
    <w:p w14:paraId="7B62E3C6" w14:textId="47DAA774" w:rsidR="00C80AA0" w:rsidRDefault="00C80AA0" w:rsidP="00C80AA0">
      <w:pPr>
        <w:pStyle w:val="TableFooter"/>
      </w:pPr>
      <w:r w:rsidRPr="00C80AA0">
        <w:t>1L = first-line;</w:t>
      </w:r>
      <w:r>
        <w:rPr>
          <w:i/>
        </w:rPr>
        <w:t xml:space="preserve"> </w:t>
      </w:r>
      <w:r w:rsidRPr="007C7AB1">
        <w:rPr>
          <w:i/>
        </w:rPr>
        <w:t>ALK</w:t>
      </w:r>
      <w:r>
        <w:t xml:space="preserve"> = </w:t>
      </w:r>
      <w:r w:rsidRPr="00561C5F">
        <w:t>anaplastic lymphoma kinase</w:t>
      </w:r>
      <w:r>
        <w:t xml:space="preserve">; </w:t>
      </w:r>
      <w:r w:rsidRPr="007C7AB1">
        <w:rPr>
          <w:i/>
        </w:rPr>
        <w:t>EGFR</w:t>
      </w:r>
      <w:r>
        <w:t xml:space="preserve"> = epidermal growth factor receptor; IQR = inter quartile range; NGS = next generation sequencing;</w:t>
      </w:r>
      <w:r w:rsidRPr="00380685">
        <w:rPr>
          <w:i/>
        </w:rPr>
        <w:t xml:space="preserve"> ROS1</w:t>
      </w:r>
      <w:r>
        <w:t xml:space="preserve"> = ROS proto-oncogene 1</w:t>
      </w:r>
    </w:p>
    <w:p w14:paraId="6441FEBA" w14:textId="3309681E" w:rsidR="00E41B8D" w:rsidRDefault="00653A70" w:rsidP="00E41B8D">
      <w:r>
        <w:t xml:space="preserve">These data, together with the test turnaround time (reported in Section </w:t>
      </w:r>
      <w:r w:rsidR="00400BC7">
        <w:t>2</w:t>
      </w:r>
      <w:r>
        <w:t xml:space="preserve">.2), suggest that the turnaround time, and time to treatment initiation are similar between sequential single-gene testing and NGS. </w:t>
      </w:r>
    </w:p>
    <w:p w14:paraId="05CB1AC9" w14:textId="27DACAB3" w:rsidR="00B87E05" w:rsidRPr="00E41B8D" w:rsidRDefault="00B87E05" w:rsidP="00E41B8D">
      <w:r>
        <w:t xml:space="preserve">The turnaround time and time to treatment initiation are likely to be influenced by institutional processes including reflex testing, and availability of combined DNA + RNA panels, versus DNA then RNA testing. It is highly uncertain how applicable these data from the United States are to the Australian Healthcare setting. </w:t>
      </w:r>
    </w:p>
    <w:p w14:paraId="02BD4508" w14:textId="77777777" w:rsidR="00A23863" w:rsidRPr="00CE28E3" w:rsidRDefault="00A23863" w:rsidP="00B25D05">
      <w:pPr>
        <w:pStyle w:val="Instructionaltext"/>
      </w:pPr>
    </w:p>
    <w:p w14:paraId="62391BF4" w14:textId="1E57D3DA" w:rsidR="00660A74" w:rsidRDefault="00400BC7" w:rsidP="00674C7D">
      <w:pPr>
        <w:pStyle w:val="Heading2"/>
        <w:numPr>
          <w:ilvl w:val="0"/>
          <w:numId w:val="0"/>
        </w:numPr>
      </w:pPr>
      <w:bookmarkStart w:id="122" w:name="_Ref106807678"/>
      <w:bookmarkStart w:id="123" w:name="_Ref106807707"/>
      <w:bookmarkStart w:id="124" w:name="_Toc148531159"/>
      <w:r>
        <w:t>2</w:t>
      </w:r>
      <w:r w:rsidR="00F91353" w:rsidRPr="00CE28E3">
        <w:t>.</w:t>
      </w:r>
      <w:r w:rsidR="00930F4E" w:rsidRPr="00CE28E3">
        <w:t>4</w:t>
      </w:r>
      <w:r w:rsidR="00660A74" w:rsidRPr="00CE28E3">
        <w:tab/>
        <w:t xml:space="preserve">Linked evidence </w:t>
      </w:r>
      <w:r w:rsidR="00906E65" w:rsidRPr="00CE28E3">
        <w:t>of health outcomes</w:t>
      </w:r>
      <w:bookmarkEnd w:id="122"/>
      <w:bookmarkEnd w:id="123"/>
      <w:bookmarkEnd w:id="124"/>
    </w:p>
    <w:p w14:paraId="753673E9" w14:textId="1EF8CF2B" w:rsidR="002B3FD0" w:rsidRPr="002B3FD0" w:rsidRDefault="002B3FD0" w:rsidP="002B3FD0">
      <w:r>
        <w:rPr>
          <w:noProof/>
          <w:lang w:eastAsia="en-AU"/>
        </w:rPr>
        <w:drawing>
          <wp:inline distT="0" distB="0" distL="0" distR="0" wp14:anchorId="4A3054BA" wp14:editId="40772BBD">
            <wp:extent cx="5727700" cy="1574800"/>
            <wp:effectExtent l="0" t="0" r="0" b="0"/>
            <wp:docPr id="3" name="Picture 3" descr="Unnumbered figure. Diagrammatic representation of steps and links between test population and health outcomes (modification of framework in figure 2). Shows link between change in clinical decisions and health outcomes (labelled treatment/management). All other links are greyed out. All steps except test population and health outcomes are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numbered figure. Diagrammatic representation of steps and links between test population and health outcomes (modification of framework in figure 2). Shows link between change in clinical decisions and health outcomes (labelled treatment/management). All other links are greyed out. All steps except test population and health outcomes are greyed ou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500C268E" w14:textId="77777777" w:rsidR="00BD2303" w:rsidRDefault="00BD2303" w:rsidP="00BD2303">
      <w:pPr>
        <w:pStyle w:val="NormalBeforeBullet"/>
      </w:pPr>
      <w:r>
        <w:t>Studies on the test performance of NGS versus single-gene testing, demonstrated that:</w:t>
      </w:r>
    </w:p>
    <w:p w14:paraId="09794D03" w14:textId="77777777" w:rsidR="00BD2303" w:rsidRDefault="00BD2303" w:rsidP="00B649D2">
      <w:pPr>
        <w:pStyle w:val="NormalBeforeBullet"/>
        <w:numPr>
          <w:ilvl w:val="0"/>
          <w:numId w:val="21"/>
        </w:numPr>
      </w:pPr>
      <w:r>
        <w:t xml:space="preserve">NGS is more sensitive than single-gene testing at detecting variants which are potentially targetable, particularly in the </w:t>
      </w:r>
      <w:r>
        <w:rPr>
          <w:i/>
        </w:rPr>
        <w:t>EGFR</w:t>
      </w:r>
      <w:r>
        <w:t xml:space="preserve"> gene.</w:t>
      </w:r>
    </w:p>
    <w:p w14:paraId="2E22483C" w14:textId="4A2D100F" w:rsidR="00BD2303" w:rsidRDefault="00BD2303" w:rsidP="00B649D2">
      <w:pPr>
        <w:pStyle w:val="NormalBeforeBullet"/>
        <w:numPr>
          <w:ilvl w:val="1"/>
          <w:numId w:val="21"/>
        </w:numPr>
      </w:pPr>
      <w:r>
        <w:t>A small volume of ‘change in management’ evidence suggested that some patients with uncommon variants are treated with</w:t>
      </w:r>
      <w:r w:rsidRPr="00BD2303">
        <w:rPr>
          <w:i/>
        </w:rPr>
        <w:t xml:space="preserve"> EGFR </w:t>
      </w:r>
      <w:r>
        <w:t xml:space="preserve">TKIs. </w:t>
      </w:r>
    </w:p>
    <w:p w14:paraId="6B24D436" w14:textId="649E3843" w:rsidR="00BD2303" w:rsidRDefault="00BD2303" w:rsidP="00B649D2">
      <w:pPr>
        <w:pStyle w:val="NormalBeforeBullet"/>
        <w:numPr>
          <w:ilvl w:val="1"/>
          <w:numId w:val="21"/>
        </w:numPr>
      </w:pPr>
      <w:r>
        <w:t xml:space="preserve">A small volume of ‘change in management evidence suggested that patients identified as </w:t>
      </w:r>
      <w:r w:rsidRPr="00BD2303">
        <w:rPr>
          <w:i/>
        </w:rPr>
        <w:t>ALK</w:t>
      </w:r>
      <w:r>
        <w:rPr>
          <w:i/>
        </w:rPr>
        <w:t xml:space="preserve"> </w:t>
      </w:r>
      <w:r>
        <w:t>positive by NGS but not b</w:t>
      </w:r>
      <w:r w:rsidR="00B721DF">
        <w:t>y</w:t>
      </w:r>
      <w:r>
        <w:t xml:space="preserve"> FISH do receive targeted treatments. </w:t>
      </w:r>
    </w:p>
    <w:p w14:paraId="7D3005FA" w14:textId="5D58453D" w:rsidR="00BD2303" w:rsidRDefault="00BD2303" w:rsidP="00B649D2">
      <w:pPr>
        <w:pStyle w:val="NormalBeforeBullet"/>
        <w:numPr>
          <w:ilvl w:val="2"/>
          <w:numId w:val="21"/>
        </w:numPr>
      </w:pPr>
      <w:r w:rsidRPr="00BD2303">
        <w:t>The</w:t>
      </w:r>
      <w:r>
        <w:t xml:space="preserve"> effectiveness of targeted treatment in the incrementally diagnosed patients (those with uncommon variants in the </w:t>
      </w:r>
      <w:r w:rsidRPr="00BD2303">
        <w:rPr>
          <w:i/>
        </w:rPr>
        <w:t>EGFR</w:t>
      </w:r>
      <w:r>
        <w:t xml:space="preserve"> gene</w:t>
      </w:r>
      <w:r w:rsidR="00887217">
        <w:t xml:space="preserve">, low variant </w:t>
      </w:r>
      <w:r w:rsidR="00887217">
        <w:lastRenderedPageBreak/>
        <w:t>allele frequency</w:t>
      </w:r>
      <w:r>
        <w:t xml:space="preserve">, or patients with </w:t>
      </w:r>
      <w:r w:rsidRPr="00BD2303">
        <w:rPr>
          <w:i/>
        </w:rPr>
        <w:t xml:space="preserve">ALK </w:t>
      </w:r>
      <w:r>
        <w:t xml:space="preserve">or </w:t>
      </w:r>
      <w:r w:rsidRPr="00BD2303">
        <w:rPr>
          <w:i/>
        </w:rPr>
        <w:t xml:space="preserve">ROS1 </w:t>
      </w:r>
      <w:r>
        <w:t xml:space="preserve">variants which were not detected by IHC/FISH) </w:t>
      </w:r>
      <w:r w:rsidRPr="00DD5A9F">
        <w:t>was</w:t>
      </w:r>
      <w:r>
        <w:t xml:space="preserve"> therefore investigated. </w:t>
      </w:r>
    </w:p>
    <w:p w14:paraId="030CAB85" w14:textId="29736A77" w:rsidR="00BD2303" w:rsidRDefault="00BD2303" w:rsidP="00B649D2">
      <w:pPr>
        <w:pStyle w:val="NormalBeforeBullet"/>
        <w:numPr>
          <w:ilvl w:val="0"/>
          <w:numId w:val="21"/>
        </w:numPr>
      </w:pPr>
      <w:r>
        <w:t xml:space="preserve">NGS also has a slightly lower failure rate. </w:t>
      </w:r>
    </w:p>
    <w:p w14:paraId="36623358" w14:textId="56DB5669" w:rsidR="00BD2303" w:rsidRDefault="00BD2303" w:rsidP="00B649D2">
      <w:pPr>
        <w:pStyle w:val="NormalBeforeBullet"/>
        <w:numPr>
          <w:ilvl w:val="1"/>
          <w:numId w:val="21"/>
        </w:numPr>
      </w:pPr>
      <w:r>
        <w:t xml:space="preserve">This may lead to lower rate of rebiopsy in than single-gene testing (nb: International guidelines now recommend use of ctDNA instead of rebiopsy). </w:t>
      </w:r>
    </w:p>
    <w:p w14:paraId="378ED808" w14:textId="7CDF4C21" w:rsidR="00BD2303" w:rsidRDefault="00BD2303" w:rsidP="00B649D2">
      <w:pPr>
        <w:pStyle w:val="NormalBeforeBullet"/>
        <w:numPr>
          <w:ilvl w:val="2"/>
          <w:numId w:val="21"/>
        </w:numPr>
      </w:pPr>
      <w:r>
        <w:t xml:space="preserve">The safety of rebiopsies was therefore examined. </w:t>
      </w:r>
    </w:p>
    <w:p w14:paraId="1D789A08" w14:textId="20BA867A" w:rsidR="00E10782" w:rsidRDefault="00E10782" w:rsidP="00B649D2">
      <w:pPr>
        <w:pStyle w:val="NormalBeforeBullet"/>
        <w:numPr>
          <w:ilvl w:val="2"/>
          <w:numId w:val="21"/>
        </w:numPr>
      </w:pPr>
      <w:r>
        <w:t>If rebiopsies are not performed, or are not successful, the patient may miss out on targeted treatment they could potentially have been eligible for if they had been tested.</w:t>
      </w:r>
    </w:p>
    <w:p w14:paraId="3CBD8087" w14:textId="77777777" w:rsidR="00BD2303" w:rsidRDefault="00BD2303" w:rsidP="00B649D2">
      <w:pPr>
        <w:pStyle w:val="NormalBeforeBullet"/>
        <w:numPr>
          <w:ilvl w:val="0"/>
          <w:numId w:val="21"/>
        </w:numPr>
      </w:pPr>
      <w:r>
        <w:t xml:space="preserve">Results from NGS </w:t>
      </w:r>
      <w:r>
        <w:rPr>
          <w:i/>
        </w:rPr>
        <w:t>may</w:t>
      </w:r>
      <w:r w:rsidRPr="00BD2303">
        <w:rPr>
          <w:i/>
        </w:rPr>
        <w:t xml:space="preserve"> be</w:t>
      </w:r>
      <w:r>
        <w:t xml:space="preserve"> returned slightly faster than the average turnaround time for the complete testing strategy of sequential single-gene testing. </w:t>
      </w:r>
    </w:p>
    <w:p w14:paraId="0D8EF089" w14:textId="77777777" w:rsidR="00BD2303" w:rsidRDefault="00BD2303" w:rsidP="00B649D2">
      <w:pPr>
        <w:pStyle w:val="NormalBeforeBullet"/>
        <w:numPr>
          <w:ilvl w:val="1"/>
          <w:numId w:val="21"/>
        </w:numPr>
      </w:pPr>
      <w:r>
        <w:t xml:space="preserve">If so, this should lead to faster initiation of treatment. </w:t>
      </w:r>
    </w:p>
    <w:p w14:paraId="47FB80AF" w14:textId="704EF257" w:rsidR="00C80AA0" w:rsidRDefault="00BD2303" w:rsidP="00E10782">
      <w:pPr>
        <w:pStyle w:val="NormalBeforeBullet"/>
        <w:numPr>
          <w:ilvl w:val="2"/>
          <w:numId w:val="21"/>
        </w:numPr>
      </w:pPr>
      <w:r>
        <w:t xml:space="preserve">The health impact of differences in the time between diagnosis and treatment for patients with NSCLC was therefore investigated. </w:t>
      </w:r>
    </w:p>
    <w:p w14:paraId="43F25CB2" w14:textId="11902124" w:rsidR="00660A74" w:rsidRPr="00CE28E3" w:rsidRDefault="00400BC7" w:rsidP="00674C7D">
      <w:pPr>
        <w:pStyle w:val="Heading3"/>
      </w:pPr>
      <w:bookmarkStart w:id="125" w:name="_Ref107399602"/>
      <w:bookmarkStart w:id="126" w:name="_Toc148531160"/>
      <w:r>
        <w:t>2</w:t>
      </w:r>
      <w:r w:rsidR="00F91353" w:rsidRPr="00CE28E3">
        <w:t>.</w:t>
      </w:r>
      <w:r w:rsidR="00930F4E" w:rsidRPr="00CE28E3">
        <w:t>4</w:t>
      </w:r>
      <w:r w:rsidR="00660A74" w:rsidRPr="00CE28E3">
        <w:t>.1</w:t>
      </w:r>
      <w:r w:rsidR="00660A74" w:rsidRPr="00CE28E3">
        <w:tab/>
        <w:t>Methods for undertaking the assessment</w:t>
      </w:r>
      <w:bookmarkEnd w:id="125"/>
      <w:bookmarkEnd w:id="126"/>
    </w:p>
    <w:p w14:paraId="548561F4" w14:textId="3431DD05" w:rsidR="00360BE0" w:rsidRDefault="00360BE0" w:rsidP="007E4089">
      <w:pPr>
        <w:pStyle w:val="NormalBeforeBullet"/>
        <w:ind w:left="60"/>
      </w:pPr>
      <w:r>
        <w:t>The evidence for the last step of the linked evidence approach was derived in two ways:</w:t>
      </w:r>
    </w:p>
    <w:p w14:paraId="77F8D670" w14:textId="78967826" w:rsidR="00360BE0" w:rsidRDefault="00360BE0" w:rsidP="00B649D2">
      <w:pPr>
        <w:pStyle w:val="NormalBeforeBullet"/>
        <w:numPr>
          <w:ilvl w:val="0"/>
          <w:numId w:val="22"/>
        </w:numPr>
      </w:pPr>
      <w:r>
        <w:t xml:space="preserve">Through the systematic review (for articles which </w:t>
      </w:r>
      <w:r w:rsidR="00003AA3">
        <w:t>included the use</w:t>
      </w:r>
      <w:r>
        <w:t xml:space="preserve"> of NGS); and</w:t>
      </w:r>
    </w:p>
    <w:p w14:paraId="2D84BFDE" w14:textId="12B42426" w:rsidR="00360BE0" w:rsidRDefault="00360BE0" w:rsidP="00B649D2">
      <w:pPr>
        <w:pStyle w:val="NormalBeforeBullet"/>
        <w:numPr>
          <w:ilvl w:val="0"/>
          <w:numId w:val="22"/>
        </w:numPr>
      </w:pPr>
      <w:r>
        <w:t>By targeted searches of PubMed for recent systematic reviews on</w:t>
      </w:r>
      <w:r w:rsidR="00003AA3">
        <w:t xml:space="preserve"> NSCLC and health outcomes related to time to treatment, treatment outcomes in patients with uncommon variants, and safety of rebiopsies. </w:t>
      </w:r>
    </w:p>
    <w:p w14:paraId="23DB93CF" w14:textId="3B52FC46" w:rsidR="00003AA3" w:rsidRDefault="00003AA3" w:rsidP="00003AA3">
      <w:pPr>
        <w:pStyle w:val="NormalBeforeBullet"/>
      </w:pPr>
      <w:r>
        <w:t xml:space="preserve">The systematic reviews were appraised using </w:t>
      </w:r>
      <w:r w:rsidR="00A14ED0">
        <w:t>the AMSTAR 2 tool</w:t>
      </w:r>
      <w:r>
        <w:t xml:space="preserve">. The risk of bias from individual studies was not assessed. </w:t>
      </w:r>
    </w:p>
    <w:p w14:paraId="74FCA1BB" w14:textId="7AC783DE" w:rsidR="00B247AD" w:rsidRPr="00CE28E3" w:rsidRDefault="00400BC7" w:rsidP="00674C7D">
      <w:pPr>
        <w:pStyle w:val="Heading3"/>
      </w:pPr>
      <w:bookmarkStart w:id="127" w:name="_Toc148531161"/>
      <w:r>
        <w:t>2</w:t>
      </w:r>
      <w:r w:rsidR="00660A74" w:rsidRPr="00CE28E3">
        <w:t>.</w:t>
      </w:r>
      <w:r w:rsidR="00930F4E" w:rsidRPr="00CE28E3">
        <w:t>4</w:t>
      </w:r>
      <w:r w:rsidR="00F91353" w:rsidRPr="00CE28E3">
        <w:t>.2</w:t>
      </w:r>
      <w:r w:rsidR="00660A74" w:rsidRPr="00CE28E3">
        <w:tab/>
      </w:r>
      <w:r w:rsidR="00B247AD" w:rsidRPr="00CE28E3">
        <w:t>Characteristics of the evidence base</w:t>
      </w:r>
      <w:bookmarkEnd w:id="127"/>
    </w:p>
    <w:p w14:paraId="65F8B22F" w14:textId="3F204E0D" w:rsidR="00B247AD" w:rsidRPr="00CE28E3" w:rsidRDefault="00C47C8E" w:rsidP="00B247AD">
      <w:r w:rsidRPr="00CE28E3">
        <w:t xml:space="preserve">A total of </w:t>
      </w:r>
      <w:r w:rsidR="00606B35">
        <w:t>9</w:t>
      </w:r>
      <w:r w:rsidRPr="00CE28E3">
        <w:t xml:space="preserve"> studies </w:t>
      </w:r>
      <w:r w:rsidR="00606B35">
        <w:t xml:space="preserve">and 3 systematic reviews </w:t>
      </w:r>
      <w:r w:rsidRPr="00CE28E3">
        <w:t>met the inclusion criteria for assess</w:t>
      </w:r>
      <w:r>
        <w:t>ing</w:t>
      </w:r>
      <w:r w:rsidRPr="00CE28E3">
        <w:t xml:space="preserve"> evidence</w:t>
      </w:r>
      <w:r>
        <w:t xml:space="preserve"> on</w:t>
      </w:r>
      <w:r w:rsidRPr="00CE28E3">
        <w:t xml:space="preserve"> health outcomes </w:t>
      </w:r>
      <w:r>
        <w:t>resulting from</w:t>
      </w:r>
      <w:r w:rsidRPr="00CE28E3">
        <w:t xml:space="preserve"> </w:t>
      </w:r>
      <w:r w:rsidRPr="00351E13">
        <w:t xml:space="preserve">change in management due to </w:t>
      </w:r>
      <w:bookmarkStart w:id="128" w:name="_Hlk69725137"/>
      <w:r w:rsidR="008F456A">
        <w:t>a small DNA/RNA NGS panel, or DNA ± RNA NGS panel compared to sequential single gene testing</w:t>
      </w:r>
      <w:r w:rsidRPr="002A04B4">
        <w:t>.</w:t>
      </w:r>
      <w:r w:rsidRPr="00CE28E3">
        <w:t xml:space="preserve"> </w:t>
      </w:r>
      <w:bookmarkEnd w:id="128"/>
      <w:r w:rsidR="00B247AD" w:rsidRPr="00CE28E3">
        <w:t xml:space="preserve">Full study profiles </w:t>
      </w:r>
      <w:r w:rsidR="009803A9">
        <w:t>are presented</w:t>
      </w:r>
      <w:r w:rsidR="00B247AD" w:rsidRPr="00CE28E3">
        <w:t xml:space="preserve"> in </w:t>
      </w:r>
      <w:r w:rsidR="00B247AD" w:rsidRPr="00CE28E3">
        <w:fldChar w:fldCharType="begin"/>
      </w:r>
      <w:r w:rsidR="00B247AD" w:rsidRPr="00CE28E3">
        <w:instrText xml:space="preserve"> REF _Ref54782829 \h </w:instrText>
      </w:r>
      <w:r w:rsidR="00CE28E3">
        <w:instrText xml:space="preserve"> \* MERGEFORMAT </w:instrText>
      </w:r>
      <w:r w:rsidR="00B247AD" w:rsidRPr="00CE28E3">
        <w:fldChar w:fldCharType="separate"/>
      </w:r>
      <w:r w:rsidR="00C857F3" w:rsidRPr="00CE28E3">
        <w:t xml:space="preserve">Appendix </w:t>
      </w:r>
      <w:r w:rsidR="00C857F3">
        <w:rPr>
          <w:noProof/>
        </w:rPr>
        <w:t>B</w:t>
      </w:r>
      <w:r w:rsidR="00B247AD" w:rsidRPr="00CE28E3">
        <w:fldChar w:fldCharType="end"/>
      </w:r>
      <w:r w:rsidR="00B247AD" w:rsidRPr="00CE28E3">
        <w:t xml:space="preserve">. </w:t>
      </w:r>
    </w:p>
    <w:p w14:paraId="7C7F7A3F" w14:textId="221E3FBF" w:rsidR="00B247AD" w:rsidRDefault="00B247AD" w:rsidP="00B247AD">
      <w:r w:rsidRPr="00CE28E3">
        <w:t>A summary of the key feature</w:t>
      </w:r>
      <w:r w:rsidR="009803A9">
        <w:t>s</w:t>
      </w:r>
      <w:r w:rsidRPr="00CE28E3">
        <w:t xml:space="preserve"> of the studies providing health outcome evidence is </w:t>
      </w:r>
      <w:r w:rsidR="009803A9">
        <w:t>provided</w:t>
      </w:r>
      <w:r w:rsidR="009803A9" w:rsidRPr="00CE28E3">
        <w:t xml:space="preserve"> </w:t>
      </w:r>
      <w:r w:rsidRPr="00CE28E3">
        <w:t xml:space="preserve">in </w:t>
      </w:r>
      <w:r w:rsidRPr="00CE28E3">
        <w:fldChar w:fldCharType="begin"/>
      </w:r>
      <w:r w:rsidRPr="00CE28E3">
        <w:instrText xml:space="preserve"> REF _Ref54862791 \h </w:instrText>
      </w:r>
      <w:r w:rsidR="00CE28E3">
        <w:instrText xml:space="preserve"> \* MERGEFORMAT </w:instrText>
      </w:r>
      <w:r w:rsidRPr="00CE28E3">
        <w:fldChar w:fldCharType="separate"/>
      </w:r>
      <w:r w:rsidR="00C857F3" w:rsidRPr="00CE28E3">
        <w:t>Table</w:t>
      </w:r>
      <w:r w:rsidR="00C857F3">
        <w:t> 38</w:t>
      </w:r>
      <w:r w:rsidRPr="00CE28E3">
        <w:fldChar w:fldCharType="end"/>
      </w:r>
      <w:r w:rsidRPr="00CE28E3">
        <w:t>.</w:t>
      </w:r>
    </w:p>
    <w:p w14:paraId="3929FD5A" w14:textId="30BBBB19" w:rsidR="00FB64CD" w:rsidRPr="00CE28E3" w:rsidRDefault="00FB64CD" w:rsidP="00B247AD">
      <w:r>
        <w:rPr>
          <w:snapToGrid w:val="0"/>
        </w:rPr>
        <w:t xml:space="preserve">These studies assess the health impact of </w:t>
      </w:r>
      <w:r w:rsidR="00E133FC">
        <w:rPr>
          <w:snapToGrid w:val="0"/>
        </w:rPr>
        <w:t xml:space="preserve">NGS </w:t>
      </w:r>
      <w:r>
        <w:rPr>
          <w:snapToGrid w:val="0"/>
        </w:rPr>
        <w:t>(due to detection of lower allelic frequencies or rare variants or discordant results, or due to lower rate of rebiopsy, or shorter time to treatment)</w:t>
      </w:r>
    </w:p>
    <w:p w14:paraId="372C2398" w14:textId="1F5651B5" w:rsidR="00B247AD" w:rsidRPr="00CE28E3" w:rsidRDefault="00B247AD" w:rsidP="00B151CF">
      <w:pPr>
        <w:pStyle w:val="Caption"/>
        <w:rPr>
          <w:snapToGrid w:val="0"/>
        </w:rPr>
      </w:pPr>
      <w:bookmarkStart w:id="129" w:name="_Ref54862791"/>
      <w:r w:rsidRPr="00CE28E3">
        <w:lastRenderedPageBreak/>
        <w:t>Table</w:t>
      </w:r>
      <w:r w:rsidR="00215DEA">
        <w:t> </w:t>
      </w:r>
      <w:fldSimple w:instr=" SEQ Table \* ARABIC ">
        <w:r w:rsidR="00C857F3">
          <w:rPr>
            <w:noProof/>
          </w:rPr>
          <w:t>38</w:t>
        </w:r>
      </w:fldSimple>
      <w:bookmarkEnd w:id="129"/>
      <w:r w:rsidRPr="00CE28E3">
        <w:tab/>
      </w:r>
      <w:r w:rsidRPr="00CE28E3">
        <w:rPr>
          <w:snapToGrid w:val="0"/>
        </w:rPr>
        <w:t xml:space="preserve">Key features of the included health outcomes evidence </w:t>
      </w:r>
      <w:r w:rsidR="00FB64CD">
        <w:rPr>
          <w:snapToGrid w:val="0"/>
        </w:rPr>
        <w:t xml:space="preserve">for assessing changes in management due to NGS </w:t>
      </w:r>
    </w:p>
    <w:tbl>
      <w:tblPr>
        <w:tblStyle w:val="TableGrid1"/>
        <w:tblW w:w="4950" w:type="pct"/>
        <w:tblCellMar>
          <w:left w:w="28" w:type="dxa"/>
          <w:right w:w="28" w:type="dxa"/>
        </w:tblCellMar>
        <w:tblLook w:val="04A0" w:firstRow="1" w:lastRow="0" w:firstColumn="1" w:lastColumn="0" w:noHBand="0" w:noVBand="1"/>
        <w:tblCaption w:val="Key features of the included health outcomes evidence for assessing changes in management due to NGS "/>
        <w:tblDescription w:val="Key features of the included health outcomes evidence for assessing changes in management due to NGS "/>
      </w:tblPr>
      <w:tblGrid>
        <w:gridCol w:w="1077"/>
        <w:gridCol w:w="609"/>
        <w:gridCol w:w="1144"/>
        <w:gridCol w:w="1701"/>
        <w:gridCol w:w="1134"/>
        <w:gridCol w:w="1275"/>
        <w:gridCol w:w="1134"/>
        <w:gridCol w:w="852"/>
      </w:tblGrid>
      <w:tr w:rsidR="00CE3A58" w:rsidRPr="00EF3DC1" w14:paraId="5843D006"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335E4FF7" w14:textId="070B4DB4" w:rsidR="00B247AD" w:rsidRPr="00EF3DC1" w:rsidRDefault="00B247AD" w:rsidP="00EF3DC1">
            <w:pPr>
              <w:pStyle w:val="TableHeading"/>
            </w:pPr>
            <w:bookmarkStart w:id="130" w:name="ColumnTitle_Table29"/>
            <w:r w:rsidRPr="00EF3DC1">
              <w:t>Study</w:t>
            </w:r>
            <w:r w:rsidR="008F456A" w:rsidRPr="00EF3DC1">
              <w:t>/SR</w:t>
            </w:r>
          </w:p>
        </w:tc>
        <w:tc>
          <w:tcPr>
            <w:tcW w:w="341" w:type="pct"/>
            <w:shd w:val="clear" w:color="auto" w:fill="auto"/>
          </w:tcPr>
          <w:p w14:paraId="442E9717" w14:textId="77777777" w:rsidR="00B247AD" w:rsidRPr="00EF3DC1" w:rsidRDefault="00B247AD" w:rsidP="00EF3DC1">
            <w:pPr>
              <w:pStyle w:val="TableHeading"/>
            </w:pPr>
            <w:r w:rsidRPr="00EF3DC1">
              <w:t>N</w:t>
            </w:r>
          </w:p>
        </w:tc>
        <w:tc>
          <w:tcPr>
            <w:tcW w:w="641" w:type="pct"/>
            <w:shd w:val="clear" w:color="auto" w:fill="auto"/>
          </w:tcPr>
          <w:p w14:paraId="4A671776" w14:textId="77777777" w:rsidR="00B247AD" w:rsidRPr="00EF3DC1" w:rsidRDefault="00B247AD" w:rsidP="00EF3DC1">
            <w:pPr>
              <w:pStyle w:val="TableHeading"/>
            </w:pPr>
            <w:r w:rsidRPr="00EF3DC1">
              <w:t>Study design</w:t>
            </w:r>
          </w:p>
          <w:p w14:paraId="6FFBD5FE" w14:textId="77777777" w:rsidR="00B247AD" w:rsidRPr="00EF3DC1" w:rsidRDefault="00B247AD" w:rsidP="00EF3DC1">
            <w:pPr>
              <w:pStyle w:val="TableHeading"/>
            </w:pPr>
            <w:r w:rsidRPr="00EF3DC1">
              <w:t>Risk of bias</w:t>
            </w:r>
          </w:p>
        </w:tc>
        <w:tc>
          <w:tcPr>
            <w:tcW w:w="953" w:type="pct"/>
          </w:tcPr>
          <w:p w14:paraId="2B4D6018" w14:textId="77777777" w:rsidR="00B247AD" w:rsidRPr="00EF3DC1" w:rsidRDefault="00B247AD" w:rsidP="00EF3DC1">
            <w:pPr>
              <w:pStyle w:val="TableHeading"/>
            </w:pPr>
            <w:r w:rsidRPr="00EF3DC1">
              <w:t>Population</w:t>
            </w:r>
          </w:p>
        </w:tc>
        <w:tc>
          <w:tcPr>
            <w:tcW w:w="635" w:type="pct"/>
          </w:tcPr>
          <w:p w14:paraId="526C4512" w14:textId="77777777" w:rsidR="00B247AD" w:rsidRPr="00EF3DC1" w:rsidRDefault="00B247AD" w:rsidP="00EF3DC1">
            <w:pPr>
              <w:pStyle w:val="TableHeading"/>
            </w:pPr>
            <w:r w:rsidRPr="00EF3DC1">
              <w:t>Intervention</w:t>
            </w:r>
          </w:p>
        </w:tc>
        <w:tc>
          <w:tcPr>
            <w:tcW w:w="714" w:type="pct"/>
            <w:shd w:val="clear" w:color="auto" w:fill="auto"/>
          </w:tcPr>
          <w:p w14:paraId="1EA2A0E7" w14:textId="77777777" w:rsidR="00B247AD" w:rsidRPr="00EF3DC1" w:rsidRDefault="00B247AD" w:rsidP="00EF3DC1">
            <w:pPr>
              <w:pStyle w:val="TableHeading"/>
            </w:pPr>
            <w:r w:rsidRPr="00EF3DC1">
              <w:t>Comparator</w:t>
            </w:r>
          </w:p>
        </w:tc>
        <w:tc>
          <w:tcPr>
            <w:tcW w:w="635" w:type="pct"/>
            <w:shd w:val="clear" w:color="auto" w:fill="auto"/>
          </w:tcPr>
          <w:p w14:paraId="60037DD5" w14:textId="77777777" w:rsidR="00B247AD" w:rsidRPr="00EF3DC1" w:rsidRDefault="00B247AD" w:rsidP="00EF3DC1">
            <w:pPr>
              <w:pStyle w:val="TableHeading"/>
            </w:pPr>
            <w:r w:rsidRPr="00EF3DC1">
              <w:t>Key outcome(s)</w:t>
            </w:r>
          </w:p>
        </w:tc>
        <w:tc>
          <w:tcPr>
            <w:tcW w:w="477" w:type="pct"/>
          </w:tcPr>
          <w:p w14:paraId="00FF2BE6" w14:textId="77777777" w:rsidR="00B247AD" w:rsidRPr="00EF3DC1" w:rsidRDefault="00B247AD" w:rsidP="00EF3DC1">
            <w:pPr>
              <w:pStyle w:val="TableHeading"/>
            </w:pPr>
            <w:r w:rsidRPr="00EF3DC1">
              <w:t>Result used in economic model</w:t>
            </w:r>
          </w:p>
        </w:tc>
      </w:tr>
      <w:tr w:rsidR="00CE3A58" w:rsidRPr="00EF3DC1" w14:paraId="7055933D"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78BBC096" w14:textId="4C411AB6" w:rsidR="00653F98" w:rsidRPr="00EF3DC1" w:rsidRDefault="00B4668F" w:rsidP="00EF3DC1">
            <w:pPr>
              <w:pStyle w:val="TableText"/>
            </w:pP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 </w:instrText>
            </w: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EN.CITE.DATA </w:instrText>
            </w:r>
            <w:r>
              <w:fldChar w:fldCharType="end"/>
            </w:r>
            <w:r>
              <w:fldChar w:fldCharType="separate"/>
            </w:r>
            <w:r>
              <w:rPr>
                <w:noProof/>
              </w:rPr>
              <w:t>(Ali et al. 2016)</w:t>
            </w:r>
            <w:r>
              <w:fldChar w:fldCharType="end"/>
            </w:r>
          </w:p>
          <w:p w14:paraId="7E914FDD" w14:textId="4A72C853" w:rsidR="00653F98" w:rsidRPr="00EF3DC1" w:rsidRDefault="00653F98" w:rsidP="00EF3DC1">
            <w:pPr>
              <w:pStyle w:val="TableText"/>
            </w:pPr>
            <w:r w:rsidRPr="00EF3DC1">
              <w:t>United States</w:t>
            </w:r>
          </w:p>
        </w:tc>
        <w:tc>
          <w:tcPr>
            <w:tcW w:w="341" w:type="pct"/>
            <w:shd w:val="clear" w:color="auto" w:fill="auto"/>
          </w:tcPr>
          <w:p w14:paraId="27B1C1D4" w14:textId="3AC56157" w:rsidR="00653F98" w:rsidRPr="00EF3DC1" w:rsidRDefault="00653F98" w:rsidP="00EF3DC1">
            <w:pPr>
              <w:pStyle w:val="TableText"/>
            </w:pPr>
            <w:r w:rsidRPr="00EF3DC1">
              <w:t>n=9</w:t>
            </w:r>
          </w:p>
        </w:tc>
        <w:tc>
          <w:tcPr>
            <w:tcW w:w="641" w:type="pct"/>
            <w:shd w:val="clear" w:color="auto" w:fill="auto"/>
          </w:tcPr>
          <w:p w14:paraId="0A377B2D" w14:textId="77777777" w:rsidR="00665970" w:rsidRDefault="00665970" w:rsidP="00665970">
            <w:pPr>
              <w:pStyle w:val="Tabletext0"/>
              <w:spacing w:before="0" w:after="120"/>
              <w:jc w:val="left"/>
            </w:pPr>
            <w:r>
              <w:t>Retrospective cohort study</w:t>
            </w:r>
          </w:p>
          <w:p w14:paraId="0D7D2938" w14:textId="77777777" w:rsidR="00665970" w:rsidRDefault="00665970" w:rsidP="00665970">
            <w:pPr>
              <w:pStyle w:val="Tabletext0"/>
              <w:spacing w:before="0" w:after="120"/>
              <w:jc w:val="left"/>
            </w:pPr>
            <w:r>
              <w:t xml:space="preserve">Level III-2 </w:t>
            </w:r>
          </w:p>
          <w:p w14:paraId="6965B542" w14:textId="2A6C9C1D" w:rsidR="00653F98" w:rsidRPr="00EF3DC1" w:rsidRDefault="00665970" w:rsidP="00665970">
            <w:pPr>
              <w:pStyle w:val="Tabletext0"/>
              <w:spacing w:before="0" w:after="120"/>
              <w:jc w:val="left"/>
            </w:pPr>
            <w:r>
              <w:t>Moderate risk of bias (QUADAS 2)</w:t>
            </w:r>
          </w:p>
        </w:tc>
        <w:tc>
          <w:tcPr>
            <w:tcW w:w="953" w:type="pct"/>
          </w:tcPr>
          <w:p w14:paraId="7DE79D9C" w14:textId="7A78713A" w:rsidR="00653F98" w:rsidRPr="00EF3DC1" w:rsidRDefault="00653F98" w:rsidP="00EF3DC1">
            <w:pPr>
              <w:pStyle w:val="TableText"/>
            </w:pPr>
            <w:r w:rsidRPr="00EF3DC1">
              <w:t xml:space="preserve">31 patients with NSCLC who were </w:t>
            </w:r>
            <w:r w:rsidRPr="00EF3DC1">
              <w:rPr>
                <w:i/>
              </w:rPr>
              <w:t>ALK</w:t>
            </w:r>
            <w:r w:rsidRPr="00EF3DC1">
              <w:t>+ on NGS (and had FISH results available)</w:t>
            </w:r>
          </w:p>
        </w:tc>
        <w:tc>
          <w:tcPr>
            <w:tcW w:w="635" w:type="pct"/>
          </w:tcPr>
          <w:p w14:paraId="39965472" w14:textId="4BDDD6AE" w:rsidR="00653F98" w:rsidRPr="00EF3DC1" w:rsidRDefault="007551CB" w:rsidP="00EF3DC1">
            <w:pPr>
              <w:pStyle w:val="TableText"/>
            </w:pPr>
            <w:r w:rsidRPr="00EF3DC1">
              <w:t>Crizotinib</w:t>
            </w:r>
          </w:p>
        </w:tc>
        <w:tc>
          <w:tcPr>
            <w:tcW w:w="714" w:type="pct"/>
            <w:shd w:val="clear" w:color="auto" w:fill="auto"/>
          </w:tcPr>
          <w:p w14:paraId="57326D1C" w14:textId="27518615" w:rsidR="00653F98" w:rsidRPr="00EF3DC1" w:rsidRDefault="007551CB" w:rsidP="00EF3DC1">
            <w:pPr>
              <w:pStyle w:val="TableText"/>
            </w:pPr>
            <w:r w:rsidRPr="00EF3DC1">
              <w:t>NA</w:t>
            </w:r>
          </w:p>
        </w:tc>
        <w:tc>
          <w:tcPr>
            <w:tcW w:w="635" w:type="pct"/>
            <w:shd w:val="clear" w:color="auto" w:fill="auto"/>
          </w:tcPr>
          <w:p w14:paraId="4490A0E4" w14:textId="68F5A95C" w:rsidR="00653F98" w:rsidRPr="00EF3DC1" w:rsidRDefault="007551CB" w:rsidP="00EF3DC1">
            <w:pPr>
              <w:pStyle w:val="TableText"/>
            </w:pPr>
            <w:r w:rsidRPr="00EF3DC1">
              <w:t xml:space="preserve">Response to </w:t>
            </w:r>
            <w:r w:rsidR="00771D36" w:rsidRPr="00EF3DC1">
              <w:t xml:space="preserve">targeted </w:t>
            </w:r>
            <w:r w:rsidRPr="00EF3DC1">
              <w:t>treatment</w:t>
            </w:r>
          </w:p>
        </w:tc>
        <w:tc>
          <w:tcPr>
            <w:tcW w:w="477" w:type="pct"/>
          </w:tcPr>
          <w:p w14:paraId="7B791CDF" w14:textId="0FC05278" w:rsidR="00653F98" w:rsidRPr="00EF3DC1" w:rsidRDefault="007551CB" w:rsidP="00EF3DC1">
            <w:pPr>
              <w:pStyle w:val="TableText"/>
            </w:pPr>
            <w:r w:rsidRPr="00EF3DC1">
              <w:t>No</w:t>
            </w:r>
          </w:p>
        </w:tc>
      </w:tr>
      <w:bookmarkEnd w:id="130"/>
      <w:tr w:rsidR="00CE3A58" w:rsidRPr="00EF3DC1" w14:paraId="17DF4A0E"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0A630C1B" w14:textId="1C740CEA" w:rsidR="003E7D3F" w:rsidRPr="00EF3DC1" w:rsidRDefault="00B4668F" w:rsidP="00EF3DC1">
            <w:pPr>
              <w:pStyle w:val="TableText"/>
            </w:pPr>
            <w:r>
              <w:fldChar w:fldCharType="begin"/>
            </w:r>
            <w:r>
              <w:instrText xml:space="preserve"> ADDIN EN.CITE &lt;EndNote&gt;&lt;Cite&gt;&lt;Author&gt;Friedlaender&lt;/Author&gt;&lt;Year&gt;2021&lt;/Year&gt;&lt;RecNum&gt;198&lt;/RecNum&gt;&lt;IDText&gt;644472&lt;/IDText&gt;&lt;DisplayText&gt;(Friedlaender et al. 2021)&lt;/DisplayText&gt;&lt;record&gt;&lt;rec-number&gt;198&lt;/rec-number&gt;&lt;foreign-keys&gt;&lt;key app="EN" db-id="0tprsse9cpp5r3ea5dz5p0xw2pfwvwxpa5a5" timestamp="1657500255"&gt;198&lt;/key&gt;&lt;/foreign-keys&gt;&lt;ref-type name="Journal Article"&gt;17&lt;/ref-type&gt;&lt;contributors&gt;&lt;authors&gt;&lt;author&gt;Friedlaender, A.&lt;/author&gt;&lt;author&gt;Tsantoulis, P.&lt;/author&gt;&lt;author&gt;Chevallier, M.&lt;/author&gt;&lt;author&gt;De Vito, C.&lt;/author&gt;&lt;author&gt;Addeo, A.&lt;/author&gt;&lt;/authors&gt;&lt;/contributors&gt;&lt;auth-address&gt;Oncology Department, University Hospital Geneva, Geneva, Switzerland.&amp;#xD;Pathology Department, University Hospital Geneva, Geneva, Switzerland.&lt;/auth-address&gt;&lt;titles&gt;&lt;title&gt;The Impact of Variant Allele Frequency in EGFR Mutated NSCLC Patients on Targeted Therapy&lt;/title&gt;&lt;secondary-title&gt;Front Oncol&lt;/secondary-title&gt;&lt;/titles&gt;&lt;periodical&gt;&lt;full-title&gt;Front Oncol&lt;/full-title&gt;&lt;/periodical&gt;&lt;pages&gt;644472&lt;/pages&gt;&lt;volume&gt;11&lt;/volume&gt;&lt;edition&gt;2021/04/20&lt;/edition&gt;&lt;keywords&gt;&lt;keyword&gt;Egfr&lt;/keyword&gt;&lt;keyword&gt;Nsclc&lt;/keyword&gt;&lt;keyword&gt;Tki&lt;/keyword&gt;&lt;keyword&gt;Vaf&lt;/keyword&gt;&lt;keyword&gt;allele frequency&lt;/keyword&gt;&lt;keyword&gt;allelic frequency&lt;/keyword&gt;&lt;keyword&gt;commercial or financial relationships that could be construed as a potential&lt;/keyword&gt;&lt;keyword&gt;conflict of interest.&lt;/keyword&gt;&lt;/keywords&gt;&lt;dates&gt;&lt;year&gt;2021&lt;/year&gt;&lt;/dates&gt;&lt;isbn&gt;2234-943X (Print)&amp;#xD;2234-943X (Linking)&lt;/isbn&gt;&lt;accession-num&gt;33869038&lt;/accession-num&gt;&lt;urls&gt;&lt;related-urls&gt;&lt;url&gt;https://www.ncbi.nlm.nih.gov/pubmed/33869038&lt;/url&gt;&lt;/related-urls&gt;&lt;/urls&gt;&lt;custom2&gt;PMC8044828&lt;/custom2&gt;&lt;electronic-resource-num&gt;10.3389/fonc.2021.644472&lt;/electronic-resource-num&gt;&lt;/record&gt;&lt;/Cite&gt;&lt;/EndNote&gt;</w:instrText>
            </w:r>
            <w:r>
              <w:fldChar w:fldCharType="separate"/>
            </w:r>
            <w:r>
              <w:rPr>
                <w:noProof/>
              </w:rPr>
              <w:t>(Friedlaender et al. 2021)</w:t>
            </w:r>
            <w:r>
              <w:fldChar w:fldCharType="end"/>
            </w:r>
          </w:p>
          <w:p w14:paraId="3C905C3C" w14:textId="14D42D6C" w:rsidR="003E7D3F" w:rsidRPr="00EF3DC1" w:rsidRDefault="003E7D3F" w:rsidP="00EF3DC1">
            <w:pPr>
              <w:pStyle w:val="TableText"/>
            </w:pPr>
            <w:r w:rsidRPr="00EF3DC1">
              <w:t>Switzerland</w:t>
            </w:r>
          </w:p>
        </w:tc>
        <w:tc>
          <w:tcPr>
            <w:tcW w:w="341" w:type="pct"/>
            <w:shd w:val="clear" w:color="auto" w:fill="auto"/>
          </w:tcPr>
          <w:p w14:paraId="092F37E0" w14:textId="104ABB5F" w:rsidR="003E7D3F" w:rsidRPr="00EF3DC1" w:rsidRDefault="00653F98" w:rsidP="00EF3DC1">
            <w:pPr>
              <w:pStyle w:val="TableText"/>
            </w:pPr>
            <w:r w:rsidRPr="00EF3DC1">
              <w:t>n=42</w:t>
            </w:r>
          </w:p>
        </w:tc>
        <w:tc>
          <w:tcPr>
            <w:tcW w:w="641" w:type="pct"/>
            <w:shd w:val="clear" w:color="auto" w:fill="auto"/>
          </w:tcPr>
          <w:p w14:paraId="17AA63FA" w14:textId="77777777" w:rsidR="003E7D3F" w:rsidRDefault="00653F98" w:rsidP="00EF3DC1">
            <w:pPr>
              <w:pStyle w:val="TableText"/>
            </w:pPr>
            <w:r w:rsidRPr="00EF3DC1">
              <w:t>Cohort study</w:t>
            </w:r>
          </w:p>
          <w:p w14:paraId="46BBBCEE" w14:textId="77777777" w:rsidR="00951B75" w:rsidRDefault="00951B75" w:rsidP="00EF3DC1">
            <w:pPr>
              <w:pStyle w:val="TableText"/>
            </w:pPr>
            <w:r>
              <w:t>Level III-2</w:t>
            </w:r>
          </w:p>
          <w:p w14:paraId="737F4A30" w14:textId="21D049C0" w:rsidR="00951B75" w:rsidRPr="00EF3DC1" w:rsidRDefault="00951B75" w:rsidP="00EF3DC1">
            <w:pPr>
              <w:pStyle w:val="TableText"/>
            </w:pPr>
            <w:r>
              <w:t>Low risk of bias (SIGN for cohort studies)</w:t>
            </w:r>
          </w:p>
        </w:tc>
        <w:tc>
          <w:tcPr>
            <w:tcW w:w="953" w:type="pct"/>
          </w:tcPr>
          <w:p w14:paraId="35B08269" w14:textId="47CBF976" w:rsidR="003E7D3F" w:rsidRPr="00EF3DC1" w:rsidRDefault="00653F98" w:rsidP="00EF3DC1">
            <w:pPr>
              <w:pStyle w:val="TableText"/>
            </w:pPr>
            <w:r w:rsidRPr="00EF3DC1">
              <w:t>P</w:t>
            </w:r>
            <w:r w:rsidR="003E7D3F" w:rsidRPr="00EF3DC1">
              <w:t xml:space="preserve">atients with NSCLC and </w:t>
            </w:r>
            <w:r w:rsidR="003E7D3F" w:rsidRPr="00EF3DC1">
              <w:rPr>
                <w:i/>
              </w:rPr>
              <w:t xml:space="preserve">EGFR </w:t>
            </w:r>
            <w:r w:rsidR="003E7D3F" w:rsidRPr="00EF3DC1">
              <w:t>variants</w:t>
            </w:r>
          </w:p>
          <w:p w14:paraId="754E0E04" w14:textId="4F87C93D" w:rsidR="003E7D3F" w:rsidRPr="00EF3DC1" w:rsidRDefault="003E7D3F" w:rsidP="00EF3DC1">
            <w:pPr>
              <w:pStyle w:val="TableText"/>
            </w:pPr>
            <w:r w:rsidRPr="00EF3DC1">
              <w:t>Threshold for high vs low allelic frequency: 0.30</w:t>
            </w:r>
          </w:p>
        </w:tc>
        <w:tc>
          <w:tcPr>
            <w:tcW w:w="635" w:type="pct"/>
          </w:tcPr>
          <w:p w14:paraId="4E7CB5F3" w14:textId="7D67583E" w:rsidR="003E7D3F" w:rsidRPr="00EF3DC1" w:rsidRDefault="00653F98" w:rsidP="00EF3DC1">
            <w:pPr>
              <w:pStyle w:val="TableText"/>
            </w:pPr>
            <w:r w:rsidRPr="00EF3DC1">
              <w:rPr>
                <w:i/>
              </w:rPr>
              <w:t xml:space="preserve">EGFR </w:t>
            </w:r>
            <w:r w:rsidRPr="00EF3DC1">
              <w:t>TKI in those with high allelic frequency</w:t>
            </w:r>
          </w:p>
        </w:tc>
        <w:tc>
          <w:tcPr>
            <w:tcW w:w="714" w:type="pct"/>
            <w:shd w:val="clear" w:color="auto" w:fill="auto"/>
          </w:tcPr>
          <w:p w14:paraId="215D06EB" w14:textId="6466753E" w:rsidR="003E7D3F" w:rsidRPr="00EF3DC1" w:rsidRDefault="00653F98" w:rsidP="00EF3DC1">
            <w:pPr>
              <w:pStyle w:val="TableText"/>
            </w:pPr>
            <w:r w:rsidRPr="00EF3DC1">
              <w:rPr>
                <w:i/>
              </w:rPr>
              <w:t xml:space="preserve">EGFR </w:t>
            </w:r>
            <w:r w:rsidRPr="00EF3DC1">
              <w:t>TKI in those with low allelic frequency</w:t>
            </w:r>
          </w:p>
        </w:tc>
        <w:tc>
          <w:tcPr>
            <w:tcW w:w="635" w:type="pct"/>
            <w:shd w:val="clear" w:color="auto" w:fill="auto"/>
          </w:tcPr>
          <w:p w14:paraId="08DF1E78" w14:textId="0757CB99" w:rsidR="003E7D3F" w:rsidRPr="00EF3DC1" w:rsidRDefault="003E7D3F" w:rsidP="00EF3DC1">
            <w:pPr>
              <w:pStyle w:val="TableText"/>
            </w:pPr>
            <w:r w:rsidRPr="00EF3DC1">
              <w:t>PFS, OS</w:t>
            </w:r>
            <w:r w:rsidR="00771D36" w:rsidRPr="00EF3DC1">
              <w:t xml:space="preserve"> in high vs low allelic frequency</w:t>
            </w:r>
          </w:p>
        </w:tc>
        <w:tc>
          <w:tcPr>
            <w:tcW w:w="477" w:type="pct"/>
          </w:tcPr>
          <w:p w14:paraId="72A0A4CD" w14:textId="46DFD963" w:rsidR="003E7D3F" w:rsidRPr="00EF3DC1" w:rsidRDefault="00653F98" w:rsidP="00EF3DC1">
            <w:pPr>
              <w:pStyle w:val="TableText"/>
            </w:pPr>
            <w:r w:rsidRPr="00EF3DC1">
              <w:t>No</w:t>
            </w:r>
          </w:p>
        </w:tc>
      </w:tr>
      <w:tr w:rsidR="00CE3A58" w:rsidRPr="00EF3DC1" w14:paraId="0FE5AE07"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02E7113D" w14:textId="18FF3D17" w:rsidR="00653F98" w:rsidRPr="00EF3DC1" w:rsidRDefault="00B4668F" w:rsidP="00EF3DC1">
            <w:pPr>
              <w:pStyle w:val="TableText"/>
            </w:pPr>
            <w:r>
              <w:fldChar w:fldCharType="begin">
                <w:fldData xml:space="preserve">PEVuZE5vdGU+PENpdGU+PEF1dGhvcj5HaWVzemVyPC9BdXRob3I+PFllYXI+MjAyMTwvWWVhcj48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</w:fldData>
              </w:fldChar>
            </w:r>
            <w:r>
              <w:instrText xml:space="preserve"> ADDIN EN.CITE </w:instrText>
            </w:r>
            <w:r>
              <w:fldChar w:fldCharType="begin">
                <w:fldData xml:space="preserve">PEVuZE5vdGU+PENpdGU+PEF1dGhvcj5HaWVzemVyPC9BdXRob3I+PFllYXI+MjAyMTwvWWVhcj48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</w:fldData>
              </w:fldChar>
            </w:r>
            <w:r>
              <w:instrText xml:space="preserve"> ADDIN EN.CITE.DATA </w:instrText>
            </w:r>
            <w:r>
              <w:fldChar w:fldCharType="end"/>
            </w:r>
            <w:r>
              <w:fldChar w:fldCharType="separate"/>
            </w:r>
            <w:r>
              <w:rPr>
                <w:noProof/>
              </w:rPr>
              <w:t>(Gieszer et al. 2021)</w:t>
            </w:r>
            <w:r>
              <w:fldChar w:fldCharType="end"/>
            </w:r>
          </w:p>
          <w:p w14:paraId="508FF404" w14:textId="758D1425" w:rsidR="00653F98" w:rsidRPr="00EF3DC1" w:rsidRDefault="00653F98" w:rsidP="00EF3DC1">
            <w:pPr>
              <w:pStyle w:val="TableText"/>
            </w:pPr>
            <w:r w:rsidRPr="00EF3DC1">
              <w:t>Hungary</w:t>
            </w:r>
          </w:p>
        </w:tc>
        <w:tc>
          <w:tcPr>
            <w:tcW w:w="341" w:type="pct"/>
            <w:shd w:val="clear" w:color="auto" w:fill="auto"/>
          </w:tcPr>
          <w:p w14:paraId="3D91266E" w14:textId="20BFE897" w:rsidR="00653F98" w:rsidRPr="00EF3DC1" w:rsidRDefault="00653F98" w:rsidP="00EF3DC1">
            <w:pPr>
              <w:pStyle w:val="TableText"/>
            </w:pPr>
            <w:r w:rsidRPr="00EF3DC1">
              <w:t>n=89</w:t>
            </w:r>
          </w:p>
        </w:tc>
        <w:tc>
          <w:tcPr>
            <w:tcW w:w="641" w:type="pct"/>
            <w:shd w:val="clear" w:color="auto" w:fill="auto"/>
          </w:tcPr>
          <w:p w14:paraId="21E563C4" w14:textId="77777777" w:rsidR="00653F98" w:rsidRDefault="00653F98" w:rsidP="00EF3DC1">
            <w:pPr>
              <w:pStyle w:val="TableText"/>
            </w:pPr>
            <w:r w:rsidRPr="00EF3DC1">
              <w:t>Cohort study</w:t>
            </w:r>
          </w:p>
          <w:p w14:paraId="724B4B10" w14:textId="77777777" w:rsidR="000C3DD1" w:rsidRDefault="000C3DD1" w:rsidP="00EF3DC1">
            <w:pPr>
              <w:pStyle w:val="TableText"/>
            </w:pPr>
            <w:r>
              <w:t>Level III-2</w:t>
            </w:r>
          </w:p>
          <w:p w14:paraId="047C0FCC" w14:textId="6993F99C" w:rsidR="000C3DD1" w:rsidRPr="00EF3DC1" w:rsidRDefault="000C3DD1" w:rsidP="00EF3DC1">
            <w:pPr>
              <w:pStyle w:val="TableText"/>
            </w:pPr>
            <w:r>
              <w:t>Low risk of bias (SIGN for cohort studies)</w:t>
            </w:r>
          </w:p>
        </w:tc>
        <w:tc>
          <w:tcPr>
            <w:tcW w:w="953" w:type="pct"/>
          </w:tcPr>
          <w:p w14:paraId="0433A0AC" w14:textId="7E115154" w:rsidR="00653F98" w:rsidRPr="00EF3DC1" w:rsidRDefault="00653F98" w:rsidP="00EF3DC1">
            <w:pPr>
              <w:pStyle w:val="TableText"/>
            </w:pPr>
            <w:r w:rsidRPr="00EF3DC1">
              <w:t xml:space="preserve">Caucasian patients with NSCLC (adenocarcinomas), and </w:t>
            </w:r>
            <w:r w:rsidRPr="00EF3DC1">
              <w:rPr>
                <w:i/>
              </w:rPr>
              <w:t xml:space="preserve">EGFR </w:t>
            </w:r>
            <w:r w:rsidRPr="00EF3DC1">
              <w:t>variants</w:t>
            </w:r>
          </w:p>
          <w:p w14:paraId="2676C3AD" w14:textId="4BA7A580" w:rsidR="00653F98" w:rsidRPr="00EF3DC1" w:rsidRDefault="00653F98" w:rsidP="00EF3DC1">
            <w:pPr>
              <w:pStyle w:val="TableText"/>
            </w:pPr>
            <w:r w:rsidRPr="00EF3DC1">
              <w:t>Adjusted VAF (aVAF) = VAF/TC% x 100</w:t>
            </w:r>
          </w:p>
        </w:tc>
        <w:tc>
          <w:tcPr>
            <w:tcW w:w="635" w:type="pct"/>
          </w:tcPr>
          <w:p w14:paraId="353D9106" w14:textId="50A61612" w:rsidR="00653F98" w:rsidRPr="00EF3DC1" w:rsidRDefault="00653F98" w:rsidP="00EF3DC1">
            <w:pPr>
              <w:pStyle w:val="TableText"/>
            </w:pPr>
            <w:r w:rsidRPr="00EF3DC1">
              <w:rPr>
                <w:i/>
              </w:rPr>
              <w:t xml:space="preserve">EGFR </w:t>
            </w:r>
            <w:r w:rsidRPr="00EF3DC1">
              <w:t>TKI in those with high allelic frequency</w:t>
            </w:r>
          </w:p>
        </w:tc>
        <w:tc>
          <w:tcPr>
            <w:tcW w:w="714" w:type="pct"/>
            <w:shd w:val="clear" w:color="auto" w:fill="auto"/>
          </w:tcPr>
          <w:p w14:paraId="15F17078" w14:textId="0EA99446" w:rsidR="00653F98" w:rsidRPr="00EF3DC1" w:rsidRDefault="00653F98" w:rsidP="00EF3DC1">
            <w:pPr>
              <w:pStyle w:val="TableText"/>
            </w:pPr>
            <w:r w:rsidRPr="00EF3DC1">
              <w:rPr>
                <w:i/>
              </w:rPr>
              <w:t xml:space="preserve">EGFR </w:t>
            </w:r>
            <w:r w:rsidRPr="00EF3DC1">
              <w:t>TKI in those with low allelic frequency</w:t>
            </w:r>
          </w:p>
        </w:tc>
        <w:tc>
          <w:tcPr>
            <w:tcW w:w="635" w:type="pct"/>
            <w:shd w:val="clear" w:color="auto" w:fill="auto"/>
          </w:tcPr>
          <w:p w14:paraId="6A746489" w14:textId="6FFDE3E8" w:rsidR="00653F98" w:rsidRPr="00EF3DC1" w:rsidRDefault="00653F98" w:rsidP="00EF3DC1">
            <w:pPr>
              <w:pStyle w:val="TableText"/>
            </w:pPr>
            <w:r w:rsidRPr="00EF3DC1">
              <w:t>PFS</w:t>
            </w:r>
            <w:r w:rsidR="00771D36" w:rsidRPr="00EF3DC1">
              <w:t xml:space="preserve"> in high vs low allelic frequency</w:t>
            </w:r>
          </w:p>
        </w:tc>
        <w:tc>
          <w:tcPr>
            <w:tcW w:w="477" w:type="pct"/>
          </w:tcPr>
          <w:p w14:paraId="0E41DDC6" w14:textId="2A4918C3" w:rsidR="00653F98" w:rsidRPr="00EF3DC1" w:rsidRDefault="00653F98" w:rsidP="00EF3DC1">
            <w:pPr>
              <w:pStyle w:val="TableText"/>
            </w:pPr>
            <w:r w:rsidRPr="00EF3DC1">
              <w:t>No</w:t>
            </w:r>
          </w:p>
        </w:tc>
      </w:tr>
      <w:tr w:rsidR="00CE3A58" w:rsidRPr="00EF3DC1" w14:paraId="77CE99A7"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7B7CF090" w14:textId="4C2535D4" w:rsidR="00E133FC" w:rsidRPr="00EF3DC1" w:rsidRDefault="00B4668F" w:rsidP="00B4668F">
            <w:pPr>
              <w:pStyle w:val="TableText"/>
            </w:pPr>
            <w:r>
              <w:fldChar w:fldCharType="begin">
                <w:fldData xml:space="preserve">PEVuZE5vdGU+PENpdGU+PEF1dGhvcj5IYWxsPC9BdXRob3I+PFllYXI+MjAyMTwvWWVhcj48UmVj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</w:fldData>
              </w:fldChar>
            </w:r>
            <w:r>
              <w:instrText xml:space="preserve"> ADDIN EN.CITE </w:instrText>
            </w:r>
            <w:r>
              <w:fldChar w:fldCharType="begin">
                <w:fldData xml:space="preserve">PEVuZE5vdGU+PENpdGU+PEF1dGhvcj5IYWxsPC9BdXRob3I+PFllYXI+MjAyMTwvWWVhcj48UmVj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</w:fldData>
              </w:fldChar>
            </w:r>
            <w:r>
              <w:instrText xml:space="preserve"> ADDIN EN.CITE.DATA </w:instrText>
            </w:r>
            <w:r>
              <w:fldChar w:fldCharType="end"/>
            </w:r>
            <w:r>
              <w:fldChar w:fldCharType="separate"/>
            </w:r>
            <w:r>
              <w:rPr>
                <w:noProof/>
              </w:rPr>
              <w:t>(Hall et al. 2021)</w:t>
            </w:r>
            <w:r>
              <w:fldChar w:fldCharType="end"/>
            </w:r>
          </w:p>
        </w:tc>
        <w:tc>
          <w:tcPr>
            <w:tcW w:w="341" w:type="pct"/>
            <w:shd w:val="clear" w:color="auto" w:fill="auto"/>
          </w:tcPr>
          <w:p w14:paraId="1B2893D5" w14:textId="37B2AA26" w:rsidR="00E133FC" w:rsidRPr="00EF3DC1" w:rsidRDefault="00E133FC" w:rsidP="00EF3DC1">
            <w:pPr>
              <w:pStyle w:val="TableText"/>
            </w:pPr>
            <w:r w:rsidRPr="00EF3DC1">
              <w:t>k=8</w:t>
            </w:r>
          </w:p>
          <w:p w14:paraId="0325B5AF" w14:textId="0310317B" w:rsidR="00E133FC" w:rsidRPr="00EF3DC1" w:rsidRDefault="00E133FC" w:rsidP="00EF3DC1">
            <w:pPr>
              <w:pStyle w:val="TableText"/>
            </w:pPr>
            <w:r w:rsidRPr="00EF3DC1">
              <w:t>n=not stated</w:t>
            </w:r>
          </w:p>
        </w:tc>
        <w:tc>
          <w:tcPr>
            <w:tcW w:w="641" w:type="pct"/>
            <w:shd w:val="clear" w:color="auto" w:fill="auto"/>
          </w:tcPr>
          <w:p w14:paraId="5B7F4DB9" w14:textId="77777777" w:rsidR="00E133FC" w:rsidRDefault="00E133FC" w:rsidP="00EF3DC1">
            <w:pPr>
              <w:pStyle w:val="TableText"/>
            </w:pPr>
            <w:r w:rsidRPr="00EF3DC1">
              <w:t>Systematic review of cohort studies</w:t>
            </w:r>
          </w:p>
          <w:p w14:paraId="633F4ED3" w14:textId="77777777" w:rsidR="00FD15CE" w:rsidRDefault="00FD15CE" w:rsidP="00EF3DC1">
            <w:pPr>
              <w:pStyle w:val="TableText"/>
            </w:pPr>
            <w:r>
              <w:t>Level III-2</w:t>
            </w:r>
          </w:p>
          <w:p w14:paraId="58B7A74E" w14:textId="63CB0E22" w:rsidR="00FD15CE" w:rsidRPr="00EF3DC1" w:rsidRDefault="00FD15CE" w:rsidP="00EF3DC1">
            <w:pPr>
              <w:pStyle w:val="TableText"/>
            </w:pPr>
            <w:r>
              <w:t>AMSTAR 2: moderate risk of bias</w:t>
            </w:r>
          </w:p>
        </w:tc>
        <w:tc>
          <w:tcPr>
            <w:tcW w:w="953" w:type="pct"/>
          </w:tcPr>
          <w:p w14:paraId="189A460A" w14:textId="4FB049DF" w:rsidR="00E133FC" w:rsidRPr="00EF3DC1" w:rsidRDefault="00E133FC" w:rsidP="00EF3DC1">
            <w:pPr>
              <w:pStyle w:val="TableText"/>
            </w:pPr>
            <w:r w:rsidRPr="00EF3DC1">
              <w:t>Studies with patients with advanced NSCLC</w:t>
            </w:r>
          </w:p>
        </w:tc>
        <w:tc>
          <w:tcPr>
            <w:tcW w:w="635" w:type="pct"/>
          </w:tcPr>
          <w:p w14:paraId="717DAAEC" w14:textId="5E059958" w:rsidR="00E133FC" w:rsidRPr="00EF3DC1" w:rsidRDefault="00E133FC" w:rsidP="00EF3DC1">
            <w:pPr>
              <w:pStyle w:val="TableText"/>
            </w:pPr>
            <w:r w:rsidRPr="00EF3DC1">
              <w:t>Timely treatment</w:t>
            </w:r>
          </w:p>
        </w:tc>
        <w:tc>
          <w:tcPr>
            <w:tcW w:w="714" w:type="pct"/>
            <w:shd w:val="clear" w:color="auto" w:fill="auto"/>
          </w:tcPr>
          <w:p w14:paraId="7D130FE6" w14:textId="0FE5443D" w:rsidR="00E133FC" w:rsidRPr="00EF3DC1" w:rsidRDefault="00E133FC" w:rsidP="00EF3DC1">
            <w:pPr>
              <w:pStyle w:val="TableText"/>
            </w:pPr>
            <w:r w:rsidRPr="00EF3DC1">
              <w:t>Non-timely treatment</w:t>
            </w:r>
          </w:p>
        </w:tc>
        <w:tc>
          <w:tcPr>
            <w:tcW w:w="635" w:type="pct"/>
            <w:shd w:val="clear" w:color="auto" w:fill="auto"/>
          </w:tcPr>
          <w:p w14:paraId="5F55E79C" w14:textId="7CF6E27B" w:rsidR="00E133FC" w:rsidRPr="00EF3DC1" w:rsidRDefault="00E133FC" w:rsidP="00EF3DC1">
            <w:pPr>
              <w:pStyle w:val="TableText"/>
            </w:pPr>
            <w:r w:rsidRPr="00EF3DC1">
              <w:t>Health outcomes (not specified)</w:t>
            </w:r>
          </w:p>
        </w:tc>
        <w:tc>
          <w:tcPr>
            <w:tcW w:w="477" w:type="pct"/>
          </w:tcPr>
          <w:p w14:paraId="7DA32BA7" w14:textId="4688DEE0" w:rsidR="00E133FC" w:rsidRPr="00EF3DC1" w:rsidRDefault="00E133FC" w:rsidP="00EF3DC1">
            <w:pPr>
              <w:pStyle w:val="TableText"/>
            </w:pPr>
            <w:r w:rsidRPr="00EF3DC1">
              <w:t>No</w:t>
            </w:r>
          </w:p>
        </w:tc>
      </w:tr>
      <w:tr w:rsidR="00CE3A58" w:rsidRPr="00EF3DC1" w14:paraId="03A5B59E"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6C28BF0B" w14:textId="5B00D6B1" w:rsidR="00653F98" w:rsidRPr="00EF3DC1" w:rsidRDefault="00B4668F" w:rsidP="00B4668F">
            <w:pPr>
              <w:pStyle w:val="TableText"/>
            </w:pPr>
            <w:r>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instrText xml:space="preserve"> ADDIN EN.CITE </w:instrText>
            </w:r>
            <w:r>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instrText xml:space="preserve"> ADDIN EN.CITE.DATA </w:instrText>
            </w:r>
            <w:r>
              <w:fldChar w:fldCharType="end"/>
            </w:r>
            <w:r>
              <w:fldChar w:fldCharType="separate"/>
            </w:r>
            <w:r>
              <w:rPr>
                <w:noProof/>
              </w:rPr>
              <w:t>(John et al. 2022)</w:t>
            </w:r>
            <w:r>
              <w:fldChar w:fldCharType="end"/>
            </w:r>
          </w:p>
        </w:tc>
        <w:tc>
          <w:tcPr>
            <w:tcW w:w="341" w:type="pct"/>
            <w:shd w:val="clear" w:color="auto" w:fill="auto"/>
          </w:tcPr>
          <w:p w14:paraId="3E554CFB" w14:textId="77777777" w:rsidR="00653F98" w:rsidRPr="00EF3DC1" w:rsidRDefault="00653F98" w:rsidP="00EF3DC1">
            <w:pPr>
              <w:pStyle w:val="TableText"/>
            </w:pPr>
            <w:r w:rsidRPr="00EF3DC1">
              <w:t>k=13</w:t>
            </w:r>
          </w:p>
          <w:p w14:paraId="7235FF88" w14:textId="2729C6B7" w:rsidR="00653F98" w:rsidRPr="00EF3DC1" w:rsidRDefault="00653F98" w:rsidP="00EF3DC1">
            <w:pPr>
              <w:pStyle w:val="TableText"/>
            </w:pPr>
            <w:r w:rsidRPr="00EF3DC1">
              <w:t>n=2684</w:t>
            </w:r>
          </w:p>
        </w:tc>
        <w:tc>
          <w:tcPr>
            <w:tcW w:w="641" w:type="pct"/>
            <w:shd w:val="clear" w:color="auto" w:fill="auto"/>
          </w:tcPr>
          <w:p w14:paraId="5E0A8320" w14:textId="022E4665" w:rsidR="00653F98" w:rsidRDefault="00653F98" w:rsidP="00EF3DC1">
            <w:pPr>
              <w:pStyle w:val="TableText"/>
            </w:pPr>
            <w:r w:rsidRPr="00EF3DC1">
              <w:t>Systematic review of randomised and non-randomised studies</w:t>
            </w:r>
          </w:p>
          <w:p w14:paraId="444F5494" w14:textId="49514290" w:rsidR="000C3DD1" w:rsidRPr="00EF3DC1" w:rsidRDefault="000C3DD1" w:rsidP="00EF3DC1">
            <w:pPr>
              <w:pStyle w:val="TableText"/>
            </w:pPr>
            <w:r>
              <w:t>Level III-2</w:t>
            </w:r>
          </w:p>
          <w:p w14:paraId="1C98EC09" w14:textId="25430162" w:rsidR="00653F98" w:rsidRPr="00EF3DC1" w:rsidRDefault="00653F98" w:rsidP="00EF3DC1">
            <w:pPr>
              <w:pStyle w:val="TableText"/>
            </w:pPr>
            <w:r w:rsidRPr="00EF3DC1">
              <w:t>AMSTAR 2: moderate risk of bias</w:t>
            </w:r>
          </w:p>
        </w:tc>
        <w:tc>
          <w:tcPr>
            <w:tcW w:w="953" w:type="pct"/>
          </w:tcPr>
          <w:p w14:paraId="31A3D0D7" w14:textId="3AC444FE" w:rsidR="00653F98" w:rsidRPr="00EF3DC1" w:rsidRDefault="00653F98" w:rsidP="00EF3DC1">
            <w:pPr>
              <w:pStyle w:val="TableText"/>
            </w:pPr>
            <w:r w:rsidRPr="00EF3DC1">
              <w:t xml:space="preserve">Studies with over 100 patients with NSCLC and common and uncommon </w:t>
            </w:r>
            <w:r w:rsidRPr="00EF3DC1">
              <w:rPr>
                <w:i/>
              </w:rPr>
              <w:t xml:space="preserve">EGFR </w:t>
            </w:r>
            <w:r w:rsidRPr="00EF3DC1">
              <w:t>variants (excluding T790M)</w:t>
            </w:r>
          </w:p>
        </w:tc>
        <w:tc>
          <w:tcPr>
            <w:tcW w:w="635" w:type="pct"/>
          </w:tcPr>
          <w:p w14:paraId="748F8B17" w14:textId="4630D500" w:rsidR="00653F98" w:rsidRPr="00EF3DC1" w:rsidRDefault="00653F98" w:rsidP="00EF3DC1">
            <w:pPr>
              <w:pStyle w:val="TableText"/>
            </w:pPr>
            <w:r w:rsidRPr="00EF3DC1">
              <w:rPr>
                <w:i/>
              </w:rPr>
              <w:t>EGFR</w:t>
            </w:r>
            <w:r w:rsidRPr="00EF3DC1">
              <w:t>-TKI (gefitinib, erlotinib,</w:t>
            </w:r>
            <w:r w:rsidR="00DE60C3">
              <w:t xml:space="preserve"> </w:t>
            </w:r>
            <w:r w:rsidRPr="00EF3DC1">
              <w:t xml:space="preserve"> icotinib, afatinib, osimertinib, or a mix of different</w:t>
            </w:r>
            <w:r w:rsidRPr="00EF3DC1">
              <w:rPr>
                <w:i/>
              </w:rPr>
              <w:t xml:space="preserve"> EGFR</w:t>
            </w:r>
            <w:r w:rsidRPr="00EF3DC1">
              <w:t>-TKIs)</w:t>
            </w:r>
          </w:p>
        </w:tc>
        <w:tc>
          <w:tcPr>
            <w:tcW w:w="714" w:type="pct"/>
            <w:shd w:val="clear" w:color="auto" w:fill="auto"/>
          </w:tcPr>
          <w:p w14:paraId="41D7DA08" w14:textId="7A17366A" w:rsidR="00653F98" w:rsidRPr="00EF3DC1" w:rsidRDefault="00653F98" w:rsidP="00EF3DC1">
            <w:pPr>
              <w:pStyle w:val="TableText"/>
            </w:pPr>
            <w:r w:rsidRPr="00EF3DC1">
              <w:t>NA</w:t>
            </w:r>
          </w:p>
        </w:tc>
        <w:tc>
          <w:tcPr>
            <w:tcW w:w="635" w:type="pct"/>
            <w:shd w:val="clear" w:color="auto" w:fill="auto"/>
          </w:tcPr>
          <w:p w14:paraId="10D4354F" w14:textId="1F9FB23A" w:rsidR="00653F98" w:rsidRPr="00EF3DC1" w:rsidRDefault="00653F98" w:rsidP="00EF3DC1">
            <w:pPr>
              <w:pStyle w:val="TableText"/>
            </w:pPr>
            <w:r w:rsidRPr="00EF3DC1">
              <w:t xml:space="preserve">Response to </w:t>
            </w:r>
            <w:r w:rsidRPr="00EF3DC1">
              <w:rPr>
                <w:i/>
              </w:rPr>
              <w:t>EGFR</w:t>
            </w:r>
            <w:r w:rsidRPr="00EF3DC1">
              <w:t>-TKIs</w:t>
            </w:r>
          </w:p>
        </w:tc>
        <w:tc>
          <w:tcPr>
            <w:tcW w:w="477" w:type="pct"/>
          </w:tcPr>
          <w:p w14:paraId="380DC75B" w14:textId="0CBDA8DC" w:rsidR="00653F98" w:rsidRPr="00EF3DC1" w:rsidRDefault="00653F98" w:rsidP="00EF3DC1">
            <w:pPr>
              <w:pStyle w:val="TableText"/>
            </w:pPr>
            <w:r w:rsidRPr="00EF3DC1">
              <w:t>No</w:t>
            </w:r>
          </w:p>
        </w:tc>
      </w:tr>
      <w:tr w:rsidR="00CE3A58" w:rsidRPr="00EF3DC1" w14:paraId="2DED818A"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6044D28A" w14:textId="65D3F268" w:rsidR="00653F98" w:rsidRPr="00EF3DC1" w:rsidRDefault="00B4668F" w:rsidP="00B4668F">
            <w:pPr>
              <w:pStyle w:val="TableText"/>
            </w:pPr>
            <w:r>
              <w:fldChar w:fldCharType="begin"/>
            </w:r>
            <w:r>
              <w:instrText xml:space="preserve"> ADDIN EN.CITE &lt;EndNote&gt;&lt;Cite&gt;&lt;Author&gt;Kim&lt;/Author&gt;&lt;Year&gt;2021&lt;/Year&gt;&lt;RecNum&gt;165&lt;/RecNum&gt;&lt;IDText&gt;3197-3204&lt;/IDText&gt;&lt;DisplayText&gt;(Kim et al. 2021)&lt;/DisplayText&gt;&lt;record&gt;&lt;rec-number&gt;165&lt;/rec-number&gt;&lt;foreign-keys&gt;&lt;key app="EN" db-id="0tprsse9cpp5r3ea5dz5p0xw2pfwvwxpa5a5" timestamp="1655264278"&gt;165&lt;/key&gt;&lt;/foreign-keys&gt;&lt;ref-type name="Journal Article"&gt;17&lt;/ref-type&gt;&lt;contributors&gt;&lt;authors&gt;&lt;author&gt;Kim, J. H.&lt;/author&gt;&lt;author&gt;Yoon, Shinkyo&lt;/author&gt;&lt;author&gt;Lee, Dae Ho&lt;/author&gt;&lt;author&gt;Jang, Jin&lt;/author&gt;&lt;author&gt;Chun, Sung-Min&lt;/author&gt;&lt;author&gt;Kim, Sang-We&lt;/author&gt;&lt;/authors&gt;&lt;/contributors&gt;&lt;titles&gt;&lt;title&gt;Real-world utility of next-generation sequencing for targeted gene analysis and its application to treatment in lung adenocarcinoma&lt;/title&gt;&lt;secondary-title&gt;Cancer medicine&lt;/secondary-title&gt;&lt;/titles&gt;&lt;periodical&gt;&lt;full-title&gt;Cancer Medicine&lt;/full-title&gt;&lt;/periodical&gt;&lt;pages&gt;3197-3204&lt;/pages&gt;&lt;volume&gt;10&lt;/volume&gt;&lt;number&gt;10&lt;/number&gt;&lt;dates&gt;&lt;year&gt;2021&lt;/year&gt;&lt;/dates&gt;&lt;urls&gt;&lt;related-urls&gt;&lt;url&gt;https://www.ncbi.nlm.nih.gov/pmc/articles/PMC8124124/pdf/CAM4-10-3197.pdf&lt;/url&gt;&lt;/related-urls&gt;&lt;/urls&gt;&lt;electronic-resource-num&gt;10.1002/cam4.3874&lt;/electronic-resource-num&gt;&lt;research-notes&gt;P - Concordance on EGFR&lt;/research-notes&gt;&lt;/record&gt;&lt;/Cite&gt;&lt;/EndNote&gt;</w:instrText>
            </w:r>
            <w:r>
              <w:fldChar w:fldCharType="separate"/>
            </w:r>
            <w:r>
              <w:rPr>
                <w:noProof/>
              </w:rPr>
              <w:t>(Kim et al. 2021)</w:t>
            </w:r>
            <w:r>
              <w:fldChar w:fldCharType="end"/>
            </w:r>
          </w:p>
        </w:tc>
        <w:tc>
          <w:tcPr>
            <w:tcW w:w="341" w:type="pct"/>
            <w:shd w:val="clear" w:color="auto" w:fill="auto"/>
          </w:tcPr>
          <w:p w14:paraId="4B4DF364" w14:textId="6CAAC54C" w:rsidR="00653F98" w:rsidRPr="00EF3DC1" w:rsidRDefault="00653F98" w:rsidP="00EF3DC1">
            <w:pPr>
              <w:pStyle w:val="TableText"/>
            </w:pPr>
            <w:r w:rsidRPr="00EF3DC1">
              <w:t>n=247</w:t>
            </w:r>
          </w:p>
        </w:tc>
        <w:tc>
          <w:tcPr>
            <w:tcW w:w="641" w:type="pct"/>
            <w:shd w:val="clear" w:color="auto" w:fill="auto"/>
          </w:tcPr>
          <w:p w14:paraId="36337114" w14:textId="77777777" w:rsidR="00665970" w:rsidRDefault="00665970" w:rsidP="00665970">
            <w:pPr>
              <w:pStyle w:val="Tabletext0"/>
              <w:spacing w:before="0" w:after="120"/>
              <w:jc w:val="left"/>
            </w:pPr>
            <w:r>
              <w:t>Case series</w:t>
            </w:r>
          </w:p>
          <w:p w14:paraId="6E85E7FA" w14:textId="77777777" w:rsidR="00665970" w:rsidRDefault="00665970" w:rsidP="00665970">
            <w:pPr>
              <w:pStyle w:val="Tabletext0"/>
              <w:spacing w:before="0" w:after="120"/>
              <w:jc w:val="left"/>
            </w:pPr>
            <w:r>
              <w:t>Level IV</w:t>
            </w:r>
          </w:p>
          <w:p w14:paraId="087F1574" w14:textId="22214840" w:rsidR="00653F98" w:rsidRPr="00EF3DC1" w:rsidRDefault="00665970" w:rsidP="00665970">
            <w:pPr>
              <w:pStyle w:val="TableText"/>
            </w:pPr>
            <w:r>
              <w:t xml:space="preserve">Low to moderate </w:t>
            </w:r>
            <w:r w:rsidRPr="009A56E2">
              <w:t>risk of bias</w:t>
            </w:r>
            <w:r>
              <w:t xml:space="preserve"> (NHLBI for case series)</w:t>
            </w:r>
          </w:p>
        </w:tc>
        <w:tc>
          <w:tcPr>
            <w:tcW w:w="953" w:type="pct"/>
          </w:tcPr>
          <w:p w14:paraId="0E66B99E" w14:textId="538037E0" w:rsidR="00653F98" w:rsidRPr="00EF3DC1" w:rsidRDefault="00653F98" w:rsidP="00EF3DC1">
            <w:pPr>
              <w:pStyle w:val="TableText"/>
            </w:pPr>
            <w:r w:rsidRPr="00EF3DC1">
              <w:t>Patients with NSCLC (adenocarcinoma) and at least one actionable variant (</w:t>
            </w:r>
            <w:r w:rsidRPr="00EF3DC1">
              <w:rPr>
                <w:i/>
              </w:rPr>
              <w:t xml:space="preserve">EGFR, </w:t>
            </w:r>
            <w:r w:rsidRPr="00EF3DC1">
              <w:t xml:space="preserve">n=130, </w:t>
            </w:r>
            <w:r w:rsidRPr="00EF3DC1">
              <w:rPr>
                <w:i/>
              </w:rPr>
              <w:t xml:space="preserve">KRAS¸ </w:t>
            </w:r>
            <w:r w:rsidRPr="00EF3DC1">
              <w:t xml:space="preserve">n=48, </w:t>
            </w:r>
            <w:r w:rsidRPr="00EF3DC1">
              <w:rPr>
                <w:i/>
              </w:rPr>
              <w:t>ALK</w:t>
            </w:r>
            <w:r w:rsidRPr="00EF3DC1">
              <w:t xml:space="preserve"> n=40, </w:t>
            </w:r>
            <w:r w:rsidRPr="00EF3DC1">
              <w:rPr>
                <w:i/>
              </w:rPr>
              <w:t>RET</w:t>
            </w:r>
            <w:r w:rsidRPr="00EF3DC1">
              <w:t xml:space="preserve"> 6%, MET 3%, </w:t>
            </w:r>
            <w:r w:rsidRPr="00EF3DC1">
              <w:rPr>
                <w:i/>
              </w:rPr>
              <w:t xml:space="preserve">ROS1 </w:t>
            </w:r>
            <w:r w:rsidRPr="00EF3DC1">
              <w:t xml:space="preserve">3%, </w:t>
            </w:r>
            <w:r w:rsidRPr="00EF3DC1">
              <w:rPr>
                <w:i/>
              </w:rPr>
              <w:t>BRAF</w:t>
            </w:r>
            <w:r w:rsidRPr="00EF3DC1">
              <w:t xml:space="preserve"> 2%)</w:t>
            </w:r>
          </w:p>
        </w:tc>
        <w:tc>
          <w:tcPr>
            <w:tcW w:w="635" w:type="pct"/>
          </w:tcPr>
          <w:p w14:paraId="15EB97E6" w14:textId="0277AFCF" w:rsidR="00653F98" w:rsidRPr="00EF3DC1" w:rsidRDefault="00653F98" w:rsidP="00EF3DC1">
            <w:pPr>
              <w:pStyle w:val="TableText"/>
            </w:pPr>
            <w:r w:rsidRPr="00EF3DC1">
              <w:t>Treatment with targeted therapy corresponding to actionable variant</w:t>
            </w:r>
          </w:p>
        </w:tc>
        <w:tc>
          <w:tcPr>
            <w:tcW w:w="714" w:type="pct"/>
            <w:shd w:val="clear" w:color="auto" w:fill="auto"/>
          </w:tcPr>
          <w:p w14:paraId="0A2F208F" w14:textId="723648C4" w:rsidR="00653F98" w:rsidRPr="00EF3DC1" w:rsidRDefault="00653F98" w:rsidP="00EF3DC1">
            <w:pPr>
              <w:pStyle w:val="TableText"/>
            </w:pPr>
            <w:r w:rsidRPr="00EF3DC1">
              <w:t>No targeted treatment</w:t>
            </w:r>
          </w:p>
        </w:tc>
        <w:tc>
          <w:tcPr>
            <w:tcW w:w="635" w:type="pct"/>
            <w:shd w:val="clear" w:color="auto" w:fill="auto"/>
          </w:tcPr>
          <w:p w14:paraId="4D00C4CC" w14:textId="1213F824" w:rsidR="00653F98" w:rsidRPr="00EF3DC1" w:rsidRDefault="00653F98" w:rsidP="00EF3DC1">
            <w:pPr>
              <w:pStyle w:val="TableText"/>
            </w:pPr>
            <w:r w:rsidRPr="00EF3DC1">
              <w:t>Overall survival</w:t>
            </w:r>
            <w:r w:rsidR="00771D36" w:rsidRPr="00EF3DC1">
              <w:t xml:space="preserve"> on targeted treatment vs no-targeted treatment</w:t>
            </w:r>
          </w:p>
        </w:tc>
        <w:tc>
          <w:tcPr>
            <w:tcW w:w="477" w:type="pct"/>
          </w:tcPr>
          <w:p w14:paraId="318A9E73" w14:textId="09130DAE" w:rsidR="00653F98" w:rsidRPr="00EF3DC1" w:rsidRDefault="00653F98" w:rsidP="00EF3DC1">
            <w:pPr>
              <w:pStyle w:val="TableText"/>
            </w:pPr>
            <w:r w:rsidRPr="00EF3DC1">
              <w:t>No</w:t>
            </w:r>
          </w:p>
        </w:tc>
      </w:tr>
    </w:tbl>
    <w:p w14:paraId="6D4296FB" w14:textId="6EB4A596" w:rsidR="00EF3EA2" w:rsidRDefault="00EF3EA2"/>
    <w:tbl>
      <w:tblPr>
        <w:tblStyle w:val="TableGrid1"/>
        <w:tblW w:w="4950" w:type="pct"/>
        <w:tblCellMar>
          <w:left w:w="28" w:type="dxa"/>
          <w:right w:w="28" w:type="dxa"/>
        </w:tblCellMar>
        <w:tblLook w:val="04A0" w:firstRow="1" w:lastRow="0" w:firstColumn="1" w:lastColumn="0" w:noHBand="0" w:noVBand="1"/>
      </w:tblPr>
      <w:tblGrid>
        <w:gridCol w:w="1077"/>
        <w:gridCol w:w="609"/>
        <w:gridCol w:w="1144"/>
        <w:gridCol w:w="1701"/>
        <w:gridCol w:w="1134"/>
        <w:gridCol w:w="1275"/>
        <w:gridCol w:w="1134"/>
        <w:gridCol w:w="852"/>
      </w:tblGrid>
      <w:tr w:rsidR="00EF3EA2" w:rsidRPr="00EF3DC1" w14:paraId="1AD5C2A2"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tcBorders>
              <w:top w:val="single" w:sz="4" w:space="0" w:color="auto"/>
              <w:left w:val="single" w:sz="4" w:space="0" w:color="auto"/>
              <w:bottom w:val="single" w:sz="4" w:space="0" w:color="auto"/>
              <w:right w:val="single" w:sz="4" w:space="0" w:color="auto"/>
            </w:tcBorders>
            <w:shd w:val="clear" w:color="auto" w:fill="auto"/>
          </w:tcPr>
          <w:p w14:paraId="73DAD29C" w14:textId="77777777" w:rsidR="00EF3EA2" w:rsidRPr="00EF3EA2" w:rsidRDefault="00EF3EA2" w:rsidP="00EF3EA2">
            <w:pPr>
              <w:pStyle w:val="TableText"/>
              <w:rPr>
                <w:b/>
              </w:rPr>
            </w:pPr>
            <w:r w:rsidRPr="00EF3EA2">
              <w:rPr>
                <w:b/>
              </w:rPr>
              <w:lastRenderedPageBreak/>
              <w:t>Study/SR</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2CCE8EED" w14:textId="77777777" w:rsidR="00EF3EA2" w:rsidRPr="00EF3EA2" w:rsidRDefault="00EF3EA2" w:rsidP="00EF3EA2">
            <w:pPr>
              <w:pStyle w:val="TableText"/>
              <w:rPr>
                <w:b/>
              </w:rPr>
            </w:pPr>
            <w:r w:rsidRPr="00EF3EA2">
              <w:rPr>
                <w:b/>
              </w:rPr>
              <w:t>N</w:t>
            </w: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0B4DF570" w14:textId="77777777" w:rsidR="00EF3EA2" w:rsidRPr="00EF3EA2" w:rsidRDefault="00EF3EA2" w:rsidP="00EF3EA2">
            <w:pPr>
              <w:pStyle w:val="TableText"/>
              <w:rPr>
                <w:b/>
              </w:rPr>
            </w:pPr>
            <w:r w:rsidRPr="00EF3EA2">
              <w:rPr>
                <w:b/>
              </w:rPr>
              <w:t>Study design</w:t>
            </w:r>
          </w:p>
          <w:p w14:paraId="48CD8D46" w14:textId="77777777" w:rsidR="00EF3EA2" w:rsidRPr="00EF3EA2" w:rsidRDefault="00EF3EA2" w:rsidP="00EF3EA2">
            <w:pPr>
              <w:pStyle w:val="TableText"/>
              <w:rPr>
                <w:b/>
              </w:rPr>
            </w:pPr>
            <w:r w:rsidRPr="00EF3EA2">
              <w:rPr>
                <w:b/>
              </w:rPr>
              <w:t>Risk of bias</w:t>
            </w:r>
          </w:p>
        </w:tc>
        <w:tc>
          <w:tcPr>
            <w:tcW w:w="953" w:type="pct"/>
            <w:tcBorders>
              <w:top w:val="single" w:sz="4" w:space="0" w:color="auto"/>
              <w:left w:val="single" w:sz="4" w:space="0" w:color="auto"/>
              <w:bottom w:val="single" w:sz="4" w:space="0" w:color="auto"/>
              <w:right w:val="single" w:sz="4" w:space="0" w:color="auto"/>
            </w:tcBorders>
          </w:tcPr>
          <w:p w14:paraId="10B18A21" w14:textId="77777777" w:rsidR="00EF3EA2" w:rsidRPr="00EF3EA2" w:rsidRDefault="00EF3EA2" w:rsidP="00EF3EA2">
            <w:pPr>
              <w:pStyle w:val="TableText"/>
              <w:rPr>
                <w:b/>
              </w:rPr>
            </w:pPr>
            <w:r w:rsidRPr="00EF3EA2">
              <w:rPr>
                <w:b/>
              </w:rPr>
              <w:t>Population</w:t>
            </w:r>
          </w:p>
        </w:tc>
        <w:tc>
          <w:tcPr>
            <w:tcW w:w="635" w:type="pct"/>
            <w:tcBorders>
              <w:top w:val="single" w:sz="4" w:space="0" w:color="auto"/>
              <w:left w:val="single" w:sz="4" w:space="0" w:color="auto"/>
              <w:bottom w:val="single" w:sz="4" w:space="0" w:color="auto"/>
              <w:right w:val="single" w:sz="4" w:space="0" w:color="auto"/>
            </w:tcBorders>
          </w:tcPr>
          <w:p w14:paraId="060CC359" w14:textId="77777777" w:rsidR="00EF3EA2" w:rsidRPr="00EF3EA2" w:rsidRDefault="00EF3EA2" w:rsidP="00EF3EA2">
            <w:pPr>
              <w:pStyle w:val="TableText"/>
              <w:rPr>
                <w:b/>
              </w:rPr>
            </w:pPr>
            <w:r w:rsidRPr="00EF3EA2">
              <w:rPr>
                <w:b/>
              </w:rPr>
              <w:t>Intervention</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2AED904" w14:textId="77777777" w:rsidR="00EF3EA2" w:rsidRPr="00EF3EA2" w:rsidRDefault="00EF3EA2" w:rsidP="00EF3EA2">
            <w:pPr>
              <w:pStyle w:val="TableText"/>
              <w:rPr>
                <w:b/>
              </w:rPr>
            </w:pPr>
            <w:r w:rsidRPr="00EF3EA2">
              <w:rPr>
                <w:b/>
              </w:rPr>
              <w:t>Comparator</w:t>
            </w:r>
          </w:p>
        </w:tc>
        <w:tc>
          <w:tcPr>
            <w:tcW w:w="635" w:type="pct"/>
            <w:tcBorders>
              <w:top w:val="single" w:sz="4" w:space="0" w:color="auto"/>
              <w:left w:val="single" w:sz="4" w:space="0" w:color="auto"/>
              <w:bottom w:val="single" w:sz="4" w:space="0" w:color="auto"/>
              <w:right w:val="single" w:sz="4" w:space="0" w:color="auto"/>
            </w:tcBorders>
            <w:shd w:val="clear" w:color="auto" w:fill="auto"/>
          </w:tcPr>
          <w:p w14:paraId="78C84451" w14:textId="77777777" w:rsidR="00EF3EA2" w:rsidRPr="00EF3EA2" w:rsidRDefault="00EF3EA2" w:rsidP="00EF3EA2">
            <w:pPr>
              <w:pStyle w:val="TableText"/>
              <w:rPr>
                <w:b/>
              </w:rPr>
            </w:pPr>
            <w:r w:rsidRPr="00EF3EA2">
              <w:rPr>
                <w:b/>
              </w:rPr>
              <w:t>Key outcome(s)</w:t>
            </w:r>
          </w:p>
        </w:tc>
        <w:tc>
          <w:tcPr>
            <w:tcW w:w="477" w:type="pct"/>
            <w:tcBorders>
              <w:top w:val="single" w:sz="4" w:space="0" w:color="auto"/>
              <w:left w:val="single" w:sz="4" w:space="0" w:color="auto"/>
              <w:bottom w:val="single" w:sz="4" w:space="0" w:color="auto"/>
              <w:right w:val="single" w:sz="4" w:space="0" w:color="auto"/>
            </w:tcBorders>
          </w:tcPr>
          <w:p w14:paraId="35F1DDC6" w14:textId="77777777" w:rsidR="00EF3EA2" w:rsidRPr="00EF3EA2" w:rsidRDefault="00EF3EA2" w:rsidP="00EF3EA2">
            <w:pPr>
              <w:pStyle w:val="TableText"/>
              <w:rPr>
                <w:b/>
              </w:rPr>
            </w:pPr>
            <w:r w:rsidRPr="00EF3EA2">
              <w:rPr>
                <w:b/>
              </w:rPr>
              <w:t>Result used in economic model</w:t>
            </w:r>
          </w:p>
        </w:tc>
      </w:tr>
      <w:tr w:rsidR="00CE3A58" w:rsidRPr="00EF3DC1" w14:paraId="2F33EF08"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038980E8" w14:textId="6E1EA438" w:rsidR="00653F98" w:rsidRPr="00EF3DC1" w:rsidRDefault="00B4668F" w:rsidP="00B4668F">
            <w:pPr>
              <w:pStyle w:val="TableText"/>
            </w:pPr>
            <w:r>
              <w:fldChar w:fldCharType="begin">
                <w:fldData xml:space="preserve">PEVuZE5vdGU+PENpdGU+PEF1dGhvcj5OYW08L0F1dGhvcj48WWVhcj4yMDIxPC9ZZWFyPjxSZWNO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</w:fldData>
              </w:fldChar>
            </w:r>
            <w:r>
              <w:instrText xml:space="preserve"> ADDIN EN.CITE </w:instrText>
            </w:r>
            <w:r>
              <w:fldChar w:fldCharType="begin">
                <w:fldData xml:space="preserve">PEVuZE5vdGU+PENpdGU+PEF1dGhvcj5OYW08L0F1dGhvcj48WWVhcj4yMDIxPC9ZZWFyPjxSZWNO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</w:fldData>
              </w:fldChar>
            </w:r>
            <w:r>
              <w:instrText xml:space="preserve"> ADDIN EN.CITE.DATA </w:instrText>
            </w:r>
            <w:r>
              <w:fldChar w:fldCharType="end"/>
            </w:r>
            <w:r>
              <w:fldChar w:fldCharType="separate"/>
            </w:r>
            <w:r>
              <w:rPr>
                <w:noProof/>
              </w:rPr>
              <w:t>(Nam et al. 2021)</w:t>
            </w:r>
            <w:r>
              <w:fldChar w:fldCharType="end"/>
            </w:r>
          </w:p>
        </w:tc>
        <w:tc>
          <w:tcPr>
            <w:tcW w:w="341" w:type="pct"/>
            <w:shd w:val="clear" w:color="auto" w:fill="auto"/>
          </w:tcPr>
          <w:p w14:paraId="4BE1039D" w14:textId="77777777" w:rsidR="00653F98" w:rsidRPr="00EF3DC1" w:rsidRDefault="00653F98" w:rsidP="00EF3DC1">
            <w:pPr>
              <w:pStyle w:val="TableText"/>
            </w:pPr>
            <w:r w:rsidRPr="00EF3DC1">
              <w:t>k=16</w:t>
            </w:r>
          </w:p>
          <w:p w14:paraId="4D23095D" w14:textId="4B380449" w:rsidR="00653F98" w:rsidRPr="00EF3DC1" w:rsidRDefault="00653F98" w:rsidP="00EF3DC1">
            <w:pPr>
              <w:pStyle w:val="TableText"/>
            </w:pPr>
            <w:r w:rsidRPr="00EF3DC1">
              <w:t>n=1846</w:t>
            </w:r>
          </w:p>
        </w:tc>
        <w:tc>
          <w:tcPr>
            <w:tcW w:w="641" w:type="pct"/>
            <w:shd w:val="clear" w:color="auto" w:fill="auto"/>
          </w:tcPr>
          <w:p w14:paraId="29D66BB4" w14:textId="77777777" w:rsidR="00653F98" w:rsidRPr="00EF3DC1" w:rsidRDefault="00653F98" w:rsidP="00EF3DC1">
            <w:pPr>
              <w:pStyle w:val="TableText"/>
            </w:pPr>
            <w:r w:rsidRPr="00EF3DC1">
              <w:t>Systematic review of randomised and non-randomised studies</w:t>
            </w:r>
          </w:p>
          <w:p w14:paraId="542B20C2" w14:textId="21EEADF6" w:rsidR="00653F98" w:rsidRPr="00EF3DC1" w:rsidRDefault="00653F98" w:rsidP="00EF3DC1">
            <w:pPr>
              <w:pStyle w:val="TableText"/>
            </w:pPr>
            <w:r w:rsidRPr="00EF3DC1">
              <w:t>AMSTAR 2: moderate risk of bias</w:t>
            </w:r>
          </w:p>
        </w:tc>
        <w:tc>
          <w:tcPr>
            <w:tcW w:w="953" w:type="pct"/>
          </w:tcPr>
          <w:p w14:paraId="15948281" w14:textId="63369F2B" w:rsidR="00653F98" w:rsidRPr="00EF3DC1" w:rsidRDefault="00653F98" w:rsidP="00EF3DC1">
            <w:pPr>
              <w:pStyle w:val="TableText"/>
            </w:pPr>
            <w:r w:rsidRPr="00EF3DC1">
              <w:t>Patients with NSCLC who underwent PTNB biopsy (for 1L therapy) or rebiopsy (after chemo or targeted therapy)</w:t>
            </w:r>
          </w:p>
        </w:tc>
        <w:tc>
          <w:tcPr>
            <w:tcW w:w="635" w:type="pct"/>
          </w:tcPr>
          <w:p w14:paraId="7D5F4209" w14:textId="078D3406" w:rsidR="00653F98" w:rsidRPr="00EF3DC1" w:rsidRDefault="00653F98" w:rsidP="00EF3DC1">
            <w:pPr>
              <w:pStyle w:val="TableText"/>
            </w:pPr>
            <w:r w:rsidRPr="00EF3DC1">
              <w:t xml:space="preserve">Biopsy for the purposes of molecular analysis </w:t>
            </w:r>
          </w:p>
        </w:tc>
        <w:tc>
          <w:tcPr>
            <w:tcW w:w="714" w:type="pct"/>
            <w:shd w:val="clear" w:color="auto" w:fill="auto"/>
          </w:tcPr>
          <w:p w14:paraId="4A7555CB" w14:textId="6C008750" w:rsidR="00653F98" w:rsidRPr="00EF3DC1" w:rsidRDefault="00653F98" w:rsidP="00EF3DC1">
            <w:pPr>
              <w:pStyle w:val="TableText"/>
            </w:pPr>
            <w:r w:rsidRPr="00EF3DC1">
              <w:t>NA</w:t>
            </w:r>
          </w:p>
        </w:tc>
        <w:tc>
          <w:tcPr>
            <w:tcW w:w="635" w:type="pct"/>
            <w:shd w:val="clear" w:color="auto" w:fill="auto"/>
          </w:tcPr>
          <w:p w14:paraId="126936C6" w14:textId="16B29C23" w:rsidR="00653F98" w:rsidRPr="00EF3DC1" w:rsidRDefault="00653F98" w:rsidP="00EF3DC1">
            <w:pPr>
              <w:pStyle w:val="TableText"/>
            </w:pPr>
            <w:r w:rsidRPr="00EF3DC1">
              <w:t>Complications from biopsy</w:t>
            </w:r>
          </w:p>
        </w:tc>
        <w:tc>
          <w:tcPr>
            <w:tcW w:w="477" w:type="pct"/>
          </w:tcPr>
          <w:p w14:paraId="6966FE3A" w14:textId="0EEBB9CE" w:rsidR="00653F98" w:rsidRPr="00EF3DC1" w:rsidRDefault="00653F98" w:rsidP="00EF3DC1">
            <w:pPr>
              <w:pStyle w:val="TableText"/>
            </w:pPr>
            <w:r w:rsidRPr="00EF3DC1">
              <w:t>No</w:t>
            </w:r>
          </w:p>
        </w:tc>
      </w:tr>
      <w:tr w:rsidR="00CE3A58" w:rsidRPr="00EF3DC1" w14:paraId="65FEAE0A"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0390001F" w14:textId="0560FAF6" w:rsidR="00653F98" w:rsidRPr="00EF3DC1" w:rsidRDefault="00B4668F" w:rsidP="00EF3DC1">
            <w:pPr>
              <w:pStyle w:val="TableText"/>
            </w:pP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 </w:instrText>
            </w: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EN.CITE.DATA </w:instrText>
            </w:r>
            <w:r>
              <w:fldChar w:fldCharType="end"/>
            </w:r>
            <w:r>
              <w:fldChar w:fldCharType="separate"/>
            </w:r>
            <w:r>
              <w:rPr>
                <w:noProof/>
              </w:rPr>
              <w:t>(Sakaguchi et al. 2021)</w:t>
            </w:r>
            <w:r>
              <w:fldChar w:fldCharType="end"/>
            </w:r>
          </w:p>
          <w:p w14:paraId="3F661D05" w14:textId="1715587D" w:rsidR="00653F98" w:rsidRPr="00EF3DC1" w:rsidRDefault="00653F98" w:rsidP="00EF3DC1">
            <w:pPr>
              <w:pStyle w:val="TableText"/>
            </w:pPr>
            <w:r w:rsidRPr="00EF3DC1">
              <w:t>Japan</w:t>
            </w:r>
          </w:p>
        </w:tc>
        <w:tc>
          <w:tcPr>
            <w:tcW w:w="341" w:type="pct"/>
            <w:shd w:val="clear" w:color="auto" w:fill="auto"/>
          </w:tcPr>
          <w:p w14:paraId="4B741CE3" w14:textId="304444EC" w:rsidR="00653F98" w:rsidRPr="00EF3DC1" w:rsidRDefault="00653F98" w:rsidP="00EF3DC1">
            <w:pPr>
              <w:pStyle w:val="TableText"/>
            </w:pPr>
            <w:r w:rsidRPr="00EF3DC1">
              <w:t>n=4</w:t>
            </w:r>
          </w:p>
        </w:tc>
        <w:tc>
          <w:tcPr>
            <w:tcW w:w="641" w:type="pct"/>
            <w:shd w:val="clear" w:color="auto" w:fill="auto"/>
          </w:tcPr>
          <w:p w14:paraId="7DB868E3" w14:textId="77777777" w:rsidR="0090287B" w:rsidRDefault="0090287B" w:rsidP="0090287B">
            <w:pPr>
              <w:pStyle w:val="Tabletext0"/>
              <w:spacing w:before="0" w:after="120"/>
              <w:jc w:val="left"/>
            </w:pPr>
            <w:r>
              <w:t>Retrospective cohort study</w:t>
            </w:r>
          </w:p>
          <w:p w14:paraId="269CD237" w14:textId="77777777" w:rsidR="0090287B" w:rsidRDefault="0090287B" w:rsidP="0090287B">
            <w:pPr>
              <w:pStyle w:val="Tabletext0"/>
              <w:spacing w:before="0" w:after="120"/>
              <w:jc w:val="left"/>
            </w:pPr>
            <w:r>
              <w:t>Level III-3</w:t>
            </w:r>
          </w:p>
          <w:p w14:paraId="408502A9" w14:textId="6939444C" w:rsidR="00653F98" w:rsidRPr="00EF3DC1" w:rsidRDefault="0090287B" w:rsidP="0090287B">
            <w:pPr>
              <w:pStyle w:val="TableText"/>
            </w:pPr>
            <w:r>
              <w:t xml:space="preserve">Moderate risk of bias </w:t>
            </w:r>
            <w:r w:rsidRPr="00FE1788">
              <w:t>(QUADAS 2)</w:t>
            </w:r>
          </w:p>
        </w:tc>
        <w:tc>
          <w:tcPr>
            <w:tcW w:w="953" w:type="pct"/>
          </w:tcPr>
          <w:p w14:paraId="49C3F133" w14:textId="37170EBE" w:rsidR="00653F98" w:rsidRPr="00EF3DC1" w:rsidRDefault="00653F98" w:rsidP="00EF3DC1">
            <w:pPr>
              <w:pStyle w:val="TableText"/>
            </w:pPr>
            <w:r w:rsidRPr="00EF3DC1">
              <w:t xml:space="preserve">Patients with NSCLC and discordant results from Oncomine Dx Target Test and PNA-LNA clamp test from consecutive NSCLC patients </w:t>
            </w:r>
          </w:p>
        </w:tc>
        <w:tc>
          <w:tcPr>
            <w:tcW w:w="635" w:type="pct"/>
          </w:tcPr>
          <w:p w14:paraId="7D090944" w14:textId="77DEF1A8" w:rsidR="00653F98" w:rsidRPr="00EF3DC1" w:rsidRDefault="00653F98" w:rsidP="00EF3DC1">
            <w:pPr>
              <w:pStyle w:val="TableText"/>
            </w:pPr>
            <w:r w:rsidRPr="00EF3DC1">
              <w:t>Osimertinib</w:t>
            </w:r>
          </w:p>
        </w:tc>
        <w:tc>
          <w:tcPr>
            <w:tcW w:w="714" w:type="pct"/>
            <w:shd w:val="clear" w:color="auto" w:fill="auto"/>
          </w:tcPr>
          <w:p w14:paraId="5EB56A71" w14:textId="03D8FA9D" w:rsidR="00653F98" w:rsidRPr="00EF3DC1" w:rsidRDefault="00653F98" w:rsidP="00EF3DC1">
            <w:pPr>
              <w:pStyle w:val="TableText"/>
            </w:pPr>
            <w:r w:rsidRPr="00EF3DC1">
              <w:t>NA</w:t>
            </w:r>
          </w:p>
        </w:tc>
        <w:tc>
          <w:tcPr>
            <w:tcW w:w="635" w:type="pct"/>
            <w:shd w:val="clear" w:color="auto" w:fill="auto"/>
          </w:tcPr>
          <w:p w14:paraId="70C14AE3" w14:textId="476EACC3" w:rsidR="00653F98" w:rsidRPr="00EF3DC1" w:rsidRDefault="00653F98" w:rsidP="00EF3DC1">
            <w:pPr>
              <w:pStyle w:val="TableText"/>
            </w:pPr>
            <w:r w:rsidRPr="00EF3DC1">
              <w:t>Disease progression</w:t>
            </w:r>
            <w:r w:rsidR="00771D36" w:rsidRPr="00EF3DC1">
              <w:t xml:space="preserve"> while on targeted treatment</w:t>
            </w:r>
          </w:p>
        </w:tc>
        <w:tc>
          <w:tcPr>
            <w:tcW w:w="477" w:type="pct"/>
          </w:tcPr>
          <w:p w14:paraId="4262DE80" w14:textId="16C6BEEC" w:rsidR="00653F98" w:rsidRPr="00EF3DC1" w:rsidRDefault="00653F98" w:rsidP="00EF3DC1">
            <w:pPr>
              <w:pStyle w:val="TableText"/>
            </w:pPr>
            <w:r w:rsidRPr="00EF3DC1">
              <w:t>No</w:t>
            </w:r>
          </w:p>
        </w:tc>
      </w:tr>
      <w:tr w:rsidR="00CE3A58" w:rsidRPr="00EF3DC1" w14:paraId="1FBAA2C7"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1DB0F0C7" w14:textId="3626C59A" w:rsidR="00653F98" w:rsidRPr="00EF3DC1" w:rsidRDefault="00B4668F" w:rsidP="00EF3DC1">
            <w:pPr>
              <w:pStyle w:val="TableText"/>
            </w:pP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 </w:instrText>
            </w: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EN.CITE.DATA </w:instrText>
            </w:r>
            <w:r>
              <w:fldChar w:fldCharType="end"/>
            </w:r>
            <w:r>
              <w:fldChar w:fldCharType="separate"/>
            </w:r>
            <w:r>
              <w:rPr>
                <w:noProof/>
              </w:rPr>
              <w:t>(Schrock et al. 2016)</w:t>
            </w:r>
            <w:r>
              <w:fldChar w:fldCharType="end"/>
            </w:r>
          </w:p>
          <w:p w14:paraId="1844FC7B" w14:textId="3DFD1E62" w:rsidR="00653F98" w:rsidRPr="00EF3DC1" w:rsidRDefault="00653F98" w:rsidP="00EF3DC1">
            <w:pPr>
              <w:pStyle w:val="TableText"/>
            </w:pPr>
            <w:r w:rsidRPr="00EF3DC1">
              <w:t>United States and Israel</w:t>
            </w:r>
          </w:p>
        </w:tc>
        <w:tc>
          <w:tcPr>
            <w:tcW w:w="341" w:type="pct"/>
            <w:shd w:val="clear" w:color="auto" w:fill="auto"/>
          </w:tcPr>
          <w:p w14:paraId="2996C0BE" w14:textId="4B86EC66" w:rsidR="00653F98" w:rsidRPr="00EF3DC1" w:rsidRDefault="00653F98" w:rsidP="00EF3DC1">
            <w:pPr>
              <w:pStyle w:val="TableText"/>
            </w:pPr>
            <w:r w:rsidRPr="00EF3DC1">
              <w:t>n=12</w:t>
            </w:r>
          </w:p>
        </w:tc>
        <w:tc>
          <w:tcPr>
            <w:tcW w:w="641" w:type="pct"/>
            <w:shd w:val="clear" w:color="auto" w:fill="auto"/>
          </w:tcPr>
          <w:p w14:paraId="6C4EBB4C" w14:textId="77777777" w:rsidR="0090287B" w:rsidRDefault="0090287B" w:rsidP="0090287B">
            <w:pPr>
              <w:pStyle w:val="Tabletext0"/>
              <w:spacing w:before="0" w:after="120"/>
              <w:jc w:val="left"/>
            </w:pPr>
            <w:r>
              <w:t>Case series</w:t>
            </w:r>
          </w:p>
          <w:p w14:paraId="2374379D" w14:textId="77777777" w:rsidR="0090287B" w:rsidRDefault="0090287B" w:rsidP="0090287B">
            <w:pPr>
              <w:pStyle w:val="Tabletext0"/>
              <w:spacing w:before="0" w:after="120"/>
              <w:jc w:val="left"/>
            </w:pPr>
            <w:r>
              <w:t>Level IV</w:t>
            </w:r>
          </w:p>
          <w:p w14:paraId="176D0C7F" w14:textId="3C86562E" w:rsidR="00653F98" w:rsidRPr="00EF3DC1" w:rsidRDefault="0090287B" w:rsidP="0090287B">
            <w:pPr>
              <w:pStyle w:val="TableText"/>
            </w:pPr>
            <w:r>
              <w:t>Moderate to high risk of bias (NHLBI for case series)</w:t>
            </w:r>
          </w:p>
        </w:tc>
        <w:tc>
          <w:tcPr>
            <w:tcW w:w="953" w:type="pct"/>
          </w:tcPr>
          <w:p w14:paraId="4D8524F3" w14:textId="5829E43C" w:rsidR="00653F98" w:rsidRPr="00EF3DC1" w:rsidRDefault="00653F98" w:rsidP="00EF3DC1">
            <w:pPr>
              <w:pStyle w:val="TableText"/>
            </w:pPr>
            <w:r w:rsidRPr="00EF3DC1">
              <w:t xml:space="preserve">Patients with </w:t>
            </w:r>
            <w:r w:rsidRPr="00EF3DC1">
              <w:rPr>
                <w:i/>
              </w:rPr>
              <w:t>EGFR</w:t>
            </w:r>
            <w:r w:rsidRPr="00EF3DC1">
              <w:t xml:space="preserve"> variants found by Hybrid-capture based NGS and missed by previous </w:t>
            </w:r>
            <w:r w:rsidRPr="00EF3DC1">
              <w:rPr>
                <w:i/>
              </w:rPr>
              <w:t xml:space="preserve">EGFR </w:t>
            </w:r>
            <w:r w:rsidRPr="00EF3DC1">
              <w:t>test (</w:t>
            </w:r>
            <w:r w:rsidR="005726E8" w:rsidRPr="00EF3DC1">
              <w:t>non-hybrid</w:t>
            </w:r>
            <w:r w:rsidRPr="00EF3DC1">
              <w:t xml:space="preserve"> capture based assay)</w:t>
            </w:r>
          </w:p>
        </w:tc>
        <w:tc>
          <w:tcPr>
            <w:tcW w:w="635" w:type="pct"/>
          </w:tcPr>
          <w:p w14:paraId="07E75CB1" w14:textId="68F78ED3" w:rsidR="00653F98" w:rsidRPr="00EF3DC1" w:rsidRDefault="00653F98" w:rsidP="00EF3DC1">
            <w:pPr>
              <w:pStyle w:val="TableText"/>
            </w:pPr>
            <w:r w:rsidRPr="00EF3DC1">
              <w:t>Afatinib, erlotinib</w:t>
            </w:r>
          </w:p>
        </w:tc>
        <w:tc>
          <w:tcPr>
            <w:tcW w:w="714" w:type="pct"/>
            <w:shd w:val="clear" w:color="auto" w:fill="auto"/>
          </w:tcPr>
          <w:p w14:paraId="51DBA0AE" w14:textId="2253D460" w:rsidR="00653F98" w:rsidRPr="00EF3DC1" w:rsidRDefault="00653F98" w:rsidP="00EF3DC1">
            <w:pPr>
              <w:pStyle w:val="TableText"/>
            </w:pPr>
            <w:r w:rsidRPr="00EF3DC1">
              <w:t>NA</w:t>
            </w:r>
          </w:p>
        </w:tc>
        <w:tc>
          <w:tcPr>
            <w:tcW w:w="635" w:type="pct"/>
            <w:shd w:val="clear" w:color="auto" w:fill="auto"/>
          </w:tcPr>
          <w:p w14:paraId="71B01DC2" w14:textId="6AB52037" w:rsidR="00653F98" w:rsidRPr="00EF3DC1" w:rsidRDefault="00653F98" w:rsidP="00EF3DC1">
            <w:pPr>
              <w:pStyle w:val="TableText"/>
            </w:pPr>
            <w:r w:rsidRPr="00EF3DC1">
              <w:t>Response to targeted treatment</w:t>
            </w:r>
          </w:p>
        </w:tc>
        <w:tc>
          <w:tcPr>
            <w:tcW w:w="477" w:type="pct"/>
          </w:tcPr>
          <w:p w14:paraId="0C72808F" w14:textId="1FF5CB61" w:rsidR="00653F98" w:rsidRPr="00EF3DC1" w:rsidRDefault="00653F98" w:rsidP="00EF3DC1">
            <w:pPr>
              <w:pStyle w:val="TableText"/>
            </w:pPr>
            <w:r w:rsidRPr="00EF3DC1">
              <w:t>No</w:t>
            </w:r>
          </w:p>
        </w:tc>
      </w:tr>
      <w:tr w:rsidR="00CE3A58" w:rsidRPr="00EF3DC1" w14:paraId="0D759115"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774018DC" w14:textId="2C81F10B" w:rsidR="00653F98" w:rsidRPr="00EF3DC1" w:rsidRDefault="00B4668F" w:rsidP="00EF3DC1">
            <w:pPr>
              <w:pStyle w:val="TableText"/>
            </w:pPr>
            <w:r>
              <w:fldChar w:fldCharType="begin"/>
            </w:r>
            <w:r>
              <w:instrText xml:space="preserve"> ADDIN EN.CITE &lt;EndNote&gt;&lt;Cite&gt;&lt;Author&gt;Vollbrecht&lt;/Author&gt;&lt;Year&gt;2018&lt;/Year&gt;&lt;RecNum&gt;177&lt;/RecNum&gt;&lt;IDText&gt;1158-1158&lt;/IDText&gt;&lt;DisplayText&gt;(Vollbrecht et al. 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fldChar w:fldCharType="separate"/>
            </w:r>
            <w:r>
              <w:rPr>
                <w:noProof/>
              </w:rPr>
              <w:t>(Vollbrecht et al. 2018)</w:t>
            </w:r>
            <w:r>
              <w:fldChar w:fldCharType="end"/>
            </w:r>
          </w:p>
          <w:p w14:paraId="6C95A9B3" w14:textId="0D0093ED" w:rsidR="00653F98" w:rsidRPr="00EF3DC1" w:rsidRDefault="00653F98" w:rsidP="00EF3DC1">
            <w:pPr>
              <w:pStyle w:val="TableText"/>
            </w:pPr>
            <w:r w:rsidRPr="00EF3DC1">
              <w:t>Germany</w:t>
            </w:r>
          </w:p>
        </w:tc>
        <w:tc>
          <w:tcPr>
            <w:tcW w:w="341" w:type="pct"/>
            <w:shd w:val="clear" w:color="auto" w:fill="auto"/>
          </w:tcPr>
          <w:p w14:paraId="449C183C" w14:textId="0A414396" w:rsidR="00653F98" w:rsidRPr="00EF3DC1" w:rsidRDefault="00653F98" w:rsidP="00EF3DC1">
            <w:pPr>
              <w:pStyle w:val="TableText"/>
            </w:pPr>
            <w:r w:rsidRPr="00EF3DC1">
              <w:t>n=4</w:t>
            </w:r>
          </w:p>
        </w:tc>
        <w:tc>
          <w:tcPr>
            <w:tcW w:w="641" w:type="pct"/>
            <w:shd w:val="clear" w:color="auto" w:fill="auto"/>
          </w:tcPr>
          <w:p w14:paraId="7FBA8E87" w14:textId="77777777" w:rsidR="0090287B" w:rsidRDefault="0090287B" w:rsidP="0090287B">
            <w:pPr>
              <w:pStyle w:val="Tabletext0"/>
              <w:spacing w:before="0" w:after="120"/>
              <w:jc w:val="left"/>
            </w:pPr>
            <w:r>
              <w:t>Diagnostic case control study</w:t>
            </w:r>
          </w:p>
          <w:p w14:paraId="32FABD64" w14:textId="77777777" w:rsidR="0090287B" w:rsidRDefault="0090287B" w:rsidP="0090287B">
            <w:pPr>
              <w:pStyle w:val="Tabletext0"/>
              <w:spacing w:before="0" w:after="120"/>
              <w:jc w:val="left"/>
            </w:pPr>
            <w:r>
              <w:t>Level III-3</w:t>
            </w:r>
          </w:p>
          <w:p w14:paraId="335A9854" w14:textId="584071FB" w:rsidR="00653F98" w:rsidRPr="00EF3DC1" w:rsidRDefault="0090287B" w:rsidP="0090287B">
            <w:pPr>
              <w:pStyle w:val="TableText"/>
            </w:pPr>
            <w:r>
              <w:t xml:space="preserve">Moderate risk of bias </w:t>
            </w:r>
            <w:r w:rsidRPr="00FE1788">
              <w:t>(QUADAS 2)</w:t>
            </w:r>
          </w:p>
        </w:tc>
        <w:tc>
          <w:tcPr>
            <w:tcW w:w="953" w:type="pct"/>
          </w:tcPr>
          <w:p w14:paraId="3592A2E3" w14:textId="4731E640" w:rsidR="00653F98" w:rsidRPr="00EF3DC1" w:rsidRDefault="00653F98" w:rsidP="00EF3DC1">
            <w:pPr>
              <w:pStyle w:val="TableText"/>
            </w:pPr>
            <w:r w:rsidRPr="00EF3DC1">
              <w:t xml:space="preserve">15 patients with NSCLC and equivocal </w:t>
            </w:r>
            <w:r w:rsidRPr="00EF3DC1">
              <w:rPr>
                <w:i/>
              </w:rPr>
              <w:t>ALK</w:t>
            </w:r>
            <w:r w:rsidRPr="00EF3DC1">
              <w:t xml:space="preserve"> results on IHC and FISH</w:t>
            </w:r>
          </w:p>
        </w:tc>
        <w:tc>
          <w:tcPr>
            <w:tcW w:w="635" w:type="pct"/>
          </w:tcPr>
          <w:p w14:paraId="557FA62C" w14:textId="780BF06C" w:rsidR="00653F98" w:rsidRPr="00EF3DC1" w:rsidRDefault="00653F98" w:rsidP="00EF3DC1">
            <w:pPr>
              <w:pStyle w:val="TableText"/>
            </w:pPr>
            <w:r w:rsidRPr="00EF3DC1">
              <w:rPr>
                <w:i/>
              </w:rPr>
              <w:t xml:space="preserve">ALK </w:t>
            </w:r>
            <w:r w:rsidRPr="00EF3DC1">
              <w:t>TKI</w:t>
            </w:r>
          </w:p>
        </w:tc>
        <w:tc>
          <w:tcPr>
            <w:tcW w:w="714" w:type="pct"/>
            <w:shd w:val="clear" w:color="auto" w:fill="auto"/>
          </w:tcPr>
          <w:p w14:paraId="1D16B94F" w14:textId="48B0EFA9" w:rsidR="00653F98" w:rsidRPr="00EF3DC1" w:rsidRDefault="00653F98" w:rsidP="00EF3DC1">
            <w:pPr>
              <w:pStyle w:val="TableText"/>
            </w:pPr>
            <w:r w:rsidRPr="00EF3DC1">
              <w:t>NA</w:t>
            </w:r>
          </w:p>
        </w:tc>
        <w:tc>
          <w:tcPr>
            <w:tcW w:w="635" w:type="pct"/>
            <w:shd w:val="clear" w:color="auto" w:fill="auto"/>
          </w:tcPr>
          <w:p w14:paraId="0BCFBE94" w14:textId="241C320C" w:rsidR="00653F98" w:rsidRPr="00EF3DC1" w:rsidRDefault="00771D36" w:rsidP="00EF3DC1">
            <w:pPr>
              <w:pStyle w:val="TableText"/>
            </w:pPr>
            <w:r w:rsidRPr="00EF3DC1">
              <w:t>Response to targeted treatment</w:t>
            </w:r>
          </w:p>
        </w:tc>
        <w:tc>
          <w:tcPr>
            <w:tcW w:w="477" w:type="pct"/>
          </w:tcPr>
          <w:p w14:paraId="3BCEF40E" w14:textId="1AC330F3" w:rsidR="00653F98" w:rsidRPr="00EF3DC1" w:rsidRDefault="0090287B" w:rsidP="00EF3DC1">
            <w:pPr>
              <w:pStyle w:val="TableText"/>
            </w:pPr>
            <w:r>
              <w:t>No</w:t>
            </w:r>
          </w:p>
        </w:tc>
      </w:tr>
      <w:tr w:rsidR="00CE3A58" w:rsidRPr="00EF3DC1" w14:paraId="752AD3DB"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163A7071" w14:textId="0A6E87AC" w:rsidR="00653F98" w:rsidRPr="00EF3DC1" w:rsidRDefault="00B4668F" w:rsidP="00EF3DC1">
            <w:pPr>
              <w:pStyle w:val="TableText"/>
            </w:pPr>
            <w:r>
              <w:fldChar w:fldCharType="begin">
                <w:fldData xml:space="preserve">PEVuZE5vdGU+PENpdGU+PEF1dGhvcj5ZZTwvQXV0aG9yPjxZZWFyPjIwMjA8L1llYXI+PFJlY051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</w:fldData>
              </w:fldChar>
            </w:r>
            <w:r>
              <w:instrText xml:space="preserve"> ADDIN EN.CITE </w:instrText>
            </w:r>
            <w:r>
              <w:fldChar w:fldCharType="begin">
                <w:fldData xml:space="preserve">PEVuZE5vdGU+PENpdGU+PEF1dGhvcj5ZZTwvQXV0aG9yPjxZZWFyPjIwMjA8L1llYXI+PFJlY051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</w:fldData>
              </w:fldChar>
            </w:r>
            <w:r>
              <w:instrText xml:space="preserve"> ADDIN EN.CITE.DATA </w:instrText>
            </w:r>
            <w:r>
              <w:fldChar w:fldCharType="end"/>
            </w:r>
            <w:r>
              <w:fldChar w:fldCharType="separate"/>
            </w:r>
            <w:r>
              <w:rPr>
                <w:noProof/>
              </w:rPr>
              <w:t>(Ye et al. 2020)</w:t>
            </w:r>
            <w:r>
              <w:fldChar w:fldCharType="end"/>
            </w:r>
          </w:p>
          <w:p w14:paraId="30B42183" w14:textId="5AF85FF0" w:rsidR="00653F98" w:rsidRPr="00EF3DC1" w:rsidRDefault="00653F98" w:rsidP="00EF3DC1">
            <w:pPr>
              <w:pStyle w:val="TableText"/>
            </w:pPr>
            <w:r w:rsidRPr="00EF3DC1">
              <w:t>Australia</w:t>
            </w:r>
          </w:p>
        </w:tc>
        <w:tc>
          <w:tcPr>
            <w:tcW w:w="341" w:type="pct"/>
            <w:shd w:val="clear" w:color="auto" w:fill="auto"/>
          </w:tcPr>
          <w:p w14:paraId="09766540" w14:textId="20E7B2BE" w:rsidR="00653F98" w:rsidRPr="00EF3DC1" w:rsidRDefault="00653F98" w:rsidP="00EF3DC1">
            <w:pPr>
              <w:pStyle w:val="TableText"/>
            </w:pPr>
            <w:r w:rsidRPr="00EF3DC1">
              <w:t>n=64</w:t>
            </w:r>
          </w:p>
        </w:tc>
        <w:tc>
          <w:tcPr>
            <w:tcW w:w="641" w:type="pct"/>
            <w:shd w:val="clear" w:color="auto" w:fill="auto"/>
          </w:tcPr>
          <w:p w14:paraId="272B51E0" w14:textId="77777777" w:rsidR="00653F98" w:rsidRDefault="00653F98" w:rsidP="00EF3DC1">
            <w:pPr>
              <w:pStyle w:val="TableText"/>
            </w:pPr>
            <w:r w:rsidRPr="00EF3DC1">
              <w:t>Cohort study</w:t>
            </w:r>
          </w:p>
          <w:p w14:paraId="42BF51F4" w14:textId="77777777" w:rsidR="00614B9B" w:rsidRDefault="00614B9B" w:rsidP="00EF3DC1">
            <w:pPr>
              <w:pStyle w:val="TableText"/>
            </w:pPr>
            <w:r>
              <w:t>Level III-2</w:t>
            </w:r>
          </w:p>
          <w:p w14:paraId="1E1706BE" w14:textId="542BBB40" w:rsidR="00614B9B" w:rsidRPr="00EF3DC1" w:rsidRDefault="00614B9B" w:rsidP="00EF3DC1">
            <w:pPr>
              <w:pStyle w:val="TableText"/>
            </w:pPr>
            <w:r>
              <w:t>Moderate risk of bias (SIGN for cohort studies)</w:t>
            </w:r>
          </w:p>
        </w:tc>
        <w:tc>
          <w:tcPr>
            <w:tcW w:w="953" w:type="pct"/>
          </w:tcPr>
          <w:p w14:paraId="3354EDE4" w14:textId="7BA0199D" w:rsidR="00653F98" w:rsidRPr="00EF3DC1" w:rsidRDefault="00653F98" w:rsidP="00EF3DC1">
            <w:pPr>
              <w:pStyle w:val="TableText"/>
            </w:pPr>
            <w:r w:rsidRPr="00EF3DC1">
              <w:t xml:space="preserve">Patients with NSCLC and </w:t>
            </w:r>
            <w:r w:rsidRPr="00EF3DC1">
              <w:rPr>
                <w:i/>
              </w:rPr>
              <w:t>EGFR</w:t>
            </w:r>
            <w:r w:rsidRPr="00EF3DC1">
              <w:t xml:space="preserve"> variants, with stage IV disease</w:t>
            </w:r>
          </w:p>
          <w:p w14:paraId="5C371EB7" w14:textId="77777777" w:rsidR="00653F98" w:rsidRPr="00EF3DC1" w:rsidRDefault="00653F98" w:rsidP="00EF3DC1">
            <w:pPr>
              <w:pStyle w:val="TableText"/>
            </w:pPr>
            <w:r w:rsidRPr="00EF3DC1">
              <w:t>14 VAF &lt;0.1%</w:t>
            </w:r>
          </w:p>
          <w:p w14:paraId="49A238FB" w14:textId="77777777" w:rsidR="00653F98" w:rsidRPr="00EF3DC1" w:rsidRDefault="00653F98" w:rsidP="00EF3DC1">
            <w:pPr>
              <w:pStyle w:val="TableText"/>
            </w:pPr>
            <w:r w:rsidRPr="00EF3DC1">
              <w:t>28 VAF ≥ 0.1%</w:t>
            </w:r>
          </w:p>
          <w:p w14:paraId="746A6D3A" w14:textId="6F70E19A" w:rsidR="00653F98" w:rsidRPr="00EF3DC1" w:rsidRDefault="00653F98" w:rsidP="00EF3DC1">
            <w:pPr>
              <w:pStyle w:val="TableText"/>
            </w:pPr>
            <w:r w:rsidRPr="00EF3DC1">
              <w:t>1 detectable by SS, VAF = 28.5%</w:t>
            </w:r>
          </w:p>
        </w:tc>
        <w:tc>
          <w:tcPr>
            <w:tcW w:w="635" w:type="pct"/>
          </w:tcPr>
          <w:p w14:paraId="31ED51D7" w14:textId="2D0820FA" w:rsidR="00653F98" w:rsidRPr="00EF3DC1" w:rsidRDefault="00653F98" w:rsidP="00EF3DC1">
            <w:pPr>
              <w:pStyle w:val="TableText"/>
            </w:pPr>
            <w:r w:rsidRPr="00EF3DC1">
              <w:t>Erlotinib or gefitinib in those with high allelic frequency</w:t>
            </w:r>
          </w:p>
        </w:tc>
        <w:tc>
          <w:tcPr>
            <w:tcW w:w="714" w:type="pct"/>
            <w:shd w:val="clear" w:color="auto" w:fill="auto"/>
          </w:tcPr>
          <w:p w14:paraId="78698409" w14:textId="17668F31" w:rsidR="00653F98" w:rsidRPr="00EF3DC1" w:rsidRDefault="00653F98" w:rsidP="00EF3DC1">
            <w:pPr>
              <w:pStyle w:val="TableText"/>
            </w:pPr>
            <w:r w:rsidRPr="00EF3DC1">
              <w:t>Erlotinib or gefitinib in those with low allelic frequency</w:t>
            </w:r>
          </w:p>
        </w:tc>
        <w:tc>
          <w:tcPr>
            <w:tcW w:w="635" w:type="pct"/>
            <w:shd w:val="clear" w:color="auto" w:fill="auto"/>
          </w:tcPr>
          <w:p w14:paraId="02FB52CC" w14:textId="25F5582F" w:rsidR="00653F98" w:rsidRPr="00EF3DC1" w:rsidRDefault="00653F98" w:rsidP="00EF3DC1">
            <w:pPr>
              <w:pStyle w:val="TableText"/>
            </w:pPr>
            <w:r w:rsidRPr="00EF3DC1">
              <w:t>Disease progression</w:t>
            </w:r>
            <w:r w:rsidR="00771D36" w:rsidRPr="00EF3DC1">
              <w:t xml:space="preserve"> in high vs low allelic frequency</w:t>
            </w:r>
          </w:p>
        </w:tc>
        <w:tc>
          <w:tcPr>
            <w:tcW w:w="477" w:type="pct"/>
          </w:tcPr>
          <w:p w14:paraId="7EA40398" w14:textId="7464CE9E" w:rsidR="00653F98" w:rsidRPr="00EF3DC1" w:rsidRDefault="00653F98" w:rsidP="00EF3DC1">
            <w:pPr>
              <w:pStyle w:val="TableText"/>
            </w:pPr>
            <w:r w:rsidRPr="00EF3DC1">
              <w:t>No</w:t>
            </w:r>
          </w:p>
        </w:tc>
      </w:tr>
      <w:tr w:rsidR="00CE3A58" w:rsidRPr="00EF3DC1" w14:paraId="508584CF" w14:textId="77777777" w:rsidTr="00EF3EA2">
        <w:trPr>
          <w:cnfStyle w:val="100000000000" w:firstRow="1" w:lastRow="0" w:firstColumn="0" w:lastColumn="0" w:oddVBand="0" w:evenVBand="0" w:oddHBand="0" w:evenHBand="0" w:firstRowFirstColumn="0" w:firstRowLastColumn="0" w:lastRowFirstColumn="0" w:lastRowLastColumn="0"/>
          <w:tblHeader/>
        </w:trPr>
        <w:tc>
          <w:tcPr>
            <w:tcW w:w="603" w:type="pct"/>
            <w:shd w:val="clear" w:color="auto" w:fill="auto"/>
          </w:tcPr>
          <w:p w14:paraId="359EACA6" w14:textId="164FB783" w:rsidR="00771D36" w:rsidRPr="00EF3DC1" w:rsidRDefault="00B4668F" w:rsidP="00EF3DC1">
            <w:pPr>
              <w:pStyle w:val="TableText"/>
            </w:pPr>
            <w:r>
              <w:fldChar w:fldCharType="begin"/>
            </w:r>
            <w:r>
              <w:instrText xml:space="preserve"> ADDIN EN.CITE &lt;EndNote&gt;&lt;Cite&gt;&lt;Author&gt;Zeng&lt;/Author&gt;&lt;Year&gt;2018&lt;/Year&gt;&lt;RecNum&gt;179&lt;/RecNum&gt;&lt;IDText&gt;6937-6945&lt;/IDText&gt;&lt;DisplayText&gt;(Zeng et al. 2018)&lt;/DisplayText&gt;&lt;record&gt;&lt;rec-number&gt;179&lt;/rec-number&gt;&lt;foreign-keys&gt;&lt;key app="EN" db-id="0tprsse9cpp5r3ea5dz5p0xw2pfwvwxpa5a5" timestamp="1655264280"&gt;179&lt;/key&gt;&lt;/foreign-keys&gt;&lt;ref-type name="Journal Article"&gt;17&lt;/ref-type&gt;&lt;contributors&gt;&lt;authors&gt;&lt;author&gt;Zeng, Liang&lt;/author&gt;&lt;author&gt;Li, Yizhi&lt;/author&gt;&lt;author&gt;Xiao, Lili&lt;/author&gt;&lt;author&gt;Xiong, Yi&lt;/author&gt;&lt;author&gt;Liu, Li&lt;/author&gt;&lt;author&gt;Jiang, Wenjuan&lt;/author&gt;&lt;author&gt;Heng, Jianfu&lt;/author&gt;&lt;author&gt;Qu, Jingjing&lt;/author&gt;&lt;author&gt;Yang, Nong&lt;/author&gt;&lt;author&gt;Zhang, Yongchang&lt;/author&gt;&lt;/authors&gt;&lt;/contributors&gt;&lt;titles&gt;&lt;title&gt;Crizotinib presented with promising efficacy but for concomitant mutation in next-generation sequencing-identified ROS1-rearranged non-small-cell lung cancer&lt;/title&gt;&lt;secondary-title&gt;OncoTargets and therapy&lt;/secondary-title&gt;&lt;/titles&gt;&lt;periodical&gt;&lt;full-title&gt;OncoTargets and therapy&lt;/full-title&gt;&lt;/periodical&gt;&lt;pages&gt;6937-6945&lt;/pages&gt;&lt;volume&gt;11&lt;/volume&gt;&lt;number&gt;NA&lt;/number&gt;&lt;dates&gt;&lt;year&gt;2018&lt;/year&gt;&lt;/dates&gt;&lt;urls&gt;&lt;related-urls&gt;&lt;url&gt;https://www.dovepress.com/getfile.php?fileID=45330&lt;/url&gt;&lt;/related-urls&gt;&lt;/urls&gt;&lt;electronic-resource-num&gt;10.2147/ott.s176273&lt;/electronic-resource-num&gt;&lt;research-notes&gt;Pearled -single test to health outcomes evidence&lt;/research-notes&gt;&lt;/record&gt;&lt;/Cite&gt;&lt;/EndNote&gt;</w:instrText>
            </w:r>
            <w:r>
              <w:fldChar w:fldCharType="separate"/>
            </w:r>
            <w:r>
              <w:rPr>
                <w:noProof/>
              </w:rPr>
              <w:t>(Zeng et al. 2018)</w:t>
            </w:r>
            <w:r>
              <w:fldChar w:fldCharType="end"/>
            </w:r>
          </w:p>
          <w:p w14:paraId="327CA4A7" w14:textId="25EA6767" w:rsidR="00771D36" w:rsidRPr="00EF3DC1" w:rsidRDefault="00771D36" w:rsidP="00EF3DC1">
            <w:pPr>
              <w:pStyle w:val="TableText"/>
            </w:pPr>
            <w:r w:rsidRPr="00EF3DC1">
              <w:t>China</w:t>
            </w:r>
          </w:p>
        </w:tc>
        <w:tc>
          <w:tcPr>
            <w:tcW w:w="341" w:type="pct"/>
            <w:shd w:val="clear" w:color="auto" w:fill="auto"/>
          </w:tcPr>
          <w:p w14:paraId="72C57B66" w14:textId="6E3399C8" w:rsidR="00771D36" w:rsidRPr="00EF3DC1" w:rsidRDefault="00771D36" w:rsidP="00EF3DC1">
            <w:pPr>
              <w:pStyle w:val="TableText"/>
            </w:pPr>
            <w:r w:rsidRPr="00EF3DC1">
              <w:t>n=22</w:t>
            </w:r>
          </w:p>
        </w:tc>
        <w:tc>
          <w:tcPr>
            <w:tcW w:w="641" w:type="pct"/>
            <w:shd w:val="clear" w:color="auto" w:fill="auto"/>
          </w:tcPr>
          <w:p w14:paraId="6C2C8478" w14:textId="77777777" w:rsidR="00771D36" w:rsidRDefault="00771D36" w:rsidP="00EF3DC1">
            <w:pPr>
              <w:pStyle w:val="TableText"/>
            </w:pPr>
            <w:r w:rsidRPr="00EF3DC1">
              <w:t>Case series</w:t>
            </w:r>
          </w:p>
          <w:p w14:paraId="47A9B1E3" w14:textId="77777777" w:rsidR="00614B9B" w:rsidRDefault="00614B9B" w:rsidP="00EF3DC1">
            <w:pPr>
              <w:pStyle w:val="TableText"/>
            </w:pPr>
            <w:r>
              <w:t>Level IV</w:t>
            </w:r>
          </w:p>
          <w:p w14:paraId="1D1BE501" w14:textId="25B905E1" w:rsidR="00614B9B" w:rsidRPr="00EF3DC1" w:rsidRDefault="00614B9B" w:rsidP="00EF3DC1">
            <w:pPr>
              <w:pStyle w:val="TableText"/>
            </w:pPr>
            <w:r>
              <w:t>Low risk of bias (NHLBI for case series)</w:t>
            </w:r>
          </w:p>
        </w:tc>
        <w:tc>
          <w:tcPr>
            <w:tcW w:w="953" w:type="pct"/>
          </w:tcPr>
          <w:p w14:paraId="522D0F09" w14:textId="60F27849" w:rsidR="00771D36" w:rsidRPr="00EF3DC1" w:rsidRDefault="00771D36" w:rsidP="00EF3DC1">
            <w:pPr>
              <w:pStyle w:val="TableText"/>
            </w:pPr>
            <w:r w:rsidRPr="00EF3DC1">
              <w:t xml:space="preserve">Patients with </w:t>
            </w:r>
            <w:r w:rsidR="00881518" w:rsidRPr="00EF3DC1">
              <w:t xml:space="preserve">NSCLC and </w:t>
            </w:r>
            <w:r w:rsidR="00881518" w:rsidRPr="00EF3DC1">
              <w:rPr>
                <w:i/>
              </w:rPr>
              <w:t>ROS1</w:t>
            </w:r>
            <w:r w:rsidR="00881518" w:rsidRPr="00EF3DC1">
              <w:t xml:space="preserve"> rearrangements </w:t>
            </w:r>
          </w:p>
        </w:tc>
        <w:tc>
          <w:tcPr>
            <w:tcW w:w="635" w:type="pct"/>
          </w:tcPr>
          <w:p w14:paraId="25A6A489" w14:textId="08F0C2F4" w:rsidR="00771D36" w:rsidRPr="00EF3DC1" w:rsidRDefault="00881518" w:rsidP="00EF3DC1">
            <w:pPr>
              <w:pStyle w:val="TableText"/>
            </w:pPr>
            <w:r w:rsidRPr="00EF3DC1">
              <w:t>Crizotinib as first- second- or third-line treatment</w:t>
            </w:r>
          </w:p>
        </w:tc>
        <w:tc>
          <w:tcPr>
            <w:tcW w:w="714" w:type="pct"/>
            <w:shd w:val="clear" w:color="auto" w:fill="auto"/>
          </w:tcPr>
          <w:p w14:paraId="0502F490" w14:textId="449A37E6" w:rsidR="00771D36" w:rsidRPr="00EF3DC1" w:rsidRDefault="00881518" w:rsidP="00EF3DC1">
            <w:pPr>
              <w:pStyle w:val="TableText"/>
            </w:pPr>
            <w:r w:rsidRPr="00EF3DC1">
              <w:t>NA</w:t>
            </w:r>
          </w:p>
        </w:tc>
        <w:tc>
          <w:tcPr>
            <w:tcW w:w="635" w:type="pct"/>
            <w:shd w:val="clear" w:color="auto" w:fill="auto"/>
          </w:tcPr>
          <w:p w14:paraId="5D6CF527" w14:textId="0DAE5FE7" w:rsidR="00771D36" w:rsidRPr="00EF3DC1" w:rsidRDefault="00881518" w:rsidP="00EF3DC1">
            <w:pPr>
              <w:pStyle w:val="TableText"/>
            </w:pPr>
            <w:r w:rsidRPr="00EF3DC1">
              <w:t>Response to targeted treatment</w:t>
            </w:r>
          </w:p>
        </w:tc>
        <w:tc>
          <w:tcPr>
            <w:tcW w:w="477" w:type="pct"/>
          </w:tcPr>
          <w:p w14:paraId="3805C5E4" w14:textId="35959D30" w:rsidR="00771D36" w:rsidRPr="00EF3DC1" w:rsidRDefault="00881518" w:rsidP="00EF3DC1">
            <w:pPr>
              <w:pStyle w:val="TableText"/>
            </w:pPr>
            <w:r w:rsidRPr="00EF3DC1">
              <w:t>No</w:t>
            </w:r>
          </w:p>
        </w:tc>
      </w:tr>
    </w:tbl>
    <w:p w14:paraId="67371E5F" w14:textId="3542A58A" w:rsidR="003E47BE" w:rsidRDefault="00EF3DC1" w:rsidP="00246ADB">
      <w:pPr>
        <w:pStyle w:val="TableFigureFooter"/>
        <w:rPr>
          <w:color w:val="258221"/>
        </w:rPr>
      </w:pPr>
      <w:r w:rsidRPr="007C7AB1">
        <w:rPr>
          <w:i/>
        </w:rPr>
        <w:t>ALK</w:t>
      </w:r>
      <w:r>
        <w:t xml:space="preserve"> = </w:t>
      </w:r>
      <w:r w:rsidRPr="00561C5F">
        <w:t>anaplastic lymphoma kinase</w:t>
      </w:r>
      <w:r>
        <w:t xml:space="preserve">; </w:t>
      </w:r>
      <w:r w:rsidRPr="00152F12">
        <w:rPr>
          <w:i/>
        </w:rPr>
        <w:t>BRAF</w:t>
      </w:r>
      <w:r>
        <w:t xml:space="preserve"> = proto-oncogene B-Raf and v-Raf murine sarcoma viral oncogene homolog B;</w:t>
      </w:r>
      <w:r w:rsidRPr="007C7AB1">
        <w:rPr>
          <w:i/>
        </w:rPr>
        <w:t xml:space="preserve"> EGFR</w:t>
      </w:r>
      <w:r>
        <w:t xml:space="preserve"> = epidermal growth factor receptor; FISH = fluorescent </w:t>
      </w:r>
      <w:r w:rsidRPr="00956452">
        <w:rPr>
          <w:i/>
        </w:rPr>
        <w:t>in situ</w:t>
      </w:r>
      <w:r>
        <w:t xml:space="preserve"> hybridisation; IHC = immunohistochemistry;</w:t>
      </w:r>
      <w:r w:rsidRPr="00EF3DC1">
        <w:rPr>
          <w:i/>
        </w:rPr>
        <w:t xml:space="preserve"> </w:t>
      </w:r>
      <w:r w:rsidRPr="00152F12">
        <w:rPr>
          <w:i/>
        </w:rPr>
        <w:t>KRAS</w:t>
      </w:r>
      <w:r>
        <w:t xml:space="preserve"> = Kirsten rat sarcoma;  NA = not applicable (no comparator details, as case series only); NGS = next generation sequencing; NSCLC = non-small cell lung cancer; </w:t>
      </w:r>
      <w:r w:rsidR="003E47BE">
        <w:t xml:space="preserve">PTNB = percutaneous transthoracic needle biopsies; </w:t>
      </w:r>
      <w:r w:rsidRPr="00152F12">
        <w:rPr>
          <w:i/>
        </w:rPr>
        <w:t>RET</w:t>
      </w:r>
      <w:r>
        <w:t xml:space="preserve"> = rearranged during transfection; </w:t>
      </w:r>
      <w:r w:rsidRPr="00380685">
        <w:rPr>
          <w:i/>
        </w:rPr>
        <w:t>ROS1</w:t>
      </w:r>
      <w:r>
        <w:t xml:space="preserve"> = ROS proto-oncogene 1; </w:t>
      </w:r>
      <w:r w:rsidRPr="00EF3DC1">
        <w:t>VAF = variant allelic frequency</w:t>
      </w:r>
    </w:p>
    <w:p w14:paraId="2E61208C" w14:textId="487A98CB" w:rsidR="00660A74" w:rsidRPr="00CE28E3" w:rsidRDefault="00400BC7" w:rsidP="00674C7D">
      <w:pPr>
        <w:pStyle w:val="Heading3"/>
      </w:pPr>
      <w:bookmarkStart w:id="131" w:name="_Toc148531162"/>
      <w:r>
        <w:lastRenderedPageBreak/>
        <w:t>2</w:t>
      </w:r>
      <w:r w:rsidR="00B247AD" w:rsidRPr="00CE28E3">
        <w:t>.4.3</w:t>
      </w:r>
      <w:r w:rsidR="00B247AD" w:rsidRPr="00CE28E3">
        <w:tab/>
        <w:t>Results</w:t>
      </w:r>
      <w:bookmarkEnd w:id="131"/>
      <w:r w:rsidR="00B247AD" w:rsidRPr="00CE28E3">
        <w:t xml:space="preserve"> </w:t>
      </w:r>
    </w:p>
    <w:p w14:paraId="6541D51C" w14:textId="77777777" w:rsidR="00641D14" w:rsidRDefault="00641D14" w:rsidP="00641D14">
      <w:pPr>
        <w:pStyle w:val="Heading4"/>
      </w:pPr>
      <w:r>
        <w:t>Safety of rebiopsy</w:t>
      </w:r>
    </w:p>
    <w:p w14:paraId="29998D88" w14:textId="5A684B79" w:rsidR="00641D14" w:rsidRDefault="00641D14" w:rsidP="00641D14">
      <w:r>
        <w:t xml:space="preserve">If patients have insufficient tissue to have all their relevant biomarkers tested, then they may be rebiopsied. A systematic review on the safety of percutaneous transthoracic needle biopsies (PTNB) was identified </w:t>
      </w:r>
      <w:r w:rsidR="00B4668F">
        <w:fldChar w:fldCharType="begin">
          <w:fldData xml:space="preserve">PEVuZE5vdGU+PENpdGU+PEF1dGhvcj5OYW08L0F1dGhvcj48WWVhcj4yMDIxPC9ZZWFyPjxSZWNO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</w:fldData>
        </w:fldChar>
      </w:r>
      <w:r w:rsidR="00B4668F">
        <w:instrText xml:space="preserve"> ADDIN EN.CITE </w:instrText>
      </w:r>
      <w:r w:rsidR="00B4668F">
        <w:fldChar w:fldCharType="begin">
          <w:fldData xml:space="preserve">PEVuZE5vdGU+PENpdGU+PEF1dGhvcj5OYW08L0F1dGhvcj48WWVhcj4yMDIxPC9ZZWFyPjxSZWNO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</w:fldData>
        </w:fldChar>
      </w:r>
      <w:r w:rsidR="00B4668F">
        <w:instrText xml:space="preserve"> ADDIN EN.CITE.DATA </w:instrText>
      </w:r>
      <w:r w:rsidR="00B4668F">
        <w:fldChar w:fldCharType="end"/>
      </w:r>
      <w:r w:rsidR="00B4668F">
        <w:fldChar w:fldCharType="separate"/>
      </w:r>
      <w:r w:rsidR="00B4668F">
        <w:rPr>
          <w:noProof/>
        </w:rPr>
        <w:t>(Nam et al. 2021)</w:t>
      </w:r>
      <w:r w:rsidR="00B4668F">
        <w:fldChar w:fldCharType="end"/>
      </w:r>
      <w:r>
        <w:t xml:space="preserve">. One of the main indications for PTNB in NSCLC is for the purposes of obtaining tumour tissue for molecular analysis to identify targetable variants. Two subgroups were included: those undergoing initial biopsy, and those undergoing rebiopsy after chemotherapy or targeted therapy. No mention was made of rebiopsy due to insufficient tissue from the initial biopsy. A total of 16 studies were included, reporting on the complication rate of PTNB. The overall rate was 17% (95%CI 12%, 23%), with no statistically significant difference between subgroups. The most common complication was pneumothorax (collapsed lung), with a pooled incidence of 9.2% (95%CI 4.0%, 15.7%). Six studies reported </w:t>
      </w:r>
      <w:r w:rsidR="00DE60C3">
        <w:t>haemoptysis</w:t>
      </w:r>
      <w:r>
        <w:t xml:space="preserve"> (coughing up blood from lungs), with rates varying between 0.5% and 21%. </w:t>
      </w:r>
      <w:r w:rsidR="000935B4">
        <w:t xml:space="preserve">Major adverse events occurred in less than 1% of patients. </w:t>
      </w:r>
      <w:r>
        <w:t>The authors of the meta-analysis concluded that the use of PTNB is effective and safe</w:t>
      </w:r>
      <w:r w:rsidR="004867C5">
        <w:t>.</w:t>
      </w:r>
    </w:p>
    <w:p w14:paraId="3891B47A" w14:textId="5EA78F15" w:rsidR="004867C5" w:rsidRPr="007F3DF8" w:rsidRDefault="004867C5" w:rsidP="00641D14">
      <w:r>
        <w:t xml:space="preserve">The observational nature of the studies, and large heterogeneity mean that the certainty of the evidence is rated as low (GRADE </w:t>
      </w:r>
      <w:r w:rsidRPr="004867C5">
        <w:rPr>
          <w:rFonts w:ascii="Cambria Math" w:hAnsi="Cambria Math" w:cs="Cambria Math"/>
          <w:color w:val="00B050"/>
        </w:rPr>
        <w:t>⊕⊕</w:t>
      </w:r>
      <w:r w:rsidRPr="004867C5">
        <w:rPr>
          <w:rFonts w:ascii="Cambria Math" w:hAnsi="Cambria Math" w:cs="Cambria Math"/>
          <w:color w:val="C00000"/>
        </w:rPr>
        <w:t>⊝⊝</w:t>
      </w:r>
      <w:r>
        <w:t>).</w:t>
      </w:r>
    </w:p>
    <w:p w14:paraId="02D765A3" w14:textId="77777777" w:rsidR="00641D14" w:rsidRDefault="00641D14" w:rsidP="00641D14">
      <w:pPr>
        <w:keepNext/>
      </w:pPr>
      <w:r w:rsidRPr="009A14EF">
        <w:rPr>
          <w:noProof/>
          <w:lang w:eastAsia="en-AU"/>
        </w:rPr>
        <w:drawing>
          <wp:inline distT="0" distB="0" distL="0" distR="0" wp14:anchorId="77FFB84B" wp14:editId="354ACA5E">
            <wp:extent cx="5872854" cy="2869211"/>
            <wp:effectExtent l="0" t="0" r="0" b="7620"/>
            <wp:docPr id="18" name="Picture 18" descr="Forest plot of complication rates of percutaneous transthoracic needle biopsy for molecular analysis in NSCLC " title="Forest plot of complication rates of percutaneous transthoracic needle biopsy for molecular analysis in NSCL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309"/>
                    <a:stretch/>
                  </pic:blipFill>
                  <pic:spPr bwMode="auto">
                    <a:xfrm>
                      <a:off x="0" y="0"/>
                      <a:ext cx="5881830" cy="2873596"/>
                    </a:xfrm>
                    <a:prstGeom prst="rect">
                      <a:avLst/>
                    </a:prstGeom>
                    <a:ln>
                      <a:noFill/>
                    </a:ln>
                    <a:extLst>
                      <a:ext uri="{53640926-AAD7-44D8-BBD7-CCE9431645EC}">
                        <a14:shadowObscured xmlns:a14="http://schemas.microsoft.com/office/drawing/2010/main"/>
                      </a:ext>
                    </a:extLst>
                  </pic:spPr>
                </pic:pic>
              </a:graphicData>
            </a:graphic>
          </wp:inline>
        </w:drawing>
      </w:r>
    </w:p>
    <w:p w14:paraId="1C62DFC8" w14:textId="70479490" w:rsidR="00641D14" w:rsidRDefault="00641D14" w:rsidP="00641D14">
      <w:pPr>
        <w:pStyle w:val="Caption"/>
      </w:pPr>
      <w:r>
        <w:t xml:space="preserve">Figure </w:t>
      </w:r>
      <w:fldSimple w:instr=" SEQ Figure \* ARABIC ">
        <w:r w:rsidR="00C857F3">
          <w:rPr>
            <w:noProof/>
          </w:rPr>
          <w:t>10</w:t>
        </w:r>
      </w:fldSimple>
      <w:r w:rsidR="000935B4">
        <w:rPr>
          <w:noProof/>
        </w:rPr>
        <w:t xml:space="preserve"> </w:t>
      </w:r>
      <w:r>
        <w:t xml:space="preserve">Forest plot of complication rates of percutaneous transthoracic needle biopsy for molecular analysis in NSCLC </w:t>
      </w:r>
    </w:p>
    <w:p w14:paraId="182FACAA" w14:textId="5AB4B42D" w:rsidR="00641D14" w:rsidRDefault="00641D14" w:rsidP="00641D14">
      <w:pPr>
        <w:pStyle w:val="TableFooter"/>
      </w:pPr>
      <w:r>
        <w:t xml:space="preserve">Source: </w:t>
      </w:r>
      <w:r w:rsidR="00B4668F">
        <w:fldChar w:fldCharType="begin">
          <w:fldData xml:space="preserve">PEVuZE5vdGU+PENpdGU+PEF1dGhvcj5OYW08L0F1dGhvcj48WWVhcj4yMDIxPC9ZZWFyPjxSZWNO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</w:fldData>
        </w:fldChar>
      </w:r>
      <w:r w:rsidR="00B4668F">
        <w:instrText xml:space="preserve"> ADDIN EN.CITE </w:instrText>
      </w:r>
      <w:r w:rsidR="00B4668F">
        <w:fldChar w:fldCharType="begin">
          <w:fldData xml:space="preserve">PEVuZE5vdGU+PENpdGU+PEF1dGhvcj5OYW08L0F1dGhvcj48WWVhcj4yMDIxPC9ZZWFyPjxSZWNO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</w:fldData>
        </w:fldChar>
      </w:r>
      <w:r w:rsidR="00B4668F">
        <w:instrText xml:space="preserve"> ADDIN EN.CITE.DATA </w:instrText>
      </w:r>
      <w:r w:rsidR="00B4668F">
        <w:fldChar w:fldCharType="end"/>
      </w:r>
      <w:r w:rsidR="00B4668F">
        <w:fldChar w:fldCharType="separate"/>
      </w:r>
      <w:r w:rsidR="00B4668F">
        <w:rPr>
          <w:noProof/>
        </w:rPr>
        <w:t>(Nam et al. 2021)</w:t>
      </w:r>
      <w:r w:rsidR="00B4668F">
        <w:fldChar w:fldCharType="end"/>
      </w:r>
      <w:r>
        <w:t xml:space="preserve">, p2089. Reproduced with permission under Creative Commons CC BY-NC 4.0. </w:t>
      </w:r>
    </w:p>
    <w:p w14:paraId="285AE8D6" w14:textId="08A69BA1" w:rsidR="004867C5" w:rsidRPr="009A14EF" w:rsidRDefault="004867C5" w:rsidP="00641D14">
      <w:pPr>
        <w:pStyle w:val="TableFooter"/>
      </w:pPr>
    </w:p>
    <w:p w14:paraId="32078D83" w14:textId="14A4B4C9" w:rsidR="00F45655" w:rsidRDefault="00F45655" w:rsidP="00F45655">
      <w:pPr>
        <w:pStyle w:val="Heading4"/>
      </w:pPr>
      <w:r>
        <w:t xml:space="preserve">Effectiveness of targeted treatments in </w:t>
      </w:r>
      <w:r w:rsidR="00AA1320">
        <w:t>incrementally diagnosed patients</w:t>
      </w:r>
      <w:r>
        <w:t xml:space="preserve"> </w:t>
      </w:r>
    </w:p>
    <w:p w14:paraId="6550977A" w14:textId="0C7C32A3" w:rsidR="0056559A" w:rsidRDefault="0056559A" w:rsidP="0056559A">
      <w:pPr>
        <w:pStyle w:val="Heading5"/>
        <w:rPr>
          <w:i/>
        </w:rPr>
      </w:pPr>
      <w:r>
        <w:rPr>
          <w:i/>
        </w:rPr>
        <w:t xml:space="preserve">Targeted therapies vs non-targeted therapies </w:t>
      </w:r>
    </w:p>
    <w:p w14:paraId="13AF4E4A" w14:textId="6305269B" w:rsidR="00B61408" w:rsidRPr="00B61408" w:rsidRDefault="00B61408" w:rsidP="00B61408">
      <w:r>
        <w:t xml:space="preserve">The superiority of targeted therapies over non-targeted therapies for those with biomarkers has been demonstrated in submissions to the PBS for erlotinib, gefitinib, afatinib, osimertinib, crizotinib, ceritinib, alectinib, brigatinib, lorlatinib, entrectinib, and tepotinib. </w:t>
      </w:r>
      <w:r w:rsidR="008E518D">
        <w:t xml:space="preserve">However, the population identified with biomarkers by the clinical utility standards in </w:t>
      </w:r>
      <w:r w:rsidR="008E518D" w:rsidRPr="00224D0F">
        <w:t>the key trials</w:t>
      </w:r>
      <w:r w:rsidR="008E518D">
        <w:t xml:space="preserve"> </w:t>
      </w:r>
      <w:r w:rsidR="00224D0F">
        <w:t xml:space="preserve">may differ slightly from the population identified by small NGS panels. </w:t>
      </w:r>
    </w:p>
    <w:p w14:paraId="5FD010B7" w14:textId="32C146C1" w:rsidR="0056559A" w:rsidRDefault="0056559A" w:rsidP="0056559A">
      <w:r>
        <w:lastRenderedPageBreak/>
        <w:t xml:space="preserve">Kim et al. (2021) reported on a case series of patients with NSCLC who underwent </w:t>
      </w:r>
      <w:r w:rsidR="004117C5">
        <w:t>NGS and</w:t>
      </w:r>
      <w:r>
        <w:t xml:space="preserve"> did or did not receive targeted treatment. Of 247 patients with metastatic or recurrent disease who had actionable variants identified by NGS, targeted therapy was given to 159 patients (64.4%). It was reported that 88 patients (35.6%) could not receive targeted therapy, although the reasons for this were not provided. In those with actionable variants who received targeted therapy, the median overall survival was significantly longer than those with actionable variants who could not receive targeted therapy (60.5 vs 26.0 months, p&lt;0.001), although it is unknown whether this is due to confounding factors (such as patients with a poor prognosis not being eligible for targeted therapy), or due to the effectiveness of targeted treatments </w:t>
      </w:r>
      <w:r w:rsidR="00B4668F">
        <w:fldChar w:fldCharType="begin"/>
      </w:r>
      <w:r w:rsidR="00B4668F">
        <w:instrText xml:space="preserve"> ADDIN EN.CITE &lt;EndNote&gt;&lt;Cite&gt;&lt;Author&gt;Kim&lt;/Author&gt;&lt;Year&gt;2021&lt;/Year&gt;&lt;RecNum&gt;165&lt;/RecNum&gt;&lt;IDText&gt;3197-3204&lt;/IDText&gt;&lt;DisplayText&gt;(Kim et al. 2021)&lt;/DisplayText&gt;&lt;record&gt;&lt;rec-number&gt;165&lt;/rec-number&gt;&lt;foreign-keys&gt;&lt;key app="EN" db-id="0tprsse9cpp5r3ea5dz5p0xw2pfwvwxpa5a5" timestamp="1655264278"&gt;165&lt;/key&gt;&lt;/foreign-keys&gt;&lt;ref-type name="Journal Article"&gt;17&lt;/ref-type&gt;&lt;contributors&gt;&lt;authors&gt;&lt;author&gt;Kim, J. H.&lt;/author&gt;&lt;author&gt;Yoon, Shinkyo&lt;/author&gt;&lt;author&gt;Lee, Dae Ho&lt;/author&gt;&lt;author&gt;Jang, Jin&lt;/author&gt;&lt;author&gt;Chun, Sung-Min&lt;/author&gt;&lt;author&gt;Kim, Sang-We&lt;/author&gt;&lt;/authors&gt;&lt;/contributors&gt;&lt;titles&gt;&lt;title&gt;Real-world utility of next-generation sequencing for targeted gene analysis and its application to treatment in lung adenocarcinoma&lt;/title&gt;&lt;secondary-title&gt;Cancer medicine&lt;/secondary-title&gt;&lt;/titles&gt;&lt;periodical&gt;&lt;full-title&gt;Cancer Medicine&lt;/full-title&gt;&lt;/periodical&gt;&lt;pages&gt;3197-3204&lt;/pages&gt;&lt;volume&gt;10&lt;/volume&gt;&lt;number&gt;10&lt;/number&gt;&lt;dates&gt;&lt;year&gt;2021&lt;/year&gt;&lt;/dates&gt;&lt;urls&gt;&lt;related-urls&gt;&lt;url&gt;https://www.ncbi.nlm.nih.gov/pmc/articles/PMC8124124/pdf/CAM4-10-3197.pdf&lt;/url&gt;&lt;/related-urls&gt;&lt;/urls&gt;&lt;electronic-resource-num&gt;10.1002/cam4.3874&lt;/electronic-resource-num&gt;&lt;research-notes&gt;P - Concordance on EGFR&lt;/research-notes&gt;&lt;/record&gt;&lt;/Cite&gt;&lt;/EndNote&gt;</w:instrText>
      </w:r>
      <w:r w:rsidR="00B4668F">
        <w:fldChar w:fldCharType="separate"/>
      </w:r>
      <w:r w:rsidR="00B4668F">
        <w:rPr>
          <w:noProof/>
        </w:rPr>
        <w:t>(Kim et al. 2021)</w:t>
      </w:r>
      <w:r w:rsidR="00B4668F">
        <w:fldChar w:fldCharType="end"/>
      </w:r>
      <w:r>
        <w:t xml:space="preserve">. However, in a multivariate analysis, adjusting for ECOG score, those with actionable variants treated with targeted therapy still had significantly better survival than those with (HR = 2.58, 95%CI 1.57, 4.25) or without actionable variants (HR = 3.84, 95%CI 2.44, 6.05) who did not receive targeted therapy. </w:t>
      </w:r>
    </w:p>
    <w:p w14:paraId="4A842F15" w14:textId="77777777" w:rsidR="00224D0F" w:rsidRDefault="00224D0F" w:rsidP="00224D0F">
      <w:pPr>
        <w:keepNext/>
      </w:pPr>
      <w:r w:rsidRPr="00224D0F">
        <w:rPr>
          <w:noProof/>
          <w:lang w:eastAsia="en-AU"/>
        </w:rPr>
        <w:drawing>
          <wp:inline distT="0" distB="0" distL="0" distR="0" wp14:anchorId="05E8860D" wp14:editId="0B3EB595">
            <wp:extent cx="5731510" cy="3176270"/>
            <wp:effectExtent l="0" t="0" r="2540" b="5080"/>
            <wp:docPr id="8" name="Picture 8" descr="Kaplan-Meier plot showing survival of patients with actionable variants (AM) with and without targeted therapy and survival of patients without actionable variants identified by NGS panel" title="Kaplan-Meier plot showing survival of patients with actionable variants (AM) with and without targeted therapy and survival of patients without actionable variants identified by NG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76270"/>
                    </a:xfrm>
                    <a:prstGeom prst="rect">
                      <a:avLst/>
                    </a:prstGeom>
                  </pic:spPr>
                </pic:pic>
              </a:graphicData>
            </a:graphic>
          </wp:inline>
        </w:drawing>
      </w:r>
    </w:p>
    <w:p w14:paraId="01111B0E" w14:textId="3EF45E0B" w:rsidR="00224D0F" w:rsidRDefault="00224D0F" w:rsidP="00224D0F">
      <w:pPr>
        <w:pStyle w:val="Caption"/>
      </w:pPr>
      <w:r>
        <w:t xml:space="preserve">Figure </w:t>
      </w:r>
      <w:fldSimple w:instr=" SEQ Figure \* ARABIC ">
        <w:r w:rsidR="00C857F3">
          <w:rPr>
            <w:noProof/>
          </w:rPr>
          <w:t>11</w:t>
        </w:r>
      </w:fldSimple>
      <w:r>
        <w:tab/>
        <w:t>Kaplan-Meier plot showing survival of patients with actionable variants (AM) with and without targeted therapy and survival of patients without actionable variants</w:t>
      </w:r>
      <w:r w:rsidR="004C3F17">
        <w:t xml:space="preserve"> identified by NGS panel</w:t>
      </w:r>
    </w:p>
    <w:p w14:paraId="3CE4A27C" w14:textId="2E3EE230" w:rsidR="00224D0F" w:rsidRDefault="00224D0F" w:rsidP="00224D0F">
      <w:pPr>
        <w:pStyle w:val="TableFooter"/>
      </w:pPr>
      <w:r>
        <w:t xml:space="preserve">Source: Figure 3©, p 3202 </w:t>
      </w:r>
      <w:r w:rsidR="00B4668F">
        <w:fldChar w:fldCharType="begin"/>
      </w:r>
      <w:r w:rsidR="00B4668F">
        <w:instrText xml:space="preserve"> ADDIN EN.CITE &lt;EndNote&gt;&lt;Cite&gt;&lt;Author&gt;Kim&lt;/Author&gt;&lt;Year&gt;2021&lt;/Year&gt;&lt;RecNum&gt;165&lt;/RecNum&gt;&lt;IDText&gt;3197-3204&lt;/IDText&gt;&lt;DisplayText&gt;(Kim et al. 2021)&lt;/DisplayText&gt;&lt;record&gt;&lt;rec-number&gt;165&lt;/rec-number&gt;&lt;foreign-keys&gt;&lt;key app="EN" db-id="0tprsse9cpp5r3ea5dz5p0xw2pfwvwxpa5a5" timestamp="1655264278"&gt;165&lt;/key&gt;&lt;/foreign-keys&gt;&lt;ref-type name="Journal Article"&gt;17&lt;/ref-type&gt;&lt;contributors&gt;&lt;authors&gt;&lt;author&gt;Kim, J. H.&lt;/author&gt;&lt;author&gt;Yoon, Shinkyo&lt;/author&gt;&lt;author&gt;Lee, Dae Ho&lt;/author&gt;&lt;author&gt;Jang, Jin&lt;/author&gt;&lt;author&gt;Chun, Sung-Min&lt;/author&gt;&lt;author&gt;Kim, Sang-We&lt;/author&gt;&lt;/authors&gt;&lt;/contributors&gt;&lt;titles&gt;&lt;title&gt;Real-world utility of next-generation sequencing for targeted gene analysis and its application to treatment in lung adenocarcinoma&lt;/title&gt;&lt;secondary-title&gt;Cancer medicine&lt;/secondary-title&gt;&lt;/titles&gt;&lt;periodical&gt;&lt;full-title&gt;Cancer Medicine&lt;/full-title&gt;&lt;/periodical&gt;&lt;pages&gt;3197-3204&lt;/pages&gt;&lt;volume&gt;10&lt;/volume&gt;&lt;number&gt;10&lt;/number&gt;&lt;dates&gt;&lt;year&gt;2021&lt;/year&gt;&lt;/dates&gt;&lt;urls&gt;&lt;related-urls&gt;&lt;url&gt;https://www.ncbi.nlm.nih.gov/pmc/articles/PMC8124124/pdf/CAM4-10-3197.pdf&lt;/url&gt;&lt;/related-urls&gt;&lt;/urls&gt;&lt;electronic-resource-num&gt;10.1002/cam4.3874&lt;/electronic-resource-num&gt;&lt;research-notes&gt;P - Concordance on EGFR&lt;/research-notes&gt;&lt;/record&gt;&lt;/Cite&gt;&lt;/EndNote&gt;</w:instrText>
      </w:r>
      <w:r w:rsidR="00B4668F">
        <w:fldChar w:fldCharType="separate"/>
      </w:r>
      <w:r w:rsidR="00B4668F">
        <w:rPr>
          <w:noProof/>
        </w:rPr>
        <w:t>(Kim et al. 2021)</w:t>
      </w:r>
      <w:r w:rsidR="00B4668F">
        <w:fldChar w:fldCharType="end"/>
      </w:r>
      <w:r>
        <w:t>. Reproduced under Creative Commons Attribution License</w:t>
      </w:r>
    </w:p>
    <w:p w14:paraId="0A6CFB1A" w14:textId="28E9EFF2" w:rsidR="003358C4" w:rsidRDefault="003358C4" w:rsidP="00224D0F">
      <w:pPr>
        <w:pStyle w:val="TableFooter"/>
      </w:pPr>
      <w:r>
        <w:t>AM = actionable mutation (variant); mo = months</w:t>
      </w:r>
    </w:p>
    <w:p w14:paraId="7446428A" w14:textId="77777777" w:rsidR="003E2821" w:rsidRPr="00224D0F" w:rsidRDefault="003E2821" w:rsidP="00224D0F">
      <w:pPr>
        <w:pStyle w:val="TableFooter"/>
      </w:pPr>
    </w:p>
    <w:p w14:paraId="615D346E" w14:textId="148213EA" w:rsidR="00B8021B" w:rsidRDefault="00B8021B" w:rsidP="00B8021B">
      <w:pPr>
        <w:pStyle w:val="Heading5"/>
        <w:rPr>
          <w:i/>
        </w:rPr>
      </w:pPr>
      <w:r>
        <w:rPr>
          <w:i/>
        </w:rPr>
        <w:t>Treatment of discordant EGFR results</w:t>
      </w:r>
    </w:p>
    <w:p w14:paraId="5D42A2F1" w14:textId="6E243F11" w:rsidR="007B49C8" w:rsidRPr="007B49C8" w:rsidRDefault="007B49C8" w:rsidP="007B49C8">
      <w:r>
        <w:t xml:space="preserve">Only two studies identified in the systematic review reported on the health outcomes of patients who had discordant </w:t>
      </w:r>
      <w:r>
        <w:rPr>
          <w:i/>
        </w:rPr>
        <w:t>EGFR</w:t>
      </w:r>
      <w:r>
        <w:t xml:space="preserve"> results on NGS and non-NGS testing. The very limited evidence suggested that patients </w:t>
      </w:r>
      <w:r w:rsidR="00791C9E">
        <w:t xml:space="preserve">with tumours that were </w:t>
      </w:r>
      <w:r>
        <w:t xml:space="preserve">positive on NGS and negative on alternative testing may respond to afatinib or erlotinib, whereas a </w:t>
      </w:r>
      <w:r w:rsidR="00791C9E">
        <w:t>tumour which</w:t>
      </w:r>
      <w:r>
        <w:t xml:space="preserve"> was negative on NGS and positive on single-gene testing did not respond to osimertinib. These were essentially a collection of case reports, and too limited to make any conclusions on the effectiveness of </w:t>
      </w:r>
      <w:r>
        <w:rPr>
          <w:i/>
        </w:rPr>
        <w:t xml:space="preserve">EGFR </w:t>
      </w:r>
      <w:r>
        <w:t xml:space="preserve">TKIs in patients. Further evidence was therefore sought to determine the effectiveness of </w:t>
      </w:r>
      <w:r>
        <w:rPr>
          <w:i/>
        </w:rPr>
        <w:t>EGFR</w:t>
      </w:r>
      <w:r>
        <w:t xml:space="preserve"> TKIs in patients with uncommon variants (potentially missed by single-gene tests), and in those with low variant allelic frequency. </w:t>
      </w:r>
    </w:p>
    <w:p w14:paraId="60838A40" w14:textId="27F72B29" w:rsidR="00B8021B" w:rsidRDefault="00B8021B" w:rsidP="00B8021B">
      <w:pPr>
        <w:pStyle w:val="Caption"/>
      </w:pPr>
      <w:r>
        <w:lastRenderedPageBreak/>
        <w:t xml:space="preserve">Table </w:t>
      </w:r>
      <w:fldSimple w:instr=" SEQ Table \* ARABIC ">
        <w:r w:rsidR="00C857F3">
          <w:rPr>
            <w:noProof/>
          </w:rPr>
          <w:t>39</w:t>
        </w:r>
      </w:fldSimple>
      <w:r>
        <w:tab/>
        <w:t>Studies which mention treatment in discordant cases between NGS and single-gene testing for EGFR</w:t>
      </w:r>
    </w:p>
    <w:tbl>
      <w:tblPr>
        <w:tblStyle w:val="TableGrid"/>
        <w:tblW w:w="5000" w:type="pct"/>
        <w:tblLook w:val="04A0" w:firstRow="1" w:lastRow="0" w:firstColumn="1" w:lastColumn="0" w:noHBand="0" w:noVBand="1"/>
        <w:tblCaption w:val="Studies which mention treatment in discordant cases between NGS and single-gene testing for EGFR"/>
        <w:tblDescription w:val="Studies which mention treatment in discordant cases between NGS and single-gene testing for EGFR"/>
      </w:tblPr>
      <w:tblGrid>
        <w:gridCol w:w="1233"/>
        <w:gridCol w:w="1984"/>
        <w:gridCol w:w="1105"/>
        <w:gridCol w:w="2308"/>
        <w:gridCol w:w="2386"/>
      </w:tblGrid>
      <w:tr w:rsidR="000116E6" w14:paraId="38FD1CFB" w14:textId="61C8E63D" w:rsidTr="003A6029">
        <w:trPr>
          <w:tblHeader/>
        </w:trPr>
        <w:tc>
          <w:tcPr>
            <w:tcW w:w="684" w:type="pct"/>
          </w:tcPr>
          <w:p w14:paraId="315BA646" w14:textId="77777777" w:rsidR="000116E6" w:rsidRDefault="000116E6" w:rsidP="003515CE">
            <w:pPr>
              <w:pStyle w:val="TableHeading"/>
            </w:pPr>
            <w:r>
              <w:t>Study</w:t>
            </w:r>
          </w:p>
        </w:tc>
        <w:tc>
          <w:tcPr>
            <w:tcW w:w="1100" w:type="pct"/>
          </w:tcPr>
          <w:p w14:paraId="240689EC" w14:textId="77777777" w:rsidR="000116E6" w:rsidRDefault="000116E6" w:rsidP="003515CE">
            <w:pPr>
              <w:pStyle w:val="TableHeading"/>
            </w:pPr>
            <w:r>
              <w:t>Population</w:t>
            </w:r>
          </w:p>
        </w:tc>
        <w:tc>
          <w:tcPr>
            <w:tcW w:w="613" w:type="pct"/>
          </w:tcPr>
          <w:p w14:paraId="29E5E8F2" w14:textId="11332DAE" w:rsidR="000116E6" w:rsidRDefault="000116E6" w:rsidP="003515CE">
            <w:pPr>
              <w:pStyle w:val="TableHeading"/>
            </w:pPr>
            <w:r>
              <w:t>Result subsets</w:t>
            </w:r>
          </w:p>
        </w:tc>
        <w:tc>
          <w:tcPr>
            <w:tcW w:w="1280" w:type="pct"/>
          </w:tcPr>
          <w:p w14:paraId="060CED6D" w14:textId="5E7A448E" w:rsidR="000116E6" w:rsidRDefault="000116E6" w:rsidP="007B49C8">
            <w:pPr>
              <w:pStyle w:val="TableHeading"/>
            </w:pPr>
            <w:r>
              <w:t xml:space="preserve">Treatments </w:t>
            </w:r>
            <w:r w:rsidR="007B49C8">
              <w:t>prescribed</w:t>
            </w:r>
          </w:p>
        </w:tc>
        <w:tc>
          <w:tcPr>
            <w:tcW w:w="1323" w:type="pct"/>
          </w:tcPr>
          <w:p w14:paraId="73359909" w14:textId="569A2E90" w:rsidR="000116E6" w:rsidRDefault="000116E6" w:rsidP="003515CE">
            <w:pPr>
              <w:pStyle w:val="TableHeading"/>
            </w:pPr>
            <w:r>
              <w:t>Health outcomes</w:t>
            </w:r>
          </w:p>
        </w:tc>
      </w:tr>
      <w:tr w:rsidR="000116E6" w14:paraId="508009B3" w14:textId="58303206" w:rsidTr="00C77056">
        <w:tc>
          <w:tcPr>
            <w:tcW w:w="684" w:type="pct"/>
          </w:tcPr>
          <w:p w14:paraId="10EA5E60" w14:textId="50904680" w:rsidR="000116E6" w:rsidRPr="005155BB" w:rsidRDefault="00B4668F" w:rsidP="00B4668F">
            <w:pPr>
              <w:pStyle w:val="Tabletext0"/>
            </w:pP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 </w:instrText>
            </w: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EN.CITE.DATA </w:instrText>
            </w:r>
            <w:r>
              <w:fldChar w:fldCharType="end"/>
            </w:r>
            <w:r>
              <w:fldChar w:fldCharType="separate"/>
            </w:r>
            <w:r>
              <w:rPr>
                <w:noProof/>
              </w:rPr>
              <w:t>(Sakaguchi et al. 2021)</w:t>
            </w:r>
            <w:r>
              <w:fldChar w:fldCharType="end"/>
            </w:r>
          </w:p>
        </w:tc>
        <w:tc>
          <w:tcPr>
            <w:tcW w:w="1100" w:type="pct"/>
          </w:tcPr>
          <w:p w14:paraId="0A3339E2" w14:textId="4473C93C" w:rsidR="000116E6" w:rsidRDefault="000116E6" w:rsidP="003515CE">
            <w:pPr>
              <w:pStyle w:val="Tabletext0"/>
              <w:jc w:val="left"/>
            </w:pPr>
            <w:r>
              <w:t xml:space="preserve">4 patients with NSCLC and discordant results from Oncomine Dx Target Test and PNA-LNA clamp test from consecutive NSCLC patients </w:t>
            </w:r>
          </w:p>
        </w:tc>
        <w:tc>
          <w:tcPr>
            <w:tcW w:w="613" w:type="pct"/>
          </w:tcPr>
          <w:p w14:paraId="6A403EA2" w14:textId="23898894" w:rsidR="000116E6" w:rsidRDefault="000116E6" w:rsidP="000116E6">
            <w:pPr>
              <w:pStyle w:val="Tabletext0"/>
              <w:jc w:val="left"/>
            </w:pPr>
            <w:r>
              <w:t>NGS- / PNA-LNA+</w:t>
            </w:r>
          </w:p>
        </w:tc>
        <w:tc>
          <w:tcPr>
            <w:tcW w:w="1280" w:type="pct"/>
          </w:tcPr>
          <w:p w14:paraId="5EF506FF" w14:textId="77777777" w:rsidR="000116E6" w:rsidRDefault="000116E6" w:rsidP="003515CE">
            <w:pPr>
              <w:pStyle w:val="Tabletext0"/>
              <w:jc w:val="left"/>
            </w:pPr>
            <w:r>
              <w:t>4</w:t>
            </w:r>
            <w:r w:rsidRPr="00AA1ACC">
              <w:t xml:space="preserve"> discordant cases </w:t>
            </w:r>
          </w:p>
          <w:p w14:paraId="00F247F1" w14:textId="77777777" w:rsidR="000116E6" w:rsidRDefault="000116E6" w:rsidP="003515CE">
            <w:pPr>
              <w:pStyle w:val="Tabletext0"/>
              <w:jc w:val="left"/>
            </w:pPr>
            <w:r w:rsidRPr="00AA1ACC">
              <w:t>2 received osimer</w:t>
            </w:r>
            <w:r>
              <w:t>tinib (and would not have, based on NGS)(50% of discordant)</w:t>
            </w:r>
            <w:r w:rsidRPr="00AA1ACC">
              <w:t>.</w:t>
            </w:r>
            <w:r>
              <w:t xml:space="preserve"> </w:t>
            </w:r>
          </w:p>
          <w:p w14:paraId="69BE9C53" w14:textId="77777777" w:rsidR="000116E6" w:rsidRPr="00AA1ACC" w:rsidRDefault="000116E6" w:rsidP="003515CE">
            <w:pPr>
              <w:pStyle w:val="Tabletext0"/>
              <w:jc w:val="left"/>
            </w:pPr>
            <w:r>
              <w:t>2 had early stage disease and underwent surgery (no change in management)</w:t>
            </w:r>
          </w:p>
        </w:tc>
        <w:tc>
          <w:tcPr>
            <w:tcW w:w="1323" w:type="pct"/>
          </w:tcPr>
          <w:p w14:paraId="475E05B3" w14:textId="77777777" w:rsidR="000116E6" w:rsidRDefault="000116E6" w:rsidP="003515CE">
            <w:pPr>
              <w:pStyle w:val="Tabletext0"/>
              <w:jc w:val="left"/>
            </w:pPr>
            <w:r>
              <w:t>1/2 had progression early after administration of EGFR-TKI</w:t>
            </w:r>
          </w:p>
          <w:p w14:paraId="4BFC013F" w14:textId="3873ED9F" w:rsidR="000116E6" w:rsidRDefault="000116E6" w:rsidP="003515CE">
            <w:pPr>
              <w:pStyle w:val="Tabletext0"/>
              <w:jc w:val="left"/>
            </w:pPr>
            <w:r>
              <w:t>1/2 could not have their response assessed due to adverse event o</w:t>
            </w:r>
            <w:r w:rsidR="007B49C8">
              <w:t>f</w:t>
            </w:r>
            <w:r>
              <w:t xml:space="preserve"> pneumonitis. </w:t>
            </w:r>
          </w:p>
        </w:tc>
      </w:tr>
      <w:tr w:rsidR="000116E6" w14:paraId="312F373B" w14:textId="1DC8AB66" w:rsidTr="00C77056">
        <w:tc>
          <w:tcPr>
            <w:tcW w:w="684" w:type="pct"/>
          </w:tcPr>
          <w:p w14:paraId="5B00EC65" w14:textId="2D663099" w:rsidR="000116E6" w:rsidRPr="00BF56FA" w:rsidRDefault="00B4668F" w:rsidP="00B4668F">
            <w:pPr>
              <w:pStyle w:val="Tabletext0"/>
            </w:pP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 </w:instrText>
            </w: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EN.CITE.DATA </w:instrText>
            </w:r>
            <w:r>
              <w:fldChar w:fldCharType="end"/>
            </w:r>
            <w:r>
              <w:fldChar w:fldCharType="separate"/>
            </w:r>
            <w:r>
              <w:rPr>
                <w:noProof/>
              </w:rPr>
              <w:t>(Schrock et al. 2016)</w:t>
            </w:r>
            <w:r>
              <w:fldChar w:fldCharType="end"/>
            </w:r>
          </w:p>
        </w:tc>
        <w:tc>
          <w:tcPr>
            <w:tcW w:w="1100" w:type="pct"/>
          </w:tcPr>
          <w:p w14:paraId="4D79CCC3" w14:textId="3AF59461" w:rsidR="000116E6" w:rsidRPr="00615C9F" w:rsidRDefault="000116E6" w:rsidP="000116E6">
            <w:pPr>
              <w:pStyle w:val="Tabletext0"/>
              <w:jc w:val="left"/>
            </w:pPr>
            <w:r>
              <w:t xml:space="preserve">12 patients with </w:t>
            </w:r>
            <w:r>
              <w:rPr>
                <w:i/>
              </w:rPr>
              <w:t>EGFR</w:t>
            </w:r>
            <w:r>
              <w:t xml:space="preserve"> variants found by Hybrid-capture based NGS and missed by previous </w:t>
            </w:r>
            <w:r>
              <w:rPr>
                <w:i/>
              </w:rPr>
              <w:t xml:space="preserve">EGFR </w:t>
            </w:r>
            <w:r>
              <w:t>test (non hybrid capture based assay)</w:t>
            </w:r>
          </w:p>
        </w:tc>
        <w:tc>
          <w:tcPr>
            <w:tcW w:w="613" w:type="pct"/>
          </w:tcPr>
          <w:p w14:paraId="54B12829" w14:textId="68B9FDBE" w:rsidR="000116E6" w:rsidRPr="00615C9F" w:rsidRDefault="007B49C8" w:rsidP="003515CE">
            <w:pPr>
              <w:pStyle w:val="Tabletext0"/>
              <w:jc w:val="left"/>
            </w:pPr>
            <w:r>
              <w:t>NGS+/ non-hybrid-based capture test-</w:t>
            </w:r>
          </w:p>
        </w:tc>
        <w:tc>
          <w:tcPr>
            <w:tcW w:w="1280" w:type="pct"/>
          </w:tcPr>
          <w:p w14:paraId="4ADA3BA6" w14:textId="4E6B8440" w:rsidR="000116E6" w:rsidRDefault="000116E6" w:rsidP="007B49C8">
            <w:pPr>
              <w:pStyle w:val="Tabletext0"/>
              <w:jc w:val="left"/>
            </w:pPr>
            <w:r>
              <w:t>3</w:t>
            </w:r>
            <w:r w:rsidR="007B49C8">
              <w:t>/12</w:t>
            </w:r>
            <w:r>
              <w:t xml:space="preserve"> patients prescribed</w:t>
            </w:r>
            <w:r>
              <w:rPr>
                <w:vertAlign w:val="superscript"/>
              </w:rPr>
              <w:t>a</w:t>
            </w:r>
            <w:r>
              <w:t xml:space="preserve"> EGFR TKI (2 afatinib, 1 erlotinib) </w:t>
            </w:r>
          </w:p>
        </w:tc>
        <w:tc>
          <w:tcPr>
            <w:tcW w:w="1323" w:type="pct"/>
          </w:tcPr>
          <w:p w14:paraId="79E446BC" w14:textId="77777777" w:rsidR="000116E6" w:rsidRDefault="007B49C8" w:rsidP="003515CE">
            <w:pPr>
              <w:pStyle w:val="Tabletext0"/>
              <w:jc w:val="left"/>
            </w:pPr>
            <w:r>
              <w:t>2/3 patients had partial response to afatinib or erlotinib</w:t>
            </w:r>
          </w:p>
          <w:p w14:paraId="366435E8" w14:textId="6AE5AB97" w:rsidR="007B49C8" w:rsidRDefault="007B49C8" w:rsidP="003515CE">
            <w:pPr>
              <w:pStyle w:val="Tabletext0"/>
              <w:jc w:val="left"/>
            </w:pPr>
            <w:r>
              <w:t>1/3 died before beginning treatment with afatinib</w:t>
            </w:r>
          </w:p>
        </w:tc>
      </w:tr>
    </w:tbl>
    <w:p w14:paraId="2C8CEF5F" w14:textId="77777777" w:rsidR="00B8021B" w:rsidRDefault="00B8021B" w:rsidP="00B8021B">
      <w:pPr>
        <w:pStyle w:val="TableFooter"/>
        <w:rPr>
          <w:i/>
        </w:rPr>
      </w:pPr>
      <w:r>
        <w:t>NGS = next generation sequencing; NSCLC = non-small cell lung cancer; PNA-LNA PCR = peptide nucleic acid-locked nucleic acid polymerase chain reaction</w:t>
      </w:r>
    </w:p>
    <w:p w14:paraId="0D481474" w14:textId="722E3A5E" w:rsidR="00B8021B" w:rsidRPr="0056559A" w:rsidRDefault="00B8021B" w:rsidP="0056559A"/>
    <w:p w14:paraId="259ED5B3" w14:textId="7B1AA0B9" w:rsidR="00AC08AD" w:rsidRDefault="007C7D7B" w:rsidP="00AC08AD">
      <w:pPr>
        <w:pStyle w:val="Heading5"/>
        <w:rPr>
          <w:i/>
        </w:rPr>
      </w:pPr>
      <w:r>
        <w:rPr>
          <w:i/>
        </w:rPr>
        <w:t xml:space="preserve">Treatment of common vs uncommon EGFR variants </w:t>
      </w:r>
    </w:p>
    <w:p w14:paraId="5B4E6B5D" w14:textId="3747E633" w:rsidR="00AC08AD" w:rsidRDefault="00324360" w:rsidP="00AC08AD">
      <w:r>
        <w:t xml:space="preserve">A systematic review on the clinical outcomes of </w:t>
      </w:r>
      <w:r>
        <w:rPr>
          <w:i/>
        </w:rPr>
        <w:t xml:space="preserve">EGFR </w:t>
      </w:r>
      <w:r>
        <w:t xml:space="preserve">TKIs in patients whose locally advanced or metastatic NSCLC tumours had uncommon versus common </w:t>
      </w:r>
      <w:r>
        <w:rPr>
          <w:i/>
        </w:rPr>
        <w:t>EGFR</w:t>
      </w:r>
      <w:r>
        <w:t xml:space="preserve"> variants was identified </w: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 </w:instrTex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EN.CITE.DATA </w:instrText>
      </w:r>
      <w:r w:rsidR="00B4668F">
        <w:fldChar w:fldCharType="end"/>
      </w:r>
      <w:r w:rsidR="00B4668F">
        <w:fldChar w:fldCharType="separate"/>
      </w:r>
      <w:r w:rsidR="00B4668F">
        <w:rPr>
          <w:noProof/>
        </w:rPr>
        <w:t>(John et al. 2022)</w:t>
      </w:r>
      <w:r w:rsidR="00B4668F">
        <w:fldChar w:fldCharType="end"/>
      </w:r>
      <w:r>
        <w:t xml:space="preserve">. Both clinical trials and observational studies were included, without restriction by geographical location. All variants except ex19del, L858R and T790M were considered uncommon. Overall response rate (ORR) and progression free survival (PFS) were considered the key endpoints, as overall survival would likely be impacted by any treatment received after the </w:t>
      </w:r>
      <w:r>
        <w:rPr>
          <w:i/>
        </w:rPr>
        <w:t>EGFR</w:t>
      </w:r>
      <w:r>
        <w:t xml:space="preserve"> – TKI. </w:t>
      </w:r>
    </w:p>
    <w:p w14:paraId="3DAD0239" w14:textId="41865343" w:rsidR="00063721" w:rsidRDefault="00063721" w:rsidP="00AC08AD">
      <w:r>
        <w:t xml:space="preserve">Six out of seven studies reported </w:t>
      </w:r>
      <w:r w:rsidR="005C5054">
        <w:t>that</w:t>
      </w:r>
      <w:r>
        <w:t xml:space="preserve"> </w:t>
      </w:r>
      <w:r w:rsidR="005C5054">
        <w:t>ORR</w:t>
      </w:r>
      <w:r>
        <w:t xml:space="preserve"> </w:t>
      </w:r>
      <w:r w:rsidR="005C5054">
        <w:t xml:space="preserve">to first-line EGFR-TKIs </w:t>
      </w:r>
      <w:r>
        <w:t xml:space="preserve">in patients with rare </w:t>
      </w:r>
      <w:r>
        <w:rPr>
          <w:i/>
        </w:rPr>
        <w:t>EGFR</w:t>
      </w:r>
      <w:r>
        <w:t xml:space="preserve"> variants </w:t>
      </w:r>
      <w:r w:rsidR="005C5054">
        <w:t>was lower than the ORRs</w:t>
      </w:r>
      <w:r>
        <w:t xml:space="preserve"> in patients with common </w:t>
      </w:r>
      <w:r>
        <w:rPr>
          <w:i/>
        </w:rPr>
        <w:t xml:space="preserve">EGFR </w:t>
      </w:r>
      <w:r>
        <w:t>variants</w:t>
      </w:r>
      <w:r w:rsidR="00E619CF">
        <w:t xml:space="preserve"> (</w:t>
      </w:r>
      <w:r w:rsidR="00E619CF">
        <w:fldChar w:fldCharType="begin"/>
      </w:r>
      <w:r w:rsidR="00E619CF">
        <w:instrText xml:space="preserve"> REF _Ref108098094 \h </w:instrText>
      </w:r>
      <w:r w:rsidR="00E619CF">
        <w:fldChar w:fldCharType="separate"/>
      </w:r>
      <w:r w:rsidR="00C857F3">
        <w:t xml:space="preserve">Figure </w:t>
      </w:r>
      <w:r w:rsidR="00C857F3">
        <w:rPr>
          <w:noProof/>
        </w:rPr>
        <w:t>12</w:t>
      </w:r>
      <w:r w:rsidR="00E619CF">
        <w:fldChar w:fldCharType="end"/>
      </w:r>
      <w:r w:rsidR="00E619CF">
        <w:t>)</w:t>
      </w:r>
      <w:r>
        <w:t xml:space="preserve">. The additional patients identified with </w:t>
      </w:r>
      <w:r>
        <w:rPr>
          <w:i/>
        </w:rPr>
        <w:t xml:space="preserve">EGFR </w:t>
      </w:r>
      <w:r>
        <w:t xml:space="preserve">variants by NGS are therefore not likely to </w:t>
      </w:r>
      <w:r w:rsidR="004117C5">
        <w:t xml:space="preserve">gain </w:t>
      </w:r>
      <w:r>
        <w:t xml:space="preserve">the same benefit </w:t>
      </w:r>
      <w:r w:rsidR="00E619CF">
        <w:t xml:space="preserve">on average </w:t>
      </w:r>
      <w:r>
        <w:t xml:space="preserve">that patients currently eligible for </w:t>
      </w:r>
      <w:r>
        <w:rPr>
          <w:i/>
        </w:rPr>
        <w:t>EGFR</w:t>
      </w:r>
      <w:r>
        <w:t xml:space="preserve"> TKIs derive. </w:t>
      </w:r>
      <w:r w:rsidR="00E619CF">
        <w:t>In particular, it appear</w:t>
      </w:r>
      <w:r w:rsidR="004C3F17">
        <w:t>ed</w:t>
      </w:r>
      <w:r w:rsidR="00E619CF">
        <w:t xml:space="preserve"> that those with</w:t>
      </w:r>
      <w:r w:rsidR="004F3F1B">
        <w:t xml:space="preserve"> </w:t>
      </w:r>
      <w:r w:rsidR="004F3F1B" w:rsidRPr="00956452">
        <w:rPr>
          <w:i/>
          <w:iCs/>
        </w:rPr>
        <w:t>EGFR</w:t>
      </w:r>
      <w:r w:rsidR="00E619CF">
        <w:t xml:space="preserve"> exon 20 variants </w:t>
      </w:r>
      <w:r w:rsidR="004C3F17">
        <w:t>did not</w:t>
      </w:r>
      <w:r w:rsidR="00E619CF">
        <w:t xml:space="preserve"> derive much benefit from gefitinib or erlotinib. </w:t>
      </w:r>
      <w:r>
        <w:t>However, the size of</w:t>
      </w:r>
      <w:r w:rsidR="00E619CF">
        <w:t xml:space="preserve"> any difference wa</w:t>
      </w:r>
      <w:r>
        <w:t xml:space="preserve">s highly uncertain, as there may </w:t>
      </w:r>
      <w:r w:rsidR="004C3F17">
        <w:t>have been</w:t>
      </w:r>
      <w:r>
        <w:t xml:space="preserve"> prognostic differences associated with the different variants, and it is unknown how well these patients respond to standard of care treatment with immunotherapy ± chemotherapy. </w:t>
      </w:r>
    </w:p>
    <w:p w14:paraId="388A79D2" w14:textId="16789A24" w:rsidR="00E619CF" w:rsidRPr="00842AEC" w:rsidRDefault="00E619CF" w:rsidP="00AC08AD">
      <w:r>
        <w:t xml:space="preserve">Similar to ORR, the PFS in patients receiving first-line </w:t>
      </w:r>
      <w:r>
        <w:rPr>
          <w:i/>
        </w:rPr>
        <w:t>EGFR</w:t>
      </w:r>
      <w:r>
        <w:t xml:space="preserve"> – TKIs was lower in those with rare variants than in common variants</w:t>
      </w:r>
      <w:r w:rsidR="00D3284F">
        <w:t xml:space="preserve"> (although no meta-analysis was conducted). </w:t>
      </w:r>
      <w:r w:rsidR="00842AEC">
        <w:t xml:space="preserve">The lack of meta-analysis, and the large heterogeneity meant that the average efficacy of </w:t>
      </w:r>
      <w:r w:rsidR="00842AEC">
        <w:rPr>
          <w:i/>
        </w:rPr>
        <w:t xml:space="preserve">EGFR </w:t>
      </w:r>
      <w:r w:rsidR="00842AEC">
        <w:t xml:space="preserve">TKIs in patients with rare variants was unable to be determined. </w:t>
      </w:r>
    </w:p>
    <w:p w14:paraId="6DBE4B45" w14:textId="77777777" w:rsidR="00D147B7" w:rsidRDefault="00D147B7" w:rsidP="00D147B7">
      <w:pPr>
        <w:keepNext/>
      </w:pPr>
      <w:r w:rsidRPr="00D147B7">
        <w:rPr>
          <w:noProof/>
          <w:lang w:eastAsia="en-AU"/>
        </w:rPr>
        <w:lastRenderedPageBreak/>
        <w:drawing>
          <wp:inline distT="0" distB="0" distL="0" distR="0" wp14:anchorId="2ADAD7B1" wp14:editId="18115737">
            <wp:extent cx="5762222" cy="3742661"/>
            <wp:effectExtent l="0" t="0" r="0" b="0"/>
            <wp:docPr id="23" name="Picture 23" descr="Overall response rate experienced by patients with common or uncommon EGFR variants receiving EGFR-TKI as first-line therapy " title="Overall response rate experienced by patients with common or uncommon EGFR variants receiving EGFR-TKI as first-line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819" b="46888"/>
                    <a:stretch/>
                  </pic:blipFill>
                  <pic:spPr bwMode="auto">
                    <a:xfrm>
                      <a:off x="0" y="0"/>
                      <a:ext cx="5773569" cy="3750031"/>
                    </a:xfrm>
                    <a:prstGeom prst="rect">
                      <a:avLst/>
                    </a:prstGeom>
                    <a:ln>
                      <a:noFill/>
                    </a:ln>
                    <a:extLst>
                      <a:ext uri="{53640926-AAD7-44D8-BBD7-CCE9431645EC}">
                        <a14:shadowObscured xmlns:a14="http://schemas.microsoft.com/office/drawing/2010/main"/>
                      </a:ext>
                    </a:extLst>
                  </pic:spPr>
                </pic:pic>
              </a:graphicData>
            </a:graphic>
          </wp:inline>
        </w:drawing>
      </w:r>
    </w:p>
    <w:p w14:paraId="1E9D386D" w14:textId="38CBD643" w:rsidR="00326C26" w:rsidRDefault="00D147B7" w:rsidP="00D147B7">
      <w:pPr>
        <w:pStyle w:val="Caption"/>
      </w:pPr>
      <w:bookmarkStart w:id="132" w:name="_Ref108098094"/>
      <w:r>
        <w:t xml:space="preserve">Figure </w:t>
      </w:r>
      <w:fldSimple w:instr=" SEQ Figure \* ARABIC ">
        <w:r w:rsidR="00C857F3">
          <w:rPr>
            <w:noProof/>
          </w:rPr>
          <w:t>12</w:t>
        </w:r>
      </w:fldSimple>
      <w:bookmarkEnd w:id="132"/>
      <w:r w:rsidR="00077451">
        <w:rPr>
          <w:noProof/>
        </w:rPr>
        <w:t xml:space="preserve"> </w:t>
      </w:r>
      <w:r>
        <w:t xml:space="preserve">Overall response rate experienced by patients with common or uncommon </w:t>
      </w:r>
      <w:r>
        <w:rPr>
          <w:i/>
        </w:rPr>
        <w:t>EGFR</w:t>
      </w:r>
      <w:r>
        <w:t xml:space="preserve"> variants receiving </w:t>
      </w:r>
      <w:r>
        <w:rPr>
          <w:i/>
        </w:rPr>
        <w:t>EGFR</w:t>
      </w:r>
      <w:r>
        <w:t xml:space="preserve">-TKI as first-line therapy </w:t>
      </w:r>
    </w:p>
    <w:p w14:paraId="05F3FC11" w14:textId="369D0416" w:rsidR="00D147B7" w:rsidRPr="00D147B7" w:rsidRDefault="00D147B7" w:rsidP="00D147B7">
      <w:pPr>
        <w:pStyle w:val="TableFooter"/>
      </w:pPr>
      <w:r>
        <w:t xml:space="preserve">NB: p-values denote comparison between common and uncommon variants. Liang et al. “compound mutations” refers to two uncommon variants. Wu et al. (2018): L858R cohort includes four patients with both L858R and Ex19del. Ho et al. (2019): exact uncommon mutations are G719X/G719X + S7681/G719X + T790M/Ex19del + Ex20ins/Ex20ins. Lee et al. (2013) and Leduc et al. (2017): “Exon 20 mutations” do not include T790M. </w:t>
      </w:r>
    </w:p>
    <w:p w14:paraId="562D4E1B" w14:textId="68B46D21" w:rsidR="00D147B7" w:rsidRDefault="00D147B7" w:rsidP="00D147B7">
      <w:pPr>
        <w:pStyle w:val="TableFooter"/>
      </w:pPr>
      <w:r>
        <w:t xml:space="preserve">Source: </w: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 </w:instrTex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EN.CITE.DATA </w:instrText>
      </w:r>
      <w:r w:rsidR="00B4668F">
        <w:fldChar w:fldCharType="end"/>
      </w:r>
      <w:r w:rsidR="00B4668F">
        <w:fldChar w:fldCharType="separate"/>
      </w:r>
      <w:r w:rsidR="00B4668F">
        <w:rPr>
          <w:noProof/>
        </w:rPr>
        <w:t>(John et al. 2022)</w:t>
      </w:r>
      <w:r w:rsidR="00B4668F">
        <w:fldChar w:fldCharType="end"/>
      </w:r>
      <w:r>
        <w:t xml:space="preserve"> Reproduced under Creative Commons CC-BY license. </w:t>
      </w:r>
    </w:p>
    <w:p w14:paraId="15C23F51" w14:textId="57C70CAB" w:rsidR="00E619CF" w:rsidRDefault="00E619CF" w:rsidP="00D147B7">
      <w:pPr>
        <w:pStyle w:val="TableFooter"/>
      </w:pPr>
    </w:p>
    <w:p w14:paraId="3BF85187" w14:textId="2DC05A10" w:rsidR="00EF506B" w:rsidRDefault="00DF30B2" w:rsidP="00D147B7">
      <w:pPr>
        <w:pStyle w:val="TableFooter"/>
      </w:pPr>
      <w:r w:rsidRPr="00DF30B2">
        <w:rPr>
          <w:noProof/>
          <w:lang w:eastAsia="en-AU"/>
        </w:rPr>
        <w:lastRenderedPageBreak/>
        <w:drawing>
          <wp:inline distT="0" distB="0" distL="0" distR="0" wp14:anchorId="3DAC890B" wp14:editId="474BE2F7">
            <wp:extent cx="6081823" cy="7724420"/>
            <wp:effectExtent l="0" t="0" r="0" b="0"/>
            <wp:docPr id="24" name="Picture 24" descr="Progression free survival in patients with common or uncommon EGFR variants receiving EGFR-TKI as first-line therapy " title="Progression free survival in patients with common or uncommon EGFR variants receiving EGFR-TKI as first-line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93" t="931"/>
                    <a:stretch/>
                  </pic:blipFill>
                  <pic:spPr bwMode="auto">
                    <a:xfrm>
                      <a:off x="0" y="0"/>
                      <a:ext cx="6097978" cy="7744938"/>
                    </a:xfrm>
                    <a:prstGeom prst="rect">
                      <a:avLst/>
                    </a:prstGeom>
                    <a:ln>
                      <a:noFill/>
                    </a:ln>
                    <a:extLst>
                      <a:ext uri="{53640926-AAD7-44D8-BBD7-CCE9431645EC}">
                        <a14:shadowObscured xmlns:a14="http://schemas.microsoft.com/office/drawing/2010/main"/>
                      </a:ext>
                    </a:extLst>
                  </pic:spPr>
                </pic:pic>
              </a:graphicData>
            </a:graphic>
          </wp:inline>
        </w:drawing>
      </w:r>
    </w:p>
    <w:p w14:paraId="08AB05EB" w14:textId="31EEB137" w:rsidR="00DF30B2" w:rsidRDefault="00DF30B2" w:rsidP="00DF30B2">
      <w:pPr>
        <w:pStyle w:val="Caption"/>
      </w:pPr>
      <w:r>
        <w:t xml:space="preserve">Figure </w:t>
      </w:r>
      <w:fldSimple w:instr=" SEQ Figure \* ARABIC ">
        <w:r w:rsidR="00C857F3">
          <w:rPr>
            <w:noProof/>
          </w:rPr>
          <w:t>13</w:t>
        </w:r>
      </w:fldSimple>
      <w:r>
        <w:tab/>
        <w:t xml:space="preserve">Progression free survival in patients with common or uncommon </w:t>
      </w:r>
      <w:r>
        <w:rPr>
          <w:i/>
        </w:rPr>
        <w:t>EGFR</w:t>
      </w:r>
      <w:r>
        <w:t xml:space="preserve"> variants receiving </w:t>
      </w:r>
      <w:r>
        <w:rPr>
          <w:i/>
        </w:rPr>
        <w:t>EGFR</w:t>
      </w:r>
      <w:r>
        <w:t xml:space="preserve">-TKI as first-line therapy </w:t>
      </w:r>
    </w:p>
    <w:p w14:paraId="1A05555D" w14:textId="6C869409" w:rsidR="00DF30B2" w:rsidRDefault="00DF30B2" w:rsidP="00DF30B2">
      <w:pPr>
        <w:pStyle w:val="TableFooter"/>
      </w:pPr>
      <w:r>
        <w:t xml:space="preserve">NB: p-values denote comparison between common and uncommon variants. </w:t>
      </w:r>
    </w:p>
    <w:p w14:paraId="01EA03A0" w14:textId="77777777" w:rsidR="00DF30B2" w:rsidRDefault="00DF30B2" w:rsidP="00DF30B2">
      <w:pPr>
        <w:pStyle w:val="TableFooter"/>
      </w:pPr>
    </w:p>
    <w:p w14:paraId="240EAFDC" w14:textId="636E5024" w:rsidR="00DF30B2" w:rsidRPr="00D147B7" w:rsidRDefault="00DF30B2" w:rsidP="00DF30B2">
      <w:pPr>
        <w:pStyle w:val="TableFooter"/>
      </w:pPr>
      <w:r>
        <w:t xml:space="preserve">Liang et al. “compound mutations” refers to two uncommon variants. Wu et al. (2018): L858R cohort includes four patients with both L858R and Ex19del. Ho et al. (2019): exact uncommon mutations are G719X/G719X + S7681/G719X + T790M/Ex19del + Ex20ins/Ex20ins. Lee </w:t>
      </w:r>
      <w:r>
        <w:lastRenderedPageBreak/>
        <w:t xml:space="preserve">et al. (2013) and Leduc et al. (2017): “Exon 20 mutations” do not include T790M. </w:t>
      </w:r>
    </w:p>
    <w:p w14:paraId="574626ED" w14:textId="769A6252" w:rsidR="003A2CFD" w:rsidRDefault="00DF30B2" w:rsidP="00DF30B2">
      <w:pPr>
        <w:pStyle w:val="TableFooter"/>
      </w:pPr>
      <w:r>
        <w:t xml:space="preserve">Source: </w: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 </w:instrTex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EN.CITE.DATA </w:instrText>
      </w:r>
      <w:r w:rsidR="00B4668F">
        <w:fldChar w:fldCharType="end"/>
      </w:r>
      <w:r w:rsidR="00B4668F">
        <w:fldChar w:fldCharType="separate"/>
      </w:r>
      <w:r w:rsidR="00B4668F">
        <w:rPr>
          <w:noProof/>
        </w:rPr>
        <w:t>(John et al. 2022)</w:t>
      </w:r>
      <w:r w:rsidR="00B4668F">
        <w:fldChar w:fldCharType="end"/>
      </w:r>
      <w:r>
        <w:t xml:space="preserve"> Reproduced under Creative Commons CC-BY license.</w:t>
      </w:r>
      <w:r w:rsidR="007E7017">
        <w:t xml:space="preserve"> </w:t>
      </w:r>
    </w:p>
    <w:p w14:paraId="171834F0" w14:textId="0FAD64A1" w:rsidR="007C7D7B" w:rsidRDefault="007C7D7B" w:rsidP="00FD2CB0">
      <w:pPr>
        <w:pStyle w:val="TableFooter"/>
      </w:pPr>
    </w:p>
    <w:p w14:paraId="09FA3049" w14:textId="74198800" w:rsidR="004C3F17" w:rsidRDefault="004C3F17" w:rsidP="00FD2CB0">
      <w:pPr>
        <w:pStyle w:val="TableFooter"/>
      </w:pPr>
    </w:p>
    <w:p w14:paraId="6B2B51FF" w14:textId="6729A11D" w:rsidR="004C3F17" w:rsidRPr="00842AEC" w:rsidRDefault="004C3F17" w:rsidP="004C3F17">
      <w:r>
        <w:t xml:space="preserve">The PBS criteria for </w:t>
      </w:r>
      <w:r>
        <w:rPr>
          <w:i/>
        </w:rPr>
        <w:t>EGFR</w:t>
      </w:r>
      <w:r>
        <w:t xml:space="preserve"> TKIs state that patients must have evidence of </w:t>
      </w:r>
      <w:r>
        <w:rPr>
          <w:i/>
        </w:rPr>
        <w:t xml:space="preserve">EGFR </w:t>
      </w:r>
      <w:r>
        <w:t xml:space="preserve">gene variants known to confer sensitivity to treatments with </w:t>
      </w:r>
      <w:r>
        <w:rPr>
          <w:i/>
        </w:rPr>
        <w:t xml:space="preserve">EGFR </w:t>
      </w:r>
      <w:r>
        <w:t xml:space="preserve">TKIs in tumour material. The pathogenicity of variants is documented in ClinVar, Catalogue of Somatic Mutations in Cancer (COSMIC) and oncoKB </w:t>
      </w:r>
      <w:r w:rsidR="00B4668F">
        <w:fldChar w:fldCharType="begin"/>
      </w:r>
      <w:r w:rsidR="00B4668F">
        <w:instrText xml:space="preserve"> ADDIN EN.CITE &lt;EndNote&gt;&lt;Cite&gt;&lt;Author&gt;Friedlaender&lt;/Author&gt;&lt;Year&gt;2021&lt;/Year&gt;&lt;RecNum&gt;198&lt;/RecNum&gt;&lt;IDText&gt;644472&lt;/IDText&gt;&lt;DisplayText&gt;(Friedlaender et al. 2021)&lt;/DisplayText&gt;&lt;record&gt;&lt;rec-number&gt;198&lt;/rec-number&gt;&lt;foreign-keys&gt;&lt;key app="EN" db-id="0tprsse9cpp5r3ea5dz5p0xw2pfwvwxpa5a5" timestamp="1657500255"&gt;198&lt;/key&gt;&lt;/foreign-keys&gt;&lt;ref-type name="Journal Article"&gt;17&lt;/ref-type&gt;&lt;contributors&gt;&lt;authors&gt;&lt;author&gt;Friedlaender, A.&lt;/author&gt;&lt;author&gt;Tsantoulis, P.&lt;/author&gt;&lt;author&gt;Chevallier, M.&lt;/author&gt;&lt;author&gt;De Vito, C.&lt;/author&gt;&lt;author&gt;Addeo, A.&lt;/author&gt;&lt;/authors&gt;&lt;/contributors&gt;&lt;auth-address&gt;Oncology Department, University Hospital Geneva, Geneva, Switzerland.&amp;#xD;Pathology Department, University Hospital Geneva, Geneva, Switzerland.&lt;/auth-address&gt;&lt;titles&gt;&lt;title&gt;The Impact of Variant Allele Frequency in EGFR Mutated NSCLC Patients on Targeted Therapy&lt;/title&gt;&lt;secondary-title&gt;Front Oncol&lt;/secondary-title&gt;&lt;/titles&gt;&lt;periodical&gt;&lt;full-title&gt;Front Oncol&lt;/full-title&gt;&lt;/periodical&gt;&lt;pages&gt;644472&lt;/pages&gt;&lt;volume&gt;11&lt;/volume&gt;&lt;edition&gt;2021/04/20&lt;/edition&gt;&lt;keywords&gt;&lt;keyword&gt;Egfr&lt;/keyword&gt;&lt;keyword&gt;Nsclc&lt;/keyword&gt;&lt;keyword&gt;Tki&lt;/keyword&gt;&lt;keyword&gt;Vaf&lt;/keyword&gt;&lt;keyword&gt;allele frequency&lt;/keyword&gt;&lt;keyword&gt;allelic frequency&lt;/keyword&gt;&lt;keyword&gt;commercial or financial relationships that could be construed as a potential&lt;/keyword&gt;&lt;keyword&gt;conflict of interest.&lt;/keyword&gt;&lt;/keywords&gt;&lt;dates&gt;&lt;year&gt;2021&lt;/year&gt;&lt;/dates&gt;&lt;isbn&gt;2234-943X (Print)&amp;#xD;2234-943X (Linking)&lt;/isbn&gt;&lt;accession-num&gt;33869038&lt;/accession-num&gt;&lt;urls&gt;&lt;related-urls&gt;&lt;url&gt;https://www.ncbi.nlm.nih.gov/pubmed/33869038&lt;/url&gt;&lt;/related-urls&gt;&lt;/urls&gt;&lt;custom2&gt;PMC8044828&lt;/custom2&gt;&lt;electronic-resource-num&gt;10.3389/fonc.2021.644472&lt;/electronic-resource-num&gt;&lt;/record&gt;&lt;/Cite&gt;&lt;/EndNote&gt;</w:instrText>
      </w:r>
      <w:r w:rsidR="00B4668F">
        <w:fldChar w:fldCharType="separate"/>
      </w:r>
      <w:r w:rsidR="00B4668F">
        <w:rPr>
          <w:noProof/>
        </w:rPr>
        <w:t>(Friedlaender et al. 2021)</w:t>
      </w:r>
      <w:r w:rsidR="00B4668F">
        <w:fldChar w:fldCharType="end"/>
      </w:r>
      <w:r>
        <w:t>, and is reported on pathology results provided to clinicians</w:t>
      </w:r>
      <w:r w:rsidR="00FB577D">
        <w:t>, as is whether the variant is likely to co</w:t>
      </w:r>
      <w:r w:rsidR="00490BF5">
        <w:t>nfer</w:t>
      </w:r>
      <w:r w:rsidR="00FB577D">
        <w:t xml:space="preserve"> TKI sensitivity</w:t>
      </w:r>
      <w:r>
        <w:t xml:space="preserve">. Any additional patients receiving </w:t>
      </w:r>
      <w:r>
        <w:rPr>
          <w:i/>
        </w:rPr>
        <w:t>EGFR</w:t>
      </w:r>
      <w:r>
        <w:t xml:space="preserve"> TKIs due to having rare variants identified by NGS should therefore only receive the targeted treatment i</w:t>
      </w:r>
      <w:r w:rsidR="00690EE1">
        <w:t>f</w:t>
      </w:r>
      <w:r>
        <w:t xml:space="preserve"> it is likely to be beneficial. </w:t>
      </w:r>
      <w:r w:rsidR="00842AEC">
        <w:t xml:space="preserve">Therefore, although some of the additional variants identified by a NGS panel may not respond to </w:t>
      </w:r>
      <w:r w:rsidR="00842AEC">
        <w:rPr>
          <w:i/>
        </w:rPr>
        <w:t>EGFR</w:t>
      </w:r>
      <w:r w:rsidR="00842AEC">
        <w:t xml:space="preserve"> TKIs, clinicians are only likely to prescribe targeted treatment if it is appropriate. </w:t>
      </w:r>
      <w:r w:rsidR="001111BE">
        <w:t xml:space="preserve">The benefit of identifying variants in </w:t>
      </w:r>
      <w:r w:rsidR="008F69B0">
        <w:rPr>
          <w:i/>
        </w:rPr>
        <w:t xml:space="preserve">EGFR </w:t>
      </w:r>
      <w:r w:rsidR="001111BE">
        <w:t xml:space="preserve">exon 20 may change in the future if treatments for exon 20 insertions become recommended by the PBAC. </w:t>
      </w:r>
    </w:p>
    <w:p w14:paraId="77F5A449" w14:textId="77777777" w:rsidR="004C3F17" w:rsidRDefault="004C3F17" w:rsidP="004C3F17">
      <w:pPr>
        <w:pStyle w:val="TableFooter"/>
        <w:keepNext/>
      </w:pPr>
      <w:r w:rsidRPr="003A2CFD">
        <w:rPr>
          <w:noProof/>
          <w:lang w:eastAsia="en-AU"/>
        </w:rPr>
        <w:drawing>
          <wp:inline distT="0" distB="0" distL="0" distR="0" wp14:anchorId="364191C7" wp14:editId="1211D1D8">
            <wp:extent cx="5664835" cy="1550035"/>
            <wp:effectExtent l="0" t="0" r="0" b="0"/>
            <wp:docPr id="13" name="Picture 13" descr="Common and uncommon variants in exons 18-21 of the EGFR gene and sensitivity to EGFR-TKIs" title="Common and uncommon variants in exons 18-21 of the EGFR gene and sensitivity to EGFR-T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63" t="4686"/>
                    <a:stretch/>
                  </pic:blipFill>
                  <pic:spPr bwMode="auto">
                    <a:xfrm>
                      <a:off x="0" y="0"/>
                      <a:ext cx="5664835" cy="1550035"/>
                    </a:xfrm>
                    <a:prstGeom prst="rect">
                      <a:avLst/>
                    </a:prstGeom>
                    <a:ln>
                      <a:noFill/>
                    </a:ln>
                    <a:extLst>
                      <a:ext uri="{53640926-AAD7-44D8-BBD7-CCE9431645EC}">
                        <a14:shadowObscured xmlns:a14="http://schemas.microsoft.com/office/drawing/2010/main"/>
                      </a:ext>
                    </a:extLst>
                  </pic:spPr>
                </pic:pic>
              </a:graphicData>
            </a:graphic>
          </wp:inline>
        </w:drawing>
      </w:r>
    </w:p>
    <w:p w14:paraId="25AC8014" w14:textId="478DC540" w:rsidR="004C3F17" w:rsidRDefault="004C3F17" w:rsidP="004C3F17">
      <w:pPr>
        <w:pStyle w:val="Caption"/>
        <w:jc w:val="both"/>
      </w:pPr>
      <w:r>
        <w:t xml:space="preserve">Figure </w:t>
      </w:r>
      <w:fldSimple w:instr=" SEQ Figure \* ARABIC ">
        <w:r w:rsidR="00C857F3">
          <w:rPr>
            <w:noProof/>
          </w:rPr>
          <w:t>14</w:t>
        </w:r>
      </w:fldSimple>
      <w:r>
        <w:tab/>
        <w:t xml:space="preserve">Common and uncommon variants in exons 18-21 of the </w:t>
      </w:r>
      <w:r>
        <w:rPr>
          <w:i/>
        </w:rPr>
        <w:t>EGFR</w:t>
      </w:r>
      <w:r>
        <w:t xml:space="preserve"> gene and sensitivity to EGFR-TKIs</w:t>
      </w:r>
    </w:p>
    <w:p w14:paraId="65BA46F8" w14:textId="7919995D" w:rsidR="004C3F17" w:rsidRDefault="004C3F17" w:rsidP="004C3F17">
      <w:pPr>
        <w:pStyle w:val="TableFooter"/>
      </w:pPr>
      <w:r>
        <w:t xml:space="preserve">Source: </w: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 </w:instrText>
      </w:r>
      <w:r w:rsidR="00B4668F">
        <w:fldChar w:fldCharType="begin">
          <w:fldData xml:space="preserve">PEVuZE5vdGU+PENpdGU+PEF1dGhvcj5Kb2huPC9BdXRob3I+PFllYXI+MjAyMjwvWWVhcj48UmVj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</w:fldData>
        </w:fldChar>
      </w:r>
      <w:r w:rsidR="00B4668F">
        <w:instrText xml:space="preserve"> ADDIN EN.CITE.DATA </w:instrText>
      </w:r>
      <w:r w:rsidR="00B4668F">
        <w:fldChar w:fldCharType="end"/>
      </w:r>
      <w:r w:rsidR="00B4668F">
        <w:fldChar w:fldCharType="separate"/>
      </w:r>
      <w:r w:rsidR="00B4668F">
        <w:rPr>
          <w:noProof/>
        </w:rPr>
        <w:t>(John et al. 2022)</w:t>
      </w:r>
      <w:r w:rsidR="00B4668F">
        <w:fldChar w:fldCharType="end"/>
      </w:r>
      <w:r>
        <w:t xml:space="preserve"> Reproduced under Creative Commons CC-BY license. </w:t>
      </w:r>
    </w:p>
    <w:p w14:paraId="12835C38" w14:textId="77777777" w:rsidR="004C3F17" w:rsidRDefault="004C3F17" w:rsidP="00FD2CB0">
      <w:pPr>
        <w:pStyle w:val="TableFooter"/>
      </w:pPr>
    </w:p>
    <w:p w14:paraId="666E1C6E" w14:textId="0C55B29D" w:rsidR="007C7D7B" w:rsidRDefault="007C7D7B" w:rsidP="007C7D7B">
      <w:pPr>
        <w:pStyle w:val="Heading5"/>
        <w:rPr>
          <w:i/>
        </w:rPr>
      </w:pPr>
      <w:r>
        <w:rPr>
          <w:i/>
        </w:rPr>
        <w:t>Treatment of low-allele frequency EGFR variants</w:t>
      </w:r>
    </w:p>
    <w:p w14:paraId="1AA23D60" w14:textId="601023D6" w:rsidR="00773D79" w:rsidRPr="00773D79" w:rsidRDefault="00236349" w:rsidP="007C7D7B">
      <w:r>
        <w:t>In addition to NGS identifying</w:t>
      </w:r>
      <w:r w:rsidR="00773D79">
        <w:t xml:space="preserve"> rare variants which are outside the scope of some targeted </w:t>
      </w:r>
      <w:r w:rsidR="00773D79">
        <w:rPr>
          <w:i/>
        </w:rPr>
        <w:t>EGFR</w:t>
      </w:r>
      <w:r w:rsidR="00773D79">
        <w:t xml:space="preserve"> assays, it may also be more sensitive than some other methods of detecting </w:t>
      </w:r>
      <w:r w:rsidR="00773D79">
        <w:rPr>
          <w:i/>
        </w:rPr>
        <w:t xml:space="preserve">EGFR </w:t>
      </w:r>
      <w:r w:rsidR="00773D79">
        <w:t xml:space="preserve">variants. The effectiveness of </w:t>
      </w:r>
      <w:r>
        <w:t xml:space="preserve">targeted treatment in those with variants only able to be detected on highly sensitive tests </w:t>
      </w:r>
      <w:r w:rsidR="00F73195">
        <w:t xml:space="preserve">(with a low threshold of detection) </w:t>
      </w:r>
      <w:r>
        <w:t>was therefore assessed.</w:t>
      </w:r>
      <w:r w:rsidR="00773D79">
        <w:t xml:space="preserve"> </w:t>
      </w:r>
    </w:p>
    <w:p w14:paraId="428E32B9" w14:textId="31132874" w:rsidR="007503B4" w:rsidRDefault="007C7D7B" w:rsidP="007C7D7B">
      <w:r>
        <w:t>No systematic reviews were identified assessing the effectiveness of targeted treatment for EGFR variants, in those with low-allele frequency (</w:t>
      </w:r>
      <w:r w:rsidR="004117C5">
        <w:t>i.e.,</w:t>
      </w:r>
      <w:r>
        <w:t xml:space="preserve"> those detected by high sensitivity methods, but missed low sensitivity methods). Three individual studies were identified, but these wer</w:t>
      </w:r>
      <w:r w:rsidR="00F73195">
        <w:t>e not identified systematically</w:t>
      </w:r>
      <w:r>
        <w:t xml:space="preserve">. </w:t>
      </w:r>
      <w:r w:rsidR="00C75DF4">
        <w:t>However, they were selected based on their topic</w:t>
      </w:r>
      <w:r w:rsidR="0075613D">
        <w:t xml:space="preserve"> (comparison of response to </w:t>
      </w:r>
      <w:r w:rsidR="0075613D">
        <w:rPr>
          <w:i/>
        </w:rPr>
        <w:t xml:space="preserve">EGFR </w:t>
      </w:r>
      <w:r w:rsidR="0075613D">
        <w:t>TKIs based on variant allelic frequency from tumour tissue)</w:t>
      </w:r>
      <w:r w:rsidR="00C75DF4">
        <w:t>, not on their results, so the process of selection</w:t>
      </w:r>
      <w:r w:rsidR="00BC1BBA">
        <w:t xml:space="preserve"> is unlikely to have introduced bias.</w:t>
      </w:r>
    </w:p>
    <w:p w14:paraId="0FA3D797" w14:textId="2BDEDF3D" w:rsidR="0075613D" w:rsidRPr="00EA1849" w:rsidRDefault="0075613D" w:rsidP="007C7D7B">
      <w:r>
        <w:t xml:space="preserve">Two studies reported that the variant allele frequency of </w:t>
      </w:r>
      <w:r>
        <w:rPr>
          <w:i/>
        </w:rPr>
        <w:t>EGFR</w:t>
      </w:r>
      <w:r>
        <w:t xml:space="preserve"> sensitising variants had a significant impact on PFS in those treated with </w:t>
      </w:r>
      <w:r>
        <w:rPr>
          <w:i/>
        </w:rPr>
        <w:t xml:space="preserve">EGFR </w:t>
      </w:r>
      <w:r>
        <w:t xml:space="preserve">TKIs </w:t>
      </w:r>
      <w:r w:rsidR="00B4668F">
        <w:fldChar w:fldCharType="begin">
          <w:fldData xml:space="preserve">PEVuZE5vdGU+PENpdGU+PEF1dGhvcj5GcmllZGxhZW5kZXI8L0F1dGhvcj48WWVhcj4yMDIxPC9Z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</w:fldData>
        </w:fldChar>
      </w:r>
      <w:r w:rsidR="00B4668F">
        <w:instrText xml:space="preserve"> ADDIN EN.CITE </w:instrText>
      </w:r>
      <w:r w:rsidR="00B4668F">
        <w:fldChar w:fldCharType="begin">
          <w:fldData xml:space="preserve">PEVuZE5vdGU+PENpdGU+PEF1dGhvcj5GcmllZGxhZW5kZXI8L0F1dGhvcj48WWVhcj4yMDIxPC9Z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</w:fldData>
        </w:fldChar>
      </w:r>
      <w:r w:rsidR="00B4668F">
        <w:instrText xml:space="preserve"> ADDIN EN.CITE.DATA </w:instrText>
      </w:r>
      <w:r w:rsidR="00B4668F">
        <w:fldChar w:fldCharType="end"/>
      </w:r>
      <w:r w:rsidR="00B4668F">
        <w:fldChar w:fldCharType="separate"/>
      </w:r>
      <w:r w:rsidR="00B4668F">
        <w:rPr>
          <w:noProof/>
        </w:rPr>
        <w:t>(Friedlaender et al. 2021; Gieszer et al. 2021)</w:t>
      </w:r>
      <w:r w:rsidR="00B4668F">
        <w:fldChar w:fldCharType="end"/>
      </w:r>
      <w:r>
        <w:t xml:space="preserve">. It is unknown </w:t>
      </w:r>
      <w:r w:rsidR="00EA1849">
        <w:t xml:space="preserve">at what threshold the variant allele frequency may be too low for the tumour to respond to </w:t>
      </w:r>
      <w:r w:rsidR="00EA1849">
        <w:rPr>
          <w:i/>
        </w:rPr>
        <w:t xml:space="preserve">EGFR </w:t>
      </w:r>
      <w:r w:rsidR="00EA1849">
        <w:t>TKIs, or whether the additional patients detected by NGS (NGS</w:t>
      </w:r>
      <w:r w:rsidR="00B94F87">
        <w:t xml:space="preserve"> positive </w:t>
      </w:r>
      <w:r w:rsidR="00EA1849">
        <w:t>/ single gene</w:t>
      </w:r>
      <w:r w:rsidR="00B94F87">
        <w:t xml:space="preserve"> negative</w:t>
      </w:r>
      <w:r w:rsidR="00EA1849">
        <w:t xml:space="preserve">) are likely to benefit from targeted treatment, as compared to immunotherapy ± chemotherapy. </w:t>
      </w:r>
    </w:p>
    <w:p w14:paraId="59441991" w14:textId="443D318E" w:rsidR="00C75DF4" w:rsidRDefault="001F4A5D" w:rsidP="007C7D7B">
      <w:r>
        <w:t xml:space="preserve">An Australian study by Ye et al. (2020) reported that a third of their sample of patients with </w:t>
      </w:r>
      <w:r>
        <w:rPr>
          <w:i/>
        </w:rPr>
        <w:t xml:space="preserve">EGFR </w:t>
      </w:r>
      <w:r>
        <w:t xml:space="preserve">variants had pretreatment T790M variants detected with allele frequency between 0.01% and 0.1%, which is below the limit of detection of standard sequencing methods and some targeted PCR methods </w:t>
      </w:r>
      <w:r w:rsidR="00B4668F">
        <w:fldChar w:fldCharType="begin">
          <w:fldData xml:space="preserve">PEVuZE5vdGU+PENpdGU+PEF1dGhvcj5ZZTwvQXV0aG9yPjxZZWFyPjIwMjA8L1llYXI+PFJlY051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</w:fldData>
        </w:fldChar>
      </w:r>
      <w:r w:rsidR="00B4668F">
        <w:instrText xml:space="preserve"> ADDIN EN.CITE </w:instrText>
      </w:r>
      <w:r w:rsidR="00B4668F">
        <w:fldChar w:fldCharType="begin">
          <w:fldData xml:space="preserve">PEVuZE5vdGU+PENpdGU+PEF1dGhvcj5ZZTwvQXV0aG9yPjxZZWFyPjIwMjA8L1llYXI+PFJlY051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</w:fldData>
        </w:fldChar>
      </w:r>
      <w:r w:rsidR="00B4668F">
        <w:instrText xml:space="preserve"> ADDIN EN.CITE.DATA </w:instrText>
      </w:r>
      <w:r w:rsidR="00B4668F">
        <w:fldChar w:fldCharType="end"/>
      </w:r>
      <w:r w:rsidR="00B4668F">
        <w:fldChar w:fldCharType="separate"/>
      </w:r>
      <w:r w:rsidR="00B4668F">
        <w:rPr>
          <w:noProof/>
        </w:rPr>
        <w:t>(Ye et al. 2020)</w:t>
      </w:r>
      <w:r w:rsidR="00B4668F">
        <w:fldChar w:fldCharType="end"/>
      </w:r>
      <w:r>
        <w:t xml:space="preserve">. </w:t>
      </w:r>
      <w:r w:rsidR="007503B4">
        <w:t xml:space="preserve">Those with T790M detected did have a faster rate of progression </w:t>
      </w:r>
      <w:r w:rsidR="007503B4">
        <w:lastRenderedPageBreak/>
        <w:t xml:space="preserve">while on erlotinib or gefinitib, than those without any T790M variants detected, although response to treatment and overall survival were unaffected. The clinical implications of detecting T790M variants at low frequency is unknown. </w:t>
      </w:r>
    </w:p>
    <w:p w14:paraId="7A37E53E" w14:textId="269E3452" w:rsidR="00263C58" w:rsidRDefault="00263C58" w:rsidP="00263C58">
      <w:pPr>
        <w:pStyle w:val="Caption"/>
      </w:pPr>
      <w:r>
        <w:t xml:space="preserve">Table </w:t>
      </w:r>
      <w:fldSimple w:instr=" SEQ Table \* ARABIC ">
        <w:r w:rsidR="00C857F3">
          <w:rPr>
            <w:noProof/>
          </w:rPr>
          <w:t>40</w:t>
        </w:r>
      </w:fldSimple>
      <w:r>
        <w:tab/>
        <w:t>Association between variant allele frequency and response to treatment</w:t>
      </w:r>
    </w:p>
    <w:tbl>
      <w:tblPr>
        <w:tblStyle w:val="TableGrid"/>
        <w:tblW w:w="0" w:type="auto"/>
        <w:tblLook w:val="04A0" w:firstRow="1" w:lastRow="0" w:firstColumn="1" w:lastColumn="0" w:noHBand="0" w:noVBand="1"/>
        <w:tblCaption w:val="Association between variant allele frequency and response to treatment"/>
        <w:tblDescription w:val="Association between variant allele frequency and response to treatment"/>
      </w:tblPr>
      <w:tblGrid>
        <w:gridCol w:w="1944"/>
        <w:gridCol w:w="1890"/>
        <w:gridCol w:w="1918"/>
        <w:gridCol w:w="1189"/>
        <w:gridCol w:w="2075"/>
      </w:tblGrid>
      <w:tr w:rsidR="00BC1BBA" w14:paraId="3A94115E" w14:textId="77777777" w:rsidTr="003A6029">
        <w:trPr>
          <w:tblHeader/>
        </w:trPr>
        <w:tc>
          <w:tcPr>
            <w:tcW w:w="1944" w:type="dxa"/>
          </w:tcPr>
          <w:p w14:paraId="4D818890" w14:textId="7D57C37D" w:rsidR="00BC1BBA" w:rsidRDefault="00BC1BBA" w:rsidP="00B83443">
            <w:pPr>
              <w:pStyle w:val="TableHeading"/>
            </w:pPr>
            <w:r>
              <w:t>Study</w:t>
            </w:r>
          </w:p>
        </w:tc>
        <w:tc>
          <w:tcPr>
            <w:tcW w:w="1890" w:type="dxa"/>
          </w:tcPr>
          <w:p w14:paraId="7D60DBB1" w14:textId="73493003" w:rsidR="00BC1BBA" w:rsidRDefault="00BC1BBA" w:rsidP="00B83443">
            <w:pPr>
              <w:pStyle w:val="TableHeading"/>
            </w:pPr>
            <w:r>
              <w:t>Population</w:t>
            </w:r>
          </w:p>
        </w:tc>
        <w:tc>
          <w:tcPr>
            <w:tcW w:w="1918" w:type="dxa"/>
          </w:tcPr>
          <w:p w14:paraId="07D91E46" w14:textId="090F6660" w:rsidR="00BC1BBA" w:rsidRDefault="00BC1BBA" w:rsidP="00B83443">
            <w:pPr>
              <w:pStyle w:val="TableHeading"/>
            </w:pPr>
            <w:r>
              <w:t>Intervention</w:t>
            </w:r>
          </w:p>
        </w:tc>
        <w:tc>
          <w:tcPr>
            <w:tcW w:w="1189" w:type="dxa"/>
          </w:tcPr>
          <w:p w14:paraId="3269A51E" w14:textId="04AE824D" w:rsidR="00BC1BBA" w:rsidRDefault="0075613D" w:rsidP="00B83443">
            <w:pPr>
              <w:pStyle w:val="TableHeading"/>
            </w:pPr>
            <w:r>
              <w:t>Outcome</w:t>
            </w:r>
          </w:p>
        </w:tc>
        <w:tc>
          <w:tcPr>
            <w:tcW w:w="2075" w:type="dxa"/>
          </w:tcPr>
          <w:p w14:paraId="2F6B1868" w14:textId="4E21D3BF" w:rsidR="00BC1BBA" w:rsidRDefault="0075613D" w:rsidP="00B83443">
            <w:pPr>
              <w:pStyle w:val="TableHeading"/>
            </w:pPr>
            <w:r>
              <w:t>Results</w:t>
            </w:r>
          </w:p>
        </w:tc>
      </w:tr>
      <w:tr w:rsidR="00BC1BBA" w14:paraId="1765AABC" w14:textId="77777777" w:rsidTr="00BC1BBA">
        <w:tc>
          <w:tcPr>
            <w:tcW w:w="1944" w:type="dxa"/>
            <w:vMerge w:val="restart"/>
          </w:tcPr>
          <w:p w14:paraId="2A6DBE6D" w14:textId="19D48EE5" w:rsidR="00BC1BBA" w:rsidRDefault="00B4668F" w:rsidP="00BC1BBA">
            <w:pPr>
              <w:pStyle w:val="TableText"/>
            </w:pPr>
            <w:r>
              <w:fldChar w:fldCharType="begin"/>
            </w:r>
            <w:r>
              <w:instrText xml:space="preserve"> ADDIN EN.CITE &lt;EndNote&gt;&lt;Cite&gt;&lt;Author&gt;Friedlaender&lt;/Author&gt;&lt;Year&gt;2021&lt;/Year&gt;&lt;RecNum&gt;198&lt;/RecNum&gt;&lt;IDText&gt;644472&lt;/IDText&gt;&lt;DisplayText&gt;(Friedlaender et al. 2021)&lt;/DisplayText&gt;&lt;record&gt;&lt;rec-number&gt;198&lt;/rec-number&gt;&lt;foreign-keys&gt;&lt;key app="EN" db-id="0tprsse9cpp5r3ea5dz5p0xw2pfwvwxpa5a5" timestamp="1657500255"&gt;198&lt;/key&gt;&lt;/foreign-keys&gt;&lt;ref-type name="Journal Article"&gt;17&lt;/ref-type&gt;&lt;contributors&gt;&lt;authors&gt;&lt;author&gt;Friedlaender, A.&lt;/author&gt;&lt;author&gt;Tsantoulis, P.&lt;/author&gt;&lt;author&gt;Chevallier, M.&lt;/author&gt;&lt;author&gt;De Vito, C.&lt;/author&gt;&lt;author&gt;Addeo, A.&lt;/author&gt;&lt;/authors&gt;&lt;/contributors&gt;&lt;auth-address&gt;Oncology Department, University Hospital Geneva, Geneva, Switzerland.&amp;#xD;Pathology Department, University Hospital Geneva, Geneva, Switzerland.&lt;/auth-address&gt;&lt;titles&gt;&lt;title&gt;The Impact of Variant Allele Frequency in EGFR Mutated NSCLC Patients on Targeted Therapy&lt;/title&gt;&lt;secondary-title&gt;Front Oncol&lt;/secondary-title&gt;&lt;/titles&gt;&lt;periodical&gt;&lt;full-title&gt;Front Oncol&lt;/full-title&gt;&lt;/periodical&gt;&lt;pages&gt;644472&lt;/pages&gt;&lt;volume&gt;11&lt;/volume&gt;&lt;edition&gt;2021/04/20&lt;/edition&gt;&lt;keywords&gt;&lt;keyword&gt;Egfr&lt;/keyword&gt;&lt;keyword&gt;Nsclc&lt;/keyword&gt;&lt;keyword&gt;Tki&lt;/keyword&gt;&lt;keyword&gt;Vaf&lt;/keyword&gt;&lt;keyword&gt;allele frequency&lt;/keyword&gt;&lt;keyword&gt;allelic frequency&lt;/keyword&gt;&lt;keyword&gt;commercial or financial relationships that could be construed as a potential&lt;/keyword&gt;&lt;keyword&gt;conflict of interest.&lt;/keyword&gt;&lt;/keywords&gt;&lt;dates&gt;&lt;year&gt;2021&lt;/year&gt;&lt;/dates&gt;&lt;isbn&gt;2234-943X (Print)&amp;#xD;2234-943X (Linking)&lt;/isbn&gt;&lt;accession-num&gt;33869038&lt;/accession-num&gt;&lt;urls&gt;&lt;related-urls&gt;&lt;url&gt;https://www.ncbi.nlm.nih.gov/pubmed/33869038&lt;/url&gt;&lt;/related-urls&gt;&lt;/urls&gt;&lt;custom2&gt;PMC8044828&lt;/custom2&gt;&lt;electronic-resource-num&gt;10.3389/fonc.2021.644472&lt;/electronic-resource-num&gt;&lt;/record&gt;&lt;/Cite&gt;&lt;/EndNote&gt;</w:instrText>
            </w:r>
            <w:r>
              <w:fldChar w:fldCharType="separate"/>
            </w:r>
            <w:r>
              <w:rPr>
                <w:noProof/>
              </w:rPr>
              <w:t>(Friedlaender et al. 2021)</w:t>
            </w:r>
            <w:r>
              <w:fldChar w:fldCharType="end"/>
            </w:r>
          </w:p>
          <w:p w14:paraId="314AA9C9" w14:textId="3240B254" w:rsidR="0029513F" w:rsidRDefault="0029513F" w:rsidP="00BC1BBA">
            <w:pPr>
              <w:pStyle w:val="TableText"/>
            </w:pPr>
            <w:r>
              <w:t>Switzerland</w:t>
            </w:r>
          </w:p>
        </w:tc>
        <w:tc>
          <w:tcPr>
            <w:tcW w:w="1890" w:type="dxa"/>
            <w:vMerge w:val="restart"/>
          </w:tcPr>
          <w:p w14:paraId="0DB638BE" w14:textId="77777777" w:rsidR="00BC1BBA" w:rsidRDefault="00BC1BBA" w:rsidP="00BC1BBA">
            <w:pPr>
              <w:pStyle w:val="TableText"/>
            </w:pPr>
            <w:r>
              <w:t xml:space="preserve">42 patients with NSCLC and </w:t>
            </w:r>
            <w:r>
              <w:rPr>
                <w:i/>
              </w:rPr>
              <w:t xml:space="preserve">EGFR </w:t>
            </w:r>
            <w:r>
              <w:t>variants</w:t>
            </w:r>
          </w:p>
          <w:p w14:paraId="18604CD1" w14:textId="6F1F34B7" w:rsidR="00BC1BBA" w:rsidRPr="00C75DF4" w:rsidRDefault="00BC1BBA" w:rsidP="00BC1BBA">
            <w:pPr>
              <w:pStyle w:val="TableText"/>
            </w:pPr>
            <w:r>
              <w:t>Threshold for high vs low allelic frequency: 0.30</w:t>
            </w:r>
          </w:p>
        </w:tc>
        <w:tc>
          <w:tcPr>
            <w:tcW w:w="1918" w:type="dxa"/>
            <w:vMerge w:val="restart"/>
          </w:tcPr>
          <w:p w14:paraId="32B5F980" w14:textId="77777777" w:rsidR="00BC1BBA" w:rsidRDefault="00BC1BBA" w:rsidP="00BC1BBA">
            <w:pPr>
              <w:pStyle w:val="TableText"/>
            </w:pPr>
            <w:r>
              <w:t xml:space="preserve">NGS using IonAmpliseq Hotspot Panel V2 </w:t>
            </w:r>
          </w:p>
          <w:p w14:paraId="416FA004" w14:textId="2E97B849" w:rsidR="00BC1BBA" w:rsidRPr="00BC1BBA" w:rsidRDefault="00BC1BBA" w:rsidP="00BC1BBA">
            <w:pPr>
              <w:pStyle w:val="TableText"/>
            </w:pPr>
            <w:r>
              <w:t xml:space="preserve">Treatment with </w:t>
            </w:r>
            <w:r>
              <w:rPr>
                <w:i/>
              </w:rPr>
              <w:t>EGFR</w:t>
            </w:r>
            <w:r>
              <w:t xml:space="preserve"> TKI</w:t>
            </w:r>
          </w:p>
        </w:tc>
        <w:tc>
          <w:tcPr>
            <w:tcW w:w="1189" w:type="dxa"/>
          </w:tcPr>
          <w:p w14:paraId="332C1D24" w14:textId="78A51744" w:rsidR="00BC1BBA" w:rsidRDefault="00BC1BBA" w:rsidP="00BC1BBA">
            <w:pPr>
              <w:pStyle w:val="TableText"/>
            </w:pPr>
            <w:r>
              <w:t>PFS</w:t>
            </w:r>
          </w:p>
        </w:tc>
        <w:tc>
          <w:tcPr>
            <w:tcW w:w="2075" w:type="dxa"/>
          </w:tcPr>
          <w:p w14:paraId="248218F3" w14:textId="504B554B" w:rsidR="00BC1BBA" w:rsidRDefault="00BC1BBA" w:rsidP="00BC1BBA">
            <w:pPr>
              <w:pStyle w:val="TableText"/>
            </w:pPr>
            <w:r>
              <w:t>High vs low:</w:t>
            </w:r>
          </w:p>
          <w:p w14:paraId="725A907B" w14:textId="00902782" w:rsidR="00BC1BBA" w:rsidRPr="00BC1BBA" w:rsidRDefault="00BC1BBA" w:rsidP="00BC1BBA">
            <w:pPr>
              <w:pStyle w:val="TableText"/>
            </w:pPr>
            <w:r>
              <w:t>HR = 0.27 (95%CI 0.09, 0.79, p=0.017)</w:t>
            </w:r>
          </w:p>
        </w:tc>
      </w:tr>
      <w:tr w:rsidR="00BC1BBA" w14:paraId="36A645D9" w14:textId="77777777" w:rsidTr="00BC1BBA">
        <w:tc>
          <w:tcPr>
            <w:tcW w:w="1944" w:type="dxa"/>
            <w:vMerge/>
          </w:tcPr>
          <w:p w14:paraId="736B111D" w14:textId="77777777" w:rsidR="00BC1BBA" w:rsidRPr="00B83443" w:rsidRDefault="00BC1BBA" w:rsidP="00BC1BBA">
            <w:pPr>
              <w:pStyle w:val="TableText"/>
            </w:pPr>
          </w:p>
        </w:tc>
        <w:tc>
          <w:tcPr>
            <w:tcW w:w="1890" w:type="dxa"/>
            <w:vMerge/>
          </w:tcPr>
          <w:p w14:paraId="6D7C6CB5" w14:textId="77777777" w:rsidR="00BC1BBA" w:rsidRDefault="00BC1BBA" w:rsidP="00BC1BBA">
            <w:pPr>
              <w:pStyle w:val="TableText"/>
            </w:pPr>
          </w:p>
        </w:tc>
        <w:tc>
          <w:tcPr>
            <w:tcW w:w="1918" w:type="dxa"/>
            <w:vMerge/>
          </w:tcPr>
          <w:p w14:paraId="5963609A" w14:textId="77777777" w:rsidR="00BC1BBA" w:rsidRDefault="00BC1BBA" w:rsidP="00BC1BBA">
            <w:pPr>
              <w:pStyle w:val="TableText"/>
            </w:pPr>
          </w:p>
        </w:tc>
        <w:tc>
          <w:tcPr>
            <w:tcW w:w="1189" w:type="dxa"/>
          </w:tcPr>
          <w:p w14:paraId="547DCFBB" w14:textId="5A81617C" w:rsidR="00BC1BBA" w:rsidRDefault="00BC1BBA" w:rsidP="00BC1BBA">
            <w:pPr>
              <w:pStyle w:val="TableText"/>
            </w:pPr>
            <w:r>
              <w:t>OS</w:t>
            </w:r>
          </w:p>
        </w:tc>
        <w:tc>
          <w:tcPr>
            <w:tcW w:w="2075" w:type="dxa"/>
          </w:tcPr>
          <w:p w14:paraId="3E45085C" w14:textId="77777777" w:rsidR="00BC1BBA" w:rsidRDefault="00BC1BBA" w:rsidP="00BC1BBA">
            <w:pPr>
              <w:pStyle w:val="TableText"/>
            </w:pPr>
            <w:r>
              <w:t xml:space="preserve">High vs low: </w:t>
            </w:r>
          </w:p>
          <w:p w14:paraId="79972653" w14:textId="311157D0" w:rsidR="00BC1BBA" w:rsidRDefault="00BC1BBA" w:rsidP="00BC1BBA">
            <w:pPr>
              <w:pStyle w:val="TableText"/>
            </w:pPr>
            <w:r>
              <w:t>HR = 0.47 (95%CI 0.17, 1.30, p=0.14)</w:t>
            </w:r>
          </w:p>
        </w:tc>
      </w:tr>
      <w:tr w:rsidR="00A72938" w14:paraId="19D3C211" w14:textId="77777777" w:rsidTr="00BC1BBA">
        <w:tc>
          <w:tcPr>
            <w:tcW w:w="1944" w:type="dxa"/>
            <w:vMerge w:val="restart"/>
          </w:tcPr>
          <w:p w14:paraId="059F5912" w14:textId="5ED46CFE" w:rsidR="00A72938" w:rsidRDefault="00B4668F" w:rsidP="00BC1BBA">
            <w:pPr>
              <w:pStyle w:val="TableText"/>
            </w:pPr>
            <w:r>
              <w:fldChar w:fldCharType="begin">
                <w:fldData xml:space="preserve">PEVuZE5vdGU+PENpdGU+PEF1dGhvcj5HaWVzemVyPC9BdXRob3I+PFllYXI+MjAyMTwvWWVhcj48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</w:fldData>
              </w:fldChar>
            </w:r>
            <w:r>
              <w:instrText xml:space="preserve"> ADDIN EN.CITE </w:instrText>
            </w:r>
            <w:r>
              <w:fldChar w:fldCharType="begin">
                <w:fldData xml:space="preserve">PEVuZE5vdGU+PENpdGU+PEF1dGhvcj5HaWVzemVyPC9BdXRob3I+PFllYXI+MjAyMTwvWWVhcj48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</w:fldData>
              </w:fldChar>
            </w:r>
            <w:r>
              <w:instrText xml:space="preserve"> ADDIN EN.CITE.DATA </w:instrText>
            </w:r>
            <w:r>
              <w:fldChar w:fldCharType="end"/>
            </w:r>
            <w:r>
              <w:fldChar w:fldCharType="separate"/>
            </w:r>
            <w:r>
              <w:rPr>
                <w:noProof/>
              </w:rPr>
              <w:t>(Gieszer et al. 2021)</w:t>
            </w:r>
            <w:r>
              <w:fldChar w:fldCharType="end"/>
            </w:r>
          </w:p>
          <w:p w14:paraId="32539F14" w14:textId="1E7819E5" w:rsidR="00A72938" w:rsidRDefault="00A72938" w:rsidP="00BC1BBA">
            <w:pPr>
              <w:pStyle w:val="TableText"/>
            </w:pPr>
            <w:r>
              <w:t>Hungary</w:t>
            </w:r>
          </w:p>
        </w:tc>
        <w:tc>
          <w:tcPr>
            <w:tcW w:w="1890" w:type="dxa"/>
            <w:vMerge w:val="restart"/>
          </w:tcPr>
          <w:p w14:paraId="5EBE754F" w14:textId="77777777" w:rsidR="00A72938" w:rsidRDefault="00A72938" w:rsidP="00BC1BBA">
            <w:pPr>
              <w:pStyle w:val="TableText"/>
            </w:pPr>
            <w:r>
              <w:t xml:space="preserve">89 Caucasian patients with NSCLC (adenocarcinomas), and </w:t>
            </w:r>
            <w:r>
              <w:rPr>
                <w:i/>
              </w:rPr>
              <w:t xml:space="preserve">EGFR </w:t>
            </w:r>
            <w:r>
              <w:t>variants</w:t>
            </w:r>
          </w:p>
          <w:p w14:paraId="4D0A7F42" w14:textId="33FEE5B2" w:rsidR="00A72938" w:rsidRPr="00BC1BBA" w:rsidRDefault="00A72938" w:rsidP="00BC1BBA">
            <w:pPr>
              <w:pStyle w:val="TableText"/>
            </w:pPr>
            <w:r>
              <w:t>Adjusted VAF (aVAF) = VAF/TC% x 100</w:t>
            </w:r>
          </w:p>
        </w:tc>
        <w:tc>
          <w:tcPr>
            <w:tcW w:w="1918" w:type="dxa"/>
            <w:vMerge w:val="restart"/>
          </w:tcPr>
          <w:p w14:paraId="0388F165" w14:textId="57C0C7EA" w:rsidR="00A72938" w:rsidRDefault="00A72938" w:rsidP="00BC1BBA">
            <w:pPr>
              <w:pStyle w:val="TableText"/>
            </w:pPr>
            <w:r>
              <w:t xml:space="preserve">Therascreen </w:t>
            </w:r>
            <w:r w:rsidRPr="00A72938">
              <w:rPr>
                <w:i/>
              </w:rPr>
              <w:t xml:space="preserve">EGFR </w:t>
            </w:r>
            <w:r>
              <w:t>Pyro assay</w:t>
            </w:r>
          </w:p>
          <w:p w14:paraId="26C0DB46" w14:textId="20E16FC1" w:rsidR="00A72938" w:rsidRDefault="00A72938" w:rsidP="00BC1BBA">
            <w:pPr>
              <w:pStyle w:val="TableText"/>
            </w:pPr>
            <w:r>
              <w:t>Erlotinib or gefitinib as first- or second-line treatment</w:t>
            </w:r>
          </w:p>
        </w:tc>
        <w:tc>
          <w:tcPr>
            <w:tcW w:w="1189" w:type="dxa"/>
          </w:tcPr>
          <w:p w14:paraId="05C5EE6E" w14:textId="2DA6A2A4" w:rsidR="00A72938" w:rsidRDefault="00A72938" w:rsidP="00BC1BBA">
            <w:pPr>
              <w:pStyle w:val="TableText"/>
            </w:pPr>
            <w:r>
              <w:t>PFS</w:t>
            </w:r>
          </w:p>
        </w:tc>
        <w:tc>
          <w:tcPr>
            <w:tcW w:w="2075" w:type="dxa"/>
          </w:tcPr>
          <w:p w14:paraId="5CD54EC2" w14:textId="77777777" w:rsidR="00A72938" w:rsidRDefault="00A72938" w:rsidP="00BC1BBA">
            <w:pPr>
              <w:pStyle w:val="TableText"/>
            </w:pPr>
            <w:r>
              <w:t>Positive linear correlation between aVAF and PFS:</w:t>
            </w:r>
          </w:p>
          <w:p w14:paraId="4FA8CD2B" w14:textId="2B8729B0" w:rsidR="00A72938" w:rsidRDefault="00A72938" w:rsidP="00BC1BBA">
            <w:pPr>
              <w:pStyle w:val="TableText"/>
            </w:pPr>
            <w:r>
              <w:t>r = 0.319, p=0.003, Spearman’s correlation</w:t>
            </w:r>
          </w:p>
        </w:tc>
      </w:tr>
      <w:tr w:rsidR="00A72938" w14:paraId="6767DDD7" w14:textId="77777777" w:rsidTr="00BC1BBA">
        <w:tc>
          <w:tcPr>
            <w:tcW w:w="1944" w:type="dxa"/>
            <w:vMerge/>
          </w:tcPr>
          <w:p w14:paraId="05131504" w14:textId="77777777" w:rsidR="00A72938" w:rsidRPr="00BC1BBA" w:rsidRDefault="00A72938" w:rsidP="00BC1BBA">
            <w:pPr>
              <w:pStyle w:val="TableText"/>
            </w:pPr>
          </w:p>
        </w:tc>
        <w:tc>
          <w:tcPr>
            <w:tcW w:w="1890" w:type="dxa"/>
            <w:vMerge/>
          </w:tcPr>
          <w:p w14:paraId="4819E696" w14:textId="77777777" w:rsidR="00A72938" w:rsidRDefault="00A72938" w:rsidP="00BC1BBA">
            <w:pPr>
              <w:pStyle w:val="TableText"/>
            </w:pPr>
          </w:p>
        </w:tc>
        <w:tc>
          <w:tcPr>
            <w:tcW w:w="1918" w:type="dxa"/>
            <w:vMerge/>
          </w:tcPr>
          <w:p w14:paraId="24AFE1CF" w14:textId="77777777" w:rsidR="00A72938" w:rsidRDefault="00A72938" w:rsidP="00BC1BBA">
            <w:pPr>
              <w:pStyle w:val="TableText"/>
            </w:pPr>
          </w:p>
        </w:tc>
        <w:tc>
          <w:tcPr>
            <w:tcW w:w="1189" w:type="dxa"/>
          </w:tcPr>
          <w:p w14:paraId="0A768976" w14:textId="241344EA" w:rsidR="00A72938" w:rsidRDefault="00A72938" w:rsidP="00BC1BBA">
            <w:pPr>
              <w:pStyle w:val="TableText"/>
            </w:pPr>
            <w:r>
              <w:t>PFS</w:t>
            </w:r>
          </w:p>
        </w:tc>
        <w:tc>
          <w:tcPr>
            <w:tcW w:w="2075" w:type="dxa"/>
          </w:tcPr>
          <w:p w14:paraId="2130D532" w14:textId="77777777" w:rsidR="00A72938" w:rsidRDefault="00A72938" w:rsidP="00BC1BBA">
            <w:pPr>
              <w:pStyle w:val="TableText"/>
            </w:pPr>
            <w:r>
              <w:t xml:space="preserve">Adjusting for </w:t>
            </w:r>
            <w:r w:rsidR="00683C3A">
              <w:t xml:space="preserve">clinicopathological variables (age, gender, variant, treatment, treatment line), </w:t>
            </w:r>
          </w:p>
          <w:p w14:paraId="00841D62" w14:textId="46C7E888" w:rsidR="00683C3A" w:rsidRDefault="00683C3A" w:rsidP="00683C3A">
            <w:pPr>
              <w:pStyle w:val="TableText"/>
            </w:pPr>
            <w:r>
              <w:t>HR = 0.991 (95%CI 0.982, 0.999), p = 0.042</w:t>
            </w:r>
          </w:p>
        </w:tc>
      </w:tr>
      <w:tr w:rsidR="00A72938" w14:paraId="0856038E" w14:textId="77777777" w:rsidTr="00BC1BBA">
        <w:tc>
          <w:tcPr>
            <w:tcW w:w="1944" w:type="dxa"/>
            <w:vMerge/>
          </w:tcPr>
          <w:p w14:paraId="4A9BC4FD" w14:textId="77777777" w:rsidR="00A72938" w:rsidRPr="00BC1BBA" w:rsidRDefault="00A72938" w:rsidP="00BC1BBA">
            <w:pPr>
              <w:pStyle w:val="TableText"/>
            </w:pPr>
          </w:p>
        </w:tc>
        <w:tc>
          <w:tcPr>
            <w:tcW w:w="1890" w:type="dxa"/>
            <w:vMerge/>
          </w:tcPr>
          <w:p w14:paraId="54E0FE44" w14:textId="77777777" w:rsidR="00A72938" w:rsidRDefault="00A72938" w:rsidP="00BC1BBA">
            <w:pPr>
              <w:pStyle w:val="TableText"/>
            </w:pPr>
          </w:p>
        </w:tc>
        <w:tc>
          <w:tcPr>
            <w:tcW w:w="1918" w:type="dxa"/>
            <w:vMerge/>
          </w:tcPr>
          <w:p w14:paraId="5687672B" w14:textId="77777777" w:rsidR="00A72938" w:rsidRDefault="00A72938" w:rsidP="00BC1BBA">
            <w:pPr>
              <w:pStyle w:val="TableText"/>
            </w:pPr>
          </w:p>
        </w:tc>
        <w:tc>
          <w:tcPr>
            <w:tcW w:w="1189" w:type="dxa"/>
          </w:tcPr>
          <w:p w14:paraId="238DCF1D" w14:textId="0EFC3075" w:rsidR="00A72938" w:rsidRDefault="00A72938" w:rsidP="00BC1BBA">
            <w:pPr>
              <w:pStyle w:val="TableText"/>
            </w:pPr>
            <w:r>
              <w:t>OS</w:t>
            </w:r>
          </w:p>
        </w:tc>
        <w:tc>
          <w:tcPr>
            <w:tcW w:w="2075" w:type="dxa"/>
          </w:tcPr>
          <w:p w14:paraId="562BE049" w14:textId="77777777" w:rsidR="00A72938" w:rsidRDefault="00A72938" w:rsidP="00BC1BBA">
            <w:pPr>
              <w:pStyle w:val="TableText"/>
            </w:pPr>
            <w:r>
              <w:t>High vs low aVAF</w:t>
            </w:r>
          </w:p>
          <w:p w14:paraId="124F53FE" w14:textId="57E584FF" w:rsidR="00A72938" w:rsidRDefault="00A72938" w:rsidP="00BC1BBA">
            <w:pPr>
              <w:pStyle w:val="TableText"/>
            </w:pPr>
            <w:r>
              <w:t>median 94 vs 57 weeks, p=0.011</w:t>
            </w:r>
          </w:p>
        </w:tc>
      </w:tr>
      <w:tr w:rsidR="00683C3A" w14:paraId="72D9524A" w14:textId="77777777" w:rsidTr="00BC1BBA">
        <w:tc>
          <w:tcPr>
            <w:tcW w:w="1944" w:type="dxa"/>
          </w:tcPr>
          <w:p w14:paraId="1AC67913" w14:textId="656AEC29" w:rsidR="00683C3A" w:rsidRDefault="00B4668F" w:rsidP="00BC1BBA">
            <w:pPr>
              <w:pStyle w:val="TableText"/>
            </w:pPr>
            <w:r>
              <w:fldChar w:fldCharType="begin">
                <w:fldData xml:space="preserve">PEVuZE5vdGU+PENpdGU+PEF1dGhvcj5ZZTwvQXV0aG9yPjxZZWFyPjIwMjA8L1llYXI+PFJlY051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</w:fldData>
              </w:fldChar>
            </w:r>
            <w:r>
              <w:instrText xml:space="preserve"> ADDIN EN.CITE </w:instrText>
            </w:r>
            <w:r>
              <w:fldChar w:fldCharType="begin">
                <w:fldData xml:space="preserve">PEVuZE5vdGU+PENpdGU+PEF1dGhvcj5ZZTwvQXV0aG9yPjxZZWFyPjIwMjA8L1llYXI+PFJlY051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</w:fldData>
              </w:fldChar>
            </w:r>
            <w:r>
              <w:instrText xml:space="preserve"> ADDIN EN.CITE.DATA </w:instrText>
            </w:r>
            <w:r>
              <w:fldChar w:fldCharType="end"/>
            </w:r>
            <w:r>
              <w:fldChar w:fldCharType="separate"/>
            </w:r>
            <w:r>
              <w:rPr>
                <w:noProof/>
              </w:rPr>
              <w:t>(Ye et al. 2020)</w:t>
            </w:r>
            <w:r>
              <w:fldChar w:fldCharType="end"/>
            </w:r>
          </w:p>
          <w:p w14:paraId="65C790ED" w14:textId="6DB47F1D" w:rsidR="00683C3A" w:rsidRPr="00BC1BBA" w:rsidRDefault="00683C3A" w:rsidP="00BC1BBA">
            <w:pPr>
              <w:pStyle w:val="TableText"/>
            </w:pPr>
            <w:r>
              <w:t>Australia</w:t>
            </w:r>
          </w:p>
        </w:tc>
        <w:tc>
          <w:tcPr>
            <w:tcW w:w="1890" w:type="dxa"/>
          </w:tcPr>
          <w:p w14:paraId="0AC78779" w14:textId="419D3DD6" w:rsidR="00683C3A" w:rsidRDefault="001F4A5D" w:rsidP="00BC1BBA">
            <w:pPr>
              <w:pStyle w:val="TableText"/>
            </w:pPr>
            <w:r>
              <w:t>64</w:t>
            </w:r>
            <w:r w:rsidR="00683C3A">
              <w:t xml:space="preserve"> patients with NSCLC and </w:t>
            </w:r>
            <w:r w:rsidR="00683C3A">
              <w:rPr>
                <w:i/>
              </w:rPr>
              <w:t>EGFR</w:t>
            </w:r>
            <w:r w:rsidR="00683C3A">
              <w:t xml:space="preserve"> variants</w:t>
            </w:r>
            <w:r>
              <w:t>, with stage IV disease</w:t>
            </w:r>
          </w:p>
          <w:p w14:paraId="1C5FFAA0" w14:textId="77777777" w:rsidR="008140AC" w:rsidRDefault="008140AC" w:rsidP="00683C3A">
            <w:pPr>
              <w:pStyle w:val="TableText"/>
            </w:pPr>
            <w:r>
              <w:t>14 VAF &lt;0.1%</w:t>
            </w:r>
          </w:p>
          <w:p w14:paraId="4E0CCD4D" w14:textId="77777777" w:rsidR="008140AC" w:rsidRDefault="008140AC" w:rsidP="00683C3A">
            <w:pPr>
              <w:pStyle w:val="TableText"/>
            </w:pPr>
            <w:r>
              <w:t>28 VAF ≥ 0.1%</w:t>
            </w:r>
          </w:p>
          <w:p w14:paraId="340FBEB9" w14:textId="5C0EB033" w:rsidR="008140AC" w:rsidRPr="00683C3A" w:rsidRDefault="008140AC" w:rsidP="00683C3A">
            <w:pPr>
              <w:pStyle w:val="TableText"/>
            </w:pPr>
            <w:r>
              <w:t>1 detectable by SS, VAF = 28.5%</w:t>
            </w:r>
          </w:p>
        </w:tc>
        <w:tc>
          <w:tcPr>
            <w:tcW w:w="1918" w:type="dxa"/>
          </w:tcPr>
          <w:p w14:paraId="53EA5D99" w14:textId="77777777" w:rsidR="00683C3A" w:rsidRDefault="00683C3A" w:rsidP="00BC1BBA">
            <w:pPr>
              <w:pStyle w:val="TableText"/>
            </w:pPr>
            <w:r>
              <w:t xml:space="preserve">Digital PCR </w:t>
            </w:r>
          </w:p>
          <w:p w14:paraId="5B1484E4" w14:textId="4569CEF4" w:rsidR="008140AC" w:rsidRDefault="008140AC" w:rsidP="00BC1BBA">
            <w:pPr>
              <w:pStyle w:val="TableText"/>
            </w:pPr>
            <w:r>
              <w:t>Erlotinib or gefitinib</w:t>
            </w:r>
          </w:p>
        </w:tc>
        <w:tc>
          <w:tcPr>
            <w:tcW w:w="1189" w:type="dxa"/>
          </w:tcPr>
          <w:p w14:paraId="3D3AF5D2" w14:textId="23154155" w:rsidR="00683C3A" w:rsidRDefault="001F4A5D" w:rsidP="00BC1BBA">
            <w:pPr>
              <w:pStyle w:val="TableText"/>
            </w:pPr>
            <w:r>
              <w:t>PFS</w:t>
            </w:r>
          </w:p>
        </w:tc>
        <w:tc>
          <w:tcPr>
            <w:tcW w:w="2075" w:type="dxa"/>
          </w:tcPr>
          <w:p w14:paraId="19F54EB6" w14:textId="0216BD5C" w:rsidR="00683C3A" w:rsidRDefault="001F4A5D" w:rsidP="00BC1BBA">
            <w:pPr>
              <w:pStyle w:val="TableText"/>
            </w:pPr>
            <w:r>
              <w:t>No significant difference by T790M status (log rank test p = 0.897), or T790M allele frequency (&lt;0.1 vs ≥ 0.1%, p = 0.515)</w:t>
            </w:r>
          </w:p>
        </w:tc>
      </w:tr>
    </w:tbl>
    <w:p w14:paraId="2B05EE42" w14:textId="77777777" w:rsidR="00077451" w:rsidRDefault="00482262" w:rsidP="00EB5DCD">
      <w:pPr>
        <w:pStyle w:val="TableFooter"/>
      </w:pPr>
      <w:r>
        <w:t xml:space="preserve">HR = hazard ratio; NSCLC = non-small cell lung cancer; OS = overall survival; PFS = progression free survival; </w:t>
      </w:r>
      <w:r w:rsidR="00A72938">
        <w:t xml:space="preserve">TC = estimated percentage of neoplastic cells; VAF = variant allele frequency, percentage of </w:t>
      </w:r>
      <w:r w:rsidR="00A72938">
        <w:rPr>
          <w:i/>
        </w:rPr>
        <w:t xml:space="preserve">EGFR </w:t>
      </w:r>
      <w:r w:rsidR="00A72938">
        <w:t xml:space="preserve">variant </w:t>
      </w:r>
      <w:r w:rsidR="00077451">
        <w:t>alleles determined by the assay</w:t>
      </w:r>
    </w:p>
    <w:p w14:paraId="240F4C9D" w14:textId="3C448097" w:rsidR="003A2CFD" w:rsidRPr="003A2CFD" w:rsidRDefault="00A72938" w:rsidP="00EB5DCD">
      <w:pPr>
        <w:pStyle w:val="TableFooter"/>
      </w:pPr>
      <w:r>
        <w:t xml:space="preserve"> </w:t>
      </w:r>
    </w:p>
    <w:p w14:paraId="6307C1EB" w14:textId="06334857" w:rsidR="00AC08AD" w:rsidRPr="00AC08AD" w:rsidRDefault="00AC08AD" w:rsidP="00993F1B">
      <w:pPr>
        <w:pStyle w:val="Heading5"/>
        <w:rPr>
          <w:i/>
        </w:rPr>
      </w:pPr>
      <w:r w:rsidRPr="00AC08AD">
        <w:rPr>
          <w:i/>
        </w:rPr>
        <w:t>ALK</w:t>
      </w:r>
    </w:p>
    <w:p w14:paraId="16B5C447" w14:textId="5CF4EC54" w:rsidR="00993F1B" w:rsidRDefault="00993F1B" w:rsidP="007B4B9A">
      <w:pPr>
        <w:pStyle w:val="NormalBeforeBullet"/>
      </w:pPr>
      <w:r>
        <w:t xml:space="preserve">Direct evidence was included in section </w:t>
      </w:r>
      <w:r w:rsidR="00400BC7">
        <w:t>2</w:t>
      </w:r>
      <w:r>
        <w:t>.1 demonstrating in a small study</w:t>
      </w:r>
      <w:r w:rsidR="004F4C79">
        <w:t xml:space="preserve"> (n=40)</w:t>
      </w:r>
      <w:r>
        <w:t xml:space="preserve">, that those who tested positive for </w:t>
      </w:r>
      <w:r>
        <w:rPr>
          <w:i/>
        </w:rPr>
        <w:t xml:space="preserve">ALK </w:t>
      </w:r>
      <w:r>
        <w:t xml:space="preserve">fusions by NGS, </w:t>
      </w:r>
      <w:r w:rsidR="004F4C79">
        <w:t>had better PFS on average, on</w:t>
      </w:r>
      <w:r>
        <w:t xml:space="preserve"> crizotinib </w:t>
      </w:r>
      <w:r w:rsidR="004F4C79">
        <w:t xml:space="preserve">treatment, </w:t>
      </w:r>
      <w:r>
        <w:t xml:space="preserve">than those who tested positive on either IHC or FISH </w:t>
      </w:r>
      <w:r w:rsidR="00B4668F">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rsidR="00B4668F">
        <w:instrText xml:space="preserve"> ADDIN EN.CITE </w:instrText>
      </w:r>
      <w:r w:rsidR="00B4668F">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rsidR="00B4668F">
        <w:instrText xml:space="preserve"> ADDIN EN.CITE.DATA </w:instrText>
      </w:r>
      <w:r w:rsidR="00B4668F">
        <w:fldChar w:fldCharType="end"/>
      </w:r>
      <w:r w:rsidR="00B4668F">
        <w:fldChar w:fldCharType="separate"/>
      </w:r>
      <w:r w:rsidR="00B4668F">
        <w:rPr>
          <w:noProof/>
        </w:rPr>
        <w:t>(Lin, C et al. 2019)</w:t>
      </w:r>
      <w:r w:rsidR="00B4668F">
        <w:fldChar w:fldCharType="end"/>
      </w:r>
      <w:r>
        <w:t xml:space="preserve">. </w:t>
      </w:r>
    </w:p>
    <w:p w14:paraId="447461BC" w14:textId="7E1B05DC" w:rsidR="007B4B9A" w:rsidRDefault="00993F1B" w:rsidP="004A5F2A">
      <w:pPr>
        <w:pStyle w:val="NormalBeforeBullet"/>
      </w:pPr>
      <w:r>
        <w:t xml:space="preserve">In addition to this study, a further </w:t>
      </w:r>
      <w:r w:rsidR="00A1302B">
        <w:t>two</w:t>
      </w:r>
      <w:r>
        <w:t xml:space="preserve"> case series were identified which reported on what treatment </w:t>
      </w:r>
      <w:r w:rsidR="004F4C79">
        <w:t xml:space="preserve">some of the </w:t>
      </w:r>
      <w:r>
        <w:t>patients who were discordant on NGS and</w:t>
      </w:r>
      <w:r w:rsidR="004F4C79">
        <w:t xml:space="preserve"> IHC or</w:t>
      </w:r>
      <w:r>
        <w:t xml:space="preserve"> FISH for </w:t>
      </w:r>
      <w:r>
        <w:rPr>
          <w:i/>
        </w:rPr>
        <w:t>ALK</w:t>
      </w:r>
      <w:r>
        <w:t xml:space="preserve"> </w:t>
      </w:r>
      <w:r w:rsidR="00B965D7">
        <w:t xml:space="preserve">variants </w:t>
      </w:r>
      <w:r>
        <w:t xml:space="preserve">received, and what their health outcomes were. </w:t>
      </w:r>
      <w:r w:rsidR="000935B4">
        <w:t>Ali et al.</w:t>
      </w:r>
      <w:r w:rsidR="004A5F2A">
        <w:t xml:space="preserve"> </w:t>
      </w:r>
      <w:r w:rsidR="00B4668F">
        <w:fldChar w:fldCharType="begin">
          <w:fldData xml:space="preserve">PEVuZE5vdGU+PENpdGUgRXhjbHVkZUF1dGg9IjEiPjxBdXRob3I+QWxpPC9BdXRob3I+PFllYXI+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</w:fldData>
        </w:fldChar>
      </w:r>
      <w:r w:rsidR="00B4668F">
        <w:instrText xml:space="preserve"> ADDIN EN.CITE </w:instrText>
      </w:r>
      <w:r w:rsidR="00B4668F">
        <w:fldChar w:fldCharType="begin">
          <w:fldData xml:space="preserve">PEVuZE5vdGU+PENpdGUgRXhjbHVkZUF1dGg9IjEiPjxBdXRob3I+QWxpPC9BdXRob3I+PFllYXI+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</w:fldData>
        </w:fldChar>
      </w:r>
      <w:r w:rsidR="00B4668F">
        <w:instrText xml:space="preserve"> ADDIN EN.CITE.DATA </w:instrText>
      </w:r>
      <w:r w:rsidR="00B4668F">
        <w:fldChar w:fldCharType="end"/>
      </w:r>
      <w:r w:rsidR="00B4668F">
        <w:fldChar w:fldCharType="separate"/>
      </w:r>
      <w:r w:rsidR="00B4668F">
        <w:rPr>
          <w:noProof/>
        </w:rPr>
        <w:t>(2016)</w:t>
      </w:r>
      <w:r w:rsidR="00B4668F">
        <w:fldChar w:fldCharType="end"/>
      </w:r>
      <w:r w:rsidR="005F5F9E">
        <w:t xml:space="preserve"> </w:t>
      </w:r>
      <w:r w:rsidR="004A5F2A">
        <w:t xml:space="preserve">reported that those who were found to have </w:t>
      </w:r>
      <w:r w:rsidR="004A5F2A">
        <w:rPr>
          <w:i/>
        </w:rPr>
        <w:t>ALK</w:t>
      </w:r>
      <w:r w:rsidR="004A5F2A">
        <w:t xml:space="preserve"> fusions on NGS, but who were negative on FISH, had a high response rate to crizotinib (77.8%), which is unlikely to be significantly different to those who were found to have </w:t>
      </w:r>
      <w:r w:rsidR="004A5F2A" w:rsidRPr="00956452">
        <w:rPr>
          <w:i/>
        </w:rPr>
        <w:t>ALK</w:t>
      </w:r>
      <w:r w:rsidR="004A5F2A">
        <w:t xml:space="preserve"> fusions on both NGS and FISH (response rate 78.9%). </w:t>
      </w:r>
      <w:r w:rsidR="0056559A">
        <w:t xml:space="preserve">For the very small number of additional cases with </w:t>
      </w:r>
      <w:r w:rsidR="0056559A">
        <w:rPr>
          <w:i/>
        </w:rPr>
        <w:t>ALK</w:t>
      </w:r>
      <w:r w:rsidR="0056559A">
        <w:t xml:space="preserve"> fusions detected by NGS, who may be missed by IHC ± FISH, it is suggested that targeted treatment would be beneficial.  </w:t>
      </w:r>
    </w:p>
    <w:p w14:paraId="7FC3575E" w14:textId="2599ACDF" w:rsidR="0056559A" w:rsidRPr="0056559A" w:rsidRDefault="0056559A" w:rsidP="004A5F2A">
      <w:pPr>
        <w:pStyle w:val="NormalBeforeBullet"/>
      </w:pPr>
      <w:r>
        <w:lastRenderedPageBreak/>
        <w:t>A second case ser</w:t>
      </w:r>
      <w:r w:rsidR="000935B4">
        <w:t>ies by Vollbrecht et al.</w:t>
      </w:r>
      <w:r w:rsidR="005F5F9E">
        <w:t xml:space="preserve"> </w:t>
      </w:r>
      <w:r w:rsidR="00B4668F">
        <w:fldChar w:fldCharType="begin"/>
      </w:r>
      <w:r w:rsidR="00B4668F">
        <w:instrText xml:space="preserve"> ADDIN EN.CITE &lt;EndNote&gt;&lt;Cite ExcludeAuth="1"&gt;&lt;Author&gt;Vollbrecht&lt;/Author&gt;&lt;Year&gt;2018&lt;/Year&gt;&lt;RecNum&gt;177&lt;/RecNum&gt;&lt;IDText&gt;1158-1158&lt;/IDText&gt;&lt;DisplayText&gt;(2018)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rsidR="00B4668F">
        <w:fldChar w:fldCharType="separate"/>
      </w:r>
      <w:r w:rsidR="00B4668F">
        <w:rPr>
          <w:noProof/>
        </w:rPr>
        <w:t>(2018)</w:t>
      </w:r>
      <w:r w:rsidR="00B4668F">
        <w:fldChar w:fldCharType="end"/>
      </w:r>
      <w:r w:rsidR="000935B4">
        <w:t xml:space="preserve"> </w:t>
      </w:r>
      <w:r>
        <w:t xml:space="preserve">reported that few clinical data were available. However, they reported four cases with ALK IHC-negative but borderline FISH who were treated with an </w:t>
      </w:r>
      <w:r w:rsidRPr="00956452">
        <w:rPr>
          <w:i/>
        </w:rPr>
        <w:t>ALK</w:t>
      </w:r>
      <w:r>
        <w:t xml:space="preserve"> TKI. They did not receive any benefit from the treatment. It is hypothesised that earlier use of NGS would have avoided the wrong treatment in these cases. However, given their IHC-negative status, these patients would not have been eligible for FISH testing, and would therefore not have received the treatment in the Australian setting. </w:t>
      </w:r>
    </w:p>
    <w:p w14:paraId="2BE85770" w14:textId="429E05FC" w:rsidR="002D6007" w:rsidRDefault="002D6007" w:rsidP="002D6007">
      <w:pPr>
        <w:pStyle w:val="Caption"/>
      </w:pPr>
      <w:r>
        <w:t xml:space="preserve">Table </w:t>
      </w:r>
      <w:fldSimple w:instr=" SEQ Table \* ARABIC ">
        <w:r w:rsidR="00C857F3">
          <w:rPr>
            <w:noProof/>
          </w:rPr>
          <w:t>41</w:t>
        </w:r>
      </w:fldSimple>
      <w:r>
        <w:tab/>
        <w:t xml:space="preserve">Response to </w:t>
      </w:r>
      <w:r w:rsidR="00A1302B">
        <w:t>ALK-TKIs</w:t>
      </w:r>
      <w:r>
        <w:t xml:space="preserve"> in patients incrementally identified by NGS (but not FISH)</w:t>
      </w:r>
      <w:r w:rsidR="0056559A">
        <w:t xml:space="preserve"> or vice versa</w:t>
      </w:r>
    </w:p>
    <w:tbl>
      <w:tblPr>
        <w:tblStyle w:val="TableGrid"/>
        <w:tblW w:w="5000" w:type="pct"/>
        <w:tblLook w:val="04A0" w:firstRow="1" w:lastRow="0" w:firstColumn="1" w:lastColumn="0" w:noHBand="0" w:noVBand="1"/>
        <w:tblCaption w:val="Response to ALK-TKIs in patients incrementally identified by NGS (but not FISH) or vice versa"/>
        <w:tblDescription w:val="Response to ALK-TKIs in patients incrementally identified by NGS (but not FISH) or vice versa"/>
      </w:tblPr>
      <w:tblGrid>
        <w:gridCol w:w="1046"/>
        <w:gridCol w:w="1989"/>
        <w:gridCol w:w="1989"/>
        <w:gridCol w:w="3992"/>
      </w:tblGrid>
      <w:tr w:rsidR="004F4C79" w14:paraId="2CC7CFAF" w14:textId="2D3C4916" w:rsidTr="003A6029">
        <w:trPr>
          <w:trHeight w:val="653"/>
          <w:tblHeader/>
        </w:trPr>
        <w:tc>
          <w:tcPr>
            <w:tcW w:w="580" w:type="pct"/>
          </w:tcPr>
          <w:p w14:paraId="0B6F3F67" w14:textId="77777777" w:rsidR="004F4C79" w:rsidRDefault="004F4C79" w:rsidP="007E4089">
            <w:pPr>
              <w:pStyle w:val="TableHeading"/>
            </w:pPr>
            <w:r>
              <w:t>Study</w:t>
            </w:r>
          </w:p>
        </w:tc>
        <w:tc>
          <w:tcPr>
            <w:tcW w:w="1103" w:type="pct"/>
          </w:tcPr>
          <w:p w14:paraId="09364030" w14:textId="2F69FAAF" w:rsidR="004F4C79" w:rsidRDefault="004F4C79" w:rsidP="007E4089">
            <w:pPr>
              <w:pStyle w:val="TableHeading"/>
            </w:pPr>
            <w:r>
              <w:t>Population</w:t>
            </w:r>
          </w:p>
        </w:tc>
        <w:tc>
          <w:tcPr>
            <w:tcW w:w="1103" w:type="pct"/>
          </w:tcPr>
          <w:p w14:paraId="4031DE23" w14:textId="6C475FE2" w:rsidR="004F4C79" w:rsidRDefault="004F4C79" w:rsidP="007E4089">
            <w:pPr>
              <w:pStyle w:val="TableHeading"/>
            </w:pPr>
            <w:r>
              <w:t>Comparator and intervention result subsets</w:t>
            </w:r>
          </w:p>
        </w:tc>
        <w:tc>
          <w:tcPr>
            <w:tcW w:w="2214" w:type="pct"/>
          </w:tcPr>
          <w:p w14:paraId="7CCCA6EE" w14:textId="23AA84D3" w:rsidR="004F4C79" w:rsidRDefault="004F4C79" w:rsidP="007E4089">
            <w:pPr>
              <w:pStyle w:val="TableHeading"/>
            </w:pPr>
            <w:r>
              <w:t>Response</w:t>
            </w:r>
          </w:p>
        </w:tc>
      </w:tr>
      <w:tr w:rsidR="004F4C79" w14:paraId="0398263E" w14:textId="522D05C6" w:rsidTr="004F4C79">
        <w:tc>
          <w:tcPr>
            <w:tcW w:w="580" w:type="pct"/>
            <w:vMerge w:val="restart"/>
          </w:tcPr>
          <w:p w14:paraId="087734BC" w14:textId="1E809AA5" w:rsidR="004F4C79" w:rsidRPr="003A3CB0" w:rsidRDefault="00B4668F" w:rsidP="00B4668F">
            <w:pPr>
              <w:pStyle w:val="TableText"/>
            </w:pP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 </w:instrText>
            </w: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EN.CITE.DATA </w:instrText>
            </w:r>
            <w:r>
              <w:fldChar w:fldCharType="end"/>
            </w:r>
            <w:r>
              <w:fldChar w:fldCharType="separate"/>
            </w:r>
            <w:r>
              <w:rPr>
                <w:noProof/>
              </w:rPr>
              <w:t>(Ali et al. 2016)</w:t>
            </w:r>
            <w:r>
              <w:fldChar w:fldCharType="end"/>
            </w:r>
          </w:p>
        </w:tc>
        <w:tc>
          <w:tcPr>
            <w:tcW w:w="1103" w:type="pct"/>
            <w:vMerge w:val="restart"/>
          </w:tcPr>
          <w:p w14:paraId="70FF9550" w14:textId="57A1FBF8" w:rsidR="004F4C79" w:rsidRDefault="004F4C79" w:rsidP="004F4C79">
            <w:pPr>
              <w:pStyle w:val="TableText"/>
            </w:pPr>
            <w:r>
              <w:t xml:space="preserve">31 patients with NSCLC who were </w:t>
            </w:r>
            <w:r w:rsidRPr="00956452">
              <w:rPr>
                <w:i/>
              </w:rPr>
              <w:t>ALK</w:t>
            </w:r>
            <w:r>
              <w:t>+ on NGS (and had FISH results available)</w:t>
            </w:r>
          </w:p>
        </w:tc>
        <w:tc>
          <w:tcPr>
            <w:tcW w:w="1103" w:type="pct"/>
          </w:tcPr>
          <w:p w14:paraId="7CA379E7" w14:textId="6B91C712" w:rsidR="004F4C79" w:rsidRPr="002D6007" w:rsidRDefault="004F4C79" w:rsidP="00A1302B">
            <w:pPr>
              <w:pStyle w:val="TableText"/>
            </w:pPr>
            <w:r>
              <w:t xml:space="preserve">FISH </w:t>
            </w:r>
            <w:r w:rsidRPr="002D6007">
              <w:rPr>
                <w:i/>
              </w:rPr>
              <w:t>ALK</w:t>
            </w:r>
            <w:r>
              <w:t xml:space="preserve">- and NGS </w:t>
            </w:r>
            <w:r w:rsidRPr="00B46FCD">
              <w:rPr>
                <w:i/>
              </w:rPr>
              <w:t>ALK</w:t>
            </w:r>
            <w:r>
              <w:t>+ (n=11)</w:t>
            </w:r>
          </w:p>
        </w:tc>
        <w:tc>
          <w:tcPr>
            <w:tcW w:w="2214" w:type="pct"/>
          </w:tcPr>
          <w:p w14:paraId="29FB883E" w14:textId="5A9492A6" w:rsidR="004A5F2A" w:rsidRDefault="004A5F2A" w:rsidP="00A1302B">
            <w:pPr>
              <w:pStyle w:val="TableText"/>
            </w:pPr>
            <w:r>
              <w:t>9 received crizotinib</w:t>
            </w:r>
          </w:p>
          <w:p w14:paraId="6FC3D23A" w14:textId="68195963" w:rsidR="004F4C79" w:rsidRDefault="004F4C79" w:rsidP="00A1302B">
            <w:pPr>
              <w:pStyle w:val="TableText"/>
            </w:pPr>
            <w:r>
              <w:t xml:space="preserve">7/9 </w:t>
            </w:r>
            <w:r w:rsidR="004A5F2A">
              <w:t xml:space="preserve">(77.8%) </w:t>
            </w:r>
            <w:r>
              <w:t>confirmed response to crizotinib</w:t>
            </w:r>
            <w:r w:rsidR="004A5F2A">
              <w:t xml:space="preserve"> (6 partial responses, 1 complete response)</w:t>
            </w:r>
          </w:p>
          <w:p w14:paraId="4664F487" w14:textId="77777777" w:rsidR="004F4C79" w:rsidRDefault="004F4C79" w:rsidP="00A1302B">
            <w:pPr>
              <w:pStyle w:val="TableText"/>
            </w:pPr>
            <w:r>
              <w:t>Median response 17 months (range 5 months to 28 months)</w:t>
            </w:r>
          </w:p>
          <w:p w14:paraId="2A05C9D1" w14:textId="77777777" w:rsidR="004F4C79" w:rsidRDefault="004F4C79" w:rsidP="00A1302B">
            <w:pPr>
              <w:pStyle w:val="TableText"/>
            </w:pPr>
            <w:r>
              <w:t xml:space="preserve">1 nonresponding patient harboured a </w:t>
            </w:r>
            <w:r>
              <w:rPr>
                <w:i/>
              </w:rPr>
              <w:t xml:space="preserve">TSC2 </w:t>
            </w:r>
            <w:r>
              <w:t>alteration and initially responded but progressed within 1 month</w:t>
            </w:r>
          </w:p>
          <w:p w14:paraId="24436CF3" w14:textId="3B1C2A8C" w:rsidR="004F4C79" w:rsidRDefault="004F4C79" w:rsidP="00A1302B">
            <w:pPr>
              <w:pStyle w:val="TableText"/>
            </w:pPr>
            <w:r>
              <w:t>1 nonresponding patient died within 1 week, and deemed “too sick to respond” by physician</w:t>
            </w:r>
          </w:p>
        </w:tc>
      </w:tr>
      <w:tr w:rsidR="004F4C79" w14:paraId="0AB598B9" w14:textId="49B76EF5" w:rsidTr="004F4C79">
        <w:tc>
          <w:tcPr>
            <w:tcW w:w="580" w:type="pct"/>
            <w:vMerge/>
          </w:tcPr>
          <w:p w14:paraId="7EFFBCDC" w14:textId="77777777" w:rsidR="004F4C79" w:rsidRPr="000518F0" w:rsidRDefault="004F4C79" w:rsidP="00A1302B">
            <w:pPr>
              <w:pStyle w:val="TableText"/>
            </w:pPr>
          </w:p>
        </w:tc>
        <w:tc>
          <w:tcPr>
            <w:tcW w:w="1103" w:type="pct"/>
            <w:vMerge/>
          </w:tcPr>
          <w:p w14:paraId="3938A419" w14:textId="77777777" w:rsidR="004F4C79" w:rsidRDefault="004F4C79" w:rsidP="00A1302B">
            <w:pPr>
              <w:pStyle w:val="TableText"/>
            </w:pPr>
          </w:p>
        </w:tc>
        <w:tc>
          <w:tcPr>
            <w:tcW w:w="1103" w:type="pct"/>
          </w:tcPr>
          <w:p w14:paraId="16B82AF6" w14:textId="537D3F3C" w:rsidR="004F4C79" w:rsidRDefault="004F4C79" w:rsidP="00A1302B">
            <w:pPr>
              <w:pStyle w:val="TableText"/>
            </w:pPr>
            <w:r>
              <w:t xml:space="preserve">FISH </w:t>
            </w:r>
            <w:r w:rsidRPr="002D6007">
              <w:rPr>
                <w:i/>
              </w:rPr>
              <w:t>ALK</w:t>
            </w:r>
            <w:r>
              <w:t xml:space="preserve">+ and NGS </w:t>
            </w:r>
            <w:r w:rsidRPr="002D6007">
              <w:rPr>
                <w:i/>
              </w:rPr>
              <w:t>ALK</w:t>
            </w:r>
            <w:r>
              <w:t>+ (n=20)</w:t>
            </w:r>
          </w:p>
        </w:tc>
        <w:tc>
          <w:tcPr>
            <w:tcW w:w="2214" w:type="pct"/>
          </w:tcPr>
          <w:p w14:paraId="6E512716" w14:textId="019746B9" w:rsidR="004F4C79" w:rsidRDefault="004F4C79" w:rsidP="00A1302B">
            <w:pPr>
              <w:pStyle w:val="TableText"/>
            </w:pPr>
            <w:r>
              <w:t xml:space="preserve">15/19 </w:t>
            </w:r>
            <w:r w:rsidR="004A5F2A">
              <w:t xml:space="preserve">(78.9%) </w:t>
            </w:r>
            <w:r>
              <w:t xml:space="preserve">confirmed response to crizotinib </w:t>
            </w:r>
          </w:p>
          <w:p w14:paraId="3A555939" w14:textId="77777777" w:rsidR="004F4C79" w:rsidRDefault="004F4C79" w:rsidP="00A1302B">
            <w:pPr>
              <w:pStyle w:val="TableText"/>
            </w:pPr>
            <w:r>
              <w:t>2/19 did not respond to crizotinib</w:t>
            </w:r>
          </w:p>
          <w:p w14:paraId="1D288E30" w14:textId="774CBEA3" w:rsidR="004F4C79" w:rsidRDefault="004F4C79" w:rsidP="00A1302B">
            <w:pPr>
              <w:pStyle w:val="TableText"/>
            </w:pPr>
            <w:r>
              <w:t>3/19 response not known</w:t>
            </w:r>
          </w:p>
        </w:tc>
      </w:tr>
      <w:tr w:rsidR="004F4C79" w14:paraId="77ABD809" w14:textId="77777777" w:rsidTr="004F4C79">
        <w:tc>
          <w:tcPr>
            <w:tcW w:w="580" w:type="pct"/>
          </w:tcPr>
          <w:p w14:paraId="038727C9" w14:textId="0A52D0C7" w:rsidR="004F4C79" w:rsidRPr="000518F0" w:rsidRDefault="00B4668F" w:rsidP="00B4668F">
            <w:pPr>
              <w:pStyle w:val="TableText"/>
            </w:pPr>
            <w:r>
              <w:fldChar w:fldCharType="begin"/>
            </w:r>
            <w:r>
              <w:instrText xml:space="preserve"> ADDIN EN.CITE &lt;EndNote&gt;&lt;Cite&gt;&lt;Author&gt;Vollbrecht&lt;/Author&gt;&lt;Year&gt;2018&lt;/Year&gt;&lt;RecNum&gt;177&lt;/RecNum&gt;&lt;IDText&gt;1158-1158&lt;/IDText&gt;&lt;DisplayText&gt;(Vollbrecht et al. 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fldChar w:fldCharType="separate"/>
            </w:r>
            <w:r>
              <w:rPr>
                <w:noProof/>
              </w:rPr>
              <w:t>(Vollbrecht et al. 2018)</w:t>
            </w:r>
            <w:r>
              <w:fldChar w:fldCharType="end"/>
            </w:r>
          </w:p>
        </w:tc>
        <w:tc>
          <w:tcPr>
            <w:tcW w:w="1103" w:type="pct"/>
          </w:tcPr>
          <w:p w14:paraId="01EC848E" w14:textId="22222305" w:rsidR="004F4C79" w:rsidRPr="004A5F2A" w:rsidRDefault="004A5F2A" w:rsidP="00A1302B">
            <w:pPr>
              <w:pStyle w:val="TableText"/>
            </w:pPr>
            <w:r>
              <w:t xml:space="preserve">15 patients with NSCLC and equivocal </w:t>
            </w:r>
            <w:r>
              <w:rPr>
                <w:i/>
              </w:rPr>
              <w:t>ALK</w:t>
            </w:r>
            <w:r>
              <w:t xml:space="preserve"> results on IHC and FISH</w:t>
            </w:r>
          </w:p>
        </w:tc>
        <w:tc>
          <w:tcPr>
            <w:tcW w:w="1103" w:type="pct"/>
          </w:tcPr>
          <w:p w14:paraId="7AD12229" w14:textId="4CFC30E4" w:rsidR="004F4C79" w:rsidRDefault="004F4C79" w:rsidP="00A1302B">
            <w:pPr>
              <w:pStyle w:val="TableText"/>
            </w:pPr>
            <w:r>
              <w:t xml:space="preserve">IHC -, FISH borderline, NGS- </w:t>
            </w:r>
          </w:p>
        </w:tc>
        <w:tc>
          <w:tcPr>
            <w:tcW w:w="2214" w:type="pct"/>
          </w:tcPr>
          <w:p w14:paraId="44186A1E" w14:textId="30A428EA" w:rsidR="004F4C79" w:rsidRDefault="004F4C79" w:rsidP="00A1302B">
            <w:pPr>
              <w:pStyle w:val="TableText"/>
            </w:pPr>
            <w:r>
              <w:t>4/5 received ALK-TKI and did not respond</w:t>
            </w:r>
          </w:p>
        </w:tc>
      </w:tr>
    </w:tbl>
    <w:p w14:paraId="686858A3" w14:textId="77777777" w:rsidR="002D6007" w:rsidRDefault="002D6007" w:rsidP="005F50AE">
      <w:pPr>
        <w:pStyle w:val="TableFooter"/>
      </w:pPr>
      <w:r>
        <w:t xml:space="preserve">DCR = disease control rate; FISH = fluorescent </w:t>
      </w:r>
      <w:r w:rsidRPr="00956452">
        <w:rPr>
          <w:i/>
        </w:rPr>
        <w:t>in situ</w:t>
      </w:r>
      <w:r>
        <w:t xml:space="preserve"> hybridisation; IHC = immunohistochemistry; NGS = next generation sequencing; ORR = overall response rate; PFS = progression free survival</w:t>
      </w:r>
    </w:p>
    <w:p w14:paraId="061D4820" w14:textId="3C302D93" w:rsidR="002D6007" w:rsidRDefault="002D6007" w:rsidP="005F50AE">
      <w:pPr>
        <w:pStyle w:val="TableFooter"/>
      </w:pPr>
      <w:r>
        <w:t xml:space="preserve">NB: those </w:t>
      </w:r>
      <w:r w:rsidRPr="00956452">
        <w:rPr>
          <w:i/>
        </w:rPr>
        <w:t>ALK-</w:t>
      </w:r>
      <w:r>
        <w:t xml:space="preserve"> on one testing method had to have discordant results and be </w:t>
      </w:r>
      <w:r w:rsidRPr="00956452">
        <w:rPr>
          <w:i/>
        </w:rPr>
        <w:t>ALK+</w:t>
      </w:r>
      <w:r>
        <w:t xml:space="preserve"> on at least one other method. </w:t>
      </w:r>
    </w:p>
    <w:p w14:paraId="1F513E97" w14:textId="77777777" w:rsidR="00077451" w:rsidRPr="00916D2B" w:rsidRDefault="00077451" w:rsidP="005F50AE">
      <w:pPr>
        <w:pStyle w:val="TableFooter"/>
      </w:pPr>
    </w:p>
    <w:p w14:paraId="53C71676" w14:textId="1D2FD544" w:rsidR="00AC08AD" w:rsidRPr="00AC08AD" w:rsidRDefault="00AC08AD" w:rsidP="00AC08AD">
      <w:pPr>
        <w:pStyle w:val="Heading5"/>
        <w:rPr>
          <w:i/>
        </w:rPr>
      </w:pPr>
      <w:r w:rsidRPr="00AC08AD">
        <w:rPr>
          <w:i/>
        </w:rPr>
        <w:t>ROS1</w:t>
      </w:r>
    </w:p>
    <w:p w14:paraId="62F66E66" w14:textId="46C61429" w:rsidR="00F33993" w:rsidRDefault="00841CA1" w:rsidP="007B4B9A">
      <w:pPr>
        <w:pStyle w:val="NormalBeforeBullet"/>
      </w:pPr>
      <w:r>
        <w:t xml:space="preserve">NGS has high concordance with FISH </w:t>
      </w:r>
      <w:r w:rsidR="007B7F77">
        <w:t xml:space="preserve">and RT-PCR for detecting </w:t>
      </w:r>
      <w:r w:rsidR="007B7F77" w:rsidRPr="007B7F77">
        <w:rPr>
          <w:i/>
        </w:rPr>
        <w:t>ROS1</w:t>
      </w:r>
      <w:r w:rsidR="007B7F77">
        <w:t xml:space="preserve"> fusions. </w:t>
      </w:r>
      <w:r w:rsidR="007B7F77" w:rsidRPr="00956452">
        <w:rPr>
          <w:i/>
        </w:rPr>
        <w:t>ROS1</w:t>
      </w:r>
      <w:r w:rsidR="007B7F77">
        <w:t xml:space="preserve"> fusions also have a low prevalence in Australia. It is therefore unlikely that the use of NGS would result in any substantial increase in the number of patients eligible for </w:t>
      </w:r>
      <w:r w:rsidR="007B7F77" w:rsidRPr="007B7F77">
        <w:rPr>
          <w:i/>
        </w:rPr>
        <w:t>ROS1-</w:t>
      </w:r>
      <w:r w:rsidR="007B7F77">
        <w:t xml:space="preserve"> targeted therapies, or that there would be any change in the spectrum of patients identified. </w:t>
      </w:r>
      <w:r w:rsidR="00F33993">
        <w:t xml:space="preserve">From the studies which provided concordance data, only a single study reported on the management of a discordant case between NGS and FISH. A single patient who was positive on NGS and negative on FISH responded to crizotinib </w:t>
      </w:r>
      <w:r w:rsidR="00B4668F">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rsidR="00B4668F">
        <w:instrText xml:space="preserve"> ADDIN EN.CITE </w:instrText>
      </w:r>
      <w:r w:rsidR="00B4668F">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rsidR="00B4668F">
        <w:instrText xml:space="preserve"> ADDIN EN.CITE.DATA </w:instrText>
      </w:r>
      <w:r w:rsidR="00B4668F">
        <w:fldChar w:fldCharType="end"/>
      </w:r>
      <w:r w:rsidR="00B4668F">
        <w:fldChar w:fldCharType="separate"/>
      </w:r>
      <w:r w:rsidR="00B4668F">
        <w:rPr>
          <w:noProof/>
        </w:rPr>
        <w:t>(Mehta et al. 2020)</w:t>
      </w:r>
      <w:r w:rsidR="00B4668F">
        <w:fldChar w:fldCharType="end"/>
      </w:r>
      <w:r w:rsidR="00F33993">
        <w:t>.</w:t>
      </w:r>
    </w:p>
    <w:p w14:paraId="2F20FB51" w14:textId="69676B01" w:rsidR="00F45655" w:rsidRPr="00CE28E3" w:rsidRDefault="006931C8" w:rsidP="007B4B9A">
      <w:pPr>
        <w:pStyle w:val="NormalBeforeBullet"/>
      </w:pPr>
      <w:r>
        <w:t xml:space="preserve">Zeng et al. </w:t>
      </w:r>
      <w:r w:rsidR="00B4668F">
        <w:fldChar w:fldCharType="begin"/>
      </w:r>
      <w:r w:rsidR="00B4668F">
        <w:instrText xml:space="preserve"> ADDIN EN.CITE &lt;EndNote&gt;&lt;Cite ExcludeAuth="1"&gt;&lt;Author&gt;Zeng&lt;/Author&gt;&lt;Year&gt;2018&lt;/Year&gt;&lt;RecNum&gt;179&lt;/RecNum&gt;&lt;IDText&gt;6937-6945&lt;/IDText&gt;&lt;DisplayText&gt;(2018)&lt;/DisplayText&gt;&lt;record&gt;&lt;rec-number&gt;179&lt;/rec-number&gt;&lt;foreign-keys&gt;&lt;key app="EN" db-id="0tprsse9cpp5r3ea5dz5p0xw2pfwvwxpa5a5" timestamp="1655264280"&gt;179&lt;/key&gt;&lt;/foreign-keys&gt;&lt;ref-type name="Journal Article"&gt;17&lt;/ref-type&gt;&lt;contributors&gt;&lt;authors&gt;&lt;author&gt;Zeng, Liang&lt;/author&gt;&lt;author&gt;Li, Yizhi&lt;/author&gt;&lt;author&gt;Xiao, Lili&lt;/author&gt;&lt;author&gt;Xiong, Yi&lt;/author&gt;&lt;author&gt;Liu, Li&lt;/author&gt;&lt;author&gt;Jiang, Wenjuan&lt;/author&gt;&lt;author&gt;Heng, Jianfu&lt;/author&gt;&lt;author&gt;Qu, Jingjing&lt;/author&gt;&lt;author&gt;Yang, Nong&lt;/author&gt;&lt;author&gt;Zhang, Yongchang&lt;/author&gt;&lt;/authors&gt;&lt;/contributors&gt;&lt;titles&gt;&lt;title&gt;Crizotinib presented with promising efficacy but for concomitant mutation in next-generation sequencing-identified ROS1-rearranged non-small-cell lung cancer&lt;/title&gt;&lt;secondary-title&gt;OncoTargets and therapy&lt;/secondary-title&gt;&lt;/titles&gt;&lt;periodical&gt;&lt;full-title&gt;OncoTargets and therapy&lt;/full-title&gt;&lt;/periodical&gt;&lt;pages&gt;6937-6945&lt;/pages&gt;&lt;volume&gt;11&lt;/volume&gt;&lt;number&gt;NA&lt;/number&gt;&lt;dates&gt;&lt;year&gt;2018&lt;/year&gt;&lt;/dates&gt;&lt;urls&gt;&lt;related-urls&gt;&lt;url&gt;https://www.dovepress.com/getfile.php?fileID=45330&lt;/url&gt;&lt;/related-urls&gt;&lt;/urls&gt;&lt;electronic-resource-num&gt;10.2147/ott.s176273&lt;/electronic-resource-num&gt;&lt;research-notes&gt;Pearled -single test to health outcomes evidence&lt;/research-notes&gt;&lt;/record&gt;&lt;/Cite&gt;&lt;/EndNote&gt;</w:instrText>
      </w:r>
      <w:r w:rsidR="00B4668F">
        <w:fldChar w:fldCharType="separate"/>
      </w:r>
      <w:r w:rsidR="00B4668F">
        <w:rPr>
          <w:noProof/>
        </w:rPr>
        <w:t>(2018)</w:t>
      </w:r>
      <w:r w:rsidR="00B4668F">
        <w:fldChar w:fldCharType="end"/>
      </w:r>
      <w:r w:rsidR="000935B4">
        <w:t xml:space="preserve"> </w:t>
      </w:r>
      <w:r>
        <w:t xml:space="preserve">reported on a small case series of patients who were positive for </w:t>
      </w:r>
      <w:r>
        <w:rPr>
          <w:i/>
        </w:rPr>
        <w:t>ROS1</w:t>
      </w:r>
      <w:r>
        <w:t xml:space="preserve"> rearrangements based on NGS </w:t>
      </w:r>
      <w:r w:rsidR="00C43AA4">
        <w:t>testing and</w:t>
      </w:r>
      <w:r>
        <w:t xml:space="preserve"> received crizotinib. A total of 1.5% (22/1466) of NSCLC patients had </w:t>
      </w:r>
      <w:r w:rsidRPr="006931C8">
        <w:rPr>
          <w:i/>
        </w:rPr>
        <w:t xml:space="preserve">ROS1 </w:t>
      </w:r>
      <w:r>
        <w:t xml:space="preserve">rearrangements. Of the 22 patients with </w:t>
      </w:r>
      <w:r>
        <w:rPr>
          <w:i/>
        </w:rPr>
        <w:t>ROS1</w:t>
      </w:r>
      <w:r>
        <w:t xml:space="preserve"> rearrangements, 19 received crizotinib</w:t>
      </w:r>
      <w:r w:rsidR="00887FE6">
        <w:t xml:space="preserve"> for first-, second- or third-line treatment</w:t>
      </w:r>
      <w:r>
        <w:t>. None of the patients had a complete response; 17 patients had partial response, one patient had stable disease, and one patient progressed while on treatment</w:t>
      </w:r>
      <w:r w:rsidRPr="00A83A31">
        <w:t>. The overall response rate was 89%, with a median progression-free survival (PFS) of 13.6 mo</w:t>
      </w:r>
      <w:r w:rsidRPr="0026668C">
        <w:t xml:space="preserve">nths. </w:t>
      </w:r>
      <w:r w:rsidR="00A83A31" w:rsidRPr="0026668C">
        <w:t xml:space="preserve">This </w:t>
      </w:r>
      <w:r w:rsidR="0026668C" w:rsidRPr="0026668C">
        <w:t>is</w:t>
      </w:r>
      <w:r w:rsidR="0026668C">
        <w:t xml:space="preserve"> </w:t>
      </w:r>
      <w:r w:rsidR="00F235C5" w:rsidRPr="00C97CB0">
        <w:rPr>
          <w:color w:val="000000"/>
          <w:spacing w:val="24"/>
          <w:w w:val="47"/>
          <w:shd w:val="solid" w:color="000000" w:fill="000000"/>
          <w:fitText w:val="435" w:id="-1459898107"/>
          <w14:textFill>
            <w14:solidFill>
              <w14:srgbClr w14:val="000000">
                <w14:alpha w14:val="100000"/>
              </w14:srgbClr>
            </w14:solidFill>
          </w14:textFill>
        </w:rPr>
        <w:t>|||||</w:t>
      </w:r>
      <w:r w:rsidR="00F235C5" w:rsidRPr="00C97CB0">
        <w:rPr>
          <w:color w:val="000000"/>
          <w:spacing w:val="5"/>
          <w:w w:val="47"/>
          <w:shd w:val="solid" w:color="000000" w:fill="000000"/>
          <w:fitText w:val="435" w:id="-1459898107"/>
          <w14:textFill>
            <w14:solidFill>
              <w14:srgbClr w14:val="000000">
                <w14:alpha w14:val="100000"/>
              </w14:srgbClr>
            </w14:solidFill>
          </w14:textFill>
        </w:rPr>
        <w:t>|</w:t>
      </w:r>
      <w:r w:rsidR="00956452" w:rsidRPr="00D34FE0">
        <w:rPr>
          <w:rStyle w:val="FootnoteReference"/>
        </w:rPr>
        <w:footnoteReference w:id="17"/>
      </w:r>
      <w:r w:rsidR="0026668C">
        <w:t xml:space="preserve"> than the median PFS reported in the submission for crizotinib in patients with </w:t>
      </w:r>
      <w:r w:rsidR="0026668C" w:rsidRPr="00745D73">
        <w:rPr>
          <w:i/>
        </w:rPr>
        <w:t xml:space="preserve">ROS1 </w:t>
      </w:r>
      <w:r w:rsidR="0026668C">
        <w:t xml:space="preserve">alterations, presented to the PBAC in July 2018 </w:t>
      </w:r>
      <w:r w:rsidR="0026668C" w:rsidRPr="005368D2">
        <w:lastRenderedPageBreak/>
        <w:t xml:space="preserve">(median PFS </w:t>
      </w:r>
      <w:r w:rsidR="00F235C5" w:rsidRPr="00C97CB0">
        <w:rPr>
          <w:color w:val="000000"/>
          <w:spacing w:val="24"/>
          <w:w w:val="47"/>
          <w:shd w:val="solid" w:color="000000" w:fill="000000"/>
          <w:fitText w:val="435" w:id="-1459898106"/>
          <w14:textFill>
            <w14:solidFill>
              <w14:srgbClr w14:val="000000">
                <w14:alpha w14:val="100000"/>
              </w14:srgbClr>
            </w14:solidFill>
          </w14:textFill>
        </w:rPr>
        <w:t>|||||</w:t>
      </w:r>
      <w:r w:rsidR="00F235C5" w:rsidRPr="00C97CB0">
        <w:rPr>
          <w:color w:val="000000"/>
          <w:spacing w:val="5"/>
          <w:w w:val="47"/>
          <w:shd w:val="solid" w:color="000000" w:fill="000000"/>
          <w:fitText w:val="435" w:id="-1459898106"/>
          <w14:textFill>
            <w14:solidFill>
              <w14:srgbClr w14:val="000000">
                <w14:alpha w14:val="100000"/>
              </w14:srgbClr>
            </w14:solidFill>
          </w14:textFill>
        </w:rPr>
        <w:t>|</w:t>
      </w:r>
      <w:r w:rsidR="0026668C" w:rsidRPr="005368D2">
        <w:t xml:space="preserve">months, 95%CI </w:t>
      </w:r>
      <w:r w:rsidR="00F235C5" w:rsidRPr="00C97CB0">
        <w:rPr>
          <w:color w:val="000000"/>
          <w:spacing w:val="24"/>
          <w:w w:val="47"/>
          <w:shd w:val="solid" w:color="000000" w:fill="000000"/>
          <w:fitText w:val="435" w:id="-1459898105"/>
          <w14:textFill>
            <w14:solidFill>
              <w14:srgbClr w14:val="000000">
                <w14:alpha w14:val="100000"/>
              </w14:srgbClr>
            </w14:solidFill>
          </w14:textFill>
        </w:rPr>
        <w:t>|||||</w:t>
      </w:r>
      <w:r w:rsidR="00F235C5" w:rsidRPr="00C97CB0">
        <w:rPr>
          <w:color w:val="000000"/>
          <w:spacing w:val="5"/>
          <w:w w:val="47"/>
          <w:shd w:val="solid" w:color="000000" w:fill="000000"/>
          <w:fitText w:val="435" w:id="-1459898105"/>
          <w14:textFill>
            <w14:solidFill>
              <w14:srgbClr w14:val="000000">
                <w14:alpha w14:val="100000"/>
              </w14:srgbClr>
            </w14:solidFill>
          </w14:textFill>
        </w:rPr>
        <w:t>|</w:t>
      </w:r>
      <w:r w:rsidR="0026668C" w:rsidRPr="00D34FE0">
        <w:t>;</w:t>
      </w:r>
      <w:r w:rsidR="0026668C">
        <w:t xml:space="preserve"> para 5.12</w:t>
      </w:r>
      <w:r w:rsidR="00841CA1">
        <w:t>, 7.13 Cri</w:t>
      </w:r>
      <w:r w:rsidR="0026668C">
        <w:t>zotinib, July 2018). It is unknown how similar the patient sample reported by Zeng et al. (2018) was compared to the two studies in the PBAC submission. It is therefore unknown whether the difference in PFS may be due to prognostic factors, or differences in response to crizotinib.</w:t>
      </w:r>
      <w:r w:rsidR="00A83A31">
        <w:t xml:space="preserve"> </w:t>
      </w:r>
      <w:r>
        <w:t>Patients who had concomitant variants (</w:t>
      </w:r>
      <w:r w:rsidRPr="00956452">
        <w:rPr>
          <w:i/>
        </w:rPr>
        <w:t>TP53, BRCA2, MTOR, PIK3CA, MET</w:t>
      </w:r>
      <w:r>
        <w:t xml:space="preserve"> amplification, </w:t>
      </w:r>
      <w:r w:rsidRPr="00956452">
        <w:rPr>
          <w:i/>
        </w:rPr>
        <w:t>CDKN2A, ALK</w:t>
      </w:r>
      <w:r>
        <w:t>) had significantly worse PFS than those without concomitant variants (</w:t>
      </w:r>
      <w:r w:rsidR="00556B50">
        <w:t xml:space="preserve">median 8.5 months vs 14 months, p = 0.025) </w:t>
      </w:r>
      <w:r w:rsidR="00B4668F">
        <w:fldChar w:fldCharType="begin"/>
      </w:r>
      <w:r w:rsidR="00B4668F">
        <w:instrText xml:space="preserve"> ADDIN EN.CITE &lt;EndNote&gt;&lt;Cite&gt;&lt;Author&gt;Zeng&lt;/Author&gt;&lt;Year&gt;2018&lt;/Year&gt;&lt;RecNum&gt;179&lt;/RecNum&gt;&lt;IDText&gt;6937-6945&lt;/IDText&gt;&lt;DisplayText&gt;(Zeng et al. 2018)&lt;/DisplayText&gt;&lt;record&gt;&lt;rec-number&gt;179&lt;/rec-number&gt;&lt;foreign-keys&gt;&lt;key app="EN" db-id="0tprsse9cpp5r3ea5dz5p0xw2pfwvwxpa5a5" timestamp="1655264280"&gt;179&lt;/key&gt;&lt;/foreign-keys&gt;&lt;ref-type name="Journal Article"&gt;17&lt;/ref-type&gt;&lt;contributors&gt;&lt;authors&gt;&lt;author&gt;Zeng, Liang&lt;/author&gt;&lt;author&gt;Li, Yizhi&lt;/author&gt;&lt;author&gt;Xiao, Lili&lt;/author&gt;&lt;author&gt;Xiong, Yi&lt;/author&gt;&lt;author&gt;Liu, Li&lt;/author&gt;&lt;author&gt;Jiang, Wenjuan&lt;/author&gt;&lt;author&gt;Heng, Jianfu&lt;/author&gt;&lt;author&gt;Qu, Jingjing&lt;/author&gt;&lt;author&gt;Yang, Nong&lt;/author&gt;&lt;author&gt;Zhang, Yongchang&lt;/author&gt;&lt;/authors&gt;&lt;/contributors&gt;&lt;titles&gt;&lt;title&gt;Crizotinib presented with promising efficacy but for concomitant mutation in next-generation sequencing-identified ROS1-rearranged non-small-cell lung cancer&lt;/title&gt;&lt;secondary-title&gt;OncoTargets and therapy&lt;/secondary-title&gt;&lt;/titles&gt;&lt;periodical&gt;&lt;full-title&gt;OncoTargets and therapy&lt;/full-title&gt;&lt;/periodical&gt;&lt;pages&gt;6937-6945&lt;/pages&gt;&lt;volume&gt;11&lt;/volume&gt;&lt;number&gt;NA&lt;/number&gt;&lt;dates&gt;&lt;year&gt;2018&lt;/year&gt;&lt;/dates&gt;&lt;urls&gt;&lt;related-urls&gt;&lt;url&gt;https://www.dovepress.com/getfile.php?fileID=45330&lt;/url&gt;&lt;/related-urls&gt;&lt;/urls&gt;&lt;electronic-resource-num&gt;10.2147/ott.s176273&lt;/electronic-resource-num&gt;&lt;research-notes&gt;Pearled -single test to health outcomes evidence&lt;/research-notes&gt;&lt;/record&gt;&lt;/Cite&gt;&lt;/EndNote&gt;</w:instrText>
      </w:r>
      <w:r w:rsidR="00B4668F">
        <w:fldChar w:fldCharType="separate"/>
      </w:r>
      <w:r w:rsidR="00B4668F">
        <w:rPr>
          <w:noProof/>
        </w:rPr>
        <w:t>(Zeng et al. 2018)</w:t>
      </w:r>
      <w:r w:rsidR="00B4668F">
        <w:fldChar w:fldCharType="end"/>
      </w:r>
      <w:r w:rsidR="00556B50">
        <w:t xml:space="preserve">. </w:t>
      </w:r>
      <w:r w:rsidR="00887FE6">
        <w:t>Given the absence of a comparative method of testing, it is unknown how concordant the selection</w:t>
      </w:r>
      <w:r w:rsidR="00DB1846">
        <w:t xml:space="preserve"> of patients would have been, or</w:t>
      </w:r>
      <w:r w:rsidR="00887FE6">
        <w:t xml:space="preserve"> if they had been selected for treatment based on IHC and FISH. </w:t>
      </w:r>
    </w:p>
    <w:p w14:paraId="07FC2ECF" w14:textId="77777777" w:rsidR="000F2C2A" w:rsidRDefault="000F2C2A" w:rsidP="000F2C2A">
      <w:pPr>
        <w:pStyle w:val="Heading4"/>
      </w:pPr>
      <w:r>
        <w:t xml:space="preserve">Impact of timing of treatment </w:t>
      </w:r>
    </w:p>
    <w:p w14:paraId="4287F640" w14:textId="5AE92045" w:rsidR="000F2C2A" w:rsidRDefault="005B46F0" w:rsidP="000F2C2A">
      <w:r>
        <w:t xml:space="preserve">A systematic review was identified which collated studies on patients in adults with NSCLC, with interventions aimed at reducing the time between primary care referral to treatment </w:t>
      </w:r>
      <w:r w:rsidR="00B4668F">
        <w:fldChar w:fldCharType="begin">
          <w:fldData xml:space="preserve">PEVuZE5vdGU+PENpdGU+PEF1dGhvcj5IYWxsPC9BdXRob3I+PFllYXI+MjAyMTwvWWVhcj48UmVj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</w:fldData>
        </w:fldChar>
      </w:r>
      <w:r w:rsidR="00B4668F">
        <w:instrText xml:space="preserve"> ADDIN EN.CITE </w:instrText>
      </w:r>
      <w:r w:rsidR="00B4668F">
        <w:fldChar w:fldCharType="begin">
          <w:fldData xml:space="preserve">PEVuZE5vdGU+PENpdGU+PEF1dGhvcj5IYWxsPC9BdXRob3I+PFllYXI+MjAyMTwvWWVhcj48UmVj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</w:fldData>
        </w:fldChar>
      </w:r>
      <w:r w:rsidR="00B4668F">
        <w:instrText xml:space="preserve"> ADDIN EN.CITE.DATA </w:instrText>
      </w:r>
      <w:r w:rsidR="00B4668F">
        <w:fldChar w:fldCharType="end"/>
      </w:r>
      <w:r w:rsidR="00B4668F">
        <w:fldChar w:fldCharType="separate"/>
      </w:r>
      <w:r w:rsidR="00B4668F">
        <w:rPr>
          <w:noProof/>
        </w:rPr>
        <w:t>(Hall et al. 2021)</w:t>
      </w:r>
      <w:r w:rsidR="00B4668F">
        <w:fldChar w:fldCharType="end"/>
      </w:r>
      <w:r>
        <w:t xml:space="preserve">. Searches of Medline, EMBASE and Cochrane were performed in 2018 and updated in October 2020, as well as trial registries and hand-searching of reference lists. The systematic review identified eight primary studies in patients with advanced disease, which looked at the association between timeliness of treatment and health outcomes. </w:t>
      </w:r>
      <w:r w:rsidR="006243FE">
        <w:t>Seven of these studies reported that being treated in a timely manner (with systemic therapy or palliative therapy) was deleteriou</w:t>
      </w:r>
      <w:r w:rsidR="00F35822">
        <w:t>s, due to the</w:t>
      </w:r>
      <w:r w:rsidR="006243FE">
        <w:t xml:space="preserve"> “waiti</w:t>
      </w:r>
      <w:r w:rsidR="00F35822">
        <w:t xml:space="preserve">ng time paradox”. That is, </w:t>
      </w:r>
      <w:r w:rsidR="006243FE">
        <w:t>those patients who are most symptomatic (and likely to have a worse prognosis) are more likely to be treated faster</w:t>
      </w:r>
      <w:r w:rsidR="00F35822">
        <w:t xml:space="preserve"> than those with minimal or no symptoms</w:t>
      </w:r>
      <w:r w:rsidR="006243FE">
        <w:t xml:space="preserve">. Furthermore, palliative care is likely to be delivered more rapidly than curative therapies </w:t>
      </w:r>
      <w:r w:rsidR="00B4668F">
        <w:fldChar w:fldCharType="begin">
          <w:fldData xml:space="preserve">PEVuZE5vdGU+PENpdGU+PEF1dGhvcj5IYWxsPC9BdXRob3I+PFllYXI+MjAyMTwvWWVhcj48UmVj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</w:fldData>
        </w:fldChar>
      </w:r>
      <w:r w:rsidR="00B4668F">
        <w:instrText xml:space="preserve"> ADDIN EN.CITE </w:instrText>
      </w:r>
      <w:r w:rsidR="00B4668F">
        <w:fldChar w:fldCharType="begin">
          <w:fldData xml:space="preserve">PEVuZE5vdGU+PENpdGU+PEF1dGhvcj5IYWxsPC9BdXRob3I+PFllYXI+MjAyMTwvWWVhcj48UmVj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</w:fldData>
        </w:fldChar>
      </w:r>
      <w:r w:rsidR="00B4668F">
        <w:instrText xml:space="preserve"> ADDIN EN.CITE.DATA </w:instrText>
      </w:r>
      <w:r w:rsidR="00B4668F">
        <w:fldChar w:fldCharType="end"/>
      </w:r>
      <w:r w:rsidR="00B4668F">
        <w:fldChar w:fldCharType="separate"/>
      </w:r>
      <w:r w:rsidR="00B4668F">
        <w:rPr>
          <w:noProof/>
        </w:rPr>
        <w:t>(Hall et al. 2021)</w:t>
      </w:r>
      <w:r w:rsidR="00B4668F">
        <w:fldChar w:fldCharType="end"/>
      </w:r>
      <w:r w:rsidR="006243FE">
        <w:t>. However, this systematic</w:t>
      </w:r>
      <w:r w:rsidR="00184B51">
        <w:t xml:space="preserve"> review</w:t>
      </w:r>
      <w:r w:rsidR="006243FE">
        <w:t xml:space="preserve"> did not identify any studies which assessed the relationship between timeliness of treatment and health outcomes for targeted therapies or immunotherapies. The applicability of the evidence is therefore limited. Targeted searches for this assessment did not identify any articles addressing this evidence-gap. </w:t>
      </w:r>
      <w:r w:rsidR="00F35822">
        <w:t xml:space="preserve">It is hypothesised that the very small difference in timing of treatment initiation likely to occur after NGS rather than sequential single-gene testing (0 – 3 days) is unlikely to result in a </w:t>
      </w:r>
      <w:r w:rsidR="00DF66AE">
        <w:t>measurable</w:t>
      </w:r>
      <w:r w:rsidR="00F35822">
        <w:t xml:space="preserve"> difference in health. </w:t>
      </w:r>
    </w:p>
    <w:p w14:paraId="78FAD85F" w14:textId="1FC5EB19" w:rsidR="000A5C47" w:rsidRPr="00CE28E3" w:rsidRDefault="00400BC7" w:rsidP="00674C7D">
      <w:pPr>
        <w:pStyle w:val="Heading2"/>
        <w:numPr>
          <w:ilvl w:val="0"/>
          <w:numId w:val="0"/>
        </w:numPr>
      </w:pPr>
      <w:bookmarkStart w:id="133" w:name="_Toc148531163"/>
      <w:r>
        <w:t>2</w:t>
      </w:r>
      <w:r w:rsidR="00E33992" w:rsidRPr="00CE28E3">
        <w:t>.5</w:t>
      </w:r>
      <w:r w:rsidR="005D7471">
        <w:tab/>
      </w:r>
      <w:r w:rsidR="000A5C47" w:rsidRPr="00CE28E3">
        <w:t>Conclusion</w:t>
      </w:r>
      <w:bookmarkEnd w:id="133"/>
    </w:p>
    <w:p w14:paraId="2B014C13" w14:textId="5EBE5353" w:rsidR="00BA59FB" w:rsidRDefault="00400BC7" w:rsidP="00674C7D">
      <w:pPr>
        <w:pStyle w:val="Heading3"/>
      </w:pPr>
      <w:bookmarkStart w:id="134" w:name="_Toc148531164"/>
      <w:r>
        <w:t>2</w:t>
      </w:r>
      <w:r w:rsidR="00BA59FB" w:rsidRPr="00CE28E3">
        <w:t>.5.1</w:t>
      </w:r>
      <w:r w:rsidR="00BA59FB" w:rsidRPr="00CE28E3">
        <w:tab/>
        <w:t>Evidence interpretation</w:t>
      </w:r>
      <w:bookmarkEnd w:id="134"/>
      <w:r w:rsidR="00BA59FB" w:rsidRPr="00CE28E3">
        <w:t xml:space="preserve"> </w:t>
      </w:r>
    </w:p>
    <w:p w14:paraId="0701DDED" w14:textId="77777777" w:rsidR="00E634E9" w:rsidRDefault="00E634E9" w:rsidP="00E634E9">
      <w:r>
        <w:t xml:space="preserve">The claim made by the RCPA, was that the use of a small DNA ± RNA NGS panel results is superior to sequential single-gene testing, due to the more efficient use of tumour tissue, resulting in a reduced need to undergo repeat biopsy. It was also claimed that NGS may have a more rapid turnaround time, which would translate into faster access to appropriate treatment. NGS may also detect concurrent variants. </w:t>
      </w:r>
    </w:p>
    <w:p w14:paraId="0D4646A3" w14:textId="140CF193" w:rsidR="00E634E9" w:rsidRPr="00E634E9" w:rsidRDefault="00E634E9" w:rsidP="00E634E9">
      <w:r>
        <w:t xml:space="preserve">These claims were assessed using a linked evidence framework, as illustrated in </w:t>
      </w:r>
      <w:r>
        <w:fldChar w:fldCharType="begin"/>
      </w:r>
      <w:r>
        <w:instrText xml:space="preserve"> REF _Ref108879941 \h </w:instrText>
      </w:r>
      <w:r>
        <w:fldChar w:fldCharType="separate"/>
      </w:r>
      <w:r w:rsidR="00C857F3" w:rsidRPr="00CE28E3">
        <w:t>Figure</w:t>
      </w:r>
      <w:r w:rsidR="00C857F3">
        <w:t> </w:t>
      </w:r>
      <w:r w:rsidR="00C857F3">
        <w:rPr>
          <w:noProof/>
        </w:rPr>
        <w:t>15</w:t>
      </w:r>
      <w:r>
        <w:fldChar w:fldCharType="end"/>
      </w:r>
      <w:r>
        <w:t xml:space="preserve">. </w:t>
      </w:r>
    </w:p>
    <w:p w14:paraId="6F2C5261" w14:textId="648F3627" w:rsidR="003C1AE2" w:rsidRPr="00B151CF" w:rsidRDefault="00FB6D17" w:rsidP="00B151CF">
      <w:pPr>
        <w:keepNext/>
      </w:pPr>
      <w:r w:rsidRPr="00392088">
        <w:rPr>
          <w:noProof/>
          <w:lang w:eastAsia="en-AU"/>
        </w:rPr>
        <w:lastRenderedPageBreak/>
        <w:drawing>
          <wp:inline distT="0" distB="0" distL="0" distR="0" wp14:anchorId="679C650D" wp14:editId="447E03C2">
            <wp:extent cx="5731510" cy="3688715"/>
            <wp:effectExtent l="0" t="0" r="2540" b="6985"/>
            <wp:docPr id="42" name="Picture 42" descr="Assessment framework for small DNA/RNA NGS panel for NSCLC" title="Assessment framework for small DNA/RNA NGS panel for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88715"/>
                    </a:xfrm>
                    <a:prstGeom prst="rect">
                      <a:avLst/>
                    </a:prstGeom>
                  </pic:spPr>
                </pic:pic>
              </a:graphicData>
            </a:graphic>
          </wp:inline>
        </w:drawing>
      </w:r>
    </w:p>
    <w:p w14:paraId="59957E59" w14:textId="05BD2673" w:rsidR="009E7A36" w:rsidRPr="00CE28E3" w:rsidRDefault="009E7A36" w:rsidP="009E7A36">
      <w:pPr>
        <w:pStyle w:val="Caption"/>
      </w:pPr>
      <w:bookmarkStart w:id="135" w:name="_Ref108879941"/>
      <w:r w:rsidRPr="00CE28E3">
        <w:t>Figure</w:t>
      </w:r>
      <w:r>
        <w:t> </w:t>
      </w:r>
      <w:fldSimple w:instr=" SEQ Figure \* ARABIC ">
        <w:r w:rsidR="00C857F3">
          <w:rPr>
            <w:noProof/>
          </w:rPr>
          <w:t>15</w:t>
        </w:r>
      </w:fldSimple>
      <w:bookmarkEnd w:id="135"/>
      <w:r w:rsidRPr="00CE28E3">
        <w:tab/>
        <w:t xml:space="preserve">Assessment framework for </w:t>
      </w:r>
      <w:r>
        <w:t>small DNA/RNA NGS panel</w:t>
      </w:r>
      <w:r w:rsidRPr="00F1508C">
        <w:t xml:space="preserve"> for </w:t>
      </w:r>
      <w:r>
        <w:t>NSCLC</w:t>
      </w:r>
    </w:p>
    <w:p w14:paraId="571CF831" w14:textId="77777777" w:rsidR="009E7A36" w:rsidRPr="00CE28E3" w:rsidRDefault="009E7A36" w:rsidP="009E7A36">
      <w:pPr>
        <w:pStyle w:val="TableFigureFooter"/>
      </w:pPr>
      <w:r w:rsidRPr="00CE28E3">
        <w:t xml:space="preserve">Figure notes: 1: direct from test to health outcomes evidence; 2: test </w:t>
      </w:r>
      <w:r>
        <w:t xml:space="preserve">performance; 3: change in </w:t>
      </w:r>
      <w:r w:rsidRPr="00CE28E3">
        <w:t>treatment/management; 4:</w:t>
      </w:r>
      <w:r>
        <w:t> </w:t>
      </w:r>
      <w:r w:rsidRPr="00CE28E3">
        <w:t>influence of the change in management on health outcomes</w:t>
      </w:r>
    </w:p>
    <w:p w14:paraId="749057E3" w14:textId="179D6EAF" w:rsidR="008D0862" w:rsidRDefault="00903609" w:rsidP="00226ECC">
      <w:pPr>
        <w:pStyle w:val="NormalBeforeBullet"/>
      </w:pPr>
      <w:r>
        <w:t xml:space="preserve">In the key matters of concern from MSAC 1454 Public Summary Document, it was stated that MSAC considered that any funding should be based on a gene panel or NGS of </w:t>
      </w:r>
      <w:r w:rsidRPr="00903609">
        <w:rPr>
          <w:i/>
        </w:rPr>
        <w:t>equivalent or better analytical performance</w:t>
      </w:r>
      <w:r>
        <w:t xml:space="preserve"> to sequential IHC and FISH testing. The evidence in this assessment supported NGS as being more sensitive than single-gene testing, detecting a higher proportion of cases with potentially targetable variants in the </w:t>
      </w:r>
      <w:r>
        <w:rPr>
          <w:i/>
        </w:rPr>
        <w:t xml:space="preserve">EGFR </w:t>
      </w:r>
      <w:r>
        <w:t xml:space="preserve">gene, and being as accurate as IHC and FISH for detecting </w:t>
      </w:r>
      <w:r w:rsidRPr="00956452">
        <w:rPr>
          <w:i/>
        </w:rPr>
        <w:t>ROS1</w:t>
      </w:r>
      <w:r>
        <w:t xml:space="preserve"> and </w:t>
      </w:r>
      <w:r w:rsidRPr="00956452">
        <w:rPr>
          <w:i/>
        </w:rPr>
        <w:t>ALK</w:t>
      </w:r>
      <w:r>
        <w:t xml:space="preserve"> variants. However, the applicant claimed NGS was superior to single-gene sequencing (not only non-inferior), so evidence on the impact of NGS testing on the management and health outcomes of patients had to be examined. </w:t>
      </w:r>
    </w:p>
    <w:p w14:paraId="2135981A" w14:textId="77777777" w:rsidR="00224B83" w:rsidRDefault="00015DAC" w:rsidP="00226ECC">
      <w:pPr>
        <w:pStyle w:val="NormalBeforeBullet"/>
      </w:pPr>
      <w:r>
        <w:t>The safety of small NGS panel testing for NSCLC was established using a linked evidence approach, linking</w:t>
      </w:r>
      <w:r w:rsidR="00224B83">
        <w:t>:</w:t>
      </w:r>
    </w:p>
    <w:p w14:paraId="2169CD3D" w14:textId="77777777" w:rsidR="00224B83" w:rsidRDefault="00015DAC" w:rsidP="00224B83">
      <w:pPr>
        <w:pStyle w:val="NormalBeforeBullet"/>
        <w:numPr>
          <w:ilvl w:val="0"/>
          <w:numId w:val="38"/>
        </w:numPr>
      </w:pPr>
      <w:r>
        <w:t>the comparative success rate of NGS panel testing with sequential single gene testing</w:t>
      </w:r>
      <w:r w:rsidR="00224B83">
        <w:t xml:space="preserve"> (97.2% vs 94.6%)</w:t>
      </w:r>
      <w:r>
        <w:t xml:space="preserve">, </w:t>
      </w:r>
    </w:p>
    <w:p w14:paraId="48E9142A" w14:textId="34C1A304" w:rsidR="00224B83" w:rsidRDefault="00015DAC" w:rsidP="00224B83">
      <w:pPr>
        <w:pStyle w:val="NormalBeforeBullet"/>
        <w:numPr>
          <w:ilvl w:val="0"/>
          <w:numId w:val="38"/>
        </w:numPr>
      </w:pPr>
      <w:r>
        <w:t>some evidence that a proportion of patients with insufficient tissue undergo rebiopsy</w:t>
      </w:r>
      <w:r w:rsidR="00224B83">
        <w:t xml:space="preserve"> (13% and 43% in the identified studies)</w:t>
      </w:r>
      <w:r>
        <w:t xml:space="preserve">, </w:t>
      </w:r>
      <w:r w:rsidR="00224B83">
        <w:t>and</w:t>
      </w:r>
    </w:p>
    <w:p w14:paraId="34B9AA40" w14:textId="7A403939" w:rsidR="00A75CE2" w:rsidRPr="008363F6" w:rsidRDefault="00015DAC" w:rsidP="00224B83">
      <w:pPr>
        <w:pStyle w:val="NormalBeforeBullet"/>
        <w:numPr>
          <w:ilvl w:val="0"/>
          <w:numId w:val="38"/>
        </w:numPr>
      </w:pPr>
      <w:r w:rsidRPr="008363F6">
        <w:t xml:space="preserve">evidence that biopsies are associated with a risk of adverse events. </w:t>
      </w:r>
    </w:p>
    <w:p w14:paraId="6BBC2F99" w14:textId="09201BFA" w:rsidR="00226ECC" w:rsidRPr="008363F6" w:rsidRDefault="008363F6" w:rsidP="00B151CF">
      <w:pPr>
        <w:pStyle w:val="Instructionaltext"/>
        <w:rPr>
          <w:color w:val="auto"/>
        </w:rPr>
      </w:pPr>
      <w:r w:rsidRPr="008363F6">
        <w:rPr>
          <w:color w:val="auto"/>
        </w:rPr>
        <w:t>The effectiveness of a small NGS panel compared to sequential single gene testing was established using a linked evidence approach, linking:</w:t>
      </w:r>
    </w:p>
    <w:p w14:paraId="2127645B" w14:textId="7148D0AC" w:rsidR="008363F6" w:rsidRDefault="008363F6" w:rsidP="008363F6">
      <w:pPr>
        <w:pStyle w:val="Instructionaltext"/>
        <w:numPr>
          <w:ilvl w:val="0"/>
          <w:numId w:val="39"/>
        </w:numPr>
        <w:rPr>
          <w:color w:val="auto"/>
        </w:rPr>
      </w:pPr>
      <w:r w:rsidRPr="008363F6">
        <w:rPr>
          <w:color w:val="auto"/>
        </w:rPr>
        <w:t xml:space="preserve">a higher success rate of NGS panel testing than sequential single gene testing, and higher rate of actionable variants being identified, </w:t>
      </w:r>
    </w:p>
    <w:p w14:paraId="117A3C3D" w14:textId="2FEBDBA4" w:rsidR="00E634E9" w:rsidRPr="008363F6" w:rsidRDefault="00E634E9" w:rsidP="008363F6">
      <w:pPr>
        <w:pStyle w:val="Instructionaltext"/>
        <w:numPr>
          <w:ilvl w:val="0"/>
          <w:numId w:val="39"/>
        </w:numPr>
        <w:rPr>
          <w:color w:val="auto"/>
        </w:rPr>
      </w:pPr>
      <w:r>
        <w:rPr>
          <w:color w:val="auto"/>
        </w:rPr>
        <w:lastRenderedPageBreak/>
        <w:t>with evidence that patients with variants identified by NGS and not by single-gene methods are frequently treated using targeted therapies,</w:t>
      </w:r>
    </w:p>
    <w:p w14:paraId="09A2CFC4" w14:textId="2C1972FC" w:rsidR="008363F6" w:rsidRPr="008363F6" w:rsidRDefault="008363F6" w:rsidP="008363F6">
      <w:pPr>
        <w:pStyle w:val="Instructionaltext"/>
        <w:numPr>
          <w:ilvl w:val="0"/>
          <w:numId w:val="39"/>
        </w:numPr>
        <w:rPr>
          <w:color w:val="auto"/>
        </w:rPr>
      </w:pPr>
      <w:r w:rsidRPr="008363F6">
        <w:rPr>
          <w:color w:val="auto"/>
        </w:rPr>
        <w:t xml:space="preserve">with evidence that those with variants identified by NGS are likely to benefit from targeted therapy. </w:t>
      </w:r>
    </w:p>
    <w:p w14:paraId="675D012A" w14:textId="52A3DAE3" w:rsidR="008363F6" w:rsidRPr="008363F6" w:rsidRDefault="008363F6" w:rsidP="008363F6">
      <w:pPr>
        <w:pStyle w:val="Instructionaltext"/>
        <w:rPr>
          <w:color w:val="auto"/>
        </w:rPr>
      </w:pPr>
      <w:r w:rsidRPr="008363F6">
        <w:rPr>
          <w:color w:val="auto"/>
        </w:rPr>
        <w:t xml:space="preserve">The claim was made that NGS would be faster than sequential single gene testing, and although the evidence suggested it may be as fast, or potentially save up to 3 days, the clinical benefit of this was unknown. </w:t>
      </w:r>
    </w:p>
    <w:p w14:paraId="731129C7" w14:textId="4EF9591B" w:rsidR="008363F6" w:rsidRPr="008363F6" w:rsidRDefault="008363F6" w:rsidP="008363F6">
      <w:pPr>
        <w:pStyle w:val="Instructionaltext"/>
        <w:rPr>
          <w:color w:val="auto"/>
        </w:rPr>
      </w:pPr>
      <w:r w:rsidRPr="008363F6">
        <w:rPr>
          <w:color w:val="auto"/>
        </w:rPr>
        <w:t xml:space="preserve">Furthermore, the clinical utility of detecting concurrent variants is unclear. </w:t>
      </w:r>
    </w:p>
    <w:p w14:paraId="0CC035B7" w14:textId="67986207" w:rsidR="008363F6" w:rsidRPr="008363F6" w:rsidRDefault="008363F6" w:rsidP="008363F6">
      <w:pPr>
        <w:pStyle w:val="Instructionaltext"/>
        <w:rPr>
          <w:color w:val="auto"/>
        </w:rPr>
      </w:pPr>
      <w:bookmarkStart w:id="136" w:name="_Ref49797389"/>
      <w:bookmarkStart w:id="137" w:name="_Toc49800743"/>
      <w:r w:rsidRPr="008363F6">
        <w:rPr>
          <w:color w:val="auto"/>
        </w:rPr>
        <w:t xml:space="preserve">A summary of the evidence identified is </w:t>
      </w:r>
      <w:r w:rsidRPr="00F20679">
        <w:rPr>
          <w:color w:val="auto"/>
        </w:rPr>
        <w:t xml:space="preserve">provided in </w:t>
      </w:r>
      <w:r w:rsidRPr="00956452">
        <w:rPr>
          <w:color w:val="auto"/>
        </w:rPr>
        <w:fldChar w:fldCharType="begin"/>
      </w:r>
      <w:r w:rsidRPr="00F20679">
        <w:rPr>
          <w:color w:val="auto"/>
        </w:rPr>
        <w:instrText xml:space="preserve"> REF _Ref108879705 \h </w:instrText>
      </w:r>
      <w:r w:rsidRPr="00956452">
        <w:rPr>
          <w:color w:val="auto"/>
        </w:rPr>
      </w:r>
      <w:r w:rsidRPr="00956452">
        <w:rPr>
          <w:color w:val="auto"/>
        </w:rPr>
        <w:fldChar w:fldCharType="separate"/>
      </w:r>
      <w:r w:rsidR="00C857F3" w:rsidRPr="00CE28E3">
        <w:t>Table</w:t>
      </w:r>
      <w:r w:rsidR="00C857F3">
        <w:t> </w:t>
      </w:r>
      <w:r w:rsidR="00C857F3">
        <w:rPr>
          <w:noProof/>
        </w:rPr>
        <w:t>42</w:t>
      </w:r>
      <w:r w:rsidRPr="00956452">
        <w:rPr>
          <w:color w:val="auto"/>
        </w:rPr>
        <w:fldChar w:fldCharType="end"/>
      </w:r>
      <w:r w:rsidRPr="00F20679">
        <w:rPr>
          <w:color w:val="auto"/>
        </w:rPr>
        <w:t xml:space="preserve">. The </w:t>
      </w:r>
      <w:r>
        <w:rPr>
          <w:color w:val="auto"/>
        </w:rPr>
        <w:t>evidence of the high level of concordance between testing strategies was of moderate quality; the evidence on the risk of adverse events associated with rebiopsies was low quality, and all other outcomes was rated as very low quality, due to the low level of certainty from the evidence.</w:t>
      </w:r>
    </w:p>
    <w:p w14:paraId="04FF55BE" w14:textId="3BF9D127" w:rsidR="005F720A" w:rsidRPr="00CE28E3" w:rsidRDefault="005F720A" w:rsidP="00063513">
      <w:pPr>
        <w:pStyle w:val="Caption"/>
        <w:spacing w:after="0"/>
        <w:ind w:left="709" w:hanging="709"/>
      </w:pPr>
      <w:bookmarkStart w:id="138" w:name="_Ref108879705"/>
      <w:r w:rsidRPr="00CE28E3">
        <w:lastRenderedPageBreak/>
        <w:t>Table</w:t>
      </w:r>
      <w:r w:rsidR="00215DEA">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42</w:t>
      </w:r>
      <w:r w:rsidRPr="00CE28E3">
        <w:rPr>
          <w:noProof/>
        </w:rPr>
        <w:fldChar w:fldCharType="end"/>
      </w:r>
      <w:bookmarkEnd w:id="136"/>
      <w:bookmarkEnd w:id="138"/>
      <w:r w:rsidRPr="00CE28E3">
        <w:t xml:space="preserve"> </w:t>
      </w:r>
      <w:r w:rsidRPr="00CE28E3">
        <w:tab/>
      </w:r>
      <w:r w:rsidR="004A05D1">
        <w:t>S</w:t>
      </w:r>
      <w:r w:rsidRPr="00CE28E3">
        <w:t xml:space="preserve">ummary of findings table for </w:t>
      </w:r>
      <w:bookmarkEnd w:id="137"/>
      <w:r w:rsidR="004A05D1">
        <w:t>safety/effectiveness of small NGS panel(s) versus sequential single gene testing</w:t>
      </w:r>
    </w:p>
    <w:tbl>
      <w:tblPr>
        <w:tblStyle w:val="TableGrid"/>
        <w:tblW w:w="0" w:type="auto"/>
        <w:tblLook w:val="04A0" w:firstRow="1" w:lastRow="0" w:firstColumn="1" w:lastColumn="0" w:noHBand="0" w:noVBand="1"/>
        <w:tblCaption w:val="Summary of findings table for safety/effectiveness of small NGS panel(s) versus sequential single gene testing"/>
        <w:tblDescription w:val="Summary of findings table for safety/effectiveness of small NGS panel(s) versus sequential single gene testing"/>
      </w:tblPr>
      <w:tblGrid>
        <w:gridCol w:w="1209"/>
        <w:gridCol w:w="1196"/>
        <w:gridCol w:w="1276"/>
        <w:gridCol w:w="1701"/>
        <w:gridCol w:w="2593"/>
        <w:gridCol w:w="1041"/>
      </w:tblGrid>
      <w:tr w:rsidR="00641D14" w:rsidRPr="00CE28E3" w14:paraId="4E0EA463" w14:textId="77777777" w:rsidTr="004A05D1">
        <w:trPr>
          <w:trHeight w:val="60"/>
          <w:tblHeader/>
        </w:trPr>
        <w:tc>
          <w:tcPr>
            <w:tcW w:w="0" w:type="auto"/>
          </w:tcPr>
          <w:p w14:paraId="52890ACD" w14:textId="77777777" w:rsidR="005F720A" w:rsidRPr="00CE28E3" w:rsidRDefault="005F720A" w:rsidP="008436D7">
            <w:pPr>
              <w:pStyle w:val="TableHeading"/>
              <w:ind w:left="4"/>
            </w:pPr>
            <w:bookmarkStart w:id="139" w:name="Title_Table30" w:colFirst="0" w:colLast="0"/>
            <w:r w:rsidRPr="00CE28E3">
              <w:t>Section in report</w:t>
            </w:r>
          </w:p>
        </w:tc>
        <w:tc>
          <w:tcPr>
            <w:tcW w:w="1196" w:type="dxa"/>
          </w:tcPr>
          <w:p w14:paraId="6E703DD3" w14:textId="2A4743A6" w:rsidR="005F720A" w:rsidRPr="00CE28E3" w:rsidRDefault="003F535C" w:rsidP="008436D7">
            <w:pPr>
              <w:pStyle w:val="TableHeading"/>
              <w:ind w:left="4"/>
            </w:pPr>
            <w:r w:rsidRPr="00CE28E3">
              <w:t>O</w:t>
            </w:r>
            <w:r w:rsidR="005F720A" w:rsidRPr="00CE28E3">
              <w:t xml:space="preserve">utcomes </w:t>
            </w:r>
          </w:p>
        </w:tc>
        <w:tc>
          <w:tcPr>
            <w:tcW w:w="1276" w:type="dxa"/>
          </w:tcPr>
          <w:p w14:paraId="6300C24F" w14:textId="52A6631F" w:rsidR="005F720A" w:rsidRPr="00CE28E3" w:rsidRDefault="005F720A" w:rsidP="008436D7">
            <w:pPr>
              <w:pStyle w:val="TableHeading"/>
              <w:ind w:left="4"/>
            </w:pPr>
            <w:r w:rsidRPr="00CE28E3">
              <w:t xml:space="preserve">Participants </w:t>
            </w:r>
            <w:r w:rsidR="00322DA9">
              <w:t>and</w:t>
            </w:r>
            <w:r w:rsidRPr="00CE28E3">
              <w:t xml:space="preserve"> studies</w:t>
            </w:r>
          </w:p>
        </w:tc>
        <w:tc>
          <w:tcPr>
            <w:tcW w:w="1701" w:type="dxa"/>
          </w:tcPr>
          <w:p w14:paraId="2F2B37E0" w14:textId="77777777" w:rsidR="005F720A" w:rsidRPr="00CE28E3" w:rsidRDefault="005F720A" w:rsidP="008436D7">
            <w:pPr>
              <w:pStyle w:val="TableHeading"/>
              <w:ind w:left="4"/>
            </w:pPr>
            <w:r w:rsidRPr="00CE28E3">
              <w:t>Results</w:t>
            </w:r>
          </w:p>
        </w:tc>
        <w:tc>
          <w:tcPr>
            <w:tcW w:w="2593" w:type="dxa"/>
          </w:tcPr>
          <w:p w14:paraId="280B6AC9" w14:textId="77777777" w:rsidR="005F720A" w:rsidRPr="00CE28E3" w:rsidRDefault="005F720A" w:rsidP="008436D7">
            <w:pPr>
              <w:pStyle w:val="TableHeading"/>
              <w:ind w:left="4"/>
            </w:pPr>
            <w:r w:rsidRPr="00CE28E3">
              <w:t>Interpretation</w:t>
            </w:r>
          </w:p>
        </w:tc>
        <w:tc>
          <w:tcPr>
            <w:tcW w:w="1041" w:type="dxa"/>
          </w:tcPr>
          <w:p w14:paraId="590C75C3" w14:textId="77777777" w:rsidR="005F720A" w:rsidRPr="00CE28E3" w:rsidRDefault="005F720A" w:rsidP="008436D7">
            <w:pPr>
              <w:pStyle w:val="TableHeading"/>
              <w:ind w:left="4"/>
            </w:pPr>
            <w:r w:rsidRPr="00CE28E3">
              <w:t>Quality of evidence using GRADE</w:t>
            </w:r>
          </w:p>
        </w:tc>
      </w:tr>
      <w:bookmarkEnd w:id="139"/>
      <w:tr w:rsidR="00641D14" w:rsidRPr="00CE28E3" w14:paraId="7AD901EA" w14:textId="77777777" w:rsidTr="004A05D1">
        <w:trPr>
          <w:trHeight w:val="973"/>
        </w:trPr>
        <w:tc>
          <w:tcPr>
            <w:tcW w:w="0" w:type="auto"/>
          </w:tcPr>
          <w:p w14:paraId="22C54F0C" w14:textId="38E67F52" w:rsidR="005F720A" w:rsidRPr="00CE28E3" w:rsidRDefault="00400BC7" w:rsidP="008436D7">
            <w:pPr>
              <w:pStyle w:val="TableHeading"/>
              <w:ind w:right="-80"/>
              <w:rPr>
                <w:b w:val="0"/>
              </w:rPr>
            </w:pPr>
            <w:r>
              <w:rPr>
                <w:b w:val="0"/>
              </w:rPr>
              <w:t>2</w:t>
            </w:r>
            <w:r w:rsidR="005F720A" w:rsidRPr="00CE28E3">
              <w:rPr>
                <w:b w:val="0"/>
              </w:rPr>
              <w:t>.1 Direct from test to health outcomes evidence</w:t>
            </w:r>
          </w:p>
        </w:tc>
        <w:tc>
          <w:tcPr>
            <w:tcW w:w="1196" w:type="dxa"/>
          </w:tcPr>
          <w:p w14:paraId="0676341D" w14:textId="7376625C" w:rsidR="005F720A" w:rsidRPr="00345AAF" w:rsidRDefault="00345AAF" w:rsidP="00345AAF">
            <w:pPr>
              <w:pStyle w:val="TableHeading"/>
              <w:ind w:left="4"/>
              <w:rPr>
                <w:b w:val="0"/>
              </w:rPr>
            </w:pPr>
            <w:r>
              <w:rPr>
                <w:b w:val="0"/>
              </w:rPr>
              <w:t xml:space="preserve">Predictive of response to </w:t>
            </w:r>
            <w:r>
              <w:rPr>
                <w:b w:val="0"/>
                <w:i/>
              </w:rPr>
              <w:t>ALK</w:t>
            </w:r>
            <w:r>
              <w:rPr>
                <w:b w:val="0"/>
              </w:rPr>
              <w:t xml:space="preserve">-TKI </w:t>
            </w:r>
          </w:p>
        </w:tc>
        <w:tc>
          <w:tcPr>
            <w:tcW w:w="1276" w:type="dxa"/>
          </w:tcPr>
          <w:p w14:paraId="7FB9EB36" w14:textId="04368820" w:rsidR="00345AAF" w:rsidRPr="00CE28E3" w:rsidRDefault="005F720A" w:rsidP="00345AAF">
            <w:pPr>
              <w:pStyle w:val="TableHeading"/>
              <w:ind w:left="4"/>
              <w:rPr>
                <w:b w:val="0"/>
              </w:rPr>
            </w:pPr>
            <w:r w:rsidRPr="00CE28E3">
              <w:rPr>
                <w:b w:val="0"/>
              </w:rPr>
              <w:t>n=</w:t>
            </w:r>
            <w:r w:rsidR="00345AAF">
              <w:rPr>
                <w:b w:val="0"/>
              </w:rPr>
              <w:t>50</w:t>
            </w:r>
          </w:p>
          <w:p w14:paraId="1A817D0B" w14:textId="1F9A964F" w:rsidR="005F720A" w:rsidRPr="00CE28E3" w:rsidRDefault="00345AAF" w:rsidP="008436D7">
            <w:pPr>
              <w:pStyle w:val="TableHeading"/>
              <w:ind w:left="4"/>
              <w:rPr>
                <w:b w:val="0"/>
              </w:rPr>
            </w:pPr>
            <w:r>
              <w:rPr>
                <w:b w:val="0"/>
              </w:rPr>
              <w:t>k=1 within-patient cohort study</w:t>
            </w:r>
          </w:p>
        </w:tc>
        <w:tc>
          <w:tcPr>
            <w:tcW w:w="1701" w:type="dxa"/>
          </w:tcPr>
          <w:p w14:paraId="40F1109E" w14:textId="7D5F89D2" w:rsidR="005F720A" w:rsidRDefault="009E7A36" w:rsidP="009E7A36">
            <w:pPr>
              <w:pStyle w:val="TableHeading"/>
              <w:spacing w:after="0"/>
              <w:ind w:left="6"/>
              <w:rPr>
                <w:b w:val="0"/>
              </w:rPr>
            </w:pPr>
            <w:r>
              <w:rPr>
                <w:b w:val="0"/>
              </w:rPr>
              <w:t>Median PFS</w:t>
            </w:r>
          </w:p>
          <w:p w14:paraId="1499313A" w14:textId="77777777" w:rsidR="009E7A36" w:rsidRDefault="009E7A36" w:rsidP="009E7A36">
            <w:pPr>
              <w:pStyle w:val="TableHeading"/>
              <w:spacing w:before="0" w:after="0"/>
              <w:ind w:left="6"/>
              <w:rPr>
                <w:b w:val="0"/>
              </w:rPr>
            </w:pPr>
            <w:r>
              <w:rPr>
                <w:b w:val="0"/>
              </w:rPr>
              <w:t>NGS+: 11.1m</w:t>
            </w:r>
          </w:p>
          <w:p w14:paraId="7D6AC596" w14:textId="77777777" w:rsidR="009E7A36" w:rsidRDefault="009E7A36" w:rsidP="009E7A36">
            <w:pPr>
              <w:pStyle w:val="TableHeading"/>
              <w:spacing w:before="0" w:after="0"/>
              <w:ind w:left="6"/>
              <w:rPr>
                <w:b w:val="0"/>
              </w:rPr>
            </w:pPr>
            <w:r>
              <w:rPr>
                <w:b w:val="0"/>
              </w:rPr>
              <w:t>NGS-: 4.6m</w:t>
            </w:r>
          </w:p>
          <w:p w14:paraId="1D7B99D8" w14:textId="77777777" w:rsidR="009E7A36" w:rsidRDefault="009E7A36" w:rsidP="009E7A36">
            <w:pPr>
              <w:pStyle w:val="TableHeading"/>
              <w:spacing w:before="0" w:after="0"/>
              <w:ind w:left="6"/>
              <w:rPr>
                <w:b w:val="0"/>
              </w:rPr>
            </w:pPr>
            <w:r>
              <w:rPr>
                <w:b w:val="0"/>
              </w:rPr>
              <w:t>IHC+: 10.3m</w:t>
            </w:r>
          </w:p>
          <w:p w14:paraId="1B599FB3" w14:textId="77777777" w:rsidR="009E7A36" w:rsidRDefault="009E7A36" w:rsidP="009E7A36">
            <w:pPr>
              <w:pStyle w:val="TableHeading"/>
              <w:spacing w:before="0" w:after="0"/>
              <w:ind w:left="6"/>
              <w:rPr>
                <w:b w:val="0"/>
              </w:rPr>
            </w:pPr>
            <w:r>
              <w:rPr>
                <w:b w:val="0"/>
              </w:rPr>
              <w:t>IHC-: 11.7m</w:t>
            </w:r>
          </w:p>
          <w:p w14:paraId="0E880312" w14:textId="77777777" w:rsidR="009E7A36" w:rsidRDefault="009E7A36" w:rsidP="009E7A36">
            <w:pPr>
              <w:pStyle w:val="TableHeading"/>
              <w:spacing w:before="0" w:after="0"/>
              <w:ind w:left="6"/>
              <w:rPr>
                <w:b w:val="0"/>
              </w:rPr>
            </w:pPr>
            <w:r>
              <w:rPr>
                <w:b w:val="0"/>
              </w:rPr>
              <w:t>FISH+: 8.8m</w:t>
            </w:r>
          </w:p>
          <w:p w14:paraId="74A6BD60" w14:textId="1A7492C2" w:rsidR="009E7A36" w:rsidRPr="00CE28E3" w:rsidRDefault="009E7A36" w:rsidP="009E7A36">
            <w:pPr>
              <w:pStyle w:val="TableHeading"/>
              <w:spacing w:before="0" w:after="0"/>
              <w:ind w:left="6"/>
              <w:rPr>
                <w:b w:val="0"/>
              </w:rPr>
            </w:pPr>
            <w:r>
              <w:rPr>
                <w:b w:val="0"/>
              </w:rPr>
              <w:t>FISH-: 14.8m</w:t>
            </w:r>
          </w:p>
        </w:tc>
        <w:tc>
          <w:tcPr>
            <w:tcW w:w="2593" w:type="dxa"/>
          </w:tcPr>
          <w:p w14:paraId="3BBBF66C" w14:textId="1B20B105" w:rsidR="005F720A" w:rsidRPr="00652772" w:rsidRDefault="00652772" w:rsidP="008436D7">
            <w:pPr>
              <w:pStyle w:val="TableHeading"/>
              <w:ind w:left="4"/>
              <w:rPr>
                <w:b w:val="0"/>
              </w:rPr>
            </w:pPr>
            <w:r>
              <w:rPr>
                <w:b w:val="0"/>
              </w:rPr>
              <w:t xml:space="preserve">NGS better able to predict response to </w:t>
            </w:r>
            <w:r>
              <w:rPr>
                <w:b w:val="0"/>
                <w:i/>
              </w:rPr>
              <w:t>ALK-</w:t>
            </w:r>
            <w:r>
              <w:rPr>
                <w:b w:val="0"/>
              </w:rPr>
              <w:t xml:space="preserve">TKI than FISH or IHC. Those treated with </w:t>
            </w:r>
            <w:r>
              <w:rPr>
                <w:b w:val="0"/>
                <w:i/>
              </w:rPr>
              <w:t>ALK</w:t>
            </w:r>
            <w:r>
              <w:rPr>
                <w:b w:val="0"/>
              </w:rPr>
              <w:t xml:space="preserve"> TKI due to variant detected with NGS therefore expected to have at least non-inferior outcomes to those tested by clinical utility standard or IHC ± FISH.</w:t>
            </w:r>
          </w:p>
        </w:tc>
        <w:tc>
          <w:tcPr>
            <w:tcW w:w="1041" w:type="dxa"/>
          </w:tcPr>
          <w:p w14:paraId="011CDE98" w14:textId="77777777" w:rsidR="008E35A3" w:rsidRPr="00CE28E3" w:rsidRDefault="008E35A3" w:rsidP="008436D7">
            <w:pPr>
              <w:pStyle w:val="TableHeading"/>
              <w:ind w:left="4"/>
              <w:rPr>
                <w:rFonts w:ascii="Cambria Math" w:hAnsi="Cambria Math" w:cs="Cambria Math"/>
                <w:b w:val="0"/>
                <w:color w:val="C00000"/>
              </w:rPr>
            </w:pPr>
            <w:r w:rsidRPr="00CE28E3">
              <w:rPr>
                <w:rFonts w:ascii="Cambria Math" w:hAnsi="Cambria Math" w:cs="Cambria Math"/>
                <w:b w:val="0"/>
                <w:color w:val="00B050"/>
              </w:rPr>
              <w:t>⊕</w:t>
            </w:r>
            <w:r w:rsidRPr="00CE28E3">
              <w:rPr>
                <w:rFonts w:ascii="Cambria Math" w:hAnsi="Cambria Math" w:cs="Cambria Math"/>
                <w:b w:val="0"/>
                <w:color w:val="C00000"/>
              </w:rPr>
              <w:t>⊝⊝⊝</w:t>
            </w:r>
          </w:p>
          <w:p w14:paraId="34E97277" w14:textId="5EF090D8" w:rsidR="005F720A" w:rsidRPr="00CE28E3" w:rsidRDefault="005F720A" w:rsidP="008436D7">
            <w:pPr>
              <w:pStyle w:val="TableHeading"/>
              <w:ind w:left="4"/>
              <w:rPr>
                <w:rFonts w:ascii="Cambria Math" w:hAnsi="Cambria Math" w:cs="Cambria Math"/>
                <w:b w:val="0"/>
                <w:color w:val="00B050"/>
              </w:rPr>
            </w:pPr>
          </w:p>
        </w:tc>
      </w:tr>
      <w:tr w:rsidR="00641D14" w:rsidRPr="00CE28E3" w14:paraId="1E565C47" w14:textId="77777777" w:rsidTr="004A05D1">
        <w:trPr>
          <w:trHeight w:val="973"/>
        </w:trPr>
        <w:tc>
          <w:tcPr>
            <w:tcW w:w="0" w:type="auto"/>
            <w:vMerge w:val="restart"/>
          </w:tcPr>
          <w:p w14:paraId="722B612B" w14:textId="474F6A82" w:rsidR="008B1C76" w:rsidRPr="00CE28E3" w:rsidRDefault="00400BC7" w:rsidP="00345AAF">
            <w:pPr>
              <w:pStyle w:val="TableHeading"/>
              <w:ind w:right="-80"/>
              <w:rPr>
                <w:b w:val="0"/>
              </w:rPr>
            </w:pPr>
            <w:r>
              <w:rPr>
                <w:b w:val="0"/>
              </w:rPr>
              <w:t>2</w:t>
            </w:r>
            <w:r w:rsidR="008B1C76" w:rsidRPr="00CE28E3">
              <w:rPr>
                <w:b w:val="0"/>
              </w:rPr>
              <w:t xml:space="preserve">.2 Test </w:t>
            </w:r>
            <w:r w:rsidR="008B1C76">
              <w:rPr>
                <w:b w:val="0"/>
              </w:rPr>
              <w:t>performance</w:t>
            </w:r>
          </w:p>
        </w:tc>
        <w:tc>
          <w:tcPr>
            <w:tcW w:w="1196" w:type="dxa"/>
          </w:tcPr>
          <w:p w14:paraId="053BB5DF" w14:textId="618175EF" w:rsidR="008B1C76" w:rsidRPr="00CE28E3" w:rsidRDefault="008B1C76" w:rsidP="008436D7">
            <w:pPr>
              <w:pStyle w:val="TableHeading"/>
              <w:ind w:left="4"/>
              <w:rPr>
                <w:b w:val="0"/>
              </w:rPr>
            </w:pPr>
            <w:r>
              <w:rPr>
                <w:b w:val="0"/>
              </w:rPr>
              <w:t>Success rate of testing (sufficient tissue)</w:t>
            </w:r>
          </w:p>
        </w:tc>
        <w:tc>
          <w:tcPr>
            <w:tcW w:w="1276" w:type="dxa"/>
          </w:tcPr>
          <w:p w14:paraId="7FA19848" w14:textId="79D44F34" w:rsidR="008B1C76" w:rsidRPr="00CE28E3" w:rsidRDefault="008B1C76" w:rsidP="00A32BE6">
            <w:pPr>
              <w:pStyle w:val="TableHeading"/>
              <w:ind w:left="4"/>
              <w:rPr>
                <w:b w:val="0"/>
              </w:rPr>
            </w:pPr>
            <w:r>
              <w:rPr>
                <w:b w:val="0"/>
              </w:rPr>
              <w:t>n=</w:t>
            </w:r>
            <w:r w:rsidR="003F66FA">
              <w:rPr>
                <w:b w:val="0"/>
              </w:rPr>
              <w:t>4040</w:t>
            </w:r>
          </w:p>
          <w:p w14:paraId="0E0D5923" w14:textId="1F7FF799" w:rsidR="008B1C76" w:rsidRPr="00CE28E3" w:rsidRDefault="008B1C76" w:rsidP="00A32BE6">
            <w:pPr>
              <w:pStyle w:val="TableHeading"/>
              <w:ind w:left="4"/>
              <w:rPr>
                <w:b w:val="0"/>
              </w:rPr>
            </w:pPr>
            <w:r w:rsidRPr="00CE28E3">
              <w:rPr>
                <w:b w:val="0"/>
              </w:rPr>
              <w:t>k=</w:t>
            </w:r>
            <w:r>
              <w:rPr>
                <w:b w:val="0"/>
              </w:rPr>
              <w:t>1 between-patient cohort</w:t>
            </w:r>
          </w:p>
        </w:tc>
        <w:tc>
          <w:tcPr>
            <w:tcW w:w="1701" w:type="dxa"/>
          </w:tcPr>
          <w:p w14:paraId="614D527A" w14:textId="511C61C2" w:rsidR="008B1C76" w:rsidRDefault="003F66FA" w:rsidP="003F66FA">
            <w:pPr>
              <w:pStyle w:val="TableHeading"/>
              <w:rPr>
                <w:b w:val="0"/>
              </w:rPr>
            </w:pPr>
            <w:r>
              <w:rPr>
                <w:b w:val="0"/>
              </w:rPr>
              <w:t xml:space="preserve">NGS: 97.2% </w:t>
            </w:r>
          </w:p>
          <w:p w14:paraId="31215AAC" w14:textId="7A3AD439" w:rsidR="003F66FA" w:rsidRPr="00CE28E3" w:rsidRDefault="003F66FA" w:rsidP="008436D7">
            <w:pPr>
              <w:pStyle w:val="TableHeading"/>
              <w:ind w:left="4"/>
              <w:rPr>
                <w:b w:val="0"/>
              </w:rPr>
            </w:pPr>
            <w:r>
              <w:rPr>
                <w:b w:val="0"/>
              </w:rPr>
              <w:t xml:space="preserve">Single-gene testing: 94.6% </w:t>
            </w:r>
          </w:p>
        </w:tc>
        <w:tc>
          <w:tcPr>
            <w:tcW w:w="2593" w:type="dxa"/>
          </w:tcPr>
          <w:p w14:paraId="67A052D9" w14:textId="443A8FFE" w:rsidR="008B1C76" w:rsidRPr="00CE28E3" w:rsidRDefault="00347D99" w:rsidP="008436D7">
            <w:pPr>
              <w:pStyle w:val="TableHeading"/>
              <w:ind w:left="4"/>
              <w:rPr>
                <w:b w:val="0"/>
              </w:rPr>
            </w:pPr>
            <w:r>
              <w:rPr>
                <w:b w:val="0"/>
              </w:rPr>
              <w:t xml:space="preserve">NGS </w:t>
            </w:r>
            <w:r w:rsidR="005606AF">
              <w:rPr>
                <w:b w:val="0"/>
              </w:rPr>
              <w:t xml:space="preserve">small DNA panel ± IHC, FISH or RNA panel </w:t>
            </w:r>
            <w:r>
              <w:rPr>
                <w:b w:val="0"/>
              </w:rPr>
              <w:t xml:space="preserve">able to make better use of tumour tissue available than single-gene testing. </w:t>
            </w:r>
          </w:p>
        </w:tc>
        <w:tc>
          <w:tcPr>
            <w:tcW w:w="1041" w:type="dxa"/>
          </w:tcPr>
          <w:p w14:paraId="0C972AEC" w14:textId="1868C160" w:rsidR="008B1C76" w:rsidRPr="00CE28E3" w:rsidRDefault="006278CE" w:rsidP="008436D7">
            <w:pPr>
              <w:pStyle w:val="TableHeading"/>
              <w:ind w:left="4"/>
              <w:rPr>
                <w:b w:val="0"/>
              </w:rPr>
            </w:pPr>
            <w:r w:rsidRPr="00CE28E3">
              <w:rPr>
                <w:rFonts w:ascii="Cambria Math" w:hAnsi="Cambria Math" w:cs="Cambria Math"/>
                <w:b w:val="0"/>
                <w:color w:val="00B050"/>
              </w:rPr>
              <w:t>⊕</w:t>
            </w:r>
            <w:r w:rsidR="00504E35" w:rsidRPr="00CE28E3">
              <w:rPr>
                <w:rFonts w:ascii="Cambria Math" w:hAnsi="Cambria Math" w:cs="Cambria Math"/>
                <w:b w:val="0"/>
                <w:color w:val="00B050"/>
              </w:rPr>
              <w:t>⊕</w:t>
            </w:r>
            <w:r w:rsidRPr="00CE28E3">
              <w:rPr>
                <w:rFonts w:ascii="Cambria Math" w:hAnsi="Cambria Math" w:cs="Cambria Math"/>
                <w:b w:val="0"/>
                <w:color w:val="C00000"/>
              </w:rPr>
              <w:t>⊝⊝</w:t>
            </w:r>
          </w:p>
        </w:tc>
      </w:tr>
      <w:tr w:rsidR="00641D14" w:rsidRPr="00CE28E3" w14:paraId="47545BD9" w14:textId="77777777" w:rsidTr="004A05D1">
        <w:trPr>
          <w:trHeight w:val="973"/>
        </w:trPr>
        <w:tc>
          <w:tcPr>
            <w:tcW w:w="0" w:type="auto"/>
            <w:vMerge/>
          </w:tcPr>
          <w:p w14:paraId="42BFDD72" w14:textId="77777777" w:rsidR="008B1C76" w:rsidRPr="00CE28E3" w:rsidRDefault="008B1C76" w:rsidP="00A32BE6">
            <w:pPr>
              <w:pStyle w:val="TableHeading"/>
              <w:ind w:right="-80"/>
              <w:rPr>
                <w:b w:val="0"/>
              </w:rPr>
            </w:pPr>
          </w:p>
        </w:tc>
        <w:tc>
          <w:tcPr>
            <w:tcW w:w="1196" w:type="dxa"/>
          </w:tcPr>
          <w:p w14:paraId="559F4956" w14:textId="27BFD642" w:rsidR="008B1C76" w:rsidRDefault="008B1C76" w:rsidP="00A32BE6">
            <w:pPr>
              <w:pStyle w:val="TableHeading"/>
              <w:ind w:left="4"/>
              <w:rPr>
                <w:b w:val="0"/>
              </w:rPr>
            </w:pPr>
            <w:r>
              <w:rPr>
                <w:b w:val="0"/>
              </w:rPr>
              <w:t>Concordance of NGS against single-gene testing</w:t>
            </w:r>
          </w:p>
        </w:tc>
        <w:tc>
          <w:tcPr>
            <w:tcW w:w="1276" w:type="dxa"/>
          </w:tcPr>
          <w:p w14:paraId="058B7B38" w14:textId="2730282A" w:rsidR="008B1C76" w:rsidRPr="00CE28E3" w:rsidRDefault="008B1C76" w:rsidP="00A32BE6">
            <w:pPr>
              <w:pStyle w:val="TableHeading"/>
              <w:ind w:left="4"/>
              <w:rPr>
                <w:b w:val="0"/>
              </w:rPr>
            </w:pPr>
            <w:r>
              <w:rPr>
                <w:b w:val="0"/>
              </w:rPr>
              <w:t>n=</w:t>
            </w:r>
            <w:r w:rsidR="003F66FA">
              <w:rPr>
                <w:b w:val="0"/>
              </w:rPr>
              <w:t>4081</w:t>
            </w:r>
          </w:p>
          <w:p w14:paraId="5ACD49CC" w14:textId="21A2FDA4" w:rsidR="008B1C76" w:rsidRDefault="008B1C76" w:rsidP="00A32BE6">
            <w:pPr>
              <w:pStyle w:val="TableHeading"/>
              <w:ind w:left="4"/>
              <w:rPr>
                <w:b w:val="0"/>
              </w:rPr>
            </w:pPr>
            <w:r w:rsidRPr="00CE28E3">
              <w:rPr>
                <w:b w:val="0"/>
              </w:rPr>
              <w:t>k=</w:t>
            </w:r>
            <w:r>
              <w:rPr>
                <w:b w:val="0"/>
              </w:rPr>
              <w:t>30</w:t>
            </w:r>
            <w:r w:rsidR="003F66FA">
              <w:rPr>
                <w:b w:val="0"/>
              </w:rPr>
              <w:t xml:space="preserve"> within-patient cohorts</w:t>
            </w:r>
          </w:p>
        </w:tc>
        <w:tc>
          <w:tcPr>
            <w:tcW w:w="1701" w:type="dxa"/>
          </w:tcPr>
          <w:p w14:paraId="656BE3D2" w14:textId="77777777" w:rsidR="008B1C76" w:rsidRDefault="001C773C" w:rsidP="00A32BE6">
            <w:pPr>
              <w:pStyle w:val="TableHeading"/>
              <w:ind w:left="4"/>
              <w:rPr>
                <w:b w:val="0"/>
              </w:rPr>
            </w:pPr>
            <w:r>
              <w:rPr>
                <w:b w:val="0"/>
              </w:rPr>
              <w:t xml:space="preserve">Overall concordance: 95.7% </w:t>
            </w:r>
          </w:p>
          <w:p w14:paraId="10AB7DE8" w14:textId="08854829" w:rsidR="001C773C" w:rsidRDefault="001C773C" w:rsidP="00A32BE6">
            <w:pPr>
              <w:pStyle w:val="TableHeading"/>
              <w:ind w:left="4"/>
              <w:rPr>
                <w:b w:val="0"/>
              </w:rPr>
            </w:pPr>
            <w:r>
              <w:rPr>
                <w:b w:val="0"/>
              </w:rPr>
              <w:t>3.5% additional actionable variants identified by NGS but not comparator</w:t>
            </w:r>
          </w:p>
          <w:p w14:paraId="109503FC" w14:textId="4B166643" w:rsidR="001C773C" w:rsidRPr="00CE28E3" w:rsidRDefault="001C773C" w:rsidP="001C773C">
            <w:pPr>
              <w:pStyle w:val="TableHeading"/>
              <w:ind w:left="4"/>
              <w:rPr>
                <w:b w:val="0"/>
              </w:rPr>
            </w:pPr>
            <w:r>
              <w:rPr>
                <w:b w:val="0"/>
              </w:rPr>
              <w:t>0.8% actionable variants missed by NGS (identified by comparator)</w:t>
            </w:r>
          </w:p>
        </w:tc>
        <w:tc>
          <w:tcPr>
            <w:tcW w:w="2593" w:type="dxa"/>
          </w:tcPr>
          <w:p w14:paraId="3B098832" w14:textId="126A3AF2" w:rsidR="008B1C76" w:rsidRDefault="00347D99" w:rsidP="00A32BE6">
            <w:pPr>
              <w:pStyle w:val="TableHeading"/>
              <w:ind w:left="4"/>
              <w:rPr>
                <w:b w:val="0"/>
              </w:rPr>
            </w:pPr>
            <w:r>
              <w:rPr>
                <w:b w:val="0"/>
              </w:rPr>
              <w:t>NGS highly concordant with single-gene testing, with some additional cases detected due to higher sensitivity (lower threshold of detection</w:t>
            </w:r>
            <w:r w:rsidR="00DF66AE">
              <w:rPr>
                <w:b w:val="0"/>
              </w:rPr>
              <w:t>) and</w:t>
            </w:r>
            <w:r>
              <w:rPr>
                <w:b w:val="0"/>
              </w:rPr>
              <w:t xml:space="preserve"> detecting rare variants. </w:t>
            </w:r>
          </w:p>
          <w:p w14:paraId="3FC68B1A" w14:textId="7F4D1D91" w:rsidR="005606AF" w:rsidRPr="00CE28E3" w:rsidRDefault="005606AF" w:rsidP="00A32BE6">
            <w:pPr>
              <w:pStyle w:val="TableHeading"/>
              <w:ind w:left="4"/>
              <w:rPr>
                <w:b w:val="0"/>
              </w:rPr>
            </w:pPr>
          </w:p>
        </w:tc>
        <w:tc>
          <w:tcPr>
            <w:tcW w:w="1041" w:type="dxa"/>
          </w:tcPr>
          <w:p w14:paraId="3ED332E5" w14:textId="4C843CD8" w:rsidR="008B1C76" w:rsidRPr="00CE28E3" w:rsidRDefault="00D83BBB" w:rsidP="00A32BE6">
            <w:pPr>
              <w:pStyle w:val="TableHeading"/>
              <w:ind w:left="4"/>
              <w:rPr>
                <w:rFonts w:ascii="Cambria Math" w:hAnsi="Cambria Math" w:cs="Cambria Math"/>
                <w:b w:val="0"/>
                <w:color w:val="00B050"/>
              </w:rPr>
            </w:pPr>
            <w:r w:rsidRPr="00CE28E3">
              <w:rPr>
                <w:rFonts w:ascii="Cambria Math" w:hAnsi="Cambria Math" w:cs="Cambria Math"/>
                <w:b w:val="0"/>
                <w:color w:val="00B050"/>
              </w:rPr>
              <w:t>⊕⊕⊕</w:t>
            </w:r>
            <w:r w:rsidRPr="00CE28E3">
              <w:rPr>
                <w:rFonts w:ascii="Cambria Math" w:hAnsi="Cambria Math" w:cs="Cambria Math"/>
                <w:b w:val="0"/>
                <w:color w:val="C00000"/>
              </w:rPr>
              <w:t>⊝</w:t>
            </w:r>
          </w:p>
        </w:tc>
      </w:tr>
      <w:tr w:rsidR="00641D14" w:rsidRPr="00CE28E3" w14:paraId="46647259" w14:textId="77777777" w:rsidTr="004A05D1">
        <w:trPr>
          <w:trHeight w:val="973"/>
        </w:trPr>
        <w:tc>
          <w:tcPr>
            <w:tcW w:w="0" w:type="auto"/>
            <w:vMerge/>
          </w:tcPr>
          <w:p w14:paraId="79585E3A" w14:textId="77777777" w:rsidR="008B1C76" w:rsidRPr="00CE28E3" w:rsidRDefault="008B1C76" w:rsidP="00A32BE6">
            <w:pPr>
              <w:pStyle w:val="TableHeading"/>
              <w:ind w:right="-80"/>
              <w:rPr>
                <w:b w:val="0"/>
              </w:rPr>
            </w:pPr>
          </w:p>
        </w:tc>
        <w:tc>
          <w:tcPr>
            <w:tcW w:w="1196" w:type="dxa"/>
          </w:tcPr>
          <w:p w14:paraId="4E23C5D0" w14:textId="619F97E1" w:rsidR="008B1C76" w:rsidRDefault="00B63DD0" w:rsidP="00A32BE6">
            <w:pPr>
              <w:pStyle w:val="TableHeading"/>
              <w:ind w:left="4"/>
              <w:rPr>
                <w:b w:val="0"/>
              </w:rPr>
            </w:pPr>
            <w:r>
              <w:rPr>
                <w:b w:val="0"/>
              </w:rPr>
              <w:t>Turnaround time of test results</w:t>
            </w:r>
          </w:p>
        </w:tc>
        <w:tc>
          <w:tcPr>
            <w:tcW w:w="1276" w:type="dxa"/>
          </w:tcPr>
          <w:p w14:paraId="1CDDFD4F" w14:textId="63EFCF44" w:rsidR="00B63DD0" w:rsidRDefault="00B63DD0" w:rsidP="00A32BE6">
            <w:pPr>
              <w:pStyle w:val="TableHeading"/>
              <w:ind w:left="4"/>
              <w:rPr>
                <w:b w:val="0"/>
              </w:rPr>
            </w:pPr>
            <w:r>
              <w:rPr>
                <w:b w:val="0"/>
              </w:rPr>
              <w:t>n=5462</w:t>
            </w:r>
          </w:p>
          <w:p w14:paraId="4D68A862" w14:textId="73B6C1BB" w:rsidR="00B63DD0" w:rsidRDefault="00B63DD0" w:rsidP="00B63DD0">
            <w:pPr>
              <w:pStyle w:val="TableHeading"/>
              <w:ind w:left="4"/>
              <w:rPr>
                <w:b w:val="0"/>
              </w:rPr>
            </w:pPr>
            <w:r>
              <w:rPr>
                <w:b w:val="0"/>
              </w:rPr>
              <w:t>k=3</w:t>
            </w:r>
            <w:r w:rsidR="00BE36D0">
              <w:rPr>
                <w:b w:val="0"/>
              </w:rPr>
              <w:t xml:space="preserve"> between or within-patient cohort studies</w:t>
            </w:r>
          </w:p>
        </w:tc>
        <w:tc>
          <w:tcPr>
            <w:tcW w:w="1701" w:type="dxa"/>
          </w:tcPr>
          <w:p w14:paraId="551BCF26" w14:textId="4E1800CB" w:rsidR="008B1C76" w:rsidRDefault="002D37B6" w:rsidP="00A32BE6">
            <w:pPr>
              <w:pStyle w:val="TableHeading"/>
              <w:ind w:left="4"/>
              <w:rPr>
                <w:b w:val="0"/>
              </w:rPr>
            </w:pPr>
            <w:r>
              <w:rPr>
                <w:b w:val="0"/>
              </w:rPr>
              <w:t>NGS: mean or medians of 10 to 12 days</w:t>
            </w:r>
          </w:p>
          <w:p w14:paraId="2409387C" w14:textId="77777777" w:rsidR="002D37B6" w:rsidRDefault="002D37B6" w:rsidP="00A32BE6">
            <w:pPr>
              <w:pStyle w:val="TableHeading"/>
              <w:ind w:left="4"/>
              <w:rPr>
                <w:b w:val="0"/>
              </w:rPr>
            </w:pPr>
            <w:r>
              <w:rPr>
                <w:b w:val="0"/>
              </w:rPr>
              <w:t>Single gene testing strategies: mean or medians of 10 to 13 days</w:t>
            </w:r>
          </w:p>
          <w:p w14:paraId="4310A00D" w14:textId="1561029B" w:rsidR="002D37B6" w:rsidRPr="00CE28E3" w:rsidRDefault="002D37B6" w:rsidP="00A32BE6">
            <w:pPr>
              <w:pStyle w:val="TableHeading"/>
              <w:ind w:left="4"/>
              <w:rPr>
                <w:b w:val="0"/>
              </w:rPr>
            </w:pPr>
            <w:r>
              <w:rPr>
                <w:b w:val="0"/>
              </w:rPr>
              <w:t>Differences: 0 to 3 days</w:t>
            </w:r>
          </w:p>
        </w:tc>
        <w:tc>
          <w:tcPr>
            <w:tcW w:w="2593" w:type="dxa"/>
          </w:tcPr>
          <w:p w14:paraId="7560EE98" w14:textId="77777777" w:rsidR="002D37B6" w:rsidRDefault="002D37B6" w:rsidP="002D37B6">
            <w:pPr>
              <w:pStyle w:val="TableHeading"/>
              <w:ind w:left="4"/>
              <w:rPr>
                <w:b w:val="0"/>
              </w:rPr>
            </w:pPr>
            <w:r>
              <w:rPr>
                <w:b w:val="0"/>
              </w:rPr>
              <w:t xml:space="preserve">The greatest difference in turnaround time was between a combined DNA and RNA panel and single gene testing, which reported that results were available 3 days sooner with NGS. </w:t>
            </w:r>
          </w:p>
          <w:p w14:paraId="6FD8F480" w14:textId="65D09A3B" w:rsidR="002D37B6" w:rsidRPr="00CE28E3" w:rsidRDefault="002D37B6" w:rsidP="002D37B6">
            <w:pPr>
              <w:pStyle w:val="TableHeading"/>
              <w:ind w:left="4"/>
              <w:rPr>
                <w:b w:val="0"/>
              </w:rPr>
            </w:pPr>
            <w:r>
              <w:rPr>
                <w:b w:val="0"/>
              </w:rPr>
              <w:t xml:space="preserve">Separate DNA then RNA panels would be expected to take longer than a combined panel. </w:t>
            </w:r>
          </w:p>
        </w:tc>
        <w:tc>
          <w:tcPr>
            <w:tcW w:w="1041" w:type="dxa"/>
          </w:tcPr>
          <w:p w14:paraId="7128D446" w14:textId="6322AC8C" w:rsidR="008B1C76" w:rsidRPr="00CE28E3" w:rsidRDefault="002D37B6" w:rsidP="00A32BE6">
            <w:pPr>
              <w:pStyle w:val="TableHeading"/>
              <w:ind w:left="4"/>
              <w:rPr>
                <w:rFonts w:ascii="Cambria Math" w:hAnsi="Cambria Math" w:cs="Cambria Math"/>
                <w:b w:val="0"/>
                <w:color w:val="00B050"/>
              </w:rPr>
            </w:pPr>
            <w:r w:rsidRPr="00CE28E3">
              <w:rPr>
                <w:rFonts w:ascii="Cambria Math" w:hAnsi="Cambria Math" w:cs="Cambria Math"/>
                <w:b w:val="0"/>
                <w:color w:val="00B050"/>
              </w:rPr>
              <w:t>⊕</w:t>
            </w:r>
            <w:r w:rsidRPr="00CE28E3">
              <w:rPr>
                <w:rFonts w:ascii="Cambria Math" w:hAnsi="Cambria Math" w:cs="Cambria Math"/>
                <w:b w:val="0"/>
                <w:color w:val="C00000"/>
              </w:rPr>
              <w:t>⊝⊝⊝</w:t>
            </w:r>
          </w:p>
        </w:tc>
      </w:tr>
    </w:tbl>
    <w:p w14:paraId="537EE9D9" w14:textId="0B1EB0A5" w:rsidR="000935B4" w:rsidRDefault="000935B4"/>
    <w:tbl>
      <w:tblPr>
        <w:tblStyle w:val="TableGrid"/>
        <w:tblW w:w="0" w:type="auto"/>
        <w:tblLook w:val="04A0" w:firstRow="1" w:lastRow="0" w:firstColumn="1" w:lastColumn="0" w:noHBand="0" w:noVBand="1"/>
        <w:tblCaption w:val="Summary of findings table for safety/effectiveness of small NGS panel(s) versus sequential single gene testing (continued)"/>
        <w:tblDescription w:val="Summary of findings table for safety/effectiveness of small NGS panel(s) versus sequential single gene testing"/>
      </w:tblPr>
      <w:tblGrid>
        <w:gridCol w:w="1209"/>
        <w:gridCol w:w="1196"/>
        <w:gridCol w:w="1276"/>
        <w:gridCol w:w="1701"/>
        <w:gridCol w:w="2593"/>
        <w:gridCol w:w="1041"/>
      </w:tblGrid>
      <w:tr w:rsidR="000935B4" w:rsidRPr="00CE28E3" w14:paraId="6E482AEC" w14:textId="77777777" w:rsidTr="000935B4">
        <w:trPr>
          <w:trHeight w:val="60"/>
          <w:tblHeader/>
        </w:trPr>
        <w:tc>
          <w:tcPr>
            <w:tcW w:w="0" w:type="auto"/>
          </w:tcPr>
          <w:p w14:paraId="50E03A38" w14:textId="77777777" w:rsidR="000935B4" w:rsidRPr="00CE28E3" w:rsidRDefault="000935B4" w:rsidP="006F7632">
            <w:pPr>
              <w:pStyle w:val="TableHeading"/>
              <w:ind w:left="4"/>
            </w:pPr>
            <w:r w:rsidRPr="00CE28E3">
              <w:lastRenderedPageBreak/>
              <w:t>Section in report</w:t>
            </w:r>
          </w:p>
        </w:tc>
        <w:tc>
          <w:tcPr>
            <w:tcW w:w="1196" w:type="dxa"/>
          </w:tcPr>
          <w:p w14:paraId="452668AF" w14:textId="77777777" w:rsidR="000935B4" w:rsidRPr="00CE28E3" w:rsidRDefault="000935B4" w:rsidP="006F7632">
            <w:pPr>
              <w:pStyle w:val="TableHeading"/>
              <w:ind w:left="4"/>
            </w:pPr>
            <w:r w:rsidRPr="00CE28E3">
              <w:t xml:space="preserve">Outcomes </w:t>
            </w:r>
          </w:p>
        </w:tc>
        <w:tc>
          <w:tcPr>
            <w:tcW w:w="1276" w:type="dxa"/>
          </w:tcPr>
          <w:p w14:paraId="6D8AE274" w14:textId="77777777" w:rsidR="000935B4" w:rsidRPr="00CE28E3" w:rsidRDefault="000935B4" w:rsidP="006F7632">
            <w:pPr>
              <w:pStyle w:val="TableHeading"/>
              <w:ind w:left="4"/>
            </w:pPr>
            <w:r w:rsidRPr="00CE28E3">
              <w:t xml:space="preserve">Participants </w:t>
            </w:r>
            <w:r>
              <w:t>and</w:t>
            </w:r>
            <w:r w:rsidRPr="00CE28E3">
              <w:t xml:space="preserve"> studies</w:t>
            </w:r>
          </w:p>
        </w:tc>
        <w:tc>
          <w:tcPr>
            <w:tcW w:w="1701" w:type="dxa"/>
          </w:tcPr>
          <w:p w14:paraId="041E7707" w14:textId="77777777" w:rsidR="000935B4" w:rsidRPr="00CE28E3" w:rsidRDefault="000935B4" w:rsidP="006F7632">
            <w:pPr>
              <w:pStyle w:val="TableHeading"/>
              <w:ind w:left="4"/>
            </w:pPr>
            <w:r w:rsidRPr="00CE28E3">
              <w:t>Results</w:t>
            </w:r>
          </w:p>
        </w:tc>
        <w:tc>
          <w:tcPr>
            <w:tcW w:w="2593" w:type="dxa"/>
          </w:tcPr>
          <w:p w14:paraId="1FC8F6D3" w14:textId="77777777" w:rsidR="000935B4" w:rsidRPr="00CE28E3" w:rsidRDefault="000935B4" w:rsidP="006F7632">
            <w:pPr>
              <w:pStyle w:val="TableHeading"/>
              <w:ind w:left="4"/>
            </w:pPr>
            <w:r w:rsidRPr="00CE28E3">
              <w:t>Interpretation</w:t>
            </w:r>
          </w:p>
        </w:tc>
        <w:tc>
          <w:tcPr>
            <w:tcW w:w="1041" w:type="dxa"/>
          </w:tcPr>
          <w:p w14:paraId="7BB1C7BA" w14:textId="77777777" w:rsidR="000935B4" w:rsidRPr="00CE28E3" w:rsidRDefault="000935B4" w:rsidP="006F7632">
            <w:pPr>
              <w:pStyle w:val="TableHeading"/>
              <w:ind w:left="4"/>
            </w:pPr>
            <w:r w:rsidRPr="00CE28E3">
              <w:t>Quality of evidence using GRADE</w:t>
            </w:r>
          </w:p>
        </w:tc>
      </w:tr>
      <w:tr w:rsidR="00641D14" w:rsidRPr="00CE28E3" w14:paraId="6505CCBC" w14:textId="77777777" w:rsidTr="004A05D1">
        <w:trPr>
          <w:trHeight w:val="60"/>
        </w:trPr>
        <w:tc>
          <w:tcPr>
            <w:tcW w:w="0" w:type="auto"/>
            <w:vMerge w:val="restart"/>
          </w:tcPr>
          <w:p w14:paraId="721EE0A3" w14:textId="74A71443" w:rsidR="00A32BE6" w:rsidRPr="00CE28E3" w:rsidRDefault="00400BC7" w:rsidP="00A32BE6">
            <w:pPr>
              <w:pStyle w:val="TableHeading"/>
              <w:ind w:right="-80"/>
              <w:rPr>
                <w:b w:val="0"/>
              </w:rPr>
            </w:pPr>
            <w:r>
              <w:rPr>
                <w:b w:val="0"/>
              </w:rPr>
              <w:t>2</w:t>
            </w:r>
            <w:r w:rsidR="00A32BE6" w:rsidRPr="00CE28E3">
              <w:rPr>
                <w:b w:val="0"/>
              </w:rPr>
              <w:t xml:space="preserve">.3 Change in management </w:t>
            </w:r>
          </w:p>
        </w:tc>
        <w:tc>
          <w:tcPr>
            <w:tcW w:w="1196" w:type="dxa"/>
          </w:tcPr>
          <w:p w14:paraId="259CCD0B" w14:textId="0ED1E8FC" w:rsidR="00A32BE6" w:rsidRPr="00CE28E3" w:rsidRDefault="00707488" w:rsidP="00A32BE6">
            <w:pPr>
              <w:pStyle w:val="TableHeading"/>
              <w:tabs>
                <w:tab w:val="left" w:pos="842"/>
              </w:tabs>
              <w:ind w:left="4"/>
              <w:rPr>
                <w:b w:val="0"/>
              </w:rPr>
            </w:pPr>
            <w:r>
              <w:rPr>
                <w:b w:val="0"/>
              </w:rPr>
              <w:t>Change in rate of rebiopsy</w:t>
            </w:r>
          </w:p>
        </w:tc>
        <w:tc>
          <w:tcPr>
            <w:tcW w:w="1276" w:type="dxa"/>
          </w:tcPr>
          <w:p w14:paraId="0B72F458" w14:textId="11D5581C" w:rsidR="00A32BE6" w:rsidRPr="00CE28E3" w:rsidRDefault="00A32BE6" w:rsidP="00A32BE6">
            <w:pPr>
              <w:pStyle w:val="TableHeading"/>
              <w:tabs>
                <w:tab w:val="left" w:pos="842"/>
              </w:tabs>
              <w:ind w:left="4"/>
              <w:rPr>
                <w:b w:val="0"/>
              </w:rPr>
            </w:pPr>
            <w:r>
              <w:rPr>
                <w:b w:val="0"/>
              </w:rPr>
              <w:t>n=</w:t>
            </w:r>
            <w:r w:rsidR="004569A2">
              <w:rPr>
                <w:b w:val="0"/>
              </w:rPr>
              <w:t>225</w:t>
            </w:r>
          </w:p>
          <w:p w14:paraId="5414832C" w14:textId="540CEDF1" w:rsidR="00A32BE6" w:rsidRPr="00CE28E3" w:rsidRDefault="00A32BE6" w:rsidP="00A32BE6">
            <w:pPr>
              <w:pStyle w:val="TableHeading"/>
              <w:tabs>
                <w:tab w:val="left" w:pos="842"/>
              </w:tabs>
              <w:ind w:left="4"/>
              <w:rPr>
                <w:b w:val="0"/>
              </w:rPr>
            </w:pPr>
            <w:r w:rsidRPr="00CE28E3">
              <w:rPr>
                <w:b w:val="0"/>
              </w:rPr>
              <w:t>k=</w:t>
            </w:r>
            <w:r w:rsidR="00271C50">
              <w:rPr>
                <w:b w:val="0"/>
              </w:rPr>
              <w:t>2</w:t>
            </w:r>
            <w:r w:rsidR="00BE36D0">
              <w:rPr>
                <w:b w:val="0"/>
              </w:rPr>
              <w:t xml:space="preserve"> case series</w:t>
            </w:r>
          </w:p>
        </w:tc>
        <w:tc>
          <w:tcPr>
            <w:tcW w:w="1701" w:type="dxa"/>
          </w:tcPr>
          <w:p w14:paraId="31F91975" w14:textId="3A08491B" w:rsidR="00A32BE6" w:rsidRPr="00CE28E3" w:rsidRDefault="004569A2" w:rsidP="004569A2">
            <w:pPr>
              <w:pStyle w:val="TableHeading"/>
              <w:ind w:left="4"/>
            </w:pPr>
            <w:r w:rsidRPr="004569A2">
              <w:rPr>
                <w:b w:val="0"/>
              </w:rPr>
              <w:t>Rebiopsies performed in 13.3% and 43.4% of cases with insufficient tissue</w:t>
            </w:r>
          </w:p>
        </w:tc>
        <w:tc>
          <w:tcPr>
            <w:tcW w:w="2593" w:type="dxa"/>
          </w:tcPr>
          <w:p w14:paraId="3C527B9D" w14:textId="0272C519" w:rsidR="00A32BE6" w:rsidRPr="00CE28E3" w:rsidRDefault="00271C50" w:rsidP="004569A2">
            <w:pPr>
              <w:pStyle w:val="TableHeading"/>
              <w:ind w:left="4"/>
              <w:rPr>
                <w:b w:val="0"/>
              </w:rPr>
            </w:pPr>
            <w:r>
              <w:rPr>
                <w:b w:val="0"/>
              </w:rPr>
              <w:t>Rates of rebiopsy were low,</w:t>
            </w:r>
            <w:r w:rsidR="004569A2">
              <w:rPr>
                <w:b w:val="0"/>
              </w:rPr>
              <w:t xml:space="preserve"> but this may be due to the use of liquid biopsy (ctDNA being used</w:t>
            </w:r>
            <w:r w:rsidR="00DF66AE">
              <w:rPr>
                <w:b w:val="0"/>
              </w:rPr>
              <w:t>) and</w:t>
            </w:r>
            <w:r>
              <w:rPr>
                <w:b w:val="0"/>
              </w:rPr>
              <w:t xml:space="preserve"> may not be applicable to Australia</w:t>
            </w:r>
            <w:r w:rsidR="004569A2">
              <w:rPr>
                <w:b w:val="0"/>
              </w:rPr>
              <w:t>.</w:t>
            </w:r>
          </w:p>
        </w:tc>
        <w:tc>
          <w:tcPr>
            <w:tcW w:w="1041" w:type="dxa"/>
          </w:tcPr>
          <w:p w14:paraId="435D1545" w14:textId="77777777" w:rsidR="00A32BE6" w:rsidRPr="00CE28E3" w:rsidRDefault="00A32BE6" w:rsidP="00A32BE6">
            <w:pPr>
              <w:pStyle w:val="TableHeading"/>
              <w:ind w:left="4"/>
              <w:rPr>
                <w:rFonts w:ascii="Cambria Math" w:hAnsi="Cambria Math" w:cs="Cambria Math"/>
                <w:b w:val="0"/>
                <w:color w:val="00B050"/>
              </w:rPr>
            </w:pPr>
            <w:r w:rsidRPr="00CE28E3">
              <w:rPr>
                <w:rFonts w:ascii="Cambria Math" w:hAnsi="Cambria Math" w:cs="Cambria Math"/>
                <w:b w:val="0"/>
                <w:color w:val="00B050"/>
              </w:rPr>
              <w:t>⊕</w:t>
            </w:r>
            <w:r w:rsidRPr="00CE28E3">
              <w:rPr>
                <w:rFonts w:ascii="Cambria Math" w:hAnsi="Cambria Math" w:cs="Cambria Math"/>
                <w:b w:val="0"/>
                <w:color w:val="C00000"/>
              </w:rPr>
              <w:t>⊝⊝⊝</w:t>
            </w:r>
          </w:p>
        </w:tc>
      </w:tr>
      <w:tr w:rsidR="00641D14" w:rsidRPr="00CE28E3" w14:paraId="606D9747" w14:textId="77777777" w:rsidTr="004A05D1">
        <w:trPr>
          <w:trHeight w:val="60"/>
        </w:trPr>
        <w:tc>
          <w:tcPr>
            <w:tcW w:w="0" w:type="auto"/>
            <w:vMerge/>
          </w:tcPr>
          <w:p w14:paraId="2A8C2BE1" w14:textId="77777777" w:rsidR="00A32BE6" w:rsidRPr="00CE28E3" w:rsidRDefault="00A32BE6" w:rsidP="00A32BE6">
            <w:pPr>
              <w:pStyle w:val="TableHeading"/>
              <w:ind w:right="-80"/>
              <w:rPr>
                <w:b w:val="0"/>
              </w:rPr>
            </w:pPr>
          </w:p>
        </w:tc>
        <w:tc>
          <w:tcPr>
            <w:tcW w:w="1196" w:type="dxa"/>
          </w:tcPr>
          <w:p w14:paraId="5E7C1993" w14:textId="679D84B6" w:rsidR="00A32BE6" w:rsidRPr="00CE28E3" w:rsidRDefault="00707488" w:rsidP="00A32BE6">
            <w:pPr>
              <w:pStyle w:val="TableHeading"/>
              <w:tabs>
                <w:tab w:val="left" w:pos="842"/>
              </w:tabs>
              <w:ind w:left="4"/>
              <w:rPr>
                <w:b w:val="0"/>
              </w:rPr>
            </w:pPr>
            <w:r>
              <w:rPr>
                <w:b w:val="0"/>
              </w:rPr>
              <w:t>Change in treatment received</w:t>
            </w:r>
          </w:p>
        </w:tc>
        <w:tc>
          <w:tcPr>
            <w:tcW w:w="1276" w:type="dxa"/>
          </w:tcPr>
          <w:p w14:paraId="59EDF724" w14:textId="5397B702" w:rsidR="00A32BE6" w:rsidRPr="00CE28E3" w:rsidRDefault="00A32BE6" w:rsidP="00A32BE6">
            <w:pPr>
              <w:pStyle w:val="TableHeading"/>
              <w:tabs>
                <w:tab w:val="left" w:pos="842"/>
              </w:tabs>
              <w:ind w:left="4"/>
              <w:rPr>
                <w:b w:val="0"/>
              </w:rPr>
            </w:pPr>
            <w:r w:rsidRPr="00CE28E3">
              <w:rPr>
                <w:b w:val="0"/>
              </w:rPr>
              <w:t>n=</w:t>
            </w:r>
            <w:r w:rsidR="004569A2">
              <w:rPr>
                <w:b w:val="0"/>
              </w:rPr>
              <w:t>99</w:t>
            </w:r>
          </w:p>
          <w:p w14:paraId="192EF8A5" w14:textId="16402C89" w:rsidR="00A32BE6" w:rsidRPr="00CE28E3" w:rsidRDefault="00A32BE6" w:rsidP="00A32BE6">
            <w:pPr>
              <w:pStyle w:val="TableHeading"/>
              <w:tabs>
                <w:tab w:val="left" w:pos="842"/>
              </w:tabs>
              <w:ind w:left="4"/>
              <w:rPr>
                <w:b w:val="0"/>
              </w:rPr>
            </w:pPr>
            <w:r w:rsidRPr="00CE28E3">
              <w:rPr>
                <w:b w:val="0"/>
              </w:rPr>
              <w:t>k=</w:t>
            </w:r>
            <w:r w:rsidR="004569A2">
              <w:rPr>
                <w:b w:val="0"/>
              </w:rPr>
              <w:t>6</w:t>
            </w:r>
            <w:r w:rsidR="00BE36D0">
              <w:rPr>
                <w:b w:val="0"/>
              </w:rPr>
              <w:t xml:space="preserve"> before and after case series</w:t>
            </w:r>
          </w:p>
        </w:tc>
        <w:tc>
          <w:tcPr>
            <w:tcW w:w="1701" w:type="dxa"/>
          </w:tcPr>
          <w:p w14:paraId="3A05A03E" w14:textId="7915670F" w:rsidR="00A32BE6" w:rsidRPr="00CE28E3" w:rsidRDefault="004569A2" w:rsidP="004569A2">
            <w:pPr>
              <w:pStyle w:val="TableHeading"/>
              <w:ind w:left="4"/>
            </w:pPr>
            <w:r>
              <w:rPr>
                <w:b w:val="0"/>
              </w:rPr>
              <w:t>In those with biomarkers detected by NGS, missed by single-gene testing, the use of targeted treatment varied (median 50%, range 17.6% to 100%)</w:t>
            </w:r>
          </w:p>
        </w:tc>
        <w:tc>
          <w:tcPr>
            <w:tcW w:w="2593" w:type="dxa"/>
          </w:tcPr>
          <w:p w14:paraId="04E13D40" w14:textId="21AD63DC" w:rsidR="00A32BE6" w:rsidRPr="00CE28E3" w:rsidRDefault="00B53FFF" w:rsidP="00A32BE6">
            <w:pPr>
              <w:pStyle w:val="TableHeading"/>
              <w:ind w:left="4"/>
              <w:rPr>
                <w:b w:val="0"/>
              </w:rPr>
            </w:pPr>
            <w:r>
              <w:rPr>
                <w:b w:val="0"/>
              </w:rPr>
              <w:t xml:space="preserve">Identification of biomarkers was only one factor in treatment decisions. Among those advanced enough to require TKIs rather than just surgery, and well enough to receive TKIs, the use of targeted treatments was high. </w:t>
            </w:r>
          </w:p>
        </w:tc>
        <w:tc>
          <w:tcPr>
            <w:tcW w:w="1041" w:type="dxa"/>
          </w:tcPr>
          <w:p w14:paraId="4FF761BE" w14:textId="77777777" w:rsidR="00A32BE6" w:rsidRPr="00CE28E3" w:rsidRDefault="00A32BE6" w:rsidP="00A32BE6">
            <w:pPr>
              <w:pStyle w:val="TableHeading"/>
              <w:ind w:left="4"/>
              <w:rPr>
                <w:b w:val="0"/>
              </w:rPr>
            </w:pPr>
            <w:r w:rsidRPr="00CE28E3">
              <w:rPr>
                <w:rFonts w:ascii="Cambria Math" w:hAnsi="Cambria Math" w:cs="Cambria Math"/>
                <w:b w:val="0"/>
                <w:color w:val="00B050"/>
              </w:rPr>
              <w:t>⊕</w:t>
            </w:r>
            <w:r w:rsidRPr="00CE28E3">
              <w:rPr>
                <w:rFonts w:ascii="Cambria Math" w:hAnsi="Cambria Math" w:cs="Cambria Math"/>
                <w:b w:val="0"/>
                <w:color w:val="C00000"/>
              </w:rPr>
              <w:t>⊝⊝⊝</w:t>
            </w:r>
          </w:p>
        </w:tc>
      </w:tr>
      <w:tr w:rsidR="00641D14" w:rsidRPr="00CE28E3" w14:paraId="37169466" w14:textId="77777777" w:rsidTr="004A05D1">
        <w:trPr>
          <w:trHeight w:val="70"/>
        </w:trPr>
        <w:tc>
          <w:tcPr>
            <w:tcW w:w="0" w:type="auto"/>
            <w:vMerge/>
          </w:tcPr>
          <w:p w14:paraId="67517627" w14:textId="77777777" w:rsidR="00A32BE6" w:rsidRPr="00CE28E3" w:rsidRDefault="00A32BE6" w:rsidP="00A32BE6">
            <w:pPr>
              <w:pStyle w:val="TableHeading"/>
              <w:ind w:left="4" w:right="-80"/>
              <w:rPr>
                <w:b w:val="0"/>
              </w:rPr>
            </w:pPr>
          </w:p>
        </w:tc>
        <w:tc>
          <w:tcPr>
            <w:tcW w:w="1196" w:type="dxa"/>
          </w:tcPr>
          <w:p w14:paraId="3B2E9D92" w14:textId="74CCE54E" w:rsidR="00A32BE6" w:rsidRPr="00CE28E3" w:rsidRDefault="00707488" w:rsidP="00A32BE6">
            <w:pPr>
              <w:pStyle w:val="TableHeading"/>
              <w:tabs>
                <w:tab w:val="left" w:pos="842"/>
              </w:tabs>
              <w:ind w:left="4"/>
              <w:rPr>
                <w:b w:val="0"/>
              </w:rPr>
            </w:pPr>
            <w:r>
              <w:rPr>
                <w:b w:val="0"/>
              </w:rPr>
              <w:t>Change in timing of treatment</w:t>
            </w:r>
          </w:p>
        </w:tc>
        <w:tc>
          <w:tcPr>
            <w:tcW w:w="1276" w:type="dxa"/>
          </w:tcPr>
          <w:p w14:paraId="065FB6FF" w14:textId="5A47CF4E" w:rsidR="00A32BE6" w:rsidRPr="00CE28E3" w:rsidRDefault="00A32BE6" w:rsidP="00A32BE6">
            <w:pPr>
              <w:pStyle w:val="TableHeading"/>
              <w:tabs>
                <w:tab w:val="left" w:pos="842"/>
              </w:tabs>
              <w:ind w:left="4"/>
              <w:rPr>
                <w:b w:val="0"/>
              </w:rPr>
            </w:pPr>
            <w:r w:rsidRPr="00CE28E3">
              <w:rPr>
                <w:b w:val="0"/>
              </w:rPr>
              <w:t>n=</w:t>
            </w:r>
            <w:r w:rsidR="00BE36D0">
              <w:rPr>
                <w:b w:val="0"/>
              </w:rPr>
              <w:t>3474</w:t>
            </w:r>
          </w:p>
          <w:p w14:paraId="20FBF6A8" w14:textId="5F7FD1FC" w:rsidR="00A32BE6" w:rsidRPr="00CE28E3" w:rsidRDefault="00A32BE6" w:rsidP="00A32BE6">
            <w:pPr>
              <w:pStyle w:val="TableHeading"/>
              <w:tabs>
                <w:tab w:val="left" w:pos="842"/>
              </w:tabs>
              <w:ind w:left="4"/>
              <w:rPr>
                <w:b w:val="0"/>
              </w:rPr>
            </w:pPr>
            <w:r w:rsidRPr="00CE28E3">
              <w:rPr>
                <w:b w:val="0"/>
              </w:rPr>
              <w:t>k=</w:t>
            </w:r>
            <w:r w:rsidR="00BE36D0">
              <w:rPr>
                <w:b w:val="0"/>
              </w:rPr>
              <w:t>1</w:t>
            </w:r>
            <w:r w:rsidR="0032396C">
              <w:rPr>
                <w:b w:val="0"/>
              </w:rPr>
              <w:t xml:space="preserve"> retrospective cohort study</w:t>
            </w:r>
          </w:p>
        </w:tc>
        <w:tc>
          <w:tcPr>
            <w:tcW w:w="1701" w:type="dxa"/>
          </w:tcPr>
          <w:p w14:paraId="2F4514A6" w14:textId="77777777" w:rsidR="00A32BE6" w:rsidRPr="0032396C" w:rsidRDefault="0032396C" w:rsidP="0032396C">
            <w:pPr>
              <w:pStyle w:val="TableHeading"/>
              <w:ind w:left="4"/>
              <w:rPr>
                <w:b w:val="0"/>
              </w:rPr>
            </w:pPr>
            <w:r w:rsidRPr="0032396C">
              <w:rPr>
                <w:b w:val="0"/>
              </w:rPr>
              <w:t>Time between diagnosis and 1L treatment:</w:t>
            </w:r>
          </w:p>
          <w:p w14:paraId="59512AC6" w14:textId="77777777" w:rsidR="0032396C" w:rsidRPr="0032396C" w:rsidRDefault="0032396C" w:rsidP="0032396C">
            <w:pPr>
              <w:pStyle w:val="TableHeading"/>
              <w:ind w:left="4"/>
              <w:rPr>
                <w:b w:val="0"/>
              </w:rPr>
            </w:pPr>
            <w:r w:rsidRPr="0032396C">
              <w:rPr>
                <w:b w:val="0"/>
              </w:rPr>
              <w:t>NGS: 38 days</w:t>
            </w:r>
          </w:p>
          <w:p w14:paraId="7D325056" w14:textId="38104608" w:rsidR="0032396C" w:rsidRPr="0032396C" w:rsidRDefault="0032396C" w:rsidP="0032396C">
            <w:pPr>
              <w:pStyle w:val="TableHeading"/>
              <w:ind w:left="4"/>
              <w:rPr>
                <w:b w:val="0"/>
              </w:rPr>
            </w:pPr>
            <w:r w:rsidRPr="0032396C">
              <w:rPr>
                <w:b w:val="0"/>
              </w:rPr>
              <w:t>Single gene testing: 36-38 days</w:t>
            </w:r>
          </w:p>
        </w:tc>
        <w:tc>
          <w:tcPr>
            <w:tcW w:w="2593" w:type="dxa"/>
          </w:tcPr>
          <w:p w14:paraId="0E40F41F" w14:textId="648F1AB1" w:rsidR="00A32BE6" w:rsidRPr="00CE28E3" w:rsidRDefault="00641D14" w:rsidP="0032396C">
            <w:pPr>
              <w:pStyle w:val="TableHeading"/>
              <w:ind w:left="4"/>
              <w:rPr>
                <w:b w:val="0"/>
              </w:rPr>
            </w:pPr>
            <w:r>
              <w:rPr>
                <w:b w:val="0"/>
              </w:rPr>
              <w:t xml:space="preserve">Those tested with NGS had treatment initiated slightly later than those tested by other methods, but the study is too confounded to be very informative. </w:t>
            </w:r>
          </w:p>
        </w:tc>
        <w:tc>
          <w:tcPr>
            <w:tcW w:w="1041" w:type="dxa"/>
          </w:tcPr>
          <w:p w14:paraId="6CE20CEB" w14:textId="77777777" w:rsidR="00A32BE6" w:rsidRPr="00CE28E3" w:rsidRDefault="00A32BE6" w:rsidP="00A32BE6">
            <w:pPr>
              <w:pStyle w:val="TableHeading"/>
              <w:ind w:left="4"/>
              <w:rPr>
                <w:b w:val="0"/>
              </w:rPr>
            </w:pPr>
            <w:r w:rsidRPr="00CE28E3">
              <w:rPr>
                <w:rFonts w:ascii="Cambria Math" w:hAnsi="Cambria Math" w:cs="Cambria Math"/>
                <w:b w:val="0"/>
                <w:color w:val="00B050"/>
              </w:rPr>
              <w:t>⊕</w:t>
            </w:r>
            <w:r w:rsidRPr="00CE28E3">
              <w:rPr>
                <w:rFonts w:ascii="Cambria Math" w:hAnsi="Cambria Math" w:cs="Cambria Math"/>
                <w:b w:val="0"/>
                <w:color w:val="C00000"/>
              </w:rPr>
              <w:t>⊝⊝⊝</w:t>
            </w:r>
          </w:p>
        </w:tc>
      </w:tr>
      <w:tr w:rsidR="00641D14" w:rsidRPr="00CE28E3" w14:paraId="77D9AAF9" w14:textId="77777777" w:rsidTr="004A05D1">
        <w:trPr>
          <w:trHeight w:val="1100"/>
        </w:trPr>
        <w:tc>
          <w:tcPr>
            <w:tcW w:w="0" w:type="auto"/>
            <w:vMerge w:val="restart"/>
          </w:tcPr>
          <w:p w14:paraId="7847DECC" w14:textId="39904C05" w:rsidR="00707488" w:rsidRPr="00CE28E3" w:rsidRDefault="00400BC7" w:rsidP="00A32BE6">
            <w:pPr>
              <w:pStyle w:val="TableHeading"/>
              <w:ind w:left="4" w:right="-80"/>
              <w:rPr>
                <w:b w:val="0"/>
              </w:rPr>
            </w:pPr>
            <w:r>
              <w:rPr>
                <w:b w:val="0"/>
              </w:rPr>
              <w:t>2</w:t>
            </w:r>
            <w:r w:rsidR="00707488" w:rsidRPr="00CE28E3">
              <w:rPr>
                <w:b w:val="0"/>
              </w:rPr>
              <w:t>.4 Therapeutic effectiveness</w:t>
            </w:r>
          </w:p>
        </w:tc>
        <w:tc>
          <w:tcPr>
            <w:tcW w:w="1196" w:type="dxa"/>
          </w:tcPr>
          <w:p w14:paraId="783B3ED4" w14:textId="078F56BF" w:rsidR="00707488" w:rsidRPr="00CE28E3" w:rsidRDefault="00707488" w:rsidP="00A32BE6">
            <w:pPr>
              <w:pStyle w:val="TableHeading"/>
              <w:tabs>
                <w:tab w:val="left" w:pos="842"/>
              </w:tabs>
              <w:ind w:left="4"/>
              <w:rPr>
                <w:b w:val="0"/>
              </w:rPr>
            </w:pPr>
            <w:r>
              <w:rPr>
                <w:b w:val="0"/>
              </w:rPr>
              <w:t>Safety of rebiopsy</w:t>
            </w:r>
          </w:p>
        </w:tc>
        <w:tc>
          <w:tcPr>
            <w:tcW w:w="1276" w:type="dxa"/>
          </w:tcPr>
          <w:p w14:paraId="13E63BA3" w14:textId="4BF988C3" w:rsidR="00707488" w:rsidRPr="00CE28E3" w:rsidRDefault="00707488" w:rsidP="00A32BE6">
            <w:pPr>
              <w:pStyle w:val="TableHeading"/>
              <w:ind w:left="4"/>
              <w:rPr>
                <w:b w:val="0"/>
              </w:rPr>
            </w:pPr>
            <w:r w:rsidRPr="00CE28E3">
              <w:rPr>
                <w:b w:val="0"/>
              </w:rPr>
              <w:t>n=</w:t>
            </w:r>
            <w:r w:rsidR="00641D14">
              <w:rPr>
                <w:b w:val="0"/>
              </w:rPr>
              <w:t>2326</w:t>
            </w:r>
          </w:p>
          <w:p w14:paraId="028A8FFF" w14:textId="65C75C2F" w:rsidR="00707488" w:rsidRPr="00CE28E3" w:rsidRDefault="00707488" w:rsidP="00A32BE6">
            <w:pPr>
              <w:pStyle w:val="TableHeading"/>
              <w:ind w:left="4"/>
              <w:rPr>
                <w:b w:val="0"/>
              </w:rPr>
            </w:pPr>
            <w:r w:rsidRPr="00CE28E3">
              <w:rPr>
                <w:b w:val="0"/>
              </w:rPr>
              <w:t>k=</w:t>
            </w:r>
            <w:r w:rsidR="00641D14">
              <w:rPr>
                <w:b w:val="0"/>
              </w:rPr>
              <w:t>1 systematic review with 16 studies included</w:t>
            </w:r>
            <w:r w:rsidRPr="00CE28E3">
              <w:rPr>
                <w:b w:val="0"/>
              </w:rPr>
              <w:t xml:space="preserve"> </w:t>
            </w:r>
          </w:p>
        </w:tc>
        <w:tc>
          <w:tcPr>
            <w:tcW w:w="1701" w:type="dxa"/>
          </w:tcPr>
          <w:p w14:paraId="086A0060" w14:textId="77777777" w:rsidR="00707488" w:rsidRDefault="004867C5" w:rsidP="0032396C">
            <w:pPr>
              <w:pStyle w:val="TableHeading"/>
              <w:ind w:left="4"/>
              <w:rPr>
                <w:b w:val="0"/>
              </w:rPr>
            </w:pPr>
            <w:r>
              <w:rPr>
                <w:b w:val="0"/>
              </w:rPr>
              <w:t>AEs occurred in 17% (95%CI 12%, 23%) of those who underwent biopsy</w:t>
            </w:r>
          </w:p>
          <w:p w14:paraId="18C2CA75" w14:textId="209B1CFD" w:rsidR="004867C5" w:rsidRPr="0032396C" w:rsidRDefault="004867C5" w:rsidP="0032396C">
            <w:pPr>
              <w:pStyle w:val="TableHeading"/>
              <w:ind w:left="4"/>
              <w:rPr>
                <w:b w:val="0"/>
              </w:rPr>
            </w:pPr>
            <w:r>
              <w:rPr>
                <w:b w:val="0"/>
              </w:rPr>
              <w:t>Pneumothorax occurred in 9.2% (95%CI 4.0%, 15.7%)</w:t>
            </w:r>
          </w:p>
        </w:tc>
        <w:tc>
          <w:tcPr>
            <w:tcW w:w="2593" w:type="dxa"/>
          </w:tcPr>
          <w:p w14:paraId="61A282E0" w14:textId="1C29C059" w:rsidR="004867C5" w:rsidRDefault="004867C5" w:rsidP="0032396C">
            <w:pPr>
              <w:pStyle w:val="TableHeading"/>
              <w:ind w:left="4"/>
              <w:rPr>
                <w:b w:val="0"/>
              </w:rPr>
            </w:pPr>
            <w:r>
              <w:rPr>
                <w:b w:val="0"/>
              </w:rPr>
              <w:t xml:space="preserve">Rebiopsies are associated with a risk of adverse events. </w:t>
            </w:r>
          </w:p>
          <w:p w14:paraId="03DDB36A" w14:textId="76313CEB" w:rsidR="00707488" w:rsidRPr="00CE28E3" w:rsidRDefault="004867C5" w:rsidP="0032396C">
            <w:pPr>
              <w:pStyle w:val="TableHeading"/>
              <w:ind w:left="4"/>
              <w:rPr>
                <w:b w:val="0"/>
              </w:rPr>
            </w:pPr>
            <w:r>
              <w:rPr>
                <w:b w:val="0"/>
              </w:rPr>
              <w:t xml:space="preserve">The increased success rate of NGS should result in reduced need for rebiopsies, which reduces the risk of adverse events related to testing. </w:t>
            </w:r>
          </w:p>
        </w:tc>
        <w:tc>
          <w:tcPr>
            <w:tcW w:w="1041" w:type="dxa"/>
          </w:tcPr>
          <w:p w14:paraId="6B38A9DE" w14:textId="45CBAC1E" w:rsidR="00707488" w:rsidRPr="00CE28E3" w:rsidRDefault="00707488" w:rsidP="00A32BE6">
            <w:pPr>
              <w:pStyle w:val="TableHeading"/>
              <w:ind w:left="4"/>
              <w:rPr>
                <w:rFonts w:ascii="Cambria Math" w:hAnsi="Cambria Math"/>
                <w:b w:val="0"/>
                <w:color w:val="00B050"/>
              </w:rPr>
            </w:pPr>
            <w:r w:rsidRPr="00CE28E3">
              <w:rPr>
                <w:rFonts w:ascii="Cambria Math" w:hAnsi="Cambria Math" w:cs="Cambria Math"/>
                <w:b w:val="0"/>
                <w:color w:val="00B050"/>
              </w:rPr>
              <w:t>⊕</w:t>
            </w:r>
            <w:r w:rsidR="004867C5" w:rsidRPr="00CE28E3">
              <w:rPr>
                <w:rFonts w:ascii="Cambria Math" w:hAnsi="Cambria Math" w:cs="Cambria Math"/>
                <w:b w:val="0"/>
                <w:color w:val="00B050"/>
              </w:rPr>
              <w:t>⊕</w:t>
            </w:r>
            <w:r w:rsidRPr="00CE28E3">
              <w:rPr>
                <w:rFonts w:ascii="Cambria Math" w:hAnsi="Cambria Math" w:cs="Cambria Math"/>
                <w:b w:val="0"/>
                <w:color w:val="C00000"/>
              </w:rPr>
              <w:t>⊝⊝</w:t>
            </w:r>
          </w:p>
        </w:tc>
      </w:tr>
      <w:tr w:rsidR="00641D14" w:rsidRPr="00CE28E3" w14:paraId="7067388B" w14:textId="77777777" w:rsidTr="004A05D1">
        <w:trPr>
          <w:trHeight w:val="1293"/>
        </w:trPr>
        <w:tc>
          <w:tcPr>
            <w:tcW w:w="0" w:type="auto"/>
            <w:vMerge/>
          </w:tcPr>
          <w:p w14:paraId="2CF3B083" w14:textId="77777777" w:rsidR="00707488" w:rsidRPr="00CE28E3" w:rsidRDefault="00707488" w:rsidP="00A32BE6">
            <w:pPr>
              <w:pStyle w:val="TableHeading"/>
              <w:ind w:left="4" w:right="-80"/>
              <w:rPr>
                <w:b w:val="0"/>
              </w:rPr>
            </w:pPr>
          </w:p>
        </w:tc>
        <w:tc>
          <w:tcPr>
            <w:tcW w:w="1196" w:type="dxa"/>
          </w:tcPr>
          <w:p w14:paraId="1BC75481" w14:textId="71F4B82A" w:rsidR="00707488" w:rsidRPr="00CE28E3" w:rsidRDefault="00707488" w:rsidP="00707488">
            <w:pPr>
              <w:pStyle w:val="TableHeading"/>
              <w:tabs>
                <w:tab w:val="left" w:pos="842"/>
              </w:tabs>
              <w:ind w:left="4"/>
              <w:rPr>
                <w:b w:val="0"/>
              </w:rPr>
            </w:pPr>
            <w:r>
              <w:rPr>
                <w:b w:val="0"/>
              </w:rPr>
              <w:t>Effectiveness of targeted treatment in cases with incremental actionable variants</w:t>
            </w:r>
          </w:p>
        </w:tc>
        <w:tc>
          <w:tcPr>
            <w:tcW w:w="1276" w:type="dxa"/>
          </w:tcPr>
          <w:p w14:paraId="4A2E7DA5" w14:textId="3BAD1972" w:rsidR="00707488" w:rsidRPr="00CE28E3" w:rsidRDefault="00707488" w:rsidP="00707488">
            <w:pPr>
              <w:pStyle w:val="TableHeading"/>
              <w:ind w:left="4"/>
              <w:rPr>
                <w:b w:val="0"/>
              </w:rPr>
            </w:pPr>
            <w:r w:rsidRPr="00CE28E3">
              <w:rPr>
                <w:b w:val="0"/>
              </w:rPr>
              <w:t>n=</w:t>
            </w:r>
            <w:r w:rsidR="00CE3A58">
              <w:rPr>
                <w:b w:val="0"/>
              </w:rPr>
              <w:t>2921</w:t>
            </w:r>
          </w:p>
          <w:p w14:paraId="49019435" w14:textId="30A1B37C" w:rsidR="00CE3A58" w:rsidRPr="00CE28E3" w:rsidRDefault="00707488" w:rsidP="00CE3A58">
            <w:pPr>
              <w:pStyle w:val="TableHeading"/>
              <w:ind w:left="4"/>
              <w:rPr>
                <w:b w:val="0"/>
              </w:rPr>
            </w:pPr>
            <w:r w:rsidRPr="00CE28E3">
              <w:rPr>
                <w:b w:val="0"/>
              </w:rPr>
              <w:t>k=</w:t>
            </w:r>
            <w:r w:rsidR="00660AF1">
              <w:rPr>
                <w:b w:val="0"/>
              </w:rPr>
              <w:t xml:space="preserve">2 systematic reviews of cohort studies, and </w:t>
            </w:r>
            <w:r w:rsidR="00CE3A58">
              <w:rPr>
                <w:b w:val="0"/>
              </w:rPr>
              <w:t>7 additional case series in discordant cases</w:t>
            </w:r>
          </w:p>
        </w:tc>
        <w:tc>
          <w:tcPr>
            <w:tcW w:w="1701" w:type="dxa"/>
          </w:tcPr>
          <w:p w14:paraId="37C296DE" w14:textId="77777777" w:rsidR="00707488" w:rsidRDefault="00CE3A58" w:rsidP="0032396C">
            <w:pPr>
              <w:pStyle w:val="TableHeading"/>
              <w:ind w:left="4"/>
              <w:rPr>
                <w:b w:val="0"/>
              </w:rPr>
            </w:pPr>
            <w:r>
              <w:rPr>
                <w:b w:val="0"/>
              </w:rPr>
              <w:t xml:space="preserve">Those with actionable variants identified by NGS show response to targeted therapies. </w:t>
            </w:r>
          </w:p>
          <w:p w14:paraId="5C9F89B2" w14:textId="35586402" w:rsidR="00CE3A58" w:rsidRPr="00CE3A58" w:rsidRDefault="00CE3A58" w:rsidP="0032396C">
            <w:pPr>
              <w:pStyle w:val="TableHeading"/>
              <w:ind w:left="4"/>
              <w:rPr>
                <w:b w:val="0"/>
              </w:rPr>
            </w:pPr>
            <w:r>
              <w:rPr>
                <w:b w:val="0"/>
              </w:rPr>
              <w:t xml:space="preserve">Rare variants and low allele frequency variants are less likely to respond to </w:t>
            </w:r>
            <w:r>
              <w:rPr>
                <w:b w:val="0"/>
                <w:i/>
              </w:rPr>
              <w:t xml:space="preserve">EGFR </w:t>
            </w:r>
            <w:r>
              <w:rPr>
                <w:b w:val="0"/>
              </w:rPr>
              <w:t>TKIs than common variants and high allele frequency variants.</w:t>
            </w:r>
          </w:p>
        </w:tc>
        <w:tc>
          <w:tcPr>
            <w:tcW w:w="2593" w:type="dxa"/>
          </w:tcPr>
          <w:p w14:paraId="3483CBF6" w14:textId="61383AB6" w:rsidR="00707488" w:rsidRDefault="00CE3A58" w:rsidP="00CE3A58">
            <w:pPr>
              <w:pStyle w:val="TableHeading"/>
              <w:rPr>
                <w:b w:val="0"/>
              </w:rPr>
            </w:pPr>
            <w:r>
              <w:rPr>
                <w:b w:val="0"/>
              </w:rPr>
              <w:t xml:space="preserve">Patients with actionable variants in the </w:t>
            </w:r>
            <w:r>
              <w:rPr>
                <w:b w:val="0"/>
                <w:i/>
              </w:rPr>
              <w:t xml:space="preserve">EGFR </w:t>
            </w:r>
            <w:r>
              <w:rPr>
                <w:b w:val="0"/>
              </w:rPr>
              <w:t xml:space="preserve">gene identified by NGS but not on single gene testing may not respond to targeted therapies the same degree as those identified by the clinical utility standards. Treatment with targeted therapies is likely to still be superior </w:t>
            </w:r>
            <w:r w:rsidR="006B637F">
              <w:rPr>
                <w:b w:val="0"/>
              </w:rPr>
              <w:t>to</w:t>
            </w:r>
            <w:r>
              <w:rPr>
                <w:b w:val="0"/>
              </w:rPr>
              <w:t xml:space="preserve"> treatment with non-targeted therapies. </w:t>
            </w:r>
          </w:p>
          <w:p w14:paraId="6F7266B3" w14:textId="6F15A5D4" w:rsidR="00CE3A58" w:rsidRPr="00CE3A58" w:rsidRDefault="00CE3A58" w:rsidP="00CE3A58">
            <w:pPr>
              <w:pStyle w:val="TableHeading"/>
              <w:rPr>
                <w:b w:val="0"/>
              </w:rPr>
            </w:pPr>
            <w:r>
              <w:rPr>
                <w:b w:val="0"/>
              </w:rPr>
              <w:t xml:space="preserve">Insufficient evidence in those discordant on </w:t>
            </w:r>
            <w:r>
              <w:rPr>
                <w:b w:val="0"/>
                <w:i/>
              </w:rPr>
              <w:t>ALK</w:t>
            </w:r>
            <w:r>
              <w:rPr>
                <w:b w:val="0"/>
              </w:rPr>
              <w:t xml:space="preserve"> and </w:t>
            </w:r>
            <w:r>
              <w:rPr>
                <w:b w:val="0"/>
                <w:i/>
              </w:rPr>
              <w:t>ROS1</w:t>
            </w:r>
            <w:r>
              <w:rPr>
                <w:b w:val="0"/>
              </w:rPr>
              <w:t xml:space="preserve"> rearrangement status (between testing methods) to determine the comparative efficacy of targeted treatments. </w:t>
            </w:r>
          </w:p>
        </w:tc>
        <w:tc>
          <w:tcPr>
            <w:tcW w:w="1041" w:type="dxa"/>
          </w:tcPr>
          <w:p w14:paraId="12DAD698" w14:textId="4802AE77" w:rsidR="00707488" w:rsidRPr="00CE28E3" w:rsidRDefault="004A1B20" w:rsidP="00A32BE6">
            <w:pPr>
              <w:pStyle w:val="TableHeading"/>
              <w:ind w:left="4"/>
              <w:rPr>
                <w:rFonts w:ascii="Cambria Math" w:hAnsi="Cambria Math" w:cs="Cambria Math"/>
                <w:b w:val="0"/>
                <w:color w:val="00B050"/>
              </w:rPr>
            </w:pPr>
            <w:r w:rsidRPr="00CE28E3">
              <w:rPr>
                <w:rFonts w:ascii="Cambria Math" w:hAnsi="Cambria Math" w:cs="Cambria Math"/>
                <w:b w:val="0"/>
                <w:color w:val="00B050"/>
              </w:rPr>
              <w:t>⊕</w:t>
            </w:r>
            <w:r w:rsidRPr="00CE28E3">
              <w:rPr>
                <w:rFonts w:ascii="Cambria Math" w:hAnsi="Cambria Math" w:cs="Cambria Math"/>
                <w:b w:val="0"/>
                <w:color w:val="C00000"/>
              </w:rPr>
              <w:t>⊝⊝⊝</w:t>
            </w:r>
          </w:p>
        </w:tc>
      </w:tr>
      <w:tr w:rsidR="00641D14" w:rsidRPr="00CE28E3" w14:paraId="68EF6962" w14:textId="77777777" w:rsidTr="004A05D1">
        <w:trPr>
          <w:trHeight w:val="1293"/>
        </w:trPr>
        <w:tc>
          <w:tcPr>
            <w:tcW w:w="0" w:type="auto"/>
            <w:vMerge/>
          </w:tcPr>
          <w:p w14:paraId="67CC4A72" w14:textId="77777777" w:rsidR="00707488" w:rsidRPr="00CE28E3" w:rsidRDefault="00707488" w:rsidP="00A32BE6">
            <w:pPr>
              <w:pStyle w:val="TableHeading"/>
              <w:ind w:left="4" w:right="-80"/>
              <w:rPr>
                <w:b w:val="0"/>
              </w:rPr>
            </w:pPr>
          </w:p>
        </w:tc>
        <w:tc>
          <w:tcPr>
            <w:tcW w:w="1196" w:type="dxa"/>
          </w:tcPr>
          <w:p w14:paraId="2350D753" w14:textId="57AEAF67" w:rsidR="00707488" w:rsidRPr="00CE28E3" w:rsidRDefault="00707488" w:rsidP="00A32BE6">
            <w:pPr>
              <w:pStyle w:val="TableHeading"/>
              <w:tabs>
                <w:tab w:val="left" w:pos="842"/>
              </w:tabs>
              <w:ind w:left="4"/>
              <w:rPr>
                <w:b w:val="0"/>
              </w:rPr>
            </w:pPr>
            <w:r>
              <w:rPr>
                <w:b w:val="0"/>
              </w:rPr>
              <w:t>Health impact of more timely treatment</w:t>
            </w:r>
          </w:p>
        </w:tc>
        <w:tc>
          <w:tcPr>
            <w:tcW w:w="1276" w:type="dxa"/>
          </w:tcPr>
          <w:p w14:paraId="7EC6D2B0" w14:textId="0459FA16" w:rsidR="00707488" w:rsidRPr="00CE28E3" w:rsidRDefault="00707488" w:rsidP="00707488">
            <w:pPr>
              <w:pStyle w:val="TableHeading"/>
              <w:ind w:left="4"/>
              <w:rPr>
                <w:b w:val="0"/>
              </w:rPr>
            </w:pPr>
            <w:r w:rsidRPr="00CE28E3">
              <w:rPr>
                <w:b w:val="0"/>
              </w:rPr>
              <w:t>n=</w:t>
            </w:r>
            <w:r w:rsidR="00C45960">
              <w:rPr>
                <w:b w:val="0"/>
              </w:rPr>
              <w:t>not stated</w:t>
            </w:r>
          </w:p>
          <w:p w14:paraId="6F6151CF" w14:textId="334139F2" w:rsidR="00707488" w:rsidRPr="00CE28E3" w:rsidRDefault="00707488" w:rsidP="00707488">
            <w:pPr>
              <w:pStyle w:val="TableHeading"/>
              <w:ind w:left="4"/>
              <w:rPr>
                <w:b w:val="0"/>
              </w:rPr>
            </w:pPr>
            <w:r w:rsidRPr="00CE28E3">
              <w:rPr>
                <w:b w:val="0"/>
              </w:rPr>
              <w:t>k=</w:t>
            </w:r>
            <w:r w:rsidR="00C45960">
              <w:rPr>
                <w:b w:val="0"/>
              </w:rPr>
              <w:t>1 systematic review with 8 cohort studies</w:t>
            </w:r>
          </w:p>
        </w:tc>
        <w:tc>
          <w:tcPr>
            <w:tcW w:w="1701" w:type="dxa"/>
          </w:tcPr>
          <w:p w14:paraId="038C570F" w14:textId="7BEBDB45" w:rsidR="00707488" w:rsidRPr="00F50881" w:rsidRDefault="00F50881" w:rsidP="00F50881">
            <w:pPr>
              <w:pStyle w:val="TableHeading"/>
              <w:ind w:left="4"/>
              <w:rPr>
                <w:b w:val="0"/>
              </w:rPr>
            </w:pPr>
            <w:r>
              <w:rPr>
                <w:b w:val="0"/>
              </w:rPr>
              <w:t>Those with more symptoms (corresponding to worse prognosis) receive</w:t>
            </w:r>
            <w:r w:rsidR="00C45960">
              <w:rPr>
                <w:b w:val="0"/>
              </w:rPr>
              <w:t>d</w:t>
            </w:r>
            <w:r>
              <w:rPr>
                <w:b w:val="0"/>
              </w:rPr>
              <w:t xml:space="preserve"> treatment in a </w:t>
            </w:r>
            <w:r w:rsidR="004A1B20">
              <w:rPr>
                <w:b w:val="0"/>
              </w:rPr>
              <w:t>timelier</w:t>
            </w:r>
            <w:r>
              <w:rPr>
                <w:b w:val="0"/>
              </w:rPr>
              <w:t xml:space="preserve"> </w:t>
            </w:r>
            <w:r w:rsidR="006B637F">
              <w:rPr>
                <w:b w:val="0"/>
              </w:rPr>
              <w:t>manner and</w:t>
            </w:r>
            <w:r>
              <w:rPr>
                <w:b w:val="0"/>
              </w:rPr>
              <w:t xml:space="preserve"> have worse health outcomes than those with delayed treatment. </w:t>
            </w:r>
          </w:p>
        </w:tc>
        <w:tc>
          <w:tcPr>
            <w:tcW w:w="2593" w:type="dxa"/>
          </w:tcPr>
          <w:p w14:paraId="39F47A72" w14:textId="383DBF42" w:rsidR="008B1C76" w:rsidRPr="00CE28E3" w:rsidRDefault="008B1C76" w:rsidP="00A32BE6">
            <w:pPr>
              <w:pStyle w:val="TableHeading"/>
              <w:ind w:left="4"/>
              <w:rPr>
                <w:b w:val="0"/>
              </w:rPr>
            </w:pPr>
            <w:r>
              <w:rPr>
                <w:b w:val="0"/>
              </w:rPr>
              <w:t>Unclear whether a treatment delay of 3 days would have any impact</w:t>
            </w:r>
            <w:r w:rsidR="00F50881">
              <w:rPr>
                <w:b w:val="0"/>
              </w:rPr>
              <w:t xml:space="preserve"> on health outcomes</w:t>
            </w:r>
            <w:r w:rsidR="00C45960">
              <w:rPr>
                <w:b w:val="0"/>
              </w:rPr>
              <w:t>, as the evidence on time to treatment and health outcomes was too confounded</w:t>
            </w:r>
            <w:r>
              <w:rPr>
                <w:b w:val="0"/>
              </w:rPr>
              <w:t xml:space="preserve">. </w:t>
            </w:r>
          </w:p>
        </w:tc>
        <w:tc>
          <w:tcPr>
            <w:tcW w:w="1041" w:type="dxa"/>
          </w:tcPr>
          <w:p w14:paraId="730A3064" w14:textId="182A5DA5" w:rsidR="00707488" w:rsidRPr="00CE28E3" w:rsidRDefault="00C45960" w:rsidP="00A32BE6">
            <w:pPr>
              <w:pStyle w:val="TableHeading"/>
              <w:ind w:left="4"/>
              <w:rPr>
                <w:rFonts w:ascii="Cambria Math" w:hAnsi="Cambria Math" w:cs="Cambria Math"/>
                <w:b w:val="0"/>
                <w:color w:val="00B050"/>
              </w:rPr>
            </w:pPr>
            <w:r w:rsidRPr="00CE28E3">
              <w:rPr>
                <w:rFonts w:ascii="Cambria Math" w:hAnsi="Cambria Math" w:cs="Cambria Math"/>
                <w:b w:val="0"/>
                <w:color w:val="00B050"/>
              </w:rPr>
              <w:t>⊕</w:t>
            </w:r>
            <w:r w:rsidRPr="00CE28E3">
              <w:rPr>
                <w:rFonts w:ascii="Cambria Math" w:hAnsi="Cambria Math" w:cs="Cambria Math"/>
                <w:b w:val="0"/>
                <w:color w:val="C00000"/>
              </w:rPr>
              <w:t>⊝⊝⊝</w:t>
            </w:r>
          </w:p>
        </w:tc>
      </w:tr>
    </w:tbl>
    <w:p w14:paraId="64467236" w14:textId="3680A2C5" w:rsidR="00350092" w:rsidRDefault="004A1B20" w:rsidP="004A1B20">
      <w:pPr>
        <w:pStyle w:val="TableFooter"/>
      </w:pPr>
      <w:r w:rsidRPr="004A1B20">
        <w:t>AEs =</w:t>
      </w:r>
      <w:r>
        <w:t xml:space="preserve"> adverse events;</w:t>
      </w:r>
      <w:r>
        <w:rPr>
          <w:i/>
        </w:rPr>
        <w:t xml:space="preserve"> </w:t>
      </w:r>
      <w:r w:rsidRPr="007C7AB1">
        <w:rPr>
          <w:i/>
        </w:rPr>
        <w:t>ALK</w:t>
      </w:r>
      <w:r>
        <w:t xml:space="preserve"> = </w:t>
      </w:r>
      <w:r w:rsidRPr="00561C5F">
        <w:t>anaplastic lymphoma kinase</w:t>
      </w:r>
      <w:r>
        <w:t>; ctDNA = circulating tumour DNA (in the bloodstream</w:t>
      </w:r>
      <w:r w:rsidRPr="004A1B20">
        <w:t xml:space="preserve">); DNA = deoxyribonucleic acid; </w:t>
      </w:r>
      <w:r w:rsidRPr="004A1B20">
        <w:rPr>
          <w:i/>
        </w:rPr>
        <w:t>EGFR</w:t>
      </w:r>
      <w:r w:rsidRPr="004A1B20">
        <w:t xml:space="preserve"> = epidermal growth factor receptor; k = number of studies; n = number patients; NGS = next generation sequencing;</w:t>
      </w:r>
      <w:r w:rsidRPr="004A1B20">
        <w:rPr>
          <w:color w:val="258221"/>
        </w:rPr>
        <w:t xml:space="preserve"> </w:t>
      </w:r>
      <w:r w:rsidRPr="004A1B20">
        <w:t xml:space="preserve">RNA = ribonucleic acid; </w:t>
      </w:r>
      <w:r w:rsidRPr="004A1B20">
        <w:rPr>
          <w:i/>
        </w:rPr>
        <w:t>ROS1</w:t>
      </w:r>
      <w:r w:rsidRPr="004A1B20">
        <w:t xml:space="preserve"> = ROS proto-oncogene 1; TKI = tyrosine kinase inhibitor (therapy)</w:t>
      </w:r>
      <w:r w:rsidR="006B637F">
        <w:t xml:space="preserve">; 1L = </w:t>
      </w:r>
      <w:r w:rsidR="00153590">
        <w:t>f</w:t>
      </w:r>
      <w:r w:rsidR="006B637F">
        <w:t>irst line</w:t>
      </w:r>
    </w:p>
    <w:p w14:paraId="4138600B" w14:textId="23E35BD3" w:rsidR="0010521F" w:rsidRPr="00CE28E3" w:rsidRDefault="005F720A" w:rsidP="00D56DFA">
      <w:pPr>
        <w:pStyle w:val="TableFigureFooter"/>
      </w:pPr>
      <w:r w:rsidRPr="00CE28E3">
        <w:rPr>
          <w:rFonts w:ascii="Cambria Math" w:hAnsi="Cambria Math"/>
          <w:color w:val="00B050"/>
        </w:rPr>
        <w:t xml:space="preserve">⨁⨁⨁⨁ </w:t>
      </w:r>
      <w:r w:rsidRPr="00CE28E3">
        <w:rPr>
          <w:b/>
          <w:bCs/>
        </w:rPr>
        <w:t>High quality:</w:t>
      </w:r>
      <w:r w:rsidRPr="00CE28E3">
        <w:t xml:space="preserve"> We are very confident that the true effect lies close to that of the estimate of effect. </w:t>
      </w:r>
      <w:r w:rsidRPr="00CE28E3">
        <w:br/>
      </w:r>
      <w:r w:rsidRPr="00CE28E3">
        <w:rPr>
          <w:rFonts w:ascii="Cambria Math" w:hAnsi="Cambria Math"/>
          <w:color w:val="00B050"/>
        </w:rPr>
        <w:t>⨁⨁⨁</w:t>
      </w:r>
      <w:r w:rsidRPr="00CE28E3">
        <w:rPr>
          <w:rFonts w:ascii="Cambria Math" w:hAnsi="Cambria Math" w:cs="Cambria Math"/>
          <w:color w:val="C00000"/>
        </w:rPr>
        <w:t xml:space="preserve">⨀ </w:t>
      </w:r>
      <w:r w:rsidRPr="00CE28E3">
        <w:rPr>
          <w:b/>
          <w:bCs/>
        </w:rPr>
        <w:t>Moderate quality:</w:t>
      </w:r>
      <w:r w:rsidRPr="00CE28E3">
        <w:t xml:space="preserve"> We are moderately confident in the effect estimate: The true effect is likely to be close to the estimate of the effect, but there is a possibility that it is substantially different. </w:t>
      </w:r>
      <w:r w:rsidRPr="00CE28E3">
        <w:br/>
      </w:r>
      <w:r w:rsidRPr="00CE28E3">
        <w:rPr>
          <w:rFonts w:ascii="Cambria Math" w:hAnsi="Cambria Math"/>
          <w:color w:val="00B050"/>
        </w:rPr>
        <w:t>⨁⨁</w:t>
      </w:r>
      <w:r w:rsidRPr="00CE28E3">
        <w:rPr>
          <w:rFonts w:ascii="Cambria Math" w:hAnsi="Cambria Math" w:cs="Cambria Math"/>
          <w:color w:val="C00000"/>
        </w:rPr>
        <w:t xml:space="preserve">⨀⨀ </w:t>
      </w:r>
      <w:r w:rsidRPr="00CE28E3">
        <w:rPr>
          <w:b/>
          <w:bCs/>
        </w:rPr>
        <w:t>Low quality:</w:t>
      </w:r>
      <w:r w:rsidRPr="00CE28E3">
        <w:t xml:space="preserve"> Our confidence in the effect estimate is limited: The true effect may be substantially different from the estimate of the effect.</w:t>
      </w:r>
      <w:r w:rsidRPr="00CE28E3">
        <w:br/>
      </w:r>
      <w:r w:rsidRPr="00CE28E3">
        <w:rPr>
          <w:rFonts w:ascii="Cambria Math" w:hAnsi="Cambria Math"/>
          <w:color w:val="00B050"/>
        </w:rPr>
        <w:t>⨁</w:t>
      </w:r>
      <w:r w:rsidRPr="00CE28E3">
        <w:rPr>
          <w:rFonts w:ascii="Cambria Math" w:hAnsi="Cambria Math" w:cs="Cambria Math"/>
          <w:color w:val="C00000"/>
        </w:rPr>
        <w:t xml:space="preserve">⨀⨀⨀ </w:t>
      </w:r>
      <w:r w:rsidRPr="00CE28E3">
        <w:rPr>
          <w:b/>
          <w:bCs/>
        </w:rPr>
        <w:t>Very low quality:</w:t>
      </w:r>
      <w:r w:rsidRPr="00CE28E3">
        <w:t xml:space="preserve"> We have very little confidence in the effect estimate: The true effect is likely to be substantially different from the estimate of effect.</w:t>
      </w:r>
    </w:p>
    <w:p w14:paraId="25169E0B" w14:textId="63C98D77" w:rsidR="00BA59FB" w:rsidRPr="00CE28E3" w:rsidRDefault="00400BC7" w:rsidP="00674C7D">
      <w:pPr>
        <w:pStyle w:val="Heading3"/>
      </w:pPr>
      <w:bookmarkStart w:id="140" w:name="_Toc148531165"/>
      <w:r>
        <w:t>2</w:t>
      </w:r>
      <w:r w:rsidR="00BA59FB" w:rsidRPr="00CE28E3">
        <w:t>.5.2</w:t>
      </w:r>
      <w:r w:rsidR="00BA59FB" w:rsidRPr="00CE28E3">
        <w:tab/>
        <w:t xml:space="preserve">Conclusion </w:t>
      </w:r>
      <w:r w:rsidR="00DF431B">
        <w:t>of</w:t>
      </w:r>
      <w:r w:rsidR="00BA59FB" w:rsidRPr="00CE28E3">
        <w:t xml:space="preserve"> the clinical claim</w:t>
      </w:r>
      <w:bookmarkEnd w:id="140"/>
      <w:r w:rsidR="00BA59FB" w:rsidRPr="00CE28E3">
        <w:t xml:space="preserve"> </w:t>
      </w:r>
    </w:p>
    <w:p w14:paraId="73A96C4D" w14:textId="4D4771E3" w:rsidR="00F045C5" w:rsidRDefault="00C45960" w:rsidP="00BA59FB">
      <w:r>
        <w:t>There were some areas of uncertainty in the evidence base, but the conclusion from the clinical evidence is that:</w:t>
      </w:r>
    </w:p>
    <w:p w14:paraId="6FB9D520" w14:textId="59569CB9" w:rsidR="00BA59FB" w:rsidRPr="00CE28E3" w:rsidRDefault="00BA59FB" w:rsidP="00BA59FB">
      <w:r w:rsidRPr="00CE28E3">
        <w:t xml:space="preserve">The use of </w:t>
      </w:r>
      <w:r w:rsidR="00226ECC">
        <w:t xml:space="preserve">a small DNA ± RNA NGS panel </w:t>
      </w:r>
      <w:r w:rsidRPr="00CE28E3">
        <w:t xml:space="preserve">results in </w:t>
      </w:r>
      <w:r w:rsidR="00C45960">
        <w:t xml:space="preserve">marginally </w:t>
      </w:r>
      <w:r w:rsidRPr="006C7053">
        <w:t>superior effectiveness</w:t>
      </w:r>
      <w:r w:rsidRPr="00CE28E3">
        <w:t xml:space="preserve"> compared with </w:t>
      </w:r>
      <w:r w:rsidR="006C7053">
        <w:t>sequential single-gene testing.</w:t>
      </w:r>
    </w:p>
    <w:p w14:paraId="47321141" w14:textId="14B4DA3F" w:rsidR="00BA59FB" w:rsidRPr="00CE28E3" w:rsidRDefault="00BA59FB" w:rsidP="00BA59FB">
      <w:r w:rsidRPr="00CE28E3">
        <w:t xml:space="preserve">The use of </w:t>
      </w:r>
      <w:r w:rsidR="00226ECC">
        <w:t xml:space="preserve">a small DNA ± RNA NGS panel </w:t>
      </w:r>
      <w:r w:rsidRPr="00CE28E3">
        <w:t xml:space="preserve">results in </w:t>
      </w:r>
      <w:r w:rsidRPr="00226ECC">
        <w:t>superior</w:t>
      </w:r>
      <w:r w:rsidRPr="00CE28E3">
        <w:t xml:space="preserve"> safety compared with </w:t>
      </w:r>
      <w:r w:rsidR="00226ECC">
        <w:t>sequential single-gene testing.</w:t>
      </w:r>
    </w:p>
    <w:p w14:paraId="1028777D" w14:textId="33EE1A1E" w:rsidR="004008AF" w:rsidRPr="00CE28E3" w:rsidRDefault="004008AF" w:rsidP="0088445B">
      <w:pPr>
        <w:pStyle w:val="2ChapterText"/>
      </w:pPr>
      <w:r w:rsidRPr="00CE28E3">
        <w:br w:type="page"/>
      </w:r>
    </w:p>
    <w:p w14:paraId="2B4C1FBC" w14:textId="191146D6" w:rsidR="00462778" w:rsidRPr="00CE28E3" w:rsidRDefault="008157F1" w:rsidP="00A757B0">
      <w:pPr>
        <w:pStyle w:val="Heading1"/>
        <w:numPr>
          <w:ilvl w:val="0"/>
          <w:numId w:val="0"/>
        </w:numPr>
        <w:ind w:left="357" w:hanging="357"/>
      </w:pPr>
      <w:bookmarkStart w:id="141" w:name="_Toc148531166"/>
      <w:r w:rsidRPr="00CE28E3">
        <w:lastRenderedPageBreak/>
        <w:t>Section 3</w:t>
      </w:r>
      <w:r w:rsidR="005D7471">
        <w:tab/>
      </w:r>
      <w:r w:rsidR="00DB5117" w:rsidRPr="00CE28E3">
        <w:t>Cost-effectiveness analysis</w:t>
      </w:r>
      <w:bookmarkEnd w:id="141"/>
    </w:p>
    <w:p w14:paraId="1C440991" w14:textId="77777777" w:rsidR="004E63D6" w:rsidRDefault="004E63D6" w:rsidP="004E63D6">
      <w:pPr>
        <w:pStyle w:val="NormalBeforeBullet"/>
      </w:pPr>
      <w:r>
        <w:t>In Section 2, the clinical claim of superiority was made based on:</w:t>
      </w:r>
    </w:p>
    <w:p w14:paraId="792FC668" w14:textId="1D004FDD" w:rsidR="004E63D6" w:rsidRDefault="004E63D6" w:rsidP="004E63D6">
      <w:pPr>
        <w:pStyle w:val="NormalBeforeBullet"/>
        <w:numPr>
          <w:ilvl w:val="0"/>
          <w:numId w:val="29"/>
        </w:numPr>
      </w:pPr>
      <w:r>
        <w:t>an improvement in the test success rate (i.e. more samples with sufficient quantity and/or quality to be able to be successfully tested for variants);</w:t>
      </w:r>
    </w:p>
    <w:p w14:paraId="38DB7B1B" w14:textId="4BD58C9D" w:rsidR="004E63D6" w:rsidRDefault="004E63D6" w:rsidP="004E63D6">
      <w:pPr>
        <w:pStyle w:val="NormalBeforeBullet"/>
        <w:numPr>
          <w:ilvl w:val="0"/>
          <w:numId w:val="29"/>
        </w:numPr>
      </w:pPr>
      <w:r>
        <w:t>an improvement in the yield of variants identified</w:t>
      </w:r>
      <w:r w:rsidR="006317D6">
        <w:t xml:space="preserve"> </w:t>
      </w:r>
      <w:r w:rsidR="006317D6" w:rsidRPr="00F467E2">
        <w:t>due to being more comprehensive (identifying “in scope” and “beyond restriction” variants) and more sensitive (detecting</w:t>
      </w:r>
      <w:r w:rsidR="000208FE">
        <w:t xml:space="preserve"> in-scope variants at</w:t>
      </w:r>
      <w:r w:rsidR="006317D6" w:rsidRPr="00F467E2">
        <w:t xml:space="preserve"> a lower variant allelic frequency)</w:t>
      </w:r>
      <w:r>
        <w:t>.</w:t>
      </w:r>
    </w:p>
    <w:p w14:paraId="570E8BA8" w14:textId="77777777" w:rsidR="004E63D6" w:rsidRDefault="004E63D6" w:rsidP="004E63D6">
      <w:pPr>
        <w:pStyle w:val="NormalBeforeBullet"/>
      </w:pPr>
      <w:r>
        <w:t>Therefore, a cost-effectiveness analysis is presented in Section 3 that is based on the results of the linked evidence approach presented in Section 2. The results of the economic analysis will be presented in a stepped manner to enable the effect of the observed benefits of small DNA and RNA panel testing to be distinguished from one another, in addition to the incorporation of relevant translations of the clinical evidence to the proposed setting.</w:t>
      </w:r>
    </w:p>
    <w:p w14:paraId="6410857E" w14:textId="77777777" w:rsidR="004E63D6" w:rsidRDefault="004E63D6" w:rsidP="004E63D6">
      <w:pPr>
        <w:pStyle w:val="NormalBeforeBullet"/>
      </w:pPr>
      <w:r w:rsidRPr="003A02D2">
        <w:t xml:space="preserve">Some evidence was identified in Section 2 to support an improvement in test turnaround time with combined DNA/RNA panels relative to a strategy of separate single-gene tests. The applicability of this to the proposed setting − where separate DNA then RNA panels are likely to be more common place − was unclear. Further, the observed difference in the time to receive test results was small and it was unclear what effect this difference would have on the </w:t>
      </w:r>
      <w:r>
        <w:t xml:space="preserve">subsequent </w:t>
      </w:r>
      <w:r w:rsidRPr="003A02D2">
        <w:t>effectiveness of treatment. Studies identified in Section 2 noted that patients who initiated treatment earlier tended to have poorer outcomes, though this was likely due to the initiation of treatment earlier in patients with poorer prognoses. Given these uncertainties, the economic analysis does not quantify differences in test turnaround time, nor effects of these differences, if any. The results of the analysis will however be described with these additional potential benefits in mind.</w:t>
      </w:r>
    </w:p>
    <w:p w14:paraId="68DE2E54" w14:textId="77777777" w:rsidR="004E63D6" w:rsidRPr="003251C2" w:rsidRDefault="004E63D6" w:rsidP="004E63D6">
      <w:pPr>
        <w:pStyle w:val="NormalBeforeBullet"/>
      </w:pPr>
    </w:p>
    <w:p w14:paraId="2EA43A83" w14:textId="77777777" w:rsidR="004E63D6" w:rsidRPr="00CE28E3" w:rsidRDefault="004E63D6" w:rsidP="004E63D6">
      <w:pPr>
        <w:pStyle w:val="Heading2"/>
        <w:numPr>
          <w:ilvl w:val="0"/>
          <w:numId w:val="0"/>
        </w:numPr>
        <w:ind w:left="720" w:hanging="720"/>
      </w:pPr>
      <w:bookmarkStart w:id="142" w:name="_Toc109054482"/>
      <w:bookmarkStart w:id="143" w:name="_Toc148531167"/>
      <w:r w:rsidRPr="00CE28E3">
        <w:t>3.1</w:t>
      </w:r>
      <w:r>
        <w:tab/>
      </w:r>
      <w:r w:rsidRPr="00CE28E3">
        <w:t>Overview and rational</w:t>
      </w:r>
      <w:r>
        <w:t>e</w:t>
      </w:r>
      <w:r w:rsidRPr="00CE28E3">
        <w:t xml:space="preserve"> of the economic evaluation</w:t>
      </w:r>
      <w:bookmarkEnd w:id="142"/>
      <w:bookmarkEnd w:id="143"/>
    </w:p>
    <w:p w14:paraId="6D657FF0" w14:textId="288DFDB5" w:rsidR="004E63D6" w:rsidRDefault="004E63D6" w:rsidP="004E63D6">
      <w:pPr>
        <w:pStyle w:val="NormalBeforeBullet"/>
      </w:pPr>
      <w:r>
        <w:t xml:space="preserve">The analysis presented aims to assess the cost-effectiveness of small DNA ± RNA panel testing, relative to separate single-gene testing for actionable biomarkers, in a population with non-squamous or NOS NSCLC. A conceptual overview of the decision problem that takes into account the claimed benefits of proposed small gene panel testing is presented in </w:t>
      </w:r>
      <w:r>
        <w:fldChar w:fldCharType="begin"/>
      </w:r>
      <w:r>
        <w:instrText xml:space="preserve"> REF _Ref108347174 \h </w:instrText>
      </w:r>
      <w:r>
        <w:fldChar w:fldCharType="separate"/>
      </w:r>
      <w:r w:rsidR="00C857F3">
        <w:t>Figure </w:t>
      </w:r>
      <w:r w:rsidR="00C857F3">
        <w:rPr>
          <w:noProof/>
        </w:rPr>
        <w:t>16</w:t>
      </w:r>
      <w:r>
        <w:fldChar w:fldCharType="end"/>
      </w:r>
      <w:r>
        <w:t>.</w:t>
      </w:r>
    </w:p>
    <w:p w14:paraId="69EA1DE9" w14:textId="77777777" w:rsidR="004E63D6" w:rsidRDefault="004E63D6" w:rsidP="004E63D6">
      <w:pPr>
        <w:pStyle w:val="NormalBeforeBullet"/>
        <w:sectPr w:rsidR="004E63D6" w:rsidSect="00BC6897">
          <w:pgSz w:w="11906" w:h="16838"/>
          <w:pgMar w:top="1440" w:right="1440" w:bottom="1440" w:left="1440" w:header="708" w:footer="708" w:gutter="0"/>
          <w:cols w:space="708"/>
          <w:docGrid w:linePitch="360"/>
        </w:sectPr>
      </w:pPr>
    </w:p>
    <w:p w14:paraId="558A5A12" w14:textId="2DB5715A" w:rsidR="004E63D6" w:rsidRDefault="004E63D6" w:rsidP="004E63D6">
      <w:pPr>
        <w:pStyle w:val="Caption"/>
      </w:pPr>
      <w:bookmarkStart w:id="144" w:name="_Ref108347174"/>
      <w:r>
        <w:lastRenderedPageBreak/>
        <w:t>Figure </w:t>
      </w:r>
      <w:fldSimple w:instr=" SEQ Figure \* ARABIC ">
        <w:r w:rsidR="00C857F3">
          <w:rPr>
            <w:noProof/>
          </w:rPr>
          <w:t>16</w:t>
        </w:r>
      </w:fldSimple>
      <w:bookmarkEnd w:id="144"/>
      <w:r>
        <w:tab/>
        <w:t>Decision problem overview</w:t>
      </w:r>
    </w:p>
    <w:p w14:paraId="37AE49FE" w14:textId="15BDEE71" w:rsidR="004E63D6" w:rsidRDefault="0022226A" w:rsidP="004E63D6">
      <w:pPr>
        <w:pStyle w:val="NormalBeforeBullet"/>
        <w:jc w:val="center"/>
      </w:pPr>
      <w:r>
        <w:rPr>
          <w:noProof/>
          <w:lang w:eastAsia="en-AU"/>
        </w:rPr>
        <w:drawing>
          <wp:inline distT="0" distB="0" distL="0" distR="0" wp14:anchorId="327133E0" wp14:editId="4E09D511">
            <wp:extent cx="8413845" cy="4431766"/>
            <wp:effectExtent l="0" t="0" r="6350" b="6985"/>
            <wp:docPr id="12" name="Picture 12" descr="Decision tree comparing single gene testing and proposed panel testing " title="Decision proble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24325" cy="4437286"/>
                    </a:xfrm>
                    <a:prstGeom prst="rect">
                      <a:avLst/>
                    </a:prstGeom>
                  </pic:spPr>
                </pic:pic>
              </a:graphicData>
            </a:graphic>
          </wp:inline>
        </w:drawing>
      </w:r>
    </w:p>
    <w:p w14:paraId="34596CDE" w14:textId="5400CF79" w:rsidR="004E63D6" w:rsidRDefault="004E63D6" w:rsidP="004E63D6">
      <w:pPr>
        <w:pStyle w:val="TableFooter"/>
      </w:pPr>
      <w:r w:rsidRPr="000D7FC0">
        <w:t xml:space="preserve">Note: Common variants are those that can be identified by either single gene tests or panel tests. </w:t>
      </w:r>
      <w:r w:rsidR="0022226A">
        <w:t>Incremental</w:t>
      </w:r>
      <w:r w:rsidR="0022226A" w:rsidRPr="000D7FC0">
        <w:t xml:space="preserve"> </w:t>
      </w:r>
      <w:r w:rsidRPr="000D7FC0">
        <w:t>variants are those identified through panel testing only.</w:t>
      </w:r>
      <w:r>
        <w:t xml:space="preserve"> SoC in the advanced disease setting is likely to be comprised of immunotherapy and chemotherapy. In patients with Stage IV disease, in patients with no evidence of </w:t>
      </w:r>
      <w:r w:rsidRPr="00562DA7">
        <w:rPr>
          <w:i/>
        </w:rPr>
        <w:t>EGFR</w:t>
      </w:r>
      <w:r>
        <w:t xml:space="preserve">, </w:t>
      </w:r>
      <w:r w:rsidRPr="00562DA7">
        <w:rPr>
          <w:i/>
        </w:rPr>
        <w:t>ALK</w:t>
      </w:r>
      <w:r>
        <w:t xml:space="preserve"> or </w:t>
      </w:r>
      <w:r w:rsidRPr="00562DA7">
        <w:rPr>
          <w:i/>
        </w:rPr>
        <w:t>ROS1</w:t>
      </w:r>
      <w:r>
        <w:t xml:space="preserve"> variants can receive pembrolizumab preferably in combination with chemotherapy, or atezolizumab in combination with bevacizumab and platinum-doublet chemotherapy. Patients with unresectable Stage III disease, irrespective of biomarker status, can receive maintenance therapy with durvalumab following platinum-based chemoradiation therapy. </w:t>
      </w:r>
    </w:p>
    <w:p w14:paraId="65B24116" w14:textId="77777777" w:rsidR="004E63D6"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xml:space="preserve">; NOS = not otherwise specified; NSCLC = non-small cell lung cancer; RNA = ribonucleic acid; </w:t>
      </w:r>
      <w:r w:rsidRPr="00743D1B">
        <w:rPr>
          <w:i/>
        </w:rPr>
        <w:t>ROS1</w:t>
      </w:r>
      <w:r>
        <w:t xml:space="preserve"> = ROS proto-oncogene 1; SoC = standard of care.</w:t>
      </w:r>
    </w:p>
    <w:p w14:paraId="0277CAED" w14:textId="77777777" w:rsidR="004E63D6" w:rsidRDefault="004E63D6" w:rsidP="004E63D6">
      <w:pPr>
        <w:pStyle w:val="NormalBeforeBullet"/>
        <w:sectPr w:rsidR="004E63D6" w:rsidSect="003515CE">
          <w:pgSz w:w="16838" w:h="11906" w:orient="landscape"/>
          <w:pgMar w:top="1440" w:right="1440" w:bottom="1440" w:left="1440" w:header="708" w:footer="708" w:gutter="0"/>
          <w:cols w:space="708"/>
          <w:docGrid w:linePitch="360"/>
        </w:sectPr>
      </w:pPr>
    </w:p>
    <w:p w14:paraId="48B0A915" w14:textId="77777777" w:rsidR="004E63D6" w:rsidRDefault="004E63D6" w:rsidP="004E63D6">
      <w:pPr>
        <w:pStyle w:val="NormalBeforeBullet"/>
      </w:pPr>
      <w:r>
        <w:lastRenderedPageBreak/>
        <w:t>Based on the conceptual overview of the decision problem, differences in outcomes between the model arms would be driven by:</w:t>
      </w:r>
    </w:p>
    <w:p w14:paraId="3C53734E" w14:textId="42FE42F4" w:rsidR="004E63D6" w:rsidRDefault="004E63D6" w:rsidP="004E63D6">
      <w:pPr>
        <w:pStyle w:val="NormalBeforeBullet"/>
        <w:numPr>
          <w:ilvl w:val="0"/>
          <w:numId w:val="30"/>
        </w:numPr>
      </w:pPr>
      <w:r>
        <w:t xml:space="preserve">The relative outcomes of targeted </w:t>
      </w:r>
      <w:r w:rsidR="000208FE">
        <w:t xml:space="preserve">therapies </w:t>
      </w:r>
      <w:r>
        <w:t xml:space="preserve">vs </w:t>
      </w:r>
      <w:r w:rsidR="00D90915" w:rsidRPr="00F467E2">
        <w:t>standard of care (</w:t>
      </w:r>
      <w:r>
        <w:t>SoC</w:t>
      </w:r>
      <w:r w:rsidR="00D90915">
        <w:t>)</w:t>
      </w:r>
      <w:r>
        <w:t xml:space="preserve"> (immunotherapy and/or chemotherapy) in those with common actionable variants − due to additional variants being identified and improvement in test success rate; and</w:t>
      </w:r>
    </w:p>
    <w:p w14:paraId="687B5EA9" w14:textId="1A09BA68" w:rsidR="004E63D6" w:rsidRDefault="004E63D6" w:rsidP="004E63D6">
      <w:pPr>
        <w:pStyle w:val="NormalBeforeBullet"/>
        <w:numPr>
          <w:ilvl w:val="0"/>
          <w:numId w:val="30"/>
        </w:numPr>
      </w:pPr>
      <w:r>
        <w:t xml:space="preserve">The relative outcomes of targeted </w:t>
      </w:r>
      <w:r w:rsidR="000208FE">
        <w:t xml:space="preserve">therapies </w:t>
      </w:r>
      <w:r>
        <w:t>vs SoC in those with uncommon actionable variants identified through small gene panel testing only.</w:t>
      </w:r>
    </w:p>
    <w:p w14:paraId="5FEB65BD" w14:textId="6032D90D" w:rsidR="004E63D6" w:rsidRDefault="00D90915" w:rsidP="004E63D6">
      <w:pPr>
        <w:pStyle w:val="NormalBeforeBullet"/>
      </w:pPr>
      <w:r w:rsidRPr="00F467E2">
        <w:t xml:space="preserve">Variants that can be identified by either current or proposed testing (referred to in the analysis as “common” variants) </w:t>
      </w:r>
      <w:r w:rsidR="004E63D6" w:rsidRPr="003A02D2">
        <w:t xml:space="preserve">result in the use of targeted therapies. </w:t>
      </w:r>
      <w:r w:rsidR="004E63D6">
        <w:t xml:space="preserve">In patients with common variants that are missed by proposed small gene panel testing </w:t>
      </w:r>
      <w:r w:rsidRPr="00F467E2">
        <w:t>(due to discordant results or unsuc</w:t>
      </w:r>
      <w:r>
        <w:t>c</w:t>
      </w:r>
      <w:r w:rsidRPr="00F467E2">
        <w:t xml:space="preserve">essful testing and unsuccessful rebiopsy) </w:t>
      </w:r>
      <w:r w:rsidR="004E63D6">
        <w:t xml:space="preserve">or </w:t>
      </w:r>
      <w:r w:rsidRPr="00F467E2">
        <w:t xml:space="preserve">those that </w:t>
      </w:r>
      <w:r w:rsidR="004E63D6">
        <w:t xml:space="preserve">are missed by current testing </w:t>
      </w:r>
      <w:r>
        <w:t>(</w:t>
      </w:r>
      <w:r w:rsidR="004E63D6">
        <w:t xml:space="preserve">due to </w:t>
      </w:r>
      <w:r w:rsidRPr="00F467E2">
        <w:t xml:space="preserve">IHC triage or </w:t>
      </w:r>
      <w:r w:rsidR="004E63D6">
        <w:t>unsuccessful testing and unsuccessful rebiopsy</w:t>
      </w:r>
      <w:r>
        <w:t>)</w:t>
      </w:r>
      <w:r w:rsidR="004E63D6">
        <w:t xml:space="preserve">, </w:t>
      </w:r>
      <w:r w:rsidR="004E63D6" w:rsidRPr="003A02D2">
        <w:t>patients may receive SoC in place of targeted therapies</w:t>
      </w:r>
      <w:r w:rsidR="004E63D6">
        <w:t xml:space="preserve">. </w:t>
      </w:r>
      <w:r w:rsidR="004E63D6" w:rsidRPr="003A02D2">
        <w:t xml:space="preserve">Quantifying the foregone benefit associated with the treatment of common variants with SoC is difficult because, in many cases, SoC has evolved since the initial trials of targeted therapies. For example, the benefit of </w:t>
      </w:r>
      <w:r w:rsidR="004E63D6" w:rsidRPr="00956452">
        <w:rPr>
          <w:i/>
        </w:rPr>
        <w:t>EGFR</w:t>
      </w:r>
      <w:r w:rsidR="004E63D6" w:rsidRPr="003A02D2">
        <w:t xml:space="preserve"> TKIs was established prior to the availability of immunotherapies.</w:t>
      </w:r>
      <w:r w:rsidR="004E63D6">
        <w:t xml:space="preserve"> In most cases, immunotherapies have not recruited patients with known actionable variants, therefore indirect comparisons are likely to be confounded by prognostic differences. </w:t>
      </w:r>
      <w:r w:rsidR="004E63D6" w:rsidRPr="003A02D2">
        <w:t>No evidence was identified in Section 2 to quantify the benefit of targeted therapies compared with SoC in patients with common variants.</w:t>
      </w:r>
    </w:p>
    <w:p w14:paraId="64AAF686" w14:textId="51131348" w:rsidR="004E63D6" w:rsidRDefault="00D90915" w:rsidP="004E63D6">
      <w:pPr>
        <w:pStyle w:val="NormalBeforeBullet"/>
      </w:pPr>
      <w:r w:rsidRPr="00F467E2">
        <w:t xml:space="preserve">Variants that can only be </w:t>
      </w:r>
      <w:r w:rsidR="004E63D6" w:rsidRPr="00B85AB2">
        <w:t>identified through small gene panel testing</w:t>
      </w:r>
      <w:r w:rsidRPr="00D90915">
        <w:t xml:space="preserve"> </w:t>
      </w:r>
      <w:r w:rsidRPr="00F467E2">
        <w:t xml:space="preserve">are referred to in the analysis as “incremental” variants, and include variants both within the current scope of eligibility to PBS-listed targeted therapies (due to detection of lower allelic frequencies), and those beyond current PBS restrictions. Best estimates from the clinical evidence base suggest that the majority of these patients would be eligible for PBS-listed targeted treatments; however, </w:t>
      </w:r>
      <w:r w:rsidR="000208FE">
        <w:t xml:space="preserve">these patients </w:t>
      </w:r>
      <w:r w:rsidRPr="00F467E2">
        <w:t xml:space="preserve">may have a different spectrum of disease than those in the key trials of the targeted therapies. Therefore, </w:t>
      </w:r>
      <w:r w:rsidR="004E63D6" w:rsidRPr="00B85AB2">
        <w:t xml:space="preserve">treatment response and duration of </w:t>
      </w:r>
      <w:r>
        <w:t xml:space="preserve">treatment in </w:t>
      </w:r>
      <w:r w:rsidR="004E63D6" w:rsidRPr="00B85AB2">
        <w:t xml:space="preserve">patients with </w:t>
      </w:r>
      <w:r>
        <w:t xml:space="preserve">these incremental </w:t>
      </w:r>
      <w:r w:rsidR="004E63D6" w:rsidRPr="00B85AB2">
        <w:t>variants to both targeted therapy and SoC is uncertain</w:t>
      </w:r>
      <w:r w:rsidRPr="00F467E2">
        <w:t>, and so</w:t>
      </w:r>
      <w:r w:rsidRPr="00B85AB2" w:rsidDel="00D90915">
        <w:t xml:space="preserve"> </w:t>
      </w:r>
      <w:r w:rsidR="004E63D6" w:rsidRPr="00B85AB2">
        <w:t xml:space="preserve">the incremental benefits and costs that may be associated with changing treatment from SoC to targeted therapy are </w:t>
      </w:r>
      <w:r>
        <w:t xml:space="preserve">also </w:t>
      </w:r>
      <w:r w:rsidR="004E63D6" w:rsidRPr="00B85AB2">
        <w:t>uncertain.</w:t>
      </w:r>
    </w:p>
    <w:p w14:paraId="0DC05DFB" w14:textId="77777777" w:rsidR="004E63D6" w:rsidRDefault="004E63D6" w:rsidP="004E63D6">
      <w:pPr>
        <w:pStyle w:val="NormalBeforeBullet"/>
      </w:pPr>
    </w:p>
    <w:p w14:paraId="27E21DDB" w14:textId="77777777" w:rsidR="004E63D6" w:rsidRDefault="004E63D6" w:rsidP="004E63D6">
      <w:pPr>
        <w:pStyle w:val="NormalBeforeBullet"/>
      </w:pPr>
      <w:r>
        <w:t xml:space="preserve">In addition to the issues regarding quantifying the differences in outcomes with proposed small gene panel testing, the modelled costs of any analyses that attempt to capture outcomes due to changes in treatment would likely be affected by </w:t>
      </w:r>
      <w:r w:rsidRPr="00ED6480">
        <w:t>existi</w:t>
      </w:r>
      <w:r>
        <w:t>ng special price arrangements for targeted therapies and immunotherapies. A</w:t>
      </w:r>
      <w:r w:rsidRPr="00ED6480">
        <w:t>nalyses based on the published prices would not reflect the accepted cost-effecti</w:t>
      </w:r>
      <w:r>
        <w:t>veness of the included therapies, and t</w:t>
      </w:r>
      <w:r w:rsidRPr="00ED6480">
        <w:t xml:space="preserve">he cost-effectiveness of </w:t>
      </w:r>
      <w:r>
        <w:t xml:space="preserve">proposed small gene panel </w:t>
      </w:r>
      <w:r w:rsidRPr="00ED6480">
        <w:t xml:space="preserve">testing would </w:t>
      </w:r>
      <w:r w:rsidRPr="00B85AB2">
        <w:t>be influenced by confidential discounts applied to both targeted therapies and immunotherapies.</w:t>
      </w:r>
    </w:p>
    <w:p w14:paraId="28A032D3" w14:textId="77777777" w:rsidR="004E63D6" w:rsidRDefault="004E63D6" w:rsidP="004E63D6">
      <w:pPr>
        <w:pStyle w:val="NormalBeforeBullet"/>
      </w:pPr>
    </w:p>
    <w:p w14:paraId="24CAA172" w14:textId="1562EB49" w:rsidR="004E63D6" w:rsidRDefault="004E63D6" w:rsidP="004E63D6">
      <w:pPr>
        <w:pStyle w:val="NormalBeforeBullet"/>
      </w:pPr>
      <w:r>
        <w:t>Given the considerable uncertainty associated with modelling the costs and outcomes of changes in treatment, the model presented will truncate at the point of treatment. The analysis presented therefore will be a cost-effectiveness analysis. The primary outcome of the model will be the net change in patients eligible for targeted therapy, with disaggregation by type of actionable variant identified</w:t>
      </w:r>
      <w:r w:rsidR="00D90915">
        <w:t xml:space="preserve"> (i.e. common or incremental)</w:t>
      </w:r>
      <w:r>
        <w:t>.</w:t>
      </w:r>
    </w:p>
    <w:p w14:paraId="0CA04F42" w14:textId="6A0E6F45" w:rsidR="004E63D6" w:rsidRDefault="004E63D6" w:rsidP="004E63D6">
      <w:pPr>
        <w:pStyle w:val="NormalBeforeBullet"/>
      </w:pPr>
      <w:r w:rsidRPr="00EE3FE0">
        <w:t>A stepped approach is used to generate the base case analysis</w:t>
      </w:r>
      <w:r>
        <w:t xml:space="preserve"> (</w:t>
      </w:r>
      <w:r>
        <w:fldChar w:fldCharType="begin"/>
      </w:r>
      <w:r>
        <w:instrText xml:space="preserve"> REF _Ref108347244 \h </w:instrText>
      </w:r>
      <w:r>
        <w:fldChar w:fldCharType="separate"/>
      </w:r>
      <w:r w:rsidR="00C857F3" w:rsidRPr="00CE28E3">
        <w:t>Table</w:t>
      </w:r>
      <w:r w:rsidR="00C857F3">
        <w:t> </w:t>
      </w:r>
      <w:r w:rsidR="00C857F3">
        <w:rPr>
          <w:noProof/>
        </w:rPr>
        <w:t>43</w:t>
      </w:r>
      <w:r>
        <w:fldChar w:fldCharType="end"/>
      </w:r>
      <w:r>
        <w:t xml:space="preserve">). This incorporates the different aspects of the linked evidence separately to distinguish the effect of these on the results. Further, as described in Section 3.2.3, incremental yield data with proposed panel </w:t>
      </w:r>
      <w:r>
        <w:lastRenderedPageBreak/>
        <w:t xml:space="preserve">testing have been adjusted in the economic analysis to reflect some IHC ± FISH expected in practice and to reflect comparisons to the clinical utility standard. Test success data have also been transformed to reflect implications of rebiopsies due to insufficient quantity or quality of tissue. These translations of the clinical evidence for use in the model have been added in separate steps. Other key model assumptions – RNA panel use restricted to an absence of </w:t>
      </w:r>
      <w:r w:rsidRPr="002204AD">
        <w:rPr>
          <w:i/>
        </w:rPr>
        <w:t>KRAS</w:t>
      </w:r>
      <w:r>
        <w:t xml:space="preserve"> and </w:t>
      </w:r>
      <w:r w:rsidRPr="002204AD">
        <w:rPr>
          <w:i/>
        </w:rPr>
        <w:t>BRAF</w:t>
      </w:r>
      <w:r>
        <w:t xml:space="preserve"> variants, and use of testing in patients who do not progress to advanced disease – have also been incorporated in separate steps.</w:t>
      </w:r>
    </w:p>
    <w:p w14:paraId="7D0D5D55" w14:textId="14F716A3" w:rsidR="004E63D6" w:rsidRDefault="004E63D6" w:rsidP="004E63D6">
      <w:pPr>
        <w:pStyle w:val="Caption"/>
      </w:pPr>
      <w:bookmarkStart w:id="145" w:name="_Ref108347244"/>
      <w:r w:rsidRPr="00CE28E3">
        <w:t>Table</w:t>
      </w:r>
      <w:r>
        <w:t> </w:t>
      </w:r>
      <w:fldSimple w:instr=" SEQ Table \* ARABIC ">
        <w:r w:rsidR="00C857F3">
          <w:rPr>
            <w:noProof/>
          </w:rPr>
          <w:t>43</w:t>
        </w:r>
      </w:fldSimple>
      <w:bookmarkEnd w:id="145"/>
      <w:r w:rsidRPr="00CE28E3">
        <w:tab/>
      </w:r>
      <w:r>
        <w:t>Steps used to generate the base case analysis</w:t>
      </w:r>
    </w:p>
    <w:tbl>
      <w:tblPr>
        <w:tblStyle w:val="TableGrid"/>
        <w:tblW w:w="0" w:type="auto"/>
        <w:tblLook w:val="04A0" w:firstRow="1" w:lastRow="0" w:firstColumn="1" w:lastColumn="0" w:noHBand="0" w:noVBand="1"/>
        <w:tblCaption w:val="Steps used to generate the base case analysis"/>
        <w:tblDescription w:val="Steps used to generate the base case analysis"/>
      </w:tblPr>
      <w:tblGrid>
        <w:gridCol w:w="3256"/>
        <w:gridCol w:w="2880"/>
        <w:gridCol w:w="2880"/>
      </w:tblGrid>
      <w:tr w:rsidR="004E63D6" w:rsidRPr="006B4048" w14:paraId="5C83982B" w14:textId="77777777" w:rsidTr="00F56CC8">
        <w:trPr>
          <w:tblHeader/>
        </w:trPr>
        <w:tc>
          <w:tcPr>
            <w:tcW w:w="3256" w:type="dxa"/>
          </w:tcPr>
          <w:p w14:paraId="04C2753A" w14:textId="77777777" w:rsidR="004E63D6" w:rsidRPr="006B4048" w:rsidRDefault="004E63D6" w:rsidP="00CA410A">
            <w:pPr>
              <w:pStyle w:val="TableHeading"/>
              <w:rPr>
                <w:rFonts w:cs="Courier New"/>
                <w:szCs w:val="20"/>
              </w:rPr>
            </w:pPr>
            <w:r w:rsidRPr="006B4048">
              <w:rPr>
                <w:rFonts w:cs="Courier New"/>
                <w:szCs w:val="20"/>
              </w:rPr>
              <w:t>Step</w:t>
            </w:r>
          </w:p>
        </w:tc>
        <w:tc>
          <w:tcPr>
            <w:tcW w:w="2880" w:type="dxa"/>
          </w:tcPr>
          <w:p w14:paraId="3317E28D" w14:textId="77777777" w:rsidR="004E63D6" w:rsidRPr="006B4048" w:rsidRDefault="004E63D6" w:rsidP="00CA410A">
            <w:pPr>
              <w:pStyle w:val="TableHeading"/>
              <w:rPr>
                <w:rFonts w:cs="Courier New"/>
                <w:szCs w:val="20"/>
              </w:rPr>
            </w:pPr>
            <w:r w:rsidRPr="006B4048">
              <w:rPr>
                <w:rFonts w:cs="Courier New"/>
                <w:szCs w:val="20"/>
              </w:rPr>
              <w:t>Costs included</w:t>
            </w:r>
          </w:p>
        </w:tc>
        <w:tc>
          <w:tcPr>
            <w:tcW w:w="2880" w:type="dxa"/>
          </w:tcPr>
          <w:p w14:paraId="365B02B5" w14:textId="77777777" w:rsidR="004E63D6" w:rsidRPr="006B4048" w:rsidRDefault="004E63D6" w:rsidP="00CA410A">
            <w:pPr>
              <w:pStyle w:val="TableHeading"/>
              <w:rPr>
                <w:rFonts w:cs="Courier New"/>
                <w:szCs w:val="20"/>
              </w:rPr>
            </w:pPr>
            <w:r w:rsidRPr="006B4048">
              <w:rPr>
                <w:rFonts w:cs="Courier New"/>
                <w:szCs w:val="20"/>
              </w:rPr>
              <w:t>Outcomes modelled</w:t>
            </w:r>
          </w:p>
        </w:tc>
      </w:tr>
      <w:tr w:rsidR="004E63D6" w:rsidRPr="006B4048" w14:paraId="305AD1DB" w14:textId="77777777" w:rsidTr="00CA410A">
        <w:tc>
          <w:tcPr>
            <w:tcW w:w="3256" w:type="dxa"/>
          </w:tcPr>
          <w:p w14:paraId="3F718F39" w14:textId="77777777" w:rsidR="004E63D6" w:rsidRDefault="004E63D6" w:rsidP="00CA410A">
            <w:pPr>
              <w:pStyle w:val="TableText"/>
              <w:keepNext/>
              <w:rPr>
                <w:rFonts w:cs="Courier New"/>
                <w:szCs w:val="20"/>
              </w:rPr>
            </w:pPr>
            <w:r w:rsidRPr="006B4048">
              <w:rPr>
                <w:rFonts w:cs="Courier New"/>
                <w:szCs w:val="20"/>
              </w:rPr>
              <w:t>Test cost only</w:t>
            </w:r>
          </w:p>
          <w:p w14:paraId="0290633D" w14:textId="77777777" w:rsidR="004E63D6" w:rsidRDefault="004E63D6" w:rsidP="00CA410A">
            <w:pPr>
              <w:pStyle w:val="TableText"/>
              <w:keepNext/>
              <w:numPr>
                <w:ilvl w:val="0"/>
                <w:numId w:val="35"/>
              </w:numPr>
              <w:ind w:left="306" w:hanging="142"/>
              <w:rPr>
                <w:rFonts w:cs="Courier New"/>
                <w:szCs w:val="20"/>
              </w:rPr>
            </w:pPr>
            <w:r>
              <w:rPr>
                <w:rFonts w:cs="Courier New"/>
                <w:szCs w:val="20"/>
              </w:rPr>
              <w:t>N</w:t>
            </w:r>
            <w:r w:rsidRPr="006B4048">
              <w:rPr>
                <w:rFonts w:cs="Courier New"/>
                <w:szCs w:val="20"/>
              </w:rPr>
              <w:t xml:space="preserve">o difference in success or </w:t>
            </w:r>
            <w:r>
              <w:rPr>
                <w:rFonts w:cs="Courier New"/>
                <w:szCs w:val="20"/>
              </w:rPr>
              <w:t>yield</w:t>
            </w:r>
          </w:p>
          <w:p w14:paraId="783BD35A" w14:textId="77777777" w:rsidR="004E63D6" w:rsidRPr="006B4048" w:rsidRDefault="004E63D6" w:rsidP="00CA410A">
            <w:pPr>
              <w:pStyle w:val="TableText"/>
              <w:keepNext/>
              <w:numPr>
                <w:ilvl w:val="0"/>
                <w:numId w:val="35"/>
              </w:numPr>
              <w:ind w:left="306" w:hanging="142"/>
              <w:rPr>
                <w:rFonts w:cs="Courier New"/>
                <w:szCs w:val="20"/>
              </w:rPr>
            </w:pPr>
            <w:r>
              <w:rPr>
                <w:rFonts w:cs="Courier New"/>
                <w:szCs w:val="20"/>
              </w:rPr>
              <w:t xml:space="preserve">Patients with </w:t>
            </w:r>
            <w:r w:rsidRPr="00F63608">
              <w:rPr>
                <w:rFonts w:cs="Courier New"/>
                <w:i/>
                <w:szCs w:val="20"/>
              </w:rPr>
              <w:t>KRAS</w:t>
            </w:r>
            <w:r>
              <w:rPr>
                <w:rFonts w:cs="Courier New"/>
                <w:szCs w:val="20"/>
              </w:rPr>
              <w:t xml:space="preserve"> or </w:t>
            </w:r>
            <w:r w:rsidRPr="00F63608">
              <w:rPr>
                <w:rFonts w:cs="Courier New"/>
                <w:i/>
                <w:szCs w:val="20"/>
              </w:rPr>
              <w:t>BRAF</w:t>
            </w:r>
            <w:r>
              <w:rPr>
                <w:rFonts w:cs="Courier New"/>
                <w:szCs w:val="20"/>
              </w:rPr>
              <w:t xml:space="preserve"> activating variants eligible for RNA panel testing</w:t>
            </w:r>
          </w:p>
        </w:tc>
        <w:tc>
          <w:tcPr>
            <w:tcW w:w="2880" w:type="dxa"/>
          </w:tcPr>
          <w:p w14:paraId="2A282CBE" w14:textId="77777777" w:rsidR="004E63D6" w:rsidRPr="006B4048" w:rsidRDefault="004E63D6" w:rsidP="00CA410A">
            <w:pPr>
              <w:pStyle w:val="TableText"/>
              <w:keepNext/>
              <w:rPr>
                <w:rFonts w:cs="Courier New"/>
                <w:szCs w:val="20"/>
              </w:rPr>
            </w:pPr>
            <w:r w:rsidRPr="006B4048">
              <w:rPr>
                <w:rFonts w:cs="Courier New"/>
                <w:szCs w:val="20"/>
              </w:rPr>
              <w:t>Test costs</w:t>
            </w:r>
          </w:p>
        </w:tc>
        <w:tc>
          <w:tcPr>
            <w:tcW w:w="2880" w:type="dxa"/>
          </w:tcPr>
          <w:p w14:paraId="624947F8" w14:textId="6EA83518" w:rsidR="004E63D6" w:rsidRPr="006B4048" w:rsidRDefault="004E63D6" w:rsidP="00CA410A">
            <w:pPr>
              <w:pStyle w:val="TableText"/>
              <w:keepNext/>
              <w:rPr>
                <w:rFonts w:cs="Courier New"/>
                <w:szCs w:val="20"/>
              </w:rPr>
            </w:pPr>
            <w:r>
              <w:rPr>
                <w:rFonts w:cs="Courier New"/>
                <w:szCs w:val="20"/>
              </w:rPr>
              <w:t>None</w:t>
            </w:r>
            <w:r w:rsidR="004649AE">
              <w:rPr>
                <w:rFonts w:cs="Courier New"/>
                <w:szCs w:val="20"/>
              </w:rPr>
              <w:t xml:space="preserve"> (no difference in outcomes)</w:t>
            </w:r>
          </w:p>
        </w:tc>
      </w:tr>
      <w:tr w:rsidR="004E63D6" w:rsidRPr="006B4048" w14:paraId="2E6B3DC5" w14:textId="77777777" w:rsidTr="00CA410A">
        <w:tc>
          <w:tcPr>
            <w:tcW w:w="3256" w:type="dxa"/>
          </w:tcPr>
          <w:p w14:paraId="27319374" w14:textId="77777777" w:rsidR="004E63D6" w:rsidRDefault="004E63D6" w:rsidP="00CA410A">
            <w:pPr>
              <w:pStyle w:val="TableText"/>
              <w:keepNext/>
              <w:rPr>
                <w:rFonts w:cs="Courier New"/>
                <w:szCs w:val="20"/>
              </w:rPr>
            </w:pPr>
            <w:r>
              <w:rPr>
                <w:rFonts w:cs="Courier New"/>
                <w:szCs w:val="20"/>
              </w:rPr>
              <w:t>Test cost only</w:t>
            </w:r>
          </w:p>
          <w:p w14:paraId="33F29B43" w14:textId="77777777" w:rsidR="004E63D6" w:rsidRPr="006B4048" w:rsidRDefault="004E63D6" w:rsidP="00CA410A">
            <w:pPr>
              <w:pStyle w:val="TableText"/>
              <w:keepNext/>
              <w:numPr>
                <w:ilvl w:val="0"/>
                <w:numId w:val="35"/>
              </w:numPr>
              <w:ind w:left="306" w:hanging="142"/>
              <w:rPr>
                <w:rFonts w:cs="Courier New"/>
                <w:szCs w:val="20"/>
              </w:rPr>
            </w:pPr>
            <w:r>
              <w:rPr>
                <w:rFonts w:cs="Courier New"/>
                <w:szCs w:val="20"/>
              </w:rPr>
              <w:t xml:space="preserve">Patients with </w:t>
            </w:r>
            <w:r w:rsidRPr="00F63608">
              <w:rPr>
                <w:rFonts w:cs="Courier New"/>
                <w:i/>
                <w:szCs w:val="20"/>
              </w:rPr>
              <w:t>KRAS</w:t>
            </w:r>
            <w:r>
              <w:rPr>
                <w:rFonts w:cs="Courier New"/>
                <w:szCs w:val="20"/>
              </w:rPr>
              <w:t xml:space="preserve"> or </w:t>
            </w:r>
            <w:r w:rsidRPr="00F63608">
              <w:rPr>
                <w:rFonts w:cs="Courier New"/>
                <w:i/>
                <w:szCs w:val="20"/>
              </w:rPr>
              <w:t>BRAF</w:t>
            </w:r>
            <w:r>
              <w:rPr>
                <w:rFonts w:cs="Courier New"/>
                <w:szCs w:val="20"/>
              </w:rPr>
              <w:t xml:space="preserve"> activating variants not eligible for RNA panel testing</w:t>
            </w:r>
          </w:p>
        </w:tc>
        <w:tc>
          <w:tcPr>
            <w:tcW w:w="2880" w:type="dxa"/>
          </w:tcPr>
          <w:p w14:paraId="7D3B362C" w14:textId="77777777" w:rsidR="004E63D6" w:rsidRPr="006B4048" w:rsidRDefault="004E63D6" w:rsidP="00CA410A">
            <w:pPr>
              <w:pStyle w:val="TableText"/>
              <w:keepNext/>
              <w:rPr>
                <w:rFonts w:cs="Courier New"/>
                <w:szCs w:val="20"/>
              </w:rPr>
            </w:pPr>
            <w:r>
              <w:rPr>
                <w:rFonts w:cs="Courier New"/>
                <w:szCs w:val="20"/>
              </w:rPr>
              <w:t xml:space="preserve">Test cost, adjusted for reduced use of RNA panels in patients with activating </w:t>
            </w:r>
            <w:r w:rsidRPr="00F63608">
              <w:rPr>
                <w:rFonts w:cs="Courier New"/>
                <w:i/>
                <w:szCs w:val="20"/>
              </w:rPr>
              <w:t>KRAS</w:t>
            </w:r>
            <w:r>
              <w:rPr>
                <w:rFonts w:cs="Courier New"/>
                <w:szCs w:val="20"/>
              </w:rPr>
              <w:t xml:space="preserve"> or </w:t>
            </w:r>
            <w:r w:rsidRPr="00F63608">
              <w:rPr>
                <w:rFonts w:cs="Courier New"/>
                <w:i/>
                <w:szCs w:val="20"/>
              </w:rPr>
              <w:t>BRAF</w:t>
            </w:r>
            <w:r>
              <w:rPr>
                <w:rFonts w:cs="Courier New"/>
                <w:szCs w:val="20"/>
              </w:rPr>
              <w:t xml:space="preserve"> variants</w:t>
            </w:r>
          </w:p>
        </w:tc>
        <w:tc>
          <w:tcPr>
            <w:tcW w:w="2880" w:type="dxa"/>
          </w:tcPr>
          <w:p w14:paraId="639A3835" w14:textId="6C43AED3" w:rsidR="004E63D6" w:rsidRPr="006B4048" w:rsidRDefault="004E63D6" w:rsidP="00CA410A">
            <w:pPr>
              <w:pStyle w:val="TableText"/>
              <w:keepNext/>
              <w:rPr>
                <w:rFonts w:cs="Courier New"/>
                <w:szCs w:val="20"/>
              </w:rPr>
            </w:pPr>
            <w:r>
              <w:rPr>
                <w:rFonts w:cs="Courier New"/>
                <w:szCs w:val="20"/>
              </w:rPr>
              <w:t>None</w:t>
            </w:r>
            <w:r w:rsidR="004649AE">
              <w:rPr>
                <w:rFonts w:cs="Courier New"/>
                <w:szCs w:val="20"/>
              </w:rPr>
              <w:t xml:space="preserve"> (no difference in outcomes)</w:t>
            </w:r>
          </w:p>
        </w:tc>
      </w:tr>
      <w:tr w:rsidR="004E63D6" w:rsidRPr="006B4048" w14:paraId="07961CA8" w14:textId="77777777" w:rsidTr="00CA410A">
        <w:tc>
          <w:tcPr>
            <w:tcW w:w="3256" w:type="dxa"/>
          </w:tcPr>
          <w:p w14:paraId="632D7359" w14:textId="3A98FB77" w:rsidR="004E63D6" w:rsidRPr="006B4048" w:rsidRDefault="004E63D6" w:rsidP="004649AE">
            <w:pPr>
              <w:pStyle w:val="TableText"/>
              <w:keepNext/>
              <w:rPr>
                <w:rFonts w:cs="Courier New"/>
                <w:szCs w:val="20"/>
              </w:rPr>
            </w:pPr>
            <w:r w:rsidRPr="006B4048">
              <w:rPr>
                <w:rFonts w:cs="Courier New"/>
                <w:szCs w:val="20"/>
              </w:rPr>
              <w:t>Incorporate test success</w:t>
            </w:r>
            <w:r w:rsidR="004649AE">
              <w:rPr>
                <w:rFonts w:cs="Courier New"/>
                <w:szCs w:val="20"/>
              </w:rPr>
              <w:t>, based on Steeghs et al. (2022)</w:t>
            </w:r>
          </w:p>
        </w:tc>
        <w:tc>
          <w:tcPr>
            <w:tcW w:w="2880" w:type="dxa"/>
          </w:tcPr>
          <w:p w14:paraId="61AF13CB" w14:textId="4DB3E12A" w:rsidR="004E63D6" w:rsidRPr="006B4048" w:rsidRDefault="004E63D6" w:rsidP="00D90915">
            <w:pPr>
              <w:pStyle w:val="TableText"/>
              <w:keepNext/>
              <w:rPr>
                <w:rFonts w:cs="Courier New"/>
                <w:szCs w:val="20"/>
              </w:rPr>
            </w:pPr>
            <w:r>
              <w:rPr>
                <w:rFonts w:cs="Courier New"/>
                <w:szCs w:val="20"/>
              </w:rPr>
              <w:t xml:space="preserve">Test cost, </w:t>
            </w:r>
            <w:r w:rsidR="00D90915">
              <w:rPr>
                <w:rFonts w:cs="Courier New"/>
                <w:szCs w:val="20"/>
              </w:rPr>
              <w:t xml:space="preserve">where no cost of testing is applied where </w:t>
            </w:r>
            <w:r w:rsidR="00D90915" w:rsidRPr="00D90915">
              <w:rPr>
                <w:rFonts w:cs="Courier New"/>
                <w:szCs w:val="20"/>
              </w:rPr>
              <w:t>testing is not successful due to insufficient sample</w:t>
            </w:r>
            <w:r w:rsidR="00D90915" w:rsidRPr="00D90915">
              <w:rPr>
                <w:rFonts w:cs="Courier New"/>
                <w:szCs w:val="20"/>
                <w:vertAlign w:val="superscript"/>
              </w:rPr>
              <w:t>a</w:t>
            </w:r>
          </w:p>
        </w:tc>
        <w:tc>
          <w:tcPr>
            <w:tcW w:w="2880" w:type="dxa"/>
          </w:tcPr>
          <w:p w14:paraId="14973342" w14:textId="08D1EB18" w:rsidR="004E63D6" w:rsidRPr="006B4048" w:rsidRDefault="004E63D6" w:rsidP="00D74008">
            <w:pPr>
              <w:pStyle w:val="TableText"/>
              <w:keepNext/>
              <w:rPr>
                <w:rFonts w:cs="Courier New"/>
                <w:szCs w:val="20"/>
              </w:rPr>
            </w:pPr>
            <w:r w:rsidRPr="006B4048">
              <w:rPr>
                <w:rFonts w:cs="Courier New"/>
                <w:szCs w:val="20"/>
              </w:rPr>
              <w:t>Actionable variant yield</w:t>
            </w:r>
            <w:r w:rsidR="004649AE">
              <w:rPr>
                <w:rFonts w:cs="Courier New"/>
                <w:szCs w:val="20"/>
              </w:rPr>
              <w:t xml:space="preserve">, which differs due to </w:t>
            </w:r>
            <w:r w:rsidR="00D74008">
              <w:rPr>
                <w:rFonts w:cs="Courier New"/>
                <w:szCs w:val="20"/>
              </w:rPr>
              <w:t xml:space="preserve">proportion of </w:t>
            </w:r>
            <w:r w:rsidR="004649AE">
              <w:rPr>
                <w:rFonts w:cs="Courier New"/>
                <w:szCs w:val="20"/>
              </w:rPr>
              <w:t>test</w:t>
            </w:r>
            <w:r w:rsidR="00D74008">
              <w:rPr>
                <w:rFonts w:cs="Courier New"/>
                <w:szCs w:val="20"/>
              </w:rPr>
              <w:t>s</w:t>
            </w:r>
            <w:r w:rsidR="004649AE">
              <w:rPr>
                <w:rFonts w:cs="Courier New"/>
                <w:szCs w:val="20"/>
              </w:rPr>
              <w:t xml:space="preserve"> success</w:t>
            </w:r>
            <w:r w:rsidR="00D74008">
              <w:rPr>
                <w:rFonts w:cs="Courier New"/>
                <w:szCs w:val="20"/>
              </w:rPr>
              <w:t>ful</w:t>
            </w:r>
          </w:p>
        </w:tc>
      </w:tr>
      <w:tr w:rsidR="004E63D6" w:rsidRPr="006B4048" w14:paraId="018FA68D" w14:textId="77777777" w:rsidTr="00CA410A">
        <w:tc>
          <w:tcPr>
            <w:tcW w:w="3256" w:type="dxa"/>
          </w:tcPr>
          <w:p w14:paraId="24D61CEB" w14:textId="77777777" w:rsidR="004E63D6" w:rsidRPr="006B4048" w:rsidRDefault="004E63D6" w:rsidP="00CA410A">
            <w:pPr>
              <w:pStyle w:val="TableText"/>
              <w:keepNext/>
              <w:rPr>
                <w:rFonts w:cs="Courier New"/>
                <w:szCs w:val="20"/>
              </w:rPr>
            </w:pPr>
            <w:r w:rsidRPr="006B4048">
              <w:rPr>
                <w:rFonts w:cs="Courier New"/>
                <w:szCs w:val="20"/>
              </w:rPr>
              <w:t>Incorporate difference in actionable variants</w:t>
            </w:r>
          </w:p>
        </w:tc>
        <w:tc>
          <w:tcPr>
            <w:tcW w:w="2880" w:type="dxa"/>
          </w:tcPr>
          <w:p w14:paraId="45202C93" w14:textId="344DD22D" w:rsidR="004E63D6" w:rsidRPr="006B4048" w:rsidRDefault="004E63D6" w:rsidP="00CA410A">
            <w:pPr>
              <w:pStyle w:val="TableText"/>
              <w:keepNext/>
              <w:rPr>
                <w:rFonts w:cs="Courier New"/>
                <w:szCs w:val="20"/>
              </w:rPr>
            </w:pPr>
            <w:r>
              <w:rPr>
                <w:rFonts w:cs="Courier New"/>
                <w:szCs w:val="20"/>
              </w:rPr>
              <w:t>Test cost, adjusted for concordance</w:t>
            </w:r>
            <w:r w:rsidR="004649AE">
              <w:rPr>
                <w:rFonts w:cs="Courier New"/>
                <w:szCs w:val="20"/>
              </w:rPr>
              <w:t xml:space="preserve"> (using estimates in </w:t>
            </w:r>
            <w:r w:rsidR="004649AE">
              <w:rPr>
                <w:rFonts w:cs="Courier New"/>
                <w:szCs w:val="20"/>
              </w:rPr>
              <w:fldChar w:fldCharType="begin"/>
            </w:r>
            <w:r w:rsidR="004649AE">
              <w:rPr>
                <w:rFonts w:cs="Courier New"/>
                <w:szCs w:val="20"/>
              </w:rPr>
              <w:instrText xml:space="preserve"> REF _Ref108626509 \h </w:instrText>
            </w:r>
            <w:r w:rsidR="004649AE">
              <w:rPr>
                <w:rFonts w:cs="Courier New"/>
                <w:szCs w:val="20"/>
              </w:rPr>
            </w:r>
            <w:r w:rsidR="004649AE">
              <w:rPr>
                <w:rFonts w:cs="Courier New"/>
                <w:szCs w:val="20"/>
              </w:rPr>
              <w:fldChar w:fldCharType="separate"/>
            </w:r>
            <w:r w:rsidR="00C857F3">
              <w:t xml:space="preserve">Table </w:t>
            </w:r>
            <w:r w:rsidR="00C857F3">
              <w:rPr>
                <w:noProof/>
              </w:rPr>
              <w:t>30</w:t>
            </w:r>
            <w:r w:rsidR="004649AE">
              <w:rPr>
                <w:rFonts w:cs="Courier New"/>
                <w:szCs w:val="20"/>
              </w:rPr>
              <w:fldChar w:fldCharType="end"/>
            </w:r>
            <w:r w:rsidR="004649AE">
              <w:rPr>
                <w:rFonts w:cs="Courier New"/>
                <w:szCs w:val="20"/>
              </w:rPr>
              <w:t>)</w:t>
            </w:r>
          </w:p>
        </w:tc>
        <w:tc>
          <w:tcPr>
            <w:tcW w:w="2880" w:type="dxa"/>
          </w:tcPr>
          <w:p w14:paraId="7E5AEEFF" w14:textId="1D459C0B" w:rsidR="004E63D6" w:rsidRPr="006B4048" w:rsidRDefault="004E63D6" w:rsidP="00CA410A">
            <w:pPr>
              <w:pStyle w:val="TableText"/>
              <w:keepNext/>
              <w:rPr>
                <w:rFonts w:cs="Courier New"/>
                <w:szCs w:val="20"/>
              </w:rPr>
            </w:pPr>
            <w:r w:rsidRPr="006B4048">
              <w:rPr>
                <w:rFonts w:cs="Courier New"/>
                <w:szCs w:val="20"/>
              </w:rPr>
              <w:t>Actionable variant yield</w:t>
            </w:r>
            <w:r>
              <w:rPr>
                <w:rFonts w:cs="Courier New"/>
                <w:szCs w:val="20"/>
              </w:rPr>
              <w:br/>
              <w:t>adjusted for concordance</w:t>
            </w:r>
            <w:r w:rsidR="004649AE">
              <w:rPr>
                <w:rFonts w:cs="Courier New"/>
                <w:szCs w:val="20"/>
              </w:rPr>
              <w:t xml:space="preserve"> estimates in </w:t>
            </w:r>
            <w:r w:rsidR="004649AE">
              <w:rPr>
                <w:rFonts w:cs="Courier New"/>
                <w:szCs w:val="20"/>
              </w:rPr>
              <w:fldChar w:fldCharType="begin"/>
            </w:r>
            <w:r w:rsidR="004649AE">
              <w:rPr>
                <w:rFonts w:cs="Courier New"/>
                <w:szCs w:val="20"/>
              </w:rPr>
              <w:instrText xml:space="preserve"> REF _Ref108626509 \h </w:instrText>
            </w:r>
            <w:r w:rsidR="004649AE">
              <w:rPr>
                <w:rFonts w:cs="Courier New"/>
                <w:szCs w:val="20"/>
              </w:rPr>
            </w:r>
            <w:r w:rsidR="004649AE">
              <w:rPr>
                <w:rFonts w:cs="Courier New"/>
                <w:szCs w:val="20"/>
              </w:rPr>
              <w:fldChar w:fldCharType="separate"/>
            </w:r>
            <w:r w:rsidR="00C857F3">
              <w:t xml:space="preserve">Table </w:t>
            </w:r>
            <w:r w:rsidR="00C857F3">
              <w:rPr>
                <w:noProof/>
              </w:rPr>
              <w:t>30</w:t>
            </w:r>
            <w:r w:rsidR="004649AE">
              <w:rPr>
                <w:rFonts w:cs="Courier New"/>
                <w:szCs w:val="20"/>
              </w:rPr>
              <w:fldChar w:fldCharType="end"/>
            </w:r>
          </w:p>
        </w:tc>
      </w:tr>
      <w:tr w:rsidR="004E63D6" w:rsidRPr="006B4048" w14:paraId="3BCB3C84" w14:textId="77777777" w:rsidTr="00CA410A">
        <w:tc>
          <w:tcPr>
            <w:tcW w:w="3256" w:type="dxa"/>
          </w:tcPr>
          <w:p w14:paraId="7EF510B6" w14:textId="77777777" w:rsidR="004E63D6" w:rsidRPr="006B4048" w:rsidRDefault="004E63D6" w:rsidP="00CA410A">
            <w:pPr>
              <w:pStyle w:val="TableText"/>
              <w:keepNext/>
              <w:rPr>
                <w:rFonts w:cs="Courier New"/>
                <w:szCs w:val="20"/>
              </w:rPr>
            </w:pPr>
            <w:r>
              <w:rPr>
                <w:rFonts w:cs="Courier New"/>
                <w:szCs w:val="20"/>
              </w:rPr>
              <w:t xml:space="preserve">Adjust </w:t>
            </w:r>
            <w:r w:rsidRPr="000F3B9D">
              <w:rPr>
                <w:rFonts w:cs="Courier New"/>
                <w:szCs w:val="20"/>
              </w:rPr>
              <w:t>concordance for comparison to clinical utility standard</w:t>
            </w:r>
          </w:p>
        </w:tc>
        <w:tc>
          <w:tcPr>
            <w:tcW w:w="2880" w:type="dxa"/>
          </w:tcPr>
          <w:p w14:paraId="1A8F1DBE" w14:textId="2809CF6D" w:rsidR="004E63D6" w:rsidRDefault="004E63D6" w:rsidP="004649AE">
            <w:pPr>
              <w:pStyle w:val="TableText"/>
              <w:keepNext/>
              <w:rPr>
                <w:rFonts w:cs="Courier New"/>
                <w:szCs w:val="20"/>
              </w:rPr>
            </w:pPr>
            <w:r>
              <w:rPr>
                <w:rFonts w:cs="Courier New"/>
                <w:szCs w:val="20"/>
              </w:rPr>
              <w:t>Test cost, adjust</w:t>
            </w:r>
            <w:r w:rsidR="004649AE">
              <w:rPr>
                <w:rFonts w:cs="Courier New"/>
                <w:szCs w:val="20"/>
              </w:rPr>
              <w:t>ing</w:t>
            </w:r>
            <w:r>
              <w:rPr>
                <w:rFonts w:cs="Courier New"/>
                <w:szCs w:val="20"/>
              </w:rPr>
              <w:t xml:space="preserve"> concordance</w:t>
            </w:r>
            <w:r w:rsidR="004649AE">
              <w:rPr>
                <w:rFonts w:cs="Courier New"/>
                <w:szCs w:val="20"/>
              </w:rPr>
              <w:t xml:space="preserve"> to reflect comparisons to the clinical utility standard</w:t>
            </w:r>
          </w:p>
        </w:tc>
        <w:tc>
          <w:tcPr>
            <w:tcW w:w="2880" w:type="dxa"/>
          </w:tcPr>
          <w:p w14:paraId="7F74B831" w14:textId="1B756E40" w:rsidR="004E63D6" w:rsidRPr="006B4048" w:rsidRDefault="004E63D6" w:rsidP="00CA410A">
            <w:pPr>
              <w:pStyle w:val="TableText"/>
              <w:keepNext/>
              <w:rPr>
                <w:rFonts w:cs="Courier New"/>
                <w:szCs w:val="20"/>
              </w:rPr>
            </w:pPr>
            <w:r w:rsidRPr="006B4048">
              <w:rPr>
                <w:rFonts w:cs="Courier New"/>
                <w:szCs w:val="20"/>
              </w:rPr>
              <w:t>Actionable variant yield</w:t>
            </w:r>
            <w:r>
              <w:rPr>
                <w:rFonts w:cs="Courier New"/>
                <w:szCs w:val="20"/>
              </w:rPr>
              <w:br/>
              <w:t>adjusted for concordance</w:t>
            </w:r>
            <w:r w:rsidR="004649AE">
              <w:rPr>
                <w:rFonts w:cs="Courier New"/>
                <w:szCs w:val="20"/>
              </w:rPr>
              <w:t xml:space="preserve"> to the clinical utility standard</w:t>
            </w:r>
          </w:p>
        </w:tc>
      </w:tr>
      <w:tr w:rsidR="004E63D6" w:rsidRPr="006B4048" w14:paraId="23B1C549" w14:textId="77777777" w:rsidTr="00CA410A">
        <w:tc>
          <w:tcPr>
            <w:tcW w:w="3256" w:type="dxa"/>
          </w:tcPr>
          <w:p w14:paraId="7EDD7296" w14:textId="77777777" w:rsidR="004E63D6" w:rsidRPr="006B4048" w:rsidRDefault="004E63D6" w:rsidP="00CA410A">
            <w:pPr>
              <w:pStyle w:val="TableText"/>
              <w:keepNext/>
              <w:rPr>
                <w:rFonts w:cs="Courier New"/>
                <w:szCs w:val="20"/>
              </w:rPr>
            </w:pPr>
            <w:r w:rsidRPr="006B4048">
              <w:rPr>
                <w:rFonts w:cs="Courier New"/>
                <w:szCs w:val="20"/>
              </w:rPr>
              <w:t>Adjust for some IHC ± FISH use</w:t>
            </w:r>
          </w:p>
        </w:tc>
        <w:tc>
          <w:tcPr>
            <w:tcW w:w="2880" w:type="dxa"/>
          </w:tcPr>
          <w:p w14:paraId="1081CE25" w14:textId="77777777" w:rsidR="004E63D6" w:rsidRPr="006B4048" w:rsidRDefault="004E63D6" w:rsidP="00CA410A">
            <w:pPr>
              <w:pStyle w:val="TableText"/>
              <w:keepNext/>
              <w:rPr>
                <w:rFonts w:cs="Courier New"/>
                <w:szCs w:val="20"/>
              </w:rPr>
            </w:pPr>
            <w:r w:rsidRPr="006B4048">
              <w:rPr>
                <w:rFonts w:cs="Courier New"/>
                <w:szCs w:val="20"/>
              </w:rPr>
              <w:t>Test cost, adjusted for IHC ± FISH use</w:t>
            </w:r>
          </w:p>
        </w:tc>
        <w:tc>
          <w:tcPr>
            <w:tcW w:w="2880" w:type="dxa"/>
          </w:tcPr>
          <w:p w14:paraId="5ECE1969" w14:textId="77777777" w:rsidR="004E63D6" w:rsidRPr="006B4048" w:rsidRDefault="004E63D6" w:rsidP="00CA410A">
            <w:pPr>
              <w:pStyle w:val="TableText"/>
              <w:keepNext/>
              <w:rPr>
                <w:rFonts w:cs="Courier New"/>
                <w:szCs w:val="20"/>
              </w:rPr>
            </w:pPr>
            <w:r w:rsidRPr="006B4048">
              <w:rPr>
                <w:rFonts w:cs="Courier New"/>
                <w:szCs w:val="20"/>
              </w:rPr>
              <w:t xml:space="preserve">Actionable variant yield, </w:t>
            </w:r>
            <w:r>
              <w:rPr>
                <w:rFonts w:cs="Courier New"/>
                <w:szCs w:val="20"/>
              </w:rPr>
              <w:br/>
            </w:r>
            <w:r w:rsidRPr="006B4048">
              <w:rPr>
                <w:rFonts w:cs="Courier New"/>
                <w:szCs w:val="20"/>
              </w:rPr>
              <w:t>adjusted for IHC ± FISH use</w:t>
            </w:r>
          </w:p>
        </w:tc>
      </w:tr>
      <w:tr w:rsidR="004E63D6" w:rsidRPr="006B4048" w14:paraId="543394F3" w14:textId="77777777" w:rsidTr="00CA410A">
        <w:tc>
          <w:tcPr>
            <w:tcW w:w="3256" w:type="dxa"/>
          </w:tcPr>
          <w:p w14:paraId="75EA49D3" w14:textId="77777777" w:rsidR="004E63D6" w:rsidRPr="006B4048" w:rsidRDefault="004E63D6" w:rsidP="00CA410A">
            <w:pPr>
              <w:pStyle w:val="TableText"/>
              <w:keepNext/>
              <w:rPr>
                <w:rFonts w:cs="Courier New"/>
                <w:szCs w:val="20"/>
              </w:rPr>
            </w:pPr>
            <w:r>
              <w:rPr>
                <w:rFonts w:cs="Courier New"/>
                <w:szCs w:val="20"/>
              </w:rPr>
              <w:t>Adjust for testing patients with early stage disease at diagnosis who do not progress</w:t>
            </w:r>
          </w:p>
        </w:tc>
        <w:tc>
          <w:tcPr>
            <w:tcW w:w="2880" w:type="dxa"/>
          </w:tcPr>
          <w:p w14:paraId="381F085B" w14:textId="77777777" w:rsidR="004E63D6" w:rsidRPr="006B4048" w:rsidRDefault="004E63D6" w:rsidP="00CA410A">
            <w:pPr>
              <w:pStyle w:val="TableText"/>
              <w:keepNext/>
              <w:rPr>
                <w:rFonts w:cs="Courier New"/>
                <w:szCs w:val="20"/>
              </w:rPr>
            </w:pPr>
            <w:r>
              <w:rPr>
                <w:rFonts w:cs="Courier New"/>
                <w:szCs w:val="20"/>
              </w:rPr>
              <w:t>Test cost, adjusted for patients who do not experience disease progression</w:t>
            </w:r>
          </w:p>
        </w:tc>
        <w:tc>
          <w:tcPr>
            <w:tcW w:w="2880" w:type="dxa"/>
          </w:tcPr>
          <w:p w14:paraId="199069B2" w14:textId="77777777" w:rsidR="004E63D6" w:rsidRPr="006B4048" w:rsidRDefault="004E63D6" w:rsidP="00CA410A">
            <w:pPr>
              <w:pStyle w:val="TableText"/>
              <w:keepNext/>
              <w:rPr>
                <w:rFonts w:cs="Courier New"/>
                <w:szCs w:val="20"/>
              </w:rPr>
            </w:pPr>
            <w:r>
              <w:rPr>
                <w:rFonts w:cs="Courier New"/>
                <w:szCs w:val="20"/>
              </w:rPr>
              <w:t>Patients eligible for targeted therapy</w:t>
            </w:r>
          </w:p>
        </w:tc>
      </w:tr>
      <w:tr w:rsidR="004E63D6" w:rsidRPr="006B4048" w14:paraId="7595CC97" w14:textId="77777777" w:rsidTr="00CA410A">
        <w:tc>
          <w:tcPr>
            <w:tcW w:w="3256" w:type="dxa"/>
          </w:tcPr>
          <w:p w14:paraId="59E60C76" w14:textId="77777777" w:rsidR="004E63D6" w:rsidRPr="006B4048" w:rsidRDefault="004E63D6" w:rsidP="00CA410A">
            <w:pPr>
              <w:pStyle w:val="TableText"/>
              <w:keepNext/>
              <w:rPr>
                <w:rFonts w:cs="Courier New"/>
                <w:szCs w:val="20"/>
              </w:rPr>
            </w:pPr>
            <w:r w:rsidRPr="006B4048">
              <w:rPr>
                <w:rFonts w:cs="Courier New"/>
                <w:szCs w:val="20"/>
              </w:rPr>
              <w:t>Incorporate rebiopsy due to test failure</w:t>
            </w:r>
          </w:p>
        </w:tc>
        <w:tc>
          <w:tcPr>
            <w:tcW w:w="2880" w:type="dxa"/>
          </w:tcPr>
          <w:p w14:paraId="6978F111" w14:textId="77777777" w:rsidR="004E63D6" w:rsidRPr="006B4048" w:rsidRDefault="004E63D6" w:rsidP="00CA410A">
            <w:pPr>
              <w:pStyle w:val="TableText"/>
              <w:keepNext/>
              <w:rPr>
                <w:rFonts w:cs="Courier New"/>
                <w:szCs w:val="20"/>
              </w:rPr>
            </w:pPr>
            <w:r>
              <w:rPr>
                <w:rFonts w:cs="Courier New"/>
                <w:szCs w:val="20"/>
              </w:rPr>
              <w:t>Testing and</w:t>
            </w:r>
            <w:r w:rsidRPr="006B4048">
              <w:rPr>
                <w:rFonts w:cs="Courier New"/>
                <w:szCs w:val="20"/>
              </w:rPr>
              <w:t xml:space="preserve"> rebiopsy</w:t>
            </w:r>
            <w:r>
              <w:rPr>
                <w:rFonts w:cs="Courier New"/>
                <w:szCs w:val="20"/>
              </w:rPr>
              <w:t xml:space="preserve"> costs, including additional testing in those successfully rebiopsied</w:t>
            </w:r>
          </w:p>
        </w:tc>
        <w:tc>
          <w:tcPr>
            <w:tcW w:w="2880" w:type="dxa"/>
          </w:tcPr>
          <w:p w14:paraId="5FC51016" w14:textId="77777777" w:rsidR="004E63D6" w:rsidRDefault="004E63D6" w:rsidP="00CA410A">
            <w:pPr>
              <w:pStyle w:val="TableText"/>
              <w:keepNext/>
              <w:rPr>
                <w:rFonts w:cs="Courier New"/>
                <w:szCs w:val="20"/>
              </w:rPr>
            </w:pPr>
            <w:r>
              <w:rPr>
                <w:rFonts w:cs="Courier New"/>
                <w:szCs w:val="20"/>
              </w:rPr>
              <w:t>Patients eligible for targeted therapy</w:t>
            </w:r>
            <w:r w:rsidRPr="006B4048">
              <w:rPr>
                <w:rFonts w:cs="Courier New"/>
                <w:szCs w:val="20"/>
              </w:rPr>
              <w:t>,</w:t>
            </w:r>
            <w:r>
              <w:rPr>
                <w:rFonts w:cs="Courier New"/>
                <w:szCs w:val="20"/>
              </w:rPr>
              <w:t xml:space="preserve"> adjusted for testing after rebiopsy</w:t>
            </w:r>
          </w:p>
          <w:p w14:paraId="2606FFF3" w14:textId="77777777" w:rsidR="004E63D6" w:rsidRPr="006B4048" w:rsidRDefault="004E63D6" w:rsidP="00CA410A">
            <w:pPr>
              <w:pStyle w:val="TableText"/>
              <w:keepNext/>
              <w:rPr>
                <w:rFonts w:cs="Courier New"/>
                <w:szCs w:val="20"/>
              </w:rPr>
            </w:pPr>
            <w:r w:rsidRPr="006B4048">
              <w:rPr>
                <w:rFonts w:cs="Courier New"/>
                <w:szCs w:val="20"/>
              </w:rPr>
              <w:t>Rebiopsies performed</w:t>
            </w:r>
          </w:p>
        </w:tc>
      </w:tr>
    </w:tbl>
    <w:p w14:paraId="0ED6A95B" w14:textId="3F418D92" w:rsidR="004E63D6" w:rsidRDefault="004E63D6" w:rsidP="004E63D6">
      <w:pPr>
        <w:pStyle w:val="TableFooter"/>
      </w:pPr>
      <w:bookmarkStart w:id="146" w:name="OLE_LINK12"/>
      <w:r w:rsidRPr="00152F12">
        <w:rPr>
          <w:i/>
        </w:rPr>
        <w:t>BRAF</w:t>
      </w:r>
      <w:r>
        <w:t xml:space="preserve"> = proto-oncogene B-Raf and v-Raf murine sarcoma viral oncogene homolog B; FISH = f</w:t>
      </w:r>
      <w:r w:rsidRPr="003316EF">
        <w:t xml:space="preserve">luorescence </w:t>
      </w:r>
      <w:r w:rsidRPr="00956452">
        <w:rPr>
          <w:i/>
        </w:rPr>
        <w:t>in situ</w:t>
      </w:r>
      <w:r w:rsidRPr="003316EF">
        <w:t xml:space="preserve"> hybridisation</w:t>
      </w:r>
      <w:r>
        <w:t xml:space="preserve">; IHC = immunohistochemistry; </w:t>
      </w:r>
      <w:r w:rsidRPr="006C18BD">
        <w:rPr>
          <w:i/>
          <w:iCs/>
        </w:rPr>
        <w:t>KRAS</w:t>
      </w:r>
      <w:r>
        <w:t xml:space="preserve"> = </w:t>
      </w:r>
      <w:r w:rsidRPr="0092349B">
        <w:t>Kirsten rat sarcoma viral oncogene homologue</w:t>
      </w:r>
      <w:r>
        <w:t>; RNA = ribonucleic acid.</w:t>
      </w:r>
    </w:p>
    <w:p w14:paraId="50E0F7EC" w14:textId="42E97C01" w:rsidR="00D90915" w:rsidRPr="006B4048" w:rsidRDefault="00D90915" w:rsidP="004E63D6">
      <w:pPr>
        <w:pStyle w:val="TableFooter"/>
        <w:rPr>
          <w:i/>
        </w:rPr>
      </w:pPr>
      <w:r w:rsidRPr="00D90915">
        <w:rPr>
          <w:vertAlign w:val="superscript"/>
        </w:rPr>
        <w:t>a</w:t>
      </w:r>
      <w:r>
        <w:t xml:space="preserve"> </w:t>
      </w:r>
      <w:r w:rsidRPr="00D90915">
        <w:t>As proposed testing can only be claimed once per episode of disease and cannot be claimed in addition to single gene items</w:t>
      </w:r>
      <w:r>
        <w:t>, this decision rule has been applied across model arms.</w:t>
      </w:r>
    </w:p>
    <w:p w14:paraId="5C2BBC22" w14:textId="77777777" w:rsidR="004E63D6" w:rsidRPr="00CE28E3" w:rsidRDefault="004E63D6" w:rsidP="004E63D6">
      <w:pPr>
        <w:pStyle w:val="Heading2"/>
        <w:numPr>
          <w:ilvl w:val="0"/>
          <w:numId w:val="0"/>
        </w:numPr>
        <w:ind w:left="720" w:hanging="720"/>
      </w:pPr>
      <w:bookmarkStart w:id="147" w:name="_Toc109054483"/>
      <w:bookmarkStart w:id="148" w:name="_Toc148531168"/>
      <w:r w:rsidRPr="00CE28E3">
        <w:t>3.2</w:t>
      </w:r>
      <w:r>
        <w:tab/>
      </w:r>
      <w:r w:rsidRPr="00CE28E3">
        <w:t>Methods</w:t>
      </w:r>
      <w:bookmarkEnd w:id="147"/>
      <w:bookmarkEnd w:id="148"/>
    </w:p>
    <w:p w14:paraId="14DD4769" w14:textId="4AA5446E" w:rsidR="004E63D6" w:rsidRDefault="004E63D6" w:rsidP="004E63D6">
      <w:pPr>
        <w:pStyle w:val="Heading3"/>
      </w:pPr>
      <w:bookmarkStart w:id="149" w:name="_Toc109054484"/>
      <w:bookmarkStart w:id="150" w:name="_Toc148531169"/>
      <w:bookmarkEnd w:id="146"/>
      <w:r w:rsidRPr="00CE28E3">
        <w:t>3.2.1</w:t>
      </w:r>
      <w:r w:rsidRPr="00CE28E3">
        <w:tab/>
        <w:t>Summary table</w:t>
      </w:r>
      <w:bookmarkEnd w:id="149"/>
      <w:bookmarkEnd w:id="150"/>
    </w:p>
    <w:p w14:paraId="08093F92" w14:textId="02E10699" w:rsidR="004E63D6" w:rsidRPr="0016633B" w:rsidRDefault="004E63D6" w:rsidP="004E63D6">
      <w:r>
        <w:t xml:space="preserve">A summary of the key components of the economic evaluation is presented in </w:t>
      </w:r>
      <w:r>
        <w:fldChar w:fldCharType="begin"/>
      </w:r>
      <w:r>
        <w:instrText xml:space="preserve"> REF _Ref69728299 \h </w:instrText>
      </w:r>
      <w:r>
        <w:fldChar w:fldCharType="separate"/>
      </w:r>
      <w:r w:rsidR="00C857F3" w:rsidRPr="00CE28E3">
        <w:t>Table</w:t>
      </w:r>
      <w:r w:rsidR="00C857F3">
        <w:t> </w:t>
      </w:r>
      <w:r w:rsidR="00C857F3">
        <w:rPr>
          <w:noProof/>
        </w:rPr>
        <w:t>44</w:t>
      </w:r>
      <w:r>
        <w:fldChar w:fldCharType="end"/>
      </w:r>
      <w:r>
        <w:t>.</w:t>
      </w:r>
    </w:p>
    <w:p w14:paraId="65D86EE5" w14:textId="2CA6E249" w:rsidR="004E63D6" w:rsidRPr="00CE28E3" w:rsidRDefault="004E63D6" w:rsidP="004E63D6">
      <w:pPr>
        <w:pStyle w:val="Caption"/>
      </w:pPr>
      <w:bookmarkStart w:id="151" w:name="_Ref69728299"/>
      <w:r w:rsidRPr="00CE28E3">
        <w:lastRenderedPageBreak/>
        <w:t>Table</w:t>
      </w:r>
      <w:r>
        <w:t> </w:t>
      </w:r>
      <w:fldSimple w:instr=" SEQ Table \* ARABIC ">
        <w:r w:rsidR="00C857F3">
          <w:rPr>
            <w:noProof/>
          </w:rPr>
          <w:t>44</w:t>
        </w:r>
      </w:fldSimple>
      <w:bookmarkEnd w:id="151"/>
      <w:r w:rsidRPr="00CE28E3">
        <w:tab/>
        <w:t xml:space="preserve">Summary of the economic evaluation </w:t>
      </w:r>
    </w:p>
    <w:tbl>
      <w:tblPr>
        <w:tblStyle w:val="TableGrid1"/>
        <w:tblW w:w="5000" w:type="pct"/>
        <w:tblLook w:val="04A0" w:firstRow="1" w:lastRow="0" w:firstColumn="1" w:lastColumn="0" w:noHBand="0" w:noVBand="1"/>
        <w:tblCaption w:val="Summary of the economic evaluation "/>
        <w:tblDescription w:val="Summary of the economic evaluation "/>
      </w:tblPr>
      <w:tblGrid>
        <w:gridCol w:w="1980"/>
        <w:gridCol w:w="7036"/>
      </w:tblGrid>
      <w:tr w:rsidR="004E63D6" w:rsidRPr="00CE28E3" w14:paraId="274AA9DD"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098" w:type="pct"/>
          </w:tcPr>
          <w:p w14:paraId="3B234380" w14:textId="77777777" w:rsidR="004E63D6" w:rsidRPr="000449D1" w:rsidRDefault="004E63D6" w:rsidP="00CA410A">
            <w:pPr>
              <w:pStyle w:val="TableHeading"/>
              <w:rPr>
                <w:rFonts w:cs="Courier New"/>
              </w:rPr>
            </w:pPr>
            <w:bookmarkStart w:id="152" w:name="Title_Table32" w:colFirst="0" w:colLast="0"/>
            <w:r w:rsidRPr="000449D1">
              <w:rPr>
                <w:rFonts w:cs="Courier New"/>
              </w:rPr>
              <w:t>Component</w:t>
            </w:r>
          </w:p>
        </w:tc>
        <w:tc>
          <w:tcPr>
            <w:tcW w:w="3902" w:type="pct"/>
          </w:tcPr>
          <w:p w14:paraId="52E14616" w14:textId="77777777" w:rsidR="004E63D6" w:rsidRPr="000449D1" w:rsidRDefault="004E63D6" w:rsidP="00CA410A">
            <w:pPr>
              <w:pStyle w:val="TableHeading"/>
              <w:rPr>
                <w:rFonts w:cs="Courier New"/>
              </w:rPr>
            </w:pPr>
            <w:r w:rsidRPr="000449D1">
              <w:rPr>
                <w:rFonts w:cs="Courier New"/>
              </w:rPr>
              <w:t>Description</w:t>
            </w:r>
          </w:p>
        </w:tc>
      </w:tr>
      <w:bookmarkEnd w:id="152"/>
      <w:tr w:rsidR="004E63D6" w:rsidRPr="000449D1" w14:paraId="7C53A272" w14:textId="77777777" w:rsidTr="00CA410A">
        <w:tc>
          <w:tcPr>
            <w:tcW w:w="1098" w:type="pct"/>
          </w:tcPr>
          <w:p w14:paraId="76633E07" w14:textId="77777777" w:rsidR="004E63D6" w:rsidRPr="000449D1" w:rsidRDefault="004E63D6" w:rsidP="00CA410A">
            <w:pPr>
              <w:pStyle w:val="TableText"/>
              <w:keepNext/>
              <w:rPr>
                <w:rFonts w:cs="Courier New"/>
              </w:rPr>
            </w:pPr>
            <w:r w:rsidRPr="000449D1">
              <w:rPr>
                <w:rFonts w:cs="Courier New"/>
              </w:rPr>
              <w:t>Perspective</w:t>
            </w:r>
          </w:p>
        </w:tc>
        <w:tc>
          <w:tcPr>
            <w:tcW w:w="3902" w:type="pct"/>
          </w:tcPr>
          <w:p w14:paraId="584F7BF7" w14:textId="77777777" w:rsidR="004E63D6" w:rsidRPr="000449D1" w:rsidRDefault="004E63D6" w:rsidP="00CA410A">
            <w:pPr>
              <w:pStyle w:val="TableText"/>
              <w:keepNext/>
              <w:rPr>
                <w:rFonts w:cs="Courier New"/>
              </w:rPr>
            </w:pPr>
            <w:r>
              <w:rPr>
                <w:rFonts w:cs="Courier New"/>
              </w:rPr>
              <w:t>Health care system perspective</w:t>
            </w:r>
          </w:p>
        </w:tc>
      </w:tr>
      <w:tr w:rsidR="004E63D6" w:rsidRPr="000449D1" w14:paraId="01084568" w14:textId="77777777" w:rsidTr="00CA410A">
        <w:trPr>
          <w:tblHeader/>
        </w:trPr>
        <w:tc>
          <w:tcPr>
            <w:tcW w:w="1098" w:type="pct"/>
          </w:tcPr>
          <w:p w14:paraId="2F8BE8F3" w14:textId="77777777" w:rsidR="004E63D6" w:rsidRPr="000449D1" w:rsidRDefault="004E63D6" w:rsidP="00CA410A">
            <w:pPr>
              <w:pStyle w:val="TableText"/>
              <w:keepNext/>
              <w:rPr>
                <w:rFonts w:cs="Courier New"/>
              </w:rPr>
            </w:pPr>
            <w:r w:rsidRPr="000449D1">
              <w:rPr>
                <w:rFonts w:cs="Courier New"/>
              </w:rPr>
              <w:t>Population</w:t>
            </w:r>
          </w:p>
        </w:tc>
        <w:tc>
          <w:tcPr>
            <w:tcW w:w="3902" w:type="pct"/>
          </w:tcPr>
          <w:p w14:paraId="25747DBB" w14:textId="77777777" w:rsidR="004E63D6" w:rsidRPr="0004605B" w:rsidRDefault="004E63D6" w:rsidP="00CA410A">
            <w:pPr>
              <w:pStyle w:val="TableText"/>
              <w:keepNext/>
            </w:pPr>
            <w:r>
              <w:t>Patients with non-squamous or NOS NSCLC</w:t>
            </w:r>
          </w:p>
        </w:tc>
      </w:tr>
      <w:tr w:rsidR="004E63D6" w:rsidRPr="000449D1" w14:paraId="02F949D9" w14:textId="77777777" w:rsidTr="00CA410A">
        <w:tc>
          <w:tcPr>
            <w:tcW w:w="1098" w:type="pct"/>
          </w:tcPr>
          <w:p w14:paraId="355B4B6C" w14:textId="77777777" w:rsidR="004E63D6" w:rsidRPr="000449D1" w:rsidRDefault="004E63D6" w:rsidP="00CA410A">
            <w:pPr>
              <w:pStyle w:val="TableText"/>
              <w:keepNext/>
              <w:rPr>
                <w:rFonts w:cs="Courier New"/>
              </w:rPr>
            </w:pPr>
            <w:r w:rsidRPr="000449D1">
              <w:rPr>
                <w:rFonts w:cs="Courier New"/>
              </w:rPr>
              <w:t>Prior testing</w:t>
            </w:r>
          </w:p>
        </w:tc>
        <w:tc>
          <w:tcPr>
            <w:tcW w:w="3902" w:type="pct"/>
          </w:tcPr>
          <w:p w14:paraId="0A694142" w14:textId="77777777" w:rsidR="004E63D6" w:rsidRPr="000449D1" w:rsidRDefault="004E63D6" w:rsidP="00CA410A">
            <w:pPr>
              <w:pStyle w:val="TableText"/>
              <w:keepNext/>
              <w:rPr>
                <w:rFonts w:cs="Courier New"/>
              </w:rPr>
            </w:pPr>
            <w:r>
              <w:rPr>
                <w:rFonts w:cs="Courier New"/>
              </w:rPr>
              <w:t>Histopathology testing to confirm tumour histology</w:t>
            </w:r>
          </w:p>
        </w:tc>
      </w:tr>
      <w:tr w:rsidR="004E63D6" w:rsidRPr="000449D1" w14:paraId="2F3D6AC3" w14:textId="77777777" w:rsidTr="00CA410A">
        <w:tc>
          <w:tcPr>
            <w:tcW w:w="1098" w:type="pct"/>
          </w:tcPr>
          <w:p w14:paraId="3092C2E4" w14:textId="77777777" w:rsidR="004E63D6" w:rsidRPr="000449D1" w:rsidRDefault="004E63D6" w:rsidP="00CA410A">
            <w:pPr>
              <w:pStyle w:val="TableText"/>
              <w:keepNext/>
              <w:rPr>
                <w:rFonts w:cs="Courier New"/>
              </w:rPr>
            </w:pPr>
            <w:r w:rsidRPr="000449D1">
              <w:rPr>
                <w:rFonts w:cs="Courier New"/>
              </w:rPr>
              <w:t>Comparator</w:t>
            </w:r>
          </w:p>
        </w:tc>
        <w:tc>
          <w:tcPr>
            <w:tcW w:w="3902" w:type="pct"/>
          </w:tcPr>
          <w:p w14:paraId="094B77BE" w14:textId="77777777" w:rsidR="004E63D6" w:rsidRPr="000449D1" w:rsidRDefault="004E63D6" w:rsidP="00CA410A">
            <w:pPr>
              <w:pStyle w:val="TableText"/>
              <w:keepNext/>
              <w:rPr>
                <w:rFonts w:cs="Courier New"/>
              </w:rPr>
            </w:pPr>
            <w:r>
              <w:rPr>
                <w:rFonts w:cs="Courier New"/>
              </w:rPr>
              <w:t xml:space="preserve">Single gene testing (reflex </w:t>
            </w:r>
            <w:r w:rsidRPr="00336456">
              <w:rPr>
                <w:rFonts w:cs="Courier New"/>
                <w:i/>
              </w:rPr>
              <w:t>EGFR</w:t>
            </w:r>
            <w:r>
              <w:rPr>
                <w:rFonts w:cs="Courier New"/>
              </w:rPr>
              <w:t xml:space="preserve">, </w:t>
            </w:r>
            <w:r w:rsidRPr="00A75F36">
              <w:rPr>
                <w:rFonts w:cs="Courier New"/>
              </w:rPr>
              <w:t>ALK</w:t>
            </w:r>
            <w:r w:rsidRPr="00336456">
              <w:rPr>
                <w:rFonts w:cs="Courier New"/>
                <w:i/>
              </w:rPr>
              <w:t xml:space="preserve"> </w:t>
            </w:r>
            <w:r>
              <w:rPr>
                <w:rFonts w:cs="Courier New"/>
              </w:rPr>
              <w:t xml:space="preserve">IHC and </w:t>
            </w:r>
            <w:r w:rsidRPr="00A75F36">
              <w:rPr>
                <w:rFonts w:cs="Courier New"/>
              </w:rPr>
              <w:t>ROS1</w:t>
            </w:r>
            <w:r w:rsidRPr="00336456">
              <w:rPr>
                <w:rFonts w:cs="Courier New"/>
                <w:i/>
              </w:rPr>
              <w:t xml:space="preserve"> </w:t>
            </w:r>
            <w:r>
              <w:rPr>
                <w:rFonts w:cs="Courier New"/>
              </w:rPr>
              <w:t xml:space="preserve">IHC, followed by, if relevant, reflex </w:t>
            </w:r>
            <w:r w:rsidRPr="00336456">
              <w:rPr>
                <w:rFonts w:cs="Courier New"/>
                <w:i/>
              </w:rPr>
              <w:t xml:space="preserve">ALK </w:t>
            </w:r>
            <w:r>
              <w:rPr>
                <w:rFonts w:cs="Courier New"/>
              </w:rPr>
              <w:t xml:space="preserve">FISH and/or </w:t>
            </w:r>
            <w:r w:rsidRPr="00336456">
              <w:rPr>
                <w:rFonts w:cs="Courier New"/>
                <w:i/>
              </w:rPr>
              <w:t xml:space="preserve">ROS1 </w:t>
            </w:r>
            <w:r>
              <w:rPr>
                <w:rFonts w:cs="Courier New"/>
              </w:rPr>
              <w:t xml:space="preserve">FISH, and </w:t>
            </w:r>
            <w:r w:rsidRPr="00336456">
              <w:rPr>
                <w:rFonts w:cs="Courier New"/>
                <w:i/>
              </w:rPr>
              <w:t>MET</w:t>
            </w:r>
            <w:r>
              <w:rPr>
                <w:rFonts w:cs="Courier New"/>
              </w:rPr>
              <w:t>ex14sk testing)</w:t>
            </w:r>
          </w:p>
        </w:tc>
      </w:tr>
      <w:tr w:rsidR="004E63D6" w:rsidRPr="000449D1" w14:paraId="5933E1F5" w14:textId="77777777" w:rsidTr="00CA410A">
        <w:tc>
          <w:tcPr>
            <w:tcW w:w="1098" w:type="pct"/>
          </w:tcPr>
          <w:p w14:paraId="6235758B" w14:textId="77777777" w:rsidR="004E63D6" w:rsidRPr="000449D1" w:rsidRDefault="004E63D6" w:rsidP="00CA410A">
            <w:pPr>
              <w:pStyle w:val="TableText"/>
              <w:keepNext/>
              <w:rPr>
                <w:rFonts w:cs="Courier New"/>
              </w:rPr>
            </w:pPr>
            <w:r w:rsidRPr="000449D1">
              <w:rPr>
                <w:rFonts w:cs="Courier New"/>
              </w:rPr>
              <w:t>Type(s) of analysis</w:t>
            </w:r>
          </w:p>
        </w:tc>
        <w:tc>
          <w:tcPr>
            <w:tcW w:w="3902" w:type="pct"/>
          </w:tcPr>
          <w:p w14:paraId="37EB4E9E" w14:textId="77777777" w:rsidR="004E63D6" w:rsidRPr="000449D1" w:rsidRDefault="004E63D6" w:rsidP="00CA410A">
            <w:pPr>
              <w:pStyle w:val="TableText"/>
              <w:keepNext/>
              <w:rPr>
                <w:rFonts w:cs="Courier New"/>
              </w:rPr>
            </w:pPr>
            <w:r>
              <w:rPr>
                <w:rFonts w:cs="Courier New"/>
              </w:rPr>
              <w:t>C</w:t>
            </w:r>
            <w:r w:rsidRPr="000449D1">
              <w:rPr>
                <w:rFonts w:cs="Courier New"/>
              </w:rPr>
              <w:t>ost-effectiveness analysis</w:t>
            </w:r>
          </w:p>
        </w:tc>
      </w:tr>
      <w:tr w:rsidR="004E63D6" w:rsidRPr="000449D1" w14:paraId="716478BE" w14:textId="77777777" w:rsidTr="00CA410A">
        <w:tc>
          <w:tcPr>
            <w:tcW w:w="1098" w:type="pct"/>
          </w:tcPr>
          <w:p w14:paraId="367056AF" w14:textId="77777777" w:rsidR="004E63D6" w:rsidRPr="000449D1" w:rsidRDefault="004E63D6" w:rsidP="00CA410A">
            <w:pPr>
              <w:pStyle w:val="TableText"/>
              <w:keepNext/>
              <w:rPr>
                <w:rFonts w:cs="Courier New"/>
              </w:rPr>
            </w:pPr>
            <w:r w:rsidRPr="000449D1">
              <w:rPr>
                <w:rFonts w:cs="Courier New"/>
              </w:rPr>
              <w:t>Outcomes</w:t>
            </w:r>
          </w:p>
        </w:tc>
        <w:tc>
          <w:tcPr>
            <w:tcW w:w="3902" w:type="pct"/>
          </w:tcPr>
          <w:p w14:paraId="0EBA59E2" w14:textId="5FE457EE" w:rsidR="004E63D6" w:rsidRDefault="004E63D6" w:rsidP="00CA410A">
            <w:pPr>
              <w:pStyle w:val="TableText"/>
              <w:keepNext/>
              <w:rPr>
                <w:rFonts w:cs="Courier New"/>
              </w:rPr>
            </w:pPr>
            <w:r>
              <w:rPr>
                <w:rFonts w:cs="Courier New"/>
              </w:rPr>
              <w:t xml:space="preserve">Primary: Patients eligible for targeted therapy, disaggregated by patients with common and </w:t>
            </w:r>
            <w:r w:rsidR="00853C40">
              <w:rPr>
                <w:rFonts w:cs="Courier New"/>
              </w:rPr>
              <w:t>incremental</w:t>
            </w:r>
            <w:r>
              <w:rPr>
                <w:rFonts w:cs="Courier New"/>
              </w:rPr>
              <w:t xml:space="preserve"> variants identified</w:t>
            </w:r>
          </w:p>
          <w:p w14:paraId="1E16F291" w14:textId="12B51F0B" w:rsidR="004E63D6" w:rsidRPr="000449D1" w:rsidRDefault="004E63D6" w:rsidP="00CA410A">
            <w:pPr>
              <w:pStyle w:val="TableText"/>
              <w:keepNext/>
              <w:rPr>
                <w:rFonts w:cs="Courier New"/>
              </w:rPr>
            </w:pPr>
            <w:r>
              <w:rPr>
                <w:rFonts w:cs="Courier New"/>
              </w:rPr>
              <w:t xml:space="preserve">Additional: Patients with </w:t>
            </w:r>
            <w:r w:rsidR="00094AA8">
              <w:rPr>
                <w:rFonts w:cs="Courier New"/>
              </w:rPr>
              <w:t xml:space="preserve">actionable (i.e. common and incremental variants) variants identified, patients with </w:t>
            </w:r>
            <w:r>
              <w:rPr>
                <w:rFonts w:cs="Courier New"/>
              </w:rPr>
              <w:t xml:space="preserve">known biomarker status; changes in rebiopsies required </w:t>
            </w:r>
          </w:p>
        </w:tc>
      </w:tr>
      <w:tr w:rsidR="004E63D6" w:rsidRPr="000449D1" w14:paraId="08D59471" w14:textId="77777777" w:rsidTr="00CA410A">
        <w:tc>
          <w:tcPr>
            <w:tcW w:w="1098" w:type="pct"/>
          </w:tcPr>
          <w:p w14:paraId="36790995" w14:textId="77777777" w:rsidR="004E63D6" w:rsidRPr="000449D1" w:rsidRDefault="004E63D6" w:rsidP="00CA410A">
            <w:pPr>
              <w:pStyle w:val="TableText"/>
              <w:keepNext/>
              <w:rPr>
                <w:rFonts w:cs="Courier New"/>
              </w:rPr>
            </w:pPr>
            <w:r w:rsidRPr="000449D1">
              <w:rPr>
                <w:rFonts w:cs="Courier New"/>
              </w:rPr>
              <w:t>Time horizon</w:t>
            </w:r>
          </w:p>
        </w:tc>
        <w:tc>
          <w:tcPr>
            <w:tcW w:w="3902" w:type="pct"/>
          </w:tcPr>
          <w:p w14:paraId="5C717D02" w14:textId="77777777" w:rsidR="004E63D6" w:rsidRPr="000449D1" w:rsidRDefault="004E63D6" w:rsidP="00CA410A">
            <w:pPr>
              <w:pStyle w:val="TableText"/>
              <w:keepNext/>
              <w:rPr>
                <w:rFonts w:cs="Courier New"/>
              </w:rPr>
            </w:pPr>
            <w:r>
              <w:rPr>
                <w:rFonts w:cs="Courier New"/>
              </w:rPr>
              <w:t>Time to first-line treatment decisions in the advanced NSCLC setting</w:t>
            </w:r>
          </w:p>
        </w:tc>
      </w:tr>
      <w:tr w:rsidR="004E63D6" w:rsidRPr="000449D1" w14:paraId="5165AE9C" w14:textId="77777777" w:rsidTr="00CA410A">
        <w:tc>
          <w:tcPr>
            <w:tcW w:w="1098" w:type="pct"/>
          </w:tcPr>
          <w:p w14:paraId="04AC56F2" w14:textId="77777777" w:rsidR="004E63D6" w:rsidRPr="000449D1" w:rsidRDefault="004E63D6" w:rsidP="00CA410A">
            <w:pPr>
              <w:pStyle w:val="TableText"/>
              <w:keepNext/>
              <w:rPr>
                <w:rFonts w:cs="Courier New"/>
              </w:rPr>
            </w:pPr>
            <w:r w:rsidRPr="000449D1">
              <w:rPr>
                <w:rFonts w:cs="Courier New"/>
              </w:rPr>
              <w:t>Computational method</w:t>
            </w:r>
          </w:p>
        </w:tc>
        <w:tc>
          <w:tcPr>
            <w:tcW w:w="3902" w:type="pct"/>
          </w:tcPr>
          <w:p w14:paraId="6290359D" w14:textId="77777777" w:rsidR="004E63D6" w:rsidRPr="000449D1" w:rsidRDefault="004E63D6" w:rsidP="00CA410A">
            <w:pPr>
              <w:pStyle w:val="TableText"/>
              <w:keepNext/>
              <w:rPr>
                <w:rFonts w:cs="Courier New"/>
              </w:rPr>
            </w:pPr>
            <w:r>
              <w:rPr>
                <w:rFonts w:cs="Courier New"/>
              </w:rPr>
              <w:t>Decision analytic</w:t>
            </w:r>
          </w:p>
        </w:tc>
      </w:tr>
      <w:tr w:rsidR="004E63D6" w:rsidRPr="000449D1" w14:paraId="6FEDA771" w14:textId="77777777" w:rsidTr="00CA410A">
        <w:tc>
          <w:tcPr>
            <w:tcW w:w="1098" w:type="pct"/>
          </w:tcPr>
          <w:p w14:paraId="44E88A10" w14:textId="77777777" w:rsidR="004E63D6" w:rsidRPr="000449D1" w:rsidRDefault="004E63D6" w:rsidP="00CA410A">
            <w:pPr>
              <w:pStyle w:val="TableText"/>
              <w:keepNext/>
              <w:rPr>
                <w:rFonts w:cs="Courier New"/>
              </w:rPr>
            </w:pPr>
            <w:r w:rsidRPr="000449D1">
              <w:rPr>
                <w:rFonts w:cs="Courier New"/>
              </w:rPr>
              <w:t>Generation of the base case</w:t>
            </w:r>
          </w:p>
        </w:tc>
        <w:tc>
          <w:tcPr>
            <w:tcW w:w="3902" w:type="pct"/>
          </w:tcPr>
          <w:p w14:paraId="2805572A" w14:textId="77777777" w:rsidR="004E63D6" w:rsidRPr="000449D1" w:rsidRDefault="004E63D6" w:rsidP="00CA410A">
            <w:pPr>
              <w:pStyle w:val="TableText"/>
              <w:keepNext/>
              <w:rPr>
                <w:rFonts w:cs="Courier New"/>
              </w:rPr>
            </w:pPr>
            <w:r>
              <w:rPr>
                <w:rFonts w:cs="Courier New"/>
              </w:rPr>
              <w:t>M</w:t>
            </w:r>
            <w:r w:rsidRPr="000449D1">
              <w:rPr>
                <w:rFonts w:cs="Courier New"/>
              </w:rPr>
              <w:t>odelled</w:t>
            </w:r>
            <w:r>
              <w:rPr>
                <w:rFonts w:cs="Courier New"/>
              </w:rPr>
              <w:t xml:space="preserve"> stepped analysis, incorporating </w:t>
            </w:r>
            <w:r w:rsidRPr="00511217">
              <w:rPr>
                <w:rFonts w:cs="Courier New"/>
              </w:rPr>
              <w:t>different aspects of the linked evidence, translations of the clinical evidence and other key model assumptions separately to distinguish the effect of each of these on the results.</w:t>
            </w:r>
          </w:p>
        </w:tc>
      </w:tr>
      <w:tr w:rsidR="004E63D6" w:rsidRPr="000449D1" w14:paraId="7AE9D399" w14:textId="77777777" w:rsidTr="00CA410A">
        <w:tc>
          <w:tcPr>
            <w:tcW w:w="1098" w:type="pct"/>
          </w:tcPr>
          <w:p w14:paraId="0B3D9B4E" w14:textId="77777777" w:rsidR="004E63D6" w:rsidRPr="000449D1" w:rsidRDefault="004E63D6" w:rsidP="00CA410A">
            <w:pPr>
              <w:pStyle w:val="TableText"/>
              <w:keepNext/>
              <w:rPr>
                <w:rFonts w:cs="Courier New"/>
              </w:rPr>
            </w:pPr>
            <w:r w:rsidRPr="000449D1">
              <w:rPr>
                <w:rFonts w:cs="Courier New"/>
              </w:rPr>
              <w:t>Transition probabilities</w:t>
            </w:r>
          </w:p>
        </w:tc>
        <w:tc>
          <w:tcPr>
            <w:tcW w:w="3902" w:type="pct"/>
          </w:tcPr>
          <w:p w14:paraId="557BBF8C" w14:textId="01E8C743" w:rsidR="004E63D6" w:rsidRDefault="004E63D6" w:rsidP="00CA410A">
            <w:pPr>
              <w:pStyle w:val="TableText"/>
              <w:keepNext/>
              <w:rPr>
                <w:rFonts w:cs="Courier New"/>
              </w:rPr>
            </w:pPr>
            <w:r>
              <w:rPr>
                <w:rFonts w:cs="Courier New"/>
              </w:rPr>
              <w:t>Yield of actionable variants: Accepted estimates of variant yield as identified by the clinical utility standard (‘common’ variants), adjusted for additional variants identified by small gene panel testing in the same biomarker (‘</w:t>
            </w:r>
            <w:r w:rsidR="00853C40">
              <w:rPr>
                <w:rFonts w:cs="Courier New"/>
              </w:rPr>
              <w:t>incremental</w:t>
            </w:r>
            <w:r>
              <w:rPr>
                <w:rFonts w:cs="Courier New"/>
              </w:rPr>
              <w:t>’ variants) using concordance estimates derived in Section 2. Yield estimates were adjusted to reflect some IHC ± FISH use following small DNA panel testing (in instances where tissue quantity or quality is insufficient for RNA panel testing).</w:t>
            </w:r>
          </w:p>
          <w:p w14:paraId="07705141" w14:textId="77777777" w:rsidR="004E63D6" w:rsidRPr="00807F3E" w:rsidRDefault="004E63D6" w:rsidP="00CA410A">
            <w:pPr>
              <w:pStyle w:val="TableText"/>
              <w:keepNext/>
              <w:rPr>
                <w:rFonts w:cs="Courier New"/>
              </w:rPr>
            </w:pPr>
            <w:r>
              <w:rPr>
                <w:rFonts w:cs="Courier New"/>
              </w:rPr>
              <w:t>Success of testing was also based on estimates presented in Section 2.</w:t>
            </w:r>
          </w:p>
        </w:tc>
      </w:tr>
      <w:tr w:rsidR="004E63D6" w:rsidRPr="000449D1" w14:paraId="457F6D7A" w14:textId="77777777" w:rsidTr="00CA410A">
        <w:tc>
          <w:tcPr>
            <w:tcW w:w="1098" w:type="pct"/>
          </w:tcPr>
          <w:p w14:paraId="77677C21" w14:textId="77777777" w:rsidR="004E63D6" w:rsidRPr="000449D1" w:rsidRDefault="004E63D6" w:rsidP="00CA410A">
            <w:pPr>
              <w:pStyle w:val="TableText"/>
              <w:keepNext/>
              <w:rPr>
                <w:rFonts w:cs="Courier New"/>
              </w:rPr>
            </w:pPr>
            <w:r w:rsidRPr="000449D1">
              <w:rPr>
                <w:rFonts w:cs="Courier New"/>
              </w:rPr>
              <w:t>Discount rate</w:t>
            </w:r>
          </w:p>
        </w:tc>
        <w:tc>
          <w:tcPr>
            <w:tcW w:w="3902" w:type="pct"/>
          </w:tcPr>
          <w:p w14:paraId="5811FF63" w14:textId="77777777" w:rsidR="004E63D6" w:rsidRPr="000449D1" w:rsidRDefault="004E63D6" w:rsidP="00CA410A">
            <w:pPr>
              <w:pStyle w:val="TableText"/>
              <w:keepNext/>
              <w:rPr>
                <w:rFonts w:cs="Courier New"/>
              </w:rPr>
            </w:pPr>
            <w:r>
              <w:rPr>
                <w:rFonts w:cs="Courier New"/>
              </w:rPr>
              <w:t>Not applicable</w:t>
            </w:r>
          </w:p>
        </w:tc>
      </w:tr>
      <w:tr w:rsidR="004E63D6" w:rsidRPr="000449D1" w14:paraId="284451CF" w14:textId="77777777" w:rsidTr="00CA410A">
        <w:tc>
          <w:tcPr>
            <w:tcW w:w="1098" w:type="pct"/>
          </w:tcPr>
          <w:p w14:paraId="4497CC78" w14:textId="77777777" w:rsidR="004E63D6" w:rsidRPr="000449D1" w:rsidRDefault="004E63D6" w:rsidP="00CA410A">
            <w:pPr>
              <w:pStyle w:val="TableText"/>
              <w:keepNext/>
              <w:rPr>
                <w:rFonts w:cs="Courier New"/>
              </w:rPr>
            </w:pPr>
            <w:r w:rsidRPr="000449D1">
              <w:rPr>
                <w:rFonts w:cs="Courier New"/>
              </w:rPr>
              <w:t>Software</w:t>
            </w:r>
          </w:p>
        </w:tc>
        <w:tc>
          <w:tcPr>
            <w:tcW w:w="3902" w:type="pct"/>
          </w:tcPr>
          <w:p w14:paraId="0E8BE7B2" w14:textId="77777777" w:rsidR="004E63D6" w:rsidRPr="000449D1" w:rsidRDefault="004E63D6" w:rsidP="00CA410A">
            <w:pPr>
              <w:pStyle w:val="TableText"/>
              <w:keepNext/>
              <w:rPr>
                <w:rFonts w:cs="Courier New"/>
              </w:rPr>
            </w:pPr>
            <w:r>
              <w:rPr>
                <w:rFonts w:cs="Courier New"/>
              </w:rPr>
              <w:t>TreeAge Pro and</w:t>
            </w:r>
            <w:r w:rsidRPr="00A41FD7">
              <w:rPr>
                <w:rFonts w:cs="Courier New"/>
              </w:rPr>
              <w:t xml:space="preserve"> Microsoft Excel</w:t>
            </w:r>
          </w:p>
        </w:tc>
      </w:tr>
    </w:tbl>
    <w:p w14:paraId="60034A3D" w14:textId="77777777" w:rsidR="004E63D6" w:rsidRPr="00CE28E3" w:rsidRDefault="004E63D6" w:rsidP="004E63D6">
      <w:pPr>
        <w:pStyle w:val="TableFooter"/>
      </w:pPr>
      <w:r>
        <w:rPr>
          <w:i/>
        </w:rPr>
        <w:t>ALK</w:t>
      </w:r>
      <w:r>
        <w:t xml:space="preserve"> = </w:t>
      </w:r>
      <w:r w:rsidRPr="003316EF">
        <w:t>anaplastic lymphoma kinase</w:t>
      </w:r>
      <w:r>
        <w:t xml:space="preserve">; DNA = deoxyribose nucleic acid;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IHC = immunohistochemistry; </w:t>
      </w:r>
      <w:r w:rsidRPr="00336456">
        <w:rPr>
          <w:i/>
        </w:rPr>
        <w:t>MET</w:t>
      </w:r>
      <w:r>
        <w:t xml:space="preserve">ex14sk = MET proto-oncogene, receptor tyrosine kinase exon 14 skipping alterations; NOS = not otherwise specified; NSCLC = non-small cell lung cancer; RNA = ribonucleic acid; </w:t>
      </w:r>
      <w:r w:rsidRPr="00743D1B">
        <w:rPr>
          <w:i/>
        </w:rPr>
        <w:t>ROS1</w:t>
      </w:r>
      <w:r>
        <w:t xml:space="preserve"> = ROS proto-oncogene 1.</w:t>
      </w:r>
    </w:p>
    <w:p w14:paraId="7943F068" w14:textId="77777777" w:rsidR="004E63D6" w:rsidRPr="00CE28E3" w:rsidRDefault="004E63D6" w:rsidP="004E63D6">
      <w:pPr>
        <w:pStyle w:val="Heading3"/>
      </w:pPr>
      <w:bookmarkStart w:id="153" w:name="_Toc109054485"/>
      <w:bookmarkStart w:id="154" w:name="_Toc148531170"/>
      <w:r w:rsidRPr="00CE28E3">
        <w:t>3.2.2</w:t>
      </w:r>
      <w:r w:rsidRPr="00CE28E3">
        <w:tab/>
        <w:t>Structure of the economic evaluation</w:t>
      </w:r>
      <w:bookmarkEnd w:id="153"/>
      <w:bookmarkEnd w:id="154"/>
    </w:p>
    <w:p w14:paraId="3E6AB55A" w14:textId="77777777" w:rsidR="004E63D6" w:rsidRDefault="004E63D6" w:rsidP="004E63D6">
      <w:pPr>
        <w:pStyle w:val="Heading4"/>
      </w:pPr>
      <w:bookmarkStart w:id="155" w:name="_Toc54940838"/>
      <w:r w:rsidRPr="00CE28E3">
        <w:t>Model structuring process</w:t>
      </w:r>
      <w:bookmarkEnd w:id="155"/>
    </w:p>
    <w:p w14:paraId="1EBC0302" w14:textId="77777777" w:rsidR="004E63D6" w:rsidRDefault="004E63D6" w:rsidP="004E63D6">
      <w:pPr>
        <w:pStyle w:val="NormalBeforeBullet"/>
      </w:pPr>
      <w:r>
        <w:t xml:space="preserve">The process used to develop the model structure included a review of the literature to identify </w:t>
      </w:r>
      <w:r w:rsidRPr="00926FC4">
        <w:t>economic evaluations of similar decision analyses</w:t>
      </w:r>
      <w:r>
        <w:t>. Structural attributes from the existing literature were considered in the context of the clinical evidence base and the applicability to the local decision problem.</w:t>
      </w:r>
    </w:p>
    <w:p w14:paraId="2DCC17E1" w14:textId="77777777" w:rsidR="004E63D6" w:rsidRPr="00FA20CC" w:rsidRDefault="004E63D6" w:rsidP="004E63D6">
      <w:pPr>
        <w:pStyle w:val="NormalBeforeBullet"/>
        <w:rPr>
          <w:u w:val="single"/>
        </w:rPr>
      </w:pPr>
      <w:r w:rsidRPr="00FA20CC">
        <w:rPr>
          <w:u w:val="single"/>
        </w:rPr>
        <w:t>Literature review</w:t>
      </w:r>
    </w:p>
    <w:p w14:paraId="09BCD667" w14:textId="5267CCE3" w:rsidR="004E63D6" w:rsidRDefault="004E63D6" w:rsidP="004E63D6">
      <w:pPr>
        <w:pStyle w:val="NormalBeforeBullet"/>
      </w:pPr>
      <w:r w:rsidRPr="006D7960">
        <w:t xml:space="preserve">A literature search of the Pubmed and Embase databases was conducted on </w:t>
      </w:r>
      <w:r>
        <w:t>27/5/22</w:t>
      </w:r>
      <w:r w:rsidRPr="006D7960">
        <w:t xml:space="preserve"> using the search terms presented in </w:t>
      </w:r>
      <w:r>
        <w:fldChar w:fldCharType="begin"/>
      </w:r>
      <w:r>
        <w:instrText xml:space="preserve"> REF _Ref108347284 \h </w:instrText>
      </w:r>
      <w:r>
        <w:fldChar w:fldCharType="separate"/>
      </w:r>
      <w:r w:rsidR="00C857F3" w:rsidRPr="00CE28E3">
        <w:t>Table</w:t>
      </w:r>
      <w:r w:rsidR="00C857F3">
        <w:t> </w:t>
      </w:r>
      <w:r w:rsidR="00C857F3">
        <w:rPr>
          <w:noProof/>
        </w:rPr>
        <w:t>90</w:t>
      </w:r>
      <w:r>
        <w:fldChar w:fldCharType="end"/>
      </w:r>
      <w:r>
        <w:t>, Appendix F</w:t>
      </w:r>
      <w:r w:rsidRPr="006D7960">
        <w:t xml:space="preserve">. </w:t>
      </w:r>
      <w:r>
        <w:t>Eight relevant studies were identified, with half conducted in the US (</w:t>
      </w:r>
      <w:r>
        <w:fldChar w:fldCharType="begin"/>
      </w:r>
      <w:r>
        <w:instrText xml:space="preserve"> REF _Ref108347313 \h </w:instrText>
      </w:r>
      <w:r>
        <w:fldChar w:fldCharType="separate"/>
      </w:r>
      <w:r w:rsidR="00C857F3" w:rsidRPr="00CE28E3">
        <w:t>Table</w:t>
      </w:r>
      <w:r w:rsidR="00C857F3">
        <w:t> </w:t>
      </w:r>
      <w:r w:rsidR="00C857F3">
        <w:rPr>
          <w:noProof/>
        </w:rPr>
        <w:t>91</w:t>
      </w:r>
      <w:r>
        <w:fldChar w:fldCharType="end"/>
      </w:r>
      <w:r>
        <w:t xml:space="preserve">, Appendix F). The remaining studies were conducted in Hong Kong, Spain, Singapore and Brazil. Outcomes reported generally included time to test result (or initiation of targeted therapy), actionable (and non-actionable) variants identified, patients eligible for targeted therapy (or clinical trials), LYs or QALYs. </w:t>
      </w:r>
    </w:p>
    <w:p w14:paraId="2C79E1B8" w14:textId="77777777" w:rsidR="004E63D6" w:rsidRDefault="004E63D6" w:rsidP="004E63D6">
      <w:pPr>
        <w:pStyle w:val="NormalBeforeBullet"/>
      </w:pPr>
      <w:r>
        <w:t xml:space="preserve">All studies used a decision analytic approach; hybrid decision-tree methods were often used where outcomes were reported in terms of LYs or QALYs. Modelled benefits were driven by an increase in patients eligible for targeted therapies, due either to more successful testing, more </w:t>
      </w:r>
      <w:r>
        <w:lastRenderedPageBreak/>
        <w:t xml:space="preserve">biomarkers being tested and/or improved sensitivity of testing. Where improvements in sensitivity were modelled, and additional LYs or QALYs gained were measured, patients were assumed to respond to treatment as though they had been identified by the test used in the clinical trials of targeted therapies (i.e. the clinical utility standard). </w:t>
      </w:r>
    </w:p>
    <w:p w14:paraId="5AD52170" w14:textId="77777777" w:rsidR="004E63D6" w:rsidRDefault="004E63D6" w:rsidP="004E63D6">
      <w:pPr>
        <w:pStyle w:val="NormalBeforeBullet"/>
      </w:pPr>
      <w:r>
        <w:t>Most studies concluded that panel testing resulted in more actionable variants being identified, and where captured, NGS was the fastest or among the faster options in terms of receiving results. Where outcomes were measured in terms of cost, actionable variants identified and time to test results, NGS was generally considered to be cost-effective. Where outcomes were extended to LYs or QALYs gained, conclusions of cost-effectiveness were less consistent and were generally considered to be more uncertain.</w:t>
      </w:r>
    </w:p>
    <w:p w14:paraId="3D70BE79" w14:textId="77777777" w:rsidR="004E63D6" w:rsidRDefault="004E63D6" w:rsidP="004E63D6">
      <w:pPr>
        <w:pStyle w:val="NormalBeforeBullet"/>
      </w:pPr>
      <w:r>
        <w:t xml:space="preserve">The results of the review of the existing economic literature suggest that the model structure should account for actionable variant status. Less consistent was the inclusion of assumptions relating to test success and subsequently, rebiopsy. All studies identified included patients with advanced disease. Where specified, models did not distinguish structurally between patients with advanced disease at diagnosis or those who had progressed from an earlier disease stage. </w:t>
      </w:r>
    </w:p>
    <w:p w14:paraId="2947FA4E" w14:textId="77777777" w:rsidR="004E63D6" w:rsidRDefault="004E63D6" w:rsidP="004E63D6">
      <w:pPr>
        <w:pStyle w:val="NormalBeforeBullet"/>
      </w:pPr>
    </w:p>
    <w:p w14:paraId="495A4DB7" w14:textId="77777777" w:rsidR="004E63D6" w:rsidRPr="00C66A8B" w:rsidRDefault="004E63D6" w:rsidP="004E63D6">
      <w:pPr>
        <w:pStyle w:val="NormalBeforeBullet"/>
        <w:rPr>
          <w:u w:val="single"/>
        </w:rPr>
      </w:pPr>
      <w:r w:rsidRPr="00C66A8B">
        <w:rPr>
          <w:u w:val="single"/>
        </w:rPr>
        <w:t>Model structure</w:t>
      </w:r>
    </w:p>
    <w:p w14:paraId="286434FB" w14:textId="6B09E0F0" w:rsidR="004E63D6" w:rsidRDefault="004E63D6" w:rsidP="004E63D6">
      <w:pPr>
        <w:pStyle w:val="NormalBeforeBullet"/>
      </w:pPr>
      <w:r>
        <w:t xml:space="preserve">The model takes the form of a decision tree. This was consistent with the existing economic literature described in </w:t>
      </w:r>
      <w:r>
        <w:fldChar w:fldCharType="begin"/>
      </w:r>
      <w:r>
        <w:instrText xml:space="preserve"> REF _Ref108347313 \h </w:instrText>
      </w:r>
      <w:r>
        <w:fldChar w:fldCharType="separate"/>
      </w:r>
      <w:r w:rsidR="00C857F3" w:rsidRPr="00CE28E3">
        <w:t>Table</w:t>
      </w:r>
      <w:r w:rsidR="00C857F3">
        <w:t> </w:t>
      </w:r>
      <w:r w:rsidR="00C857F3">
        <w:rPr>
          <w:noProof/>
        </w:rPr>
        <w:t>91</w:t>
      </w:r>
      <w:r>
        <w:fldChar w:fldCharType="end"/>
      </w:r>
      <w:r>
        <w:t xml:space="preserve">, and is appropriate to measure outcomes related to the different test strategies up to the point of treatment. A depiction of the model structure is presented in </w:t>
      </w:r>
      <w:r>
        <w:fldChar w:fldCharType="begin"/>
      </w:r>
      <w:r>
        <w:instrText xml:space="preserve"> REF _Ref108347380 \h </w:instrText>
      </w:r>
      <w:r>
        <w:fldChar w:fldCharType="separate"/>
      </w:r>
      <w:r w:rsidR="00C857F3">
        <w:t>Figure </w:t>
      </w:r>
      <w:r w:rsidR="00C857F3">
        <w:rPr>
          <w:noProof/>
        </w:rPr>
        <w:t>17</w:t>
      </w:r>
      <w:r>
        <w:fldChar w:fldCharType="end"/>
      </w:r>
      <w:r>
        <w:t xml:space="preserve">. Branches relating to actionable variant type (or biomarker status, in the instance of rebiopsies not performed or unsuccessful) have been collapsed for ease of presentation. The model structure including these details is presented in </w:t>
      </w:r>
      <w:r>
        <w:fldChar w:fldCharType="begin"/>
      </w:r>
      <w:r>
        <w:instrText xml:space="preserve"> REF _Ref108347451 \h </w:instrText>
      </w:r>
      <w:r>
        <w:fldChar w:fldCharType="separate"/>
      </w:r>
      <w:r w:rsidR="00C857F3">
        <w:t>Figure </w:t>
      </w:r>
      <w:r w:rsidR="00C857F3">
        <w:rPr>
          <w:noProof/>
        </w:rPr>
        <w:t>28</w:t>
      </w:r>
      <w:r>
        <w:fldChar w:fldCharType="end"/>
      </w:r>
      <w:r>
        <w:t>, Appendix F.</w:t>
      </w:r>
    </w:p>
    <w:p w14:paraId="2751504F" w14:textId="77777777" w:rsidR="004E63D6" w:rsidRDefault="004E63D6" w:rsidP="004E63D6">
      <w:pPr>
        <w:pStyle w:val="NormalBeforeBullet"/>
      </w:pPr>
      <w:r>
        <w:t xml:space="preserve">Patients enter the model at the point of receiving testing to determine their biomarker status. The model separates between patients with advanced disease (or who progress to advanced disease) and those tested at an early disease stage who do not progress to advanced disease. This distinction has been incorporated into the model structure as patients tested early who do not progress incur the cost of testing, with no benefit in terms of being eligible for targeted therapy. Further the cost of current testing differs between these groups, as </w:t>
      </w:r>
      <w:r w:rsidRPr="009C29FC">
        <w:rPr>
          <w:i/>
        </w:rPr>
        <w:t xml:space="preserve">ALK </w:t>
      </w:r>
      <w:r>
        <w:t xml:space="preserve">and </w:t>
      </w:r>
      <w:r w:rsidRPr="009C29FC">
        <w:rPr>
          <w:i/>
        </w:rPr>
        <w:t xml:space="preserve">ROS1 </w:t>
      </w:r>
      <w:r>
        <w:t xml:space="preserve">FISH and </w:t>
      </w:r>
      <w:r w:rsidRPr="009C29FC">
        <w:rPr>
          <w:i/>
        </w:rPr>
        <w:t>MET</w:t>
      </w:r>
      <w:r>
        <w:t xml:space="preserve">ex14sk testing are restricted to patients with advanced disease (and so would not be incurred in patients diagnosed with early disease who do not develop advanced disease). </w:t>
      </w:r>
    </w:p>
    <w:p w14:paraId="7582B958" w14:textId="77777777" w:rsidR="004E63D6" w:rsidRDefault="004E63D6" w:rsidP="004E63D6">
      <w:pPr>
        <w:pStyle w:val="NormalBeforeBullet"/>
      </w:pPr>
      <w:r>
        <w:t xml:space="preserve">In patients with advanced disease, those with sufficient tissue receive testing. Currently, single-gene test methods are used, whereas in the intervention arm, small gene panel testing is proposed. More detail on the circumstances of use of current and proposed testing is provided in Section 3.2.3. In patients who have an actionable </w:t>
      </w:r>
      <w:r w:rsidRPr="009C29FC">
        <w:rPr>
          <w:i/>
        </w:rPr>
        <w:t>EGFR</w:t>
      </w:r>
      <w:r>
        <w:t xml:space="preserve">, </w:t>
      </w:r>
      <w:r w:rsidRPr="009C29FC">
        <w:rPr>
          <w:i/>
        </w:rPr>
        <w:t>ALK</w:t>
      </w:r>
      <w:r>
        <w:t xml:space="preserve">, </w:t>
      </w:r>
      <w:r w:rsidRPr="009C29FC">
        <w:rPr>
          <w:i/>
        </w:rPr>
        <w:t xml:space="preserve">ROS1 </w:t>
      </w:r>
      <w:r>
        <w:t xml:space="preserve">or </w:t>
      </w:r>
      <w:r w:rsidRPr="009C29FC">
        <w:rPr>
          <w:i/>
        </w:rPr>
        <w:t>MET</w:t>
      </w:r>
      <w:r>
        <w:t>ex14sk variant, this will be identified or not, based on the performance of the respective test strategies and by type of variant (common or uncommon). Uncommon variants that are identified through small gene panel testing methods alone are not assumed to be identified using current test methods. On identification of an actionable variant, patients are assumed to be eligible for targeted therapy. Where an actionable variant is not identified by testing, patients are not eligible for targeted therapy, and would receive SoC treatment.</w:t>
      </w:r>
    </w:p>
    <w:p w14:paraId="330D4C39" w14:textId="66356A72" w:rsidR="004E63D6" w:rsidRDefault="004E63D6" w:rsidP="004E63D6">
      <w:pPr>
        <w:pStyle w:val="NormalBeforeBullet"/>
      </w:pPr>
      <w:r>
        <w:t>Where patients have insufficient tissue (quantity or quality), a rebiopsy may be required. Where a rebiopsy successfully retrieves adequate tissue, testing is performed as described above. However</w:t>
      </w:r>
      <w:r w:rsidR="0056644A">
        <w:t>,</w:t>
      </w:r>
      <w:r>
        <w:t xml:space="preserve"> if rebiopsy is unsuccessful or if the patient is unable to tolerate a rebiopsy, patients would not be eligible for targeted therapy</w:t>
      </w:r>
      <w:r w:rsidR="003C1E4B">
        <w:t xml:space="preserve"> (where a target could have been identified)</w:t>
      </w:r>
      <w:r>
        <w:t xml:space="preserve">. </w:t>
      </w:r>
    </w:p>
    <w:p w14:paraId="2031E5E0" w14:textId="77777777" w:rsidR="004E63D6" w:rsidRDefault="004E63D6" w:rsidP="004E63D6">
      <w:pPr>
        <w:pStyle w:val="NormalBeforeBullet"/>
      </w:pPr>
      <w:r>
        <w:lastRenderedPageBreak/>
        <w:t>This is similarly the case for patients tested at an early stage of disease who do not progress. Patients with sufficient tissue receive testing, and depending on the tests performed, performance of testing and type of actionable variant, biomarker status may or may not be revealed. However, regardless of underlying biomarker status and whether this is identified or not, as patients do not develop advanced disease, they do not require, and so are not eligible for, targeted therapy. Where these patients have insufficient tissue available, a rebiopsy is not assumed to occur (i.e. is assumed to occur on development of advanced disease, which they do not experience).</w:t>
      </w:r>
    </w:p>
    <w:p w14:paraId="354C7A92" w14:textId="77777777" w:rsidR="004E63D6" w:rsidRDefault="004E63D6" w:rsidP="004E63D6">
      <w:pPr>
        <w:pStyle w:val="NormalBeforeBullet"/>
      </w:pPr>
    </w:p>
    <w:p w14:paraId="520715B8" w14:textId="77777777" w:rsidR="004E63D6" w:rsidRDefault="004E63D6" w:rsidP="004E63D6">
      <w:pPr>
        <w:pStyle w:val="NormalBeforeBullet"/>
      </w:pPr>
      <w:r>
        <w:t xml:space="preserve">As described in Section 3.1, given the considerable uncertainty associated with modelling the costs and outcomes related to changes in treatment, the model presented will truncate at the point of treatment. </w:t>
      </w:r>
    </w:p>
    <w:p w14:paraId="74D91626" w14:textId="77777777" w:rsidR="004E63D6" w:rsidRDefault="004E63D6" w:rsidP="004E63D6">
      <w:pPr>
        <w:pStyle w:val="NormalBeforeBullet"/>
      </w:pPr>
    </w:p>
    <w:p w14:paraId="473395A2" w14:textId="77777777" w:rsidR="004E63D6" w:rsidRPr="00D70F6A" w:rsidRDefault="004E63D6" w:rsidP="004E63D6">
      <w:pPr>
        <w:pStyle w:val="NormalBeforeBullet"/>
        <w:rPr>
          <w:u w:val="single"/>
        </w:rPr>
      </w:pPr>
      <w:r w:rsidRPr="00D70F6A">
        <w:rPr>
          <w:u w:val="single"/>
        </w:rPr>
        <w:t>Structural assumptions</w:t>
      </w:r>
    </w:p>
    <w:p w14:paraId="21003C00" w14:textId="77777777" w:rsidR="004E63D6" w:rsidRDefault="004E63D6" w:rsidP="004E63D6">
      <w:pPr>
        <w:pStyle w:val="NormalBeforeBullet"/>
      </w:pPr>
      <w:r>
        <w:t>Assumptions incorporated into the structure of the model are that:</w:t>
      </w:r>
    </w:p>
    <w:p w14:paraId="210A7ECE" w14:textId="77777777" w:rsidR="004E63D6" w:rsidRDefault="004E63D6" w:rsidP="004E63D6">
      <w:pPr>
        <w:pStyle w:val="NormalBeforeBullet"/>
        <w:numPr>
          <w:ilvl w:val="0"/>
          <w:numId w:val="33"/>
        </w:numPr>
      </w:pPr>
      <w:r>
        <w:t>Variants are mutually exclusive;</w:t>
      </w:r>
    </w:p>
    <w:p w14:paraId="2AAF5E28" w14:textId="2A4183FD" w:rsidR="004E63D6" w:rsidRDefault="006B07E0" w:rsidP="004E63D6">
      <w:pPr>
        <w:pStyle w:val="NormalBeforeBullet"/>
        <w:numPr>
          <w:ilvl w:val="0"/>
          <w:numId w:val="33"/>
        </w:numPr>
      </w:pPr>
      <w:r>
        <w:t xml:space="preserve">Incremental </w:t>
      </w:r>
      <w:r w:rsidR="004E63D6">
        <w:t>variants cannot be identified by current testing;</w:t>
      </w:r>
    </w:p>
    <w:p w14:paraId="24BBFCA6" w14:textId="7058784C" w:rsidR="004E63D6" w:rsidRDefault="004E63D6" w:rsidP="004E63D6">
      <w:pPr>
        <w:pStyle w:val="NormalBeforeBullet"/>
        <w:numPr>
          <w:ilvl w:val="0"/>
          <w:numId w:val="33"/>
        </w:numPr>
      </w:pPr>
      <w:r>
        <w:t>Patients tested at early stage of disease and who have insufficient tissue available for testing would only receive a rebiopsy on development of advanced disease. Therefore</w:t>
      </w:r>
      <w:r w:rsidR="0056644A">
        <w:t>,</w:t>
      </w:r>
      <w:r>
        <w:t xml:space="preserve"> rebiopsies are not assumed in those who do not progress to advanced disease.</w:t>
      </w:r>
    </w:p>
    <w:p w14:paraId="5AD83728" w14:textId="77777777" w:rsidR="004E63D6" w:rsidRDefault="004E63D6" w:rsidP="004E63D6">
      <w:pPr>
        <w:pStyle w:val="NormalBeforeBullet"/>
      </w:pPr>
    </w:p>
    <w:p w14:paraId="33C8E4FB" w14:textId="77777777" w:rsidR="004E63D6" w:rsidRDefault="004E63D6" w:rsidP="004E63D6">
      <w:pPr>
        <w:pStyle w:val="NormalBeforeBullet"/>
        <w:sectPr w:rsidR="004E63D6" w:rsidSect="00BC6897">
          <w:pgSz w:w="11906" w:h="16838"/>
          <w:pgMar w:top="1440" w:right="1440" w:bottom="1440" w:left="1440" w:header="708" w:footer="708" w:gutter="0"/>
          <w:cols w:space="708"/>
          <w:docGrid w:linePitch="360"/>
        </w:sectPr>
      </w:pPr>
    </w:p>
    <w:p w14:paraId="3D0536CB" w14:textId="025620C5" w:rsidR="004E63D6" w:rsidRDefault="004E63D6" w:rsidP="004E63D6">
      <w:pPr>
        <w:pStyle w:val="Caption"/>
      </w:pPr>
      <w:bookmarkStart w:id="156" w:name="_Ref108347380"/>
      <w:r>
        <w:lastRenderedPageBreak/>
        <w:t>Figure </w:t>
      </w:r>
      <w:fldSimple w:instr=" SEQ Figure \* ARABIC ">
        <w:r w:rsidR="00C857F3">
          <w:rPr>
            <w:noProof/>
          </w:rPr>
          <w:t>17</w:t>
        </w:r>
      </w:fldSimple>
      <w:bookmarkEnd w:id="156"/>
      <w:r>
        <w:tab/>
        <w:t>Depiction of the model structure</w:t>
      </w:r>
    </w:p>
    <w:p w14:paraId="0C13D9C6" w14:textId="7858754F" w:rsidR="004E63D6" w:rsidRDefault="006B07E0" w:rsidP="004E63D6">
      <w:pPr>
        <w:pStyle w:val="NormalBeforeBullet"/>
      </w:pPr>
      <w:r>
        <w:rPr>
          <w:noProof/>
          <w:lang w:eastAsia="en-AU"/>
        </w:rPr>
        <w:drawing>
          <wp:inline distT="0" distB="0" distL="0" distR="0" wp14:anchorId="7499453E" wp14:editId="5463A2C0">
            <wp:extent cx="8863330" cy="5064125"/>
            <wp:effectExtent l="0" t="0" r="0" b="3175"/>
            <wp:docPr id="31" name="Picture 31" descr="Depiction of the model structure" title="Depiction of the mod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863330" cy="5064125"/>
                    </a:xfrm>
                    <a:prstGeom prst="rect">
                      <a:avLst/>
                    </a:prstGeom>
                  </pic:spPr>
                </pic:pic>
              </a:graphicData>
            </a:graphic>
          </wp:inline>
        </w:drawing>
      </w:r>
    </w:p>
    <w:p w14:paraId="7096341A" w14:textId="77777777" w:rsidR="004E63D6" w:rsidRDefault="004E63D6" w:rsidP="004E63D6">
      <w:pPr>
        <w:pStyle w:val="TableFooter"/>
      </w:pPr>
      <w:r>
        <w:t>NOS = not otherwise specified; NSCLC = non-small cell lung cancer.</w:t>
      </w:r>
    </w:p>
    <w:p w14:paraId="4D59CBF8" w14:textId="77777777" w:rsidR="004E63D6" w:rsidRDefault="004E63D6" w:rsidP="004E63D6">
      <w:pPr>
        <w:pStyle w:val="NormalBeforeBullet"/>
        <w:rPr>
          <w:u w:val="single"/>
        </w:rPr>
        <w:sectPr w:rsidR="004E63D6" w:rsidSect="003515CE">
          <w:pgSz w:w="16838" w:h="11906" w:orient="landscape"/>
          <w:pgMar w:top="1440" w:right="1440" w:bottom="1440" w:left="1440" w:header="708" w:footer="708" w:gutter="0"/>
          <w:cols w:space="708"/>
          <w:docGrid w:linePitch="360"/>
        </w:sectPr>
      </w:pPr>
    </w:p>
    <w:p w14:paraId="08F2D31F" w14:textId="77777777" w:rsidR="004E63D6" w:rsidRPr="00CE28E3" w:rsidRDefault="004E63D6" w:rsidP="004E63D6">
      <w:pPr>
        <w:pStyle w:val="Heading4"/>
      </w:pPr>
      <w:bookmarkStart w:id="157" w:name="_Toc54940839"/>
      <w:r w:rsidRPr="00CE28E3">
        <w:lastRenderedPageBreak/>
        <w:t>Input data</w:t>
      </w:r>
      <w:bookmarkEnd w:id="157"/>
    </w:p>
    <w:p w14:paraId="669A008F" w14:textId="5328DC1C" w:rsidR="004E63D6" w:rsidRPr="001C7B83" w:rsidRDefault="004E63D6" w:rsidP="004E63D6">
      <w:pPr>
        <w:pStyle w:val="NormalBeforeBullet"/>
      </w:pPr>
      <w:r>
        <w:t xml:space="preserve">A high level summary of the sources of data used in the analysis is presented in </w:t>
      </w:r>
      <w:r>
        <w:fldChar w:fldCharType="begin"/>
      </w:r>
      <w:r>
        <w:instrText xml:space="preserve"> REF _Ref69728323 \h </w:instrText>
      </w:r>
      <w:r>
        <w:fldChar w:fldCharType="separate"/>
      </w:r>
      <w:r w:rsidR="00C857F3" w:rsidRPr="00CE28E3">
        <w:t>Table</w:t>
      </w:r>
      <w:r w:rsidR="00C857F3">
        <w:t> </w:t>
      </w:r>
      <w:r w:rsidR="00C857F3">
        <w:rPr>
          <w:noProof/>
        </w:rPr>
        <w:t>45</w:t>
      </w:r>
      <w:r>
        <w:fldChar w:fldCharType="end"/>
      </w:r>
      <w:r>
        <w:t xml:space="preserve">. </w:t>
      </w:r>
    </w:p>
    <w:p w14:paraId="3D1465E9" w14:textId="537768CD" w:rsidR="004E63D6" w:rsidRPr="00CE28E3" w:rsidRDefault="004E63D6" w:rsidP="004E63D6">
      <w:pPr>
        <w:pStyle w:val="Caption"/>
      </w:pPr>
      <w:bookmarkStart w:id="158" w:name="_Ref69728323"/>
      <w:r w:rsidRPr="00CE28E3">
        <w:t>Table</w:t>
      </w:r>
      <w:r>
        <w:t> </w:t>
      </w:r>
      <w:fldSimple w:instr=" SEQ Table \* ARABIC ">
        <w:r w:rsidR="00C857F3">
          <w:rPr>
            <w:noProof/>
          </w:rPr>
          <w:t>45</w:t>
        </w:r>
      </w:fldSimple>
      <w:bookmarkEnd w:id="158"/>
      <w:r w:rsidRPr="00CE28E3">
        <w:tab/>
        <w:t xml:space="preserve">Summary of the inputs used in the economic evaluation </w:t>
      </w:r>
    </w:p>
    <w:tbl>
      <w:tblPr>
        <w:tblStyle w:val="TableGrid1"/>
        <w:tblW w:w="0" w:type="auto"/>
        <w:tblLook w:val="04A0" w:firstRow="1" w:lastRow="0" w:firstColumn="1" w:lastColumn="0" w:noHBand="0" w:noVBand="1"/>
        <w:tblCaption w:val="Summary of the inputs used in the economic evaluation "/>
        <w:tblDescription w:val="Summary of the inputs used in the economic evaluation "/>
      </w:tblPr>
      <w:tblGrid>
        <w:gridCol w:w="2830"/>
        <w:gridCol w:w="1701"/>
        <w:gridCol w:w="4485"/>
      </w:tblGrid>
      <w:tr w:rsidR="004E63D6" w:rsidRPr="00CE28E3" w14:paraId="5D976319"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2830" w:type="dxa"/>
            <w:tcBorders>
              <w:bottom w:val="single" w:sz="4" w:space="0" w:color="auto"/>
            </w:tcBorders>
          </w:tcPr>
          <w:p w14:paraId="52966E11" w14:textId="77777777" w:rsidR="004E63D6" w:rsidRPr="00CE28E3" w:rsidRDefault="004E63D6" w:rsidP="00CA410A">
            <w:pPr>
              <w:pStyle w:val="TableHeading"/>
            </w:pPr>
            <w:bookmarkStart w:id="159" w:name="ColumnTitle_Table33"/>
            <w:r w:rsidRPr="00CE28E3">
              <w:t>Parameter</w:t>
            </w:r>
          </w:p>
        </w:tc>
        <w:tc>
          <w:tcPr>
            <w:tcW w:w="1701" w:type="dxa"/>
            <w:tcBorders>
              <w:bottom w:val="single" w:sz="4" w:space="0" w:color="auto"/>
            </w:tcBorders>
          </w:tcPr>
          <w:p w14:paraId="70095485" w14:textId="77777777" w:rsidR="004E63D6" w:rsidRPr="00CE28E3" w:rsidRDefault="004E63D6" w:rsidP="00CA410A">
            <w:pPr>
              <w:pStyle w:val="TableHeading"/>
            </w:pPr>
            <w:r w:rsidRPr="00CE28E3">
              <w:t>Value</w:t>
            </w:r>
          </w:p>
        </w:tc>
        <w:tc>
          <w:tcPr>
            <w:tcW w:w="4485" w:type="dxa"/>
            <w:tcBorders>
              <w:bottom w:val="single" w:sz="4" w:space="0" w:color="auto"/>
            </w:tcBorders>
          </w:tcPr>
          <w:p w14:paraId="30FC640F" w14:textId="77777777" w:rsidR="004E63D6" w:rsidRPr="00CE28E3" w:rsidRDefault="004E63D6" w:rsidP="00CA410A">
            <w:pPr>
              <w:pStyle w:val="TableHeading"/>
            </w:pPr>
            <w:r w:rsidRPr="00CE28E3">
              <w:t>Source</w:t>
            </w:r>
          </w:p>
        </w:tc>
      </w:tr>
      <w:tr w:rsidR="004E63D6" w:rsidRPr="00CE28E3" w14:paraId="2EBAE3EE" w14:textId="77777777" w:rsidTr="00CA410A">
        <w:tc>
          <w:tcPr>
            <w:tcW w:w="2830" w:type="dxa"/>
            <w:tcBorders>
              <w:bottom w:val="single" w:sz="4" w:space="0" w:color="auto"/>
            </w:tcBorders>
          </w:tcPr>
          <w:p w14:paraId="13C19325" w14:textId="77777777" w:rsidR="004E63D6" w:rsidRPr="00CE28E3" w:rsidRDefault="004E63D6" w:rsidP="00CA410A">
            <w:pPr>
              <w:pStyle w:val="TableText"/>
            </w:pPr>
            <w:r>
              <w:t>Proportion with advanced disease at diagnosis</w:t>
            </w:r>
          </w:p>
        </w:tc>
        <w:tc>
          <w:tcPr>
            <w:tcW w:w="1701" w:type="dxa"/>
            <w:tcBorders>
              <w:bottom w:val="single" w:sz="4" w:space="0" w:color="auto"/>
            </w:tcBorders>
          </w:tcPr>
          <w:p w14:paraId="0436BCD9" w14:textId="77777777" w:rsidR="004E63D6" w:rsidRPr="00CE28E3" w:rsidRDefault="004E63D6" w:rsidP="00CA410A">
            <w:pPr>
              <w:pStyle w:val="TableText"/>
            </w:pPr>
            <w:r>
              <w:t>65.5%</w:t>
            </w:r>
          </w:p>
        </w:tc>
        <w:tc>
          <w:tcPr>
            <w:tcW w:w="4485" w:type="dxa"/>
            <w:tcBorders>
              <w:bottom w:val="single" w:sz="4" w:space="0" w:color="auto"/>
            </w:tcBorders>
          </w:tcPr>
          <w:p w14:paraId="42F79278" w14:textId="77777777" w:rsidR="004E63D6" w:rsidRPr="00CE28E3" w:rsidRDefault="004E63D6" w:rsidP="00CA410A">
            <w:pPr>
              <w:pStyle w:val="TableText"/>
            </w:pPr>
            <w:r>
              <w:t xml:space="preserve">Mitchell et al. </w:t>
            </w:r>
            <w:r>
              <w:fldChar w:fldCharType="begin">
                <w:fldData xml:space="preserve">PEVuZE5vdGU+PENpdGUgRXhjbHVkZUF1dGg9IjEiPjxBdXRob3I+TWl0Y2hlbGw8L0F1dGhvcj48
WWVhcj4yMDEzPC9ZZWFyPjxSZWNOdW0+MjAxPC9SZWNOdW0+PElEVGV4dD42NzQtOTwvSURUZXh0
PjxEaXNwbGF5VGV4dD4oMjAxMyk8L0Rpc3BsYXlUZXh0PjxyZWNvcmQ+PHJlYy1udW1iZXI+MjAx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 </w:instrText>
            </w:r>
            <w:r>
              <w:fldChar w:fldCharType="begin">
                <w:fldData xml:space="preserve">PEVuZE5vdGU+PENpdGUgRXhjbHVkZUF1dGg9IjEiPjxBdXRob3I+TWl0Y2hlbGw8L0F1dGhvcj48
WWVhcj4yMDEzPC9ZZWFyPjxSZWNOdW0+MjAxPC9SZWNOdW0+PElEVGV4dD42NzQtOTwvSURUZXh0
PjxEaXNwbGF5VGV4dD4oMjAxMyk8L0Rpc3BsYXlUZXh0PjxyZWNvcmQ+PHJlYy1udW1iZXI+MjAx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EN.CITE.DATA </w:instrText>
            </w:r>
            <w:r>
              <w:fldChar w:fldCharType="end"/>
            </w:r>
            <w:r>
              <w:fldChar w:fldCharType="separate"/>
            </w:r>
            <w:r>
              <w:rPr>
                <w:noProof/>
              </w:rPr>
              <w:t>(2013)</w:t>
            </w:r>
            <w:r>
              <w:fldChar w:fldCharType="end"/>
            </w:r>
          </w:p>
        </w:tc>
      </w:tr>
      <w:tr w:rsidR="004E63D6" w:rsidRPr="00CE28E3" w14:paraId="11DCDB76" w14:textId="77777777" w:rsidTr="00CA410A">
        <w:tc>
          <w:tcPr>
            <w:tcW w:w="2830" w:type="dxa"/>
            <w:tcBorders>
              <w:bottom w:val="single" w:sz="4" w:space="0" w:color="auto"/>
            </w:tcBorders>
          </w:tcPr>
          <w:p w14:paraId="52C6EF3C" w14:textId="77777777" w:rsidR="004E63D6" w:rsidRPr="00CE28E3" w:rsidRDefault="004E63D6" w:rsidP="00CA410A">
            <w:pPr>
              <w:pStyle w:val="TableText"/>
            </w:pPr>
            <w:r>
              <w:t>Proportion who progress from early stage disease to advanced disease</w:t>
            </w:r>
          </w:p>
        </w:tc>
        <w:tc>
          <w:tcPr>
            <w:tcW w:w="1701" w:type="dxa"/>
            <w:tcBorders>
              <w:bottom w:val="single" w:sz="4" w:space="0" w:color="auto"/>
            </w:tcBorders>
          </w:tcPr>
          <w:p w14:paraId="34D4BF78" w14:textId="77777777" w:rsidR="004E63D6" w:rsidRPr="00CE28E3" w:rsidRDefault="004E63D6" w:rsidP="00CA410A">
            <w:pPr>
              <w:pStyle w:val="TableText"/>
            </w:pPr>
            <w:r>
              <w:t>30%</w:t>
            </w:r>
          </w:p>
        </w:tc>
        <w:tc>
          <w:tcPr>
            <w:tcW w:w="4485" w:type="dxa"/>
            <w:tcBorders>
              <w:bottom w:val="single" w:sz="4" w:space="0" w:color="auto"/>
            </w:tcBorders>
          </w:tcPr>
          <w:p w14:paraId="60C21CEF" w14:textId="77777777" w:rsidR="004E63D6" w:rsidRPr="00CE28E3" w:rsidRDefault="004E63D6" w:rsidP="00CA410A">
            <w:pPr>
              <w:pStyle w:val="TableText"/>
            </w:pPr>
            <w:r>
              <w:t>DUSC report on erlotinib and gefitinib (2017)</w:t>
            </w:r>
          </w:p>
        </w:tc>
      </w:tr>
      <w:bookmarkEnd w:id="159"/>
      <w:tr w:rsidR="004E63D6" w:rsidRPr="00CE28E3" w14:paraId="3F90427A" w14:textId="77777777" w:rsidTr="00CA410A">
        <w:tc>
          <w:tcPr>
            <w:tcW w:w="2830" w:type="dxa"/>
            <w:tcBorders>
              <w:bottom w:val="single" w:sz="4" w:space="0" w:color="auto"/>
            </w:tcBorders>
          </w:tcPr>
          <w:p w14:paraId="60DC0127" w14:textId="77777777" w:rsidR="004E63D6" w:rsidRPr="00CE28E3" w:rsidRDefault="004E63D6" w:rsidP="00CA410A">
            <w:pPr>
              <w:pStyle w:val="TableText"/>
            </w:pPr>
            <w:r>
              <w:t>Test success rates</w:t>
            </w:r>
          </w:p>
        </w:tc>
        <w:tc>
          <w:tcPr>
            <w:tcW w:w="1701" w:type="dxa"/>
            <w:tcBorders>
              <w:bottom w:val="single" w:sz="4" w:space="0" w:color="auto"/>
            </w:tcBorders>
          </w:tcPr>
          <w:p w14:paraId="7325135A" w14:textId="77777777" w:rsidR="004E63D6" w:rsidRDefault="004E63D6" w:rsidP="00CA410A">
            <w:pPr>
              <w:pStyle w:val="TableText"/>
            </w:pPr>
            <w:r>
              <w:t>Current: 94.6%</w:t>
            </w:r>
          </w:p>
          <w:p w14:paraId="706449E5" w14:textId="77777777" w:rsidR="004E63D6" w:rsidRPr="00CE28E3" w:rsidRDefault="004E63D6" w:rsidP="00CA410A">
            <w:pPr>
              <w:pStyle w:val="TableText"/>
            </w:pPr>
            <w:r>
              <w:t>Proposed: 97.2%</w:t>
            </w:r>
          </w:p>
        </w:tc>
        <w:tc>
          <w:tcPr>
            <w:tcW w:w="4485" w:type="dxa"/>
            <w:tcBorders>
              <w:bottom w:val="single" w:sz="4" w:space="0" w:color="auto"/>
            </w:tcBorders>
          </w:tcPr>
          <w:p w14:paraId="5273CD1A" w14:textId="21A41B30" w:rsidR="004E63D6" w:rsidRPr="00CE28E3" w:rsidRDefault="004E63D6" w:rsidP="00C873A3">
            <w:pPr>
              <w:pStyle w:val="TableText"/>
            </w:pPr>
            <w:r>
              <w:t xml:space="preserve">Steeghs et al. </w: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rsidR="00C873A3">
              <w:instrText xml:space="preserve"> ADDIN EN.CITE </w:instrText>
            </w:r>
            <w:r w:rsidR="00C873A3">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rsidR="00C873A3">
              <w:instrText xml:space="preserve"> ADDIN EN.CITE.DATA </w:instrText>
            </w:r>
            <w:r w:rsidR="00C873A3">
              <w:fldChar w:fldCharType="end"/>
            </w:r>
            <w:r>
              <w:fldChar w:fldCharType="separate"/>
            </w:r>
            <w:r w:rsidR="00C873A3">
              <w:rPr>
                <w:noProof/>
              </w:rPr>
              <w:t>(2022)</w:t>
            </w:r>
            <w:r>
              <w:fldChar w:fldCharType="end"/>
            </w:r>
            <w:r>
              <w:t xml:space="preserve"> identified from the system</w:t>
            </w:r>
            <w:r w:rsidR="0056644A">
              <w:t>atic</w:t>
            </w:r>
            <w:r>
              <w:t xml:space="preserve"> review conducted in Section 2</w:t>
            </w:r>
          </w:p>
        </w:tc>
      </w:tr>
      <w:tr w:rsidR="004E63D6" w:rsidRPr="00CE28E3" w14:paraId="41D6F4C3" w14:textId="77777777" w:rsidTr="00CA410A">
        <w:tc>
          <w:tcPr>
            <w:tcW w:w="2830" w:type="dxa"/>
          </w:tcPr>
          <w:p w14:paraId="1C53089B" w14:textId="77777777" w:rsidR="004E63D6" w:rsidRDefault="004E63D6" w:rsidP="00CA410A">
            <w:pPr>
              <w:pStyle w:val="TableText"/>
            </w:pPr>
            <w:r>
              <w:t>Prevalence of actionable variants using current testing</w:t>
            </w:r>
          </w:p>
        </w:tc>
        <w:tc>
          <w:tcPr>
            <w:tcW w:w="1701" w:type="dxa"/>
          </w:tcPr>
          <w:p w14:paraId="387DE452" w14:textId="77777777" w:rsidR="004E63D6" w:rsidRDefault="004E63D6" w:rsidP="00CA410A">
            <w:pPr>
              <w:pStyle w:val="TableText"/>
            </w:pPr>
            <w:r w:rsidRPr="00982D09">
              <w:rPr>
                <w:i/>
              </w:rPr>
              <w:t>EGFR</w:t>
            </w:r>
            <w:r>
              <w:t>: 15%</w:t>
            </w:r>
          </w:p>
          <w:p w14:paraId="50ACF89A" w14:textId="77777777" w:rsidR="004E63D6" w:rsidRDefault="004E63D6" w:rsidP="00CA410A">
            <w:pPr>
              <w:pStyle w:val="TableText"/>
            </w:pPr>
            <w:r w:rsidRPr="00982D09">
              <w:rPr>
                <w:i/>
              </w:rPr>
              <w:t>ALK</w:t>
            </w:r>
            <w:r>
              <w:t>: 3.0%</w:t>
            </w:r>
          </w:p>
          <w:p w14:paraId="16CA0B7B" w14:textId="77777777" w:rsidR="004E63D6" w:rsidRDefault="004E63D6" w:rsidP="00CA410A">
            <w:pPr>
              <w:pStyle w:val="TableText"/>
            </w:pPr>
            <w:r w:rsidRPr="00982D09">
              <w:rPr>
                <w:i/>
              </w:rPr>
              <w:t>ROS1</w:t>
            </w:r>
            <w:r>
              <w:t>: 1.61%</w:t>
            </w:r>
          </w:p>
          <w:p w14:paraId="602737DC" w14:textId="77777777" w:rsidR="004E63D6" w:rsidRPr="00CE28E3" w:rsidRDefault="004E63D6" w:rsidP="00CA410A">
            <w:pPr>
              <w:pStyle w:val="TableText"/>
            </w:pPr>
            <w:r w:rsidRPr="00982D09">
              <w:rPr>
                <w:i/>
              </w:rPr>
              <w:t>MET</w:t>
            </w:r>
            <w:r>
              <w:t>ex14sk: 3.6%</w:t>
            </w:r>
          </w:p>
        </w:tc>
        <w:tc>
          <w:tcPr>
            <w:tcW w:w="4485" w:type="dxa"/>
          </w:tcPr>
          <w:p w14:paraId="5B96EC61" w14:textId="77777777" w:rsidR="004E63D6" w:rsidRDefault="004E63D6" w:rsidP="00CA410A">
            <w:pPr>
              <w:pStyle w:val="TableText"/>
            </w:pPr>
            <w:r>
              <w:t>MSAC 1161 PSD (p18), November 2012</w:t>
            </w:r>
          </w:p>
          <w:p w14:paraId="47F72FF0" w14:textId="77777777" w:rsidR="004E63D6" w:rsidRDefault="004E63D6" w:rsidP="00CA410A">
            <w:pPr>
              <w:pStyle w:val="TableText"/>
            </w:pPr>
            <w:r>
              <w:t>MSAC 1250.1 PSD (p5), November 2014</w:t>
            </w:r>
          </w:p>
          <w:p w14:paraId="70F6D6D6" w14:textId="77777777" w:rsidR="004E63D6" w:rsidRDefault="004E63D6" w:rsidP="00CA410A">
            <w:pPr>
              <w:pStyle w:val="TableText"/>
            </w:pPr>
            <w:r>
              <w:t>MSAC 1254 PSD (p12), July 2018</w:t>
            </w:r>
          </w:p>
          <w:p w14:paraId="489CC8FA" w14:textId="77777777" w:rsidR="004E63D6" w:rsidRPr="00CE28E3" w:rsidRDefault="004E63D6" w:rsidP="00CA410A">
            <w:pPr>
              <w:pStyle w:val="TableText"/>
            </w:pPr>
            <w:r>
              <w:t>Tepotinib PBAC PSD (Table 11, p27), November 2021</w:t>
            </w:r>
          </w:p>
        </w:tc>
      </w:tr>
      <w:tr w:rsidR="004E63D6" w:rsidRPr="00CE28E3" w14:paraId="47D8705A" w14:textId="77777777" w:rsidTr="00CA410A">
        <w:tc>
          <w:tcPr>
            <w:tcW w:w="2830" w:type="dxa"/>
            <w:tcBorders>
              <w:bottom w:val="single" w:sz="4" w:space="0" w:color="auto"/>
            </w:tcBorders>
          </w:tcPr>
          <w:p w14:paraId="6E78C3CA" w14:textId="77777777" w:rsidR="004E63D6" w:rsidRPr="00CE28E3" w:rsidRDefault="004E63D6" w:rsidP="00CA410A">
            <w:pPr>
              <w:pStyle w:val="TableText"/>
            </w:pPr>
            <w:r>
              <w:t>NGS test concordance</w:t>
            </w:r>
          </w:p>
        </w:tc>
        <w:tc>
          <w:tcPr>
            <w:tcW w:w="1701" w:type="dxa"/>
            <w:tcBorders>
              <w:bottom w:val="single" w:sz="4" w:space="0" w:color="auto"/>
            </w:tcBorders>
          </w:tcPr>
          <w:p w14:paraId="29FC0C41" w14:textId="0481F7FC" w:rsidR="004E63D6" w:rsidRPr="00CE28E3" w:rsidRDefault="004E63D6" w:rsidP="00CA410A">
            <w:pPr>
              <w:pStyle w:val="TableText"/>
            </w:pPr>
            <w:r>
              <w:rPr>
                <w:highlight w:val="yellow"/>
              </w:rPr>
              <w:fldChar w:fldCharType="begin"/>
            </w:r>
            <w:r>
              <w:instrText xml:space="preserve"> REF _Ref108626509 \h </w:instrText>
            </w:r>
            <w:r>
              <w:rPr>
                <w:highlight w:val="yellow"/>
              </w:rPr>
            </w:r>
            <w:r>
              <w:rPr>
                <w:highlight w:val="yellow"/>
              </w:rPr>
              <w:fldChar w:fldCharType="separate"/>
            </w:r>
            <w:r w:rsidR="00C857F3">
              <w:t xml:space="preserve">Table </w:t>
            </w:r>
            <w:r w:rsidR="00C857F3">
              <w:rPr>
                <w:noProof/>
              </w:rPr>
              <w:t>30</w:t>
            </w:r>
            <w:r>
              <w:rPr>
                <w:highlight w:val="yellow"/>
              </w:rPr>
              <w:fldChar w:fldCharType="end"/>
            </w:r>
            <w:r>
              <w:t>, Section 2</w:t>
            </w:r>
          </w:p>
        </w:tc>
        <w:tc>
          <w:tcPr>
            <w:tcW w:w="4485" w:type="dxa"/>
            <w:tcBorders>
              <w:bottom w:val="single" w:sz="4" w:space="0" w:color="auto"/>
            </w:tcBorders>
          </w:tcPr>
          <w:p w14:paraId="456ED46F" w14:textId="3B0052B4" w:rsidR="004E63D6" w:rsidRPr="00CE28E3" w:rsidRDefault="004E63D6" w:rsidP="00D74008">
            <w:pPr>
              <w:pStyle w:val="TableText"/>
            </w:pPr>
            <w:r>
              <w:t>Meta-analysis conducted in Section 2</w:t>
            </w:r>
            <w:r w:rsidR="00684C2A">
              <w:t xml:space="preserve">. However, given differences between the comparator used for </w:t>
            </w:r>
            <w:r w:rsidR="00684C2A" w:rsidRPr="00EF55F9">
              <w:rPr>
                <w:i/>
              </w:rPr>
              <w:t>ALK</w:t>
            </w:r>
            <w:r w:rsidR="00684C2A">
              <w:t xml:space="preserve"> concordance in the meta-analysis, the data most aligned with the clinical utility standard w</w:t>
            </w:r>
            <w:r w:rsidR="00D74008">
              <w:t>ere</w:t>
            </w:r>
            <w:r w:rsidR="00684C2A">
              <w:t xml:space="preserve"> used in the base economic analysis (see Section 3.2.3 for further detail).</w:t>
            </w:r>
          </w:p>
        </w:tc>
      </w:tr>
      <w:tr w:rsidR="004E63D6" w:rsidRPr="00CE28E3" w14:paraId="792C4EA0" w14:textId="77777777" w:rsidTr="00CA410A">
        <w:tc>
          <w:tcPr>
            <w:tcW w:w="2830" w:type="dxa"/>
          </w:tcPr>
          <w:p w14:paraId="555B1837" w14:textId="77777777" w:rsidR="004E63D6" w:rsidRDefault="004E63D6" w:rsidP="00CA410A">
            <w:pPr>
              <w:pStyle w:val="TableText"/>
            </w:pPr>
            <w:r w:rsidRPr="00A75F36">
              <w:t>ALK</w:t>
            </w:r>
            <w:r>
              <w:t xml:space="preserve"> IHC test performance</w:t>
            </w:r>
          </w:p>
        </w:tc>
        <w:tc>
          <w:tcPr>
            <w:tcW w:w="1701" w:type="dxa"/>
          </w:tcPr>
          <w:p w14:paraId="22BCE8EC" w14:textId="77777777" w:rsidR="004E63D6" w:rsidRDefault="004E63D6" w:rsidP="00CA410A">
            <w:pPr>
              <w:pStyle w:val="TableText"/>
            </w:pPr>
            <w:r>
              <w:t>Sensitivity: 98.4%</w:t>
            </w:r>
          </w:p>
          <w:p w14:paraId="444071A3" w14:textId="77777777" w:rsidR="004E63D6" w:rsidRPr="00CE28E3" w:rsidRDefault="004E63D6" w:rsidP="00CA410A">
            <w:pPr>
              <w:pStyle w:val="TableText"/>
            </w:pPr>
            <w:r>
              <w:t>Specificity: 98.5%</w:t>
            </w:r>
          </w:p>
        </w:tc>
        <w:tc>
          <w:tcPr>
            <w:tcW w:w="4485" w:type="dxa"/>
          </w:tcPr>
          <w:p w14:paraId="77545420" w14:textId="77777777" w:rsidR="004E63D6" w:rsidRPr="00CE28E3" w:rsidRDefault="004E63D6" w:rsidP="00CA410A">
            <w:pPr>
              <w:pStyle w:val="TableText"/>
            </w:pPr>
            <w:r>
              <w:t>MSAC 1250 PSD (p7), November 2013</w:t>
            </w:r>
          </w:p>
        </w:tc>
      </w:tr>
      <w:tr w:rsidR="004E63D6" w:rsidRPr="00CE28E3" w14:paraId="2FA84515" w14:textId="77777777" w:rsidTr="00CA410A">
        <w:tc>
          <w:tcPr>
            <w:tcW w:w="2830" w:type="dxa"/>
            <w:tcBorders>
              <w:bottom w:val="single" w:sz="4" w:space="0" w:color="auto"/>
            </w:tcBorders>
          </w:tcPr>
          <w:p w14:paraId="33D14BD5" w14:textId="77777777" w:rsidR="004E63D6" w:rsidRDefault="004E63D6" w:rsidP="00CA410A">
            <w:pPr>
              <w:pStyle w:val="TableText"/>
            </w:pPr>
            <w:r w:rsidRPr="00A75F36">
              <w:t>ROS1</w:t>
            </w:r>
            <w:r>
              <w:t xml:space="preserve"> IHC test performance</w:t>
            </w:r>
          </w:p>
        </w:tc>
        <w:tc>
          <w:tcPr>
            <w:tcW w:w="1701" w:type="dxa"/>
            <w:tcBorders>
              <w:bottom w:val="single" w:sz="4" w:space="0" w:color="auto"/>
            </w:tcBorders>
          </w:tcPr>
          <w:p w14:paraId="7F570005" w14:textId="77777777" w:rsidR="004E63D6" w:rsidRDefault="004E63D6" w:rsidP="00CA410A">
            <w:pPr>
              <w:pStyle w:val="TableText"/>
            </w:pPr>
            <w:r>
              <w:t>Sensitivity: 95.1%</w:t>
            </w:r>
          </w:p>
          <w:p w14:paraId="47A8B142" w14:textId="77777777" w:rsidR="004E63D6" w:rsidRPr="00CE28E3" w:rsidRDefault="004E63D6" w:rsidP="00CA410A">
            <w:pPr>
              <w:pStyle w:val="TableText"/>
            </w:pPr>
            <w:r>
              <w:t>Specificity: 93.8%</w:t>
            </w:r>
          </w:p>
        </w:tc>
        <w:tc>
          <w:tcPr>
            <w:tcW w:w="4485" w:type="dxa"/>
            <w:tcBorders>
              <w:bottom w:val="single" w:sz="4" w:space="0" w:color="auto"/>
            </w:tcBorders>
          </w:tcPr>
          <w:p w14:paraId="2DA50B1E" w14:textId="77777777" w:rsidR="004E63D6" w:rsidRPr="00CE28E3" w:rsidRDefault="004E63D6" w:rsidP="00CA410A">
            <w:pPr>
              <w:pStyle w:val="TableText"/>
            </w:pPr>
            <w:r>
              <w:t>MSAC 1254 PSD (p12), July 2018</w:t>
            </w:r>
          </w:p>
        </w:tc>
      </w:tr>
      <w:tr w:rsidR="004E63D6" w:rsidRPr="00CE28E3" w14:paraId="5FBF8031" w14:textId="77777777" w:rsidTr="00CA410A">
        <w:tc>
          <w:tcPr>
            <w:tcW w:w="2830" w:type="dxa"/>
          </w:tcPr>
          <w:p w14:paraId="656EFF88" w14:textId="77777777" w:rsidR="004E63D6" w:rsidRPr="00180483" w:rsidRDefault="004E63D6" w:rsidP="00CA410A">
            <w:pPr>
              <w:pStyle w:val="TableText"/>
            </w:pPr>
            <w:r>
              <w:t>Proportion who uptake rebiopsy, if required</w:t>
            </w:r>
          </w:p>
        </w:tc>
        <w:tc>
          <w:tcPr>
            <w:tcW w:w="1701" w:type="dxa"/>
          </w:tcPr>
          <w:p w14:paraId="6E4DFA7E" w14:textId="77777777" w:rsidR="004E63D6" w:rsidRPr="00CE28E3" w:rsidRDefault="004E63D6" w:rsidP="00CA410A">
            <w:pPr>
              <w:pStyle w:val="TableText"/>
            </w:pPr>
            <w:r>
              <w:t>100%</w:t>
            </w:r>
          </w:p>
        </w:tc>
        <w:tc>
          <w:tcPr>
            <w:tcW w:w="4485" w:type="dxa"/>
          </w:tcPr>
          <w:p w14:paraId="408F97CE" w14:textId="77777777" w:rsidR="004E63D6" w:rsidRPr="00CE28E3" w:rsidRDefault="004E63D6" w:rsidP="00CA410A">
            <w:pPr>
              <w:pStyle w:val="TableText"/>
            </w:pPr>
            <w:r>
              <w:t>Assumption</w:t>
            </w:r>
          </w:p>
        </w:tc>
      </w:tr>
      <w:tr w:rsidR="004E63D6" w:rsidRPr="00CE28E3" w14:paraId="28EBBE00" w14:textId="77777777" w:rsidTr="00CA410A">
        <w:tc>
          <w:tcPr>
            <w:tcW w:w="2830" w:type="dxa"/>
          </w:tcPr>
          <w:p w14:paraId="50A5C725" w14:textId="77777777" w:rsidR="004E63D6" w:rsidRDefault="004E63D6" w:rsidP="00CA410A">
            <w:pPr>
              <w:pStyle w:val="TableText"/>
            </w:pPr>
            <w:r>
              <w:t>Rebiopsy failure rate</w:t>
            </w:r>
          </w:p>
        </w:tc>
        <w:tc>
          <w:tcPr>
            <w:tcW w:w="1701" w:type="dxa"/>
          </w:tcPr>
          <w:p w14:paraId="02D5AD23" w14:textId="77777777" w:rsidR="004E63D6" w:rsidRDefault="004E63D6" w:rsidP="00CA410A">
            <w:pPr>
              <w:pStyle w:val="TableText"/>
            </w:pPr>
            <w:r>
              <w:t>20%</w:t>
            </w:r>
          </w:p>
        </w:tc>
        <w:tc>
          <w:tcPr>
            <w:tcW w:w="4485" w:type="dxa"/>
          </w:tcPr>
          <w:p w14:paraId="5A5FD142" w14:textId="77777777" w:rsidR="004E63D6" w:rsidRDefault="004E63D6" w:rsidP="00CA410A">
            <w:pPr>
              <w:pStyle w:val="TableText"/>
            </w:pPr>
            <w:r>
              <w:t xml:space="preserve">Kelly et al. </w:t>
            </w:r>
            <w:r>
              <w:fldChar w:fldCharType="begin"/>
            </w:r>
            <w:r>
              <w:instrText xml:space="preserve"> ADDIN EN.CITE &lt;EndNote&gt;&lt;Cite ExcludeAuth="1"&gt;&lt;Author&gt;Kelly&lt;/Author&gt;&lt;Year&gt;2019&lt;/Year&gt;&lt;RecNum&gt;202&lt;/RecNum&gt;&lt;IDText&gt;e717-e727&lt;/IDText&gt;&lt;DisplayText&gt;(2019)&lt;/DisplayText&gt;&lt;record&gt;&lt;rec-number&gt;202&lt;/rec-number&gt;&lt;foreign-keys&gt;&lt;key app="EN" db-id="0tprsse9cpp5r3ea5dz5p0xw2pfwvwxpa5a5" timestamp="1657698762"&gt;202&lt;/key&gt;&lt;/foreign-keys&gt;&lt;ref-type name="Journal Article"&gt;17&lt;/ref-type&gt;&lt;contributors&gt;&lt;authors&gt;&lt;author&gt;Kelly, R. J.&lt;/author&gt;&lt;author&gt;Turner, R.&lt;/author&gt;&lt;author&gt;Chen, Y. W.&lt;/author&gt;&lt;author&gt;Rigas, J. R.&lt;/author&gt;&lt;author&gt;Fernandes, A. W.&lt;/author&gt;&lt;author&gt;Karve, S.&lt;/author&gt;&lt;/authors&gt;&lt;/contributors&gt;&lt;auth-address&gt;1Baylor Charles A. Sammons Cancer Center at Baylor University Medical Center, Dallas, TX.&amp;#xD;2Sidney Kimmel Comprehensive Cancer Center, The Johns Hopkins University, Baltimore, MD.&amp;#xD;3HealthCore, Wilmington, DE.&amp;#xD;4AstraZeneca, Hanover, NH.&amp;#xD;5AstraZeneca, Gaithersburg, MD.&lt;/auth-address&gt;&lt;titles&gt;&lt;title&gt;Complications and Economic Burden Associated With Obtaining Tissue for Diagnosis and Molecular Analysis in Patients With Non-Small-Cell Lung Cancer in the United States&lt;/title&gt;&lt;secondary-title&gt;J Oncol Pract&lt;/secondary-title&gt;&lt;/titles&gt;&lt;periodical&gt;&lt;full-title&gt;J Oncol Pract&lt;/full-title&gt;&lt;/periodical&gt;&lt;pages&gt;e717-e727&lt;/pages&gt;&lt;volume&gt;15&lt;/volume&gt;&lt;number&gt;8&lt;/number&gt;&lt;edition&gt;2019/06/27&lt;/edition&gt;&lt;keywords&gt;&lt;keyword&gt;Aged&lt;/keyword&gt;&lt;keyword&gt;Biopsy/*economics/methods&lt;/keyword&gt;&lt;keyword&gt;Carcinoma, Non-Small-Cell Lung/*economics/surgery&lt;/keyword&gt;&lt;keyword&gt;Cost of Illness&lt;/keyword&gt;&lt;keyword&gt;Female&lt;/keyword&gt;&lt;keyword&gt;Humans&lt;/keyword&gt;&lt;keyword&gt;Lung Neoplasms/*economics/surgery&lt;/keyword&gt;&lt;keyword&gt;Male&lt;/keyword&gt;&lt;keyword&gt;Retrospective Studies&lt;/keyword&gt;&lt;keyword&gt;United States&lt;/keyword&gt;&lt;/keywords&gt;&lt;dates&gt;&lt;year&gt;2019&lt;/year&gt;&lt;pub-dates&gt;&lt;date&gt;Aug&lt;/date&gt;&lt;/pub-dates&gt;&lt;/dates&gt;&lt;isbn&gt;1935-469X (Electronic)&amp;#xD;1554-7477 (Linking)&lt;/isbn&gt;&lt;accession-num&gt;31237806&lt;/accession-num&gt;&lt;urls&gt;&lt;related-urls&gt;&lt;url&gt;https://www.ncbi.nlm.nih.gov/pubmed/31237806&lt;/url&gt;&lt;/related-urls&gt;&lt;/urls&gt;&lt;electronic-resource-num&gt;10.1200/JOP.18.00762&lt;/electronic-resource-num&gt;&lt;/record&gt;&lt;/Cite&gt;&lt;/EndNote&gt;</w:instrText>
            </w:r>
            <w:r>
              <w:fldChar w:fldCharType="separate"/>
            </w:r>
            <w:r>
              <w:rPr>
                <w:noProof/>
              </w:rPr>
              <w:t>(2019)</w:t>
            </w:r>
            <w:r>
              <w:fldChar w:fldCharType="end"/>
            </w:r>
          </w:p>
        </w:tc>
      </w:tr>
    </w:tbl>
    <w:p w14:paraId="76E4DB7D" w14:textId="77777777" w:rsidR="004E63D6"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xml:space="preserve">; IHC = immunohistochemistry; </w:t>
      </w:r>
      <w:r w:rsidRPr="00336456">
        <w:rPr>
          <w:i/>
        </w:rPr>
        <w:t>MET</w:t>
      </w:r>
      <w:r>
        <w:t xml:space="preserve">ex14sk = MET proto-oncogene, receptor tyrosine kinase exon 14 skipping alterations; NGS = next generation sequencing; PSD = public summary document; </w:t>
      </w:r>
      <w:r w:rsidRPr="00743D1B">
        <w:rPr>
          <w:i/>
        </w:rPr>
        <w:t>ROS1</w:t>
      </w:r>
      <w:r>
        <w:t xml:space="preserve"> = ROS proto-oncogene 1.</w:t>
      </w:r>
    </w:p>
    <w:p w14:paraId="44C55447" w14:textId="203C4B83" w:rsidR="004E63D6" w:rsidRDefault="004E63D6" w:rsidP="004E63D6">
      <w:pPr>
        <w:pStyle w:val="NormalBeforeBullet"/>
      </w:pPr>
      <w:r>
        <w:t xml:space="preserve">Inputs that drive differences in outcomes across model arms were sourced from the systematic literature </w:t>
      </w:r>
      <w:r w:rsidR="00A67B94">
        <w:t xml:space="preserve">review </w:t>
      </w:r>
      <w:r w:rsidR="00D74008">
        <w:t xml:space="preserve">conducted </w:t>
      </w:r>
      <w:r>
        <w:t>in Section 2. Evidence to support a difference in rebiopsies performed between proposed small gene panel testing and current single gene testing was not identified in Section 2. As rebiopsy was often included as a consequence of test failure in the existing economic literature, and the 1634 PICO noted that test failure rate should be reported as a proxy for the rebiopsy rate, a translation study is presented in Section 3.2.3 to describe the approach used to transform differences in test success to differences in rebiopsy.</w:t>
      </w:r>
    </w:p>
    <w:p w14:paraId="613F0A06" w14:textId="77777777" w:rsidR="004E63D6" w:rsidRPr="00CE28E3" w:rsidRDefault="004E63D6" w:rsidP="004E63D6">
      <w:pPr>
        <w:pStyle w:val="Heading3"/>
      </w:pPr>
      <w:bookmarkStart w:id="160" w:name="_Toc109054486"/>
      <w:bookmarkStart w:id="161" w:name="_Toc148531171"/>
      <w:r w:rsidRPr="00CE28E3">
        <w:t>3.2.3</w:t>
      </w:r>
      <w:r w:rsidRPr="00CE28E3">
        <w:tab/>
        <w:t>Model population and setting</w:t>
      </w:r>
      <w:bookmarkEnd w:id="160"/>
      <w:bookmarkEnd w:id="161"/>
    </w:p>
    <w:p w14:paraId="4A70670A" w14:textId="77777777" w:rsidR="004E63D6" w:rsidRDefault="004E63D6" w:rsidP="004E63D6">
      <w:pPr>
        <w:pStyle w:val="NormalBeforeBullet"/>
      </w:pPr>
      <w:r>
        <w:t xml:space="preserve">Patients with non-squamous or NOS NSCLC enter the model at the point where they receive testing to determine their biomarker status for eligibility for targeted therapy. Patients enter after the decision to receive testing as small gene panel testing is not proposed to increase uptake of testing relative to current practice. </w:t>
      </w:r>
    </w:p>
    <w:p w14:paraId="552DC2D3" w14:textId="4429A79F" w:rsidR="004E63D6" w:rsidRDefault="004E63D6" w:rsidP="004E63D6">
      <w:pPr>
        <w:pStyle w:val="NormalBeforeBullet"/>
      </w:pPr>
      <w:r>
        <w:t xml:space="preserve">The purpose of testing is to determine eligibility </w:t>
      </w:r>
      <w:r w:rsidR="00D74008">
        <w:t xml:space="preserve">for </w:t>
      </w:r>
      <w:r>
        <w:t xml:space="preserve">targeted treatment in the Stage IIIB/IV setting, however the proposed and current item descriptors allow testing at the point of diagnosis (i.e. any stage). While the majority of patients (65.5%) have advanced disease at diagnosis </w:t>
      </w:r>
      <w:r>
        <w:fldChar w:fldCharType="begin">
          <w:fldData xml:space="preserve">PEVuZE5vdGU+PENpdGU+PEF1dGhvcj5NaXRjaGVsbDwvQXV0aG9yPjxZZWFyPjIwMTM8L1llYXI+
PFJlY051bT4yMDE8L1JlY051bT48SURUZXh0PjY3NC05PC9JRFRleHQ+PERpc3BsYXlUZXh0PihN
aXRjaGVsbCBldCBhbC4gMjAxMyk8L0Rpc3BsYXlUZXh0PjxyZWNvcmQ+PHJlYy1udW1iZXI+MjAx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 </w:instrText>
      </w:r>
      <w:r>
        <w:fldChar w:fldCharType="begin">
          <w:fldData xml:space="preserve">PEVuZE5vdGU+PENpdGU+PEF1dGhvcj5NaXRjaGVsbDwvQXV0aG9yPjxZZWFyPjIwMTM8L1llYXI+
PFJlY051bT4yMDE8L1JlY051bT48SURUZXh0PjY3NC05PC9JRFRleHQ+PERpc3BsYXlUZXh0PihN
aXRjaGVsbCBldCBhbC4gMjAxMyk8L0Rpc3BsYXlUZXh0PjxyZWNvcmQ+PHJlYy1udW1iZXI+MjAx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EN.CITE.DATA </w:instrText>
      </w:r>
      <w:r>
        <w:fldChar w:fldCharType="end"/>
      </w:r>
      <w:r>
        <w:fldChar w:fldCharType="separate"/>
      </w:r>
      <w:r>
        <w:rPr>
          <w:noProof/>
        </w:rPr>
        <w:t>(Mitchell et al. 2013)</w:t>
      </w:r>
      <w:r>
        <w:fldChar w:fldCharType="end"/>
      </w:r>
      <w:r>
        <w:t xml:space="preserve">, it is unclear what proportion of patients with early stage disease would </w:t>
      </w:r>
      <w:r>
        <w:lastRenderedPageBreak/>
        <w:t xml:space="preserve">uptake testing. In 2016, MSAC noted that use of </w:t>
      </w:r>
      <w:r w:rsidRPr="00A43192">
        <w:rPr>
          <w:i/>
        </w:rPr>
        <w:t>EGFR</w:t>
      </w:r>
      <w:r>
        <w:t xml:space="preserve"> testing was significantly lower than estimated, and that this may be due to not all eligible patients being tested (1161 and 1173 PSD, November 2016 MSAC Meeting).</w:t>
      </w:r>
    </w:p>
    <w:p w14:paraId="5797EA79" w14:textId="32ACF686" w:rsidR="004E63D6" w:rsidRDefault="004E63D6" w:rsidP="004E63D6">
      <w:pPr>
        <w:pStyle w:val="NormalBeforeBullet"/>
      </w:pPr>
      <w:r>
        <w:t xml:space="preserve">As described in Section 3.2.2, testing patients with early stage disease who do not experience advanced recurrence would incur the cost of testing for no benefit in terms of eligibility to targeted therapy. This applies to both </w:t>
      </w:r>
      <w:r w:rsidR="00D74008">
        <w:t xml:space="preserve">the </w:t>
      </w:r>
      <w:r>
        <w:t xml:space="preserve">proposed small gene panel testing and to current </w:t>
      </w:r>
      <w:r w:rsidRPr="00A43192">
        <w:rPr>
          <w:i/>
        </w:rPr>
        <w:t>EGFR</w:t>
      </w:r>
      <w:r>
        <w:t xml:space="preserve"> testing, however current use of subsequent tests (i.e. </w:t>
      </w:r>
      <w:r w:rsidRPr="00A43192">
        <w:rPr>
          <w:i/>
        </w:rPr>
        <w:t xml:space="preserve">ALK </w:t>
      </w:r>
      <w:r>
        <w:t xml:space="preserve">and </w:t>
      </w:r>
      <w:r w:rsidRPr="00A43192">
        <w:rPr>
          <w:i/>
        </w:rPr>
        <w:t xml:space="preserve">ROS1 </w:t>
      </w:r>
      <w:r>
        <w:t xml:space="preserve">FISH and </w:t>
      </w:r>
      <w:r w:rsidRPr="00A43192">
        <w:rPr>
          <w:i/>
        </w:rPr>
        <w:t>MET</w:t>
      </w:r>
      <w:r>
        <w:t>ex14sk testing) is restricted to patients with advanced disease only. Therefore</w:t>
      </w:r>
      <w:r w:rsidR="00453A29">
        <w:t>,</w:t>
      </w:r>
      <w:r>
        <w:t xml:space="preserve"> small gene panel testing may </w:t>
      </w:r>
      <w:r w:rsidRPr="004E7CEB">
        <w:t>be associated with an</w:t>
      </w:r>
      <w:r>
        <w:t xml:space="preserve"> increase in (completed) testing for </w:t>
      </w:r>
      <w:r w:rsidRPr="004E7CEB">
        <w:rPr>
          <w:i/>
        </w:rPr>
        <w:t>ALK</w:t>
      </w:r>
      <w:r>
        <w:t>,</w:t>
      </w:r>
      <w:r w:rsidRPr="004E7CEB">
        <w:t xml:space="preserve"> </w:t>
      </w:r>
      <w:r w:rsidRPr="004E7CEB">
        <w:rPr>
          <w:i/>
        </w:rPr>
        <w:t xml:space="preserve">ROS1 </w:t>
      </w:r>
      <w:r w:rsidRPr="004E7CEB">
        <w:t xml:space="preserve">and </w:t>
      </w:r>
      <w:r w:rsidRPr="004E7CEB">
        <w:rPr>
          <w:i/>
        </w:rPr>
        <w:t>MET</w:t>
      </w:r>
      <w:r w:rsidRPr="004E7CEB">
        <w:t>ex14sk compared with current testing for those patients who do not progress to advanced disease</w:t>
      </w:r>
      <w:r>
        <w:t>.</w:t>
      </w:r>
    </w:p>
    <w:p w14:paraId="7A0B0B48" w14:textId="77777777" w:rsidR="004E63D6" w:rsidRDefault="004E63D6" w:rsidP="004E63D6">
      <w:pPr>
        <w:pStyle w:val="NormalBeforeBullet"/>
      </w:pPr>
      <w:r>
        <w:t xml:space="preserve">However, given that </w:t>
      </w:r>
      <w:r w:rsidRPr="00A43192">
        <w:rPr>
          <w:i/>
        </w:rPr>
        <w:t>EGFR</w:t>
      </w:r>
      <w:r>
        <w:t xml:space="preserve"> testing and proposed small gene panel testing are both pathologist determinable, the base case analysis will assume that all patients receive these tests at diagnosis. Of those that are diagnosed with early stage disease (34.5%), 30% are assumed to progress to advanced disease (based on a 2017 DUSC report on erlotinib and gefitinib use), and so the total proportion of patients who enter the model with advanced disease at diagnosis, or who progress to advanced disease from an earlier stage, is 75.9%.</w:t>
      </w:r>
      <w:r>
        <w:rPr>
          <w:rStyle w:val="FootnoteReference"/>
        </w:rPr>
        <w:footnoteReference w:id="18"/>
      </w:r>
      <w:r>
        <w:t xml:space="preserve"> The remaining 24.1% of patients are assumed to incur the cost of testing at diagnosis for no benefit in terms of eligibility to targeted therapies. A sensitivity analysis is presented assuming testing only in those with advanced disease. However, the </w:t>
      </w:r>
      <w:r w:rsidRPr="00D939A0">
        <w:t>proportion of patients diagnosed with early disease who do not progress to advanced stage may increase over time, due to the proposed lung cancer screening program</w:t>
      </w:r>
      <w:r>
        <w:t xml:space="preserve"> (MSAC Application 1699)</w:t>
      </w:r>
      <w:r w:rsidRPr="00D939A0">
        <w:t xml:space="preserve">, and </w:t>
      </w:r>
      <w:r>
        <w:t>shift</w:t>
      </w:r>
      <w:r w:rsidRPr="00D939A0">
        <w:t xml:space="preserve"> for use of immunotherapies in</w:t>
      </w:r>
      <w:r>
        <w:t>to</w:t>
      </w:r>
      <w:r w:rsidRPr="00D939A0">
        <w:t xml:space="preserve"> the adjuvant setting</w:t>
      </w:r>
      <w:r>
        <w:t xml:space="preserve">. </w:t>
      </w:r>
    </w:p>
    <w:p w14:paraId="14BCB581" w14:textId="77777777" w:rsidR="004E63D6" w:rsidRDefault="004E63D6" w:rsidP="004E63D6">
      <w:pPr>
        <w:pStyle w:val="NormalBeforeBullet"/>
      </w:pPr>
    </w:p>
    <w:p w14:paraId="268BE284" w14:textId="77777777" w:rsidR="004E63D6" w:rsidRDefault="004E63D6" w:rsidP="004E63D6">
      <w:pPr>
        <w:pStyle w:val="NormalBeforeBullet"/>
      </w:pPr>
      <w:r>
        <w:t xml:space="preserve">In addition to </w:t>
      </w:r>
      <w:r w:rsidRPr="00A43192">
        <w:rPr>
          <w:i/>
        </w:rPr>
        <w:t xml:space="preserve">EGFR </w:t>
      </w:r>
      <w:r>
        <w:t xml:space="preserve">testing, current testing includes </w:t>
      </w:r>
      <w:r w:rsidRPr="00A75F36">
        <w:t>ALK</w:t>
      </w:r>
      <w:r w:rsidRPr="00A43192">
        <w:rPr>
          <w:i/>
        </w:rPr>
        <w:t xml:space="preserve"> </w:t>
      </w:r>
      <w:r>
        <w:t xml:space="preserve">and </w:t>
      </w:r>
      <w:r w:rsidRPr="00A75F36">
        <w:t>ROS1</w:t>
      </w:r>
      <w:r w:rsidRPr="00A43192">
        <w:rPr>
          <w:i/>
        </w:rPr>
        <w:t xml:space="preserve"> </w:t>
      </w:r>
      <w:r>
        <w:t xml:space="preserve">IHC testing (assumed to occur at the same time as </w:t>
      </w:r>
      <w:r w:rsidRPr="00A43192">
        <w:rPr>
          <w:i/>
        </w:rPr>
        <w:t>EGFR</w:t>
      </w:r>
      <w:r>
        <w:t xml:space="preserve">), </w:t>
      </w:r>
      <w:r w:rsidRPr="00A43192">
        <w:rPr>
          <w:i/>
        </w:rPr>
        <w:t xml:space="preserve">ALK </w:t>
      </w:r>
      <w:r>
        <w:t xml:space="preserve">and/or </w:t>
      </w:r>
      <w:r w:rsidRPr="00A43192">
        <w:rPr>
          <w:i/>
        </w:rPr>
        <w:t xml:space="preserve">ROS1 </w:t>
      </w:r>
      <w:r>
        <w:t xml:space="preserve">FISH, where indicated, and </w:t>
      </w:r>
      <w:r w:rsidRPr="00A43192">
        <w:rPr>
          <w:i/>
        </w:rPr>
        <w:t>MET</w:t>
      </w:r>
      <w:r>
        <w:t xml:space="preserve">ex14sk testing. As noted above, </w:t>
      </w:r>
      <w:r w:rsidRPr="00A43192">
        <w:rPr>
          <w:i/>
        </w:rPr>
        <w:t xml:space="preserve">ALK </w:t>
      </w:r>
      <w:r>
        <w:t xml:space="preserve">and </w:t>
      </w:r>
      <w:r w:rsidRPr="00A43192">
        <w:rPr>
          <w:i/>
        </w:rPr>
        <w:t xml:space="preserve">ROS1 </w:t>
      </w:r>
      <w:r>
        <w:t xml:space="preserve">FISH and </w:t>
      </w:r>
      <w:r w:rsidRPr="00A43192">
        <w:rPr>
          <w:i/>
        </w:rPr>
        <w:t>MET</w:t>
      </w:r>
      <w:r>
        <w:t xml:space="preserve">ex14sk testing are restricted to patients with advanced disease. While </w:t>
      </w:r>
      <w:r w:rsidRPr="00A43192">
        <w:rPr>
          <w:i/>
        </w:rPr>
        <w:t>EGFR</w:t>
      </w:r>
      <w:r>
        <w:t xml:space="preserve">, </w:t>
      </w:r>
      <w:r w:rsidRPr="00A43192">
        <w:rPr>
          <w:i/>
        </w:rPr>
        <w:t xml:space="preserve">ALK </w:t>
      </w:r>
      <w:r>
        <w:t xml:space="preserve">and </w:t>
      </w:r>
      <w:r w:rsidRPr="00A43192">
        <w:rPr>
          <w:i/>
        </w:rPr>
        <w:t xml:space="preserve">ROS1 </w:t>
      </w:r>
      <w:r>
        <w:t xml:space="preserve">services are all pathologist determinable, </w:t>
      </w:r>
      <w:r w:rsidRPr="00A43192">
        <w:rPr>
          <w:i/>
        </w:rPr>
        <w:t>MET</w:t>
      </w:r>
      <w:r>
        <w:t xml:space="preserve">ex14sk testing was not recommended to be a pathologist determinable test, and so requires an additional consultation to request the service (assumed to occur after receiving the results from </w:t>
      </w:r>
      <w:r w:rsidRPr="00A43192">
        <w:rPr>
          <w:i/>
        </w:rPr>
        <w:t>EGFR</w:t>
      </w:r>
      <w:r>
        <w:t xml:space="preserve"> testing). Sensitivity analyses are presented varying the circumstances of </w:t>
      </w:r>
      <w:r w:rsidRPr="00902BB9">
        <w:rPr>
          <w:i/>
        </w:rPr>
        <w:t>MET</w:t>
      </w:r>
      <w:r>
        <w:t>ex14sk testing use.</w:t>
      </w:r>
    </w:p>
    <w:p w14:paraId="5F7DB4D2" w14:textId="77777777" w:rsidR="004E63D6" w:rsidRDefault="004E63D6" w:rsidP="004E63D6">
      <w:pPr>
        <w:pStyle w:val="NormalBeforeBullet"/>
      </w:pPr>
    </w:p>
    <w:p w14:paraId="748ED871" w14:textId="77777777" w:rsidR="004E63D6" w:rsidRDefault="004E63D6" w:rsidP="004E63D6">
      <w:pPr>
        <w:pStyle w:val="NormalBeforeBullet"/>
      </w:pPr>
      <w:r>
        <w:t>Three items have been proposed for small gene panel testing, to reflect two options for use:</w:t>
      </w:r>
    </w:p>
    <w:p w14:paraId="2712666E" w14:textId="77777777" w:rsidR="004E63D6" w:rsidRDefault="004E63D6" w:rsidP="004E63D6">
      <w:pPr>
        <w:pStyle w:val="NormalBeforeBullet"/>
        <w:numPr>
          <w:ilvl w:val="0"/>
          <w:numId w:val="31"/>
        </w:numPr>
      </w:pPr>
      <w:r>
        <w:t>Simultaneous DNA and RNA panel testing; or</w:t>
      </w:r>
    </w:p>
    <w:p w14:paraId="07F05BB6" w14:textId="77777777" w:rsidR="004E63D6" w:rsidRDefault="004E63D6" w:rsidP="004E63D6">
      <w:pPr>
        <w:pStyle w:val="NormalBeforeBullet"/>
        <w:numPr>
          <w:ilvl w:val="0"/>
          <w:numId w:val="31"/>
        </w:numPr>
      </w:pPr>
      <w:r>
        <w:t>Separate items for DNA then RNA panel testing, where a documented absence of activating variants in specified biomarkers tested on the DNA panel is required for proceeding to RNA testing.</w:t>
      </w:r>
    </w:p>
    <w:p w14:paraId="2AFB0F1D" w14:textId="069A6B80" w:rsidR="004E63D6" w:rsidRDefault="004E63D6" w:rsidP="004E63D6">
      <w:pPr>
        <w:pStyle w:val="NormalBeforeBullet"/>
      </w:pPr>
      <w:r>
        <w:t>However, due to specimen requirements for RNA-based analyses, current IHC and FISH methodologies for identifying rearrangements are likely to be continued to be used in instances where tissue quantity and quality are insufficient for RNA testing (5−10% of cases, as estimated in the 1721 Application Form). Therefore</w:t>
      </w:r>
      <w:r w:rsidR="0090694A">
        <w:t>,</w:t>
      </w:r>
      <w:r>
        <w:t xml:space="preserve"> in addition to the two options for use of proposed small gene panel testing above, a third is also considered in the analysis:</w:t>
      </w:r>
    </w:p>
    <w:p w14:paraId="7C7F95A3" w14:textId="77777777" w:rsidR="004E63D6" w:rsidRDefault="004E63D6" w:rsidP="004E63D6">
      <w:pPr>
        <w:pStyle w:val="NormalBeforeBullet"/>
        <w:numPr>
          <w:ilvl w:val="0"/>
          <w:numId w:val="31"/>
        </w:numPr>
      </w:pPr>
      <w:r>
        <w:lastRenderedPageBreak/>
        <w:t xml:space="preserve">Small DNA panel testing, followed by IHC, and where indicated, FISH analyses to identify gene fusions in </w:t>
      </w:r>
      <w:r w:rsidRPr="00D6554E">
        <w:rPr>
          <w:i/>
        </w:rPr>
        <w:t>ALK</w:t>
      </w:r>
      <w:r>
        <w:t xml:space="preserve"> and </w:t>
      </w:r>
      <w:r w:rsidRPr="00D6554E">
        <w:rPr>
          <w:i/>
        </w:rPr>
        <w:t>ROS1</w:t>
      </w:r>
      <w:r>
        <w:t>.</w:t>
      </w:r>
    </w:p>
    <w:p w14:paraId="459C80B5" w14:textId="77777777" w:rsidR="004E63D6" w:rsidRDefault="004E63D6" w:rsidP="004E63D6">
      <w:pPr>
        <w:pStyle w:val="NormalBeforeBullet"/>
      </w:pPr>
      <w:r>
        <w:t>Information provided by the applicant during the preparation of the DCAR indicated that the majority (75−80%) of laboratories currently would use separate DNA and RNA panels. While the applicant noted that use of combined panels would likely increase over time, it would be a few years before this shift would occur. To reflect some short term increase in the use of combined DNA/RNA gene panels, the base case will assume that where RNA panels can be employed, 30% would use a combined panel approach.</w:t>
      </w:r>
    </w:p>
    <w:p w14:paraId="20026836" w14:textId="77777777" w:rsidR="004E63D6" w:rsidRDefault="004E63D6" w:rsidP="004E63D6">
      <w:pPr>
        <w:pStyle w:val="NormalBeforeBullet"/>
      </w:pPr>
    </w:p>
    <w:p w14:paraId="1764ABE6" w14:textId="77777777" w:rsidR="004E63D6" w:rsidRDefault="004E63D6" w:rsidP="004E63D6">
      <w:pPr>
        <w:pStyle w:val="NormalBeforeBullet"/>
      </w:pPr>
      <w:r>
        <w:t>Assumptions related to the circumstances of use:</w:t>
      </w:r>
    </w:p>
    <w:p w14:paraId="0C234696" w14:textId="77777777" w:rsidR="004E63D6" w:rsidRDefault="004E63D6" w:rsidP="004E63D6">
      <w:pPr>
        <w:pStyle w:val="NormalBeforeBullet"/>
        <w:numPr>
          <w:ilvl w:val="0"/>
          <w:numId w:val="31"/>
        </w:numPr>
      </w:pPr>
      <w:r>
        <w:t xml:space="preserve">If both </w:t>
      </w:r>
      <w:r w:rsidRPr="00A75F36">
        <w:t>ALK</w:t>
      </w:r>
      <w:r>
        <w:t xml:space="preserve"> IHC and </w:t>
      </w:r>
      <w:r w:rsidRPr="00A75F36">
        <w:t>ROS1</w:t>
      </w:r>
      <w:r>
        <w:t xml:space="preserve"> IHC suggest FISH testing is required (e.g. one or both may be falsely positive by IHC relative to FISH), these are assumed to occur sequentially, </w:t>
      </w:r>
      <w:r w:rsidRPr="00D6554E">
        <w:rPr>
          <w:i/>
        </w:rPr>
        <w:t xml:space="preserve">ALK </w:t>
      </w:r>
      <w:r>
        <w:t xml:space="preserve">then </w:t>
      </w:r>
      <w:r w:rsidRPr="00D6554E">
        <w:rPr>
          <w:i/>
        </w:rPr>
        <w:t>ROS1</w:t>
      </w:r>
      <w:r>
        <w:t xml:space="preserve">, in line with the </w:t>
      </w:r>
      <w:r w:rsidRPr="00D6554E">
        <w:rPr>
          <w:i/>
        </w:rPr>
        <w:t xml:space="preserve">ROS1 </w:t>
      </w:r>
      <w:r>
        <w:t>item descriptor.</w:t>
      </w:r>
    </w:p>
    <w:p w14:paraId="4057AC87" w14:textId="77777777" w:rsidR="004E63D6" w:rsidRDefault="004E63D6" w:rsidP="004E63D6">
      <w:pPr>
        <w:pStyle w:val="NormalBeforeBullet"/>
        <w:numPr>
          <w:ilvl w:val="0"/>
          <w:numId w:val="31"/>
        </w:numPr>
      </w:pPr>
      <w:r w:rsidRPr="00D6554E">
        <w:rPr>
          <w:i/>
        </w:rPr>
        <w:t>MET</w:t>
      </w:r>
      <w:r>
        <w:t xml:space="preserve">ex14sk testing is ordered by clinicians on receipt of negative </w:t>
      </w:r>
      <w:r w:rsidRPr="00D6554E">
        <w:rPr>
          <w:i/>
        </w:rPr>
        <w:t xml:space="preserve">EGFR </w:t>
      </w:r>
      <w:r>
        <w:t xml:space="preserve">result i.e. not contingent on </w:t>
      </w:r>
      <w:r w:rsidRPr="00D6554E">
        <w:rPr>
          <w:i/>
        </w:rPr>
        <w:t xml:space="preserve">ALK </w:t>
      </w:r>
      <w:r>
        <w:t xml:space="preserve">or </w:t>
      </w:r>
      <w:r w:rsidRPr="00D6554E">
        <w:rPr>
          <w:i/>
        </w:rPr>
        <w:t xml:space="preserve">ROS1 </w:t>
      </w:r>
      <w:r>
        <w:t xml:space="preserve">FISH results, if required. Thus, </w:t>
      </w:r>
      <w:r w:rsidRPr="00D6554E">
        <w:rPr>
          <w:i/>
        </w:rPr>
        <w:t>MET</w:t>
      </w:r>
      <w:r>
        <w:t xml:space="preserve">ex14sk testing is assumed to occur at the same time as FISH for </w:t>
      </w:r>
      <w:r w:rsidRPr="00D6554E">
        <w:rPr>
          <w:i/>
        </w:rPr>
        <w:t xml:space="preserve">ALK </w:t>
      </w:r>
      <w:r>
        <w:t xml:space="preserve">and/or </w:t>
      </w:r>
      <w:r w:rsidRPr="00D6554E">
        <w:rPr>
          <w:i/>
        </w:rPr>
        <w:t>ROS1</w:t>
      </w:r>
      <w:r>
        <w:t>, if required (e.g. where IHC may be falsely positive relative to FISH).</w:t>
      </w:r>
    </w:p>
    <w:p w14:paraId="7E828E2E" w14:textId="77777777" w:rsidR="004E63D6" w:rsidRDefault="004E63D6" w:rsidP="004E63D6">
      <w:pPr>
        <w:pStyle w:val="NormalBeforeBullet"/>
        <w:numPr>
          <w:ilvl w:val="0"/>
          <w:numId w:val="31"/>
        </w:numPr>
      </w:pPr>
      <w:r>
        <w:t xml:space="preserve">In patients who have early stage of disease at diagnosis who progress, </w:t>
      </w:r>
      <w:r w:rsidRPr="00D6554E">
        <w:rPr>
          <w:i/>
        </w:rPr>
        <w:t>MET</w:t>
      </w:r>
      <w:r>
        <w:t xml:space="preserve">ex14sk is assumed to be requested and occurs at the same time as FISH for </w:t>
      </w:r>
      <w:r w:rsidRPr="00D6554E">
        <w:rPr>
          <w:i/>
        </w:rPr>
        <w:t xml:space="preserve">ALK </w:t>
      </w:r>
      <w:r>
        <w:t xml:space="preserve">and/or </w:t>
      </w:r>
      <w:r w:rsidRPr="00D6554E">
        <w:rPr>
          <w:i/>
        </w:rPr>
        <w:t>ROS1</w:t>
      </w:r>
      <w:r>
        <w:t>, if required.</w:t>
      </w:r>
    </w:p>
    <w:p w14:paraId="7195846D" w14:textId="77777777" w:rsidR="004E63D6" w:rsidRDefault="004E63D6" w:rsidP="004E63D6">
      <w:pPr>
        <w:pStyle w:val="Heading4"/>
      </w:pPr>
      <w:r w:rsidRPr="007D6AE4">
        <w:t>Applicability issues and translations associated with the clinical evidence</w:t>
      </w:r>
    </w:p>
    <w:p w14:paraId="10064469" w14:textId="77777777" w:rsidR="004E63D6" w:rsidRDefault="004E63D6" w:rsidP="004E63D6">
      <w:pPr>
        <w:pStyle w:val="NormalBeforeBullet"/>
      </w:pPr>
      <w:r>
        <w:t>Three applicability issues associated with the clinical evidence are described:</w:t>
      </w:r>
    </w:p>
    <w:p w14:paraId="5B7B1888" w14:textId="77777777" w:rsidR="004E63D6" w:rsidRDefault="004E63D6" w:rsidP="004E63D6">
      <w:pPr>
        <w:pStyle w:val="NormalBeforeBullet"/>
        <w:numPr>
          <w:ilvl w:val="0"/>
          <w:numId w:val="31"/>
        </w:numPr>
      </w:pPr>
      <w:r>
        <w:t>Applicability of the clinical data relating to comparative test success</w:t>
      </w:r>
    </w:p>
    <w:p w14:paraId="1C68EF94" w14:textId="77777777" w:rsidR="004E63D6" w:rsidRDefault="004E63D6" w:rsidP="004E63D6">
      <w:pPr>
        <w:pStyle w:val="NormalBeforeBullet"/>
        <w:numPr>
          <w:ilvl w:val="0"/>
          <w:numId w:val="31"/>
        </w:numPr>
      </w:pPr>
      <w:r>
        <w:t>Applicability of the concordance data</w:t>
      </w:r>
    </w:p>
    <w:p w14:paraId="00BBAFE6" w14:textId="77777777" w:rsidR="004E63D6" w:rsidRDefault="004E63D6" w:rsidP="004E63D6">
      <w:pPr>
        <w:pStyle w:val="NormalBeforeBullet"/>
        <w:numPr>
          <w:ilvl w:val="0"/>
          <w:numId w:val="31"/>
        </w:numPr>
      </w:pPr>
      <w:r>
        <w:t>Applicability of the incremental yield</w:t>
      </w:r>
    </w:p>
    <w:p w14:paraId="3B57C7B2" w14:textId="77777777" w:rsidR="004E63D6" w:rsidRDefault="004E63D6" w:rsidP="004E63D6">
      <w:pPr>
        <w:pStyle w:val="NormalBeforeBullet"/>
      </w:pPr>
      <w:r>
        <w:t>A further translation study is presented describing the transformation of the effect of differences in test success.</w:t>
      </w:r>
    </w:p>
    <w:p w14:paraId="3194D9E6" w14:textId="77777777" w:rsidR="004E63D6" w:rsidRDefault="004E63D6" w:rsidP="004E63D6">
      <w:pPr>
        <w:pStyle w:val="NormalBeforeBullet"/>
      </w:pPr>
    </w:p>
    <w:p w14:paraId="36781084" w14:textId="77777777" w:rsidR="004E63D6" w:rsidRDefault="004E63D6" w:rsidP="004E63D6">
      <w:pPr>
        <w:pStyle w:val="NormalBeforeBullet"/>
        <w:rPr>
          <w:u w:val="single"/>
        </w:rPr>
      </w:pPr>
      <w:r w:rsidRPr="00D6554E">
        <w:rPr>
          <w:u w:val="single"/>
        </w:rPr>
        <w:t>Applicability of comparative test success data</w:t>
      </w:r>
    </w:p>
    <w:p w14:paraId="371E6821" w14:textId="77777777" w:rsidR="004E63D6" w:rsidRDefault="004E63D6" w:rsidP="004E63D6">
      <w:pPr>
        <w:pStyle w:val="NormalBeforeBullet"/>
      </w:pPr>
      <w:r>
        <w:t xml:space="preserve">Conclusions in Section 2 for the benefit of proposed small gene panel testing in terms of improved test success rate were based on a </w:t>
      </w:r>
      <w:r w:rsidRPr="00D6554E">
        <w:t xml:space="preserve">large retrospective cohort study from the Netherlands </w: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 </w:instrTex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EN.CITE.DATA </w:instrText>
      </w:r>
      <w:r>
        <w:fldChar w:fldCharType="end"/>
      </w:r>
      <w:r>
        <w:fldChar w:fldCharType="separate"/>
      </w:r>
      <w:r>
        <w:rPr>
          <w:noProof/>
        </w:rPr>
        <w:t>(Steeghs et al. 2022)</w:t>
      </w:r>
      <w:r>
        <w:fldChar w:fldCharType="end"/>
      </w:r>
      <w:r>
        <w:t xml:space="preserve">. This study reported a high rate of success for NGS-based analyses (97.2%) compared to non-NGS based single gene testing (94.6%). It is unclear how applicable this study is to the proposed setting, where it has generally been recognised that current practice has optimised to obtain sufficient tissue for current testing. Public consultation on MSAC 1669 indicated that </w:t>
      </w:r>
      <w:r w:rsidRPr="00671807">
        <w:t>2</w:t>
      </w:r>
      <w:r>
        <w:t>−</w:t>
      </w:r>
      <w:r w:rsidRPr="00671807">
        <w:t>3% of services provided by MBS item 73337 require rebiopsy.</w:t>
      </w:r>
      <w:r>
        <w:t xml:space="preserve"> Single gene testing of other biomarkers beyond </w:t>
      </w:r>
      <w:r w:rsidRPr="00793B78">
        <w:rPr>
          <w:i/>
        </w:rPr>
        <w:t>EGFR</w:t>
      </w:r>
      <w:r>
        <w:t xml:space="preserve">, </w:t>
      </w:r>
      <w:r w:rsidRPr="00793B78">
        <w:rPr>
          <w:i/>
        </w:rPr>
        <w:t>ALK</w:t>
      </w:r>
      <w:r>
        <w:t xml:space="preserve">, </w:t>
      </w:r>
      <w:r w:rsidRPr="00793B78">
        <w:rPr>
          <w:i/>
        </w:rPr>
        <w:t>ROS1</w:t>
      </w:r>
      <w:r>
        <w:t xml:space="preserve"> and </w:t>
      </w:r>
      <w:r w:rsidRPr="00793B78">
        <w:rPr>
          <w:i/>
        </w:rPr>
        <w:t>MET</w:t>
      </w:r>
      <w:r>
        <w:t xml:space="preserve"> was also performed. It is unclear how the testing of these additional biomarkers affects the applicability of the success rate for single-gene testing reported. </w:t>
      </w:r>
    </w:p>
    <w:p w14:paraId="248D7B1A" w14:textId="77777777" w:rsidR="004E63D6" w:rsidRDefault="004E63D6" w:rsidP="004E63D6">
      <w:pPr>
        <w:pStyle w:val="NormalBeforeBullet"/>
      </w:pPr>
      <w:r>
        <w:t>Further, the success rate for NGS testing in Steeghs et al.</w:t>
      </w:r>
      <w:r w:rsidRPr="00011630">
        <w:t xml:space="preserve"> </w: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 </w:instrTex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EN.CITE.DATA </w:instrText>
      </w:r>
      <w:r>
        <w:fldChar w:fldCharType="end"/>
      </w:r>
      <w:r>
        <w:fldChar w:fldCharType="separate"/>
      </w:r>
      <w:r>
        <w:rPr>
          <w:noProof/>
        </w:rPr>
        <w:t>(2022)</w:t>
      </w:r>
      <w:r>
        <w:fldChar w:fldCharType="end"/>
      </w:r>
      <w:r>
        <w:t xml:space="preserve"> was based on DNA NGS and predominantly IHC and/or FISH testing for gene fusions. As IHC and FISH methods are proposed </w:t>
      </w:r>
      <w:r>
        <w:lastRenderedPageBreak/>
        <w:t xml:space="preserve">to remain in the instance of insufficient or inadequate quality tissue, the success rate cited may be a reasonable proxy for circumstances where RNA or IHC and/or FISH is used. However, proposed panel testing may be less successful than reported in Steeghs et al. </w: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 </w:instrTex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EN.CITE.DATA </w:instrText>
      </w:r>
      <w:r>
        <w:fldChar w:fldCharType="end"/>
      </w:r>
      <w:r>
        <w:fldChar w:fldCharType="separate"/>
      </w:r>
      <w:r>
        <w:rPr>
          <w:noProof/>
        </w:rPr>
        <w:t>(2022)</w:t>
      </w:r>
      <w:r>
        <w:fldChar w:fldCharType="end"/>
      </w:r>
      <w:r>
        <w:t xml:space="preserve"> if RNA-based methods are attempted in the instance of borderline quantity or quality tissue.</w:t>
      </w:r>
    </w:p>
    <w:p w14:paraId="62B8685D" w14:textId="77777777" w:rsidR="004E63D6" w:rsidRDefault="004E63D6" w:rsidP="004E63D6">
      <w:pPr>
        <w:pStyle w:val="NormalBeforeBullet"/>
      </w:pPr>
      <w:r>
        <w:t xml:space="preserve">Given that these data were the best data identified to quantify differences in test success between single gene testing and small gene panels, the base case will use the success rates from Steeghs et al. </w: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 </w:instrTex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EN.CITE.DATA </w:instrText>
      </w:r>
      <w:r>
        <w:fldChar w:fldCharType="end"/>
      </w:r>
      <w:r>
        <w:fldChar w:fldCharType="separate"/>
      </w:r>
      <w:r>
        <w:rPr>
          <w:noProof/>
        </w:rPr>
        <w:t>(2022)</w:t>
      </w:r>
      <w:r>
        <w:fldChar w:fldCharType="end"/>
      </w:r>
      <w:r>
        <w:t>, as reported. Sensitivity analyses will be presented assuming no difference in the rates of success across model arms (e.g. both arms 97.2% or 94.6%). The effect on the ICER when test success data are excluded from the analyses will also be observed in the stepped generation of the base case analysis.</w:t>
      </w:r>
    </w:p>
    <w:p w14:paraId="5788A268" w14:textId="77777777" w:rsidR="004E63D6" w:rsidRDefault="004E63D6" w:rsidP="004E63D6">
      <w:pPr>
        <w:pStyle w:val="NormalBeforeBullet"/>
      </w:pPr>
    </w:p>
    <w:p w14:paraId="2FCB5BD4" w14:textId="77777777" w:rsidR="004E63D6" w:rsidRPr="00CE6779" w:rsidRDefault="004E63D6" w:rsidP="004E63D6">
      <w:pPr>
        <w:pStyle w:val="NormalBeforeBullet"/>
        <w:rPr>
          <w:u w:val="single"/>
        </w:rPr>
      </w:pPr>
      <w:r w:rsidRPr="00CE6779">
        <w:rPr>
          <w:u w:val="single"/>
        </w:rPr>
        <w:t>Applicability of concordance data</w:t>
      </w:r>
    </w:p>
    <w:p w14:paraId="278EAB02" w14:textId="43AF4991" w:rsidR="004E63D6" w:rsidRDefault="004E63D6" w:rsidP="00AC6F6C">
      <w:pPr>
        <w:pStyle w:val="NormalBeforeBullet"/>
      </w:pPr>
      <w:r>
        <w:t xml:space="preserve">The concordance of small gene panel testing to single gene test methods for </w:t>
      </w:r>
      <w:r w:rsidRPr="007D258A">
        <w:rPr>
          <w:i/>
        </w:rPr>
        <w:t>ALK</w:t>
      </w:r>
      <w:r>
        <w:t xml:space="preserve"> in Section 2 was based on a comparison of NGS to FISH ± IHC. The clinical utility standard used in the trials for </w:t>
      </w:r>
      <w:r w:rsidRPr="007D258A">
        <w:rPr>
          <w:i/>
        </w:rPr>
        <w:t>ALK</w:t>
      </w:r>
      <w:r>
        <w:t xml:space="preserve"> targeted therapy was FISH, which was also what the prevalence estimate previously accepted in Australia was based on, and the basis for the comparison of IHC test performance previously presented to MSAC. </w:t>
      </w:r>
      <w:r w:rsidR="005048BC">
        <w:t>While a</w:t>
      </w:r>
      <w:r>
        <w:t xml:space="preserve"> subgroup </w:t>
      </w:r>
      <w:r w:rsidR="005048BC">
        <w:t xml:space="preserve">analysis was </w:t>
      </w:r>
      <w:r>
        <w:t xml:space="preserve">also presented in Section 2 that compared concordance to FISH, </w:t>
      </w:r>
      <w:r w:rsidR="00AC6F6C">
        <w:t xml:space="preserve">in the majority of studies, </w:t>
      </w:r>
      <w:r>
        <w:t>the</w:t>
      </w:r>
      <w:r w:rsidR="005048BC">
        <w:t xml:space="preserve"> definition of </w:t>
      </w:r>
      <w:r w:rsidR="005048BC" w:rsidRPr="00956452">
        <w:rPr>
          <w:i/>
        </w:rPr>
        <w:t xml:space="preserve">ALK </w:t>
      </w:r>
      <w:r w:rsidR="005048BC">
        <w:t xml:space="preserve">positivity was </w:t>
      </w:r>
      <w:r w:rsidR="00D74008">
        <w:t>not defined or was inconsistent with the definition of positivity used for access PBS-</w:t>
      </w:r>
      <w:r w:rsidR="00771F07" w:rsidRPr="00771F07">
        <w:t>subsidised</w:t>
      </w:r>
      <w:r w:rsidR="00771F07">
        <w:t xml:space="preserve"> </w:t>
      </w:r>
      <w:r w:rsidR="00D74008">
        <w:t xml:space="preserve">targeted therapy (≥15% </w:t>
      </w:r>
      <w:r w:rsidR="00AC6F6C">
        <w:t>positive</w:t>
      </w:r>
      <w:r w:rsidR="00D74008">
        <w:t xml:space="preserve"> cells)</w:t>
      </w:r>
      <w:r w:rsidR="00AC6F6C">
        <w:t>.</w:t>
      </w:r>
      <w:r w:rsidR="00D74008">
        <w:t xml:space="preserve"> </w:t>
      </w:r>
      <w:r w:rsidR="005048BC">
        <w:t>Only one study</w:t>
      </w:r>
      <w:r w:rsidR="00AC6F6C">
        <w:t xml:space="preserve"> was identified</w:t>
      </w:r>
      <w:r w:rsidR="005048BC">
        <w:t xml:space="preserve"> which compared small gene panel testing to </w:t>
      </w:r>
      <w:r w:rsidR="005048BC" w:rsidRPr="005048BC">
        <w:rPr>
          <w:i/>
        </w:rPr>
        <w:t>ALK</w:t>
      </w:r>
      <w:r w:rsidR="005048BC">
        <w:t xml:space="preserve"> FISH </w:t>
      </w:r>
      <w:r w:rsidR="00AC6F6C">
        <w:t>and</w:t>
      </w:r>
      <w:r w:rsidR="005048BC">
        <w:t xml:space="preserve"> used the same definition of positivity that applies in practice </w:t>
      </w:r>
      <w:r w:rsidR="006D4612">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rsidR="006D4612">
        <w:instrText xml:space="preserve"> ADDIN EN.CITE </w:instrText>
      </w:r>
      <w:r w:rsidR="006D4612">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rsidR="006D4612">
        <w:instrText xml:space="preserve"> ADDIN EN.CITE.DATA </w:instrText>
      </w:r>
      <w:r w:rsidR="006D4612">
        <w:fldChar w:fldCharType="end"/>
      </w:r>
      <w:r w:rsidR="006D4612">
        <w:fldChar w:fldCharType="separate"/>
      </w:r>
      <w:r w:rsidR="006D4612">
        <w:rPr>
          <w:noProof/>
        </w:rPr>
        <w:t>(Park &amp; Shim 2020)</w:t>
      </w:r>
      <w:r w:rsidR="006D4612">
        <w:fldChar w:fldCharType="end"/>
      </w:r>
      <w:r w:rsidR="005048BC">
        <w:t>. D</w:t>
      </w:r>
      <w:r>
        <w:t xml:space="preserve">ata </w:t>
      </w:r>
      <w:r w:rsidR="005048BC">
        <w:t xml:space="preserve">from this study </w:t>
      </w:r>
      <w:r w:rsidR="00AC6F6C">
        <w:t>is</w:t>
      </w:r>
      <w:r>
        <w:t xml:space="preserve"> used in the base case analysis</w:t>
      </w:r>
      <w:r w:rsidR="005048BC">
        <w:t xml:space="preserve">, and so </w:t>
      </w:r>
      <w:r>
        <w:t xml:space="preserve">common actionable variants </w:t>
      </w:r>
      <w:r w:rsidR="005048BC">
        <w:t xml:space="preserve">modelled </w:t>
      </w:r>
      <w:r>
        <w:t>reflect those that do respond to treatment (as per the clinical utility standard), and current IHC triage may therefore miss some patients who would respond to targeted therapy. A sensitivity analysis is presented using the concordance relative to FISH ± IHC</w:t>
      </w:r>
      <w:r w:rsidR="005048BC">
        <w:t>, and to the subgroup analysis of FISH only</w:t>
      </w:r>
      <w:r>
        <w:t>.</w:t>
      </w:r>
    </w:p>
    <w:p w14:paraId="27434126" w14:textId="77777777" w:rsidR="004E63D6" w:rsidRDefault="004E63D6" w:rsidP="004E63D6">
      <w:pPr>
        <w:pStyle w:val="NormalBeforeBullet"/>
      </w:pPr>
      <w:r>
        <w:t xml:space="preserve">The concordance of small gene panel testing to single gene test methods for </w:t>
      </w:r>
      <w:r w:rsidRPr="007D258A">
        <w:rPr>
          <w:i/>
        </w:rPr>
        <w:t>ROS1</w:t>
      </w:r>
      <w:r>
        <w:t xml:space="preserve"> in Section 2 was based on a comparison of NGS to FISH or RT-PCR. The clinical utility standard used in the trials for </w:t>
      </w:r>
      <w:r w:rsidRPr="007D258A">
        <w:rPr>
          <w:i/>
        </w:rPr>
        <w:t>ROS1</w:t>
      </w:r>
      <w:r>
        <w:t xml:space="preserve"> targeted therapy included RT-PCR methods, and so the concordance data as presented in Section 2 are reasonable to use in the base case analysis. Due to the small number of studies included, subgroup analyses were unable to be performed.</w:t>
      </w:r>
    </w:p>
    <w:p w14:paraId="5A2704FA" w14:textId="77777777" w:rsidR="004E63D6" w:rsidRDefault="004E63D6" w:rsidP="004E63D6">
      <w:pPr>
        <w:pStyle w:val="NormalBeforeBullet"/>
      </w:pPr>
    </w:p>
    <w:p w14:paraId="25F6D12D" w14:textId="77777777" w:rsidR="004E63D6" w:rsidRPr="007B18DF" w:rsidRDefault="004E63D6" w:rsidP="004E63D6">
      <w:pPr>
        <w:pStyle w:val="NormalBeforeBullet"/>
        <w:rPr>
          <w:u w:val="single"/>
        </w:rPr>
      </w:pPr>
      <w:r w:rsidRPr="007B18DF">
        <w:rPr>
          <w:u w:val="single"/>
        </w:rPr>
        <w:t>Applicability of incremental yield data</w:t>
      </w:r>
    </w:p>
    <w:p w14:paraId="08C36379" w14:textId="77777777" w:rsidR="004E63D6" w:rsidRDefault="004E63D6" w:rsidP="004E63D6">
      <w:pPr>
        <w:pStyle w:val="NormalBeforeBullet"/>
      </w:pPr>
      <w:r>
        <w:t>Yield of actionable variants in non-squamous or NOS NSCLC can differ across countries and ethnicities. None of the studies included in Section 2 for actionable yield concordance were conducted in the Australian (or similar) setting. As estimates of yield reported in the concordance studies are not likely to be applicable, previously accepted estimates of common variant yield in Australia will be transformed in the model using the synthesised NPA values of small gene panel testing to generate total values. The transformed estimates are presented in Section 3.2.4.</w:t>
      </w:r>
    </w:p>
    <w:p w14:paraId="4ACBCE4E" w14:textId="77777777" w:rsidR="004E63D6" w:rsidRDefault="004E63D6" w:rsidP="004E63D6">
      <w:pPr>
        <w:pStyle w:val="NormalBeforeBullet"/>
      </w:pPr>
      <w:r>
        <w:t>As described earlier in Section 3.2.3, the model includes three options for use of proposed small gene panel testing (i.e. combined DNA/RNA panel, sequential DNA then RNA panel, or DNA then current IHC ± FISH). Estimates of actionable variant yield are assumed to be the same for combined or two-stage DNA and RNA panel testing. However, where IHC ± FISH are used, the yield of actionable variants will need to be adjusted (as, for example, IHC ± FISH are assumed not to be able to identify uncommon variants, and as different PPA values would apply). The adjusted estimates are presented in Section 3.2.4.</w:t>
      </w:r>
    </w:p>
    <w:p w14:paraId="07B66CC4" w14:textId="77777777" w:rsidR="004E63D6" w:rsidRDefault="004E63D6" w:rsidP="004E63D6">
      <w:pPr>
        <w:pStyle w:val="NormalBeforeBullet"/>
      </w:pPr>
    </w:p>
    <w:p w14:paraId="7C775A4A" w14:textId="77777777" w:rsidR="004E63D6" w:rsidRPr="00DF63A5" w:rsidRDefault="004E63D6" w:rsidP="004E63D6">
      <w:pPr>
        <w:pStyle w:val="NormalBeforeBullet"/>
        <w:rPr>
          <w:u w:val="single"/>
        </w:rPr>
      </w:pPr>
      <w:r w:rsidRPr="00DF63A5">
        <w:rPr>
          <w:u w:val="single"/>
        </w:rPr>
        <w:t>Transformation of test success data</w:t>
      </w:r>
    </w:p>
    <w:p w14:paraId="09CFC6D7" w14:textId="0AF83E17" w:rsidR="004E63D6" w:rsidRDefault="004E63D6" w:rsidP="004E63D6">
      <w:pPr>
        <w:pStyle w:val="NormalBeforeBullet"/>
      </w:pPr>
      <w:r w:rsidRPr="00686BDD">
        <w:t xml:space="preserve">Test failure reported in Steeghs et al. </w: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 </w:instrTex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EN.CITE.DATA </w:instrText>
      </w:r>
      <w:r>
        <w:fldChar w:fldCharType="end"/>
      </w:r>
      <w:r>
        <w:fldChar w:fldCharType="separate"/>
      </w:r>
      <w:r>
        <w:rPr>
          <w:noProof/>
        </w:rPr>
        <w:t>(2022)</w:t>
      </w:r>
      <w:r>
        <w:fldChar w:fldCharType="end"/>
      </w:r>
      <w:r w:rsidRPr="00686BDD">
        <w:t xml:space="preserve"> was generally due to insufficient quantity or quality of tissue. </w:t>
      </w:r>
      <w:r>
        <w:t xml:space="preserve">No comparative evidence was identified in Section 2 to determine how the difference in </w:t>
      </w:r>
      <w:r w:rsidR="00AC6F6C">
        <w:t xml:space="preserve">the proportion of tumours </w:t>
      </w:r>
      <w:r>
        <w:t>success</w:t>
      </w:r>
      <w:r w:rsidR="00AC6F6C">
        <w:t>fully tested</w:t>
      </w:r>
      <w:r>
        <w:t xml:space="preserve"> translated into differences in rate of rebiopsy. In part this may be due to the use of testing ctDNA in these circumstances. However, access to targeted therapies through the PBS requires evidence of the actionable variant in tumour tissue. Further, testing may also be used to inform the use of some immunotherapies (e.g. pembrolizumab or atezolizumab) as part of the standard of care. Therefore, it may be reasonable to consider tissue rebiopsies in the model in instances of test failure. </w:t>
      </w:r>
    </w:p>
    <w:p w14:paraId="030BE69F" w14:textId="7072B5A5" w:rsidR="004E63D6" w:rsidRDefault="004E63D6" w:rsidP="004E63D6">
      <w:pPr>
        <w:pStyle w:val="NormalBeforeBullet"/>
      </w:pPr>
      <w:r>
        <w:t xml:space="preserve">However, given the cost of rebiopsy (and considering that it may not be successful), the inclusion of rebiopsy may not be a conservative approach. Therefore, the transformation of differences in test success into differences in </w:t>
      </w:r>
      <w:r w:rsidR="00466C4F">
        <w:t>rebiopsies</w:t>
      </w:r>
      <w:r>
        <w:t xml:space="preserve"> is performed in a separate, and final, step as part of the generation of the base case analysis. </w:t>
      </w:r>
    </w:p>
    <w:p w14:paraId="7A9B244B" w14:textId="77777777" w:rsidR="004E63D6" w:rsidRPr="003251C2" w:rsidRDefault="004E63D6" w:rsidP="004E63D6">
      <w:pPr>
        <w:pStyle w:val="NormalBeforeBullet"/>
      </w:pPr>
    </w:p>
    <w:p w14:paraId="2CCC5CD7" w14:textId="77777777" w:rsidR="004E63D6" w:rsidRPr="00CE28E3" w:rsidRDefault="004E63D6" w:rsidP="004E63D6">
      <w:pPr>
        <w:pStyle w:val="Heading3"/>
      </w:pPr>
      <w:bookmarkStart w:id="162" w:name="_Toc109054487"/>
      <w:bookmarkStart w:id="163" w:name="_Toc148531172"/>
      <w:r w:rsidRPr="00CE28E3">
        <w:t>3.2.4</w:t>
      </w:r>
      <w:r w:rsidRPr="00CE28E3">
        <w:tab/>
        <w:t>Model transition probabilities, variables and extrapolation</w:t>
      </w:r>
      <w:bookmarkEnd w:id="162"/>
      <w:bookmarkEnd w:id="163"/>
    </w:p>
    <w:p w14:paraId="37127DCC" w14:textId="77777777" w:rsidR="004E63D6" w:rsidRDefault="004E63D6" w:rsidP="004E63D6">
      <w:pPr>
        <w:pStyle w:val="NormalBeforeBullet"/>
      </w:pPr>
      <w:r>
        <w:t xml:space="preserve">Decision tree probabilities included in the model relate to the proportion of patients tested with advanced disease (or who progress to advanced disease), the presence and identification of actionable variants and probabilities of test success and implications for subsequent rebiopsies. </w:t>
      </w:r>
    </w:p>
    <w:p w14:paraId="5B70BED8" w14:textId="77777777" w:rsidR="004E63D6" w:rsidRDefault="004E63D6" w:rsidP="004E63D6">
      <w:pPr>
        <w:pStyle w:val="NormalBeforeBullet"/>
      </w:pPr>
    </w:p>
    <w:p w14:paraId="0F56461B" w14:textId="77777777" w:rsidR="004E63D6" w:rsidRPr="008B346F" w:rsidRDefault="004E63D6" w:rsidP="004E63D6">
      <w:pPr>
        <w:pStyle w:val="NormalBeforeBullet"/>
        <w:rPr>
          <w:u w:val="single"/>
        </w:rPr>
      </w:pPr>
      <w:r w:rsidRPr="008B346F">
        <w:rPr>
          <w:u w:val="single"/>
        </w:rPr>
        <w:t>Proportion of patients with advanced disease (or who progress to advanced disease)</w:t>
      </w:r>
    </w:p>
    <w:p w14:paraId="7BCC20EB" w14:textId="77777777" w:rsidR="004E63D6" w:rsidRDefault="004E63D6" w:rsidP="004E63D6">
      <w:pPr>
        <w:pStyle w:val="NormalBeforeBullet"/>
      </w:pPr>
      <w:r>
        <w:t xml:space="preserve">As described in Sections 3.2.2 and Section 3.2.3, the decision tree distinguishes between patients who are tested with advanced disease (or those who progress to advanced disease following testing at an earlier stage), from those who are tested at an earlier stage of disease who do not develop advanced disease. As </w:t>
      </w:r>
      <w:r w:rsidRPr="00752B57">
        <w:rPr>
          <w:i/>
        </w:rPr>
        <w:t>EGFR</w:t>
      </w:r>
      <w:r>
        <w:t xml:space="preserve"> testing is currently, and small gene panel testing proposes to be, pathologist determinable, the base case analysis will assume that all patients, with non-squamous or NOS NSCLC will receive testing. </w:t>
      </w:r>
    </w:p>
    <w:p w14:paraId="6117D087" w14:textId="77777777" w:rsidR="004E63D6" w:rsidRDefault="004E63D6" w:rsidP="004E63D6">
      <w:pPr>
        <w:pStyle w:val="NormalBeforeBullet"/>
      </w:pPr>
      <w:r>
        <w:t xml:space="preserve">Based on a retrospective analysis of </w:t>
      </w:r>
      <w:r w:rsidRPr="008370CD">
        <w:t>Victorian Cancer Registry data</w:t>
      </w:r>
      <w:r>
        <w:t xml:space="preserve"> </w:t>
      </w:r>
      <w:r>
        <w:fldChar w:fldCharType="begin">
          <w:fldData xml:space="preserve">PEVuZE5vdGU+PENpdGU+PEF1dGhvcj5NaXRjaGVsbDwvQXV0aG9yPjxZZWFyPjIwMTM8L1llYXI+
PFJlY051bT4yMDE8L1JlY051bT48SURUZXh0PjY3NC05PC9JRFRleHQ+PERpc3BsYXlUZXh0PihN
aXRjaGVsbCBldCBhbC4gMjAxMyk8L0Rpc3BsYXlUZXh0PjxyZWNvcmQ+PHJlYy1udW1iZXI+MjAx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 </w:instrText>
      </w:r>
      <w:r>
        <w:fldChar w:fldCharType="begin">
          <w:fldData xml:space="preserve">PEVuZE5vdGU+PENpdGU+PEF1dGhvcj5NaXRjaGVsbDwvQXV0aG9yPjxZZWFyPjIwMTM8L1llYXI+
PFJlY051bT4yMDE8L1JlY051bT48SURUZXh0PjY3NC05PC9JRFRleHQ+PERpc3BsYXlUZXh0PihN
aXRjaGVsbCBldCBhbC4gMjAxMyk8L0Rpc3BsYXlUZXh0PjxyZWNvcmQ+PHJlYy1udW1iZXI+MjAx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EN.CITE.DATA </w:instrText>
      </w:r>
      <w:r>
        <w:fldChar w:fldCharType="end"/>
      </w:r>
      <w:r>
        <w:fldChar w:fldCharType="separate"/>
      </w:r>
      <w:r>
        <w:rPr>
          <w:noProof/>
        </w:rPr>
        <w:t>(Mitchell et al. 2013)</w:t>
      </w:r>
      <w:r>
        <w:fldChar w:fldCharType="end"/>
      </w:r>
      <w:r>
        <w:t xml:space="preserve">, 65.5% of patients are assumed to have Stage IIIB/IV disease at diagnosis. Of those diagnosed with Stages I−IIIA disease, 30% are assumed to experience progression to Stage IIIB/IV disease, as per a DUSC report published in 2017 on erlotinib and gefitinib use. Therefore, 75.9% of patients diagnosed with non-squamous NSCLC are modelled to have (or reach) an advanced disease stage. This approach was used in the </w:t>
      </w:r>
      <w:r w:rsidRPr="007D258A">
        <w:rPr>
          <w:i/>
        </w:rPr>
        <w:t>MET</w:t>
      </w:r>
      <w:r>
        <w:t xml:space="preserve">ex14sk testing for access to tepotinib submission (Table 14, Tepotinib PSD, November 2021 PBAC Meeting). </w:t>
      </w:r>
    </w:p>
    <w:p w14:paraId="69A7C04E" w14:textId="77777777" w:rsidR="004E63D6" w:rsidRDefault="004E63D6" w:rsidP="004E63D6">
      <w:pPr>
        <w:pStyle w:val="NormalBeforeBullet"/>
      </w:pPr>
      <w:r>
        <w:t xml:space="preserve">An alternate approach, adopted in the entrectinib submission (Table 10, Entrectinib PSD, March 2020 PBAC Meeting), was to assume that 60% of those diagnosed with Stage IIIA disease would progress (and no progression in those diagnosed at Stage I−II). As Mitchell et al. </w:t>
      </w:r>
      <w:r>
        <w:fldChar w:fldCharType="begin">
          <w:fldData xml:space="preserve">PEVuZE5vdGU+PENpdGUgRXhjbHVkZUF1dGg9IjEiPjxBdXRob3I+TWl0Y2hlbGw8L0F1dGhvcj48
WWVhcj4yMDEzPC9ZZWFyPjxSZWNOdW0+MjAxPC9SZWNOdW0+PElEVGV4dD42NzQtOTwvSURUZXh0
PjxEaXNwbGF5VGV4dD4oMjAxMyk8L0Rpc3BsYXlUZXh0PjxyZWNvcmQ+PHJlYy1udW1iZXI+MjAx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 </w:instrText>
      </w:r>
      <w:r>
        <w:fldChar w:fldCharType="begin">
          <w:fldData xml:space="preserve">PEVuZE5vdGU+PENpdGUgRXhjbHVkZUF1dGg9IjEiPjxBdXRob3I+TWl0Y2hlbGw8L0F1dGhvcj48
WWVhcj4yMDEzPC9ZZWFyPjxSZWNOdW0+MjAxPC9SZWNOdW0+PElEVGV4dD42NzQtOTwvSURUZXh0
PjxEaXNwbGF5VGV4dD4oMjAxMyk8L0Rpc3BsYXlUZXh0PjxyZWNvcmQ+PHJlYy1udW1iZXI+MjAx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EN.CITE.DATA </w:instrText>
      </w:r>
      <w:r>
        <w:fldChar w:fldCharType="end"/>
      </w:r>
      <w:r>
        <w:fldChar w:fldCharType="separate"/>
      </w:r>
      <w:r>
        <w:rPr>
          <w:noProof/>
        </w:rPr>
        <w:t>(2013)</w:t>
      </w:r>
      <w:r>
        <w:fldChar w:fldCharType="end"/>
      </w:r>
      <w:r>
        <w:t xml:space="preserve"> reported that 11.8% of patients would have Stage IIIA disease at diagnosis, the total with advanced disease using the alternate approach is 72.6%. The proportion with advanced disease is tested in sensitivity analyses. </w:t>
      </w:r>
    </w:p>
    <w:p w14:paraId="63895470" w14:textId="77777777" w:rsidR="004E63D6" w:rsidRDefault="004E63D6" w:rsidP="004E63D6">
      <w:pPr>
        <w:pStyle w:val="NormalBeforeBullet"/>
      </w:pPr>
    </w:p>
    <w:p w14:paraId="2679404E" w14:textId="77777777" w:rsidR="004E63D6" w:rsidRPr="00F2647B" w:rsidRDefault="004E63D6" w:rsidP="004E63D6">
      <w:pPr>
        <w:pStyle w:val="NormalBeforeBullet"/>
        <w:rPr>
          <w:u w:val="single"/>
        </w:rPr>
      </w:pPr>
      <w:r>
        <w:rPr>
          <w:u w:val="single"/>
        </w:rPr>
        <w:t>Presence of actionable variants</w:t>
      </w:r>
    </w:p>
    <w:p w14:paraId="14A4AE3B" w14:textId="7BAF6B1B" w:rsidR="004E63D6" w:rsidRDefault="004E63D6" w:rsidP="004E63D6">
      <w:pPr>
        <w:pStyle w:val="NormalBeforeBullet"/>
      </w:pPr>
      <w:r>
        <w:lastRenderedPageBreak/>
        <w:t>The yield of actionable variants is assumed to comprise of variants that can be identified by the clinical utility standard (‘common’ actionable variants), and those that can additionally be identified by small gene panel testing (‘</w:t>
      </w:r>
      <w:r w:rsidR="00F7683F">
        <w:t xml:space="preserve">incremental’ </w:t>
      </w:r>
      <w:r>
        <w:t xml:space="preserve">actionable variants). As described in Section 3.2.3, the yield of actionable variants can differ across countries and ethnicities, and so rather than using reported estimates of yield from the concordance studies identified in Section 2, the synthesised NPA values of small gene panel testing are applied to estimates of common variant yield in Australia to generate total values. </w:t>
      </w:r>
    </w:p>
    <w:p w14:paraId="0CBCC243" w14:textId="7A8D2828" w:rsidR="004E63D6" w:rsidRDefault="004E63D6" w:rsidP="004E63D6">
      <w:pPr>
        <w:pStyle w:val="NormalBeforeBullet"/>
      </w:pPr>
      <w:r>
        <w:t xml:space="preserve">Estimates previously accepted by MSAC during the listing of the respective single gene tests are presented in </w:t>
      </w:r>
      <w:r>
        <w:fldChar w:fldCharType="begin"/>
      </w:r>
      <w:r>
        <w:instrText xml:space="preserve"> REF _Ref108347594 \h </w:instrText>
      </w:r>
      <w:r>
        <w:fldChar w:fldCharType="separate"/>
      </w:r>
      <w:r w:rsidR="00C857F3" w:rsidRPr="00CE28E3">
        <w:t>Table</w:t>
      </w:r>
      <w:r w:rsidR="00C857F3">
        <w:t> </w:t>
      </w:r>
      <w:r w:rsidR="00C857F3">
        <w:rPr>
          <w:noProof/>
        </w:rPr>
        <w:t>46</w:t>
      </w:r>
      <w:r>
        <w:fldChar w:fldCharType="end"/>
      </w:r>
      <w:r>
        <w:t xml:space="preserve">, along with the synthesised concordance data and estimates of total yield applied in the model. As described in Section 3.2.3, </w:t>
      </w:r>
      <w:r w:rsidR="00F7683F">
        <w:t xml:space="preserve">data from only one of the included studies for </w:t>
      </w:r>
      <w:r w:rsidR="00F7683F" w:rsidRPr="00956452">
        <w:rPr>
          <w:i/>
        </w:rPr>
        <w:t>ALK</w:t>
      </w:r>
      <w:r w:rsidR="00F7683F">
        <w:t xml:space="preserve"> concordance were used (Park </w:t>
      </w:r>
      <w:r w:rsidR="00EF55F9">
        <w:t>and Shim</w:t>
      </w:r>
      <w:r w:rsidR="00F7683F">
        <w:t xml:space="preserve"> 2020), as this study presented a comparison to FISH only and reported using the ≥15% positive cells </w:t>
      </w:r>
      <w:r w:rsidR="00AC6F6C">
        <w:t>threshold</w:t>
      </w:r>
      <w:r w:rsidR="00F7683F">
        <w:t xml:space="preserve"> that applied in the clinical studies of crizotinib (to </w:t>
      </w:r>
      <w:r>
        <w:t xml:space="preserve">reflect agreement with the clinical utility standard i.e. FISH). </w:t>
      </w:r>
      <w:r w:rsidRPr="002822D5">
        <w:t>Sensitivity analyses are presented using the concordance against a mix of IHC + FISH or FISH alone (PPA 0.92; NPA 0.99)</w:t>
      </w:r>
      <w:r w:rsidR="00F7683F">
        <w:t xml:space="preserve"> or the subgroup analysis against FISH alone (PPA 0.93; NPA 0.97)</w:t>
      </w:r>
      <w:r w:rsidRPr="002822D5">
        <w:t>.</w:t>
      </w:r>
      <w:r>
        <w:t xml:space="preserve"> </w:t>
      </w:r>
      <w:r w:rsidRPr="002822D5">
        <w:t>Sensitivity analyses are also presented varying both the yield of common variants, and varying the total yield by applying the 95% CI around the NPA estimates.</w:t>
      </w:r>
    </w:p>
    <w:p w14:paraId="407539FD" w14:textId="09E7C4BE" w:rsidR="004E63D6" w:rsidRDefault="004E63D6" w:rsidP="004E63D6">
      <w:pPr>
        <w:pStyle w:val="Caption"/>
      </w:pPr>
      <w:bookmarkStart w:id="164" w:name="_Ref108347594"/>
      <w:r w:rsidRPr="00CE28E3">
        <w:t>Table</w:t>
      </w:r>
      <w:r>
        <w:t> </w:t>
      </w:r>
      <w:fldSimple w:instr=" SEQ Table \* ARABIC ">
        <w:r w:rsidR="00C857F3">
          <w:rPr>
            <w:noProof/>
          </w:rPr>
          <w:t>46</w:t>
        </w:r>
      </w:fldSimple>
      <w:bookmarkEnd w:id="164"/>
      <w:r w:rsidRPr="00CE28E3">
        <w:tab/>
      </w:r>
      <w:r>
        <w:t>Yield of actionable variants</w:t>
      </w:r>
    </w:p>
    <w:tbl>
      <w:tblPr>
        <w:tblStyle w:val="TableGrid"/>
        <w:tblW w:w="0" w:type="auto"/>
        <w:tblLook w:val="04A0" w:firstRow="1" w:lastRow="0" w:firstColumn="1" w:lastColumn="0" w:noHBand="0" w:noVBand="1"/>
        <w:tblCaption w:val="Yield of actionable variants"/>
        <w:tblDescription w:val="Yield of actionable variants"/>
      </w:tblPr>
      <w:tblGrid>
        <w:gridCol w:w="1486"/>
        <w:gridCol w:w="1486"/>
        <w:gridCol w:w="1772"/>
        <w:gridCol w:w="1772"/>
        <w:gridCol w:w="2500"/>
      </w:tblGrid>
      <w:tr w:rsidR="004E63D6" w:rsidRPr="004F4997" w14:paraId="3826B08B" w14:textId="77777777" w:rsidTr="00F56CC8">
        <w:trPr>
          <w:tblHeader/>
        </w:trPr>
        <w:tc>
          <w:tcPr>
            <w:tcW w:w="1486" w:type="dxa"/>
          </w:tcPr>
          <w:p w14:paraId="6C3E7AD8" w14:textId="77777777" w:rsidR="004E63D6" w:rsidRPr="004F4997" w:rsidRDefault="004E63D6" w:rsidP="00CA410A">
            <w:pPr>
              <w:pStyle w:val="TableHeading"/>
            </w:pPr>
            <w:r w:rsidRPr="004F4997">
              <w:t>Biomarker</w:t>
            </w:r>
          </w:p>
        </w:tc>
        <w:tc>
          <w:tcPr>
            <w:tcW w:w="1486" w:type="dxa"/>
          </w:tcPr>
          <w:p w14:paraId="33FBABCD" w14:textId="77777777" w:rsidR="004E63D6" w:rsidRPr="004F4997" w:rsidRDefault="004E63D6" w:rsidP="00CA410A">
            <w:pPr>
              <w:pStyle w:val="TableHeading"/>
              <w:jc w:val="center"/>
            </w:pPr>
            <w:r w:rsidRPr="004F4997">
              <w:t>Clinical utility standard yield</w:t>
            </w:r>
            <w:r>
              <w:t xml:space="preserve"> [A]</w:t>
            </w:r>
          </w:p>
        </w:tc>
        <w:tc>
          <w:tcPr>
            <w:tcW w:w="1772" w:type="dxa"/>
          </w:tcPr>
          <w:p w14:paraId="58FAB0B6" w14:textId="77777777" w:rsidR="004E63D6" w:rsidRPr="004F4997" w:rsidRDefault="004E63D6" w:rsidP="00CA410A">
            <w:pPr>
              <w:pStyle w:val="TableHeading"/>
              <w:jc w:val="center"/>
            </w:pPr>
            <w:r>
              <w:t xml:space="preserve">Small gene panel PPA (95% CI) </w:t>
            </w:r>
            <w:r w:rsidRPr="00F2647B">
              <w:rPr>
                <w:vertAlign w:val="superscript"/>
              </w:rPr>
              <w:t>a</w:t>
            </w:r>
          </w:p>
        </w:tc>
        <w:tc>
          <w:tcPr>
            <w:tcW w:w="1772" w:type="dxa"/>
          </w:tcPr>
          <w:p w14:paraId="245A1CC5" w14:textId="77777777" w:rsidR="004E63D6" w:rsidRPr="004F4997" w:rsidRDefault="004E63D6" w:rsidP="00CA410A">
            <w:pPr>
              <w:pStyle w:val="TableHeading"/>
              <w:jc w:val="center"/>
            </w:pPr>
            <w:r>
              <w:t xml:space="preserve">Small gene panel NPA (95% CI) </w:t>
            </w:r>
            <w:r w:rsidRPr="0070066D">
              <w:rPr>
                <w:vertAlign w:val="superscript"/>
              </w:rPr>
              <w:t>a</w:t>
            </w:r>
            <w:r>
              <w:br/>
              <w:t>[B]</w:t>
            </w:r>
          </w:p>
        </w:tc>
        <w:tc>
          <w:tcPr>
            <w:tcW w:w="2500" w:type="dxa"/>
          </w:tcPr>
          <w:p w14:paraId="300E8590" w14:textId="77777777" w:rsidR="004E63D6" w:rsidRPr="004F4997" w:rsidRDefault="004E63D6" w:rsidP="00CA410A">
            <w:pPr>
              <w:pStyle w:val="TableHeading"/>
              <w:jc w:val="center"/>
            </w:pPr>
            <w:r>
              <w:t xml:space="preserve">Yield adjusted for additional variants identified by small gene panels </w:t>
            </w:r>
            <w:r>
              <w:rPr>
                <w:vertAlign w:val="superscript"/>
              </w:rPr>
              <w:t>b</w:t>
            </w:r>
          </w:p>
        </w:tc>
      </w:tr>
      <w:tr w:rsidR="004E63D6" w:rsidRPr="004F4997" w14:paraId="456004EF" w14:textId="77777777" w:rsidTr="00CA410A">
        <w:tc>
          <w:tcPr>
            <w:tcW w:w="1486" w:type="dxa"/>
          </w:tcPr>
          <w:p w14:paraId="3F4F860F" w14:textId="77777777" w:rsidR="004E63D6" w:rsidRPr="00F2647B" w:rsidRDefault="004E63D6" w:rsidP="00CA410A">
            <w:pPr>
              <w:pStyle w:val="TableText"/>
              <w:rPr>
                <w:i/>
              </w:rPr>
            </w:pPr>
            <w:r w:rsidRPr="00F2647B">
              <w:rPr>
                <w:i/>
              </w:rPr>
              <w:t>EGFR</w:t>
            </w:r>
          </w:p>
        </w:tc>
        <w:tc>
          <w:tcPr>
            <w:tcW w:w="1486" w:type="dxa"/>
          </w:tcPr>
          <w:p w14:paraId="68D6C4D0" w14:textId="77777777" w:rsidR="004E63D6" w:rsidRPr="004F4997" w:rsidRDefault="004E63D6" w:rsidP="00CA410A">
            <w:pPr>
              <w:pStyle w:val="TableText"/>
              <w:jc w:val="center"/>
            </w:pPr>
            <w:r w:rsidRPr="004F4997">
              <w:t>15.0%</w:t>
            </w:r>
            <w:r>
              <w:t xml:space="preserve"> </w:t>
            </w:r>
            <w:r>
              <w:rPr>
                <w:vertAlign w:val="superscript"/>
              </w:rPr>
              <w:t>c</w:t>
            </w:r>
          </w:p>
        </w:tc>
        <w:tc>
          <w:tcPr>
            <w:tcW w:w="1772" w:type="dxa"/>
          </w:tcPr>
          <w:p w14:paraId="124957D3" w14:textId="77777777" w:rsidR="004E63D6" w:rsidRPr="004F4997" w:rsidRDefault="004E63D6" w:rsidP="00CA410A">
            <w:pPr>
              <w:pStyle w:val="TableText"/>
              <w:jc w:val="center"/>
            </w:pPr>
            <w:r>
              <w:t>0.98 (0.95, 0.99)</w:t>
            </w:r>
          </w:p>
        </w:tc>
        <w:tc>
          <w:tcPr>
            <w:tcW w:w="1772" w:type="dxa"/>
          </w:tcPr>
          <w:p w14:paraId="22BB0196" w14:textId="77777777" w:rsidR="004E63D6" w:rsidRPr="004F4997" w:rsidRDefault="004E63D6" w:rsidP="00CA410A">
            <w:pPr>
              <w:pStyle w:val="TableText"/>
              <w:jc w:val="center"/>
            </w:pPr>
            <w:r>
              <w:t>0.97 (0.95, 0.99)</w:t>
            </w:r>
          </w:p>
        </w:tc>
        <w:tc>
          <w:tcPr>
            <w:tcW w:w="2500" w:type="dxa"/>
          </w:tcPr>
          <w:p w14:paraId="7B38995A" w14:textId="77777777" w:rsidR="004E63D6" w:rsidRPr="004F4997" w:rsidRDefault="004E63D6" w:rsidP="00CA410A">
            <w:pPr>
              <w:pStyle w:val="TableText"/>
              <w:jc w:val="center"/>
            </w:pPr>
            <w:r>
              <w:t>17.6%</w:t>
            </w:r>
          </w:p>
        </w:tc>
      </w:tr>
      <w:tr w:rsidR="004E63D6" w:rsidRPr="004F4997" w14:paraId="790452CC" w14:textId="77777777" w:rsidTr="00CA410A">
        <w:tc>
          <w:tcPr>
            <w:tcW w:w="1486" w:type="dxa"/>
          </w:tcPr>
          <w:p w14:paraId="0FAA2CC1" w14:textId="77777777" w:rsidR="004E63D6" w:rsidRPr="00F2647B" w:rsidRDefault="004E63D6" w:rsidP="00CA410A">
            <w:pPr>
              <w:pStyle w:val="TableText"/>
              <w:rPr>
                <w:i/>
              </w:rPr>
            </w:pPr>
            <w:r w:rsidRPr="00F2647B">
              <w:rPr>
                <w:i/>
              </w:rPr>
              <w:t>ALK</w:t>
            </w:r>
          </w:p>
        </w:tc>
        <w:tc>
          <w:tcPr>
            <w:tcW w:w="1486" w:type="dxa"/>
          </w:tcPr>
          <w:p w14:paraId="0E83991F" w14:textId="77777777" w:rsidR="004E63D6" w:rsidRPr="004F4997" w:rsidRDefault="004E63D6" w:rsidP="00CA410A">
            <w:pPr>
              <w:pStyle w:val="TableText"/>
              <w:jc w:val="center"/>
            </w:pPr>
            <w:r w:rsidRPr="004F4997">
              <w:t>3.0%</w:t>
            </w:r>
            <w:r>
              <w:t xml:space="preserve"> </w:t>
            </w:r>
            <w:r>
              <w:rPr>
                <w:vertAlign w:val="superscript"/>
              </w:rPr>
              <w:t>d</w:t>
            </w:r>
          </w:p>
        </w:tc>
        <w:tc>
          <w:tcPr>
            <w:tcW w:w="1772" w:type="dxa"/>
          </w:tcPr>
          <w:p w14:paraId="6995E5CB" w14:textId="42AFDB73" w:rsidR="004E63D6" w:rsidRPr="004F4997" w:rsidRDefault="00F7683F" w:rsidP="00CA410A">
            <w:pPr>
              <w:pStyle w:val="TableText"/>
              <w:jc w:val="center"/>
            </w:pPr>
            <w:r>
              <w:t>1.00 (0.48, 1.00)</w:t>
            </w:r>
          </w:p>
        </w:tc>
        <w:tc>
          <w:tcPr>
            <w:tcW w:w="1772" w:type="dxa"/>
          </w:tcPr>
          <w:p w14:paraId="369D8B0B" w14:textId="6F8298C6" w:rsidR="004E63D6" w:rsidRPr="004F4997" w:rsidRDefault="00F7683F" w:rsidP="00CA410A">
            <w:pPr>
              <w:pStyle w:val="TableText"/>
              <w:jc w:val="center"/>
            </w:pPr>
            <w:r>
              <w:t>0.99 (0.97, 1.00)</w:t>
            </w:r>
          </w:p>
        </w:tc>
        <w:tc>
          <w:tcPr>
            <w:tcW w:w="2500" w:type="dxa"/>
          </w:tcPr>
          <w:p w14:paraId="54EBE6DB" w14:textId="002BE782" w:rsidR="004E63D6" w:rsidRPr="004F4997" w:rsidRDefault="00F7683F" w:rsidP="00CA410A">
            <w:pPr>
              <w:pStyle w:val="TableText"/>
              <w:jc w:val="center"/>
            </w:pPr>
            <w:r>
              <w:t>3.8</w:t>
            </w:r>
            <w:r w:rsidR="004E63D6">
              <w:t>%</w:t>
            </w:r>
          </w:p>
        </w:tc>
      </w:tr>
      <w:tr w:rsidR="004E63D6" w:rsidRPr="004F4997" w14:paraId="08FBAED0" w14:textId="77777777" w:rsidTr="00CA410A">
        <w:tc>
          <w:tcPr>
            <w:tcW w:w="1486" w:type="dxa"/>
          </w:tcPr>
          <w:p w14:paraId="35E943E3" w14:textId="77777777" w:rsidR="004E63D6" w:rsidRPr="00F2647B" w:rsidRDefault="004E63D6" w:rsidP="00CA410A">
            <w:pPr>
              <w:pStyle w:val="TableText"/>
              <w:rPr>
                <w:i/>
              </w:rPr>
            </w:pPr>
            <w:r w:rsidRPr="00F2647B">
              <w:rPr>
                <w:i/>
              </w:rPr>
              <w:t>ROS1</w:t>
            </w:r>
          </w:p>
        </w:tc>
        <w:tc>
          <w:tcPr>
            <w:tcW w:w="1486" w:type="dxa"/>
          </w:tcPr>
          <w:p w14:paraId="50DE24F8" w14:textId="77777777" w:rsidR="004E63D6" w:rsidRPr="004F4997" w:rsidRDefault="004E63D6" w:rsidP="00CA410A">
            <w:pPr>
              <w:pStyle w:val="TableText"/>
              <w:jc w:val="center"/>
            </w:pPr>
            <w:r>
              <w:t>1.6</w:t>
            </w:r>
            <w:r w:rsidRPr="004F4997">
              <w:t>%</w:t>
            </w:r>
            <w:r>
              <w:t xml:space="preserve"> </w:t>
            </w:r>
            <w:r>
              <w:rPr>
                <w:vertAlign w:val="superscript"/>
              </w:rPr>
              <w:t>e</w:t>
            </w:r>
          </w:p>
        </w:tc>
        <w:tc>
          <w:tcPr>
            <w:tcW w:w="1772" w:type="dxa"/>
          </w:tcPr>
          <w:p w14:paraId="753D1F33" w14:textId="77777777" w:rsidR="004E63D6" w:rsidRPr="004F4997" w:rsidRDefault="004E63D6" w:rsidP="00CA410A">
            <w:pPr>
              <w:pStyle w:val="TableText"/>
              <w:jc w:val="center"/>
            </w:pPr>
            <w:r>
              <w:t>0.86 (0.63, 0.96)</w:t>
            </w:r>
          </w:p>
        </w:tc>
        <w:tc>
          <w:tcPr>
            <w:tcW w:w="1772" w:type="dxa"/>
          </w:tcPr>
          <w:p w14:paraId="44E2D0F4" w14:textId="77777777" w:rsidR="004E63D6" w:rsidRPr="004F4997" w:rsidRDefault="004E63D6" w:rsidP="00CA410A">
            <w:pPr>
              <w:pStyle w:val="TableText"/>
              <w:jc w:val="center"/>
            </w:pPr>
            <w:r>
              <w:t>1.00 (0.99, 1.00)</w:t>
            </w:r>
          </w:p>
        </w:tc>
        <w:tc>
          <w:tcPr>
            <w:tcW w:w="2500" w:type="dxa"/>
          </w:tcPr>
          <w:p w14:paraId="4C76E9FF" w14:textId="77777777" w:rsidR="004E63D6" w:rsidRPr="004F4997" w:rsidRDefault="004E63D6" w:rsidP="00CA410A">
            <w:pPr>
              <w:pStyle w:val="TableText"/>
              <w:jc w:val="center"/>
            </w:pPr>
            <w:r>
              <w:t>1.6%</w:t>
            </w:r>
          </w:p>
        </w:tc>
      </w:tr>
      <w:tr w:rsidR="004E63D6" w:rsidRPr="004F4997" w14:paraId="4606136A" w14:textId="77777777" w:rsidTr="00CA410A">
        <w:tc>
          <w:tcPr>
            <w:tcW w:w="1486" w:type="dxa"/>
          </w:tcPr>
          <w:p w14:paraId="3A6E0681" w14:textId="77777777" w:rsidR="004E63D6" w:rsidRPr="004F4997" w:rsidRDefault="004E63D6" w:rsidP="00CA410A">
            <w:pPr>
              <w:pStyle w:val="TableText"/>
            </w:pPr>
            <w:r w:rsidRPr="00F2647B">
              <w:rPr>
                <w:i/>
              </w:rPr>
              <w:t>MET</w:t>
            </w:r>
            <w:r w:rsidRPr="004F4997">
              <w:t>ex14sk</w:t>
            </w:r>
          </w:p>
        </w:tc>
        <w:tc>
          <w:tcPr>
            <w:tcW w:w="1486" w:type="dxa"/>
          </w:tcPr>
          <w:p w14:paraId="29FC4B65" w14:textId="77777777" w:rsidR="004E63D6" w:rsidRPr="004F4997" w:rsidRDefault="004E63D6" w:rsidP="00CA410A">
            <w:pPr>
              <w:pStyle w:val="TableText"/>
              <w:jc w:val="center"/>
            </w:pPr>
            <w:r w:rsidRPr="004F4997">
              <w:t>3.6%</w:t>
            </w:r>
            <w:r>
              <w:t xml:space="preserve"> </w:t>
            </w:r>
            <w:r>
              <w:rPr>
                <w:vertAlign w:val="superscript"/>
              </w:rPr>
              <w:t>f</w:t>
            </w:r>
          </w:p>
        </w:tc>
        <w:tc>
          <w:tcPr>
            <w:tcW w:w="1772" w:type="dxa"/>
          </w:tcPr>
          <w:p w14:paraId="4EE534F0" w14:textId="77777777" w:rsidR="004E63D6" w:rsidRPr="004F4997" w:rsidRDefault="004E63D6" w:rsidP="00CA410A">
            <w:pPr>
              <w:pStyle w:val="TableText"/>
              <w:jc w:val="center"/>
            </w:pPr>
            <w:r>
              <w:t>0.98 (0.89, 1.00)</w:t>
            </w:r>
          </w:p>
        </w:tc>
        <w:tc>
          <w:tcPr>
            <w:tcW w:w="1772" w:type="dxa"/>
          </w:tcPr>
          <w:p w14:paraId="4A2CAD75" w14:textId="77777777" w:rsidR="004E63D6" w:rsidRPr="004F4997" w:rsidRDefault="004E63D6" w:rsidP="00CA410A">
            <w:pPr>
              <w:pStyle w:val="TableText"/>
              <w:jc w:val="center"/>
            </w:pPr>
            <w:r>
              <w:t>1.00 (0.93, 1.00)</w:t>
            </w:r>
          </w:p>
        </w:tc>
        <w:tc>
          <w:tcPr>
            <w:tcW w:w="2500" w:type="dxa"/>
          </w:tcPr>
          <w:p w14:paraId="2F074C47" w14:textId="77777777" w:rsidR="004E63D6" w:rsidRPr="004F4997" w:rsidRDefault="004E63D6" w:rsidP="00CA410A">
            <w:pPr>
              <w:pStyle w:val="TableText"/>
              <w:jc w:val="center"/>
            </w:pPr>
            <w:r>
              <w:t>3.6%</w:t>
            </w:r>
          </w:p>
        </w:tc>
      </w:tr>
    </w:tbl>
    <w:p w14:paraId="72239841" w14:textId="77777777" w:rsidR="004E63D6" w:rsidRPr="006A0F24"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xml:space="preserve">; </w:t>
      </w:r>
      <w:r w:rsidRPr="00336456">
        <w:rPr>
          <w:i/>
        </w:rPr>
        <w:t>MET</w:t>
      </w:r>
      <w:r>
        <w:t xml:space="preserve">ex14sk = MET proto-oncogene, receptor tyrosine kinase exon 14 skipping alterations; NPA = negative percent agreement; PPA = positive percent agreement; PSD = public summary document; </w:t>
      </w:r>
      <w:r w:rsidRPr="00743D1B">
        <w:rPr>
          <w:i/>
        </w:rPr>
        <w:t>ROS1</w:t>
      </w:r>
      <w:r>
        <w:t xml:space="preserve"> = ROS proto-oncogene 1.</w:t>
      </w:r>
    </w:p>
    <w:p w14:paraId="5A94F225" w14:textId="18917AA0" w:rsidR="004E63D6" w:rsidRDefault="004E63D6" w:rsidP="004E63D6">
      <w:pPr>
        <w:pStyle w:val="TableFooter"/>
      </w:pPr>
      <w:r w:rsidRPr="0004492E">
        <w:rPr>
          <w:vertAlign w:val="superscript"/>
        </w:rPr>
        <w:t>a</w:t>
      </w:r>
      <w:r w:rsidRPr="0004492E">
        <w:t xml:space="preserve"> </w:t>
      </w:r>
      <w:r w:rsidRPr="0004492E">
        <w:fldChar w:fldCharType="begin"/>
      </w:r>
      <w:r w:rsidRPr="0004492E">
        <w:instrText xml:space="preserve"> REF _Ref108626509 \h </w:instrText>
      </w:r>
      <w:r>
        <w:instrText xml:space="preserve"> \* MERGEFORMAT </w:instrText>
      </w:r>
      <w:r w:rsidRPr="0004492E">
        <w:fldChar w:fldCharType="separate"/>
      </w:r>
      <w:r w:rsidR="00C857F3">
        <w:t xml:space="preserve">Table </w:t>
      </w:r>
      <w:r w:rsidR="00C857F3">
        <w:rPr>
          <w:noProof/>
        </w:rPr>
        <w:t>30</w:t>
      </w:r>
      <w:r w:rsidRPr="0004492E">
        <w:fldChar w:fldCharType="end"/>
      </w:r>
      <w:r w:rsidRPr="0004492E">
        <w:t>, Section 2</w:t>
      </w:r>
      <w:r>
        <w:t xml:space="preserve">. As described in Section 3.2.3, </w:t>
      </w:r>
      <w:r w:rsidRPr="00F7683F">
        <w:rPr>
          <w:i/>
        </w:rPr>
        <w:t>ALK</w:t>
      </w:r>
      <w:r>
        <w:t xml:space="preserve"> concordance data used in the base case analysis reflected the comparison to FISH alone</w:t>
      </w:r>
      <w:r w:rsidR="00F7683F">
        <w:t xml:space="preserve"> using a definition of </w:t>
      </w:r>
      <w:r w:rsidR="00F7683F" w:rsidRPr="00F7683F">
        <w:rPr>
          <w:i/>
        </w:rPr>
        <w:t>ALK</w:t>
      </w:r>
      <w:r w:rsidR="00F7683F">
        <w:t xml:space="preserve"> positivity of ≥15% positive cells</w:t>
      </w:r>
      <w:r>
        <w:t>, rather than FISH ± IHC</w:t>
      </w:r>
      <w:r w:rsidR="00F7683F">
        <w:t xml:space="preserve"> (with varying definitions of </w:t>
      </w:r>
      <w:r w:rsidR="00F7683F" w:rsidRPr="00F7683F">
        <w:rPr>
          <w:i/>
        </w:rPr>
        <w:t>ALK</w:t>
      </w:r>
      <w:r w:rsidR="00F7683F">
        <w:t xml:space="preserve"> positivity)</w:t>
      </w:r>
      <w:r>
        <w:t xml:space="preserve">, presented in </w:t>
      </w:r>
      <w:r w:rsidRPr="0004492E">
        <w:fldChar w:fldCharType="begin"/>
      </w:r>
      <w:r w:rsidRPr="0004492E">
        <w:instrText xml:space="preserve"> REF _Ref108626509 \h </w:instrText>
      </w:r>
      <w:r>
        <w:instrText xml:space="preserve"> \* MERGEFORMAT </w:instrText>
      </w:r>
      <w:r w:rsidRPr="0004492E">
        <w:fldChar w:fldCharType="separate"/>
      </w:r>
      <w:r w:rsidR="00C857F3">
        <w:t xml:space="preserve">Table </w:t>
      </w:r>
      <w:r w:rsidR="00C857F3">
        <w:rPr>
          <w:noProof/>
        </w:rPr>
        <w:t>30</w:t>
      </w:r>
      <w:r w:rsidRPr="0004492E">
        <w:fldChar w:fldCharType="end"/>
      </w:r>
      <w:r>
        <w:t>.</w:t>
      </w:r>
    </w:p>
    <w:p w14:paraId="1F1A4B16" w14:textId="77777777" w:rsidR="004E63D6" w:rsidRDefault="004E63D6" w:rsidP="004E63D6">
      <w:pPr>
        <w:pStyle w:val="TableFooter"/>
      </w:pPr>
      <w:r w:rsidRPr="00086A7D">
        <w:rPr>
          <w:vertAlign w:val="superscript"/>
        </w:rPr>
        <w:t>b</w:t>
      </w:r>
      <w:r>
        <w:t xml:space="preserve"> A + (1 – A) × (1 – B)</w:t>
      </w:r>
    </w:p>
    <w:p w14:paraId="4EBF5612" w14:textId="77777777" w:rsidR="004E63D6" w:rsidRDefault="004E63D6" w:rsidP="004E63D6">
      <w:pPr>
        <w:pStyle w:val="TableFooter"/>
      </w:pPr>
      <w:r w:rsidRPr="00086A7D">
        <w:rPr>
          <w:vertAlign w:val="superscript"/>
        </w:rPr>
        <w:t>c</w:t>
      </w:r>
      <w:r>
        <w:t xml:space="preserve"> </w:t>
      </w:r>
      <w:r w:rsidRPr="004F4997">
        <w:t>MSAC 1161 PSD (p18), November 2012</w:t>
      </w:r>
    </w:p>
    <w:p w14:paraId="1D55CA88" w14:textId="77777777" w:rsidR="004E63D6" w:rsidRDefault="004E63D6" w:rsidP="004E63D6">
      <w:pPr>
        <w:pStyle w:val="TableFooter"/>
      </w:pPr>
      <w:r w:rsidRPr="00086A7D">
        <w:rPr>
          <w:vertAlign w:val="superscript"/>
        </w:rPr>
        <w:t>d</w:t>
      </w:r>
      <w:r>
        <w:t xml:space="preserve"> </w:t>
      </w:r>
      <w:r w:rsidRPr="004F4997">
        <w:t>MSAC 1250.1 PSD (p5), November 2014</w:t>
      </w:r>
    </w:p>
    <w:p w14:paraId="7F477CA6" w14:textId="77777777" w:rsidR="004E63D6" w:rsidRDefault="004E63D6" w:rsidP="004E63D6">
      <w:pPr>
        <w:pStyle w:val="TableFooter"/>
      </w:pPr>
      <w:r w:rsidRPr="00086A7D">
        <w:rPr>
          <w:vertAlign w:val="superscript"/>
        </w:rPr>
        <w:t>e</w:t>
      </w:r>
      <w:r>
        <w:t xml:space="preserve"> </w:t>
      </w:r>
      <w:r w:rsidRPr="004F4997">
        <w:t>MSAC 1254 PSD (p12), July 2018</w:t>
      </w:r>
    </w:p>
    <w:p w14:paraId="7485E3D0" w14:textId="77777777" w:rsidR="004E63D6" w:rsidRDefault="004E63D6" w:rsidP="004E63D6">
      <w:pPr>
        <w:pStyle w:val="TableFooter"/>
      </w:pPr>
      <w:r w:rsidRPr="00F2647B">
        <w:rPr>
          <w:vertAlign w:val="superscript"/>
        </w:rPr>
        <w:t>f</w:t>
      </w:r>
      <w:r>
        <w:t xml:space="preserve"> </w:t>
      </w:r>
      <w:r w:rsidRPr="004F4997">
        <w:t>Tepotinib PBAC PSD (Table 11, p27), November 2021</w:t>
      </w:r>
    </w:p>
    <w:p w14:paraId="4F8197F9" w14:textId="77777777" w:rsidR="004E63D6" w:rsidRDefault="004E63D6" w:rsidP="004E63D6">
      <w:pPr>
        <w:pStyle w:val="NormalBeforeBullet"/>
      </w:pPr>
    </w:p>
    <w:p w14:paraId="39B01D93" w14:textId="77777777" w:rsidR="004E63D6" w:rsidRPr="00F2647B" w:rsidRDefault="004E63D6" w:rsidP="004E63D6">
      <w:pPr>
        <w:pStyle w:val="NormalBeforeBullet"/>
        <w:rPr>
          <w:u w:val="single"/>
        </w:rPr>
      </w:pPr>
      <w:r w:rsidRPr="00F2647B">
        <w:rPr>
          <w:u w:val="single"/>
        </w:rPr>
        <w:t>Proportion of actionable variants identified</w:t>
      </w:r>
    </w:p>
    <w:p w14:paraId="346B5C61" w14:textId="09E82B92" w:rsidR="004E63D6" w:rsidRDefault="004E63D6" w:rsidP="004E63D6">
      <w:pPr>
        <w:pStyle w:val="NormalBeforeBullet"/>
      </w:pPr>
      <w:r>
        <w:t xml:space="preserve">In the current testing model arm, common variants are assumed to be identified if testing is performed using the clinical utility standard (as is the case for </w:t>
      </w:r>
      <w:r w:rsidRPr="007D258A">
        <w:rPr>
          <w:i/>
        </w:rPr>
        <w:t xml:space="preserve">EGFR </w:t>
      </w:r>
      <w:r>
        <w:t xml:space="preserve">and </w:t>
      </w:r>
      <w:r w:rsidRPr="007D258A">
        <w:rPr>
          <w:i/>
        </w:rPr>
        <w:t>MET</w:t>
      </w:r>
      <w:r>
        <w:t xml:space="preserve">ex14sk testing). As an IHC triage process operates for </w:t>
      </w:r>
      <w:r w:rsidRPr="00F2647B">
        <w:rPr>
          <w:i/>
        </w:rPr>
        <w:t xml:space="preserve">ALK </w:t>
      </w:r>
      <w:r>
        <w:t xml:space="preserve">and </w:t>
      </w:r>
      <w:r w:rsidRPr="00F2647B">
        <w:rPr>
          <w:i/>
        </w:rPr>
        <w:t>ROS1</w:t>
      </w:r>
      <w:r>
        <w:t xml:space="preserve">, performance of IHC, relative to FISH, can affect the proportion of common actionable variants identified. Test performance estimates for IHC triage previously accepted by MSAC are presented in </w:t>
      </w:r>
      <w:r>
        <w:fldChar w:fldCharType="begin"/>
      </w:r>
      <w:r>
        <w:instrText xml:space="preserve"> REF _Ref108347757 \h </w:instrText>
      </w:r>
      <w:r>
        <w:fldChar w:fldCharType="separate"/>
      </w:r>
      <w:r w:rsidR="00C857F3" w:rsidRPr="00CE28E3">
        <w:t>Table</w:t>
      </w:r>
      <w:r w:rsidR="00C857F3">
        <w:t> </w:t>
      </w:r>
      <w:r w:rsidR="00C857F3">
        <w:rPr>
          <w:noProof/>
        </w:rPr>
        <w:t>47</w:t>
      </w:r>
      <w:r>
        <w:fldChar w:fldCharType="end"/>
      </w:r>
      <w:r>
        <w:t xml:space="preserve">. Under current testing, 98.4% of common actionable variants in </w:t>
      </w:r>
      <w:r w:rsidRPr="007D258A">
        <w:rPr>
          <w:i/>
        </w:rPr>
        <w:t>ALK</w:t>
      </w:r>
      <w:r>
        <w:t xml:space="preserve">, and 95.1% of actionable variants in </w:t>
      </w:r>
      <w:r w:rsidRPr="007D258A">
        <w:rPr>
          <w:i/>
        </w:rPr>
        <w:t>ROS1</w:t>
      </w:r>
      <w:r>
        <w:t xml:space="preserve"> are assumed to be identified. </w:t>
      </w:r>
      <w:r w:rsidR="00C92729">
        <w:t xml:space="preserve">Incremental </w:t>
      </w:r>
      <w:r>
        <w:t>variants are not assumed to be identified with current testing.</w:t>
      </w:r>
    </w:p>
    <w:p w14:paraId="15C3D620" w14:textId="02B9C72E" w:rsidR="004E63D6" w:rsidRDefault="004E63D6" w:rsidP="004E63D6">
      <w:pPr>
        <w:pStyle w:val="Caption"/>
      </w:pPr>
      <w:bookmarkStart w:id="165" w:name="_Ref108347757"/>
      <w:r w:rsidRPr="00CE28E3">
        <w:lastRenderedPageBreak/>
        <w:t>Table</w:t>
      </w:r>
      <w:r>
        <w:t> </w:t>
      </w:r>
      <w:fldSimple w:instr=" SEQ Table \* ARABIC ">
        <w:r w:rsidR="00C857F3">
          <w:rPr>
            <w:noProof/>
          </w:rPr>
          <w:t>47</w:t>
        </w:r>
      </w:fldSimple>
      <w:bookmarkEnd w:id="165"/>
      <w:r w:rsidRPr="00CE28E3">
        <w:tab/>
      </w:r>
      <w:r>
        <w:t>IHC test performance estimates, relative to FISH</w:t>
      </w:r>
    </w:p>
    <w:tbl>
      <w:tblPr>
        <w:tblStyle w:val="TableGrid"/>
        <w:tblW w:w="5000" w:type="pct"/>
        <w:tblLook w:val="04A0" w:firstRow="1" w:lastRow="0" w:firstColumn="1" w:lastColumn="0" w:noHBand="0" w:noVBand="1"/>
        <w:tblCaption w:val="IHC test performance estimates, relative to FISH"/>
        <w:tblDescription w:val="IHC test performance estimates, relative to FISH"/>
      </w:tblPr>
      <w:tblGrid>
        <w:gridCol w:w="3006"/>
        <w:gridCol w:w="3006"/>
        <w:gridCol w:w="3004"/>
      </w:tblGrid>
      <w:tr w:rsidR="004E63D6" w:rsidRPr="00D80E26" w14:paraId="69107EB6" w14:textId="77777777" w:rsidTr="00F56CC8">
        <w:trPr>
          <w:tblHeader/>
        </w:trPr>
        <w:tc>
          <w:tcPr>
            <w:tcW w:w="1667" w:type="pct"/>
          </w:tcPr>
          <w:p w14:paraId="14FA37C9" w14:textId="77777777" w:rsidR="004E63D6" w:rsidRPr="00D80E26" w:rsidRDefault="004E63D6" w:rsidP="00CA410A">
            <w:pPr>
              <w:pStyle w:val="TableHeading"/>
            </w:pPr>
          </w:p>
        </w:tc>
        <w:tc>
          <w:tcPr>
            <w:tcW w:w="1667" w:type="pct"/>
          </w:tcPr>
          <w:p w14:paraId="5E3AC94C" w14:textId="77777777" w:rsidR="004E63D6" w:rsidRPr="00D80E26" w:rsidRDefault="004E63D6" w:rsidP="00CA410A">
            <w:pPr>
              <w:pStyle w:val="TableHeading"/>
              <w:jc w:val="center"/>
            </w:pPr>
            <w:r>
              <w:t>PPA (95% CI)</w:t>
            </w:r>
          </w:p>
        </w:tc>
        <w:tc>
          <w:tcPr>
            <w:tcW w:w="1666" w:type="pct"/>
          </w:tcPr>
          <w:p w14:paraId="10495A0E" w14:textId="77777777" w:rsidR="004E63D6" w:rsidRPr="00D80E26" w:rsidRDefault="004E63D6" w:rsidP="00CA410A">
            <w:pPr>
              <w:pStyle w:val="TableHeading"/>
              <w:jc w:val="center"/>
            </w:pPr>
            <w:r w:rsidRPr="00D80E26">
              <w:t>NPA</w:t>
            </w:r>
            <w:r>
              <w:t xml:space="preserve"> (95% CI)</w:t>
            </w:r>
          </w:p>
        </w:tc>
      </w:tr>
      <w:tr w:rsidR="004E63D6" w:rsidRPr="00D80E26" w14:paraId="30F94100" w14:textId="77777777" w:rsidTr="00CA410A">
        <w:tc>
          <w:tcPr>
            <w:tcW w:w="1667" w:type="pct"/>
          </w:tcPr>
          <w:p w14:paraId="38D9EBBA" w14:textId="77777777" w:rsidR="004E63D6" w:rsidRPr="00D80E26" w:rsidRDefault="004E63D6" w:rsidP="00CA410A">
            <w:pPr>
              <w:pStyle w:val="TableText"/>
              <w:keepNext/>
            </w:pPr>
            <w:r w:rsidRPr="00A75F36">
              <w:t>ALK</w:t>
            </w:r>
            <w:r w:rsidRPr="00D80E26">
              <w:t xml:space="preserve"> IHC</w:t>
            </w:r>
          </w:p>
        </w:tc>
        <w:tc>
          <w:tcPr>
            <w:tcW w:w="1667" w:type="pct"/>
          </w:tcPr>
          <w:p w14:paraId="1B350FB8" w14:textId="77777777" w:rsidR="004E63D6" w:rsidRPr="00D80E26" w:rsidRDefault="004E63D6" w:rsidP="00CA410A">
            <w:pPr>
              <w:pStyle w:val="TableText"/>
              <w:jc w:val="center"/>
            </w:pPr>
            <w:r w:rsidRPr="00D80E26">
              <w:t>0.984</w:t>
            </w:r>
            <w:r>
              <w:t xml:space="preserve"> (0.900, 0.998)</w:t>
            </w:r>
          </w:p>
        </w:tc>
        <w:tc>
          <w:tcPr>
            <w:tcW w:w="1666" w:type="pct"/>
          </w:tcPr>
          <w:p w14:paraId="5DA8D4D1" w14:textId="77777777" w:rsidR="004E63D6" w:rsidRPr="00D80E26" w:rsidRDefault="004E63D6" w:rsidP="00CA410A">
            <w:pPr>
              <w:pStyle w:val="TableText"/>
              <w:jc w:val="center"/>
            </w:pPr>
            <w:r w:rsidRPr="00D80E26">
              <w:t>0.985</w:t>
            </w:r>
            <w:r>
              <w:t xml:space="preserve"> (0.972, 0.982)</w:t>
            </w:r>
          </w:p>
        </w:tc>
      </w:tr>
      <w:tr w:rsidR="004E63D6" w:rsidRPr="00D80E26" w14:paraId="0CFDA896" w14:textId="77777777" w:rsidTr="00CA410A">
        <w:tc>
          <w:tcPr>
            <w:tcW w:w="1667" w:type="pct"/>
          </w:tcPr>
          <w:p w14:paraId="653F6621" w14:textId="77777777" w:rsidR="004E63D6" w:rsidRPr="00D80E26" w:rsidRDefault="004E63D6" w:rsidP="00CA410A">
            <w:pPr>
              <w:pStyle w:val="TableText"/>
            </w:pPr>
            <w:r w:rsidRPr="00A75F36">
              <w:t>ROS1</w:t>
            </w:r>
            <w:r w:rsidRPr="00D80E26">
              <w:t xml:space="preserve"> IHC</w:t>
            </w:r>
          </w:p>
        </w:tc>
        <w:tc>
          <w:tcPr>
            <w:tcW w:w="1667" w:type="pct"/>
          </w:tcPr>
          <w:p w14:paraId="4C3DE49E" w14:textId="77777777" w:rsidR="004E63D6" w:rsidRPr="00D80E26" w:rsidRDefault="004E63D6" w:rsidP="00CA410A">
            <w:pPr>
              <w:pStyle w:val="TableText"/>
              <w:jc w:val="center"/>
            </w:pPr>
            <w:r>
              <w:t>0.951 (NR)</w:t>
            </w:r>
          </w:p>
        </w:tc>
        <w:tc>
          <w:tcPr>
            <w:tcW w:w="1666" w:type="pct"/>
          </w:tcPr>
          <w:p w14:paraId="7D785910" w14:textId="77777777" w:rsidR="004E63D6" w:rsidRPr="00D80E26" w:rsidRDefault="004E63D6" w:rsidP="00CA410A">
            <w:pPr>
              <w:pStyle w:val="TableText"/>
              <w:jc w:val="center"/>
            </w:pPr>
            <w:r>
              <w:t>0.938 (NR)</w:t>
            </w:r>
          </w:p>
        </w:tc>
      </w:tr>
    </w:tbl>
    <w:p w14:paraId="7A393A03" w14:textId="77777777" w:rsidR="004E63D6" w:rsidRDefault="004E63D6" w:rsidP="004E63D6">
      <w:pPr>
        <w:pStyle w:val="TableFooter"/>
      </w:pPr>
      <w:r>
        <w:t xml:space="preserve">Source: </w:t>
      </w:r>
      <w:r w:rsidRPr="00671807">
        <w:t>1250 PSD (p7), November 2013</w:t>
      </w:r>
      <w:r>
        <w:t xml:space="preserve"> MSAC Meeting; and </w:t>
      </w:r>
      <w:r w:rsidRPr="00671807">
        <w:t>1</w:t>
      </w:r>
      <w:r>
        <w:t>4</w:t>
      </w:r>
      <w:r w:rsidRPr="00671807">
        <w:t>54 PSD (p</w:t>
      </w:r>
      <w:r>
        <w:t>9</w:t>
      </w:r>
      <w:r w:rsidRPr="00671807">
        <w:t>), July 2018</w:t>
      </w:r>
      <w:r>
        <w:t xml:space="preserve"> MSAC Meeting.</w:t>
      </w:r>
    </w:p>
    <w:p w14:paraId="007375C9" w14:textId="1968F9C7" w:rsidR="004E63D6" w:rsidRPr="006A0F24" w:rsidRDefault="004E63D6" w:rsidP="004E63D6">
      <w:pPr>
        <w:pStyle w:val="TableFooter"/>
      </w:pPr>
      <w:r>
        <w:rPr>
          <w:i/>
        </w:rPr>
        <w:t>ALK</w:t>
      </w:r>
      <w:r>
        <w:t xml:space="preserve"> = </w:t>
      </w:r>
      <w:r w:rsidRPr="003316EF">
        <w:t>anaplastic lymphoma kinase</w:t>
      </w:r>
      <w:r>
        <w:t xml:space="preserve">; NPA = negative percent agreement; </w:t>
      </w:r>
      <w:r w:rsidR="00CB2AE7">
        <w:t xml:space="preserve">NR = not reported; </w:t>
      </w:r>
      <w:r>
        <w:t xml:space="preserve">PPA = positive percent agreement; PSD = public summary document; </w:t>
      </w:r>
      <w:r w:rsidRPr="00743D1B">
        <w:rPr>
          <w:i/>
        </w:rPr>
        <w:t>ROS1</w:t>
      </w:r>
      <w:r>
        <w:t xml:space="preserve"> = ROS proto-oncogene 1.</w:t>
      </w:r>
    </w:p>
    <w:p w14:paraId="687A5AB0" w14:textId="77777777" w:rsidR="004E63D6" w:rsidRPr="00D80E26" w:rsidRDefault="004E63D6" w:rsidP="004E63D6">
      <w:pPr>
        <w:pStyle w:val="TableFooter"/>
      </w:pPr>
    </w:p>
    <w:p w14:paraId="38F5F465" w14:textId="6871BC66" w:rsidR="004E63D6" w:rsidRDefault="004E63D6" w:rsidP="004E63D6">
      <w:pPr>
        <w:pStyle w:val="NormalBeforeBullet"/>
      </w:pPr>
      <w:r>
        <w:t xml:space="preserve">With proposed small gene panel testing, the estimated PPA values are used to determine the proportion of common actionable variants identified. For </w:t>
      </w:r>
      <w:r w:rsidRPr="00317B5E">
        <w:rPr>
          <w:i/>
        </w:rPr>
        <w:t>EGFR</w:t>
      </w:r>
      <w:r>
        <w:t xml:space="preserve"> and </w:t>
      </w:r>
      <w:r w:rsidRPr="00317B5E">
        <w:rPr>
          <w:i/>
        </w:rPr>
        <w:t>MET</w:t>
      </w:r>
      <w:r>
        <w:t>ex14sk, the PPA values (</w:t>
      </w:r>
      <w:r>
        <w:fldChar w:fldCharType="begin"/>
      </w:r>
      <w:r>
        <w:instrText xml:space="preserve"> REF _Ref108347594 \h </w:instrText>
      </w:r>
      <w:r>
        <w:fldChar w:fldCharType="separate"/>
      </w:r>
      <w:r w:rsidR="00C857F3" w:rsidRPr="00CE28E3">
        <w:t>Table</w:t>
      </w:r>
      <w:r w:rsidR="00C857F3">
        <w:t> </w:t>
      </w:r>
      <w:r w:rsidR="00C857F3">
        <w:rPr>
          <w:noProof/>
        </w:rPr>
        <w:t>46</w:t>
      </w:r>
      <w:r>
        <w:fldChar w:fldCharType="end"/>
      </w:r>
      <w:r>
        <w:t xml:space="preserve">) are used directly in the model. However for </w:t>
      </w:r>
      <w:r w:rsidRPr="00317B5E">
        <w:rPr>
          <w:i/>
        </w:rPr>
        <w:t>ALK</w:t>
      </w:r>
      <w:r>
        <w:t xml:space="preserve"> and </w:t>
      </w:r>
      <w:r w:rsidRPr="00317B5E">
        <w:rPr>
          <w:i/>
        </w:rPr>
        <w:t>ROS1</w:t>
      </w:r>
      <w:r>
        <w:t>, as variants require RNA testing, and as a proportion of samples are assumed to be tested using current IHC ± FISH methods (due to insufficient tissue quantity to perform RNA small panels), the PPA values are adjusted to reflect this use. Assuming 5% use of current IHC ± FISH methods, 9</w:t>
      </w:r>
      <w:r w:rsidR="00C92729">
        <w:t>9.9</w:t>
      </w:r>
      <w:r>
        <w:t xml:space="preserve">% of common </w:t>
      </w:r>
      <w:r w:rsidRPr="00317B5E">
        <w:rPr>
          <w:i/>
        </w:rPr>
        <w:t>ALK</w:t>
      </w:r>
      <w:r>
        <w:t xml:space="preserve"> variants are identified, and 86.</w:t>
      </w:r>
      <w:r w:rsidR="00F05D71">
        <w:t>5</w:t>
      </w:r>
      <w:r>
        <w:t xml:space="preserve">% of common </w:t>
      </w:r>
      <w:r w:rsidRPr="00317B5E">
        <w:rPr>
          <w:i/>
        </w:rPr>
        <w:t>ROS1</w:t>
      </w:r>
      <w:r>
        <w:t xml:space="preserve"> variants.</w:t>
      </w:r>
    </w:p>
    <w:p w14:paraId="4EAD9F8E" w14:textId="166E9634" w:rsidR="004E63D6" w:rsidRDefault="004E63D6" w:rsidP="004E63D6">
      <w:pPr>
        <w:pStyle w:val="NormalBeforeBullet"/>
      </w:pPr>
      <w:r>
        <w:t xml:space="preserve">Likewise, all </w:t>
      </w:r>
      <w:r w:rsidR="00C92729">
        <w:t xml:space="preserve">incremental </w:t>
      </w:r>
      <w:r>
        <w:t xml:space="preserve">variants are assumed to be identified, except where current IHC ± FISH methods are used to identify variants in </w:t>
      </w:r>
      <w:r w:rsidRPr="00317B5E">
        <w:rPr>
          <w:i/>
        </w:rPr>
        <w:t>ALK</w:t>
      </w:r>
      <w:r>
        <w:t xml:space="preserve"> and </w:t>
      </w:r>
      <w:r w:rsidRPr="00317B5E">
        <w:rPr>
          <w:i/>
        </w:rPr>
        <w:t>ROS1</w:t>
      </w:r>
      <w:r>
        <w:t>.</w:t>
      </w:r>
    </w:p>
    <w:p w14:paraId="75CEF4C2" w14:textId="77777777" w:rsidR="004E63D6" w:rsidRDefault="004E63D6" w:rsidP="004E63D6">
      <w:pPr>
        <w:pStyle w:val="NormalBeforeBullet"/>
      </w:pPr>
    </w:p>
    <w:p w14:paraId="1F909F14" w14:textId="77777777" w:rsidR="004E63D6" w:rsidRPr="00F118B7" w:rsidRDefault="004E63D6" w:rsidP="004E63D6">
      <w:pPr>
        <w:pStyle w:val="NormalBeforeBullet"/>
        <w:rPr>
          <w:u w:val="single"/>
        </w:rPr>
      </w:pPr>
      <w:r w:rsidRPr="00F118B7">
        <w:rPr>
          <w:u w:val="single"/>
        </w:rPr>
        <w:t>Test success</w:t>
      </w:r>
    </w:p>
    <w:p w14:paraId="0A338BA0" w14:textId="77777777" w:rsidR="004E63D6" w:rsidRDefault="004E63D6" w:rsidP="004E63D6">
      <w:pPr>
        <w:pStyle w:val="NormalBeforeBullet"/>
      </w:pPr>
      <w:r>
        <w:t>The probability of test strategy success is derived from the results of the systematic review conducted in Section 2. The best evidence for comparative test success was a large retrospective cohort study from the Netherlands reported by Steeghs et al. that compared the success of non-NGS based single gene testing (660/698; 94.6%) to NGS-based analyses (3,248/3,342; 97.2%)</w: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 </w:instrTex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EN.CITE.DATA </w:instrText>
      </w:r>
      <w:r>
        <w:fldChar w:fldCharType="end"/>
      </w:r>
      <w:r>
        <w:fldChar w:fldCharType="separate"/>
      </w:r>
      <w:r>
        <w:rPr>
          <w:noProof/>
        </w:rPr>
        <w:t>(Steeghs et al. 2022)</w:t>
      </w:r>
      <w:r>
        <w:fldChar w:fldCharType="end"/>
      </w:r>
      <w:r>
        <w:t>.</w:t>
      </w:r>
    </w:p>
    <w:p w14:paraId="768025EE" w14:textId="77777777" w:rsidR="004E63D6" w:rsidRDefault="004E63D6" w:rsidP="004E63D6">
      <w:pPr>
        <w:pStyle w:val="NormalBeforeBullet"/>
      </w:pPr>
      <w:r>
        <w:t xml:space="preserve">While, as described in Section 3.2.3, some applicability concerns do exist regarding these data, better alternate estimates of the comparative success rates could not be identified. The effect on the ICER when test success data are excluded from the analyses will also be observed in the stepped generation of the base case analysis, and sensitivity analyses will be presented assuming no difference in the rates of success across model arms (e.g. both arms 97.2% or 94.6%). </w:t>
      </w:r>
    </w:p>
    <w:p w14:paraId="2D3C0D21" w14:textId="77777777" w:rsidR="004E63D6" w:rsidRDefault="004E63D6" w:rsidP="004E63D6">
      <w:pPr>
        <w:pStyle w:val="NormalBeforeBullet"/>
      </w:pPr>
    </w:p>
    <w:p w14:paraId="73D07397" w14:textId="77777777" w:rsidR="004E63D6" w:rsidRPr="002F1C81" w:rsidRDefault="004E63D6" w:rsidP="004E63D6">
      <w:pPr>
        <w:pStyle w:val="NormalBeforeBullet"/>
        <w:rPr>
          <w:u w:val="single"/>
        </w:rPr>
      </w:pPr>
      <w:r w:rsidRPr="002F1C81">
        <w:rPr>
          <w:u w:val="single"/>
        </w:rPr>
        <w:t>Rebiopsy</w:t>
      </w:r>
    </w:p>
    <w:p w14:paraId="1EEF686F" w14:textId="2B851984" w:rsidR="004E63D6" w:rsidRDefault="004E63D6" w:rsidP="004E63D6">
      <w:pPr>
        <w:pStyle w:val="NormalBeforeBullet"/>
      </w:pPr>
      <w:r>
        <w:t xml:space="preserve">As described in Section 3.2.3, test failure reported in Steeghs et al. </w: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 </w:instrText>
      </w:r>
      <w:r>
        <w:fldChar w:fldCharType="begin">
          <w:fldData xml:space="preserve">PEVuZE5vdGU+PENpdGUgRXhjbHVkZUF1dGg9IjEiPjxBdXRob3I+U3RlZWdoczwvQXV0aG9yPjxZ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</w:fldData>
        </w:fldChar>
      </w:r>
      <w:r>
        <w:instrText xml:space="preserve"> ADDIN EN.CITE.DATA </w:instrText>
      </w:r>
      <w:r>
        <w:fldChar w:fldCharType="end"/>
      </w:r>
      <w:r>
        <w:fldChar w:fldCharType="separate"/>
      </w:r>
      <w:r>
        <w:rPr>
          <w:noProof/>
        </w:rPr>
        <w:t>(2022)</w:t>
      </w:r>
      <w:r>
        <w:fldChar w:fldCharType="end"/>
      </w:r>
      <w:r>
        <w:t xml:space="preserve"> was generally due to insufficient quantity or quality of tissue. Therefore, test failures modelled are assumed to require a rebiopsy to enable further testing of tumour tissue to be performed. Two studies were identified in Section 2 that reported repeat biopsies in 13−43% of cases; the</w:t>
      </w:r>
      <w:r w:rsidRPr="00037B8E">
        <w:t xml:space="preserve"> remaining cases were either tested using liquid biopsy or not biomarker tested</w:t>
      </w:r>
      <w:r>
        <w:t>. It was also acknowledged in Section 2.3.3 that these data would not likely be applicable to the proposed setting as access to targeted therapies requires testing and as testing may also be used to inform use of some immunotherapies (</w:t>
      </w:r>
      <w:r w:rsidR="00466C4F">
        <w:t>e.g.</w:t>
      </w:r>
      <w:r>
        <w:t>, pembrolizumab or atezolizumab) as part of the standard of care.</w:t>
      </w:r>
    </w:p>
    <w:p w14:paraId="61863879" w14:textId="77777777" w:rsidR="004E63D6" w:rsidRDefault="004E63D6" w:rsidP="004E63D6">
      <w:pPr>
        <w:pStyle w:val="NormalBeforeBullet"/>
      </w:pPr>
      <w:r>
        <w:t>MSAC had previously considered that a rebiopsy rate of 63% would apply after first-line therapy (p3, 1407 PSD, November 2018 MSAC Meeting), and so a higher rate may be reasonable to assume prior to initiation of first-line treatment. Therefore in the base case analysis, this has been assumed to be 100%. Sensitivity analyses are conducted varying this estimate.</w:t>
      </w:r>
      <w:r w:rsidRPr="007977C6">
        <w:t xml:space="preserve"> </w:t>
      </w:r>
      <w:r>
        <w:t xml:space="preserve">Where test </w:t>
      </w:r>
      <w:r>
        <w:lastRenderedPageBreak/>
        <w:t>failure occurs in a patient at an early stage of disease, rebiopsy is only assumed on disease recurrence.</w:t>
      </w:r>
    </w:p>
    <w:p w14:paraId="7531651A" w14:textId="0CF417E6" w:rsidR="004E63D6" w:rsidRDefault="004E63D6" w:rsidP="004E63D6">
      <w:pPr>
        <w:pStyle w:val="NormalBeforeBullet"/>
      </w:pPr>
      <w:r>
        <w:t>Rebiopsies were assumed to have a 20% (12/60) failure rate, based on the number of biop</w:t>
      </w:r>
      <w:r w:rsidR="00AC6DEF">
        <w:t>s</w:t>
      </w:r>
      <w:r>
        <w:t xml:space="preserve">ies observed in Stage IIIB/IV patients that were either obtained, but failed due to technical reasons (such as normal tissue or insufficient tumour cells) (10/60) or were not obtained due to complications (2/60) </w:t>
      </w:r>
      <w:r>
        <w:fldChar w:fldCharType="begin"/>
      </w:r>
      <w:r>
        <w:instrText xml:space="preserve"> ADDIN EN.CITE &lt;EndNote&gt;&lt;Cite&gt;&lt;Author&gt;Kelly&lt;/Author&gt;&lt;Year&gt;2019&lt;/Year&gt;&lt;RecNum&gt;202&lt;/RecNum&gt;&lt;IDText&gt;e717-e727&lt;/IDText&gt;&lt;DisplayText&gt;(Kelly et al. 2019)&lt;/DisplayText&gt;&lt;record&gt;&lt;rec-number&gt;202&lt;/rec-number&gt;&lt;foreign-keys&gt;&lt;key app="EN" db-id="0tprsse9cpp5r3ea5dz5p0xw2pfwvwxpa5a5" timestamp="1657698762"&gt;202&lt;/key&gt;&lt;/foreign-keys&gt;&lt;ref-type name="Journal Article"&gt;17&lt;/ref-type&gt;&lt;contributors&gt;&lt;authors&gt;&lt;author&gt;Kelly, R. J.&lt;/author&gt;&lt;author&gt;Turner, R.&lt;/author&gt;&lt;author&gt;Chen, Y. W.&lt;/author&gt;&lt;author&gt;Rigas, J. R.&lt;/author&gt;&lt;author&gt;Fernandes, A. W.&lt;/author&gt;&lt;author&gt;Karve, S.&lt;/author&gt;&lt;/authors&gt;&lt;/contributors&gt;&lt;auth-address&gt;1Baylor Charles A. Sammons Cancer Center at Baylor University Medical Center, Dallas, TX.&amp;#xD;2Sidney Kimmel Comprehensive Cancer Center, The Johns Hopkins University, Baltimore, MD.&amp;#xD;3HealthCore, Wilmington, DE.&amp;#xD;4AstraZeneca, Hanover, NH.&amp;#xD;5AstraZeneca, Gaithersburg, MD.&lt;/auth-address&gt;&lt;titles&gt;&lt;title&gt;Complications and Economic Burden Associated With Obtaining Tissue for Diagnosis and Molecular Analysis in Patients With Non-Small-Cell Lung Cancer in the United States&lt;/title&gt;&lt;secondary-title&gt;J Oncol Pract&lt;/secondary-title&gt;&lt;/titles&gt;&lt;periodical&gt;&lt;full-title&gt;J Oncol Pract&lt;/full-title&gt;&lt;/periodical&gt;&lt;pages&gt;e717-e727&lt;/pages&gt;&lt;volume&gt;15&lt;/volume&gt;&lt;number&gt;8&lt;/number&gt;&lt;edition&gt;2019/06/27&lt;/edition&gt;&lt;keywords&gt;&lt;keyword&gt;Aged&lt;/keyword&gt;&lt;keyword&gt;Biopsy/*economics/methods&lt;/keyword&gt;&lt;keyword&gt;Carcinoma, Non-Small-Cell Lung/*economics/surgery&lt;/keyword&gt;&lt;keyword&gt;Cost of Illness&lt;/keyword&gt;&lt;keyword&gt;Female&lt;/keyword&gt;&lt;keyword&gt;Humans&lt;/keyword&gt;&lt;keyword&gt;Lung Neoplasms/*economics/surgery&lt;/keyword&gt;&lt;keyword&gt;Male&lt;/keyword&gt;&lt;keyword&gt;Retrospective Studies&lt;/keyword&gt;&lt;keyword&gt;United States&lt;/keyword&gt;&lt;/keywords&gt;&lt;dates&gt;&lt;year&gt;2019&lt;/year&gt;&lt;pub-dates&gt;&lt;date&gt;Aug&lt;/date&gt;&lt;/pub-dates&gt;&lt;/dates&gt;&lt;isbn&gt;1935-469X (Electronic)&amp;#xD;1554-7477 (Linking)&lt;/isbn&gt;&lt;accession-num&gt;31237806&lt;/accession-num&gt;&lt;urls&gt;&lt;related-urls&gt;&lt;url&gt;https://www.ncbi.nlm.nih.gov/pubmed/31237806&lt;/url&gt;&lt;/related-urls&gt;&lt;/urls&gt;&lt;electronic-resource-num&gt;10.1200/JOP.18.00762&lt;/electronic-resource-num&gt;&lt;/record&gt;&lt;/Cite&gt;&lt;/EndNote&gt;</w:instrText>
      </w:r>
      <w:r>
        <w:fldChar w:fldCharType="separate"/>
      </w:r>
      <w:r>
        <w:rPr>
          <w:noProof/>
        </w:rPr>
        <w:t>(Kelly et al. 2019)</w:t>
      </w:r>
      <w:r>
        <w:fldChar w:fldCharType="end"/>
      </w:r>
      <w:r>
        <w:t>. An estimate of 15% as used in the existing economic literature (</w:t>
      </w:r>
      <w:r>
        <w:fldChar w:fldCharType="begin"/>
      </w:r>
      <w:r>
        <w:instrText xml:space="preserve"> REF _Ref108347313 \h </w:instrText>
      </w:r>
      <w:r>
        <w:fldChar w:fldCharType="separate"/>
      </w:r>
      <w:r w:rsidR="00C857F3" w:rsidRPr="00CE28E3">
        <w:t>Table</w:t>
      </w:r>
      <w:r w:rsidR="00C857F3">
        <w:t> </w:t>
      </w:r>
      <w:r w:rsidR="00C857F3">
        <w:rPr>
          <w:noProof/>
        </w:rPr>
        <w:t>91</w:t>
      </w:r>
      <w:r>
        <w:fldChar w:fldCharType="end"/>
      </w:r>
      <w:r>
        <w:t xml:space="preserve">) is used in a sensitivity analysis. Complications related to rebiopsy are also costed in the model. As described in Section 3.2.6, a 14% complication rate has been assumed in the base case analysis. </w:t>
      </w:r>
    </w:p>
    <w:p w14:paraId="03008CE9" w14:textId="77777777" w:rsidR="004E63D6" w:rsidRPr="003251C2" w:rsidRDefault="004E63D6" w:rsidP="004E63D6">
      <w:pPr>
        <w:pStyle w:val="NormalBeforeBullet"/>
      </w:pPr>
    </w:p>
    <w:p w14:paraId="472A80DD" w14:textId="77777777" w:rsidR="004E63D6" w:rsidRPr="00CE28E3" w:rsidRDefault="004E63D6" w:rsidP="004E63D6">
      <w:pPr>
        <w:pStyle w:val="Heading3"/>
      </w:pPr>
      <w:bookmarkStart w:id="166" w:name="_Toc109054488"/>
      <w:bookmarkStart w:id="167" w:name="_Toc148531173"/>
      <w:r w:rsidRPr="00CE28E3">
        <w:t>3.2.5</w:t>
      </w:r>
      <w:r w:rsidRPr="00CE28E3">
        <w:tab/>
        <w:t>Health outcomes</w:t>
      </w:r>
      <w:bookmarkEnd w:id="166"/>
      <w:bookmarkEnd w:id="167"/>
    </w:p>
    <w:p w14:paraId="449E7D4C" w14:textId="043A14FA" w:rsidR="004E63D6" w:rsidRDefault="004E63D6" w:rsidP="004E63D6">
      <w:pPr>
        <w:pStyle w:val="NormalBeforeBullet"/>
      </w:pPr>
      <w:r>
        <w:t xml:space="preserve">As described in Section 3.1, due to the high degree of uncertainty associated with modelling the effect of changes in treatment (in terms of both outcome and cost differences), the model truncates at the point of first-line NSCLC treatment initiation decisions. Given the proposed benefits of small gene panel testing (improved test success and increased actionable variant yield), the primary outcome of the economic analysis is the net change in patients eligible for targeted therapy. Given the uncertainties associated with the effect of targeted treatment in </w:t>
      </w:r>
      <w:r w:rsidR="005138DD">
        <w:t xml:space="preserve">incremental </w:t>
      </w:r>
      <w:r>
        <w:t>compared to common variants, outcomes reported will be disaggregated by actionable variant type</w:t>
      </w:r>
      <w:r w:rsidR="005138DD">
        <w:t xml:space="preserve"> (i.e. common or incremental)</w:t>
      </w:r>
      <w:r>
        <w:t xml:space="preserve">. Knowledge of biomarker status is also considered a patient-relevant outcome, as this may be used to inform eligibility to immunotherapy in some patients. </w:t>
      </w:r>
    </w:p>
    <w:p w14:paraId="313D80C1" w14:textId="63ABD82B" w:rsidR="004E63D6" w:rsidRDefault="004E63D6" w:rsidP="004E63D6">
      <w:pPr>
        <w:pStyle w:val="NormalBeforeBullet"/>
      </w:pPr>
      <w:r>
        <w:t>In addition to outcomes related to eligibility to targeted therapies and knowledge of biomarker status, the change in rebiopsies performed with proposed small gene panel testing is also measured.</w:t>
      </w:r>
    </w:p>
    <w:p w14:paraId="1F812EA7" w14:textId="77777777" w:rsidR="004E63D6" w:rsidRPr="00CE28E3" w:rsidRDefault="004E63D6" w:rsidP="004E63D6">
      <w:pPr>
        <w:pStyle w:val="Heading3"/>
      </w:pPr>
      <w:bookmarkStart w:id="168" w:name="_Toc109054489"/>
      <w:bookmarkStart w:id="169" w:name="_Toc148531174"/>
      <w:r w:rsidRPr="00CE28E3">
        <w:t>3.2.6</w:t>
      </w:r>
      <w:r w:rsidRPr="00CE28E3">
        <w:tab/>
        <w:t>Health care resource use and costs</w:t>
      </w:r>
      <w:bookmarkEnd w:id="168"/>
      <w:bookmarkEnd w:id="169"/>
    </w:p>
    <w:p w14:paraId="39E77B89" w14:textId="77777777" w:rsidR="004E63D6" w:rsidRPr="0043303B" w:rsidRDefault="004E63D6" w:rsidP="004E63D6">
      <w:pPr>
        <w:pStyle w:val="NormalBeforeBullet"/>
        <w:rPr>
          <w:u w:val="single"/>
        </w:rPr>
      </w:pPr>
      <w:r w:rsidRPr="0043303B">
        <w:rPr>
          <w:u w:val="single"/>
        </w:rPr>
        <w:t>Current testing</w:t>
      </w:r>
    </w:p>
    <w:p w14:paraId="007AF976" w14:textId="41713AA7" w:rsidR="004E63D6" w:rsidRDefault="004E63D6" w:rsidP="004E63D6">
      <w:pPr>
        <w:pStyle w:val="NormalBeforeBullet"/>
      </w:pPr>
      <w:r>
        <w:t xml:space="preserve">Currently, all patients tested receive </w:t>
      </w:r>
      <w:r w:rsidRPr="0040581D">
        <w:rPr>
          <w:i/>
        </w:rPr>
        <w:t>EGFR</w:t>
      </w:r>
      <w:r>
        <w:t xml:space="preserve"> and </w:t>
      </w:r>
      <w:r w:rsidRPr="00A75F36">
        <w:t>ALK</w:t>
      </w:r>
      <w:r>
        <w:t xml:space="preserve"> and </w:t>
      </w:r>
      <w:r w:rsidRPr="00A75F36">
        <w:t>ROS1</w:t>
      </w:r>
      <w:r>
        <w:t xml:space="preserve"> IHC. As IHC is used as a triage test, FISH is required as a confirmatory test in those with positive IHC results. The average use of FISH testing varies by underlying </w:t>
      </w:r>
      <w:r w:rsidRPr="0040581D">
        <w:rPr>
          <w:i/>
        </w:rPr>
        <w:t>ALK</w:t>
      </w:r>
      <w:r>
        <w:t xml:space="preserve"> or </w:t>
      </w:r>
      <w:r w:rsidRPr="0040581D">
        <w:rPr>
          <w:i/>
        </w:rPr>
        <w:t>ROS1</w:t>
      </w:r>
      <w:r>
        <w:t xml:space="preserve"> biomarker status and result of IHC testing (</w:t>
      </w:r>
      <w:r>
        <w:fldChar w:fldCharType="begin"/>
      </w:r>
      <w:r>
        <w:instrText xml:space="preserve"> REF _Ref108347931 \h </w:instrText>
      </w:r>
      <w:r>
        <w:fldChar w:fldCharType="separate"/>
      </w:r>
      <w:r w:rsidR="00C857F3" w:rsidRPr="00CE28E3">
        <w:t>Table</w:t>
      </w:r>
      <w:r w:rsidR="00C857F3">
        <w:t> </w:t>
      </w:r>
      <w:r w:rsidR="00C857F3">
        <w:rPr>
          <w:noProof/>
        </w:rPr>
        <w:t>48</w:t>
      </w:r>
      <w:r>
        <w:fldChar w:fldCharType="end"/>
      </w:r>
      <w:r>
        <w:t xml:space="preserve">). In addition, FISH is only used in patients with advanced disease. Where actionable variants are present, results of IHC are explicitly modelled, and so patients with a concordant result would all receive confirmatory FISH, while those that were discordant, would not. </w:t>
      </w:r>
    </w:p>
    <w:p w14:paraId="08C0CA4F" w14:textId="01375752" w:rsidR="004E63D6" w:rsidRDefault="004E63D6" w:rsidP="004E63D6">
      <w:pPr>
        <w:pStyle w:val="NormalBeforeBullet"/>
      </w:pPr>
      <w:r>
        <w:t>In patients where actionable variants are not present, results from IHC testing are not explicitly modelled, and so the average FISH use in these patients is applied. The most straightforward approach to estimate the average use would be to use IHC specificity data. Patients in whom IHC returns a false positive result would receive one FISH (i.e. 1</w:t>
      </w:r>
      <w:r w:rsidR="002C2FB2">
        <w:t> </w:t>
      </w:r>
      <w:r>
        <w:t>–</w:t>
      </w:r>
      <w:r w:rsidR="002C2FB2">
        <w:t> </w:t>
      </w:r>
      <w:r>
        <w:t>IHC specificity), whereas those in whom a true negative result is returned would receive no FISH testing. Thus 1 – IHC specificity could be used to estimate average FISH use where actionable variants are not present.</w:t>
      </w:r>
    </w:p>
    <w:p w14:paraId="671DF324" w14:textId="77777777" w:rsidR="004E63D6" w:rsidRDefault="004E63D6" w:rsidP="004E63D6">
      <w:pPr>
        <w:pStyle w:val="NormalBeforeBullet"/>
      </w:pPr>
      <w:r>
        <w:t xml:space="preserve">However, as shown in Section 3.2.7, average use of </w:t>
      </w:r>
      <w:r w:rsidRPr="0040581D">
        <w:rPr>
          <w:i/>
        </w:rPr>
        <w:t>ALK</w:t>
      </w:r>
      <w:r>
        <w:t xml:space="preserve"> and </w:t>
      </w:r>
      <w:r w:rsidRPr="0040581D">
        <w:rPr>
          <w:i/>
        </w:rPr>
        <w:t>ROS1</w:t>
      </w:r>
      <w:r>
        <w:t xml:space="preserve"> FISH services per patient who enters the model and receives </w:t>
      </w:r>
      <w:r w:rsidRPr="00DB3E00">
        <w:rPr>
          <w:i/>
        </w:rPr>
        <w:t>EGFR</w:t>
      </w:r>
      <w:r>
        <w:t xml:space="preserve"> testing is lower than the observed ratio of </w:t>
      </w:r>
      <w:r w:rsidRPr="0040581D">
        <w:rPr>
          <w:i/>
        </w:rPr>
        <w:t>ALK</w:t>
      </w:r>
      <w:r>
        <w:t xml:space="preserve"> or </w:t>
      </w:r>
      <w:r w:rsidRPr="0040581D">
        <w:rPr>
          <w:i/>
        </w:rPr>
        <w:t>ROS1</w:t>
      </w:r>
      <w:r>
        <w:t xml:space="preserve"> FISH to </w:t>
      </w:r>
      <w:r w:rsidRPr="0040581D">
        <w:rPr>
          <w:i/>
        </w:rPr>
        <w:t>EGFR</w:t>
      </w:r>
      <w:r>
        <w:t xml:space="preserve"> services, respectively. This may be due to a number of factors – the proportion of patients with advanced disease (or who experience advanced disease) may be an underestimate, the prevalence of rearrangements may be an underestimate or the performance of IHC in terms of specificity may be an overestimate (e.g. IHC may require more unnecessary FISH). It is also </w:t>
      </w:r>
      <w:r>
        <w:lastRenderedPageBreak/>
        <w:t xml:space="preserve">possible that some </w:t>
      </w:r>
      <w:r w:rsidRPr="004D77C6">
        <w:rPr>
          <w:i/>
        </w:rPr>
        <w:t>EGFR</w:t>
      </w:r>
      <w:r>
        <w:t xml:space="preserve"> testing is being performed through the public hospital system (whereas subsequent FISH use may be billed to the MBS). In the absence of alternate estimates that are more consistent with the utilisation data, calibration of the estimate of FISH use in patients without actionable variants to the observed utilisation data is performed (see Appendix F). This approach is assumed to affect use and cost of FISH only (and so has no effect on the yield of actionable variants identified). Analyses are presented using the alternate approach in both Section 3.2.7 and in sensitivity analyses.</w:t>
      </w:r>
    </w:p>
    <w:p w14:paraId="0305AB7F" w14:textId="6DB15427" w:rsidR="004E63D6" w:rsidRDefault="004E63D6" w:rsidP="004E63D6">
      <w:pPr>
        <w:pStyle w:val="Caption"/>
      </w:pPr>
      <w:bookmarkStart w:id="170" w:name="_Ref108347931"/>
      <w:r w:rsidRPr="00CE28E3">
        <w:t>Table</w:t>
      </w:r>
      <w:r>
        <w:t> </w:t>
      </w:r>
      <w:fldSimple w:instr=" SEQ Table \* ARABIC ">
        <w:r w:rsidR="00C857F3">
          <w:rPr>
            <w:noProof/>
          </w:rPr>
          <w:t>48</w:t>
        </w:r>
      </w:fldSimple>
      <w:bookmarkEnd w:id="170"/>
      <w:r w:rsidRPr="00CE28E3">
        <w:tab/>
      </w:r>
      <w:r>
        <w:t>Use of FISH testing in patients with advanced disease</w:t>
      </w:r>
    </w:p>
    <w:tbl>
      <w:tblPr>
        <w:tblStyle w:val="TableGrid"/>
        <w:tblW w:w="0" w:type="auto"/>
        <w:tblLook w:val="04A0" w:firstRow="1" w:lastRow="0" w:firstColumn="1" w:lastColumn="0" w:noHBand="0" w:noVBand="1"/>
        <w:tblCaption w:val="Use of FISH testing in patients with advanced disease"/>
        <w:tblDescription w:val="Use of FISH testing in patients with advanced disease"/>
      </w:tblPr>
      <w:tblGrid>
        <w:gridCol w:w="4957"/>
        <w:gridCol w:w="2029"/>
        <w:gridCol w:w="2030"/>
      </w:tblGrid>
      <w:tr w:rsidR="004E63D6" w:rsidRPr="00384A4D" w14:paraId="4CC65C7E" w14:textId="77777777" w:rsidTr="00F56CC8">
        <w:trPr>
          <w:tblHeader/>
        </w:trPr>
        <w:tc>
          <w:tcPr>
            <w:tcW w:w="4957" w:type="dxa"/>
            <w:tcBorders>
              <w:bottom w:val="single" w:sz="4" w:space="0" w:color="auto"/>
            </w:tcBorders>
          </w:tcPr>
          <w:p w14:paraId="0B90E93A" w14:textId="77777777" w:rsidR="004E63D6" w:rsidRPr="00384A4D" w:rsidRDefault="004E63D6" w:rsidP="00CA410A">
            <w:pPr>
              <w:pStyle w:val="TableHeading"/>
            </w:pPr>
          </w:p>
        </w:tc>
        <w:tc>
          <w:tcPr>
            <w:tcW w:w="2029" w:type="dxa"/>
            <w:tcBorders>
              <w:bottom w:val="single" w:sz="4" w:space="0" w:color="auto"/>
            </w:tcBorders>
          </w:tcPr>
          <w:p w14:paraId="5150117D" w14:textId="77777777" w:rsidR="004E63D6" w:rsidRPr="00384A4D" w:rsidRDefault="004E63D6" w:rsidP="00CA410A">
            <w:pPr>
              <w:pStyle w:val="TableHeading"/>
              <w:jc w:val="center"/>
            </w:pPr>
            <w:r>
              <w:t xml:space="preserve">Use of </w:t>
            </w:r>
            <w:r w:rsidRPr="007A0566">
              <w:rPr>
                <w:i/>
              </w:rPr>
              <w:t>ALK</w:t>
            </w:r>
            <w:r>
              <w:t xml:space="preserve"> FISH</w:t>
            </w:r>
          </w:p>
        </w:tc>
        <w:tc>
          <w:tcPr>
            <w:tcW w:w="2030" w:type="dxa"/>
            <w:tcBorders>
              <w:bottom w:val="single" w:sz="4" w:space="0" w:color="auto"/>
            </w:tcBorders>
          </w:tcPr>
          <w:p w14:paraId="07BBDAD2" w14:textId="77777777" w:rsidR="004E63D6" w:rsidRPr="00384A4D" w:rsidRDefault="004E63D6" w:rsidP="00CA410A">
            <w:pPr>
              <w:pStyle w:val="TableHeading"/>
              <w:jc w:val="center"/>
            </w:pPr>
            <w:r>
              <w:t xml:space="preserve">Use of </w:t>
            </w:r>
            <w:r w:rsidRPr="007A0566">
              <w:rPr>
                <w:i/>
              </w:rPr>
              <w:t>ROS1</w:t>
            </w:r>
            <w:r>
              <w:t xml:space="preserve"> FISH</w:t>
            </w:r>
          </w:p>
        </w:tc>
      </w:tr>
      <w:tr w:rsidR="004E63D6" w:rsidRPr="00384A4D" w14:paraId="27D26A71" w14:textId="77777777" w:rsidTr="00CA410A">
        <w:tc>
          <w:tcPr>
            <w:tcW w:w="4957" w:type="dxa"/>
            <w:tcBorders>
              <w:right w:val="nil"/>
            </w:tcBorders>
          </w:tcPr>
          <w:p w14:paraId="70D71C12" w14:textId="219F7D6E" w:rsidR="004E63D6" w:rsidRPr="00384A4D" w:rsidRDefault="004E63D6" w:rsidP="00CB2AE7">
            <w:pPr>
              <w:pStyle w:val="TableText"/>
              <w:keepNext/>
            </w:pPr>
            <w:r>
              <w:t>Common variant present</w:t>
            </w:r>
          </w:p>
        </w:tc>
        <w:tc>
          <w:tcPr>
            <w:tcW w:w="2029" w:type="dxa"/>
            <w:tcBorders>
              <w:left w:val="nil"/>
              <w:right w:val="nil"/>
            </w:tcBorders>
          </w:tcPr>
          <w:p w14:paraId="075CD7A1" w14:textId="77777777" w:rsidR="004E63D6" w:rsidRPr="00384A4D" w:rsidRDefault="004E63D6" w:rsidP="00CA410A">
            <w:pPr>
              <w:pStyle w:val="TableText"/>
              <w:keepNext/>
              <w:jc w:val="center"/>
            </w:pPr>
          </w:p>
        </w:tc>
        <w:tc>
          <w:tcPr>
            <w:tcW w:w="2030" w:type="dxa"/>
            <w:tcBorders>
              <w:left w:val="nil"/>
            </w:tcBorders>
          </w:tcPr>
          <w:p w14:paraId="0FC8DCFC" w14:textId="77777777" w:rsidR="004E63D6" w:rsidRPr="00384A4D" w:rsidRDefault="004E63D6" w:rsidP="00CA410A">
            <w:pPr>
              <w:pStyle w:val="TableText"/>
              <w:keepNext/>
              <w:jc w:val="center"/>
            </w:pPr>
          </w:p>
        </w:tc>
      </w:tr>
      <w:tr w:rsidR="004E63D6" w:rsidRPr="00384A4D" w14:paraId="4CE1DA20" w14:textId="77777777" w:rsidTr="00CA410A">
        <w:tc>
          <w:tcPr>
            <w:tcW w:w="4957" w:type="dxa"/>
          </w:tcPr>
          <w:p w14:paraId="4E4A420C" w14:textId="77777777" w:rsidR="004E63D6" w:rsidRDefault="004E63D6" w:rsidP="00CA410A">
            <w:pPr>
              <w:pStyle w:val="TableText"/>
              <w:keepNext/>
              <w:numPr>
                <w:ilvl w:val="0"/>
                <w:numId w:val="34"/>
              </w:numPr>
            </w:pPr>
            <w:r>
              <w:t>IHC positive result</w:t>
            </w:r>
          </w:p>
        </w:tc>
        <w:tc>
          <w:tcPr>
            <w:tcW w:w="2029" w:type="dxa"/>
          </w:tcPr>
          <w:p w14:paraId="11D4ADC3" w14:textId="77777777" w:rsidR="004E63D6" w:rsidRPr="00384A4D" w:rsidRDefault="004E63D6" w:rsidP="00CA410A">
            <w:pPr>
              <w:pStyle w:val="TableText"/>
              <w:keepNext/>
              <w:jc w:val="center"/>
            </w:pPr>
            <w:r w:rsidRPr="00384A4D">
              <w:t>1</w:t>
            </w:r>
          </w:p>
        </w:tc>
        <w:tc>
          <w:tcPr>
            <w:tcW w:w="2030" w:type="dxa"/>
          </w:tcPr>
          <w:p w14:paraId="271ADECB" w14:textId="77777777" w:rsidR="004E63D6" w:rsidRPr="00384A4D" w:rsidRDefault="004E63D6" w:rsidP="00CA410A">
            <w:pPr>
              <w:pStyle w:val="TableText"/>
              <w:keepNext/>
              <w:jc w:val="center"/>
            </w:pPr>
            <w:r w:rsidRPr="00384A4D">
              <w:t>1</w:t>
            </w:r>
          </w:p>
        </w:tc>
      </w:tr>
      <w:tr w:rsidR="004E63D6" w:rsidRPr="00384A4D" w14:paraId="0FEAF930" w14:textId="77777777" w:rsidTr="00CA410A">
        <w:tc>
          <w:tcPr>
            <w:tcW w:w="4957" w:type="dxa"/>
            <w:tcBorders>
              <w:bottom w:val="single" w:sz="4" w:space="0" w:color="auto"/>
            </w:tcBorders>
          </w:tcPr>
          <w:p w14:paraId="0F79E94D" w14:textId="77777777" w:rsidR="004E63D6" w:rsidRPr="00384A4D" w:rsidRDefault="004E63D6" w:rsidP="00CA410A">
            <w:pPr>
              <w:pStyle w:val="TableText"/>
              <w:keepNext/>
              <w:numPr>
                <w:ilvl w:val="0"/>
                <w:numId w:val="34"/>
              </w:numPr>
            </w:pPr>
            <w:r>
              <w:t>IHC negative result</w:t>
            </w:r>
          </w:p>
        </w:tc>
        <w:tc>
          <w:tcPr>
            <w:tcW w:w="2029" w:type="dxa"/>
            <w:tcBorders>
              <w:bottom w:val="single" w:sz="4" w:space="0" w:color="auto"/>
            </w:tcBorders>
          </w:tcPr>
          <w:p w14:paraId="52F7E31F" w14:textId="77777777" w:rsidR="004E63D6" w:rsidRPr="00384A4D" w:rsidRDefault="004E63D6" w:rsidP="00CA410A">
            <w:pPr>
              <w:pStyle w:val="TableText"/>
              <w:keepNext/>
              <w:jc w:val="center"/>
            </w:pPr>
            <w:r w:rsidRPr="00384A4D">
              <w:t>0</w:t>
            </w:r>
          </w:p>
        </w:tc>
        <w:tc>
          <w:tcPr>
            <w:tcW w:w="2030" w:type="dxa"/>
            <w:tcBorders>
              <w:bottom w:val="single" w:sz="4" w:space="0" w:color="auto"/>
            </w:tcBorders>
          </w:tcPr>
          <w:p w14:paraId="0AD1064A" w14:textId="77777777" w:rsidR="004E63D6" w:rsidRPr="00384A4D" w:rsidRDefault="004E63D6" w:rsidP="00CA410A">
            <w:pPr>
              <w:pStyle w:val="TableText"/>
              <w:keepNext/>
              <w:jc w:val="center"/>
            </w:pPr>
            <w:r w:rsidRPr="00384A4D">
              <w:t>0</w:t>
            </w:r>
          </w:p>
        </w:tc>
      </w:tr>
      <w:tr w:rsidR="004E63D6" w:rsidRPr="00384A4D" w14:paraId="4B7F56DE" w14:textId="77777777" w:rsidTr="00CA410A">
        <w:tc>
          <w:tcPr>
            <w:tcW w:w="4957" w:type="dxa"/>
            <w:tcBorders>
              <w:right w:val="nil"/>
            </w:tcBorders>
          </w:tcPr>
          <w:p w14:paraId="446651AC" w14:textId="64E7D065" w:rsidR="004E63D6" w:rsidRPr="00384A4D" w:rsidRDefault="004E63D6" w:rsidP="00CB2AE7">
            <w:pPr>
              <w:pStyle w:val="TableText"/>
              <w:keepNext/>
            </w:pPr>
            <w:r>
              <w:t>Average use where common variants are not present</w:t>
            </w:r>
          </w:p>
        </w:tc>
        <w:tc>
          <w:tcPr>
            <w:tcW w:w="2029" w:type="dxa"/>
            <w:tcBorders>
              <w:left w:val="nil"/>
              <w:right w:val="nil"/>
            </w:tcBorders>
          </w:tcPr>
          <w:p w14:paraId="245805E8" w14:textId="77777777" w:rsidR="004E63D6" w:rsidRPr="00384A4D" w:rsidRDefault="004E63D6" w:rsidP="00CA410A">
            <w:pPr>
              <w:pStyle w:val="TableText"/>
              <w:keepNext/>
              <w:jc w:val="center"/>
            </w:pPr>
          </w:p>
        </w:tc>
        <w:tc>
          <w:tcPr>
            <w:tcW w:w="2030" w:type="dxa"/>
            <w:tcBorders>
              <w:left w:val="nil"/>
            </w:tcBorders>
          </w:tcPr>
          <w:p w14:paraId="5FE767A0" w14:textId="77777777" w:rsidR="004E63D6" w:rsidRPr="00384A4D" w:rsidRDefault="004E63D6" w:rsidP="00CA410A">
            <w:pPr>
              <w:pStyle w:val="TableText"/>
              <w:keepNext/>
              <w:jc w:val="center"/>
            </w:pPr>
          </w:p>
        </w:tc>
      </w:tr>
      <w:tr w:rsidR="004E63D6" w:rsidRPr="00384A4D" w14:paraId="3A58760F" w14:textId="77777777" w:rsidTr="00CA410A">
        <w:tc>
          <w:tcPr>
            <w:tcW w:w="4957" w:type="dxa"/>
          </w:tcPr>
          <w:p w14:paraId="6F345225" w14:textId="77777777" w:rsidR="004E63D6" w:rsidRDefault="004E63D6" w:rsidP="00CA410A">
            <w:pPr>
              <w:pStyle w:val="TableText"/>
              <w:keepNext/>
              <w:numPr>
                <w:ilvl w:val="0"/>
                <w:numId w:val="34"/>
              </w:numPr>
            </w:pPr>
            <w:r>
              <w:t>Calibration method (base case)</w:t>
            </w:r>
          </w:p>
        </w:tc>
        <w:tc>
          <w:tcPr>
            <w:tcW w:w="2029" w:type="dxa"/>
          </w:tcPr>
          <w:p w14:paraId="45404AEE" w14:textId="77777777" w:rsidR="004E63D6" w:rsidRDefault="004E63D6" w:rsidP="00CA410A">
            <w:pPr>
              <w:pStyle w:val="TableText"/>
              <w:keepNext/>
              <w:jc w:val="center"/>
            </w:pPr>
            <w:r>
              <w:t xml:space="preserve">0.037 </w:t>
            </w:r>
            <w:r w:rsidRPr="00384A4D">
              <w:rPr>
                <w:vertAlign w:val="superscript"/>
              </w:rPr>
              <w:t>a</w:t>
            </w:r>
          </w:p>
        </w:tc>
        <w:tc>
          <w:tcPr>
            <w:tcW w:w="2030" w:type="dxa"/>
          </w:tcPr>
          <w:p w14:paraId="4E875F1B" w14:textId="77777777" w:rsidR="004E63D6" w:rsidRDefault="004E63D6" w:rsidP="00CA410A">
            <w:pPr>
              <w:pStyle w:val="TableText"/>
              <w:keepNext/>
              <w:jc w:val="center"/>
            </w:pPr>
            <w:r>
              <w:t xml:space="preserve">0.104 </w:t>
            </w:r>
            <w:r>
              <w:rPr>
                <w:vertAlign w:val="superscript"/>
              </w:rPr>
              <w:t>a</w:t>
            </w:r>
          </w:p>
        </w:tc>
      </w:tr>
      <w:tr w:rsidR="004E63D6" w:rsidRPr="00384A4D" w14:paraId="6ED31F45" w14:textId="77777777" w:rsidTr="00CA410A">
        <w:tc>
          <w:tcPr>
            <w:tcW w:w="4957" w:type="dxa"/>
          </w:tcPr>
          <w:p w14:paraId="6EB602D3" w14:textId="77777777" w:rsidR="004E63D6" w:rsidRDefault="004E63D6" w:rsidP="00CA410A">
            <w:pPr>
              <w:pStyle w:val="TableText"/>
              <w:keepNext/>
              <w:numPr>
                <w:ilvl w:val="0"/>
                <w:numId w:val="34"/>
              </w:numPr>
            </w:pPr>
            <w:r>
              <w:t>IHC specificity (sensitivity analysis)</w:t>
            </w:r>
          </w:p>
        </w:tc>
        <w:tc>
          <w:tcPr>
            <w:tcW w:w="2029" w:type="dxa"/>
          </w:tcPr>
          <w:p w14:paraId="57974FA3" w14:textId="77777777" w:rsidR="004E63D6" w:rsidRDefault="004E63D6" w:rsidP="00CA410A">
            <w:pPr>
              <w:pStyle w:val="TableText"/>
              <w:keepNext/>
              <w:jc w:val="center"/>
            </w:pPr>
            <w:r w:rsidRPr="00384A4D">
              <w:t>0.015</w:t>
            </w:r>
            <w:r>
              <w:t xml:space="preserve"> </w:t>
            </w:r>
            <w:r>
              <w:rPr>
                <w:vertAlign w:val="superscript"/>
              </w:rPr>
              <w:t>b</w:t>
            </w:r>
          </w:p>
        </w:tc>
        <w:tc>
          <w:tcPr>
            <w:tcW w:w="2030" w:type="dxa"/>
          </w:tcPr>
          <w:p w14:paraId="62D70B23" w14:textId="77777777" w:rsidR="004E63D6" w:rsidRDefault="004E63D6" w:rsidP="00CA410A">
            <w:pPr>
              <w:pStyle w:val="TableText"/>
              <w:keepNext/>
              <w:jc w:val="center"/>
            </w:pPr>
            <w:r w:rsidRPr="00384A4D">
              <w:t>0.062</w:t>
            </w:r>
            <w:r>
              <w:t xml:space="preserve"> </w:t>
            </w:r>
            <w:r>
              <w:rPr>
                <w:vertAlign w:val="superscript"/>
              </w:rPr>
              <w:t>c</w:t>
            </w:r>
          </w:p>
        </w:tc>
      </w:tr>
    </w:tbl>
    <w:p w14:paraId="346386F0" w14:textId="77777777" w:rsidR="004E63D6" w:rsidRPr="00CE28E3" w:rsidRDefault="004E63D6" w:rsidP="004E63D6">
      <w:pPr>
        <w:pStyle w:val="TableFooter"/>
      </w:pPr>
      <w:r>
        <w:rPr>
          <w:i/>
        </w:rPr>
        <w:t>ALK</w:t>
      </w:r>
      <w:r>
        <w:t xml:space="preserve"> = </w:t>
      </w:r>
      <w:r w:rsidRPr="003316EF">
        <w:t>anaplastic lymphoma kinase</w:t>
      </w:r>
      <w:r>
        <w:t>; FISH = f</w:t>
      </w:r>
      <w:r w:rsidRPr="003316EF">
        <w:t xml:space="preserve">luorescence </w:t>
      </w:r>
      <w:r w:rsidRPr="00956452">
        <w:rPr>
          <w:i/>
        </w:rPr>
        <w:t>in situ</w:t>
      </w:r>
      <w:r w:rsidRPr="003316EF">
        <w:t xml:space="preserve"> hybridisation</w:t>
      </w:r>
      <w:r>
        <w:t xml:space="preserve">; IHC = immunohistochemistry; </w:t>
      </w:r>
      <w:r w:rsidRPr="00743D1B">
        <w:rPr>
          <w:i/>
        </w:rPr>
        <w:t>ROS1</w:t>
      </w:r>
      <w:r>
        <w:t xml:space="preserve"> = ROS proto-oncogene 1.</w:t>
      </w:r>
    </w:p>
    <w:p w14:paraId="693C7C2D" w14:textId="77777777" w:rsidR="004E63D6" w:rsidRDefault="004E63D6" w:rsidP="004E63D6">
      <w:pPr>
        <w:pStyle w:val="TableFooter"/>
      </w:pPr>
      <w:r w:rsidRPr="00384A4D">
        <w:rPr>
          <w:vertAlign w:val="superscript"/>
        </w:rPr>
        <w:t>a</w:t>
      </w:r>
      <w:r>
        <w:t xml:space="preserve"> see Appendix F for the derivation of the calibrated estimates used</w:t>
      </w:r>
    </w:p>
    <w:p w14:paraId="5074C621" w14:textId="77777777" w:rsidR="004E63D6" w:rsidRDefault="004E63D6" w:rsidP="004E63D6">
      <w:pPr>
        <w:pStyle w:val="TableFooter"/>
      </w:pPr>
      <w:r>
        <w:rPr>
          <w:vertAlign w:val="superscript"/>
        </w:rPr>
        <w:t>b</w:t>
      </w:r>
      <w:r>
        <w:t xml:space="preserve"> 1 – </w:t>
      </w:r>
      <w:r w:rsidRPr="0043303B">
        <w:rPr>
          <w:i/>
        </w:rPr>
        <w:t>ALK</w:t>
      </w:r>
      <w:r>
        <w:t xml:space="preserve"> IHC specificity (1 − 98.5%)</w:t>
      </w:r>
    </w:p>
    <w:p w14:paraId="2AE1BC87" w14:textId="77777777" w:rsidR="004E63D6" w:rsidRDefault="004E63D6" w:rsidP="004E63D6">
      <w:pPr>
        <w:pStyle w:val="TableFooter"/>
      </w:pPr>
      <w:r>
        <w:rPr>
          <w:vertAlign w:val="superscript"/>
        </w:rPr>
        <w:t>c</w:t>
      </w:r>
      <w:r>
        <w:t xml:space="preserve"> 1 – </w:t>
      </w:r>
      <w:r w:rsidRPr="0043303B">
        <w:rPr>
          <w:i/>
        </w:rPr>
        <w:t>ROS1</w:t>
      </w:r>
      <w:r>
        <w:t xml:space="preserve"> IHC specificity (1 – 93.8%)</w:t>
      </w:r>
    </w:p>
    <w:p w14:paraId="7253DC63" w14:textId="77777777" w:rsidR="004E63D6" w:rsidRDefault="004E63D6" w:rsidP="004E63D6">
      <w:pPr>
        <w:pStyle w:val="NormalBeforeBullet"/>
      </w:pPr>
      <w:r>
        <w:t xml:space="preserve">As </w:t>
      </w:r>
      <w:r w:rsidRPr="003D7857">
        <w:rPr>
          <w:i/>
        </w:rPr>
        <w:t>MET</w:t>
      </w:r>
      <w:r>
        <w:t xml:space="preserve">ex14sk testing has not been recommended by MSAC to be a pathologist determinable service, an additional consultation to request this service is required. This is assumed to occur after </w:t>
      </w:r>
      <w:r w:rsidRPr="003D7857">
        <w:rPr>
          <w:i/>
        </w:rPr>
        <w:t xml:space="preserve">EGFR </w:t>
      </w:r>
      <w:r>
        <w:t xml:space="preserve">and IHC results, though prior to FISH results if required, to account for the additional time required to conduct testing, including referral to central laboratories. Therefore use of </w:t>
      </w:r>
      <w:r w:rsidRPr="003D7857">
        <w:rPr>
          <w:i/>
        </w:rPr>
        <w:t>MET</w:t>
      </w:r>
      <w:r>
        <w:t xml:space="preserve">ex14sk testing is assumed to be limited to patients that do not have actionable </w:t>
      </w:r>
      <w:r w:rsidRPr="003D7857">
        <w:rPr>
          <w:i/>
        </w:rPr>
        <w:t xml:space="preserve">EGFR </w:t>
      </w:r>
      <w:r>
        <w:t xml:space="preserve">variants. A sensitivity analysis is presented assuming that </w:t>
      </w:r>
      <w:r w:rsidRPr="003D7857">
        <w:rPr>
          <w:i/>
        </w:rPr>
        <w:t>MET</w:t>
      </w:r>
      <w:r>
        <w:t xml:space="preserve">ex14sk testing would occur at the same time as </w:t>
      </w:r>
      <w:r w:rsidRPr="00956452">
        <w:rPr>
          <w:i/>
        </w:rPr>
        <w:t>EGFR</w:t>
      </w:r>
      <w:r>
        <w:t xml:space="preserve"> given that MSAC had advised that the absence of other biomarkers (</w:t>
      </w:r>
      <w:r w:rsidRPr="003D7857">
        <w:rPr>
          <w:i/>
        </w:rPr>
        <w:t>EGFR</w:t>
      </w:r>
      <w:r>
        <w:t xml:space="preserve">, </w:t>
      </w:r>
      <w:r w:rsidRPr="003D7857">
        <w:rPr>
          <w:i/>
        </w:rPr>
        <w:t xml:space="preserve">ALK </w:t>
      </w:r>
      <w:r>
        <w:t xml:space="preserve">and </w:t>
      </w:r>
      <w:r w:rsidRPr="003D7857">
        <w:rPr>
          <w:i/>
        </w:rPr>
        <w:t>ROS1</w:t>
      </w:r>
      <w:r>
        <w:t xml:space="preserve">) need not be a pre-requisite for </w:t>
      </w:r>
      <w:r w:rsidRPr="003D7857">
        <w:rPr>
          <w:i/>
        </w:rPr>
        <w:t>MET</w:t>
      </w:r>
      <w:r>
        <w:t xml:space="preserve">ex14sk testing (p4 MSAC 1660 PSD November 2021), and after </w:t>
      </w:r>
      <w:r w:rsidRPr="00BA0ADD">
        <w:rPr>
          <w:i/>
        </w:rPr>
        <w:t>EGFR</w:t>
      </w:r>
      <w:r w:rsidRPr="00BA0ADD">
        <w:t xml:space="preserve">, </w:t>
      </w:r>
      <w:r w:rsidRPr="00BA0ADD">
        <w:rPr>
          <w:i/>
        </w:rPr>
        <w:t>ALK</w:t>
      </w:r>
      <w:r w:rsidRPr="00BA0ADD">
        <w:t xml:space="preserve"> and </w:t>
      </w:r>
      <w:r w:rsidRPr="00BA0ADD">
        <w:rPr>
          <w:i/>
        </w:rPr>
        <w:t>ROS1</w:t>
      </w:r>
      <w:r>
        <w:t>, depending on the timing of the additional consultation to request further testing.</w:t>
      </w:r>
    </w:p>
    <w:p w14:paraId="677F9A0F" w14:textId="7BE63AF1" w:rsidR="004E63D6" w:rsidRDefault="004E63D6" w:rsidP="004E63D6">
      <w:pPr>
        <w:pStyle w:val="NormalBeforeBullet"/>
      </w:pPr>
      <w:r>
        <w:t xml:space="preserve">As the FISH items and the </w:t>
      </w:r>
      <w:r w:rsidRPr="00DB3E00">
        <w:rPr>
          <w:i/>
        </w:rPr>
        <w:t>MET</w:t>
      </w:r>
      <w:r>
        <w:t>ex14sk testing item are restricted to patients with advanced disease, these tests are not assumed to occur in patients tested at an early stage of disease who do not progress.</w:t>
      </w:r>
    </w:p>
    <w:p w14:paraId="254616E7" w14:textId="31E0DCCF" w:rsidR="004E63D6" w:rsidRDefault="004E63D6" w:rsidP="004E63D6">
      <w:pPr>
        <w:pStyle w:val="NormalBeforeBullet"/>
      </w:pPr>
      <w:r>
        <w:t>The MBS fees per service of current single gene testing are presented in</w:t>
      </w:r>
      <w:r w:rsidR="00624B6C">
        <w:t>Table 50</w:t>
      </w:r>
      <w:r>
        <w:t xml:space="preserve">. While the MSAC Guidelines state a preference for the average fees charged (and so including patient payments), </w:t>
      </w:r>
      <w:r w:rsidR="000938BE">
        <w:t xml:space="preserve">MBS </w:t>
      </w:r>
      <w:r>
        <w:t>data</w:t>
      </w:r>
      <w:r w:rsidR="000938BE">
        <w:t xml:space="preserve"> provided during the preparation of the DCAR</w:t>
      </w:r>
      <w:r>
        <w:t xml:space="preserve"> </w:t>
      </w:r>
      <w:r w:rsidR="000938BE">
        <w:t>suggested high rates of bulk-billing</w:t>
      </w:r>
      <w:r w:rsidR="00F05D71">
        <w:t xml:space="preserve"> (and so the average fee charge was lower than the MBS Fees, </w:t>
      </w:r>
      <w:r w:rsidR="00624B6C">
        <w:t>Table 50</w:t>
      </w:r>
      <w:r w:rsidR="00F05D71">
        <w:t>)</w:t>
      </w:r>
      <w:r w:rsidR="000938BE">
        <w:t>. It is unclear whether rates of bulk-billing would change with the proposed listing of small gene panel testing. So as not to assume asymm</w:t>
      </w:r>
      <w:r w:rsidR="00AC6F6C">
        <w:t>e</w:t>
      </w:r>
      <w:r w:rsidR="000938BE">
        <w:t xml:space="preserve">trical costs across model arms, </w:t>
      </w:r>
      <w:r>
        <w:t>MBS schedule fees are applied</w:t>
      </w:r>
      <w:r w:rsidR="000938BE">
        <w:t xml:space="preserve"> in the base case, with </w:t>
      </w:r>
      <w:r w:rsidR="00F05D71">
        <w:t>the average fees charged applied</w:t>
      </w:r>
      <w:r w:rsidR="008D50D7">
        <w:t>, where available,</w:t>
      </w:r>
      <w:r w:rsidR="000938BE">
        <w:t xml:space="preserve"> in a sensitivity analysis</w:t>
      </w:r>
      <w:r>
        <w:t>.</w:t>
      </w:r>
    </w:p>
    <w:p w14:paraId="0CE97383" w14:textId="5A60294D" w:rsidR="004E63D6" w:rsidRDefault="004E63D6" w:rsidP="004E63D6">
      <w:pPr>
        <w:pStyle w:val="Caption"/>
      </w:pPr>
      <w:bookmarkStart w:id="171" w:name="_Ref108347953"/>
      <w:r w:rsidRPr="00CE28E3">
        <w:t>Table</w:t>
      </w:r>
      <w:r>
        <w:t> </w:t>
      </w:r>
      <w:fldSimple w:instr=" SEQ Table \* ARABIC ">
        <w:r w:rsidR="00C857F3">
          <w:rPr>
            <w:noProof/>
          </w:rPr>
          <w:t>49</w:t>
        </w:r>
      </w:fldSimple>
      <w:bookmarkEnd w:id="171"/>
      <w:r w:rsidRPr="00CE28E3">
        <w:tab/>
      </w:r>
      <w:r>
        <w:t>Schedule and average fees charged for current single gene test items</w:t>
      </w:r>
    </w:p>
    <w:tbl>
      <w:tblPr>
        <w:tblStyle w:val="TableGrid"/>
        <w:tblW w:w="5000" w:type="pct"/>
        <w:tblLook w:val="04A0" w:firstRow="1" w:lastRow="0" w:firstColumn="1" w:lastColumn="0" w:noHBand="0" w:noVBand="1"/>
        <w:tblCaption w:val="Schedule and average fees charged for current single gene test items"/>
        <w:tblDescription w:val="Schedule and average fees charged for current single gene test items"/>
      </w:tblPr>
      <w:tblGrid>
        <w:gridCol w:w="3006"/>
        <w:gridCol w:w="3006"/>
        <w:gridCol w:w="3004"/>
      </w:tblGrid>
      <w:tr w:rsidR="00F05D71" w:rsidRPr="0043303B" w14:paraId="3EB0B262" w14:textId="7CEA4B12" w:rsidTr="00F05D71">
        <w:trPr>
          <w:tblHeader/>
        </w:trPr>
        <w:tc>
          <w:tcPr>
            <w:tcW w:w="1667" w:type="pct"/>
          </w:tcPr>
          <w:p w14:paraId="73012906" w14:textId="77777777" w:rsidR="00F05D71" w:rsidRPr="0043303B" w:rsidRDefault="00F05D71" w:rsidP="00CA410A">
            <w:pPr>
              <w:pStyle w:val="TableHeading"/>
            </w:pPr>
          </w:p>
        </w:tc>
        <w:tc>
          <w:tcPr>
            <w:tcW w:w="1667" w:type="pct"/>
          </w:tcPr>
          <w:p w14:paraId="0E8FD37A" w14:textId="7057C0B7" w:rsidR="00F05D71" w:rsidRPr="0043303B" w:rsidRDefault="00F05D71" w:rsidP="00CA410A">
            <w:pPr>
              <w:pStyle w:val="TableHeading"/>
              <w:jc w:val="center"/>
            </w:pPr>
            <w:r w:rsidRPr="0043303B">
              <w:t>MBS Fee</w:t>
            </w:r>
          </w:p>
        </w:tc>
        <w:tc>
          <w:tcPr>
            <w:tcW w:w="1666" w:type="pct"/>
          </w:tcPr>
          <w:p w14:paraId="434EF87C" w14:textId="558EF907" w:rsidR="00F05D71" w:rsidRPr="0043303B" w:rsidRDefault="00F05D71" w:rsidP="00CA410A">
            <w:pPr>
              <w:pStyle w:val="TableHeading"/>
              <w:jc w:val="center"/>
            </w:pPr>
            <w:r>
              <w:t>Average fee charged</w:t>
            </w:r>
          </w:p>
        </w:tc>
      </w:tr>
      <w:tr w:rsidR="00F05D71" w:rsidRPr="0043303B" w14:paraId="7AF4F3C2" w14:textId="479F8C21" w:rsidTr="00F05D71">
        <w:tc>
          <w:tcPr>
            <w:tcW w:w="1667" w:type="pct"/>
          </w:tcPr>
          <w:p w14:paraId="1BB822E2" w14:textId="77777777" w:rsidR="00F05D71" w:rsidRPr="0004492E" w:rsidRDefault="00F05D71" w:rsidP="00CA410A">
            <w:pPr>
              <w:pStyle w:val="TableText"/>
              <w:rPr>
                <w:i/>
              </w:rPr>
            </w:pPr>
            <w:r w:rsidRPr="0004492E">
              <w:rPr>
                <w:i/>
              </w:rPr>
              <w:t>EGFR</w:t>
            </w:r>
          </w:p>
        </w:tc>
        <w:tc>
          <w:tcPr>
            <w:tcW w:w="1667" w:type="pct"/>
          </w:tcPr>
          <w:p w14:paraId="021F044F" w14:textId="77777777" w:rsidR="00F05D71" w:rsidRPr="0043303B" w:rsidRDefault="00F05D71" w:rsidP="00CA410A">
            <w:pPr>
              <w:pStyle w:val="TableText"/>
              <w:jc w:val="center"/>
            </w:pPr>
            <w:r w:rsidRPr="0043303B">
              <w:t>$397.35</w:t>
            </w:r>
          </w:p>
        </w:tc>
        <w:tc>
          <w:tcPr>
            <w:tcW w:w="1666" w:type="pct"/>
          </w:tcPr>
          <w:p w14:paraId="4ECFBB15" w14:textId="7DF85BDB" w:rsidR="00F05D71" w:rsidRPr="0043303B" w:rsidRDefault="00F05D71" w:rsidP="00CA410A">
            <w:pPr>
              <w:pStyle w:val="TableText"/>
              <w:jc w:val="center"/>
            </w:pPr>
            <w:r>
              <w:t>$381.86</w:t>
            </w:r>
          </w:p>
        </w:tc>
      </w:tr>
      <w:tr w:rsidR="00F05D71" w:rsidRPr="0043303B" w14:paraId="77A34697" w14:textId="12490074" w:rsidTr="00F05D71">
        <w:tc>
          <w:tcPr>
            <w:tcW w:w="1667" w:type="pct"/>
          </w:tcPr>
          <w:p w14:paraId="22384800" w14:textId="77777777" w:rsidR="00F05D71" w:rsidRPr="0043303B" w:rsidRDefault="00F05D71" w:rsidP="00CA410A">
            <w:pPr>
              <w:pStyle w:val="TableText"/>
            </w:pPr>
            <w:r w:rsidRPr="0004492E">
              <w:rPr>
                <w:i/>
              </w:rPr>
              <w:t>ALK</w:t>
            </w:r>
            <w:r w:rsidRPr="0043303B">
              <w:t xml:space="preserve"> FISH</w:t>
            </w:r>
          </w:p>
        </w:tc>
        <w:tc>
          <w:tcPr>
            <w:tcW w:w="1667" w:type="pct"/>
          </w:tcPr>
          <w:p w14:paraId="642EEF68" w14:textId="77777777" w:rsidR="00F05D71" w:rsidRPr="0043303B" w:rsidRDefault="00F05D71" w:rsidP="00CA410A">
            <w:pPr>
              <w:pStyle w:val="TableText"/>
              <w:jc w:val="center"/>
            </w:pPr>
            <w:r w:rsidRPr="0043303B">
              <w:t>$400.00</w:t>
            </w:r>
          </w:p>
        </w:tc>
        <w:tc>
          <w:tcPr>
            <w:tcW w:w="1666" w:type="pct"/>
          </w:tcPr>
          <w:p w14:paraId="15A3243B" w14:textId="0099AFC6" w:rsidR="00F05D71" w:rsidRPr="0043303B" w:rsidRDefault="00F05D71" w:rsidP="00CA410A">
            <w:pPr>
              <w:pStyle w:val="TableText"/>
              <w:jc w:val="center"/>
            </w:pPr>
            <w:r>
              <w:t>$384.87</w:t>
            </w:r>
          </w:p>
        </w:tc>
      </w:tr>
      <w:tr w:rsidR="00F05D71" w:rsidRPr="0043303B" w14:paraId="44463B53" w14:textId="2EB1A6DA" w:rsidTr="00F05D71">
        <w:tc>
          <w:tcPr>
            <w:tcW w:w="1667" w:type="pct"/>
          </w:tcPr>
          <w:p w14:paraId="4DD7F894" w14:textId="77777777" w:rsidR="00F05D71" w:rsidRPr="0043303B" w:rsidRDefault="00F05D71" w:rsidP="00CA410A">
            <w:pPr>
              <w:pStyle w:val="TableText"/>
            </w:pPr>
            <w:r w:rsidRPr="0004492E">
              <w:rPr>
                <w:i/>
              </w:rPr>
              <w:t>ROS1</w:t>
            </w:r>
            <w:r w:rsidRPr="0043303B">
              <w:t xml:space="preserve"> FISH</w:t>
            </w:r>
          </w:p>
        </w:tc>
        <w:tc>
          <w:tcPr>
            <w:tcW w:w="1667" w:type="pct"/>
          </w:tcPr>
          <w:p w14:paraId="71682AFE" w14:textId="77777777" w:rsidR="00F05D71" w:rsidRPr="0043303B" w:rsidRDefault="00F05D71" w:rsidP="00CA410A">
            <w:pPr>
              <w:pStyle w:val="TableText"/>
              <w:jc w:val="center"/>
            </w:pPr>
            <w:r w:rsidRPr="0043303B">
              <w:t>$400.00</w:t>
            </w:r>
          </w:p>
        </w:tc>
        <w:tc>
          <w:tcPr>
            <w:tcW w:w="1666" w:type="pct"/>
          </w:tcPr>
          <w:p w14:paraId="705AD49B" w14:textId="3F4F5A44" w:rsidR="00F05D71" w:rsidRPr="0043303B" w:rsidRDefault="00F05D71" w:rsidP="00CA410A">
            <w:pPr>
              <w:pStyle w:val="TableText"/>
              <w:jc w:val="center"/>
            </w:pPr>
            <w:r>
              <w:t>$394.62</w:t>
            </w:r>
          </w:p>
        </w:tc>
      </w:tr>
      <w:tr w:rsidR="00F05D71" w:rsidRPr="0043303B" w14:paraId="2FFA2D1C" w14:textId="679B2F39" w:rsidTr="00F05D71">
        <w:tc>
          <w:tcPr>
            <w:tcW w:w="1667" w:type="pct"/>
          </w:tcPr>
          <w:p w14:paraId="555EAC1A" w14:textId="77777777" w:rsidR="00F05D71" w:rsidRPr="0043303B" w:rsidRDefault="00F05D71" w:rsidP="00CA410A">
            <w:pPr>
              <w:pStyle w:val="TableText"/>
            </w:pPr>
            <w:r w:rsidRPr="0004492E">
              <w:rPr>
                <w:i/>
              </w:rPr>
              <w:lastRenderedPageBreak/>
              <w:t>MET</w:t>
            </w:r>
            <w:r w:rsidRPr="0043303B">
              <w:t>ex14sk</w:t>
            </w:r>
          </w:p>
        </w:tc>
        <w:tc>
          <w:tcPr>
            <w:tcW w:w="1667" w:type="pct"/>
          </w:tcPr>
          <w:p w14:paraId="2BFD5031" w14:textId="77777777" w:rsidR="00F05D71" w:rsidRPr="0043303B" w:rsidRDefault="00F05D71" w:rsidP="00CA410A">
            <w:pPr>
              <w:pStyle w:val="TableText"/>
              <w:jc w:val="center"/>
            </w:pPr>
            <w:r w:rsidRPr="0043303B">
              <w:t>$397.35</w:t>
            </w:r>
          </w:p>
        </w:tc>
        <w:tc>
          <w:tcPr>
            <w:tcW w:w="1666" w:type="pct"/>
          </w:tcPr>
          <w:p w14:paraId="476F93B8" w14:textId="7DE3A608" w:rsidR="00F05D71" w:rsidRPr="0043303B" w:rsidRDefault="00F05D71" w:rsidP="00CA410A">
            <w:pPr>
              <w:pStyle w:val="TableText"/>
              <w:jc w:val="center"/>
            </w:pPr>
            <w:r>
              <w:t>NA</w:t>
            </w:r>
          </w:p>
        </w:tc>
      </w:tr>
    </w:tbl>
    <w:p w14:paraId="5960C4B4" w14:textId="74224DC9" w:rsidR="008D50D7" w:rsidRPr="008D50D7" w:rsidRDefault="008D50D7" w:rsidP="004E63D6">
      <w:pPr>
        <w:pStyle w:val="TableFooter"/>
      </w:pPr>
      <w:r>
        <w:t>Source: Average fee charged data were provided by the Department during the preparation of the DCAR.</w:t>
      </w:r>
    </w:p>
    <w:p w14:paraId="2BA165B0" w14:textId="12568E75" w:rsidR="004E63D6" w:rsidRPr="0043303B"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w:t>
      </w:r>
      <w:r w:rsidRPr="00336456">
        <w:rPr>
          <w:i/>
        </w:rPr>
        <w:t>MET</w:t>
      </w:r>
      <w:r>
        <w:t xml:space="preserve">ex14sk = MET proto-oncogene, receptor tyrosine kinase exon 14 skipping alterations; </w:t>
      </w:r>
      <w:r w:rsidR="00771F07">
        <w:t xml:space="preserve">NA = not available; </w:t>
      </w:r>
      <w:r w:rsidRPr="00743D1B">
        <w:rPr>
          <w:i/>
        </w:rPr>
        <w:t>ROS1</w:t>
      </w:r>
      <w:r>
        <w:t xml:space="preserve"> = ROS proto-oncogene 1.</w:t>
      </w:r>
    </w:p>
    <w:p w14:paraId="69C6D498" w14:textId="24810899" w:rsidR="004E63D6" w:rsidRDefault="004E63D6" w:rsidP="004E63D6">
      <w:pPr>
        <w:pStyle w:val="NormalBeforeBullet"/>
      </w:pPr>
      <w:r>
        <w:t xml:space="preserve">In the MSAC 1634 Ratified PICO, </w:t>
      </w:r>
      <w:r w:rsidRPr="00771DEA">
        <w:t>PASC considered that the consequences of funding proposed comprehensive genomic profiling</w:t>
      </w:r>
      <w:r>
        <w:t xml:space="preserve"> in NSCLC</w:t>
      </w:r>
      <w:r w:rsidRPr="00771DEA">
        <w:t xml:space="preserve"> </w:t>
      </w:r>
      <w:r>
        <w:t>on the expected reduction in cost of</w:t>
      </w:r>
      <w:r w:rsidRPr="00771DEA">
        <w:t xml:space="preserve"> IHC testing for </w:t>
      </w:r>
      <w:r w:rsidRPr="009175FD">
        <w:rPr>
          <w:i/>
        </w:rPr>
        <w:t>ALK</w:t>
      </w:r>
      <w:r w:rsidRPr="00771DEA">
        <w:t xml:space="preserve"> and </w:t>
      </w:r>
      <w:r w:rsidRPr="009175FD">
        <w:rPr>
          <w:i/>
        </w:rPr>
        <w:t>ROS1</w:t>
      </w:r>
      <w:r w:rsidRPr="00771DEA">
        <w:t xml:space="preserve"> would not be straightforward to estimate. The consequence might be billing of a cheaper MBS item for fewer IHC antibodies (i.e. without the antibodies for </w:t>
      </w:r>
      <w:r w:rsidRPr="009175FD">
        <w:rPr>
          <w:i/>
        </w:rPr>
        <w:t>ALK</w:t>
      </w:r>
      <w:r w:rsidRPr="00771DEA">
        <w:t xml:space="preserve"> or </w:t>
      </w:r>
      <w:r w:rsidRPr="009175FD">
        <w:rPr>
          <w:i/>
        </w:rPr>
        <w:t>ROS1</w:t>
      </w:r>
      <w:r w:rsidRPr="00771DEA">
        <w:t xml:space="preserve">) </w:t>
      </w:r>
      <w:r w:rsidR="0017562E">
        <w:t>or no cost-consequence if the reduction in antibodies does not change the item being charged (e.g. from use of six to four antibodies tested)</w:t>
      </w:r>
      <w:r w:rsidRPr="00771DEA">
        <w:t>.</w:t>
      </w:r>
      <w:r>
        <w:t xml:space="preserve"> The base case will adopt a conservative approach and assume no cost consequence associated with the reduction in use of </w:t>
      </w:r>
      <w:r w:rsidRPr="00A75F36">
        <w:t>ALK</w:t>
      </w:r>
      <w:r>
        <w:t xml:space="preserve"> and </w:t>
      </w:r>
      <w:r w:rsidRPr="00A75F36">
        <w:t>ROS1</w:t>
      </w:r>
      <w:r>
        <w:t xml:space="preserve"> IHC testing. </w:t>
      </w:r>
      <w:r w:rsidRPr="002822D5">
        <w:t>A sensitivity analysis is presented assuming the cost difference of billing item 72847 (schedule fee $89.40) rather than 72849 (schedule fee $104.30) (cost difference $14.90).</w:t>
      </w:r>
    </w:p>
    <w:p w14:paraId="4A665E7C" w14:textId="10001DB5" w:rsidR="004E63D6" w:rsidRDefault="004E63D6" w:rsidP="004E63D6">
      <w:pPr>
        <w:pStyle w:val="NormalBeforeBullet"/>
      </w:pPr>
      <w:r>
        <w:t xml:space="preserve">Given it is not a pathologist determinable service, </w:t>
      </w:r>
      <w:r w:rsidRPr="006862A0">
        <w:rPr>
          <w:i/>
        </w:rPr>
        <w:t>MET</w:t>
      </w:r>
      <w:r>
        <w:t xml:space="preserve">ex14sk testing is likely to be associated with additional services, such as an additional consultation with the treating clinician (MBS item 105, $46.15) and the retrieval of archived tissue blocks (MBS item 72860, $85.00). These additional services included in the costing of </w:t>
      </w:r>
      <w:r w:rsidRPr="006862A0">
        <w:rPr>
          <w:i/>
        </w:rPr>
        <w:t>MET</w:t>
      </w:r>
      <w:r>
        <w:t>ex14sk testing are assumed to cover the request and block retrieval for FISH testing, where required, following development of advanced disease.</w:t>
      </w:r>
    </w:p>
    <w:p w14:paraId="3E9706F1" w14:textId="77777777" w:rsidR="004E63D6" w:rsidRPr="00653169" w:rsidRDefault="004E63D6" w:rsidP="004E63D6">
      <w:pPr>
        <w:pStyle w:val="NormalBeforeBullet"/>
        <w:rPr>
          <w:u w:val="single"/>
        </w:rPr>
      </w:pPr>
      <w:r w:rsidRPr="00653169">
        <w:rPr>
          <w:u w:val="single"/>
        </w:rPr>
        <w:t>Proposed panel testing</w:t>
      </w:r>
    </w:p>
    <w:p w14:paraId="42F216EE" w14:textId="77777777" w:rsidR="004E63D6" w:rsidRDefault="004E63D6" w:rsidP="004E63D6">
      <w:pPr>
        <w:pStyle w:val="NormalBeforeBullet"/>
      </w:pPr>
      <w:r>
        <w:t>As described in Section 3.2.3, use of proposed small gene panel testing is likely to comprise a mix of:</w:t>
      </w:r>
    </w:p>
    <w:p w14:paraId="5C6677F5" w14:textId="77777777" w:rsidR="004E63D6" w:rsidRDefault="004E63D6" w:rsidP="004E63D6">
      <w:pPr>
        <w:pStyle w:val="NormalBeforeBullet"/>
        <w:numPr>
          <w:ilvl w:val="0"/>
          <w:numId w:val="32"/>
        </w:numPr>
      </w:pPr>
      <w:r>
        <w:t>Combined small DNA and RNA panels;</w:t>
      </w:r>
    </w:p>
    <w:p w14:paraId="6214E77D" w14:textId="77777777" w:rsidR="004E63D6" w:rsidRDefault="004E63D6" w:rsidP="004E63D6">
      <w:pPr>
        <w:pStyle w:val="NormalBeforeBullet"/>
        <w:numPr>
          <w:ilvl w:val="0"/>
          <w:numId w:val="32"/>
        </w:numPr>
      </w:pPr>
      <w:r>
        <w:t>Sequential DNA then RNA panels; and</w:t>
      </w:r>
    </w:p>
    <w:p w14:paraId="57019F6B" w14:textId="77777777" w:rsidR="004E63D6" w:rsidRDefault="004E63D6" w:rsidP="004E63D6">
      <w:pPr>
        <w:pStyle w:val="NormalBeforeBullet"/>
        <w:numPr>
          <w:ilvl w:val="0"/>
          <w:numId w:val="32"/>
        </w:numPr>
      </w:pPr>
      <w:r>
        <w:t xml:space="preserve">Small DNA panel followed by </w:t>
      </w:r>
      <w:r w:rsidRPr="000748B9">
        <w:rPr>
          <w:i/>
        </w:rPr>
        <w:t>ALK</w:t>
      </w:r>
      <w:r>
        <w:t xml:space="preserve"> and </w:t>
      </w:r>
      <w:r w:rsidRPr="000748B9">
        <w:rPr>
          <w:i/>
        </w:rPr>
        <w:t>ROS1</w:t>
      </w:r>
      <w:r>
        <w:t xml:space="preserve"> IHC ± FISH.</w:t>
      </w:r>
    </w:p>
    <w:p w14:paraId="744DB31F" w14:textId="4C296C55" w:rsidR="004E63D6" w:rsidRDefault="004E63D6" w:rsidP="004E63D6">
      <w:pPr>
        <w:pStyle w:val="NormalBeforeBullet"/>
      </w:pPr>
      <w:r>
        <w:t xml:space="preserve">RNA quantity and quality is likely to be insufficient in 5−10% of cases necessitating the use of current IHC ± FISH methods (1721 Application Form). A 5% rate is assumed in the base case, with estimates of 0% and 10% tested in sensitivity analyses. All patients are assumed to receive IHC testing, with the estimates of FISH use as per </w:t>
      </w:r>
      <w:r>
        <w:fldChar w:fldCharType="begin"/>
      </w:r>
      <w:r>
        <w:instrText xml:space="preserve"> REF _Ref108347931 \h </w:instrText>
      </w:r>
      <w:r>
        <w:fldChar w:fldCharType="separate"/>
      </w:r>
      <w:r w:rsidR="00C857F3" w:rsidRPr="00CE28E3">
        <w:t>Table</w:t>
      </w:r>
      <w:r w:rsidR="00C857F3">
        <w:t> </w:t>
      </w:r>
      <w:r w:rsidR="00C857F3">
        <w:rPr>
          <w:noProof/>
        </w:rPr>
        <w:t>48</w:t>
      </w:r>
      <w:r>
        <w:fldChar w:fldCharType="end"/>
      </w:r>
      <w:r>
        <w:t>.</w:t>
      </w:r>
    </w:p>
    <w:p w14:paraId="63DD91A3" w14:textId="4CC6049D" w:rsidR="004E63D6" w:rsidRDefault="004E63D6" w:rsidP="004E63D6">
      <w:pPr>
        <w:pStyle w:val="NormalBeforeBullet"/>
      </w:pPr>
      <w:r>
        <w:t>Where RNA small panels can be used, 30% are assumed to occur using the combined approach, based on Applicant feedback received during the preparation of the DCAR on the current availability of combined panels (20−25%). Therefore, 28.5%</w:t>
      </w:r>
      <w:r>
        <w:rPr>
          <w:rStyle w:val="FootnoteReference"/>
        </w:rPr>
        <w:footnoteReference w:id="19"/>
      </w:r>
      <w:r>
        <w:t xml:space="preserve"> of tests overall are assumed to use the combined method.</w:t>
      </w:r>
    </w:p>
    <w:p w14:paraId="46291147" w14:textId="77777777" w:rsidR="004E63D6" w:rsidRDefault="004E63D6" w:rsidP="004E63D6">
      <w:pPr>
        <w:pStyle w:val="NormalBeforeBullet"/>
      </w:pPr>
      <w:r>
        <w:t xml:space="preserve">Small gene DNA panel testing only would then apply in the remaining 71.5% of patients tested (comprised of 5% followed by IHC ± FISH and 66.5% followed by small RNA panels). However, use of RNA small panels in the two-stage approach is restricted to where no activating variants were identified in </w:t>
      </w:r>
      <w:r w:rsidRPr="000748B9">
        <w:rPr>
          <w:i/>
        </w:rPr>
        <w:t>EGFR</w:t>
      </w:r>
      <w:r>
        <w:t xml:space="preserve">, </w:t>
      </w:r>
      <w:r w:rsidRPr="000748B9">
        <w:rPr>
          <w:i/>
        </w:rPr>
        <w:t>KRAS</w:t>
      </w:r>
      <w:r>
        <w:t xml:space="preserve">, </w:t>
      </w:r>
      <w:r w:rsidRPr="000748B9">
        <w:rPr>
          <w:i/>
        </w:rPr>
        <w:t>BRAF</w:t>
      </w:r>
      <w:r>
        <w:t xml:space="preserve"> or </w:t>
      </w:r>
      <w:r w:rsidRPr="000748B9">
        <w:rPr>
          <w:i/>
        </w:rPr>
        <w:t>MET</w:t>
      </w:r>
      <w:r>
        <w:t xml:space="preserve"> exon 14 from small DNA panel testing. The rationale for this is that as activating variants are generally thought to be mutually exclusive, when non-actionable variants are identified, further testing could be avoided without missing patients who could benefit from targeted therapy. However as described in Section 2B.2.4, instances of concurrent variants may be more common than previously thought. A prospective case series from Germany </w:t>
      </w: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 </w:instrText>
      </w: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EN.CITE.DATA </w:instrText>
      </w:r>
      <w:r>
        <w:fldChar w:fldCharType="end"/>
      </w:r>
      <w:r>
        <w:fldChar w:fldCharType="separate"/>
      </w:r>
      <w:r>
        <w:rPr>
          <w:noProof/>
        </w:rPr>
        <w:t>(Griesinger et al. 2021)</w:t>
      </w:r>
      <w:r>
        <w:fldChar w:fldCharType="end"/>
      </w:r>
      <w:r>
        <w:t xml:space="preserve"> reported that of all patients with </w:t>
      </w:r>
      <w:r w:rsidRPr="000748B9">
        <w:rPr>
          <w:i/>
        </w:rPr>
        <w:t>ROS1</w:t>
      </w:r>
      <w:r>
        <w:t xml:space="preserve"> and </w:t>
      </w:r>
      <w:r w:rsidRPr="000748B9">
        <w:rPr>
          <w:i/>
        </w:rPr>
        <w:t>ALK</w:t>
      </w:r>
      <w:r>
        <w:t xml:space="preserve"> variants </w:t>
      </w:r>
      <w:r>
        <w:lastRenderedPageBreak/>
        <w:t xml:space="preserve">identified, respectively, 23.7% (14/59) and 16.1% (19/118) also had variants in </w:t>
      </w:r>
      <w:r w:rsidRPr="000748B9">
        <w:rPr>
          <w:i/>
        </w:rPr>
        <w:t>BRAF</w:t>
      </w:r>
      <w:r>
        <w:t xml:space="preserve"> or </w:t>
      </w:r>
      <w:r w:rsidRPr="000748B9">
        <w:rPr>
          <w:i/>
        </w:rPr>
        <w:t>KRAS</w:t>
      </w:r>
      <w:r>
        <w:t xml:space="preserve">. The base case will limit RNA small gene panel testing to those without variants in the biomarkers specified in the proposed item descriptor, without affecting the yield of actionable variants in </w:t>
      </w:r>
      <w:r w:rsidRPr="000748B9">
        <w:rPr>
          <w:i/>
        </w:rPr>
        <w:t>ALK</w:t>
      </w:r>
      <w:r>
        <w:t xml:space="preserve"> and </w:t>
      </w:r>
      <w:r w:rsidRPr="000748B9">
        <w:rPr>
          <w:i/>
        </w:rPr>
        <w:t>ROS1</w:t>
      </w:r>
      <w:r>
        <w:t xml:space="preserve"> as the rate of concurrent variants in the proposed setting is unknown. However a sensitivity analysis will also be presented that assumes RNA small gene panel testing would not occur only where </w:t>
      </w:r>
      <w:r w:rsidRPr="000748B9">
        <w:rPr>
          <w:u w:val="single"/>
        </w:rPr>
        <w:t>actionable</w:t>
      </w:r>
      <w:r>
        <w:t xml:space="preserve"> variants were identified through the small DNA gene panel (i.e. activating </w:t>
      </w:r>
      <w:r w:rsidRPr="00D07561">
        <w:rPr>
          <w:i/>
        </w:rPr>
        <w:t>EGFR</w:t>
      </w:r>
      <w:r>
        <w:t xml:space="preserve"> and </w:t>
      </w:r>
      <w:r w:rsidRPr="00D07561">
        <w:rPr>
          <w:i/>
        </w:rPr>
        <w:t>MET</w:t>
      </w:r>
      <w:r>
        <w:t>ex14sk alterations).</w:t>
      </w:r>
    </w:p>
    <w:p w14:paraId="30889C52" w14:textId="77777777" w:rsidR="004E63D6" w:rsidRDefault="004E63D6" w:rsidP="004E63D6">
      <w:pPr>
        <w:pStyle w:val="NormalBeforeBullet"/>
      </w:pPr>
      <w:r w:rsidRPr="005D3051">
        <w:rPr>
          <w:i/>
        </w:rPr>
        <w:t>KRAS</w:t>
      </w:r>
      <w:r>
        <w:t xml:space="preserve"> variants are estimated in 28.8% (144/500) of the tested population, based on the reported yield in an Australian study of advanced non-squamous NSCLC patients </w:t>
      </w:r>
      <w:r>
        <w:fldChar w:fldCharType="begin">
          <w:fldData xml:space="preserve">PEVuZE5vdGU+PENpdGU+PEF1dGhvcj5DdWk8L0F1dGhvcj48WWVhcj4yMDIwPC9ZZWFyPjxSZWNO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</w:fldData>
        </w:fldChar>
      </w:r>
      <w:r>
        <w:instrText xml:space="preserve"> ADDIN EN.CITE </w:instrText>
      </w:r>
      <w:r>
        <w:fldChar w:fldCharType="begin">
          <w:fldData xml:space="preserve">PEVuZE5vdGU+PENpdGU+PEF1dGhvcj5DdWk8L0F1dGhvcj48WWVhcj4yMDIwPC9ZZWFyPjxSZWNO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</w:fldData>
        </w:fldChar>
      </w:r>
      <w:r>
        <w:instrText xml:space="preserve"> ADDIN EN.CITE.DATA </w:instrText>
      </w:r>
      <w:r>
        <w:fldChar w:fldCharType="end"/>
      </w:r>
      <w:r>
        <w:fldChar w:fldCharType="separate"/>
      </w:r>
      <w:r>
        <w:rPr>
          <w:noProof/>
        </w:rPr>
        <w:t>(Cui et al. 2020)</w:t>
      </w:r>
      <w:r>
        <w:fldChar w:fldCharType="end"/>
      </w:r>
      <w:r>
        <w:t xml:space="preserve">. In the recent consideration of </w:t>
      </w:r>
      <w:r w:rsidRPr="005D3051">
        <w:rPr>
          <w:i/>
        </w:rPr>
        <w:t>KRAS</w:t>
      </w:r>
      <w:r>
        <w:t xml:space="preserve"> G12C testing, MSAC noted that eight studies reported the prevalence of any </w:t>
      </w:r>
      <w:r w:rsidRPr="005D3051">
        <w:rPr>
          <w:i/>
        </w:rPr>
        <w:t>KRAS</w:t>
      </w:r>
      <w:r>
        <w:t xml:space="preserve"> variant as being 37.5% (range 24−49%) (p4 MSAC 1669 PSD March 2022). Data on the estimated yield of </w:t>
      </w:r>
      <w:r w:rsidRPr="000748B9">
        <w:rPr>
          <w:i/>
        </w:rPr>
        <w:t>BRAF</w:t>
      </w:r>
      <w:r>
        <w:t xml:space="preserve"> variants in the Australian population with NSCLC could not be identified. The 1721 Application Form suggested that 1−3% of patients with NSCLC would have </w:t>
      </w:r>
      <w:r w:rsidRPr="000748B9">
        <w:rPr>
          <w:i/>
        </w:rPr>
        <w:t>BRAF</w:t>
      </w:r>
      <w:r>
        <w:t xml:space="preserve"> variants; 2% will be assumed in the base case analysis.</w:t>
      </w:r>
    </w:p>
    <w:p w14:paraId="09711EF5" w14:textId="6BF24A43" w:rsidR="004E63D6" w:rsidRDefault="004E63D6" w:rsidP="004E63D6">
      <w:pPr>
        <w:pStyle w:val="NormalBeforeBullet"/>
      </w:pPr>
      <w:r>
        <w:t xml:space="preserve">The proposed MBS fees for proposed small gene panel testing are presented in </w:t>
      </w:r>
      <w:r>
        <w:fldChar w:fldCharType="begin"/>
      </w:r>
      <w:r>
        <w:instrText xml:space="preserve"> REF _Ref108348078 \h </w:instrText>
      </w:r>
      <w:r>
        <w:fldChar w:fldCharType="separate"/>
      </w:r>
      <w:r w:rsidR="00C857F3" w:rsidRPr="00CE28E3">
        <w:t>Table</w:t>
      </w:r>
      <w:r w:rsidR="00C857F3">
        <w:t> </w:t>
      </w:r>
      <w:r w:rsidR="00C857F3">
        <w:rPr>
          <w:noProof/>
        </w:rPr>
        <w:t>50</w:t>
      </w:r>
      <w:r>
        <w:fldChar w:fldCharType="end"/>
      </w:r>
      <w:r>
        <w:t>. Applicant feedback provided during the preparation of the DCAR indicated that the proposed fees were set such that additional fees should not be charged.</w:t>
      </w:r>
    </w:p>
    <w:p w14:paraId="53BD4A09" w14:textId="6DA526B9" w:rsidR="004E63D6" w:rsidRDefault="004E63D6" w:rsidP="004E63D6">
      <w:pPr>
        <w:pStyle w:val="Caption"/>
      </w:pPr>
      <w:bookmarkStart w:id="172" w:name="_Ref108348078"/>
      <w:r w:rsidRPr="00CE28E3">
        <w:t>Table</w:t>
      </w:r>
      <w:r>
        <w:t> </w:t>
      </w:r>
      <w:fldSimple w:instr=" SEQ Table \* ARABIC ">
        <w:r w:rsidR="00C857F3">
          <w:rPr>
            <w:noProof/>
          </w:rPr>
          <w:t>50</w:t>
        </w:r>
      </w:fldSimple>
      <w:bookmarkEnd w:id="172"/>
      <w:r w:rsidRPr="00CE28E3">
        <w:tab/>
      </w:r>
      <w:r>
        <w:t>Proposed fees for small gene panel testing</w:t>
      </w:r>
    </w:p>
    <w:tbl>
      <w:tblPr>
        <w:tblStyle w:val="TableGrid"/>
        <w:tblW w:w="0" w:type="auto"/>
        <w:tblLook w:val="04A0" w:firstRow="1" w:lastRow="0" w:firstColumn="1" w:lastColumn="0" w:noHBand="0" w:noVBand="1"/>
        <w:tblCaption w:val="Proposed fees for small gene panel testing"/>
        <w:tblDescription w:val="Proposed fees for small gene panel testing"/>
      </w:tblPr>
      <w:tblGrid>
        <w:gridCol w:w="4508"/>
        <w:gridCol w:w="4508"/>
      </w:tblGrid>
      <w:tr w:rsidR="004E63D6" w:rsidRPr="00601880" w14:paraId="5D7DF490" w14:textId="77777777" w:rsidTr="00F56CC8">
        <w:trPr>
          <w:tblHeader/>
        </w:trPr>
        <w:tc>
          <w:tcPr>
            <w:tcW w:w="4508" w:type="dxa"/>
          </w:tcPr>
          <w:p w14:paraId="1FCE1B7B" w14:textId="77777777" w:rsidR="004E63D6" w:rsidRPr="00601880" w:rsidRDefault="004E63D6" w:rsidP="00CA410A">
            <w:pPr>
              <w:pStyle w:val="TableHeading"/>
            </w:pPr>
          </w:p>
        </w:tc>
        <w:tc>
          <w:tcPr>
            <w:tcW w:w="4508" w:type="dxa"/>
          </w:tcPr>
          <w:p w14:paraId="4100F9DA" w14:textId="102FE5FC" w:rsidR="004E63D6" w:rsidRPr="00601880" w:rsidRDefault="004E63D6" w:rsidP="00CA410A">
            <w:pPr>
              <w:pStyle w:val="TableHeading"/>
              <w:jc w:val="center"/>
            </w:pPr>
            <w:r w:rsidRPr="00601880">
              <w:t>Proposed MBS fee</w:t>
            </w:r>
          </w:p>
        </w:tc>
      </w:tr>
      <w:tr w:rsidR="004E63D6" w:rsidRPr="00601880" w14:paraId="25A246FA" w14:textId="77777777" w:rsidTr="00CA410A">
        <w:tc>
          <w:tcPr>
            <w:tcW w:w="4508" w:type="dxa"/>
          </w:tcPr>
          <w:p w14:paraId="441C2662" w14:textId="77777777" w:rsidR="004E63D6" w:rsidRPr="00601880" w:rsidRDefault="004E63D6" w:rsidP="00CA410A">
            <w:pPr>
              <w:pStyle w:val="TableText"/>
            </w:pPr>
            <w:r w:rsidRPr="00601880">
              <w:t>Combined DNA/RNA</w:t>
            </w:r>
          </w:p>
        </w:tc>
        <w:tc>
          <w:tcPr>
            <w:tcW w:w="4508" w:type="dxa"/>
          </w:tcPr>
          <w:p w14:paraId="06F950ED" w14:textId="77777777" w:rsidR="004E63D6" w:rsidRPr="00601880" w:rsidRDefault="004E63D6" w:rsidP="00CA410A">
            <w:pPr>
              <w:pStyle w:val="TableText"/>
              <w:jc w:val="center"/>
            </w:pPr>
            <w:r w:rsidRPr="00601880">
              <w:t>$1,247.00</w:t>
            </w:r>
          </w:p>
        </w:tc>
      </w:tr>
      <w:tr w:rsidR="004E63D6" w:rsidRPr="00601880" w14:paraId="2209F7DA" w14:textId="77777777" w:rsidTr="00CA410A">
        <w:tc>
          <w:tcPr>
            <w:tcW w:w="4508" w:type="dxa"/>
          </w:tcPr>
          <w:p w14:paraId="5D89A51B" w14:textId="77777777" w:rsidR="004E63D6" w:rsidRPr="00601880" w:rsidRDefault="004E63D6" w:rsidP="00CA410A">
            <w:pPr>
              <w:pStyle w:val="TableText"/>
            </w:pPr>
            <w:r w:rsidRPr="00601880">
              <w:t>DNA panel only</w:t>
            </w:r>
          </w:p>
        </w:tc>
        <w:tc>
          <w:tcPr>
            <w:tcW w:w="4508" w:type="dxa"/>
          </w:tcPr>
          <w:p w14:paraId="048FF72C" w14:textId="77777777" w:rsidR="004E63D6" w:rsidRPr="00601880" w:rsidRDefault="004E63D6" w:rsidP="00CA410A">
            <w:pPr>
              <w:pStyle w:val="TableText"/>
              <w:jc w:val="center"/>
            </w:pPr>
            <w:r w:rsidRPr="00601880">
              <w:t>$682.35</w:t>
            </w:r>
          </w:p>
        </w:tc>
      </w:tr>
      <w:tr w:rsidR="004E63D6" w:rsidRPr="00601880" w14:paraId="2D8C7484" w14:textId="77777777" w:rsidTr="00CA410A">
        <w:tc>
          <w:tcPr>
            <w:tcW w:w="4508" w:type="dxa"/>
          </w:tcPr>
          <w:p w14:paraId="737627C1" w14:textId="77777777" w:rsidR="004E63D6" w:rsidRPr="00601880" w:rsidRDefault="004E63D6" w:rsidP="00CA410A">
            <w:pPr>
              <w:pStyle w:val="TableText"/>
            </w:pPr>
            <w:r w:rsidRPr="00601880">
              <w:t>RNA panel only</w:t>
            </w:r>
          </w:p>
        </w:tc>
        <w:tc>
          <w:tcPr>
            <w:tcW w:w="4508" w:type="dxa"/>
          </w:tcPr>
          <w:p w14:paraId="16E014D9" w14:textId="77777777" w:rsidR="004E63D6" w:rsidRPr="00601880" w:rsidRDefault="004E63D6" w:rsidP="00CA410A">
            <w:pPr>
              <w:pStyle w:val="TableText"/>
              <w:jc w:val="center"/>
            </w:pPr>
            <w:r w:rsidRPr="00601880">
              <w:t>$682.35</w:t>
            </w:r>
          </w:p>
        </w:tc>
      </w:tr>
    </w:tbl>
    <w:p w14:paraId="005EC1D3" w14:textId="77777777" w:rsidR="004E63D6" w:rsidRDefault="004E63D6" w:rsidP="004E63D6">
      <w:pPr>
        <w:pStyle w:val="TableFooter"/>
      </w:pPr>
      <w:r>
        <w:t>DNA = deoxyribose nucleic acid; FISH = f</w:t>
      </w:r>
      <w:r w:rsidRPr="003316EF">
        <w:t xml:space="preserve">luorescence </w:t>
      </w:r>
      <w:r w:rsidRPr="00956452">
        <w:rPr>
          <w:i/>
        </w:rPr>
        <w:t>in situ</w:t>
      </w:r>
      <w:r w:rsidRPr="003316EF">
        <w:t xml:space="preserve"> hybridisation</w:t>
      </w:r>
      <w:r>
        <w:t>; RNA = ribonucleic acid.</w:t>
      </w:r>
    </w:p>
    <w:p w14:paraId="4E3E7546" w14:textId="57F0117D" w:rsidR="004E63D6" w:rsidRDefault="004E63D6" w:rsidP="004E63D6">
      <w:pPr>
        <w:pStyle w:val="NormalBeforeBullet"/>
      </w:pPr>
      <w:r>
        <w:t xml:space="preserve">Where IHC ± FISH methods are used, </w:t>
      </w:r>
      <w:r w:rsidRPr="00A75F36">
        <w:t>ALK</w:t>
      </w:r>
      <w:r>
        <w:t xml:space="preserve"> and </w:t>
      </w:r>
      <w:r w:rsidRPr="00A75F36">
        <w:t>ROS1</w:t>
      </w:r>
      <w:r>
        <w:t xml:space="preserve"> IHC are assumed to still be performed as part of the same episode as other IHC tests conducted at diagnosis (and so are assumed to be associated with no cost). The cost of FISH testing is assumed as per average fees charged in </w:t>
      </w:r>
      <w:r>
        <w:fldChar w:fldCharType="begin"/>
      </w:r>
      <w:r>
        <w:instrText xml:space="preserve"> REF _Ref108347953 \h </w:instrText>
      </w:r>
      <w:r>
        <w:fldChar w:fldCharType="separate"/>
      </w:r>
      <w:r w:rsidR="00C857F3" w:rsidRPr="00CE28E3">
        <w:t>Table</w:t>
      </w:r>
      <w:r w:rsidR="00C857F3">
        <w:t> </w:t>
      </w:r>
      <w:r w:rsidR="00C857F3">
        <w:rPr>
          <w:noProof/>
        </w:rPr>
        <w:t>49</w:t>
      </w:r>
      <w:r>
        <w:fldChar w:fldCharType="end"/>
      </w:r>
      <w:r>
        <w:t>. In patients who are tested in early disease who progress, FISH testing is associated with an additional consult and block retrieval.</w:t>
      </w:r>
    </w:p>
    <w:p w14:paraId="3E122434" w14:textId="77777777" w:rsidR="004E63D6" w:rsidRPr="000071CE" w:rsidRDefault="004E63D6" w:rsidP="004E63D6">
      <w:pPr>
        <w:pStyle w:val="NormalBeforeBullet"/>
        <w:rPr>
          <w:u w:val="single"/>
        </w:rPr>
      </w:pPr>
      <w:r w:rsidRPr="000071CE">
        <w:rPr>
          <w:u w:val="single"/>
        </w:rPr>
        <w:t>Cost of rebiopsy (and complications)</w:t>
      </w:r>
    </w:p>
    <w:p w14:paraId="5903C70A" w14:textId="77777777" w:rsidR="004E63D6" w:rsidRDefault="004E63D6" w:rsidP="004E63D6">
      <w:pPr>
        <w:pStyle w:val="NormalBeforeBullet"/>
      </w:pPr>
      <w:r>
        <w:t xml:space="preserve">The cost of rebiopsy estimated in the base case analysis was based on the cost of an average bronchoscopy conducted as an admitted patient in a public hospital (NHCDC 2019−2020 Cost Report for AR-DRG E42A−C). The majority of patients (86%) are assumed to have an uncomplicated rebiopsy, based on previous MSAC advice on the complication rate in this setting (14%, MSAC 1161 PSD, November 2012). An alternate complication rate of 10% was tested in a sensitivity analysis, based on the incidence of pneumothorax noted in the MSAC 1660 PSD (p10, November 2021) and reported in the source used for biopsy failure rate </w:t>
      </w:r>
      <w:r>
        <w:fldChar w:fldCharType="begin"/>
      </w:r>
      <w:r>
        <w:instrText xml:space="preserve"> ADDIN EN.CITE &lt;EndNote&gt;&lt;Cite&gt;&lt;Author&gt;Kelly&lt;/Author&gt;&lt;Year&gt;2019&lt;/Year&gt;&lt;RecNum&gt;202&lt;/RecNum&gt;&lt;IDText&gt;e717-e727&lt;/IDText&gt;&lt;DisplayText&gt;(Kelly et al. 2019)&lt;/DisplayText&gt;&lt;record&gt;&lt;rec-number&gt;202&lt;/rec-number&gt;&lt;foreign-keys&gt;&lt;key app="EN" db-id="0tprsse9cpp5r3ea5dz5p0xw2pfwvwxpa5a5" timestamp="1657698762"&gt;202&lt;/key&gt;&lt;/foreign-keys&gt;&lt;ref-type name="Journal Article"&gt;17&lt;/ref-type&gt;&lt;contributors&gt;&lt;authors&gt;&lt;author&gt;Kelly, R. J.&lt;/author&gt;&lt;author&gt;Turner, R.&lt;/author&gt;&lt;author&gt;Chen, Y. W.&lt;/author&gt;&lt;author&gt;Rigas, J. R.&lt;/author&gt;&lt;author&gt;Fernandes, A. W.&lt;/author&gt;&lt;author&gt;Karve, S.&lt;/author&gt;&lt;/authors&gt;&lt;/contributors&gt;&lt;auth-address&gt;1Baylor Charles A. Sammons Cancer Center at Baylor University Medical Center, Dallas, TX.&amp;#xD;2Sidney Kimmel Comprehensive Cancer Center, The Johns Hopkins University, Baltimore, MD.&amp;#xD;3HealthCore, Wilmington, DE.&amp;#xD;4AstraZeneca, Hanover, NH.&amp;#xD;5AstraZeneca, Gaithersburg, MD.&lt;/auth-address&gt;&lt;titles&gt;&lt;title&gt;Complications and Economic Burden Associated With Obtaining Tissue for Diagnosis and Molecular Analysis in Patients With Non-Small-Cell Lung Cancer in the United States&lt;/title&gt;&lt;secondary-title&gt;J Oncol Pract&lt;/secondary-title&gt;&lt;/titles&gt;&lt;periodical&gt;&lt;full-title&gt;J Oncol Pract&lt;/full-title&gt;&lt;/periodical&gt;&lt;pages&gt;e717-e727&lt;/pages&gt;&lt;volume&gt;15&lt;/volume&gt;&lt;number&gt;8&lt;/number&gt;&lt;edition&gt;2019/06/27&lt;/edition&gt;&lt;keywords&gt;&lt;keyword&gt;Aged&lt;/keyword&gt;&lt;keyword&gt;Biopsy/*economics/methods&lt;/keyword&gt;&lt;keyword&gt;Carcinoma, Non-Small-Cell Lung/*economics/surgery&lt;/keyword&gt;&lt;keyword&gt;Cost of Illness&lt;/keyword&gt;&lt;keyword&gt;Female&lt;/keyword&gt;&lt;keyword&gt;Humans&lt;/keyword&gt;&lt;keyword&gt;Lung Neoplasms/*economics/surgery&lt;/keyword&gt;&lt;keyword&gt;Male&lt;/keyword&gt;&lt;keyword&gt;Retrospective Studies&lt;/keyword&gt;&lt;keyword&gt;United States&lt;/keyword&gt;&lt;/keywords&gt;&lt;dates&gt;&lt;year&gt;2019&lt;/year&gt;&lt;pub-dates&gt;&lt;date&gt;Aug&lt;/date&gt;&lt;/pub-dates&gt;&lt;/dates&gt;&lt;isbn&gt;1935-469X (Electronic)&amp;#xD;1554-7477 (Linking)&lt;/isbn&gt;&lt;accession-num&gt;31237806&lt;/accession-num&gt;&lt;urls&gt;&lt;related-urls&gt;&lt;url&gt;https://www.ncbi.nlm.nih.gov/pubmed/31237806&lt;/url&gt;&lt;/related-urls&gt;&lt;/urls&gt;&lt;electronic-resource-num&gt;10.1200/JOP.18.00762&lt;/electronic-resource-num&gt;&lt;/record&gt;&lt;/Cite&gt;&lt;/EndNote&gt;</w:instrText>
      </w:r>
      <w:r>
        <w:fldChar w:fldCharType="separate"/>
      </w:r>
      <w:r>
        <w:rPr>
          <w:noProof/>
        </w:rPr>
        <w:t>(Kelly et al. 2019)</w:t>
      </w:r>
      <w:r>
        <w:fldChar w:fldCharType="end"/>
      </w:r>
      <w:r>
        <w:t xml:space="preserve">. </w:t>
      </w:r>
    </w:p>
    <w:p w14:paraId="00F7B6E9" w14:textId="665E03B1" w:rsidR="004E63D6" w:rsidRDefault="00466C4F" w:rsidP="004E63D6">
      <w:pPr>
        <w:pStyle w:val="NormalBeforeBullet"/>
      </w:pPr>
      <w:r>
        <w:t>Rebiopsies</w:t>
      </w:r>
      <w:r w:rsidR="004E63D6">
        <w:t xml:space="preserve"> that are performed without complications are assumed to incur the cost of a minor complexity bronchoscopy (AR-DRG E42C $4,086), while those with complications are assumed to incur the average cost of an intermediate or major complexity bronchoscopy (AR-DRG E42A/B, $15,118). The weighted cost of bronchoscopies modelled in the base case analysis is $5,630. This approach appears consistent with that used in analyses previously presented to MSAC and ESC (p13, MSAC 1407 PSD, November 2018 MSAC Meeting).</w:t>
      </w:r>
    </w:p>
    <w:p w14:paraId="77A2C5FB" w14:textId="05FD9395" w:rsidR="004E63D6" w:rsidRPr="00B151CF" w:rsidRDefault="004E63D6" w:rsidP="004E63D6">
      <w:pPr>
        <w:pStyle w:val="NormalBeforeBullet"/>
      </w:pPr>
      <w:r>
        <w:t xml:space="preserve">However, lung biopsies may also be performed in the outpatient setting. Steinfort et al. </w:t>
      </w:r>
      <w:r>
        <w:fldChar w:fldCharType="begin"/>
      </w:r>
      <w:r>
        <w:instrText xml:space="preserve"> ADDIN EN.CITE &lt;EndNote&gt;&lt;Cite ExcludeAuth="1"&gt;&lt;Author&gt;Steinfort&lt;/Author&gt;&lt;Year&gt;2013&lt;/Year&gt;&lt;RecNum&gt;38&lt;/RecNum&gt;&lt;IDText&gt;539-47&lt;/IDText&gt;&lt;DisplayText&gt;(2013)&lt;/DisplayText&gt;&lt;record&gt;&lt;rec-number&gt;38&lt;/rec-number&gt;&lt;foreign-keys&gt;&lt;key app="EN" db-id="0tprsse9cpp5r3ea5dz5p0xw2pfwvwxpa5a5" timestamp="1551767487"&gt;38&lt;/key&gt;&lt;/foreign-keys&gt;&lt;ref-type name="Journal Article"&gt;17&lt;/ref-type&gt;&lt;contributors&gt;&lt;authors&gt;&lt;author&gt;Steinfort, D. P.&lt;/author&gt;&lt;author&gt;Liew, D.&lt;/author&gt;&lt;author&gt;Irving, L. B.&lt;/author&gt;&lt;/authors&gt;&lt;/contributors&gt;&lt;auth-address&gt;Royal Melbourne Hospital, Parkville, Australia. daniel.steinfort@mh.org.au&lt;/auth-address&gt;&lt;titles&gt;&lt;title&gt;Radial probe EBUS versus CT-guided needle biopsy for evaluation of peripheral pulmonary lesions: an economic analysis&lt;/title&gt;&lt;secondary-title&gt;Eur Respir J&lt;/secondary-title&gt;&lt;/titles&gt;&lt;periodical&gt;&lt;full-title&gt;Eur Respir J&lt;/full-title&gt;&lt;/periodical&gt;&lt;pages&gt;539-47&lt;/pages&gt;&lt;volume&gt;41&lt;/volume&gt;&lt;number&gt;3&lt;/number&gt;&lt;keywords&gt;&lt;keyword&gt;Biopsy, Needle/economics/*methods&lt;/keyword&gt;&lt;keyword&gt;Carcinoma, Non-Small-Cell Lung/diagnosis/pathology&lt;/keyword&gt;&lt;keyword&gt;Cost-Benefit Analysis&lt;/keyword&gt;&lt;keyword&gt;Decision Support Techniques&lt;/keyword&gt;&lt;keyword&gt;Endosonography/economics/*methods&lt;/keyword&gt;&lt;keyword&gt;Health Care Costs&lt;/keyword&gt;&lt;keyword&gt;Humans&lt;/keyword&gt;&lt;keyword&gt;Lung/*pathology&lt;/keyword&gt;&lt;keyword&gt;Lung Diseases/*diagnosis/*economics&lt;/keyword&gt;&lt;keyword&gt;Lung Neoplasms/diagnosis/pathology&lt;/keyword&gt;&lt;keyword&gt;Models, Theoretical&lt;/keyword&gt;&lt;keyword&gt;Monte Carlo Method&lt;/keyword&gt;&lt;keyword&gt;Probability&lt;/keyword&gt;&lt;keyword&gt;Sensitivity and Specificity&lt;/keyword&gt;&lt;keyword&gt;Treatment Outcome&lt;/keyword&gt;&lt;/keywords&gt;&lt;dates&gt;&lt;year&gt;2013&lt;/year&gt;&lt;pub-dates&gt;&lt;date&gt;Mar&lt;/date&gt;&lt;/pub-dates&gt;&lt;/dates&gt;&lt;isbn&gt;1399-3003 (Electronic)&amp;#xD;0903-1936 (Linking)&lt;/isbn&gt;&lt;accession-num&gt;22835609&lt;/accession-num&gt;&lt;urls&gt;&lt;related-urls&gt;&lt;url&gt;https://www.ncbi.nlm.nih.gov/pubmed/22835609&lt;/url&gt;&lt;url&gt;https://erj.ersjournals.com/content/erj/41/3/539.full.pdf&lt;/url&gt;&lt;/related-urls&gt;&lt;/urls&gt;&lt;electronic-resource-num&gt;10.1183/09031936.00044612&lt;/electronic-resource-num&gt;&lt;/record&gt;&lt;/Cite&gt;&lt;/EndNote&gt;</w:instrText>
      </w:r>
      <w:r>
        <w:fldChar w:fldCharType="separate"/>
      </w:r>
      <w:r>
        <w:rPr>
          <w:noProof/>
        </w:rPr>
        <w:t>(2013)</w:t>
      </w:r>
      <w:r>
        <w:fldChar w:fldCharType="end"/>
      </w:r>
      <w:r>
        <w:t xml:space="preserve"> reported an average costs of outpatient lung biopsy of $2,724 for </w:t>
      </w:r>
      <w:r w:rsidRPr="0077218E">
        <w:t>endobronchial ultrasound-guided transbronchial lung biopsy</w:t>
      </w:r>
      <w:r>
        <w:t xml:space="preserve">; and $2,748 for </w:t>
      </w:r>
      <w:r w:rsidRPr="0077218E">
        <w:t xml:space="preserve">computed tomography-guided percutaneous </w:t>
      </w:r>
      <w:r w:rsidRPr="0077218E">
        <w:lastRenderedPageBreak/>
        <w:t>needle biopsy</w:t>
      </w:r>
      <w:r>
        <w:t xml:space="preserve"> (including management of complications) in 2010/2011 Australian dollars. With updating of costs to 2021/2022 levels, based on annual health inflation estimates reported by the AIHW, the average cost of rebiopsy in the outpatient setting is estimated to be $3,363. Sensitivity analyses are presented assuming all rebiopsy occur in the outpatient setting, </w:t>
      </w:r>
      <w:r w:rsidRPr="002822D5">
        <w:t>and</w:t>
      </w:r>
      <w:r>
        <w:t xml:space="preserve"> assuming a 50:50</w:t>
      </w:r>
      <w:r w:rsidRPr="002822D5">
        <w:t xml:space="preserve"> s</w:t>
      </w:r>
      <w:r>
        <w:t>plit of use.</w:t>
      </w:r>
    </w:p>
    <w:p w14:paraId="3A92174F" w14:textId="77777777" w:rsidR="004E63D6" w:rsidRPr="00CE28E3" w:rsidRDefault="004E63D6" w:rsidP="004E63D6">
      <w:pPr>
        <w:pStyle w:val="Heading3"/>
      </w:pPr>
      <w:bookmarkStart w:id="173" w:name="_Toc109054490"/>
      <w:bookmarkStart w:id="174" w:name="_Toc148531175"/>
      <w:r w:rsidRPr="00CE28E3">
        <w:t>3.2.7</w:t>
      </w:r>
      <w:r w:rsidRPr="00CE28E3">
        <w:tab/>
        <w:t>Model validation</w:t>
      </w:r>
      <w:bookmarkEnd w:id="173"/>
      <w:bookmarkEnd w:id="174"/>
    </w:p>
    <w:p w14:paraId="1195058C" w14:textId="77777777" w:rsidR="004E63D6" w:rsidRDefault="004E63D6" w:rsidP="004E63D6">
      <w:pPr>
        <w:pStyle w:val="Heading4"/>
      </w:pPr>
      <w:bookmarkStart w:id="175" w:name="_Toc54940849"/>
      <w:r w:rsidRPr="00CE28E3">
        <w:t>Operational validation of the economic model</w:t>
      </w:r>
      <w:bookmarkEnd w:id="175"/>
    </w:p>
    <w:p w14:paraId="1D028927" w14:textId="1E2ECA15" w:rsidR="004E63D6" w:rsidRDefault="004E63D6" w:rsidP="004E63D6">
      <w:r w:rsidRPr="00274AA1">
        <w:t xml:space="preserve">To validate the operation of the model, the </w:t>
      </w:r>
      <w:r>
        <w:t xml:space="preserve">proportions and cost applied at each </w:t>
      </w:r>
      <w:r w:rsidRPr="00274AA1">
        <w:t>decision tree branching point</w:t>
      </w:r>
      <w:r>
        <w:t xml:space="preserve"> were externally estimated (see ‘Model validation’ tab in the included file accompanying the DCAR) (</w:t>
      </w:r>
      <w:r>
        <w:fldChar w:fldCharType="begin"/>
      </w:r>
      <w:r>
        <w:instrText xml:space="preserve"> REF _Ref108607729 \h </w:instrText>
      </w:r>
      <w:r>
        <w:fldChar w:fldCharType="separate"/>
      </w:r>
      <w:r w:rsidR="00C857F3">
        <w:t>Figure </w:t>
      </w:r>
      <w:r w:rsidR="00C857F3">
        <w:rPr>
          <w:noProof/>
        </w:rPr>
        <w:t>29</w:t>
      </w:r>
      <w:r>
        <w:fldChar w:fldCharType="end"/>
      </w:r>
      <w:r>
        <w:t xml:space="preserve">, Appendix F). This demonstrates that </w:t>
      </w:r>
      <w:r w:rsidRPr="00274AA1">
        <w:t xml:space="preserve">the sum of the decision probabilities </w:t>
      </w:r>
      <w:r>
        <w:t xml:space="preserve">in each model arm </w:t>
      </w:r>
      <w:r w:rsidRPr="00274AA1">
        <w:t xml:space="preserve">equals one, </w:t>
      </w:r>
      <w:r>
        <w:t>with replication of the overall of the total model costs</w:t>
      </w:r>
      <w:r w:rsidRPr="00274AA1">
        <w:t>.</w:t>
      </w:r>
    </w:p>
    <w:p w14:paraId="055466FA" w14:textId="77777777" w:rsidR="004E63D6" w:rsidRDefault="004E63D6" w:rsidP="004E63D6">
      <w:pPr>
        <w:pStyle w:val="Heading4"/>
      </w:pPr>
      <w:bookmarkStart w:id="176" w:name="_Toc54940850"/>
      <w:r w:rsidRPr="00CE28E3">
        <w:t>Other validation techniques</w:t>
      </w:r>
      <w:bookmarkEnd w:id="176"/>
    </w:p>
    <w:p w14:paraId="11FF3514" w14:textId="77777777" w:rsidR="004E63D6" w:rsidRPr="00BC169A" w:rsidRDefault="004E63D6" w:rsidP="004E63D6">
      <w:pPr>
        <w:rPr>
          <w:u w:val="single"/>
        </w:rPr>
      </w:pPr>
      <w:r w:rsidRPr="00BC169A">
        <w:rPr>
          <w:u w:val="single"/>
        </w:rPr>
        <w:t xml:space="preserve">Ratio of FISH to </w:t>
      </w:r>
      <w:r w:rsidRPr="00DB3E00">
        <w:rPr>
          <w:i/>
          <w:u w:val="single"/>
        </w:rPr>
        <w:t xml:space="preserve">EGFR </w:t>
      </w:r>
      <w:r w:rsidRPr="00BC169A">
        <w:rPr>
          <w:u w:val="single"/>
        </w:rPr>
        <w:t>use</w:t>
      </w:r>
      <w:r>
        <w:rPr>
          <w:u w:val="single"/>
        </w:rPr>
        <w:t xml:space="preserve"> (modelled vs utilisation)</w:t>
      </w:r>
    </w:p>
    <w:p w14:paraId="06A3F2D9" w14:textId="3B185494" w:rsidR="004E63D6" w:rsidRDefault="004E63D6" w:rsidP="004E63D6">
      <w:r>
        <w:t xml:space="preserve">External validation was performed by presenting a comparison of the modelled estimates of FISH use per patient that enters the model to estimates of MBS service utilisation. As all patients enter the model in the comparator arm receive </w:t>
      </w:r>
      <w:r w:rsidRPr="00DB3E00">
        <w:rPr>
          <w:i/>
        </w:rPr>
        <w:t xml:space="preserve">EGFR </w:t>
      </w:r>
      <w:r>
        <w:t xml:space="preserve">testing, the modelled ratio of </w:t>
      </w:r>
      <w:r w:rsidRPr="00A75F36">
        <w:rPr>
          <w:i/>
        </w:rPr>
        <w:t>ALK</w:t>
      </w:r>
      <w:r>
        <w:t xml:space="preserve"> FISH use : </w:t>
      </w:r>
      <w:r w:rsidRPr="00DB3E00">
        <w:rPr>
          <w:i/>
        </w:rPr>
        <w:t>EGFR</w:t>
      </w:r>
      <w:r>
        <w:t xml:space="preserve"> service use (</w:t>
      </w:r>
      <w:r>
        <w:fldChar w:fldCharType="begin"/>
      </w:r>
      <w:r>
        <w:instrText xml:space="preserve"> REF _Ref108430530 \h </w:instrText>
      </w:r>
      <w:r>
        <w:fldChar w:fldCharType="separate"/>
      </w:r>
      <w:r w:rsidR="00C857F3" w:rsidRPr="00CE28E3">
        <w:t>Table</w:t>
      </w:r>
      <w:r w:rsidR="00C857F3">
        <w:t> </w:t>
      </w:r>
      <w:r w:rsidR="00C857F3">
        <w:rPr>
          <w:noProof/>
        </w:rPr>
        <w:t>51</w:t>
      </w:r>
      <w:r>
        <w:fldChar w:fldCharType="end"/>
      </w:r>
      <w:r>
        <w:t>) was compared to the observed ratio of test use (</w:t>
      </w:r>
      <w:r>
        <w:fldChar w:fldCharType="begin"/>
      </w:r>
      <w:r>
        <w:instrText xml:space="preserve"> REF _Ref108430535 \h </w:instrText>
      </w:r>
      <w:r>
        <w:fldChar w:fldCharType="separate"/>
      </w:r>
      <w:r w:rsidR="00C857F3" w:rsidRPr="00CE28E3">
        <w:t>Table</w:t>
      </w:r>
      <w:r w:rsidR="00C857F3">
        <w:t> </w:t>
      </w:r>
      <w:r w:rsidR="00C857F3">
        <w:rPr>
          <w:noProof/>
        </w:rPr>
        <w:t>52</w:t>
      </w:r>
      <w:r>
        <w:fldChar w:fldCharType="end"/>
      </w:r>
      <w:r>
        <w:t>).</w:t>
      </w:r>
    </w:p>
    <w:p w14:paraId="5AA8133F" w14:textId="403D9441" w:rsidR="004E63D6" w:rsidRDefault="004E63D6" w:rsidP="004E63D6">
      <w:pPr>
        <w:pStyle w:val="Caption"/>
      </w:pPr>
      <w:bookmarkStart w:id="177" w:name="_Ref108430530"/>
      <w:r w:rsidRPr="00CE28E3">
        <w:t>Table</w:t>
      </w:r>
      <w:r>
        <w:t> </w:t>
      </w:r>
      <w:fldSimple w:instr=" SEQ Table \* ARABIC ">
        <w:r w:rsidR="00C857F3">
          <w:rPr>
            <w:noProof/>
          </w:rPr>
          <w:t>51</w:t>
        </w:r>
      </w:fldSimple>
      <w:bookmarkEnd w:id="177"/>
      <w:r w:rsidRPr="00CE28E3">
        <w:tab/>
      </w:r>
      <w:r>
        <w:t>Modelled estimates of FISH testing, per patient tested</w:t>
      </w:r>
    </w:p>
    <w:tbl>
      <w:tblPr>
        <w:tblStyle w:val="TableGrid1"/>
        <w:tblW w:w="5000" w:type="pct"/>
        <w:tblLook w:val="04A0" w:firstRow="1" w:lastRow="0" w:firstColumn="1" w:lastColumn="0" w:noHBand="0" w:noVBand="1"/>
        <w:tblCaption w:val="Modelled estimates of FISH testing, per patient tested"/>
        <w:tblDescription w:val="Modelled estimates of FISH testing, per patient tested"/>
      </w:tblPr>
      <w:tblGrid>
        <w:gridCol w:w="4282"/>
        <w:gridCol w:w="1578"/>
        <w:gridCol w:w="1578"/>
        <w:gridCol w:w="1578"/>
      </w:tblGrid>
      <w:tr w:rsidR="004E63D6" w:rsidRPr="0041628B" w14:paraId="4C9D33F2" w14:textId="77777777" w:rsidTr="00F56CC8">
        <w:trPr>
          <w:cnfStyle w:val="100000000000" w:firstRow="1" w:lastRow="0" w:firstColumn="0" w:lastColumn="0" w:oddVBand="0" w:evenVBand="0" w:oddHBand="0" w:evenHBand="0" w:firstRowFirstColumn="0" w:firstRowLastColumn="0" w:lastRowFirstColumn="0" w:lastRowLastColumn="0"/>
          <w:trHeight w:val="300"/>
          <w:tblHeader/>
        </w:trPr>
        <w:tc>
          <w:tcPr>
            <w:tcW w:w="2260" w:type="pct"/>
            <w:tcBorders>
              <w:bottom w:val="single" w:sz="4" w:space="0" w:color="auto"/>
            </w:tcBorders>
            <w:noWrap/>
          </w:tcPr>
          <w:p w14:paraId="7CF73C5D" w14:textId="77777777" w:rsidR="004E63D6" w:rsidRPr="0041628B" w:rsidRDefault="004E63D6" w:rsidP="00CA410A">
            <w:pPr>
              <w:pStyle w:val="TableHeading"/>
            </w:pPr>
          </w:p>
        </w:tc>
        <w:tc>
          <w:tcPr>
            <w:tcW w:w="913" w:type="pct"/>
            <w:tcBorders>
              <w:bottom w:val="single" w:sz="4" w:space="0" w:color="auto"/>
            </w:tcBorders>
            <w:noWrap/>
          </w:tcPr>
          <w:p w14:paraId="33D3ABE1" w14:textId="77777777" w:rsidR="004E63D6" w:rsidRPr="0041628B" w:rsidRDefault="004E63D6" w:rsidP="00CA410A">
            <w:pPr>
              <w:pStyle w:val="TableHeading"/>
              <w:jc w:val="center"/>
            </w:pPr>
            <w:r w:rsidRPr="00A75F36">
              <w:rPr>
                <w:i/>
              </w:rPr>
              <w:t>EGFR</w:t>
            </w:r>
            <w:r>
              <w:t xml:space="preserve"> use</w:t>
            </w:r>
          </w:p>
        </w:tc>
        <w:tc>
          <w:tcPr>
            <w:tcW w:w="913" w:type="pct"/>
            <w:tcBorders>
              <w:bottom w:val="single" w:sz="4" w:space="0" w:color="auto"/>
            </w:tcBorders>
            <w:noWrap/>
          </w:tcPr>
          <w:p w14:paraId="5A75A663" w14:textId="77777777" w:rsidR="004E63D6" w:rsidRPr="0041628B" w:rsidRDefault="004E63D6" w:rsidP="00CA410A">
            <w:pPr>
              <w:pStyle w:val="TableHeading"/>
              <w:jc w:val="center"/>
            </w:pPr>
            <w:r w:rsidRPr="0020411D">
              <w:rPr>
                <w:i/>
              </w:rPr>
              <w:t>ALK</w:t>
            </w:r>
            <w:r>
              <w:t xml:space="preserve"> FISH use</w:t>
            </w:r>
          </w:p>
        </w:tc>
        <w:tc>
          <w:tcPr>
            <w:tcW w:w="913" w:type="pct"/>
            <w:tcBorders>
              <w:bottom w:val="single" w:sz="4" w:space="0" w:color="auto"/>
            </w:tcBorders>
            <w:noWrap/>
          </w:tcPr>
          <w:p w14:paraId="6E7D0106" w14:textId="77777777" w:rsidR="004E63D6" w:rsidRPr="0041628B" w:rsidRDefault="004E63D6" w:rsidP="00CA410A">
            <w:pPr>
              <w:pStyle w:val="TableHeading"/>
              <w:jc w:val="center"/>
            </w:pPr>
            <w:r w:rsidRPr="0020411D">
              <w:rPr>
                <w:i/>
              </w:rPr>
              <w:t>ROS1</w:t>
            </w:r>
            <w:r>
              <w:t xml:space="preserve"> FISH use</w:t>
            </w:r>
          </w:p>
        </w:tc>
      </w:tr>
      <w:tr w:rsidR="004E63D6" w:rsidRPr="0041628B" w14:paraId="3B624F60" w14:textId="77777777" w:rsidTr="00CA410A">
        <w:trPr>
          <w:trHeight w:val="300"/>
        </w:trPr>
        <w:tc>
          <w:tcPr>
            <w:tcW w:w="2260" w:type="pct"/>
            <w:tcBorders>
              <w:bottom w:val="nil"/>
            </w:tcBorders>
            <w:noWrap/>
            <w:hideMark/>
          </w:tcPr>
          <w:p w14:paraId="45DEB2FD" w14:textId="77777777" w:rsidR="004E63D6" w:rsidRPr="0041628B" w:rsidRDefault="004E63D6" w:rsidP="00CA410A">
            <w:pPr>
              <w:pStyle w:val="TableText"/>
            </w:pPr>
            <w:r w:rsidRPr="0041628B">
              <w:t xml:space="preserve">FISH </w:t>
            </w:r>
            <w:r>
              <w:t>use calibrated to utilisation data (base case)</w:t>
            </w:r>
          </w:p>
        </w:tc>
        <w:tc>
          <w:tcPr>
            <w:tcW w:w="913" w:type="pct"/>
            <w:tcBorders>
              <w:bottom w:val="nil"/>
            </w:tcBorders>
            <w:noWrap/>
            <w:hideMark/>
          </w:tcPr>
          <w:p w14:paraId="0B857937" w14:textId="77777777" w:rsidR="004E63D6" w:rsidRPr="0041628B" w:rsidRDefault="004E63D6" w:rsidP="00CA410A">
            <w:pPr>
              <w:pStyle w:val="TableText"/>
              <w:jc w:val="center"/>
            </w:pPr>
            <w:r w:rsidRPr="0041628B">
              <w:t>0.9788</w:t>
            </w:r>
          </w:p>
        </w:tc>
        <w:tc>
          <w:tcPr>
            <w:tcW w:w="913" w:type="pct"/>
            <w:tcBorders>
              <w:bottom w:val="nil"/>
            </w:tcBorders>
            <w:noWrap/>
            <w:hideMark/>
          </w:tcPr>
          <w:p w14:paraId="1A87FCA3" w14:textId="77777777" w:rsidR="004E63D6" w:rsidRPr="0041628B" w:rsidRDefault="004E63D6" w:rsidP="00CA410A">
            <w:pPr>
              <w:pStyle w:val="TableText"/>
              <w:jc w:val="center"/>
            </w:pPr>
            <w:r w:rsidRPr="0041628B">
              <w:t>0.0447</w:t>
            </w:r>
          </w:p>
        </w:tc>
        <w:tc>
          <w:tcPr>
            <w:tcW w:w="913" w:type="pct"/>
            <w:tcBorders>
              <w:bottom w:val="nil"/>
            </w:tcBorders>
            <w:noWrap/>
            <w:hideMark/>
          </w:tcPr>
          <w:p w14:paraId="6DF3C1E5" w14:textId="77777777" w:rsidR="004E63D6" w:rsidRPr="0041628B" w:rsidRDefault="004E63D6" w:rsidP="00CA410A">
            <w:pPr>
              <w:pStyle w:val="TableText"/>
              <w:jc w:val="center"/>
            </w:pPr>
            <w:r w:rsidRPr="0041628B">
              <w:t>0.0744</w:t>
            </w:r>
          </w:p>
        </w:tc>
      </w:tr>
      <w:tr w:rsidR="004E63D6" w:rsidRPr="0041628B" w14:paraId="3F74F89D" w14:textId="77777777" w:rsidTr="00CA410A">
        <w:trPr>
          <w:trHeight w:val="300"/>
        </w:trPr>
        <w:tc>
          <w:tcPr>
            <w:tcW w:w="2260" w:type="pct"/>
            <w:tcBorders>
              <w:top w:val="nil"/>
              <w:bottom w:val="single" w:sz="4" w:space="0" w:color="auto"/>
            </w:tcBorders>
            <w:noWrap/>
            <w:hideMark/>
          </w:tcPr>
          <w:p w14:paraId="458BDFFB" w14:textId="77777777" w:rsidR="004E63D6" w:rsidRPr="0041628B" w:rsidRDefault="004E63D6" w:rsidP="00CA410A">
            <w:pPr>
              <w:pStyle w:val="TableText"/>
            </w:pPr>
            <w:r>
              <w:t xml:space="preserve">(As a proportion of </w:t>
            </w:r>
            <w:r w:rsidRPr="00555BED">
              <w:rPr>
                <w:i/>
              </w:rPr>
              <w:t>EGFR</w:t>
            </w:r>
            <w:r>
              <w:t xml:space="preserve"> services)</w:t>
            </w:r>
          </w:p>
        </w:tc>
        <w:tc>
          <w:tcPr>
            <w:tcW w:w="913" w:type="pct"/>
            <w:tcBorders>
              <w:top w:val="nil"/>
              <w:bottom w:val="single" w:sz="4" w:space="0" w:color="auto"/>
            </w:tcBorders>
            <w:noWrap/>
            <w:hideMark/>
          </w:tcPr>
          <w:p w14:paraId="221C6C50" w14:textId="77777777" w:rsidR="004E63D6" w:rsidRPr="0041628B" w:rsidRDefault="004E63D6" w:rsidP="00CA410A">
            <w:pPr>
              <w:pStyle w:val="TableText"/>
              <w:jc w:val="center"/>
            </w:pPr>
          </w:p>
        </w:tc>
        <w:tc>
          <w:tcPr>
            <w:tcW w:w="913" w:type="pct"/>
            <w:tcBorders>
              <w:top w:val="nil"/>
              <w:bottom w:val="single" w:sz="4" w:space="0" w:color="auto"/>
            </w:tcBorders>
            <w:noWrap/>
            <w:hideMark/>
          </w:tcPr>
          <w:p w14:paraId="37740185" w14:textId="77777777" w:rsidR="004E63D6" w:rsidRPr="0041628B" w:rsidRDefault="004E63D6" w:rsidP="00CA410A">
            <w:pPr>
              <w:pStyle w:val="TableText"/>
              <w:jc w:val="center"/>
            </w:pPr>
            <w:r>
              <w:t>(4.6%)</w:t>
            </w:r>
          </w:p>
        </w:tc>
        <w:tc>
          <w:tcPr>
            <w:tcW w:w="913" w:type="pct"/>
            <w:tcBorders>
              <w:top w:val="nil"/>
              <w:bottom w:val="single" w:sz="4" w:space="0" w:color="auto"/>
            </w:tcBorders>
            <w:noWrap/>
            <w:hideMark/>
          </w:tcPr>
          <w:p w14:paraId="786B1797" w14:textId="77777777" w:rsidR="004E63D6" w:rsidRPr="0041628B" w:rsidRDefault="004E63D6" w:rsidP="00CA410A">
            <w:pPr>
              <w:pStyle w:val="TableText"/>
              <w:jc w:val="center"/>
            </w:pPr>
            <w:r>
              <w:t>(7.6%)</w:t>
            </w:r>
          </w:p>
        </w:tc>
      </w:tr>
      <w:tr w:rsidR="004E63D6" w:rsidRPr="0041628B" w14:paraId="2B372491" w14:textId="77777777" w:rsidTr="00CA410A">
        <w:trPr>
          <w:trHeight w:val="300"/>
        </w:trPr>
        <w:tc>
          <w:tcPr>
            <w:tcW w:w="2260" w:type="pct"/>
            <w:tcBorders>
              <w:bottom w:val="nil"/>
            </w:tcBorders>
            <w:noWrap/>
            <w:hideMark/>
          </w:tcPr>
          <w:p w14:paraId="05726326" w14:textId="77777777" w:rsidR="004E63D6" w:rsidRPr="0041628B" w:rsidRDefault="004E63D6" w:rsidP="00CA410A">
            <w:pPr>
              <w:pStyle w:val="TableText"/>
            </w:pPr>
            <w:r>
              <w:t>FISH use estimated from prevalence and IHC specificity</w:t>
            </w:r>
          </w:p>
        </w:tc>
        <w:tc>
          <w:tcPr>
            <w:tcW w:w="913" w:type="pct"/>
            <w:tcBorders>
              <w:bottom w:val="nil"/>
            </w:tcBorders>
            <w:noWrap/>
            <w:hideMark/>
          </w:tcPr>
          <w:p w14:paraId="1052608E" w14:textId="77777777" w:rsidR="004E63D6" w:rsidRPr="0041628B" w:rsidRDefault="004E63D6" w:rsidP="00CA410A">
            <w:pPr>
              <w:pStyle w:val="TableText"/>
              <w:jc w:val="center"/>
            </w:pPr>
            <w:r w:rsidRPr="0041628B">
              <w:t>0.9788</w:t>
            </w:r>
          </w:p>
        </w:tc>
        <w:tc>
          <w:tcPr>
            <w:tcW w:w="913" w:type="pct"/>
            <w:tcBorders>
              <w:bottom w:val="nil"/>
            </w:tcBorders>
            <w:noWrap/>
            <w:hideMark/>
          </w:tcPr>
          <w:p w14:paraId="434EE075" w14:textId="77777777" w:rsidR="004E63D6" w:rsidRPr="0041628B" w:rsidRDefault="004E63D6" w:rsidP="00CA410A">
            <w:pPr>
              <w:pStyle w:val="TableText"/>
              <w:jc w:val="center"/>
            </w:pPr>
            <w:r w:rsidRPr="0041628B">
              <w:t>0.0314</w:t>
            </w:r>
          </w:p>
        </w:tc>
        <w:tc>
          <w:tcPr>
            <w:tcW w:w="913" w:type="pct"/>
            <w:tcBorders>
              <w:bottom w:val="nil"/>
            </w:tcBorders>
            <w:noWrap/>
            <w:hideMark/>
          </w:tcPr>
          <w:p w14:paraId="4405BD2C" w14:textId="77777777" w:rsidR="004E63D6" w:rsidRPr="0041628B" w:rsidRDefault="004E63D6" w:rsidP="00CA410A">
            <w:pPr>
              <w:pStyle w:val="TableText"/>
              <w:jc w:val="center"/>
            </w:pPr>
            <w:r w:rsidRPr="0041628B">
              <w:t>0.0489</w:t>
            </w:r>
          </w:p>
        </w:tc>
      </w:tr>
      <w:tr w:rsidR="004E63D6" w:rsidRPr="0041628B" w14:paraId="57B12212" w14:textId="77777777" w:rsidTr="00CA410A">
        <w:trPr>
          <w:trHeight w:val="300"/>
        </w:trPr>
        <w:tc>
          <w:tcPr>
            <w:tcW w:w="2260" w:type="pct"/>
            <w:tcBorders>
              <w:top w:val="nil"/>
              <w:bottom w:val="single" w:sz="4" w:space="0" w:color="auto"/>
            </w:tcBorders>
            <w:noWrap/>
            <w:hideMark/>
          </w:tcPr>
          <w:p w14:paraId="7D829182" w14:textId="77777777" w:rsidR="004E63D6" w:rsidRPr="0041628B" w:rsidRDefault="004E63D6" w:rsidP="00CA410A">
            <w:pPr>
              <w:pStyle w:val="TableText"/>
            </w:pPr>
            <w:r>
              <w:t xml:space="preserve">(As a proportion of </w:t>
            </w:r>
            <w:r w:rsidRPr="00555BED">
              <w:rPr>
                <w:i/>
              </w:rPr>
              <w:t>EGFR</w:t>
            </w:r>
            <w:r>
              <w:t xml:space="preserve"> services)</w:t>
            </w:r>
          </w:p>
        </w:tc>
        <w:tc>
          <w:tcPr>
            <w:tcW w:w="913" w:type="pct"/>
            <w:tcBorders>
              <w:top w:val="nil"/>
              <w:bottom w:val="single" w:sz="4" w:space="0" w:color="auto"/>
            </w:tcBorders>
            <w:noWrap/>
            <w:hideMark/>
          </w:tcPr>
          <w:p w14:paraId="15152955" w14:textId="77777777" w:rsidR="004E63D6" w:rsidRPr="0041628B" w:rsidRDefault="004E63D6" w:rsidP="00CA410A">
            <w:pPr>
              <w:pStyle w:val="TableText"/>
              <w:jc w:val="center"/>
            </w:pPr>
          </w:p>
        </w:tc>
        <w:tc>
          <w:tcPr>
            <w:tcW w:w="913" w:type="pct"/>
            <w:tcBorders>
              <w:top w:val="nil"/>
              <w:bottom w:val="single" w:sz="4" w:space="0" w:color="auto"/>
            </w:tcBorders>
            <w:noWrap/>
            <w:hideMark/>
          </w:tcPr>
          <w:p w14:paraId="67DF5427" w14:textId="77777777" w:rsidR="004E63D6" w:rsidRPr="0041628B" w:rsidRDefault="004E63D6" w:rsidP="00CA410A">
            <w:pPr>
              <w:pStyle w:val="TableText"/>
              <w:jc w:val="center"/>
            </w:pPr>
            <w:r>
              <w:t>(3.2%)</w:t>
            </w:r>
          </w:p>
        </w:tc>
        <w:tc>
          <w:tcPr>
            <w:tcW w:w="913" w:type="pct"/>
            <w:tcBorders>
              <w:top w:val="nil"/>
              <w:bottom w:val="single" w:sz="4" w:space="0" w:color="auto"/>
            </w:tcBorders>
            <w:noWrap/>
            <w:hideMark/>
          </w:tcPr>
          <w:p w14:paraId="7DAC57CC" w14:textId="77777777" w:rsidR="004E63D6" w:rsidRPr="0041628B" w:rsidRDefault="004E63D6" w:rsidP="00CA410A">
            <w:pPr>
              <w:pStyle w:val="TableText"/>
              <w:jc w:val="center"/>
            </w:pPr>
            <w:r>
              <w:t>(5.0%)</w:t>
            </w:r>
          </w:p>
        </w:tc>
      </w:tr>
      <w:tr w:rsidR="004E63D6" w:rsidRPr="0041628B" w14:paraId="60BF4B78" w14:textId="77777777" w:rsidTr="00CA410A">
        <w:trPr>
          <w:trHeight w:val="300"/>
        </w:trPr>
        <w:tc>
          <w:tcPr>
            <w:tcW w:w="2260" w:type="pct"/>
            <w:tcBorders>
              <w:bottom w:val="nil"/>
            </w:tcBorders>
            <w:noWrap/>
            <w:hideMark/>
          </w:tcPr>
          <w:p w14:paraId="4174FB35" w14:textId="77777777" w:rsidR="004E63D6" w:rsidRPr="0041628B" w:rsidRDefault="004E63D6" w:rsidP="00CA410A">
            <w:pPr>
              <w:pStyle w:val="TableText"/>
            </w:pPr>
            <w:r>
              <w:t xml:space="preserve">FISH use estimated from prevalence and IHC specificity </w:t>
            </w:r>
            <w:r>
              <w:br/>
              <w:t>(advanced patients only)</w:t>
            </w:r>
          </w:p>
        </w:tc>
        <w:tc>
          <w:tcPr>
            <w:tcW w:w="913" w:type="pct"/>
            <w:tcBorders>
              <w:bottom w:val="nil"/>
            </w:tcBorders>
            <w:noWrap/>
            <w:hideMark/>
          </w:tcPr>
          <w:p w14:paraId="3FD604F5" w14:textId="77777777" w:rsidR="004E63D6" w:rsidRPr="0041628B" w:rsidRDefault="004E63D6" w:rsidP="00CA410A">
            <w:pPr>
              <w:pStyle w:val="TableText"/>
              <w:jc w:val="center"/>
            </w:pPr>
            <w:r w:rsidRPr="00BC4793">
              <w:t>0.9892</w:t>
            </w:r>
          </w:p>
        </w:tc>
        <w:tc>
          <w:tcPr>
            <w:tcW w:w="913" w:type="pct"/>
            <w:tcBorders>
              <w:bottom w:val="nil"/>
            </w:tcBorders>
            <w:noWrap/>
            <w:hideMark/>
          </w:tcPr>
          <w:p w14:paraId="108909A4" w14:textId="77777777" w:rsidR="004E63D6" w:rsidRPr="0041628B" w:rsidRDefault="004E63D6" w:rsidP="00CA410A">
            <w:pPr>
              <w:pStyle w:val="TableText"/>
              <w:jc w:val="center"/>
            </w:pPr>
            <w:r w:rsidRPr="00BC4793">
              <w:t>0.0414</w:t>
            </w:r>
          </w:p>
        </w:tc>
        <w:tc>
          <w:tcPr>
            <w:tcW w:w="913" w:type="pct"/>
            <w:tcBorders>
              <w:bottom w:val="nil"/>
            </w:tcBorders>
            <w:noWrap/>
            <w:hideMark/>
          </w:tcPr>
          <w:p w14:paraId="74439BDC" w14:textId="77777777" w:rsidR="004E63D6" w:rsidRPr="0041628B" w:rsidRDefault="004E63D6" w:rsidP="00CA410A">
            <w:pPr>
              <w:pStyle w:val="TableText"/>
              <w:jc w:val="center"/>
            </w:pPr>
            <w:r w:rsidRPr="00BC4793">
              <w:t>0.0645</w:t>
            </w:r>
          </w:p>
        </w:tc>
      </w:tr>
      <w:tr w:rsidR="004E63D6" w:rsidRPr="0041628B" w14:paraId="4C384DB9" w14:textId="77777777" w:rsidTr="00CA410A">
        <w:trPr>
          <w:trHeight w:val="300"/>
        </w:trPr>
        <w:tc>
          <w:tcPr>
            <w:tcW w:w="2260" w:type="pct"/>
            <w:tcBorders>
              <w:top w:val="nil"/>
            </w:tcBorders>
            <w:noWrap/>
            <w:hideMark/>
          </w:tcPr>
          <w:p w14:paraId="25BF20DF" w14:textId="77777777" w:rsidR="004E63D6" w:rsidRPr="0041628B" w:rsidRDefault="004E63D6" w:rsidP="00CA410A">
            <w:pPr>
              <w:pStyle w:val="TableText"/>
            </w:pPr>
            <w:r>
              <w:t xml:space="preserve">(As a proportion of </w:t>
            </w:r>
            <w:r w:rsidRPr="00555BED">
              <w:rPr>
                <w:i/>
              </w:rPr>
              <w:t>EGFR</w:t>
            </w:r>
            <w:r>
              <w:t xml:space="preserve"> services)</w:t>
            </w:r>
          </w:p>
        </w:tc>
        <w:tc>
          <w:tcPr>
            <w:tcW w:w="913" w:type="pct"/>
            <w:tcBorders>
              <w:top w:val="nil"/>
            </w:tcBorders>
            <w:noWrap/>
            <w:hideMark/>
          </w:tcPr>
          <w:p w14:paraId="305CE287" w14:textId="77777777" w:rsidR="004E63D6" w:rsidRPr="0041628B" w:rsidRDefault="004E63D6" w:rsidP="00CA410A">
            <w:pPr>
              <w:pStyle w:val="TableText"/>
              <w:jc w:val="center"/>
            </w:pPr>
          </w:p>
        </w:tc>
        <w:tc>
          <w:tcPr>
            <w:tcW w:w="913" w:type="pct"/>
            <w:tcBorders>
              <w:top w:val="nil"/>
            </w:tcBorders>
            <w:noWrap/>
            <w:hideMark/>
          </w:tcPr>
          <w:p w14:paraId="766B34E0" w14:textId="77777777" w:rsidR="004E63D6" w:rsidRPr="0041628B" w:rsidRDefault="004E63D6" w:rsidP="00CA410A">
            <w:pPr>
              <w:pStyle w:val="TableText"/>
              <w:jc w:val="center"/>
            </w:pPr>
            <w:r>
              <w:t>(4.2%)</w:t>
            </w:r>
          </w:p>
        </w:tc>
        <w:tc>
          <w:tcPr>
            <w:tcW w:w="913" w:type="pct"/>
            <w:tcBorders>
              <w:top w:val="nil"/>
            </w:tcBorders>
            <w:noWrap/>
            <w:hideMark/>
          </w:tcPr>
          <w:p w14:paraId="09D85B6E" w14:textId="77777777" w:rsidR="004E63D6" w:rsidRPr="0041628B" w:rsidRDefault="004E63D6" w:rsidP="00CA410A">
            <w:pPr>
              <w:pStyle w:val="TableText"/>
              <w:jc w:val="center"/>
            </w:pPr>
            <w:r>
              <w:t>(6.5%)</w:t>
            </w:r>
          </w:p>
        </w:tc>
      </w:tr>
    </w:tbl>
    <w:p w14:paraId="270A85FB" w14:textId="77777777" w:rsidR="004E63D6"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IHC = immunohistochemistry; </w:t>
      </w:r>
      <w:r w:rsidRPr="00743D1B">
        <w:rPr>
          <w:i/>
        </w:rPr>
        <w:t>ROS1</w:t>
      </w:r>
      <w:r>
        <w:t xml:space="preserve"> = ROS proto-oncogene 1.</w:t>
      </w:r>
    </w:p>
    <w:p w14:paraId="59C2A481" w14:textId="374EA762" w:rsidR="004E63D6" w:rsidRDefault="004E63D6" w:rsidP="004E63D6">
      <w:pPr>
        <w:pStyle w:val="Caption"/>
      </w:pPr>
      <w:bookmarkStart w:id="178" w:name="_Ref108430535"/>
      <w:r w:rsidRPr="00CE28E3">
        <w:t>Table</w:t>
      </w:r>
      <w:r>
        <w:t> </w:t>
      </w:r>
      <w:fldSimple w:instr=" SEQ Table \* ARABIC ">
        <w:r w:rsidR="00C857F3">
          <w:rPr>
            <w:noProof/>
          </w:rPr>
          <w:t>52</w:t>
        </w:r>
      </w:fldSimple>
      <w:bookmarkEnd w:id="178"/>
      <w:r w:rsidRPr="00CE28E3">
        <w:tab/>
      </w:r>
      <w:r w:rsidR="00AE0495">
        <w:t xml:space="preserve">Claiming </w:t>
      </w:r>
      <w:r>
        <w:t xml:space="preserve">of </w:t>
      </w:r>
      <w:r w:rsidRPr="00DB3E00">
        <w:rPr>
          <w:i/>
        </w:rPr>
        <w:t>EGFR</w:t>
      </w:r>
      <w:r>
        <w:t xml:space="preserve">, </w:t>
      </w:r>
      <w:r w:rsidRPr="00725C82">
        <w:rPr>
          <w:i/>
        </w:rPr>
        <w:t>ALK</w:t>
      </w:r>
      <w:r>
        <w:t xml:space="preserve"> FISH and </w:t>
      </w:r>
      <w:r w:rsidRPr="00725C82">
        <w:rPr>
          <w:i/>
        </w:rPr>
        <w:t>ROS1</w:t>
      </w:r>
      <w:r>
        <w:t xml:space="preserve"> FISH MBS items</w:t>
      </w:r>
    </w:p>
    <w:tbl>
      <w:tblPr>
        <w:tblStyle w:val="TableGrid"/>
        <w:tblW w:w="5000" w:type="pct"/>
        <w:tblLook w:val="04A0" w:firstRow="1" w:lastRow="0" w:firstColumn="1" w:lastColumn="0" w:noHBand="0" w:noVBand="1"/>
        <w:tblCaption w:val="Use of EGFR, ALK FISH and ROS1 FISH MBS items"/>
        <w:tblDescription w:val="Use of EGFR, ALK FISH and ROS1 FISH MBS items"/>
      </w:tblPr>
      <w:tblGrid>
        <w:gridCol w:w="2688"/>
        <w:gridCol w:w="1055"/>
        <w:gridCol w:w="1055"/>
        <w:gridCol w:w="1055"/>
        <w:gridCol w:w="1055"/>
        <w:gridCol w:w="1055"/>
        <w:gridCol w:w="1053"/>
      </w:tblGrid>
      <w:tr w:rsidR="004E63D6" w:rsidRPr="00507A6B" w14:paraId="626703E6" w14:textId="77777777" w:rsidTr="00F56CC8">
        <w:trPr>
          <w:tblHeader/>
        </w:trPr>
        <w:tc>
          <w:tcPr>
            <w:tcW w:w="1491" w:type="pct"/>
          </w:tcPr>
          <w:p w14:paraId="1B2DDD28" w14:textId="77777777" w:rsidR="004E63D6" w:rsidRPr="00373827" w:rsidRDefault="004E63D6" w:rsidP="00CA410A">
            <w:pPr>
              <w:pStyle w:val="TableHeading"/>
            </w:pPr>
          </w:p>
        </w:tc>
        <w:tc>
          <w:tcPr>
            <w:tcW w:w="585" w:type="pct"/>
          </w:tcPr>
          <w:p w14:paraId="4989F769" w14:textId="77777777" w:rsidR="004E63D6" w:rsidRPr="00373827" w:rsidRDefault="004E63D6" w:rsidP="00CA410A">
            <w:pPr>
              <w:pStyle w:val="TableHeading"/>
              <w:jc w:val="center"/>
            </w:pPr>
            <w:r w:rsidRPr="00373827">
              <w:t>2016</w:t>
            </w:r>
          </w:p>
        </w:tc>
        <w:tc>
          <w:tcPr>
            <w:tcW w:w="585" w:type="pct"/>
          </w:tcPr>
          <w:p w14:paraId="4CE5539B" w14:textId="77777777" w:rsidR="004E63D6" w:rsidRPr="00373827" w:rsidRDefault="004E63D6" w:rsidP="00CA410A">
            <w:pPr>
              <w:pStyle w:val="TableHeading"/>
              <w:jc w:val="center"/>
            </w:pPr>
            <w:r w:rsidRPr="00373827">
              <w:t>2017</w:t>
            </w:r>
          </w:p>
        </w:tc>
        <w:tc>
          <w:tcPr>
            <w:tcW w:w="585" w:type="pct"/>
          </w:tcPr>
          <w:p w14:paraId="14C540B2" w14:textId="77777777" w:rsidR="004E63D6" w:rsidRPr="00373827" w:rsidRDefault="004E63D6" w:rsidP="00CA410A">
            <w:pPr>
              <w:pStyle w:val="TableHeading"/>
              <w:jc w:val="center"/>
            </w:pPr>
            <w:r w:rsidRPr="00373827">
              <w:t>2018</w:t>
            </w:r>
          </w:p>
        </w:tc>
        <w:tc>
          <w:tcPr>
            <w:tcW w:w="585" w:type="pct"/>
          </w:tcPr>
          <w:p w14:paraId="6E4FA8E7" w14:textId="77777777" w:rsidR="004E63D6" w:rsidRPr="00373827" w:rsidRDefault="004E63D6" w:rsidP="00CA410A">
            <w:pPr>
              <w:pStyle w:val="TableHeading"/>
              <w:jc w:val="center"/>
            </w:pPr>
            <w:r w:rsidRPr="00373827">
              <w:t>2019</w:t>
            </w:r>
          </w:p>
        </w:tc>
        <w:tc>
          <w:tcPr>
            <w:tcW w:w="585" w:type="pct"/>
          </w:tcPr>
          <w:p w14:paraId="010FA79F" w14:textId="77777777" w:rsidR="004E63D6" w:rsidRPr="00373827" w:rsidRDefault="004E63D6" w:rsidP="00CA410A">
            <w:pPr>
              <w:pStyle w:val="TableHeading"/>
              <w:jc w:val="center"/>
            </w:pPr>
            <w:r w:rsidRPr="00373827">
              <w:t>2020</w:t>
            </w:r>
          </w:p>
        </w:tc>
        <w:tc>
          <w:tcPr>
            <w:tcW w:w="584" w:type="pct"/>
          </w:tcPr>
          <w:p w14:paraId="509E426C" w14:textId="77777777" w:rsidR="004E63D6" w:rsidRPr="00373827" w:rsidRDefault="004E63D6" w:rsidP="00CA410A">
            <w:pPr>
              <w:pStyle w:val="TableHeading"/>
              <w:jc w:val="center"/>
            </w:pPr>
            <w:r w:rsidRPr="00373827">
              <w:t>2021</w:t>
            </w:r>
          </w:p>
        </w:tc>
      </w:tr>
      <w:tr w:rsidR="004E63D6" w:rsidRPr="00507A6B" w14:paraId="0262F463" w14:textId="77777777" w:rsidTr="00CA410A">
        <w:tc>
          <w:tcPr>
            <w:tcW w:w="1491" w:type="pct"/>
          </w:tcPr>
          <w:p w14:paraId="250D6B9E" w14:textId="77777777" w:rsidR="004E63D6" w:rsidRPr="00507A6B" w:rsidRDefault="004E63D6" w:rsidP="00CA410A">
            <w:pPr>
              <w:pStyle w:val="TableText"/>
            </w:pPr>
            <w:r>
              <w:t xml:space="preserve">No. </w:t>
            </w:r>
            <w:r w:rsidRPr="00A75F36">
              <w:rPr>
                <w:i/>
              </w:rPr>
              <w:t>EGFR</w:t>
            </w:r>
            <w:r>
              <w:t xml:space="preserve"> services</w:t>
            </w:r>
          </w:p>
        </w:tc>
        <w:tc>
          <w:tcPr>
            <w:tcW w:w="585" w:type="pct"/>
          </w:tcPr>
          <w:p w14:paraId="0EE656CE" w14:textId="77777777" w:rsidR="004E63D6" w:rsidRDefault="004E63D6" w:rsidP="00CA410A">
            <w:pPr>
              <w:pStyle w:val="TableText"/>
              <w:jc w:val="center"/>
            </w:pPr>
            <w:r>
              <w:t>3,419</w:t>
            </w:r>
          </w:p>
        </w:tc>
        <w:tc>
          <w:tcPr>
            <w:tcW w:w="585" w:type="pct"/>
          </w:tcPr>
          <w:p w14:paraId="359CDE79" w14:textId="77777777" w:rsidR="004E63D6" w:rsidRDefault="004E63D6" w:rsidP="00CA410A">
            <w:pPr>
              <w:pStyle w:val="TableText"/>
              <w:jc w:val="center"/>
            </w:pPr>
            <w:r w:rsidRPr="00F5255B">
              <w:t>3,863</w:t>
            </w:r>
          </w:p>
        </w:tc>
        <w:tc>
          <w:tcPr>
            <w:tcW w:w="585" w:type="pct"/>
          </w:tcPr>
          <w:p w14:paraId="5E0FA64A" w14:textId="77777777" w:rsidR="004E63D6" w:rsidRDefault="004E63D6" w:rsidP="00CA410A">
            <w:pPr>
              <w:pStyle w:val="TableText"/>
              <w:jc w:val="center"/>
            </w:pPr>
            <w:r w:rsidRPr="00F5255B">
              <w:t>4,147</w:t>
            </w:r>
          </w:p>
        </w:tc>
        <w:tc>
          <w:tcPr>
            <w:tcW w:w="585" w:type="pct"/>
          </w:tcPr>
          <w:p w14:paraId="196B5906" w14:textId="77777777" w:rsidR="004E63D6" w:rsidRDefault="004E63D6" w:rsidP="00CA410A">
            <w:pPr>
              <w:pStyle w:val="TableText"/>
              <w:jc w:val="center"/>
            </w:pPr>
            <w:r w:rsidRPr="00F5255B">
              <w:t>4,603</w:t>
            </w:r>
          </w:p>
        </w:tc>
        <w:tc>
          <w:tcPr>
            <w:tcW w:w="585" w:type="pct"/>
          </w:tcPr>
          <w:p w14:paraId="4643037C" w14:textId="77777777" w:rsidR="004E63D6" w:rsidRDefault="004E63D6" w:rsidP="00CA410A">
            <w:pPr>
              <w:pStyle w:val="TableText"/>
              <w:jc w:val="center"/>
            </w:pPr>
            <w:r w:rsidRPr="00F5255B">
              <w:t>4,697</w:t>
            </w:r>
          </w:p>
        </w:tc>
        <w:tc>
          <w:tcPr>
            <w:tcW w:w="584" w:type="pct"/>
          </w:tcPr>
          <w:p w14:paraId="13E990C1" w14:textId="77777777" w:rsidR="004E63D6" w:rsidRDefault="004E63D6" w:rsidP="00CA410A">
            <w:pPr>
              <w:pStyle w:val="TableText"/>
              <w:jc w:val="center"/>
            </w:pPr>
            <w:r w:rsidRPr="00F5255B">
              <w:t>4,854</w:t>
            </w:r>
          </w:p>
        </w:tc>
      </w:tr>
      <w:tr w:rsidR="004E63D6" w:rsidRPr="00507A6B" w14:paraId="550BF39E" w14:textId="77777777" w:rsidTr="00CA410A">
        <w:tc>
          <w:tcPr>
            <w:tcW w:w="1491" w:type="pct"/>
          </w:tcPr>
          <w:p w14:paraId="29463D41" w14:textId="77777777" w:rsidR="004E63D6" w:rsidRPr="00507A6B" w:rsidRDefault="004E63D6" w:rsidP="00CA410A">
            <w:pPr>
              <w:pStyle w:val="TableText"/>
            </w:pPr>
            <w:r w:rsidRPr="00507A6B">
              <w:t xml:space="preserve">No. </w:t>
            </w:r>
            <w:r w:rsidRPr="00C64B86">
              <w:rPr>
                <w:i/>
              </w:rPr>
              <w:t>ALK</w:t>
            </w:r>
            <w:r>
              <w:t xml:space="preserve"> FISH </w:t>
            </w:r>
            <w:r w:rsidRPr="00507A6B">
              <w:t>services</w:t>
            </w:r>
          </w:p>
        </w:tc>
        <w:tc>
          <w:tcPr>
            <w:tcW w:w="585" w:type="pct"/>
          </w:tcPr>
          <w:p w14:paraId="06A89E71" w14:textId="77777777" w:rsidR="004E63D6" w:rsidRPr="00507A6B" w:rsidRDefault="004E63D6" w:rsidP="00CA410A">
            <w:pPr>
              <w:pStyle w:val="TableText"/>
              <w:jc w:val="center"/>
            </w:pPr>
            <w:r>
              <w:t>188</w:t>
            </w:r>
          </w:p>
        </w:tc>
        <w:tc>
          <w:tcPr>
            <w:tcW w:w="585" w:type="pct"/>
          </w:tcPr>
          <w:p w14:paraId="0DD30588" w14:textId="77777777" w:rsidR="004E63D6" w:rsidRPr="00507A6B" w:rsidRDefault="004E63D6" w:rsidP="00CA410A">
            <w:pPr>
              <w:pStyle w:val="TableText"/>
              <w:jc w:val="center"/>
            </w:pPr>
            <w:r>
              <w:t>305</w:t>
            </w:r>
          </w:p>
        </w:tc>
        <w:tc>
          <w:tcPr>
            <w:tcW w:w="585" w:type="pct"/>
          </w:tcPr>
          <w:p w14:paraId="7387F9E3" w14:textId="77777777" w:rsidR="004E63D6" w:rsidRPr="00507A6B" w:rsidRDefault="004E63D6" w:rsidP="00CA410A">
            <w:pPr>
              <w:pStyle w:val="TableText"/>
              <w:jc w:val="center"/>
            </w:pPr>
            <w:r>
              <w:t>292</w:t>
            </w:r>
          </w:p>
        </w:tc>
        <w:tc>
          <w:tcPr>
            <w:tcW w:w="585" w:type="pct"/>
          </w:tcPr>
          <w:p w14:paraId="428A5E3E" w14:textId="77777777" w:rsidR="004E63D6" w:rsidRPr="00507A6B" w:rsidRDefault="004E63D6" w:rsidP="00CA410A">
            <w:pPr>
              <w:pStyle w:val="TableText"/>
              <w:jc w:val="center"/>
            </w:pPr>
            <w:r>
              <w:t>201</w:t>
            </w:r>
          </w:p>
        </w:tc>
        <w:tc>
          <w:tcPr>
            <w:tcW w:w="585" w:type="pct"/>
          </w:tcPr>
          <w:p w14:paraId="514E5633" w14:textId="77777777" w:rsidR="004E63D6" w:rsidRPr="00507A6B" w:rsidRDefault="004E63D6" w:rsidP="00CA410A">
            <w:pPr>
              <w:pStyle w:val="TableText"/>
              <w:jc w:val="center"/>
            </w:pPr>
            <w:r>
              <w:t>222</w:t>
            </w:r>
          </w:p>
        </w:tc>
        <w:tc>
          <w:tcPr>
            <w:tcW w:w="584" w:type="pct"/>
          </w:tcPr>
          <w:p w14:paraId="454DCF06" w14:textId="77777777" w:rsidR="004E63D6" w:rsidRPr="00507A6B" w:rsidRDefault="004E63D6" w:rsidP="00CA410A">
            <w:pPr>
              <w:pStyle w:val="TableText"/>
              <w:jc w:val="center"/>
            </w:pPr>
            <w:r>
              <w:t>216</w:t>
            </w:r>
          </w:p>
        </w:tc>
      </w:tr>
      <w:tr w:rsidR="004E63D6" w:rsidRPr="00507A6B" w14:paraId="4BD1BB0B" w14:textId="77777777" w:rsidTr="00CA410A">
        <w:tc>
          <w:tcPr>
            <w:tcW w:w="1491" w:type="pct"/>
          </w:tcPr>
          <w:p w14:paraId="468DD774" w14:textId="77777777" w:rsidR="004E63D6" w:rsidRPr="00507A6B" w:rsidRDefault="004E63D6" w:rsidP="00CA410A">
            <w:pPr>
              <w:pStyle w:val="TableText"/>
            </w:pPr>
            <w:r>
              <w:t xml:space="preserve">As a proportion of </w:t>
            </w:r>
            <w:r w:rsidRPr="00555BED">
              <w:rPr>
                <w:i/>
              </w:rPr>
              <w:t>EGFR</w:t>
            </w:r>
            <w:r>
              <w:t xml:space="preserve"> services</w:t>
            </w:r>
          </w:p>
        </w:tc>
        <w:tc>
          <w:tcPr>
            <w:tcW w:w="585" w:type="pct"/>
          </w:tcPr>
          <w:p w14:paraId="4A8F5BED" w14:textId="77777777" w:rsidR="004E63D6" w:rsidRDefault="004E63D6" w:rsidP="00CA410A">
            <w:pPr>
              <w:pStyle w:val="TableText"/>
              <w:jc w:val="center"/>
            </w:pPr>
            <w:r>
              <w:t>5.5%</w:t>
            </w:r>
          </w:p>
        </w:tc>
        <w:tc>
          <w:tcPr>
            <w:tcW w:w="585" w:type="pct"/>
          </w:tcPr>
          <w:p w14:paraId="78C66451" w14:textId="77777777" w:rsidR="004E63D6" w:rsidRDefault="004E63D6" w:rsidP="00CA410A">
            <w:pPr>
              <w:pStyle w:val="TableText"/>
              <w:jc w:val="center"/>
            </w:pPr>
            <w:r>
              <w:t>7.9%</w:t>
            </w:r>
          </w:p>
        </w:tc>
        <w:tc>
          <w:tcPr>
            <w:tcW w:w="585" w:type="pct"/>
          </w:tcPr>
          <w:p w14:paraId="6E0373BB" w14:textId="77777777" w:rsidR="004E63D6" w:rsidRDefault="004E63D6" w:rsidP="00CA410A">
            <w:pPr>
              <w:pStyle w:val="TableText"/>
              <w:jc w:val="center"/>
            </w:pPr>
            <w:r>
              <w:t>7.0%</w:t>
            </w:r>
          </w:p>
        </w:tc>
        <w:tc>
          <w:tcPr>
            <w:tcW w:w="585" w:type="pct"/>
          </w:tcPr>
          <w:p w14:paraId="157BB3F7" w14:textId="77777777" w:rsidR="004E63D6" w:rsidRDefault="004E63D6" w:rsidP="00CA410A">
            <w:pPr>
              <w:pStyle w:val="TableText"/>
              <w:jc w:val="center"/>
            </w:pPr>
            <w:r>
              <w:t>4.4%</w:t>
            </w:r>
          </w:p>
        </w:tc>
        <w:tc>
          <w:tcPr>
            <w:tcW w:w="585" w:type="pct"/>
          </w:tcPr>
          <w:p w14:paraId="45B3B4EA" w14:textId="77777777" w:rsidR="004E63D6" w:rsidRDefault="004E63D6" w:rsidP="00CA410A">
            <w:pPr>
              <w:pStyle w:val="TableText"/>
              <w:jc w:val="center"/>
            </w:pPr>
            <w:r>
              <w:t>4.7%</w:t>
            </w:r>
          </w:p>
        </w:tc>
        <w:tc>
          <w:tcPr>
            <w:tcW w:w="584" w:type="pct"/>
          </w:tcPr>
          <w:p w14:paraId="1A3058F7" w14:textId="77777777" w:rsidR="004E63D6" w:rsidRDefault="004E63D6" w:rsidP="00CA410A">
            <w:pPr>
              <w:pStyle w:val="TableText"/>
              <w:jc w:val="center"/>
            </w:pPr>
            <w:r>
              <w:t>4.4%</w:t>
            </w:r>
          </w:p>
        </w:tc>
      </w:tr>
      <w:tr w:rsidR="004E63D6" w:rsidRPr="00507A6B" w14:paraId="50500355" w14:textId="77777777" w:rsidTr="00CA410A">
        <w:tc>
          <w:tcPr>
            <w:tcW w:w="1491" w:type="pct"/>
          </w:tcPr>
          <w:p w14:paraId="4801817E" w14:textId="77777777" w:rsidR="004E63D6" w:rsidRPr="00507A6B" w:rsidRDefault="004E63D6" w:rsidP="00CA410A">
            <w:pPr>
              <w:pStyle w:val="TableText"/>
            </w:pPr>
            <w:r w:rsidRPr="00507A6B">
              <w:t xml:space="preserve">No. </w:t>
            </w:r>
            <w:r w:rsidRPr="00C64B86">
              <w:rPr>
                <w:i/>
              </w:rPr>
              <w:t>ROS1</w:t>
            </w:r>
            <w:r>
              <w:t xml:space="preserve"> FISH </w:t>
            </w:r>
            <w:r w:rsidRPr="00507A6B">
              <w:t>services</w:t>
            </w:r>
          </w:p>
        </w:tc>
        <w:tc>
          <w:tcPr>
            <w:tcW w:w="585" w:type="pct"/>
            <w:shd w:val="clear" w:color="auto" w:fill="E7E6E6" w:themeFill="background2"/>
          </w:tcPr>
          <w:p w14:paraId="7CD19935" w14:textId="77777777" w:rsidR="004E63D6" w:rsidRPr="00507A6B" w:rsidRDefault="004E63D6" w:rsidP="00CA410A">
            <w:pPr>
              <w:pStyle w:val="TableText"/>
              <w:jc w:val="center"/>
            </w:pPr>
          </w:p>
        </w:tc>
        <w:tc>
          <w:tcPr>
            <w:tcW w:w="585" w:type="pct"/>
            <w:shd w:val="clear" w:color="auto" w:fill="E7E6E6" w:themeFill="background2"/>
          </w:tcPr>
          <w:p w14:paraId="0FEF8FAD" w14:textId="77777777" w:rsidR="004E63D6" w:rsidRPr="00507A6B" w:rsidRDefault="004E63D6" w:rsidP="00CA410A">
            <w:pPr>
              <w:pStyle w:val="TableText"/>
              <w:jc w:val="center"/>
            </w:pPr>
          </w:p>
        </w:tc>
        <w:tc>
          <w:tcPr>
            <w:tcW w:w="585" w:type="pct"/>
            <w:shd w:val="clear" w:color="auto" w:fill="E7E6E6" w:themeFill="background2"/>
          </w:tcPr>
          <w:p w14:paraId="7467986A" w14:textId="77777777" w:rsidR="004E63D6" w:rsidRPr="00507A6B" w:rsidRDefault="004E63D6" w:rsidP="00CA410A">
            <w:pPr>
              <w:pStyle w:val="TableText"/>
              <w:jc w:val="center"/>
            </w:pPr>
          </w:p>
        </w:tc>
        <w:tc>
          <w:tcPr>
            <w:tcW w:w="585" w:type="pct"/>
          </w:tcPr>
          <w:p w14:paraId="454F2008" w14:textId="77777777" w:rsidR="004E63D6" w:rsidRPr="00507A6B" w:rsidRDefault="004E63D6" w:rsidP="00CA410A">
            <w:pPr>
              <w:pStyle w:val="TableText"/>
              <w:jc w:val="center"/>
            </w:pPr>
            <w:r>
              <w:t>121</w:t>
            </w:r>
          </w:p>
        </w:tc>
        <w:tc>
          <w:tcPr>
            <w:tcW w:w="585" w:type="pct"/>
          </w:tcPr>
          <w:p w14:paraId="078CA0C3" w14:textId="77777777" w:rsidR="004E63D6" w:rsidRPr="00507A6B" w:rsidRDefault="004E63D6" w:rsidP="00CA410A">
            <w:pPr>
              <w:pStyle w:val="TableText"/>
              <w:jc w:val="center"/>
            </w:pPr>
            <w:r>
              <w:t>333</w:t>
            </w:r>
          </w:p>
        </w:tc>
        <w:tc>
          <w:tcPr>
            <w:tcW w:w="584" w:type="pct"/>
          </w:tcPr>
          <w:p w14:paraId="390001C0" w14:textId="77777777" w:rsidR="004E63D6" w:rsidRPr="00507A6B" w:rsidRDefault="004E63D6" w:rsidP="00CA410A">
            <w:pPr>
              <w:pStyle w:val="TableText"/>
              <w:jc w:val="center"/>
            </w:pPr>
            <w:r>
              <w:t>386</w:t>
            </w:r>
          </w:p>
        </w:tc>
      </w:tr>
      <w:tr w:rsidR="004E63D6" w:rsidRPr="00507A6B" w14:paraId="17A2B111" w14:textId="77777777" w:rsidTr="00CA410A">
        <w:tc>
          <w:tcPr>
            <w:tcW w:w="1491" w:type="pct"/>
          </w:tcPr>
          <w:p w14:paraId="289CB2E4" w14:textId="77777777" w:rsidR="004E63D6" w:rsidRPr="00507A6B" w:rsidRDefault="004E63D6" w:rsidP="00CA410A">
            <w:pPr>
              <w:pStyle w:val="TableText"/>
            </w:pPr>
            <w:r>
              <w:t xml:space="preserve">As a proportion of </w:t>
            </w:r>
            <w:r w:rsidRPr="00555BED">
              <w:rPr>
                <w:i/>
              </w:rPr>
              <w:t>EGFR</w:t>
            </w:r>
            <w:r>
              <w:t xml:space="preserve"> services</w:t>
            </w:r>
          </w:p>
        </w:tc>
        <w:tc>
          <w:tcPr>
            <w:tcW w:w="585" w:type="pct"/>
            <w:shd w:val="clear" w:color="auto" w:fill="E7E6E6" w:themeFill="background2"/>
          </w:tcPr>
          <w:p w14:paraId="1E879498" w14:textId="77777777" w:rsidR="004E63D6" w:rsidRDefault="004E63D6" w:rsidP="00CA410A">
            <w:pPr>
              <w:pStyle w:val="TableText"/>
              <w:jc w:val="center"/>
            </w:pPr>
          </w:p>
        </w:tc>
        <w:tc>
          <w:tcPr>
            <w:tcW w:w="585" w:type="pct"/>
            <w:shd w:val="clear" w:color="auto" w:fill="E7E6E6" w:themeFill="background2"/>
          </w:tcPr>
          <w:p w14:paraId="525C54CC" w14:textId="77777777" w:rsidR="004E63D6" w:rsidRDefault="004E63D6" w:rsidP="00CA410A">
            <w:pPr>
              <w:pStyle w:val="TableText"/>
              <w:jc w:val="center"/>
            </w:pPr>
          </w:p>
        </w:tc>
        <w:tc>
          <w:tcPr>
            <w:tcW w:w="585" w:type="pct"/>
            <w:shd w:val="clear" w:color="auto" w:fill="E7E6E6" w:themeFill="background2"/>
          </w:tcPr>
          <w:p w14:paraId="3B2DFE2F" w14:textId="77777777" w:rsidR="004E63D6" w:rsidRDefault="004E63D6" w:rsidP="00CA410A">
            <w:pPr>
              <w:pStyle w:val="TableText"/>
              <w:jc w:val="center"/>
            </w:pPr>
          </w:p>
        </w:tc>
        <w:tc>
          <w:tcPr>
            <w:tcW w:w="585" w:type="pct"/>
          </w:tcPr>
          <w:p w14:paraId="6E7D3660" w14:textId="77777777" w:rsidR="004E63D6" w:rsidRDefault="004E63D6" w:rsidP="00CA410A">
            <w:pPr>
              <w:pStyle w:val="TableText"/>
              <w:jc w:val="center"/>
            </w:pPr>
            <w:r>
              <w:t>2.6%</w:t>
            </w:r>
          </w:p>
        </w:tc>
        <w:tc>
          <w:tcPr>
            <w:tcW w:w="585" w:type="pct"/>
          </w:tcPr>
          <w:p w14:paraId="549BF0E4" w14:textId="77777777" w:rsidR="004E63D6" w:rsidRDefault="004E63D6" w:rsidP="00CA410A">
            <w:pPr>
              <w:pStyle w:val="TableText"/>
              <w:jc w:val="center"/>
            </w:pPr>
            <w:r>
              <w:t>7.1%</w:t>
            </w:r>
          </w:p>
        </w:tc>
        <w:tc>
          <w:tcPr>
            <w:tcW w:w="584" w:type="pct"/>
          </w:tcPr>
          <w:p w14:paraId="7D7549F1" w14:textId="77777777" w:rsidR="004E63D6" w:rsidRDefault="004E63D6" w:rsidP="00CA410A">
            <w:pPr>
              <w:pStyle w:val="TableText"/>
              <w:jc w:val="center"/>
            </w:pPr>
            <w:r>
              <w:t>8.0%</w:t>
            </w:r>
          </w:p>
        </w:tc>
      </w:tr>
    </w:tbl>
    <w:p w14:paraId="576F9F3C" w14:textId="72CB2D56" w:rsidR="004E63D6" w:rsidRDefault="004E63D6" w:rsidP="004E63D6">
      <w:pPr>
        <w:pStyle w:val="TableFooter"/>
      </w:pPr>
      <w:r>
        <w:t>Source: Services Australia</w:t>
      </w:r>
    </w:p>
    <w:p w14:paraId="761355FC" w14:textId="48C7E489" w:rsidR="006B3694" w:rsidRDefault="006B3694" w:rsidP="006B3694">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FISH = f</w:t>
      </w:r>
      <w:r w:rsidRPr="003316EF">
        <w:t xml:space="preserve">luorescence </w:t>
      </w:r>
      <w:r w:rsidRPr="00854A18">
        <w:rPr>
          <w:i/>
        </w:rPr>
        <w:t>in situ</w:t>
      </w:r>
      <w:r w:rsidRPr="003316EF">
        <w:t xml:space="preserve"> hybridisation</w:t>
      </w:r>
      <w:r>
        <w:t xml:space="preserve">; </w:t>
      </w:r>
      <w:r w:rsidRPr="00743D1B">
        <w:rPr>
          <w:i/>
        </w:rPr>
        <w:t>ROS1</w:t>
      </w:r>
      <w:r>
        <w:t xml:space="preserve"> = ROS proto-oncogene 1.</w:t>
      </w:r>
    </w:p>
    <w:p w14:paraId="77973FAA" w14:textId="77777777" w:rsidR="006B3694" w:rsidRDefault="006B3694" w:rsidP="004E63D6">
      <w:pPr>
        <w:pStyle w:val="TableFooter"/>
      </w:pPr>
    </w:p>
    <w:p w14:paraId="703C9444" w14:textId="527AB73D" w:rsidR="004E63D6" w:rsidRDefault="004E63D6" w:rsidP="004E63D6">
      <w:r w:rsidRPr="00725C82">
        <w:rPr>
          <w:i/>
        </w:rPr>
        <w:lastRenderedPageBreak/>
        <w:t>ALK</w:t>
      </w:r>
      <w:r>
        <w:t xml:space="preserve"> FISH testing was listed on the MBS in July 2015. Fluctuations in </w:t>
      </w:r>
      <w:r w:rsidR="00AE0495">
        <w:t xml:space="preserve">claims </w:t>
      </w:r>
      <w:r>
        <w:t xml:space="preserve">were observed in the first three full calendar years of listing, however </w:t>
      </w:r>
      <w:r w:rsidR="00AE0495">
        <w:t>claims</w:t>
      </w:r>
      <w:r w:rsidR="00F9200C">
        <w:t xml:space="preserve"> </w:t>
      </w:r>
      <w:r>
        <w:t xml:space="preserve">appeared to stabilise from 2019 onwards. </w:t>
      </w:r>
      <w:r w:rsidR="00AE0495">
        <w:t xml:space="preserve">From </w:t>
      </w:r>
      <w:r>
        <w:t xml:space="preserve">2019−2021, </w:t>
      </w:r>
      <w:r w:rsidRPr="00725C82">
        <w:rPr>
          <w:i/>
        </w:rPr>
        <w:t>ALK</w:t>
      </w:r>
      <w:r>
        <w:t xml:space="preserve"> FISH services made up approximately 4.4−4.7% of </w:t>
      </w:r>
      <w:r w:rsidRPr="00DB3E00">
        <w:rPr>
          <w:i/>
        </w:rPr>
        <w:t>EGFR</w:t>
      </w:r>
      <w:r>
        <w:t xml:space="preserve"> services (average 4.5%).</w:t>
      </w:r>
    </w:p>
    <w:p w14:paraId="5F10DBE1" w14:textId="1C748CAE" w:rsidR="004E63D6" w:rsidRDefault="00AE0495" w:rsidP="004E63D6">
      <w:r>
        <w:t xml:space="preserve">Claiming </w:t>
      </w:r>
      <w:r w:rsidR="004E63D6">
        <w:t xml:space="preserve">of </w:t>
      </w:r>
      <w:r w:rsidR="004E63D6" w:rsidRPr="004A61FD">
        <w:rPr>
          <w:i/>
        </w:rPr>
        <w:t>ROS1</w:t>
      </w:r>
      <w:r w:rsidR="004E63D6">
        <w:t xml:space="preserve"> FISH testing in the first full calendar year of listing (2019) was low relative to use in 2020 and 2021. It is unclear whether </w:t>
      </w:r>
      <w:r>
        <w:t xml:space="preserve">claiming </w:t>
      </w:r>
      <w:r w:rsidR="004E63D6">
        <w:t xml:space="preserve">has at yet stabilised, though in 2020 and 2021, the number of </w:t>
      </w:r>
      <w:r w:rsidR="004E63D6" w:rsidRPr="004A61FD">
        <w:rPr>
          <w:i/>
        </w:rPr>
        <w:t>ROS1</w:t>
      </w:r>
      <w:r w:rsidR="004E63D6">
        <w:t xml:space="preserve"> FISH services did reflect 7.1% and 8.0% of </w:t>
      </w:r>
      <w:r w:rsidR="004E63D6" w:rsidRPr="004A61FD">
        <w:rPr>
          <w:i/>
        </w:rPr>
        <w:t>EGFR</w:t>
      </w:r>
      <w:r w:rsidR="004E63D6">
        <w:t xml:space="preserve"> tests, respectively (average 7.5%). </w:t>
      </w:r>
    </w:p>
    <w:p w14:paraId="24D0253A" w14:textId="77777777" w:rsidR="004E63D6" w:rsidRPr="003F4D89" w:rsidRDefault="004E63D6" w:rsidP="004E63D6"/>
    <w:p w14:paraId="6030D76B" w14:textId="77777777" w:rsidR="004E63D6" w:rsidRDefault="004E63D6" w:rsidP="004E63D6">
      <w:r>
        <w:t>The modelled estimates of FISH use in the base case analysis, which used the calibration approach, was very similar to the MBS utilisation data – which is unsurprising, as the estimates were calibrated to these data. As noted in Section 3.2.6, t</w:t>
      </w:r>
      <w:r w:rsidRPr="00100F25">
        <w:t>he most straightforward approach would be to use IHC specificity data</w:t>
      </w:r>
      <w:r>
        <w:t xml:space="preserve">. However, when this approach is used, the ratio of FISH to </w:t>
      </w:r>
      <w:r w:rsidRPr="00DB3E00">
        <w:rPr>
          <w:i/>
        </w:rPr>
        <w:t>EGFR</w:t>
      </w:r>
      <w:r>
        <w:t xml:space="preserve"> services is much lower than observed in the utilisation data. As described in Section 3.6.2, this may be due to a number of factors – the proportion of patients with advanced disease (or who experience advanced disease) may be an underestimate, the prevalence of rearrangements may be an underestimate or the performance of IHC in terms of specificity may be an overestimate (e.g. IHC may require more unnecessary FISH). Interestingly, when only advanced patients enter the model (i.e. no patients tested early who do not progress), estimates are closer to the utilisation data.</w:t>
      </w:r>
    </w:p>
    <w:p w14:paraId="3E28EB10" w14:textId="3E39DC52" w:rsidR="004E63D6" w:rsidRDefault="004E63D6" w:rsidP="004E63D6">
      <w:r>
        <w:t>The choice of modelling approach has a moderate impact on the results of the analysis – a 9% increase in the base case ICER is observed when the IHC specificity data are used.</w:t>
      </w:r>
    </w:p>
    <w:p w14:paraId="42CE9C67" w14:textId="77777777" w:rsidR="004E63D6" w:rsidRPr="002E4883" w:rsidRDefault="004E63D6" w:rsidP="004E63D6">
      <w:pPr>
        <w:rPr>
          <w:u w:val="single"/>
        </w:rPr>
      </w:pPr>
      <w:r w:rsidRPr="002E4883">
        <w:rPr>
          <w:u w:val="single"/>
        </w:rPr>
        <w:t xml:space="preserve">Comparison </w:t>
      </w:r>
      <w:r>
        <w:rPr>
          <w:u w:val="single"/>
        </w:rPr>
        <w:t>to</w:t>
      </w:r>
      <w:r w:rsidRPr="002E4883">
        <w:rPr>
          <w:u w:val="single"/>
        </w:rPr>
        <w:t xml:space="preserve"> the synthesised estimates reported in Section 2</w:t>
      </w:r>
    </w:p>
    <w:p w14:paraId="0B530239" w14:textId="77777777" w:rsidR="004E63D6" w:rsidRDefault="004E63D6" w:rsidP="004E63D6">
      <w:r>
        <w:t>In the conclusions reported in Section 2, the incremental yield and test success data were used to determine outcomes per 1,000 patients tested. This estimated that:</w:t>
      </w:r>
    </w:p>
    <w:p w14:paraId="0A890047" w14:textId="77777777" w:rsidR="004E63D6" w:rsidRDefault="004E63D6" w:rsidP="004E63D6">
      <w:pPr>
        <w:pStyle w:val="ListParagraph"/>
        <w:numPr>
          <w:ilvl w:val="0"/>
          <w:numId w:val="36"/>
        </w:numPr>
      </w:pPr>
      <w:r>
        <w:t>an additional 26 patients would receive results</w:t>
      </w:r>
    </w:p>
    <w:p w14:paraId="44DC66C7" w14:textId="77777777" w:rsidR="004E63D6" w:rsidRDefault="004E63D6" w:rsidP="004E63D6">
      <w:pPr>
        <w:pStyle w:val="ListParagraph"/>
        <w:numPr>
          <w:ilvl w:val="0"/>
          <w:numId w:val="36"/>
        </w:numPr>
      </w:pPr>
      <w:r>
        <w:t>small gene panel testing would identify 34 patients with uncommon variants, however would miss 2 patients with common variants (net change in 32 patients eligible for targeted therapy, assuming other criteria are met).</w:t>
      </w:r>
    </w:p>
    <w:p w14:paraId="565FC8F7" w14:textId="77777777" w:rsidR="004E63D6" w:rsidRDefault="004E63D6" w:rsidP="004E63D6">
      <w:r>
        <w:t xml:space="preserve">A direct comparison of the base case results to these estimated in Section 2 would not take into account the translations of the clinical evidence to the proposed setting performed. These included the implications of patients with early stage disease who do not progress to advanced disease (and so who do not receive complete single gene testing); the incorporation of some IHC ± FISH use with small gene panel testing; and the implications of testing following successful rebiopsy. </w:t>
      </w:r>
    </w:p>
    <w:p w14:paraId="33ADA26B" w14:textId="717FD532" w:rsidR="004E63D6" w:rsidRDefault="004E63D6" w:rsidP="004E63D6">
      <w:r>
        <w:t xml:space="preserve">An analysis based on the clinical evidence before translations is presented (e.g. Step 4 in the generation of the base case). The results from this analysis are presented in </w:t>
      </w:r>
      <w:r>
        <w:fldChar w:fldCharType="begin"/>
      </w:r>
      <w:r>
        <w:instrText xml:space="preserve"> REF _Ref108607532 \h </w:instrText>
      </w:r>
      <w:r>
        <w:fldChar w:fldCharType="separate"/>
      </w:r>
      <w:r w:rsidR="00C857F3" w:rsidRPr="00CE28E3">
        <w:t>Table</w:t>
      </w:r>
      <w:r w:rsidR="00C857F3">
        <w:t> </w:t>
      </w:r>
      <w:r w:rsidR="00C857F3">
        <w:rPr>
          <w:noProof/>
        </w:rPr>
        <w:t>53</w:t>
      </w:r>
      <w:r>
        <w:fldChar w:fldCharType="end"/>
      </w:r>
      <w:r>
        <w:t>, below. The results are consistent with the estimates presented in Section 2.</w:t>
      </w:r>
    </w:p>
    <w:p w14:paraId="273CB1EC" w14:textId="70DE47F3" w:rsidR="004E63D6" w:rsidRDefault="004E63D6" w:rsidP="004E63D6">
      <w:pPr>
        <w:pStyle w:val="Caption"/>
      </w:pPr>
      <w:bookmarkStart w:id="179" w:name="_Ref108607532"/>
      <w:r w:rsidRPr="00CE28E3">
        <w:lastRenderedPageBreak/>
        <w:t>Table</w:t>
      </w:r>
      <w:r>
        <w:t> </w:t>
      </w:r>
      <w:fldSimple w:instr=" SEQ Table \* ARABIC ">
        <w:r w:rsidR="00C857F3">
          <w:rPr>
            <w:noProof/>
          </w:rPr>
          <w:t>53</w:t>
        </w:r>
      </w:fldSimple>
      <w:bookmarkEnd w:id="179"/>
      <w:r w:rsidRPr="00CE28E3">
        <w:tab/>
      </w:r>
      <w:r>
        <w:t>Comparison of modelled estimates (Step 4) to synthesised results presented in Section 2</w:t>
      </w:r>
    </w:p>
    <w:tbl>
      <w:tblPr>
        <w:tblStyle w:val="TableGrid1"/>
        <w:tblW w:w="5000" w:type="pct"/>
        <w:tblLayout w:type="fixed"/>
        <w:tblLook w:val="04A0" w:firstRow="1" w:lastRow="0" w:firstColumn="1" w:lastColumn="0" w:noHBand="0" w:noVBand="1"/>
        <w:tblCaption w:val="Comparison of modelled estimates (Step 4) to synthesised results presented in Section 2"/>
        <w:tblDescription w:val="Comparison of modelled estimates (Step 4) to synthesised results presented in Section 2"/>
      </w:tblPr>
      <w:tblGrid>
        <w:gridCol w:w="4076"/>
        <w:gridCol w:w="1647"/>
        <w:gridCol w:w="1647"/>
        <w:gridCol w:w="1646"/>
      </w:tblGrid>
      <w:tr w:rsidR="004E63D6" w:rsidRPr="00C917B1" w14:paraId="0B5AAEF9" w14:textId="77777777" w:rsidTr="00F56CC8">
        <w:trPr>
          <w:cnfStyle w:val="100000000000" w:firstRow="1" w:lastRow="0" w:firstColumn="0" w:lastColumn="0" w:oddVBand="0" w:evenVBand="0" w:oddHBand="0" w:evenHBand="0" w:firstRowFirstColumn="0" w:firstRowLastColumn="0" w:lastRowFirstColumn="0" w:lastRowLastColumn="0"/>
          <w:trHeight w:val="300"/>
          <w:tblHeader/>
        </w:trPr>
        <w:tc>
          <w:tcPr>
            <w:tcW w:w="2260" w:type="pct"/>
            <w:noWrap/>
            <w:hideMark/>
          </w:tcPr>
          <w:p w14:paraId="5E827669" w14:textId="77777777" w:rsidR="004E63D6" w:rsidRPr="00C917B1" w:rsidRDefault="004E63D6" w:rsidP="00CA410A">
            <w:pPr>
              <w:pStyle w:val="TableHeading"/>
            </w:pPr>
          </w:p>
        </w:tc>
        <w:tc>
          <w:tcPr>
            <w:tcW w:w="913" w:type="pct"/>
            <w:noWrap/>
            <w:hideMark/>
          </w:tcPr>
          <w:p w14:paraId="4E058584" w14:textId="77777777" w:rsidR="004E63D6" w:rsidRPr="00C917B1" w:rsidRDefault="004E63D6" w:rsidP="00CA410A">
            <w:pPr>
              <w:pStyle w:val="TableHeading"/>
              <w:jc w:val="center"/>
            </w:pPr>
            <w:r w:rsidRPr="00C917B1">
              <w:t>Small gene panel testing</w:t>
            </w:r>
          </w:p>
        </w:tc>
        <w:tc>
          <w:tcPr>
            <w:tcW w:w="913" w:type="pct"/>
            <w:noWrap/>
            <w:hideMark/>
          </w:tcPr>
          <w:p w14:paraId="44DFFDF5" w14:textId="77777777" w:rsidR="004E63D6" w:rsidRPr="00C917B1" w:rsidRDefault="004E63D6" w:rsidP="00CA410A">
            <w:pPr>
              <w:pStyle w:val="TableHeading"/>
              <w:jc w:val="center"/>
            </w:pPr>
            <w:r w:rsidRPr="00C917B1">
              <w:t>Single gene testing</w:t>
            </w:r>
          </w:p>
        </w:tc>
        <w:tc>
          <w:tcPr>
            <w:tcW w:w="913" w:type="pct"/>
            <w:noWrap/>
            <w:hideMark/>
          </w:tcPr>
          <w:p w14:paraId="601E7426" w14:textId="77777777" w:rsidR="004E63D6" w:rsidRPr="00C917B1" w:rsidRDefault="004E63D6" w:rsidP="00CA410A">
            <w:pPr>
              <w:pStyle w:val="TableHeading"/>
              <w:jc w:val="center"/>
            </w:pPr>
            <w:r w:rsidRPr="00C917B1">
              <w:t>Increment</w:t>
            </w:r>
          </w:p>
        </w:tc>
      </w:tr>
      <w:tr w:rsidR="004E63D6" w:rsidRPr="00BC169A" w14:paraId="34DB629A" w14:textId="77777777" w:rsidTr="00CA410A">
        <w:trPr>
          <w:trHeight w:val="300"/>
        </w:trPr>
        <w:tc>
          <w:tcPr>
            <w:tcW w:w="2260" w:type="pct"/>
            <w:noWrap/>
          </w:tcPr>
          <w:p w14:paraId="30F73FC7" w14:textId="77777777" w:rsidR="004E63D6" w:rsidRPr="00BC169A" w:rsidRDefault="004E63D6" w:rsidP="00CA410A">
            <w:pPr>
              <w:pStyle w:val="TableText"/>
              <w:keepNext/>
            </w:pPr>
            <w:r>
              <w:t>Patients successfully tested</w:t>
            </w:r>
          </w:p>
        </w:tc>
        <w:tc>
          <w:tcPr>
            <w:tcW w:w="913" w:type="pct"/>
            <w:noWrap/>
          </w:tcPr>
          <w:p w14:paraId="18568D69" w14:textId="77777777" w:rsidR="004E63D6" w:rsidRPr="00BC169A" w:rsidRDefault="004E63D6" w:rsidP="00CA410A">
            <w:pPr>
              <w:pStyle w:val="TableText"/>
              <w:keepNext/>
              <w:jc w:val="right"/>
            </w:pPr>
            <w:r>
              <w:t>0.972</w:t>
            </w:r>
          </w:p>
        </w:tc>
        <w:tc>
          <w:tcPr>
            <w:tcW w:w="913" w:type="pct"/>
            <w:noWrap/>
          </w:tcPr>
          <w:p w14:paraId="4B7BBFFF" w14:textId="77777777" w:rsidR="004E63D6" w:rsidRPr="00BC169A" w:rsidRDefault="004E63D6" w:rsidP="00CA410A">
            <w:pPr>
              <w:pStyle w:val="TableText"/>
              <w:keepNext/>
              <w:jc w:val="right"/>
            </w:pPr>
            <w:r>
              <w:t>0.946</w:t>
            </w:r>
          </w:p>
        </w:tc>
        <w:tc>
          <w:tcPr>
            <w:tcW w:w="913" w:type="pct"/>
            <w:noWrap/>
          </w:tcPr>
          <w:p w14:paraId="65818515" w14:textId="77777777" w:rsidR="004E63D6" w:rsidRPr="00BC169A" w:rsidRDefault="004E63D6" w:rsidP="00CA410A">
            <w:pPr>
              <w:pStyle w:val="TableText"/>
              <w:keepNext/>
              <w:jc w:val="right"/>
            </w:pPr>
            <w:r>
              <w:t>0.026</w:t>
            </w:r>
          </w:p>
        </w:tc>
      </w:tr>
      <w:tr w:rsidR="004E63D6" w:rsidRPr="00BC169A" w14:paraId="75B8D374" w14:textId="77777777" w:rsidTr="00CA410A">
        <w:trPr>
          <w:trHeight w:val="300"/>
        </w:trPr>
        <w:tc>
          <w:tcPr>
            <w:tcW w:w="2260" w:type="pct"/>
            <w:tcBorders>
              <w:bottom w:val="single" w:sz="4" w:space="0" w:color="auto"/>
            </w:tcBorders>
            <w:noWrap/>
            <w:hideMark/>
          </w:tcPr>
          <w:p w14:paraId="5F627DF8" w14:textId="77777777" w:rsidR="004E63D6" w:rsidRPr="00BC169A" w:rsidRDefault="004E63D6" w:rsidP="00CA410A">
            <w:pPr>
              <w:pStyle w:val="TableText"/>
              <w:keepNext/>
            </w:pPr>
            <w:r w:rsidRPr="00BC169A">
              <w:t>Proportion with an actionable variant identified</w:t>
            </w:r>
          </w:p>
        </w:tc>
        <w:tc>
          <w:tcPr>
            <w:tcW w:w="913" w:type="pct"/>
            <w:tcBorders>
              <w:bottom w:val="single" w:sz="4" w:space="0" w:color="auto"/>
            </w:tcBorders>
            <w:noWrap/>
            <w:hideMark/>
          </w:tcPr>
          <w:p w14:paraId="60876CA2" w14:textId="77777777" w:rsidR="004E63D6" w:rsidRPr="00BC169A" w:rsidRDefault="004E63D6" w:rsidP="00CA410A">
            <w:pPr>
              <w:pStyle w:val="TableText"/>
              <w:keepNext/>
              <w:jc w:val="right"/>
            </w:pPr>
            <w:r w:rsidRPr="00BC169A">
              <w:t>0.252</w:t>
            </w:r>
          </w:p>
        </w:tc>
        <w:tc>
          <w:tcPr>
            <w:tcW w:w="913" w:type="pct"/>
            <w:tcBorders>
              <w:bottom w:val="single" w:sz="4" w:space="0" w:color="auto"/>
            </w:tcBorders>
            <w:noWrap/>
            <w:hideMark/>
          </w:tcPr>
          <w:p w14:paraId="465F5F03" w14:textId="77777777" w:rsidR="004E63D6" w:rsidRPr="00BC169A" w:rsidRDefault="004E63D6" w:rsidP="00CA410A">
            <w:pPr>
              <w:pStyle w:val="TableText"/>
              <w:keepNext/>
              <w:jc w:val="right"/>
            </w:pPr>
            <w:r w:rsidRPr="00BC169A">
              <w:t>0.220</w:t>
            </w:r>
          </w:p>
        </w:tc>
        <w:tc>
          <w:tcPr>
            <w:tcW w:w="913" w:type="pct"/>
            <w:tcBorders>
              <w:bottom w:val="single" w:sz="4" w:space="0" w:color="auto"/>
            </w:tcBorders>
            <w:noWrap/>
            <w:hideMark/>
          </w:tcPr>
          <w:p w14:paraId="53CCDFF6" w14:textId="77777777" w:rsidR="004E63D6" w:rsidRPr="00BC169A" w:rsidRDefault="004E63D6" w:rsidP="00CA410A">
            <w:pPr>
              <w:pStyle w:val="TableText"/>
              <w:keepNext/>
              <w:jc w:val="right"/>
            </w:pPr>
            <w:r w:rsidRPr="00BC169A">
              <w:t>0.032</w:t>
            </w:r>
          </w:p>
        </w:tc>
      </w:tr>
      <w:tr w:rsidR="004E63D6" w:rsidRPr="00BC169A" w14:paraId="590FA7BE" w14:textId="77777777" w:rsidTr="00CA410A">
        <w:trPr>
          <w:trHeight w:val="300"/>
        </w:trPr>
        <w:tc>
          <w:tcPr>
            <w:tcW w:w="2260" w:type="pct"/>
            <w:tcBorders>
              <w:bottom w:val="nil"/>
            </w:tcBorders>
            <w:noWrap/>
            <w:hideMark/>
          </w:tcPr>
          <w:p w14:paraId="4E950958" w14:textId="77777777" w:rsidR="004E63D6" w:rsidRPr="00BC169A" w:rsidRDefault="004E63D6" w:rsidP="00CA410A">
            <w:pPr>
              <w:pStyle w:val="TableText"/>
              <w:keepNext/>
              <w:numPr>
                <w:ilvl w:val="0"/>
                <w:numId w:val="35"/>
              </w:numPr>
              <w:ind w:left="306" w:hanging="142"/>
            </w:pPr>
            <w:r>
              <w:t>C</w:t>
            </w:r>
            <w:r w:rsidRPr="00BC169A">
              <w:t>ommon variants identified</w:t>
            </w:r>
          </w:p>
        </w:tc>
        <w:tc>
          <w:tcPr>
            <w:tcW w:w="913" w:type="pct"/>
            <w:tcBorders>
              <w:bottom w:val="nil"/>
            </w:tcBorders>
            <w:noWrap/>
            <w:hideMark/>
          </w:tcPr>
          <w:p w14:paraId="469446B7" w14:textId="77777777" w:rsidR="004E63D6" w:rsidRPr="00BC169A" w:rsidRDefault="004E63D6" w:rsidP="00CA410A">
            <w:pPr>
              <w:pStyle w:val="TableText"/>
              <w:keepNext/>
              <w:jc w:val="right"/>
            </w:pPr>
            <w:r w:rsidRPr="00BC169A">
              <w:t>0.217</w:t>
            </w:r>
          </w:p>
        </w:tc>
        <w:tc>
          <w:tcPr>
            <w:tcW w:w="913" w:type="pct"/>
            <w:tcBorders>
              <w:bottom w:val="nil"/>
            </w:tcBorders>
            <w:noWrap/>
            <w:hideMark/>
          </w:tcPr>
          <w:p w14:paraId="4169BAD7" w14:textId="77777777" w:rsidR="004E63D6" w:rsidRPr="00BC169A" w:rsidRDefault="004E63D6" w:rsidP="00CA410A">
            <w:pPr>
              <w:pStyle w:val="TableText"/>
              <w:keepNext/>
              <w:jc w:val="right"/>
            </w:pPr>
            <w:r w:rsidRPr="00BC169A">
              <w:t>0.220</w:t>
            </w:r>
          </w:p>
        </w:tc>
        <w:tc>
          <w:tcPr>
            <w:tcW w:w="913" w:type="pct"/>
            <w:tcBorders>
              <w:bottom w:val="nil"/>
            </w:tcBorders>
            <w:noWrap/>
            <w:hideMark/>
          </w:tcPr>
          <w:p w14:paraId="10319436" w14:textId="77777777" w:rsidR="004E63D6" w:rsidRPr="00BC169A" w:rsidRDefault="004E63D6" w:rsidP="00CA410A">
            <w:pPr>
              <w:pStyle w:val="TableText"/>
              <w:keepNext/>
              <w:jc w:val="right"/>
            </w:pPr>
            <w:r w:rsidRPr="00BC169A">
              <w:t>−0.002</w:t>
            </w:r>
          </w:p>
        </w:tc>
      </w:tr>
      <w:tr w:rsidR="004E63D6" w:rsidRPr="00BC169A" w14:paraId="23950A72" w14:textId="77777777" w:rsidTr="00CA410A">
        <w:trPr>
          <w:trHeight w:val="300"/>
        </w:trPr>
        <w:tc>
          <w:tcPr>
            <w:tcW w:w="2260" w:type="pct"/>
            <w:tcBorders>
              <w:top w:val="nil"/>
            </w:tcBorders>
            <w:noWrap/>
            <w:hideMark/>
          </w:tcPr>
          <w:p w14:paraId="48A312D8" w14:textId="64455025" w:rsidR="004E63D6" w:rsidRPr="00BC169A" w:rsidRDefault="00C62643" w:rsidP="002C2FB2">
            <w:pPr>
              <w:pStyle w:val="TableText"/>
              <w:numPr>
                <w:ilvl w:val="0"/>
                <w:numId w:val="35"/>
              </w:numPr>
              <w:ind w:left="306" w:hanging="142"/>
            </w:pPr>
            <w:r>
              <w:t>Incremental</w:t>
            </w:r>
            <w:r w:rsidR="004E63D6" w:rsidRPr="00BC169A">
              <w:t xml:space="preserve"> variants identified</w:t>
            </w:r>
          </w:p>
        </w:tc>
        <w:tc>
          <w:tcPr>
            <w:tcW w:w="913" w:type="pct"/>
            <w:tcBorders>
              <w:top w:val="nil"/>
            </w:tcBorders>
            <w:noWrap/>
            <w:hideMark/>
          </w:tcPr>
          <w:p w14:paraId="3316B4BF" w14:textId="77777777" w:rsidR="004E63D6" w:rsidRPr="00BC169A" w:rsidRDefault="004E63D6" w:rsidP="00CA410A">
            <w:pPr>
              <w:pStyle w:val="TableText"/>
              <w:keepNext/>
              <w:jc w:val="right"/>
            </w:pPr>
            <w:r w:rsidRPr="00BC169A">
              <w:t>0.034</w:t>
            </w:r>
          </w:p>
        </w:tc>
        <w:tc>
          <w:tcPr>
            <w:tcW w:w="913" w:type="pct"/>
            <w:tcBorders>
              <w:top w:val="nil"/>
            </w:tcBorders>
            <w:noWrap/>
            <w:hideMark/>
          </w:tcPr>
          <w:p w14:paraId="0920D9C8" w14:textId="77777777" w:rsidR="004E63D6" w:rsidRPr="00BC169A" w:rsidRDefault="004E63D6" w:rsidP="00CA410A">
            <w:pPr>
              <w:pStyle w:val="TableText"/>
              <w:keepNext/>
              <w:jc w:val="right"/>
            </w:pPr>
            <w:r w:rsidRPr="00BC169A">
              <w:t>0.000</w:t>
            </w:r>
          </w:p>
        </w:tc>
        <w:tc>
          <w:tcPr>
            <w:tcW w:w="913" w:type="pct"/>
            <w:tcBorders>
              <w:top w:val="nil"/>
            </w:tcBorders>
            <w:noWrap/>
            <w:hideMark/>
          </w:tcPr>
          <w:p w14:paraId="4C4F91B1" w14:textId="77777777" w:rsidR="004E63D6" w:rsidRPr="00BC169A" w:rsidRDefault="004E63D6" w:rsidP="00CA410A">
            <w:pPr>
              <w:pStyle w:val="TableText"/>
              <w:keepNext/>
              <w:jc w:val="right"/>
            </w:pPr>
            <w:r w:rsidRPr="00BC169A">
              <w:t>0.034</w:t>
            </w:r>
          </w:p>
        </w:tc>
      </w:tr>
    </w:tbl>
    <w:p w14:paraId="084B5602" w14:textId="77777777" w:rsidR="004E63D6" w:rsidRPr="00CE28E3" w:rsidRDefault="004E63D6" w:rsidP="004E63D6">
      <w:pPr>
        <w:pStyle w:val="Heading2"/>
        <w:numPr>
          <w:ilvl w:val="0"/>
          <w:numId w:val="0"/>
        </w:numPr>
        <w:ind w:left="720" w:hanging="720"/>
      </w:pPr>
      <w:bookmarkStart w:id="180" w:name="_Toc109054491"/>
      <w:bookmarkStart w:id="181" w:name="_Toc148531176"/>
      <w:r w:rsidRPr="00CE28E3">
        <w:t>3.3</w:t>
      </w:r>
      <w:r>
        <w:tab/>
      </w:r>
      <w:r w:rsidRPr="00CE28E3">
        <w:t>Results</w:t>
      </w:r>
      <w:bookmarkEnd w:id="180"/>
      <w:bookmarkEnd w:id="181"/>
    </w:p>
    <w:p w14:paraId="4D2F3BCE" w14:textId="77777777" w:rsidR="004E63D6" w:rsidRPr="00CE28E3" w:rsidRDefault="004E63D6" w:rsidP="004E63D6">
      <w:pPr>
        <w:pStyle w:val="Heading3"/>
      </w:pPr>
      <w:bookmarkStart w:id="182" w:name="_Toc109054492"/>
      <w:bookmarkStart w:id="183" w:name="_Toc148531177"/>
      <w:r w:rsidRPr="00CE28E3">
        <w:t>3.3.1</w:t>
      </w:r>
      <w:r w:rsidRPr="00CE28E3">
        <w:tab/>
        <w:t>Base</w:t>
      </w:r>
      <w:r>
        <w:t>-</w:t>
      </w:r>
      <w:r w:rsidRPr="00CE28E3">
        <w:t>case analysis</w:t>
      </w:r>
      <w:bookmarkEnd w:id="182"/>
      <w:bookmarkEnd w:id="183"/>
    </w:p>
    <w:p w14:paraId="281626B4" w14:textId="0503B82E" w:rsidR="004E63D6" w:rsidRDefault="004E63D6" w:rsidP="004E63D6">
      <w:pPr>
        <w:pStyle w:val="NormalBeforeBullet"/>
      </w:pPr>
      <w:bookmarkStart w:id="184" w:name="_Toc54940852"/>
      <w:r w:rsidRPr="009A7628">
        <w:t xml:space="preserve">A stepped approach is used to generate the base case analysis </w:t>
      </w:r>
      <w:r>
        <w:t>in order to incorporate</w:t>
      </w:r>
      <w:r w:rsidRPr="009A7628">
        <w:t xml:space="preserve"> the different aspects of the linked evidence</w:t>
      </w:r>
      <w:r>
        <w:t>, translations of the clinical evidence and other key model assumptions</w:t>
      </w:r>
      <w:r w:rsidRPr="009A7628">
        <w:t xml:space="preserve"> separately to distinguish the effect of </w:t>
      </w:r>
      <w:r>
        <w:t xml:space="preserve">each of </w:t>
      </w:r>
      <w:r w:rsidRPr="009A7628">
        <w:t>these on the results.</w:t>
      </w:r>
    </w:p>
    <w:p w14:paraId="74D78B33" w14:textId="77777777" w:rsidR="004E63D6" w:rsidRPr="00CE28E3" w:rsidRDefault="004E63D6" w:rsidP="004E63D6">
      <w:pPr>
        <w:pStyle w:val="Heading4"/>
      </w:pPr>
      <w:r w:rsidRPr="00CE28E3">
        <w:t>Intervention costs per patient</w:t>
      </w:r>
      <w:bookmarkEnd w:id="184"/>
    </w:p>
    <w:p w14:paraId="0C040C21" w14:textId="77777777" w:rsidR="004E63D6" w:rsidRDefault="004E63D6" w:rsidP="004E63D6">
      <w:pPr>
        <w:pStyle w:val="NormalBeforeBullet"/>
      </w:pPr>
      <w:bookmarkStart w:id="185" w:name="_Toc54940853"/>
      <w:r>
        <w:t xml:space="preserve">Three items are proposed for small gene panel testing – a combined DNA/RNA panel item (schedule fee $1,247.00), and separate items for DNA analysis only, and RNA analysis (each schedule fee $682.35). While presently, use of the items may be limited by the availability of combined DNA/RNA panels, separate items may need to be required for instances of insufficient tissue quantity or quality to perform RNA analyses. Therefore, use of all items are included in the analysis. </w:t>
      </w:r>
    </w:p>
    <w:p w14:paraId="12521759" w14:textId="395448BE" w:rsidR="004E63D6" w:rsidRDefault="004E63D6" w:rsidP="004E63D6">
      <w:pPr>
        <w:pStyle w:val="NormalBeforeBullet"/>
      </w:pPr>
      <w:r>
        <w:t xml:space="preserve">The average cost of small gene panel testing in the population modelled is $1,051.29. </w:t>
      </w:r>
      <w:r w:rsidR="00436C99">
        <w:t>Based on applicant feedback provided during the preparation of the DCAR (see Section 3.2.6 for further information),</w:t>
      </w:r>
      <w:r w:rsidR="009B0043">
        <w:t xml:space="preserve"> </w:t>
      </w:r>
      <w:r w:rsidR="00436C99">
        <w:t>a</w:t>
      </w:r>
      <w:r>
        <w:t xml:space="preserve">pproximately 71% of patients were estimated to receive the separate small DNA panel item, 28% receiving combined DNA/RNA panel testing, and 32% receiving the separate small RNA panel item. </w:t>
      </w:r>
    </w:p>
    <w:p w14:paraId="72565E23" w14:textId="1B4EBB6E" w:rsidR="004E63D6" w:rsidRPr="00D14C31" w:rsidRDefault="004E63D6" w:rsidP="004E63D6">
      <w:pPr>
        <w:pStyle w:val="NormalBeforeBullet"/>
      </w:pPr>
      <w:r>
        <w:t xml:space="preserve">The average cost of sequential single gene testing in the population modelled was $689.95. The majority of patients (98%) modelled received </w:t>
      </w:r>
      <w:r w:rsidRPr="00DB3E00">
        <w:rPr>
          <w:i/>
        </w:rPr>
        <w:t>EGFR</w:t>
      </w:r>
      <w:r>
        <w:t xml:space="preserve"> and IHC testing (modelled cost of $397.35)</w:t>
      </w:r>
      <w:r w:rsidR="004A71B0">
        <w:t xml:space="preserve"> (assumed to occur on diagnosis of non-squamous or NOS NSCLC in those with sufficient sample for testing</w:t>
      </w:r>
      <w:r w:rsidR="001636BB">
        <w:t xml:space="preserve"> or who are tested following successful rebiopsy</w:t>
      </w:r>
      <w:r w:rsidR="004A71B0">
        <w:t>)</w:t>
      </w:r>
      <w:r>
        <w:t xml:space="preserve">. </w:t>
      </w:r>
      <w:r w:rsidRPr="00DB3E00">
        <w:rPr>
          <w:i/>
        </w:rPr>
        <w:t>MET</w:t>
      </w:r>
      <w:r>
        <w:t>ex14sk testing ($397.35) was assumed on average in 64% of patients</w:t>
      </w:r>
      <w:r w:rsidR="004A71B0">
        <w:t xml:space="preserve"> (</w:t>
      </w:r>
      <w:r w:rsidR="001636BB">
        <w:t xml:space="preserve">in patients who have or progress to advanced disease, who do not have </w:t>
      </w:r>
      <w:r w:rsidR="001636BB" w:rsidRPr="001636BB">
        <w:rPr>
          <w:i/>
        </w:rPr>
        <w:t>EGFR</w:t>
      </w:r>
      <w:r w:rsidR="001636BB">
        <w:t xml:space="preserve"> variants and who have sufficient sample for testing or who are tested following successful rebiopsy)</w:t>
      </w:r>
      <w:r>
        <w:t>, with approximately 12% of patients receiving FISH testing ($400)</w:t>
      </w:r>
      <w:r w:rsidR="001636BB">
        <w:t xml:space="preserve"> (in patients as for </w:t>
      </w:r>
      <w:r w:rsidR="001636BB" w:rsidRPr="001636BB">
        <w:rPr>
          <w:i/>
        </w:rPr>
        <w:t>MET</w:t>
      </w:r>
      <w:r w:rsidR="001636BB">
        <w:t>ex14sk testing, though further restricted to those with IHC positive results)</w:t>
      </w:r>
      <w:r>
        <w:t>.</w:t>
      </w:r>
    </w:p>
    <w:p w14:paraId="76665661" w14:textId="77777777" w:rsidR="004E63D6" w:rsidRPr="00CE28E3" w:rsidRDefault="004E63D6" w:rsidP="004E63D6">
      <w:pPr>
        <w:pStyle w:val="Heading4"/>
      </w:pPr>
      <w:r w:rsidRPr="00CE28E3">
        <w:t>Stepped presentation of results</w:t>
      </w:r>
      <w:bookmarkEnd w:id="185"/>
    </w:p>
    <w:p w14:paraId="4F0CB635" w14:textId="37D5934C" w:rsidR="004E63D6" w:rsidRDefault="004E63D6" w:rsidP="004E63D6">
      <w:bookmarkStart w:id="186" w:name="_Toc54940854"/>
      <w:r w:rsidRPr="009A7628">
        <w:t xml:space="preserve">The results of </w:t>
      </w:r>
      <w:r>
        <w:t>the</w:t>
      </w:r>
      <w:r w:rsidRPr="009A7628">
        <w:t xml:space="preserve"> stepped analysis </w:t>
      </w:r>
      <w:r>
        <w:t>to generate</w:t>
      </w:r>
      <w:r w:rsidRPr="009A7628">
        <w:t xml:space="preserve"> the base case economic evaluation is presented in</w:t>
      </w:r>
      <w:r>
        <w:t xml:space="preserve"> </w:t>
      </w:r>
      <w:r>
        <w:fldChar w:fldCharType="begin"/>
      </w:r>
      <w:r>
        <w:instrText xml:space="preserve"> REF _Ref108450469 \h </w:instrText>
      </w:r>
      <w:r>
        <w:fldChar w:fldCharType="separate"/>
      </w:r>
      <w:r w:rsidR="00C857F3" w:rsidRPr="00CE28E3">
        <w:t>Table</w:t>
      </w:r>
      <w:r w:rsidR="00C857F3">
        <w:t> </w:t>
      </w:r>
      <w:r w:rsidR="00C857F3">
        <w:rPr>
          <w:noProof/>
        </w:rPr>
        <w:t>54</w:t>
      </w:r>
      <w:r>
        <w:fldChar w:fldCharType="end"/>
      </w:r>
      <w:r>
        <w:t>.</w:t>
      </w:r>
    </w:p>
    <w:p w14:paraId="35B6E98B" w14:textId="77777777" w:rsidR="004E63D6" w:rsidRPr="00373827" w:rsidRDefault="004E63D6" w:rsidP="004E63D6">
      <w:pPr>
        <w:pStyle w:val="NormalBeforeBullet"/>
      </w:pPr>
      <w:r>
        <w:t xml:space="preserve">The steps that had the most effect on the results of the analysis included restricting RNA-only panel testing to those without </w:t>
      </w:r>
      <w:r w:rsidRPr="00A75F36">
        <w:rPr>
          <w:i/>
        </w:rPr>
        <w:t>KRAS</w:t>
      </w:r>
      <w:r>
        <w:t xml:space="preserve"> and </w:t>
      </w:r>
      <w:r w:rsidRPr="00A75F36">
        <w:rPr>
          <w:i/>
        </w:rPr>
        <w:t>BRAF</w:t>
      </w:r>
      <w:r>
        <w:t xml:space="preserve"> activating variants; applying an increase in actionable variant yield with panel testing, the inclusion of patients tested with early stage disease who do not progress; and including costs and outcomes related to rebiopsy.</w:t>
      </w:r>
    </w:p>
    <w:p w14:paraId="452A4E9D" w14:textId="77C9FDDF" w:rsidR="004E63D6" w:rsidRPr="00CE28E3" w:rsidRDefault="004E63D6" w:rsidP="004E63D6">
      <w:pPr>
        <w:pStyle w:val="Caption"/>
      </w:pPr>
      <w:bookmarkStart w:id="187" w:name="_Ref108450469"/>
      <w:r w:rsidRPr="00CE28E3">
        <w:lastRenderedPageBreak/>
        <w:t>Table</w:t>
      </w:r>
      <w:r>
        <w:t> </w:t>
      </w:r>
      <w:fldSimple w:instr=" SEQ Table \* ARABIC ">
        <w:r w:rsidR="00C857F3">
          <w:rPr>
            <w:noProof/>
          </w:rPr>
          <w:t>54</w:t>
        </w:r>
      </w:fldSimple>
      <w:bookmarkEnd w:id="187"/>
      <w:r w:rsidRPr="00CE28E3">
        <w:tab/>
      </w:r>
      <w:r>
        <w:t>Stepped economic evaluation</w:t>
      </w:r>
    </w:p>
    <w:tbl>
      <w:tblPr>
        <w:tblStyle w:val="TableGrid1"/>
        <w:tblW w:w="5000" w:type="pct"/>
        <w:tblLayout w:type="fixed"/>
        <w:tblLook w:val="04A0" w:firstRow="1" w:lastRow="0" w:firstColumn="1" w:lastColumn="0" w:noHBand="0" w:noVBand="1"/>
        <w:tblCaption w:val="Results of the stepped economic analysis"/>
        <w:tblDescription w:val="Results of the stepped economic analysis"/>
      </w:tblPr>
      <w:tblGrid>
        <w:gridCol w:w="5521"/>
        <w:gridCol w:w="1205"/>
        <w:gridCol w:w="1206"/>
        <w:gridCol w:w="1084"/>
      </w:tblGrid>
      <w:tr w:rsidR="00A16F92" w:rsidRPr="00373827" w14:paraId="03898A21" w14:textId="77777777" w:rsidTr="00F20F17">
        <w:trPr>
          <w:cnfStyle w:val="100000000000" w:firstRow="1" w:lastRow="0" w:firstColumn="0" w:lastColumn="0" w:oddVBand="0" w:evenVBand="0" w:oddHBand="0" w:evenHBand="0" w:firstRowFirstColumn="0" w:firstRowLastColumn="0" w:lastRowFirstColumn="0" w:lastRowLastColumn="0"/>
          <w:trHeight w:val="300"/>
          <w:tblHeader/>
        </w:trPr>
        <w:tc>
          <w:tcPr>
            <w:tcW w:w="3062" w:type="pct"/>
            <w:tcBorders>
              <w:bottom w:val="single" w:sz="4" w:space="0" w:color="auto"/>
            </w:tcBorders>
            <w:noWrap/>
            <w:hideMark/>
          </w:tcPr>
          <w:p w14:paraId="1BF907B3" w14:textId="77777777" w:rsidR="00A16F92" w:rsidRPr="00373827" w:rsidRDefault="00A16F92" w:rsidP="00F20F17">
            <w:pPr>
              <w:pStyle w:val="TableHeading"/>
              <w:keepNext w:val="0"/>
            </w:pPr>
          </w:p>
        </w:tc>
        <w:tc>
          <w:tcPr>
            <w:tcW w:w="668" w:type="pct"/>
            <w:tcBorders>
              <w:bottom w:val="single" w:sz="4" w:space="0" w:color="auto"/>
            </w:tcBorders>
            <w:noWrap/>
            <w:hideMark/>
          </w:tcPr>
          <w:p w14:paraId="3BA9170C" w14:textId="77777777" w:rsidR="00A16F92" w:rsidRPr="00373827" w:rsidRDefault="00A16F92" w:rsidP="00F20F17">
            <w:pPr>
              <w:pStyle w:val="TableHeading"/>
              <w:keepNext w:val="0"/>
              <w:jc w:val="center"/>
            </w:pPr>
            <w:r w:rsidRPr="00373827">
              <w:t>Small gene panel testing</w:t>
            </w:r>
          </w:p>
        </w:tc>
        <w:tc>
          <w:tcPr>
            <w:tcW w:w="669" w:type="pct"/>
            <w:tcBorders>
              <w:bottom w:val="single" w:sz="4" w:space="0" w:color="auto"/>
            </w:tcBorders>
            <w:noWrap/>
            <w:hideMark/>
          </w:tcPr>
          <w:p w14:paraId="60E609F7" w14:textId="77777777" w:rsidR="00A16F92" w:rsidRPr="00373827" w:rsidRDefault="00A16F92" w:rsidP="00F20F17">
            <w:pPr>
              <w:pStyle w:val="TableHeading"/>
              <w:keepNext w:val="0"/>
              <w:jc w:val="center"/>
            </w:pPr>
            <w:r w:rsidRPr="00373827">
              <w:t>Single gene testing</w:t>
            </w:r>
          </w:p>
        </w:tc>
        <w:tc>
          <w:tcPr>
            <w:tcW w:w="601" w:type="pct"/>
            <w:tcBorders>
              <w:bottom w:val="single" w:sz="4" w:space="0" w:color="auto"/>
            </w:tcBorders>
            <w:noWrap/>
            <w:hideMark/>
          </w:tcPr>
          <w:p w14:paraId="74192411" w14:textId="77777777" w:rsidR="00A16F92" w:rsidRPr="00373827" w:rsidRDefault="00A16F92" w:rsidP="00F20F17">
            <w:pPr>
              <w:pStyle w:val="TableHeading"/>
              <w:keepNext w:val="0"/>
              <w:jc w:val="center"/>
            </w:pPr>
            <w:r w:rsidRPr="00373827">
              <w:t>Increment</w:t>
            </w:r>
          </w:p>
        </w:tc>
      </w:tr>
      <w:tr w:rsidR="00A16F92" w:rsidRPr="00373827" w14:paraId="321FED0E" w14:textId="77777777" w:rsidTr="00F20F17">
        <w:trPr>
          <w:trHeight w:val="300"/>
        </w:trPr>
        <w:tc>
          <w:tcPr>
            <w:tcW w:w="5000" w:type="pct"/>
            <w:gridSpan w:val="4"/>
            <w:noWrap/>
            <w:hideMark/>
          </w:tcPr>
          <w:p w14:paraId="4E84C178" w14:textId="77777777" w:rsidR="00A16F92" w:rsidRDefault="00A16F92" w:rsidP="00F20F17">
            <w:pPr>
              <w:pStyle w:val="TableText"/>
              <w:keepNext/>
              <w:rPr>
                <w:b/>
              </w:rPr>
            </w:pPr>
            <w:r>
              <w:rPr>
                <w:b/>
              </w:rPr>
              <w:t>Step 1: T</w:t>
            </w:r>
            <w:r w:rsidRPr="00373827">
              <w:rPr>
                <w:b/>
              </w:rPr>
              <w:t>est cost difference only</w:t>
            </w:r>
          </w:p>
          <w:p w14:paraId="55FEFC3F" w14:textId="77777777" w:rsidR="00A16F92" w:rsidRPr="00373827" w:rsidRDefault="00A16F92" w:rsidP="00F20F17">
            <w:pPr>
              <w:pStyle w:val="TableText"/>
              <w:keepNext/>
              <w:rPr>
                <w:b/>
              </w:rPr>
            </w:pPr>
            <w:r>
              <w:rPr>
                <w:rFonts w:cs="Courier New"/>
              </w:rPr>
              <w:t>N</w:t>
            </w:r>
            <w:r w:rsidRPr="006B4048">
              <w:rPr>
                <w:rFonts w:cs="Courier New"/>
              </w:rPr>
              <w:t xml:space="preserve">o difference in success or </w:t>
            </w:r>
            <w:r>
              <w:rPr>
                <w:rFonts w:cs="Courier New"/>
              </w:rPr>
              <w:t xml:space="preserve">yield between current and proposed testing. In two-stage panel testing, patients with </w:t>
            </w:r>
            <w:r w:rsidRPr="00F63608">
              <w:rPr>
                <w:rFonts w:cs="Courier New"/>
                <w:i/>
              </w:rPr>
              <w:t>KRAS</w:t>
            </w:r>
            <w:r>
              <w:rPr>
                <w:rFonts w:cs="Courier New"/>
              </w:rPr>
              <w:t xml:space="preserve"> or </w:t>
            </w:r>
            <w:r w:rsidRPr="00F63608">
              <w:rPr>
                <w:rFonts w:cs="Courier New"/>
                <w:i/>
              </w:rPr>
              <w:t>BRAF</w:t>
            </w:r>
            <w:r>
              <w:rPr>
                <w:rFonts w:cs="Courier New"/>
              </w:rPr>
              <w:t xml:space="preserve"> variants receive RNA testing.</w:t>
            </w:r>
          </w:p>
        </w:tc>
      </w:tr>
      <w:tr w:rsidR="00A16F92" w:rsidRPr="00373827" w14:paraId="19FC3952" w14:textId="77777777" w:rsidTr="00F20F17">
        <w:trPr>
          <w:trHeight w:val="300"/>
        </w:trPr>
        <w:tc>
          <w:tcPr>
            <w:tcW w:w="3062" w:type="pct"/>
            <w:tcBorders>
              <w:bottom w:val="single" w:sz="4" w:space="0" w:color="auto"/>
            </w:tcBorders>
            <w:noWrap/>
            <w:hideMark/>
          </w:tcPr>
          <w:p w14:paraId="0DD608B5" w14:textId="77777777" w:rsidR="00A16F92" w:rsidRPr="00373827" w:rsidRDefault="00A16F92" w:rsidP="00F20F17">
            <w:pPr>
              <w:pStyle w:val="TableText"/>
            </w:pPr>
            <w:r w:rsidRPr="00373827">
              <w:t>Total cost</w:t>
            </w:r>
          </w:p>
        </w:tc>
        <w:tc>
          <w:tcPr>
            <w:tcW w:w="668" w:type="pct"/>
            <w:tcBorders>
              <w:bottom w:val="single" w:sz="4" w:space="0" w:color="auto"/>
            </w:tcBorders>
            <w:noWrap/>
            <w:hideMark/>
          </w:tcPr>
          <w:p w14:paraId="6718BA54" w14:textId="77777777" w:rsidR="00A16F92" w:rsidRPr="00373827" w:rsidRDefault="00A16F92" w:rsidP="00F20F17">
            <w:pPr>
              <w:pStyle w:val="TableText"/>
              <w:jc w:val="right"/>
            </w:pPr>
            <w:r w:rsidRPr="009D31F8">
              <w:t>$1,240.55</w:t>
            </w:r>
          </w:p>
        </w:tc>
        <w:tc>
          <w:tcPr>
            <w:tcW w:w="669" w:type="pct"/>
            <w:tcBorders>
              <w:bottom w:val="single" w:sz="4" w:space="0" w:color="auto"/>
            </w:tcBorders>
            <w:noWrap/>
            <w:hideMark/>
          </w:tcPr>
          <w:p w14:paraId="3AB119A8" w14:textId="77777777" w:rsidR="00A16F92" w:rsidRPr="00373827" w:rsidRDefault="00A16F92" w:rsidP="00F20F17">
            <w:pPr>
              <w:pStyle w:val="TableText"/>
              <w:jc w:val="right"/>
            </w:pPr>
            <w:r w:rsidRPr="009D31F8">
              <w:t>$894.72</w:t>
            </w:r>
          </w:p>
        </w:tc>
        <w:tc>
          <w:tcPr>
            <w:tcW w:w="601" w:type="pct"/>
            <w:tcBorders>
              <w:bottom w:val="single" w:sz="4" w:space="0" w:color="auto"/>
            </w:tcBorders>
            <w:noWrap/>
            <w:hideMark/>
          </w:tcPr>
          <w:p w14:paraId="37322683" w14:textId="77777777" w:rsidR="00A16F92" w:rsidRPr="00373827" w:rsidRDefault="00A16F92" w:rsidP="00F20F17">
            <w:pPr>
              <w:pStyle w:val="TableText"/>
              <w:jc w:val="right"/>
            </w:pPr>
            <w:r w:rsidRPr="009D31F8">
              <w:t>$345.83</w:t>
            </w:r>
          </w:p>
        </w:tc>
      </w:tr>
      <w:tr w:rsidR="00A16F92" w:rsidRPr="00373827" w14:paraId="5A0B3F4D" w14:textId="77777777" w:rsidTr="00F20F17">
        <w:trPr>
          <w:trHeight w:val="300"/>
        </w:trPr>
        <w:tc>
          <w:tcPr>
            <w:tcW w:w="5000" w:type="pct"/>
            <w:gridSpan w:val="4"/>
            <w:noWrap/>
            <w:hideMark/>
          </w:tcPr>
          <w:p w14:paraId="7C2FCE6F" w14:textId="77777777" w:rsidR="00A16F92" w:rsidRDefault="00A16F92" w:rsidP="00F20F17">
            <w:pPr>
              <w:pStyle w:val="TableText"/>
              <w:keepNext/>
              <w:rPr>
                <w:b/>
              </w:rPr>
            </w:pPr>
            <w:r>
              <w:rPr>
                <w:b/>
              </w:rPr>
              <w:t>Step 2: R</w:t>
            </w:r>
            <w:r w:rsidRPr="00373827">
              <w:rPr>
                <w:b/>
              </w:rPr>
              <w:t>NA panel testing</w:t>
            </w:r>
            <w:r>
              <w:rPr>
                <w:b/>
              </w:rPr>
              <w:t xml:space="preserve"> restricted</w:t>
            </w:r>
            <w:r w:rsidRPr="00373827">
              <w:rPr>
                <w:b/>
              </w:rPr>
              <w:t xml:space="preserve"> to </w:t>
            </w:r>
            <w:r w:rsidRPr="00DB3E00">
              <w:rPr>
                <w:b/>
                <w:i/>
              </w:rPr>
              <w:t>KRAS</w:t>
            </w:r>
            <w:r w:rsidRPr="00373827">
              <w:rPr>
                <w:b/>
              </w:rPr>
              <w:t xml:space="preserve"> and </w:t>
            </w:r>
            <w:r w:rsidRPr="00DB3E00">
              <w:rPr>
                <w:b/>
                <w:i/>
              </w:rPr>
              <w:t>BRAF</w:t>
            </w:r>
            <w:r w:rsidRPr="00373827">
              <w:rPr>
                <w:b/>
              </w:rPr>
              <w:t xml:space="preserve"> negatives</w:t>
            </w:r>
          </w:p>
          <w:p w14:paraId="510F7BBF" w14:textId="4E031BE1" w:rsidR="00A16F92" w:rsidRPr="00373827" w:rsidRDefault="00A16F92" w:rsidP="00F20F17">
            <w:pPr>
              <w:pStyle w:val="TableText"/>
              <w:keepNext/>
              <w:rPr>
                <w:b/>
              </w:rPr>
            </w:pPr>
            <w:r>
              <w:rPr>
                <w:rFonts w:cs="Courier New"/>
              </w:rPr>
              <w:t xml:space="preserve">As per the proposed small RNA gene panel test item, where two-stage panel testing is used, patients found with </w:t>
            </w:r>
            <w:r w:rsidRPr="00F63608">
              <w:rPr>
                <w:rFonts w:cs="Courier New"/>
                <w:i/>
              </w:rPr>
              <w:t>KRAS</w:t>
            </w:r>
            <w:r>
              <w:rPr>
                <w:rFonts w:cs="Courier New"/>
              </w:rPr>
              <w:t xml:space="preserve"> or </w:t>
            </w:r>
            <w:r w:rsidRPr="00F63608">
              <w:rPr>
                <w:rFonts w:cs="Courier New"/>
                <w:i/>
              </w:rPr>
              <w:t>BRAF</w:t>
            </w:r>
            <w:r>
              <w:rPr>
                <w:rFonts w:cs="Courier New"/>
              </w:rPr>
              <w:t xml:space="preserve"> variants </w:t>
            </w:r>
            <w:r w:rsidRPr="00AB61FE">
              <w:rPr>
                <w:rFonts w:cs="Courier New"/>
                <w:u w:val="single"/>
              </w:rPr>
              <w:t>cannot</w:t>
            </w:r>
            <w:r>
              <w:rPr>
                <w:rFonts w:cs="Courier New"/>
              </w:rPr>
              <w:t xml:space="preserve"> receive RNA testing</w:t>
            </w:r>
            <w:r w:rsidR="009B0043">
              <w:rPr>
                <w:rFonts w:cs="Courier New"/>
              </w:rPr>
              <w:t>.</w:t>
            </w:r>
          </w:p>
        </w:tc>
      </w:tr>
      <w:tr w:rsidR="00A16F92" w:rsidRPr="00373827" w14:paraId="05F5B3C7" w14:textId="77777777" w:rsidTr="00F20F17">
        <w:trPr>
          <w:trHeight w:val="300"/>
        </w:trPr>
        <w:tc>
          <w:tcPr>
            <w:tcW w:w="3062" w:type="pct"/>
            <w:tcBorders>
              <w:bottom w:val="single" w:sz="4" w:space="0" w:color="auto"/>
            </w:tcBorders>
            <w:noWrap/>
            <w:hideMark/>
          </w:tcPr>
          <w:p w14:paraId="7C8862E8" w14:textId="77777777" w:rsidR="00A16F92" w:rsidRPr="00373827" w:rsidRDefault="00A16F92" w:rsidP="00F20F17">
            <w:pPr>
              <w:pStyle w:val="TableText"/>
            </w:pPr>
            <w:r w:rsidRPr="00373827">
              <w:t>Total cost</w:t>
            </w:r>
          </w:p>
        </w:tc>
        <w:tc>
          <w:tcPr>
            <w:tcW w:w="668" w:type="pct"/>
            <w:tcBorders>
              <w:bottom w:val="single" w:sz="4" w:space="0" w:color="auto"/>
            </w:tcBorders>
            <w:noWrap/>
            <w:hideMark/>
          </w:tcPr>
          <w:p w14:paraId="17475ABD" w14:textId="77777777" w:rsidR="00A16F92" w:rsidRPr="00373827" w:rsidRDefault="00A16F92" w:rsidP="00F20F17">
            <w:pPr>
              <w:pStyle w:val="TableText"/>
              <w:jc w:val="right"/>
            </w:pPr>
            <w:r w:rsidRPr="009D31F8">
              <w:t>$1,093.43</w:t>
            </w:r>
          </w:p>
        </w:tc>
        <w:tc>
          <w:tcPr>
            <w:tcW w:w="669" w:type="pct"/>
            <w:tcBorders>
              <w:bottom w:val="single" w:sz="4" w:space="0" w:color="auto"/>
            </w:tcBorders>
            <w:noWrap/>
            <w:hideMark/>
          </w:tcPr>
          <w:p w14:paraId="2770D343" w14:textId="77777777" w:rsidR="00A16F92" w:rsidRPr="00373827" w:rsidRDefault="00A16F92" w:rsidP="00F20F17">
            <w:pPr>
              <w:pStyle w:val="TableText"/>
              <w:jc w:val="right"/>
            </w:pPr>
            <w:r w:rsidRPr="009D31F8">
              <w:t>$894.72</w:t>
            </w:r>
          </w:p>
        </w:tc>
        <w:tc>
          <w:tcPr>
            <w:tcW w:w="601" w:type="pct"/>
            <w:tcBorders>
              <w:bottom w:val="single" w:sz="4" w:space="0" w:color="auto"/>
            </w:tcBorders>
            <w:noWrap/>
            <w:hideMark/>
          </w:tcPr>
          <w:p w14:paraId="2E657992" w14:textId="77777777" w:rsidR="00A16F92" w:rsidRPr="00373827" w:rsidRDefault="00A16F92" w:rsidP="00F20F17">
            <w:pPr>
              <w:pStyle w:val="TableText"/>
              <w:jc w:val="right"/>
            </w:pPr>
            <w:r w:rsidRPr="009D31F8">
              <w:t>$198.72</w:t>
            </w:r>
          </w:p>
        </w:tc>
      </w:tr>
      <w:tr w:rsidR="00A16F92" w:rsidRPr="00373827" w14:paraId="1354BD8B" w14:textId="77777777" w:rsidTr="00F20F17">
        <w:trPr>
          <w:trHeight w:val="300"/>
        </w:trPr>
        <w:tc>
          <w:tcPr>
            <w:tcW w:w="5000" w:type="pct"/>
            <w:gridSpan w:val="4"/>
            <w:tcBorders>
              <w:bottom w:val="single" w:sz="4" w:space="0" w:color="auto"/>
            </w:tcBorders>
            <w:noWrap/>
            <w:hideMark/>
          </w:tcPr>
          <w:p w14:paraId="3DFE95B0" w14:textId="77777777" w:rsidR="00A16F92" w:rsidRDefault="00A16F92" w:rsidP="00F20F17">
            <w:pPr>
              <w:pStyle w:val="TableText"/>
              <w:keepNext/>
              <w:rPr>
                <w:b/>
              </w:rPr>
            </w:pPr>
            <w:r>
              <w:rPr>
                <w:b/>
              </w:rPr>
              <w:t xml:space="preserve">Step 3: </w:t>
            </w:r>
            <w:r w:rsidRPr="00373827">
              <w:rPr>
                <w:b/>
              </w:rPr>
              <w:t xml:space="preserve">Incorporate </w:t>
            </w:r>
            <w:r>
              <w:rPr>
                <w:b/>
              </w:rPr>
              <w:t>differences in</w:t>
            </w:r>
            <w:r w:rsidRPr="00373827">
              <w:rPr>
                <w:b/>
              </w:rPr>
              <w:t xml:space="preserve"> test success</w:t>
            </w:r>
            <w:r>
              <w:rPr>
                <w:b/>
              </w:rPr>
              <w:t xml:space="preserve"> across model arms</w:t>
            </w:r>
          </w:p>
          <w:p w14:paraId="6AC143D9" w14:textId="507E6558" w:rsidR="00A16F92" w:rsidRPr="00373827" w:rsidRDefault="00A16F92" w:rsidP="009B0043">
            <w:pPr>
              <w:pStyle w:val="TableText"/>
              <w:keepNext/>
              <w:rPr>
                <w:b/>
              </w:rPr>
            </w:pPr>
            <w:r>
              <w:t>Sufficient sample is available for testing in 97.2% of patients tested with small gene panels, compared to 94.6% with single gene testing, based on Steeghs et al.</w:t>
            </w:r>
            <w:r w:rsidR="00BA7398">
              <w:t xml:space="preserve"> </w:t>
            </w:r>
            <w:r w:rsidR="009B0043">
              <w:t>(</w:t>
            </w:r>
            <w:r w:rsidR="00BA7398">
              <w:t>2022</w:t>
            </w:r>
            <w:r w:rsidR="009B0043">
              <w:t>).</w:t>
            </w:r>
            <w:r>
              <w:t xml:space="preserve"> As proposed testing can only be claimed once per episode of disease and cannot be claimed in addition to single gene items, where testing is not successful due to insufficient sample, no cost of testing is assumed to apply in either model arm.</w:t>
            </w:r>
          </w:p>
        </w:tc>
      </w:tr>
      <w:tr w:rsidR="00A16F92" w:rsidRPr="00373827" w14:paraId="510BE66A" w14:textId="77777777" w:rsidTr="00F20F17">
        <w:trPr>
          <w:trHeight w:val="300"/>
        </w:trPr>
        <w:tc>
          <w:tcPr>
            <w:tcW w:w="3062" w:type="pct"/>
            <w:tcBorders>
              <w:bottom w:val="nil"/>
            </w:tcBorders>
            <w:noWrap/>
            <w:hideMark/>
          </w:tcPr>
          <w:p w14:paraId="34F82B94" w14:textId="77777777" w:rsidR="00A16F92" w:rsidRPr="00373827" w:rsidRDefault="00A16F92" w:rsidP="00F20F17">
            <w:pPr>
              <w:pStyle w:val="TableText"/>
              <w:keepNext/>
            </w:pPr>
            <w:r w:rsidRPr="00373827">
              <w:t>Total cost</w:t>
            </w:r>
          </w:p>
        </w:tc>
        <w:tc>
          <w:tcPr>
            <w:tcW w:w="668" w:type="pct"/>
            <w:tcBorders>
              <w:bottom w:val="nil"/>
            </w:tcBorders>
            <w:noWrap/>
            <w:hideMark/>
          </w:tcPr>
          <w:p w14:paraId="2FAC9B71" w14:textId="77777777" w:rsidR="00A16F92" w:rsidRPr="00373827" w:rsidRDefault="00A16F92" w:rsidP="00F20F17">
            <w:pPr>
              <w:pStyle w:val="TableText"/>
              <w:keepNext/>
              <w:jc w:val="right"/>
            </w:pPr>
            <w:r w:rsidRPr="009D31F8">
              <w:t>$1,062.82</w:t>
            </w:r>
          </w:p>
        </w:tc>
        <w:tc>
          <w:tcPr>
            <w:tcW w:w="669" w:type="pct"/>
            <w:tcBorders>
              <w:bottom w:val="nil"/>
            </w:tcBorders>
            <w:noWrap/>
            <w:hideMark/>
          </w:tcPr>
          <w:p w14:paraId="0BD40D41" w14:textId="77777777" w:rsidR="00A16F92" w:rsidRPr="00373827" w:rsidRDefault="00A16F92" w:rsidP="00F20F17">
            <w:pPr>
              <w:pStyle w:val="TableText"/>
              <w:keepNext/>
              <w:jc w:val="right"/>
            </w:pPr>
            <w:r w:rsidRPr="009D31F8">
              <w:t>$846.40</w:t>
            </w:r>
          </w:p>
        </w:tc>
        <w:tc>
          <w:tcPr>
            <w:tcW w:w="601" w:type="pct"/>
            <w:tcBorders>
              <w:bottom w:val="nil"/>
            </w:tcBorders>
            <w:noWrap/>
            <w:hideMark/>
          </w:tcPr>
          <w:p w14:paraId="610D29DD" w14:textId="77777777" w:rsidR="00A16F92" w:rsidRPr="00373827" w:rsidRDefault="00A16F92" w:rsidP="00F20F17">
            <w:pPr>
              <w:pStyle w:val="TableText"/>
              <w:keepNext/>
              <w:jc w:val="right"/>
            </w:pPr>
            <w:r w:rsidRPr="009D31F8">
              <w:t>$216.42</w:t>
            </w:r>
          </w:p>
        </w:tc>
      </w:tr>
      <w:tr w:rsidR="00A16F92" w:rsidRPr="00373827" w14:paraId="19039408" w14:textId="77777777" w:rsidTr="00F20F17">
        <w:trPr>
          <w:trHeight w:val="300"/>
        </w:trPr>
        <w:tc>
          <w:tcPr>
            <w:tcW w:w="3062" w:type="pct"/>
            <w:tcBorders>
              <w:top w:val="nil"/>
              <w:bottom w:val="single" w:sz="4" w:space="0" w:color="auto"/>
            </w:tcBorders>
            <w:noWrap/>
            <w:hideMark/>
          </w:tcPr>
          <w:p w14:paraId="50935642" w14:textId="46F5682D" w:rsidR="00A16F92" w:rsidRPr="00594BF4" w:rsidRDefault="00A16F92" w:rsidP="00F20F17">
            <w:pPr>
              <w:pStyle w:val="TableText"/>
              <w:keepNext/>
            </w:pPr>
            <w:r w:rsidRPr="00373827">
              <w:t>Proportion with an actionable variant identified</w:t>
            </w:r>
            <w:r w:rsidR="00094AA8" w:rsidRPr="00B70137">
              <w:rPr>
                <w:vertAlign w:val="superscript"/>
              </w:rPr>
              <w:t>a</w:t>
            </w:r>
          </w:p>
        </w:tc>
        <w:tc>
          <w:tcPr>
            <w:tcW w:w="668" w:type="pct"/>
            <w:tcBorders>
              <w:top w:val="nil"/>
              <w:bottom w:val="single" w:sz="4" w:space="0" w:color="auto"/>
            </w:tcBorders>
            <w:noWrap/>
            <w:hideMark/>
          </w:tcPr>
          <w:p w14:paraId="3F611571" w14:textId="77777777" w:rsidR="00A16F92" w:rsidRPr="00373827" w:rsidRDefault="00A16F92" w:rsidP="00F20F17">
            <w:pPr>
              <w:pStyle w:val="TableText"/>
              <w:keepNext/>
              <w:jc w:val="right"/>
            </w:pPr>
            <w:r w:rsidRPr="009D31F8">
              <w:t>0.2256</w:t>
            </w:r>
          </w:p>
        </w:tc>
        <w:tc>
          <w:tcPr>
            <w:tcW w:w="669" w:type="pct"/>
            <w:tcBorders>
              <w:top w:val="nil"/>
              <w:bottom w:val="single" w:sz="4" w:space="0" w:color="auto"/>
            </w:tcBorders>
            <w:noWrap/>
            <w:hideMark/>
          </w:tcPr>
          <w:p w14:paraId="0A80665F" w14:textId="77777777" w:rsidR="00A16F92" w:rsidRPr="00373827" w:rsidRDefault="00A16F92" w:rsidP="00F20F17">
            <w:pPr>
              <w:pStyle w:val="TableText"/>
              <w:keepNext/>
              <w:jc w:val="right"/>
            </w:pPr>
            <w:r w:rsidRPr="009D31F8">
              <w:t>0.2196</w:t>
            </w:r>
          </w:p>
        </w:tc>
        <w:tc>
          <w:tcPr>
            <w:tcW w:w="601" w:type="pct"/>
            <w:tcBorders>
              <w:top w:val="nil"/>
            </w:tcBorders>
            <w:noWrap/>
            <w:hideMark/>
          </w:tcPr>
          <w:p w14:paraId="7AE40793" w14:textId="77777777" w:rsidR="00A16F92" w:rsidRPr="00373827" w:rsidRDefault="00A16F92" w:rsidP="00F20F17">
            <w:pPr>
              <w:pStyle w:val="TableText"/>
              <w:keepNext/>
              <w:jc w:val="right"/>
            </w:pPr>
            <w:r w:rsidRPr="009D31F8">
              <w:t>0.0060</w:t>
            </w:r>
          </w:p>
        </w:tc>
      </w:tr>
      <w:tr w:rsidR="00A16F92" w:rsidRPr="00373827" w14:paraId="12872877" w14:textId="77777777" w:rsidTr="00F20F17">
        <w:trPr>
          <w:trHeight w:val="300"/>
        </w:trPr>
        <w:tc>
          <w:tcPr>
            <w:tcW w:w="3062" w:type="pct"/>
            <w:tcBorders>
              <w:bottom w:val="single" w:sz="4" w:space="0" w:color="auto"/>
              <w:right w:val="nil"/>
            </w:tcBorders>
            <w:noWrap/>
            <w:hideMark/>
          </w:tcPr>
          <w:p w14:paraId="3952B3AD" w14:textId="77777777" w:rsidR="00A16F92" w:rsidRPr="00373827" w:rsidRDefault="00A16F92" w:rsidP="00F20F17">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hideMark/>
          </w:tcPr>
          <w:p w14:paraId="34C3B33D" w14:textId="77777777" w:rsidR="00A16F92" w:rsidRPr="00373827" w:rsidRDefault="00A16F92" w:rsidP="00F20F17">
            <w:pPr>
              <w:pStyle w:val="TableText"/>
              <w:jc w:val="right"/>
              <w:rPr>
                <w:b/>
              </w:rPr>
            </w:pPr>
          </w:p>
        </w:tc>
        <w:tc>
          <w:tcPr>
            <w:tcW w:w="669" w:type="pct"/>
            <w:tcBorders>
              <w:left w:val="nil"/>
              <w:bottom w:val="single" w:sz="4" w:space="0" w:color="auto"/>
            </w:tcBorders>
            <w:noWrap/>
            <w:hideMark/>
          </w:tcPr>
          <w:p w14:paraId="52BFF843" w14:textId="77777777" w:rsidR="00A16F92" w:rsidRPr="00373827" w:rsidRDefault="00A16F92" w:rsidP="00F20F17">
            <w:pPr>
              <w:pStyle w:val="TableText"/>
              <w:jc w:val="right"/>
              <w:rPr>
                <w:b/>
              </w:rPr>
            </w:pPr>
          </w:p>
        </w:tc>
        <w:tc>
          <w:tcPr>
            <w:tcW w:w="601" w:type="pct"/>
            <w:tcBorders>
              <w:bottom w:val="single" w:sz="4" w:space="0" w:color="auto"/>
            </w:tcBorders>
            <w:noWrap/>
            <w:hideMark/>
          </w:tcPr>
          <w:p w14:paraId="29A3F8A9" w14:textId="77777777" w:rsidR="00A16F92" w:rsidRPr="00F11286" w:rsidRDefault="00A16F92" w:rsidP="00F20F17">
            <w:pPr>
              <w:pStyle w:val="TableText"/>
              <w:jc w:val="right"/>
              <w:rPr>
                <w:b/>
              </w:rPr>
            </w:pPr>
            <w:r w:rsidRPr="00F11286">
              <w:rPr>
                <w:b/>
              </w:rPr>
              <w:t>$35,862</w:t>
            </w:r>
          </w:p>
        </w:tc>
      </w:tr>
      <w:tr w:rsidR="00A16F92" w:rsidRPr="00373827" w14:paraId="4EE427E9" w14:textId="77777777" w:rsidTr="00F20F17">
        <w:trPr>
          <w:trHeight w:val="300"/>
        </w:trPr>
        <w:tc>
          <w:tcPr>
            <w:tcW w:w="5000" w:type="pct"/>
            <w:gridSpan w:val="4"/>
            <w:tcBorders>
              <w:bottom w:val="single" w:sz="4" w:space="0" w:color="auto"/>
            </w:tcBorders>
            <w:noWrap/>
            <w:hideMark/>
          </w:tcPr>
          <w:p w14:paraId="66281221" w14:textId="77777777" w:rsidR="00A16F92" w:rsidRDefault="00A16F92" w:rsidP="00F20F17">
            <w:pPr>
              <w:pStyle w:val="TableText"/>
              <w:keepNext/>
              <w:rPr>
                <w:b/>
              </w:rPr>
            </w:pPr>
            <w:r>
              <w:rPr>
                <w:b/>
              </w:rPr>
              <w:t>Step 4: I</w:t>
            </w:r>
            <w:r w:rsidRPr="00373827">
              <w:rPr>
                <w:b/>
              </w:rPr>
              <w:t>ncorporate difference</w:t>
            </w:r>
            <w:r>
              <w:rPr>
                <w:b/>
              </w:rPr>
              <w:t>s</w:t>
            </w:r>
            <w:r w:rsidRPr="00373827">
              <w:rPr>
                <w:b/>
              </w:rPr>
              <w:t xml:space="preserve"> in yield</w:t>
            </w:r>
            <w:r>
              <w:rPr>
                <w:b/>
              </w:rPr>
              <w:t xml:space="preserve"> across model arms</w:t>
            </w:r>
          </w:p>
          <w:p w14:paraId="2A4C5EF8" w14:textId="41577DA1" w:rsidR="00A16F92" w:rsidRPr="00373827" w:rsidRDefault="00A16F92" w:rsidP="00A16F92">
            <w:pPr>
              <w:pStyle w:val="TableText"/>
              <w:keepNext/>
              <w:rPr>
                <w:b/>
              </w:rPr>
            </w:pPr>
            <w:r>
              <w:t xml:space="preserve">Concordance data of small gene panel testing, relative to the respective single gene test, is incorporated. Where PPA &lt; 1, some variants that may have otherwise been identified through single gene testing may be missed, and where NPA &lt; 1 additional </w:t>
            </w:r>
            <w:r w:rsidRPr="00F467E2">
              <w:t>“in scope” and “beyond restriction” variants</w:t>
            </w:r>
            <w:r>
              <w:t xml:space="preserve"> are identified. As the majority of small gene panel testing uses the two-step method, with more variants identified on the small DNA panel, fewer small RNA panels may be required (and so a reduction in small gene panel test cost is observed).</w:t>
            </w:r>
          </w:p>
        </w:tc>
      </w:tr>
      <w:tr w:rsidR="00A16F92" w:rsidRPr="00373827" w14:paraId="020B3CCC" w14:textId="77777777" w:rsidTr="00F20F17">
        <w:trPr>
          <w:trHeight w:val="300"/>
        </w:trPr>
        <w:tc>
          <w:tcPr>
            <w:tcW w:w="3062" w:type="pct"/>
            <w:tcBorders>
              <w:bottom w:val="nil"/>
            </w:tcBorders>
            <w:noWrap/>
            <w:hideMark/>
          </w:tcPr>
          <w:p w14:paraId="21DBEAFD" w14:textId="77777777" w:rsidR="00A16F92" w:rsidRPr="00373827" w:rsidRDefault="00A16F92" w:rsidP="00F20F17">
            <w:pPr>
              <w:pStyle w:val="TableText"/>
              <w:keepNext/>
            </w:pPr>
            <w:r w:rsidRPr="00373827">
              <w:t>Total cost</w:t>
            </w:r>
          </w:p>
        </w:tc>
        <w:tc>
          <w:tcPr>
            <w:tcW w:w="668" w:type="pct"/>
            <w:tcBorders>
              <w:bottom w:val="nil"/>
            </w:tcBorders>
            <w:noWrap/>
            <w:hideMark/>
          </w:tcPr>
          <w:p w14:paraId="0CD2C17B" w14:textId="77777777" w:rsidR="00A16F92" w:rsidRPr="00373827" w:rsidRDefault="00A16F92" w:rsidP="00F20F17">
            <w:pPr>
              <w:pStyle w:val="TableText"/>
              <w:keepNext/>
              <w:jc w:val="right"/>
            </w:pPr>
            <w:r w:rsidRPr="009D31F8">
              <w:t>$1,052.71</w:t>
            </w:r>
          </w:p>
        </w:tc>
        <w:tc>
          <w:tcPr>
            <w:tcW w:w="669" w:type="pct"/>
            <w:tcBorders>
              <w:bottom w:val="nil"/>
            </w:tcBorders>
            <w:noWrap/>
            <w:hideMark/>
          </w:tcPr>
          <w:p w14:paraId="0C554FCC" w14:textId="77777777" w:rsidR="00A16F92" w:rsidRPr="00373827" w:rsidRDefault="00A16F92" w:rsidP="00F20F17">
            <w:pPr>
              <w:pStyle w:val="TableText"/>
              <w:keepNext/>
              <w:jc w:val="right"/>
            </w:pPr>
            <w:r w:rsidRPr="009D31F8">
              <w:t>$846.40</w:t>
            </w:r>
          </w:p>
        </w:tc>
        <w:tc>
          <w:tcPr>
            <w:tcW w:w="601" w:type="pct"/>
            <w:tcBorders>
              <w:bottom w:val="nil"/>
            </w:tcBorders>
            <w:noWrap/>
            <w:hideMark/>
          </w:tcPr>
          <w:p w14:paraId="3FE2FCDB" w14:textId="77777777" w:rsidR="00A16F92" w:rsidRPr="00373827" w:rsidRDefault="00A16F92" w:rsidP="00F20F17">
            <w:pPr>
              <w:pStyle w:val="TableText"/>
              <w:keepNext/>
              <w:jc w:val="right"/>
            </w:pPr>
            <w:r w:rsidRPr="009D31F8">
              <w:t>$206.30</w:t>
            </w:r>
          </w:p>
        </w:tc>
      </w:tr>
      <w:tr w:rsidR="00A16F92" w:rsidRPr="00373827" w14:paraId="192C82E2" w14:textId="77777777" w:rsidTr="00F20F17">
        <w:trPr>
          <w:trHeight w:val="300"/>
        </w:trPr>
        <w:tc>
          <w:tcPr>
            <w:tcW w:w="3062" w:type="pct"/>
            <w:tcBorders>
              <w:top w:val="nil"/>
              <w:bottom w:val="single" w:sz="4" w:space="0" w:color="auto"/>
            </w:tcBorders>
            <w:noWrap/>
            <w:hideMark/>
          </w:tcPr>
          <w:p w14:paraId="04280C6B" w14:textId="166EEF7A" w:rsidR="00A16F92" w:rsidRPr="00373827" w:rsidRDefault="00A16F92" w:rsidP="00F20F17">
            <w:pPr>
              <w:pStyle w:val="TableText"/>
              <w:keepNext/>
            </w:pPr>
            <w:r w:rsidRPr="00373827">
              <w:t>Proportion with an actionable variant identified</w:t>
            </w:r>
            <w:r w:rsidR="00094AA8" w:rsidRPr="00B70137">
              <w:rPr>
                <w:vertAlign w:val="superscript"/>
              </w:rPr>
              <w:t>a</w:t>
            </w:r>
          </w:p>
        </w:tc>
        <w:tc>
          <w:tcPr>
            <w:tcW w:w="668" w:type="pct"/>
            <w:tcBorders>
              <w:top w:val="nil"/>
              <w:bottom w:val="single" w:sz="4" w:space="0" w:color="auto"/>
            </w:tcBorders>
            <w:noWrap/>
            <w:hideMark/>
          </w:tcPr>
          <w:p w14:paraId="0F712218" w14:textId="77777777" w:rsidR="00A16F92" w:rsidRPr="00373827" w:rsidRDefault="00A16F92" w:rsidP="00F20F17">
            <w:pPr>
              <w:pStyle w:val="TableText"/>
              <w:keepNext/>
              <w:jc w:val="right"/>
            </w:pPr>
            <w:r w:rsidRPr="009D31F8">
              <w:t>0.2517</w:t>
            </w:r>
          </w:p>
        </w:tc>
        <w:tc>
          <w:tcPr>
            <w:tcW w:w="669" w:type="pct"/>
            <w:tcBorders>
              <w:top w:val="nil"/>
              <w:bottom w:val="single" w:sz="4" w:space="0" w:color="auto"/>
            </w:tcBorders>
            <w:noWrap/>
            <w:hideMark/>
          </w:tcPr>
          <w:p w14:paraId="0235A630" w14:textId="77777777" w:rsidR="00A16F92" w:rsidRPr="00373827" w:rsidRDefault="00A16F92" w:rsidP="00F20F17">
            <w:pPr>
              <w:pStyle w:val="TableText"/>
              <w:keepNext/>
              <w:jc w:val="right"/>
            </w:pPr>
            <w:r w:rsidRPr="009D31F8">
              <w:t>0.2196</w:t>
            </w:r>
          </w:p>
        </w:tc>
        <w:tc>
          <w:tcPr>
            <w:tcW w:w="601" w:type="pct"/>
            <w:tcBorders>
              <w:top w:val="nil"/>
            </w:tcBorders>
            <w:noWrap/>
            <w:hideMark/>
          </w:tcPr>
          <w:p w14:paraId="5F3541DC" w14:textId="77777777" w:rsidR="00A16F92" w:rsidRPr="00373827" w:rsidRDefault="00A16F92" w:rsidP="00F20F17">
            <w:pPr>
              <w:pStyle w:val="TableText"/>
              <w:keepNext/>
              <w:jc w:val="right"/>
            </w:pPr>
            <w:r w:rsidRPr="009D31F8">
              <w:t>0.0321</w:t>
            </w:r>
          </w:p>
        </w:tc>
      </w:tr>
      <w:tr w:rsidR="00A16F92" w:rsidRPr="00373827" w14:paraId="7732BA81" w14:textId="77777777" w:rsidTr="00F20F17">
        <w:trPr>
          <w:trHeight w:val="300"/>
        </w:trPr>
        <w:tc>
          <w:tcPr>
            <w:tcW w:w="3062" w:type="pct"/>
            <w:tcBorders>
              <w:bottom w:val="single" w:sz="4" w:space="0" w:color="auto"/>
              <w:right w:val="nil"/>
            </w:tcBorders>
            <w:noWrap/>
            <w:hideMark/>
          </w:tcPr>
          <w:p w14:paraId="5BA5E4C0" w14:textId="77777777" w:rsidR="00A16F92" w:rsidRPr="00373827" w:rsidRDefault="00A16F92" w:rsidP="00F20F17">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hideMark/>
          </w:tcPr>
          <w:p w14:paraId="064592FD" w14:textId="77777777" w:rsidR="00A16F92" w:rsidRPr="00373827" w:rsidRDefault="00A16F92" w:rsidP="00F20F17">
            <w:pPr>
              <w:pStyle w:val="TableText"/>
              <w:jc w:val="right"/>
              <w:rPr>
                <w:b/>
              </w:rPr>
            </w:pPr>
          </w:p>
        </w:tc>
        <w:tc>
          <w:tcPr>
            <w:tcW w:w="669" w:type="pct"/>
            <w:tcBorders>
              <w:left w:val="nil"/>
              <w:bottom w:val="single" w:sz="4" w:space="0" w:color="auto"/>
            </w:tcBorders>
            <w:noWrap/>
            <w:hideMark/>
          </w:tcPr>
          <w:p w14:paraId="3624A357" w14:textId="77777777" w:rsidR="00A16F92" w:rsidRPr="00373827" w:rsidRDefault="00A16F92" w:rsidP="00F20F17">
            <w:pPr>
              <w:pStyle w:val="TableText"/>
              <w:jc w:val="right"/>
              <w:rPr>
                <w:b/>
              </w:rPr>
            </w:pPr>
          </w:p>
        </w:tc>
        <w:tc>
          <w:tcPr>
            <w:tcW w:w="601" w:type="pct"/>
            <w:tcBorders>
              <w:bottom w:val="single" w:sz="4" w:space="0" w:color="auto"/>
            </w:tcBorders>
            <w:noWrap/>
            <w:hideMark/>
          </w:tcPr>
          <w:p w14:paraId="369B199F" w14:textId="77777777" w:rsidR="00A16F92" w:rsidRPr="00F11286" w:rsidRDefault="00A16F92" w:rsidP="00F20F17">
            <w:pPr>
              <w:pStyle w:val="TableText"/>
              <w:jc w:val="right"/>
              <w:rPr>
                <w:b/>
              </w:rPr>
            </w:pPr>
            <w:r w:rsidRPr="00F11286">
              <w:rPr>
                <w:b/>
              </w:rPr>
              <w:t>$6,425</w:t>
            </w:r>
          </w:p>
        </w:tc>
      </w:tr>
      <w:tr w:rsidR="00A16F92" w:rsidRPr="00373827" w14:paraId="0AF54287" w14:textId="77777777" w:rsidTr="00F20F17">
        <w:trPr>
          <w:trHeight w:val="300"/>
        </w:trPr>
        <w:tc>
          <w:tcPr>
            <w:tcW w:w="5000" w:type="pct"/>
            <w:gridSpan w:val="4"/>
            <w:tcBorders>
              <w:bottom w:val="single" w:sz="4" w:space="0" w:color="auto"/>
            </w:tcBorders>
            <w:noWrap/>
            <w:hideMark/>
          </w:tcPr>
          <w:p w14:paraId="7029ED95" w14:textId="77777777" w:rsidR="00A16F92" w:rsidRDefault="00A16F92" w:rsidP="00F20F17">
            <w:pPr>
              <w:pStyle w:val="TableText"/>
              <w:keepNext/>
              <w:rPr>
                <w:b/>
              </w:rPr>
            </w:pPr>
            <w:r>
              <w:rPr>
                <w:b/>
              </w:rPr>
              <w:t xml:space="preserve">Step 5: </w:t>
            </w:r>
            <w:r w:rsidRPr="00F11286">
              <w:rPr>
                <w:b/>
              </w:rPr>
              <w:t xml:space="preserve">Adjust </w:t>
            </w:r>
            <w:r w:rsidRPr="00A931C4">
              <w:rPr>
                <w:b/>
                <w:i/>
              </w:rPr>
              <w:t>ALK</w:t>
            </w:r>
            <w:r>
              <w:rPr>
                <w:b/>
              </w:rPr>
              <w:t xml:space="preserve"> </w:t>
            </w:r>
            <w:r w:rsidRPr="00F11286">
              <w:rPr>
                <w:b/>
              </w:rPr>
              <w:t>concordance for comparison to clinical utility standard</w:t>
            </w:r>
          </w:p>
          <w:p w14:paraId="138C5DC0" w14:textId="3F7C64C8" w:rsidR="00A16F92" w:rsidRPr="00373827" w:rsidRDefault="00A16F92" w:rsidP="006D4612">
            <w:pPr>
              <w:pStyle w:val="TableText"/>
              <w:keepNext/>
              <w:rPr>
                <w:b/>
              </w:rPr>
            </w:pPr>
            <w:r w:rsidRPr="00A931C4">
              <w:t xml:space="preserve">The concordance of small gene panel testing to single gene test methods for </w:t>
            </w:r>
            <w:r w:rsidRPr="009D7665">
              <w:rPr>
                <w:i/>
              </w:rPr>
              <w:t>ALK</w:t>
            </w:r>
            <w:r w:rsidRPr="00A931C4">
              <w:t xml:space="preserve"> in </w:t>
            </w:r>
            <w:r w:rsidR="00BA7398">
              <w:fldChar w:fldCharType="begin"/>
            </w:r>
            <w:r w:rsidR="00BA7398">
              <w:instrText xml:space="preserve"> REF _Ref108626509 \h </w:instrText>
            </w:r>
            <w:r w:rsidR="00BA7398">
              <w:fldChar w:fldCharType="separate"/>
            </w:r>
            <w:r w:rsidR="00C857F3">
              <w:t xml:space="preserve">Table </w:t>
            </w:r>
            <w:r w:rsidR="00C857F3">
              <w:rPr>
                <w:noProof/>
              </w:rPr>
              <w:t>30</w:t>
            </w:r>
            <w:r w:rsidR="00BA7398">
              <w:fldChar w:fldCharType="end"/>
            </w:r>
            <w:r>
              <w:t xml:space="preserve"> </w:t>
            </w:r>
            <w:r w:rsidRPr="00A931C4">
              <w:t>was based on a c</w:t>
            </w:r>
            <w:r>
              <w:t>omparison of NGS to FISH ± IHC, whereas the</w:t>
            </w:r>
            <w:r w:rsidRPr="00A931C4">
              <w:t xml:space="preserve"> clinical utility standard used in the trials for </w:t>
            </w:r>
            <w:r w:rsidRPr="009D7665">
              <w:rPr>
                <w:i/>
              </w:rPr>
              <w:t>ALK</w:t>
            </w:r>
            <w:r w:rsidRPr="00A931C4">
              <w:t xml:space="preserve"> targeted therapy was FISH</w:t>
            </w:r>
            <w:r>
              <w:t xml:space="preserve"> (≥15% positive cells)</w:t>
            </w:r>
            <w:r w:rsidRPr="00A931C4">
              <w:t>.</w:t>
            </w:r>
            <w:r>
              <w:t xml:space="preserve"> Only one study that compared small gene panel testing to FISH reported using this same definition of positivity</w:t>
            </w:r>
            <w:r w:rsidR="00BA7398">
              <w:t xml:space="preserve"> </w:t>
            </w:r>
            <w:r w:rsidR="006D4612">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rsidR="006D4612">
              <w:instrText xml:space="preserve"> ADDIN EN.CITE </w:instrText>
            </w:r>
            <w:r w:rsidR="006D4612">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rsidR="006D4612">
              <w:instrText xml:space="preserve"> ADDIN EN.CITE.DATA </w:instrText>
            </w:r>
            <w:r w:rsidR="006D4612">
              <w:fldChar w:fldCharType="end"/>
            </w:r>
            <w:r w:rsidR="006D4612">
              <w:fldChar w:fldCharType="separate"/>
            </w:r>
            <w:r w:rsidR="006D4612">
              <w:rPr>
                <w:noProof/>
              </w:rPr>
              <w:t>(Park &amp; Shim 2020)</w:t>
            </w:r>
            <w:r w:rsidR="006D4612">
              <w:fldChar w:fldCharType="end"/>
            </w:r>
            <w:r>
              <w:t xml:space="preserve">. PPA of </w:t>
            </w:r>
            <w:r w:rsidRPr="002068C0">
              <w:rPr>
                <w:i/>
              </w:rPr>
              <w:t>ALK</w:t>
            </w:r>
            <w:r>
              <w:t xml:space="preserve"> and </w:t>
            </w:r>
            <w:r w:rsidRPr="002068C0">
              <w:rPr>
                <w:i/>
              </w:rPr>
              <w:t>ROS1</w:t>
            </w:r>
            <w:r>
              <w:t xml:space="preserve"> IHC relative to FISH was also incorporated.</w:t>
            </w:r>
          </w:p>
        </w:tc>
      </w:tr>
      <w:tr w:rsidR="00A16F92" w:rsidRPr="00373827" w14:paraId="6C585237" w14:textId="77777777" w:rsidTr="00F20F17">
        <w:trPr>
          <w:trHeight w:val="300"/>
        </w:trPr>
        <w:tc>
          <w:tcPr>
            <w:tcW w:w="3062" w:type="pct"/>
            <w:tcBorders>
              <w:bottom w:val="nil"/>
            </w:tcBorders>
            <w:noWrap/>
            <w:hideMark/>
          </w:tcPr>
          <w:p w14:paraId="7E05FC39" w14:textId="77777777" w:rsidR="00A16F92" w:rsidRPr="00373827" w:rsidRDefault="00A16F92" w:rsidP="00F20F17">
            <w:pPr>
              <w:pStyle w:val="TableText"/>
              <w:keepNext/>
            </w:pPr>
            <w:r w:rsidRPr="00373827">
              <w:t>Total cost</w:t>
            </w:r>
          </w:p>
        </w:tc>
        <w:tc>
          <w:tcPr>
            <w:tcW w:w="668" w:type="pct"/>
            <w:tcBorders>
              <w:bottom w:val="nil"/>
            </w:tcBorders>
            <w:noWrap/>
            <w:hideMark/>
          </w:tcPr>
          <w:p w14:paraId="46AA05FA" w14:textId="77777777" w:rsidR="00A16F92" w:rsidRPr="00373827" w:rsidRDefault="00A16F92" w:rsidP="00F20F17">
            <w:pPr>
              <w:pStyle w:val="TableText"/>
              <w:keepNext/>
              <w:jc w:val="right"/>
            </w:pPr>
            <w:r w:rsidRPr="009D31F8">
              <w:t>$1,052.71</w:t>
            </w:r>
          </w:p>
        </w:tc>
        <w:tc>
          <w:tcPr>
            <w:tcW w:w="669" w:type="pct"/>
            <w:tcBorders>
              <w:bottom w:val="nil"/>
            </w:tcBorders>
            <w:noWrap/>
            <w:hideMark/>
          </w:tcPr>
          <w:p w14:paraId="03B4179F" w14:textId="77777777" w:rsidR="00A16F92" w:rsidRPr="00373827" w:rsidRDefault="00A16F92" w:rsidP="00F20F17">
            <w:pPr>
              <w:pStyle w:val="TableText"/>
              <w:keepNext/>
              <w:jc w:val="right"/>
            </w:pPr>
            <w:r w:rsidRPr="009D31F8">
              <w:t>$846.40</w:t>
            </w:r>
          </w:p>
        </w:tc>
        <w:tc>
          <w:tcPr>
            <w:tcW w:w="601" w:type="pct"/>
            <w:tcBorders>
              <w:bottom w:val="nil"/>
            </w:tcBorders>
            <w:noWrap/>
            <w:hideMark/>
          </w:tcPr>
          <w:p w14:paraId="2EFAF366" w14:textId="77777777" w:rsidR="00A16F92" w:rsidRPr="00373827" w:rsidRDefault="00A16F92" w:rsidP="00F20F17">
            <w:pPr>
              <w:pStyle w:val="TableText"/>
              <w:keepNext/>
              <w:jc w:val="right"/>
            </w:pPr>
            <w:r w:rsidRPr="009D31F8">
              <w:t>$206.30</w:t>
            </w:r>
          </w:p>
        </w:tc>
      </w:tr>
      <w:tr w:rsidR="00A16F92" w:rsidRPr="00373827" w14:paraId="5FFE340D" w14:textId="77777777" w:rsidTr="00F20F17">
        <w:trPr>
          <w:trHeight w:val="300"/>
        </w:trPr>
        <w:tc>
          <w:tcPr>
            <w:tcW w:w="3062" w:type="pct"/>
            <w:tcBorders>
              <w:top w:val="nil"/>
              <w:bottom w:val="single" w:sz="4" w:space="0" w:color="auto"/>
            </w:tcBorders>
            <w:noWrap/>
            <w:hideMark/>
          </w:tcPr>
          <w:p w14:paraId="1356F0BC" w14:textId="013D6F2E" w:rsidR="00A16F92" w:rsidRPr="00373827" w:rsidRDefault="00A16F92" w:rsidP="00F20F17">
            <w:pPr>
              <w:pStyle w:val="TableText"/>
              <w:keepNext/>
            </w:pPr>
            <w:r w:rsidRPr="00373827">
              <w:t>Proportion with an actionable variant identified</w:t>
            </w:r>
            <w:r w:rsidR="00094AA8" w:rsidRPr="00B70137">
              <w:rPr>
                <w:vertAlign w:val="superscript"/>
              </w:rPr>
              <w:t>a</w:t>
            </w:r>
          </w:p>
        </w:tc>
        <w:tc>
          <w:tcPr>
            <w:tcW w:w="668" w:type="pct"/>
            <w:tcBorders>
              <w:top w:val="nil"/>
              <w:bottom w:val="single" w:sz="4" w:space="0" w:color="auto"/>
            </w:tcBorders>
            <w:noWrap/>
          </w:tcPr>
          <w:p w14:paraId="095E0D61" w14:textId="77777777" w:rsidR="00A16F92" w:rsidRPr="00373827" w:rsidRDefault="00A16F92" w:rsidP="00F20F17">
            <w:pPr>
              <w:pStyle w:val="TableText"/>
              <w:keepNext/>
              <w:jc w:val="right"/>
            </w:pPr>
            <w:r w:rsidRPr="00637F12">
              <w:t>0.2526</w:t>
            </w:r>
          </w:p>
        </w:tc>
        <w:tc>
          <w:tcPr>
            <w:tcW w:w="669" w:type="pct"/>
            <w:tcBorders>
              <w:top w:val="nil"/>
              <w:bottom w:val="single" w:sz="4" w:space="0" w:color="auto"/>
            </w:tcBorders>
            <w:noWrap/>
          </w:tcPr>
          <w:p w14:paraId="7833F4BD" w14:textId="77777777" w:rsidR="00A16F92" w:rsidRPr="00373827" w:rsidRDefault="00A16F92" w:rsidP="00F20F17">
            <w:pPr>
              <w:pStyle w:val="TableText"/>
              <w:keepNext/>
              <w:jc w:val="right"/>
            </w:pPr>
            <w:r w:rsidRPr="00637F12">
              <w:t>0.2184</w:t>
            </w:r>
          </w:p>
        </w:tc>
        <w:tc>
          <w:tcPr>
            <w:tcW w:w="601" w:type="pct"/>
            <w:tcBorders>
              <w:top w:val="nil"/>
            </w:tcBorders>
            <w:noWrap/>
          </w:tcPr>
          <w:p w14:paraId="7C40E0D5" w14:textId="77777777" w:rsidR="00A16F92" w:rsidRPr="00373827" w:rsidRDefault="00A16F92" w:rsidP="00F20F17">
            <w:pPr>
              <w:pStyle w:val="TableText"/>
              <w:keepNext/>
              <w:jc w:val="right"/>
            </w:pPr>
            <w:r w:rsidRPr="00637F12">
              <w:t>0.0342</w:t>
            </w:r>
          </w:p>
        </w:tc>
      </w:tr>
      <w:tr w:rsidR="00A16F92" w:rsidRPr="00373827" w14:paraId="68C50090" w14:textId="77777777" w:rsidTr="00F20F17">
        <w:trPr>
          <w:trHeight w:val="300"/>
        </w:trPr>
        <w:tc>
          <w:tcPr>
            <w:tcW w:w="3062" w:type="pct"/>
            <w:tcBorders>
              <w:bottom w:val="single" w:sz="4" w:space="0" w:color="auto"/>
              <w:right w:val="nil"/>
            </w:tcBorders>
            <w:noWrap/>
            <w:hideMark/>
          </w:tcPr>
          <w:p w14:paraId="361FCD7C" w14:textId="77777777" w:rsidR="00A16F92" w:rsidRPr="00373827" w:rsidRDefault="00A16F92" w:rsidP="00F20F17">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tcPr>
          <w:p w14:paraId="7D1AE410" w14:textId="77777777" w:rsidR="00A16F92" w:rsidRPr="00373827" w:rsidRDefault="00A16F92" w:rsidP="00F20F17">
            <w:pPr>
              <w:pStyle w:val="TableText"/>
              <w:jc w:val="right"/>
              <w:rPr>
                <w:b/>
              </w:rPr>
            </w:pPr>
          </w:p>
        </w:tc>
        <w:tc>
          <w:tcPr>
            <w:tcW w:w="669" w:type="pct"/>
            <w:tcBorders>
              <w:left w:val="nil"/>
              <w:bottom w:val="single" w:sz="4" w:space="0" w:color="auto"/>
            </w:tcBorders>
            <w:noWrap/>
          </w:tcPr>
          <w:p w14:paraId="0BAC27BC" w14:textId="77777777" w:rsidR="00A16F92" w:rsidRPr="00373827" w:rsidRDefault="00A16F92" w:rsidP="00F20F17">
            <w:pPr>
              <w:pStyle w:val="TableText"/>
              <w:jc w:val="right"/>
              <w:rPr>
                <w:b/>
              </w:rPr>
            </w:pPr>
          </w:p>
        </w:tc>
        <w:tc>
          <w:tcPr>
            <w:tcW w:w="601" w:type="pct"/>
            <w:tcBorders>
              <w:bottom w:val="single" w:sz="4" w:space="0" w:color="auto"/>
            </w:tcBorders>
            <w:noWrap/>
          </w:tcPr>
          <w:p w14:paraId="667D1CC1" w14:textId="77777777" w:rsidR="00A16F92" w:rsidRPr="00152404" w:rsidRDefault="00A16F92" w:rsidP="00F20F17">
            <w:pPr>
              <w:pStyle w:val="TableText"/>
              <w:jc w:val="right"/>
              <w:rPr>
                <w:b/>
              </w:rPr>
            </w:pPr>
            <w:r w:rsidRPr="00152404">
              <w:rPr>
                <w:b/>
              </w:rPr>
              <w:t>$6,026</w:t>
            </w:r>
          </w:p>
        </w:tc>
      </w:tr>
      <w:tr w:rsidR="00A16F92" w:rsidRPr="00373827" w14:paraId="1E49ACE8" w14:textId="77777777" w:rsidTr="00F20F17">
        <w:trPr>
          <w:trHeight w:val="300"/>
        </w:trPr>
        <w:tc>
          <w:tcPr>
            <w:tcW w:w="5000" w:type="pct"/>
            <w:gridSpan w:val="4"/>
            <w:tcBorders>
              <w:bottom w:val="single" w:sz="4" w:space="0" w:color="auto"/>
            </w:tcBorders>
            <w:noWrap/>
            <w:hideMark/>
          </w:tcPr>
          <w:p w14:paraId="68B37617" w14:textId="77777777" w:rsidR="00A16F92" w:rsidRDefault="00A16F92" w:rsidP="00F20F17">
            <w:pPr>
              <w:pStyle w:val="TableText"/>
              <w:keepNext/>
              <w:rPr>
                <w:b/>
              </w:rPr>
            </w:pPr>
            <w:r>
              <w:rPr>
                <w:b/>
              </w:rPr>
              <w:t>Step 6: A</w:t>
            </w:r>
            <w:r w:rsidRPr="00373827">
              <w:rPr>
                <w:b/>
              </w:rPr>
              <w:t>djust for some IHC ± FISH use with proposed testing</w:t>
            </w:r>
          </w:p>
          <w:p w14:paraId="47C65222" w14:textId="0CF726A9" w:rsidR="00A16F92" w:rsidRPr="00373827" w:rsidRDefault="00A16F92" w:rsidP="00F20F17">
            <w:pPr>
              <w:pStyle w:val="TableText"/>
              <w:keepNext/>
              <w:rPr>
                <w:b/>
              </w:rPr>
            </w:pPr>
            <w:r>
              <w:t>Th</w:t>
            </w:r>
            <w:r w:rsidR="00466C4F">
              <w:t>e</w:t>
            </w:r>
            <w:r>
              <w:t xml:space="preserve"> applicant expected that 5−10% of tests would require current testing methods. MSAC have previo</w:t>
            </w:r>
            <w:r w:rsidR="009B0043">
              <w:t>u</w:t>
            </w:r>
            <w:r>
              <w:t xml:space="preserve">sly considered that small DNA panels are currently being used for </w:t>
            </w:r>
            <w:r w:rsidRPr="009D7665">
              <w:rPr>
                <w:i/>
              </w:rPr>
              <w:t>EGFR</w:t>
            </w:r>
            <w:r>
              <w:t xml:space="preserve"> testing (MSAC 1669 PSD, March 2022 MSAC Meeting) and so this has been assumed to apply to small RNA gene panels only, as RNA panels may have larger sampling requirements. This reduces both the cost of proposed testing and also yield (as additional </w:t>
            </w:r>
            <w:r w:rsidRPr="00F467E2">
              <w:t>“in scope” and “beyond restriction” variants</w:t>
            </w:r>
            <w:r>
              <w:t xml:space="preserve"> would not be identified in this proportion of patients)</w:t>
            </w:r>
          </w:p>
        </w:tc>
      </w:tr>
      <w:tr w:rsidR="00A16F92" w:rsidRPr="00373827" w14:paraId="36A3D974" w14:textId="77777777" w:rsidTr="00F20F17">
        <w:trPr>
          <w:trHeight w:val="300"/>
        </w:trPr>
        <w:tc>
          <w:tcPr>
            <w:tcW w:w="3062" w:type="pct"/>
            <w:tcBorders>
              <w:bottom w:val="nil"/>
            </w:tcBorders>
            <w:noWrap/>
            <w:hideMark/>
          </w:tcPr>
          <w:p w14:paraId="0B7B0FDC" w14:textId="77777777" w:rsidR="00A16F92" w:rsidRPr="00373827" w:rsidRDefault="00A16F92" w:rsidP="00F20F17">
            <w:pPr>
              <w:pStyle w:val="TableText"/>
              <w:keepNext/>
            </w:pPr>
            <w:r w:rsidRPr="00373827">
              <w:t>Total cost</w:t>
            </w:r>
          </w:p>
        </w:tc>
        <w:tc>
          <w:tcPr>
            <w:tcW w:w="668" w:type="pct"/>
            <w:tcBorders>
              <w:bottom w:val="nil"/>
            </w:tcBorders>
            <w:noWrap/>
          </w:tcPr>
          <w:p w14:paraId="0B1C1AA8" w14:textId="77777777" w:rsidR="00A16F92" w:rsidRPr="00373827" w:rsidRDefault="00A16F92" w:rsidP="00F20F17">
            <w:pPr>
              <w:pStyle w:val="TableText"/>
              <w:keepNext/>
              <w:jc w:val="right"/>
            </w:pPr>
            <w:r w:rsidRPr="00637F12">
              <w:t>$1,035.55</w:t>
            </w:r>
          </w:p>
        </w:tc>
        <w:tc>
          <w:tcPr>
            <w:tcW w:w="669" w:type="pct"/>
            <w:tcBorders>
              <w:bottom w:val="nil"/>
            </w:tcBorders>
            <w:noWrap/>
          </w:tcPr>
          <w:p w14:paraId="50374731" w14:textId="77777777" w:rsidR="00A16F92" w:rsidRPr="00373827" w:rsidRDefault="00A16F92" w:rsidP="00F20F17">
            <w:pPr>
              <w:pStyle w:val="TableText"/>
              <w:keepNext/>
              <w:jc w:val="right"/>
            </w:pPr>
            <w:r w:rsidRPr="00637F12">
              <w:t>$846.40</w:t>
            </w:r>
          </w:p>
        </w:tc>
        <w:tc>
          <w:tcPr>
            <w:tcW w:w="601" w:type="pct"/>
            <w:tcBorders>
              <w:bottom w:val="nil"/>
            </w:tcBorders>
            <w:noWrap/>
          </w:tcPr>
          <w:p w14:paraId="73B30A6C" w14:textId="77777777" w:rsidR="00A16F92" w:rsidRPr="00373827" w:rsidRDefault="00A16F92" w:rsidP="00F20F17">
            <w:pPr>
              <w:pStyle w:val="TableText"/>
              <w:keepNext/>
              <w:jc w:val="right"/>
            </w:pPr>
            <w:r w:rsidRPr="00637F12">
              <w:t>$189.15</w:t>
            </w:r>
          </w:p>
        </w:tc>
      </w:tr>
      <w:tr w:rsidR="00A16F92" w:rsidRPr="00373827" w14:paraId="5AF2BF6B" w14:textId="77777777" w:rsidTr="00F20F17">
        <w:trPr>
          <w:trHeight w:val="300"/>
        </w:trPr>
        <w:tc>
          <w:tcPr>
            <w:tcW w:w="3062" w:type="pct"/>
            <w:tcBorders>
              <w:top w:val="nil"/>
              <w:bottom w:val="single" w:sz="4" w:space="0" w:color="auto"/>
            </w:tcBorders>
            <w:noWrap/>
            <w:hideMark/>
          </w:tcPr>
          <w:p w14:paraId="46DA19AC" w14:textId="7F93975B" w:rsidR="00A16F92" w:rsidRPr="00373827" w:rsidRDefault="00A16F92" w:rsidP="00F20F17">
            <w:pPr>
              <w:pStyle w:val="TableText"/>
              <w:keepNext/>
            </w:pPr>
            <w:r w:rsidRPr="00373827">
              <w:t>Proportion with an actionable variant identified</w:t>
            </w:r>
            <w:r w:rsidR="00094AA8" w:rsidRPr="00B70137">
              <w:rPr>
                <w:vertAlign w:val="superscript"/>
              </w:rPr>
              <w:t>a</w:t>
            </w:r>
          </w:p>
        </w:tc>
        <w:tc>
          <w:tcPr>
            <w:tcW w:w="668" w:type="pct"/>
            <w:tcBorders>
              <w:top w:val="nil"/>
              <w:bottom w:val="single" w:sz="4" w:space="0" w:color="auto"/>
            </w:tcBorders>
            <w:noWrap/>
          </w:tcPr>
          <w:p w14:paraId="3817AFDB" w14:textId="77777777" w:rsidR="00A16F92" w:rsidRPr="00373827" w:rsidRDefault="00A16F92" w:rsidP="00F20F17">
            <w:pPr>
              <w:pStyle w:val="TableText"/>
              <w:keepNext/>
              <w:jc w:val="right"/>
            </w:pPr>
            <w:r w:rsidRPr="00637F12">
              <w:t>0.2523</w:t>
            </w:r>
          </w:p>
        </w:tc>
        <w:tc>
          <w:tcPr>
            <w:tcW w:w="669" w:type="pct"/>
            <w:tcBorders>
              <w:top w:val="nil"/>
              <w:bottom w:val="single" w:sz="4" w:space="0" w:color="auto"/>
            </w:tcBorders>
            <w:noWrap/>
          </w:tcPr>
          <w:p w14:paraId="7FC22C43" w14:textId="77777777" w:rsidR="00A16F92" w:rsidRPr="00373827" w:rsidRDefault="00A16F92" w:rsidP="00F20F17">
            <w:pPr>
              <w:pStyle w:val="TableText"/>
              <w:keepNext/>
              <w:jc w:val="right"/>
            </w:pPr>
            <w:r w:rsidRPr="00637F12">
              <w:t>0.2184</w:t>
            </w:r>
          </w:p>
        </w:tc>
        <w:tc>
          <w:tcPr>
            <w:tcW w:w="601" w:type="pct"/>
            <w:tcBorders>
              <w:top w:val="nil"/>
            </w:tcBorders>
            <w:noWrap/>
          </w:tcPr>
          <w:p w14:paraId="57290006" w14:textId="77777777" w:rsidR="00A16F92" w:rsidRPr="00373827" w:rsidRDefault="00A16F92" w:rsidP="00F20F17">
            <w:pPr>
              <w:pStyle w:val="TableText"/>
              <w:keepNext/>
              <w:jc w:val="right"/>
            </w:pPr>
            <w:r w:rsidRPr="00637F12">
              <w:t>0.0339</w:t>
            </w:r>
          </w:p>
        </w:tc>
      </w:tr>
      <w:tr w:rsidR="00A16F92" w:rsidRPr="00373827" w14:paraId="5A4F4E61" w14:textId="77777777" w:rsidTr="00F20F17">
        <w:trPr>
          <w:trHeight w:val="300"/>
        </w:trPr>
        <w:tc>
          <w:tcPr>
            <w:tcW w:w="3062" w:type="pct"/>
            <w:tcBorders>
              <w:bottom w:val="single" w:sz="4" w:space="0" w:color="auto"/>
              <w:right w:val="nil"/>
            </w:tcBorders>
            <w:noWrap/>
            <w:hideMark/>
          </w:tcPr>
          <w:p w14:paraId="2DA65286" w14:textId="77777777" w:rsidR="00A16F92" w:rsidRPr="00373827" w:rsidRDefault="00A16F92" w:rsidP="00F20F17">
            <w:pPr>
              <w:pStyle w:val="TableText"/>
              <w:rPr>
                <w:b/>
              </w:rPr>
            </w:pPr>
            <w:r w:rsidRPr="00373827">
              <w:rPr>
                <w:b/>
              </w:rPr>
              <w:t>ICER per additional patient with an actionable variant identified</w:t>
            </w:r>
          </w:p>
        </w:tc>
        <w:tc>
          <w:tcPr>
            <w:tcW w:w="668" w:type="pct"/>
            <w:tcBorders>
              <w:left w:val="nil"/>
              <w:bottom w:val="single" w:sz="4" w:space="0" w:color="auto"/>
              <w:right w:val="nil"/>
            </w:tcBorders>
            <w:noWrap/>
          </w:tcPr>
          <w:p w14:paraId="60B8B2AC" w14:textId="77777777" w:rsidR="00A16F92" w:rsidRPr="00373827" w:rsidRDefault="00A16F92" w:rsidP="00F20F17">
            <w:pPr>
              <w:pStyle w:val="TableText"/>
              <w:jc w:val="right"/>
              <w:rPr>
                <w:b/>
              </w:rPr>
            </w:pPr>
          </w:p>
        </w:tc>
        <w:tc>
          <w:tcPr>
            <w:tcW w:w="669" w:type="pct"/>
            <w:tcBorders>
              <w:left w:val="nil"/>
              <w:bottom w:val="single" w:sz="4" w:space="0" w:color="auto"/>
            </w:tcBorders>
            <w:noWrap/>
          </w:tcPr>
          <w:p w14:paraId="28AB6214" w14:textId="77777777" w:rsidR="00A16F92" w:rsidRPr="00373827" w:rsidRDefault="00A16F92" w:rsidP="00F20F17">
            <w:pPr>
              <w:pStyle w:val="TableText"/>
              <w:jc w:val="right"/>
              <w:rPr>
                <w:b/>
              </w:rPr>
            </w:pPr>
          </w:p>
        </w:tc>
        <w:tc>
          <w:tcPr>
            <w:tcW w:w="601" w:type="pct"/>
            <w:tcBorders>
              <w:bottom w:val="single" w:sz="4" w:space="0" w:color="auto"/>
            </w:tcBorders>
            <w:noWrap/>
          </w:tcPr>
          <w:p w14:paraId="51DE5AD4" w14:textId="77777777" w:rsidR="00A16F92" w:rsidRPr="00152404" w:rsidRDefault="00A16F92" w:rsidP="00F20F17">
            <w:pPr>
              <w:pStyle w:val="TableText"/>
              <w:jc w:val="right"/>
              <w:rPr>
                <w:b/>
              </w:rPr>
            </w:pPr>
            <w:r w:rsidRPr="00152404">
              <w:rPr>
                <w:b/>
              </w:rPr>
              <w:t>$5,582</w:t>
            </w:r>
          </w:p>
        </w:tc>
      </w:tr>
      <w:tr w:rsidR="00A16F92" w:rsidRPr="00373827" w14:paraId="0C8F9131" w14:textId="77777777" w:rsidTr="00F20F17">
        <w:trPr>
          <w:trHeight w:val="300"/>
        </w:trPr>
        <w:tc>
          <w:tcPr>
            <w:tcW w:w="5000" w:type="pct"/>
            <w:gridSpan w:val="4"/>
            <w:tcBorders>
              <w:bottom w:val="single" w:sz="4" w:space="0" w:color="auto"/>
            </w:tcBorders>
            <w:noWrap/>
            <w:hideMark/>
          </w:tcPr>
          <w:p w14:paraId="2F7ED780" w14:textId="77777777" w:rsidR="00A16F92" w:rsidRDefault="00A16F92" w:rsidP="00F20F17">
            <w:pPr>
              <w:pStyle w:val="TableText"/>
              <w:keepNext/>
              <w:rPr>
                <w:b/>
              </w:rPr>
            </w:pPr>
            <w:r>
              <w:rPr>
                <w:b/>
              </w:rPr>
              <w:lastRenderedPageBreak/>
              <w:t>Step 7: Incorporate</w:t>
            </w:r>
            <w:r w:rsidRPr="00373827">
              <w:rPr>
                <w:b/>
              </w:rPr>
              <w:t xml:space="preserve"> patients with early disease who do not progress</w:t>
            </w:r>
          </w:p>
          <w:p w14:paraId="301E116F" w14:textId="77777777" w:rsidR="00A16F92" w:rsidRPr="00373827" w:rsidRDefault="00A16F92" w:rsidP="00F20F17">
            <w:pPr>
              <w:pStyle w:val="TableText"/>
              <w:keepNext/>
              <w:rPr>
                <w:b/>
              </w:rPr>
            </w:pPr>
            <w:r>
              <w:t xml:space="preserve">Small gene panel testing is proposed to occur on diagnosis of non-squamous or NOS NSCLC. While current </w:t>
            </w:r>
            <w:r w:rsidRPr="009D7665">
              <w:rPr>
                <w:i/>
              </w:rPr>
              <w:t xml:space="preserve">EGFR </w:t>
            </w:r>
            <w:r>
              <w:t xml:space="preserve">and </w:t>
            </w:r>
            <w:r w:rsidRPr="00956452">
              <w:t>ALK</w:t>
            </w:r>
            <w:r w:rsidRPr="009D7665">
              <w:rPr>
                <w:i/>
              </w:rPr>
              <w:t xml:space="preserve"> </w:t>
            </w:r>
            <w:r>
              <w:t xml:space="preserve">and </w:t>
            </w:r>
            <w:r w:rsidRPr="00956452">
              <w:t>ROS1</w:t>
            </w:r>
            <w:r w:rsidRPr="009D7665">
              <w:rPr>
                <w:i/>
              </w:rPr>
              <w:t xml:space="preserve"> </w:t>
            </w:r>
            <w:r>
              <w:t xml:space="preserve">IHC testing also occur at diagnosis, </w:t>
            </w:r>
            <w:r w:rsidRPr="009D7665">
              <w:rPr>
                <w:i/>
              </w:rPr>
              <w:t xml:space="preserve">ALK </w:t>
            </w:r>
            <w:r>
              <w:t xml:space="preserve">and </w:t>
            </w:r>
            <w:r w:rsidRPr="009D7665">
              <w:rPr>
                <w:i/>
              </w:rPr>
              <w:t xml:space="preserve">ROS1 </w:t>
            </w:r>
            <w:r>
              <w:t xml:space="preserve">FISH and proposed </w:t>
            </w:r>
            <w:r w:rsidRPr="009D7665">
              <w:rPr>
                <w:i/>
              </w:rPr>
              <w:t>MET</w:t>
            </w:r>
            <w:r>
              <w:t xml:space="preserve">ex14sk testing do not occur until the development of advanced disease. The analysis therefore has been adjusted to reflect that not all patients who receive small gene panel testing would develop advanced disease (and so would not be eligible for targeted therapy, currently available only in the advanced setting). </w:t>
            </w:r>
          </w:p>
        </w:tc>
      </w:tr>
      <w:tr w:rsidR="00A16F92" w:rsidRPr="00373827" w14:paraId="11981097" w14:textId="77777777" w:rsidTr="00F20F17">
        <w:trPr>
          <w:trHeight w:val="300"/>
        </w:trPr>
        <w:tc>
          <w:tcPr>
            <w:tcW w:w="3062" w:type="pct"/>
            <w:tcBorders>
              <w:bottom w:val="nil"/>
            </w:tcBorders>
            <w:noWrap/>
            <w:hideMark/>
          </w:tcPr>
          <w:p w14:paraId="7AC1AB50" w14:textId="77777777" w:rsidR="00A16F92" w:rsidRPr="00373827" w:rsidRDefault="00A16F92" w:rsidP="00F20F17">
            <w:pPr>
              <w:pStyle w:val="TableText"/>
              <w:keepNext/>
            </w:pPr>
            <w:r w:rsidRPr="00373827">
              <w:t>Total cost</w:t>
            </w:r>
          </w:p>
        </w:tc>
        <w:tc>
          <w:tcPr>
            <w:tcW w:w="668" w:type="pct"/>
            <w:tcBorders>
              <w:bottom w:val="nil"/>
            </w:tcBorders>
            <w:noWrap/>
          </w:tcPr>
          <w:p w14:paraId="72D603D6" w14:textId="77777777" w:rsidR="00A16F92" w:rsidRPr="00373827" w:rsidRDefault="00A16F92" w:rsidP="00F20F17">
            <w:pPr>
              <w:pStyle w:val="TableText"/>
              <w:keepNext/>
              <w:jc w:val="right"/>
            </w:pPr>
            <w:r w:rsidRPr="00637F12">
              <w:t>$1,035.54</w:t>
            </w:r>
          </w:p>
        </w:tc>
        <w:tc>
          <w:tcPr>
            <w:tcW w:w="669" w:type="pct"/>
            <w:tcBorders>
              <w:bottom w:val="nil"/>
            </w:tcBorders>
            <w:noWrap/>
          </w:tcPr>
          <w:p w14:paraId="175E189D" w14:textId="77777777" w:rsidR="00A16F92" w:rsidRPr="00373827" w:rsidRDefault="00A16F92" w:rsidP="00F20F17">
            <w:pPr>
              <w:pStyle w:val="TableText"/>
              <w:keepNext/>
              <w:jc w:val="right"/>
            </w:pPr>
            <w:r w:rsidRPr="00637F12">
              <w:t>$743.77</w:t>
            </w:r>
          </w:p>
        </w:tc>
        <w:tc>
          <w:tcPr>
            <w:tcW w:w="601" w:type="pct"/>
            <w:tcBorders>
              <w:bottom w:val="nil"/>
            </w:tcBorders>
            <w:noWrap/>
          </w:tcPr>
          <w:p w14:paraId="0FE2F9DB" w14:textId="77777777" w:rsidR="00A16F92" w:rsidRPr="00373827" w:rsidRDefault="00A16F92" w:rsidP="00F20F17">
            <w:pPr>
              <w:pStyle w:val="TableText"/>
              <w:keepNext/>
              <w:jc w:val="right"/>
            </w:pPr>
            <w:r w:rsidRPr="00637F12">
              <w:t>$291.76</w:t>
            </w:r>
          </w:p>
        </w:tc>
      </w:tr>
      <w:tr w:rsidR="00A16F92" w:rsidRPr="00373827" w14:paraId="1E07B62D" w14:textId="77777777" w:rsidTr="00F20F17">
        <w:trPr>
          <w:trHeight w:val="300"/>
        </w:trPr>
        <w:tc>
          <w:tcPr>
            <w:tcW w:w="3062" w:type="pct"/>
            <w:tcBorders>
              <w:top w:val="nil"/>
              <w:bottom w:val="nil"/>
            </w:tcBorders>
            <w:noWrap/>
            <w:hideMark/>
          </w:tcPr>
          <w:p w14:paraId="11C13604" w14:textId="77777777" w:rsidR="00A16F92" w:rsidRPr="00373827" w:rsidRDefault="00A16F92" w:rsidP="00F20F17">
            <w:pPr>
              <w:pStyle w:val="TableText"/>
              <w:keepNext/>
            </w:pPr>
            <w:r w:rsidRPr="00373827">
              <w:t>Proportion eligible for targeted therapy</w:t>
            </w:r>
          </w:p>
        </w:tc>
        <w:tc>
          <w:tcPr>
            <w:tcW w:w="668" w:type="pct"/>
            <w:tcBorders>
              <w:top w:val="nil"/>
              <w:bottom w:val="nil"/>
            </w:tcBorders>
            <w:noWrap/>
          </w:tcPr>
          <w:p w14:paraId="3C420408" w14:textId="77777777" w:rsidR="00A16F92" w:rsidRPr="00373827" w:rsidRDefault="00A16F92" w:rsidP="00F20F17">
            <w:pPr>
              <w:pStyle w:val="TableText"/>
              <w:keepNext/>
              <w:jc w:val="right"/>
            </w:pPr>
            <w:r w:rsidRPr="00637F12">
              <w:t>0.1913</w:t>
            </w:r>
          </w:p>
        </w:tc>
        <w:tc>
          <w:tcPr>
            <w:tcW w:w="669" w:type="pct"/>
            <w:tcBorders>
              <w:top w:val="nil"/>
              <w:bottom w:val="nil"/>
            </w:tcBorders>
            <w:noWrap/>
          </w:tcPr>
          <w:p w14:paraId="4BA172CF" w14:textId="77777777" w:rsidR="00A16F92" w:rsidRPr="00373827" w:rsidRDefault="00A16F92" w:rsidP="00F20F17">
            <w:pPr>
              <w:pStyle w:val="TableText"/>
              <w:keepNext/>
              <w:jc w:val="right"/>
            </w:pPr>
            <w:r w:rsidRPr="00637F12">
              <w:t>0.1656</w:t>
            </w:r>
          </w:p>
        </w:tc>
        <w:tc>
          <w:tcPr>
            <w:tcW w:w="601" w:type="pct"/>
            <w:tcBorders>
              <w:top w:val="nil"/>
              <w:bottom w:val="nil"/>
            </w:tcBorders>
            <w:noWrap/>
          </w:tcPr>
          <w:p w14:paraId="0BBE491E" w14:textId="77777777" w:rsidR="00A16F92" w:rsidRPr="00373827" w:rsidRDefault="00A16F92" w:rsidP="00F20F17">
            <w:pPr>
              <w:pStyle w:val="TableText"/>
              <w:keepNext/>
              <w:jc w:val="right"/>
            </w:pPr>
            <w:r w:rsidRPr="00637F12">
              <w:t>0.0257</w:t>
            </w:r>
          </w:p>
        </w:tc>
      </w:tr>
      <w:tr w:rsidR="00A16F92" w:rsidRPr="00373827" w14:paraId="52070A60" w14:textId="77777777" w:rsidTr="00F20F17">
        <w:trPr>
          <w:trHeight w:val="300"/>
        </w:trPr>
        <w:tc>
          <w:tcPr>
            <w:tcW w:w="3062" w:type="pct"/>
            <w:tcBorders>
              <w:bottom w:val="single" w:sz="4" w:space="0" w:color="auto"/>
              <w:right w:val="nil"/>
            </w:tcBorders>
            <w:noWrap/>
            <w:hideMark/>
          </w:tcPr>
          <w:p w14:paraId="28E4B19E" w14:textId="77777777" w:rsidR="00A16F92" w:rsidRPr="00373827" w:rsidRDefault="00A16F92" w:rsidP="00F20F17">
            <w:pPr>
              <w:pStyle w:val="TableText"/>
              <w:rPr>
                <w:b/>
              </w:rPr>
            </w:pPr>
            <w:r w:rsidRPr="00373827">
              <w:rPr>
                <w:b/>
              </w:rPr>
              <w:t>ICER per additional patient eligible for targeted therapy</w:t>
            </w:r>
          </w:p>
        </w:tc>
        <w:tc>
          <w:tcPr>
            <w:tcW w:w="668" w:type="pct"/>
            <w:tcBorders>
              <w:left w:val="nil"/>
              <w:bottom w:val="single" w:sz="4" w:space="0" w:color="auto"/>
              <w:right w:val="nil"/>
            </w:tcBorders>
            <w:noWrap/>
          </w:tcPr>
          <w:p w14:paraId="687EC8FF" w14:textId="77777777" w:rsidR="00A16F92" w:rsidRPr="00373827" w:rsidRDefault="00A16F92" w:rsidP="00F20F17">
            <w:pPr>
              <w:pStyle w:val="TableText"/>
              <w:jc w:val="right"/>
              <w:rPr>
                <w:b/>
              </w:rPr>
            </w:pPr>
          </w:p>
        </w:tc>
        <w:tc>
          <w:tcPr>
            <w:tcW w:w="669" w:type="pct"/>
            <w:tcBorders>
              <w:left w:val="nil"/>
              <w:bottom w:val="single" w:sz="4" w:space="0" w:color="auto"/>
            </w:tcBorders>
            <w:noWrap/>
          </w:tcPr>
          <w:p w14:paraId="62F1CD3B" w14:textId="77777777" w:rsidR="00A16F92" w:rsidRPr="00373827" w:rsidRDefault="00A16F92" w:rsidP="00F20F17">
            <w:pPr>
              <w:pStyle w:val="TableText"/>
              <w:jc w:val="right"/>
              <w:rPr>
                <w:b/>
              </w:rPr>
            </w:pPr>
          </w:p>
        </w:tc>
        <w:tc>
          <w:tcPr>
            <w:tcW w:w="601" w:type="pct"/>
            <w:tcBorders>
              <w:bottom w:val="single" w:sz="4" w:space="0" w:color="auto"/>
            </w:tcBorders>
            <w:noWrap/>
          </w:tcPr>
          <w:p w14:paraId="715B2E2B" w14:textId="77777777" w:rsidR="00A16F92" w:rsidRPr="00152404" w:rsidRDefault="00A16F92" w:rsidP="00F20F17">
            <w:pPr>
              <w:pStyle w:val="TableText"/>
              <w:jc w:val="right"/>
              <w:rPr>
                <w:b/>
              </w:rPr>
            </w:pPr>
            <w:r w:rsidRPr="00152404">
              <w:rPr>
                <w:b/>
              </w:rPr>
              <w:t>$11,352</w:t>
            </w:r>
          </w:p>
        </w:tc>
      </w:tr>
      <w:tr w:rsidR="00A16F92" w:rsidRPr="00373827" w14:paraId="0ABC8EF8" w14:textId="77777777" w:rsidTr="00F20F17">
        <w:trPr>
          <w:trHeight w:val="300"/>
        </w:trPr>
        <w:tc>
          <w:tcPr>
            <w:tcW w:w="5000" w:type="pct"/>
            <w:gridSpan w:val="4"/>
            <w:tcBorders>
              <w:bottom w:val="single" w:sz="4" w:space="0" w:color="auto"/>
            </w:tcBorders>
            <w:noWrap/>
            <w:hideMark/>
          </w:tcPr>
          <w:p w14:paraId="7325EE4C" w14:textId="77777777" w:rsidR="00A16F92" w:rsidRDefault="00A16F92" w:rsidP="00F20F17">
            <w:pPr>
              <w:pStyle w:val="TableText"/>
              <w:keepNext/>
              <w:rPr>
                <w:b/>
              </w:rPr>
            </w:pPr>
            <w:r>
              <w:rPr>
                <w:b/>
              </w:rPr>
              <w:t xml:space="preserve">Step 8: </w:t>
            </w:r>
            <w:r w:rsidRPr="00373827">
              <w:rPr>
                <w:b/>
              </w:rPr>
              <w:t>Incorporate rebiopsies</w:t>
            </w:r>
          </w:p>
          <w:p w14:paraId="1133C941" w14:textId="2AFD4606" w:rsidR="00A16F92" w:rsidRPr="00373827" w:rsidRDefault="00A16F92" w:rsidP="006D4612">
            <w:pPr>
              <w:pStyle w:val="TableText"/>
              <w:keepNext/>
              <w:rPr>
                <w:b/>
              </w:rPr>
            </w:pPr>
            <w:r>
              <w:t>In those with insufficient sample for testing, rebiopsy is attempted where 20% are assumed to fail</w:t>
            </w:r>
            <w:r w:rsidR="00BA7398">
              <w:t xml:space="preserve"> </w:t>
            </w:r>
            <w:r w:rsidR="006D4612">
              <w:fldChar w:fldCharType="begin"/>
            </w:r>
            <w:r w:rsidR="006D4612">
              <w:instrText xml:space="preserve"> ADDIN EN.CITE &lt;EndNote&gt;&lt;Cite&gt;&lt;Author&gt;Kelly&lt;/Author&gt;&lt;Year&gt;2019&lt;/Year&gt;&lt;RecNum&gt;202&lt;/RecNum&gt;&lt;IDText&gt;e717-e727&lt;/IDText&gt;&lt;DisplayText&gt;(Kelly et al. 2019)&lt;/DisplayText&gt;&lt;record&gt;&lt;rec-number&gt;202&lt;/rec-number&gt;&lt;foreign-keys&gt;&lt;key app="EN" db-id="0tprsse9cpp5r3ea5dz5p0xw2pfwvwxpa5a5" timestamp="1657698762"&gt;202&lt;/key&gt;&lt;/foreign-keys&gt;&lt;ref-type name="Journal Article"&gt;17&lt;/ref-type&gt;&lt;contributors&gt;&lt;authors&gt;&lt;author&gt;Kelly, R. J.&lt;/author&gt;&lt;author&gt;Turner, R.&lt;/author&gt;&lt;author&gt;Chen, Y. W.&lt;/author&gt;&lt;author&gt;Rigas, J. R.&lt;/author&gt;&lt;author&gt;Fernandes, A. W.&lt;/author&gt;&lt;author&gt;Karve, S.&lt;/author&gt;&lt;/authors&gt;&lt;/contributors&gt;&lt;auth-address&gt;1Baylor Charles A. Sammons Cancer Center at Baylor University Medical Center, Dallas, TX.&amp;#xD;2Sidney Kimmel Comprehensive Cancer Center, The Johns Hopkins University, Baltimore, MD.&amp;#xD;3HealthCore, Wilmington, DE.&amp;#xD;4AstraZeneca, Hanover, NH.&amp;#xD;5AstraZeneca, Gaithersburg, MD.&lt;/auth-address&gt;&lt;titles&gt;&lt;title&gt;Complications and Economic Burden Associated With Obtaining Tissue for Diagnosis and Molecular Analysis in Patients With Non-Small-Cell Lung Cancer in the United States&lt;/title&gt;&lt;secondary-title&gt;J Oncol Pract&lt;/secondary-title&gt;&lt;/titles&gt;&lt;periodical&gt;&lt;full-title&gt;J Oncol Pract&lt;/full-title&gt;&lt;/periodical&gt;&lt;pages&gt;e717-e727&lt;/pages&gt;&lt;volume&gt;15&lt;/volume&gt;&lt;number&gt;8&lt;/number&gt;&lt;edition&gt;2019/06/27&lt;/edition&gt;&lt;keywords&gt;&lt;keyword&gt;Aged&lt;/keyword&gt;&lt;keyword&gt;Biopsy/*economics/methods&lt;/keyword&gt;&lt;keyword&gt;Carcinoma, Non-Small-Cell Lung/*economics/surgery&lt;/keyword&gt;&lt;keyword&gt;Cost of Illness&lt;/keyword&gt;&lt;keyword&gt;Female&lt;/keyword&gt;&lt;keyword&gt;Humans&lt;/keyword&gt;&lt;keyword&gt;Lung Neoplasms/*economics/surgery&lt;/keyword&gt;&lt;keyword&gt;Male&lt;/keyword&gt;&lt;keyword&gt;Retrospective Studies&lt;/keyword&gt;&lt;keyword&gt;United States&lt;/keyword&gt;&lt;/keywords&gt;&lt;dates&gt;&lt;year&gt;2019&lt;/year&gt;&lt;pub-dates&gt;&lt;date&gt;Aug&lt;/date&gt;&lt;/pub-dates&gt;&lt;/dates&gt;&lt;isbn&gt;1935-469X (Electronic)&amp;#xD;1554-7477 (Linking)&lt;/isbn&gt;&lt;accession-num&gt;31237806&lt;/accession-num&gt;&lt;urls&gt;&lt;related-urls&gt;&lt;url&gt;https://www.ncbi.nlm.nih.gov/pubmed/31237806&lt;/url&gt;&lt;/related-urls&gt;&lt;/urls&gt;&lt;electronic-resource-num&gt;10.1200/JOP.18.00762&lt;/electronic-resource-num&gt;&lt;/record&gt;&lt;/Cite&gt;&lt;/EndNote&gt;</w:instrText>
            </w:r>
            <w:r w:rsidR="006D4612">
              <w:fldChar w:fldCharType="separate"/>
            </w:r>
            <w:r w:rsidR="006D4612">
              <w:rPr>
                <w:noProof/>
              </w:rPr>
              <w:t>(Kelly et al. 2019)</w:t>
            </w:r>
            <w:r w:rsidR="006D4612">
              <w:fldChar w:fldCharType="end"/>
            </w:r>
            <w:r>
              <w:t xml:space="preserve">. </w:t>
            </w:r>
          </w:p>
        </w:tc>
      </w:tr>
      <w:tr w:rsidR="00A16F92" w:rsidRPr="00373827" w14:paraId="22183B13" w14:textId="77777777" w:rsidTr="00F20F17">
        <w:trPr>
          <w:trHeight w:val="300"/>
        </w:trPr>
        <w:tc>
          <w:tcPr>
            <w:tcW w:w="3062" w:type="pct"/>
            <w:tcBorders>
              <w:bottom w:val="nil"/>
            </w:tcBorders>
            <w:noWrap/>
            <w:hideMark/>
          </w:tcPr>
          <w:p w14:paraId="7EC57716" w14:textId="77777777" w:rsidR="00A16F92" w:rsidRPr="00373827" w:rsidRDefault="00A16F92" w:rsidP="00F20F17">
            <w:pPr>
              <w:pStyle w:val="TableText"/>
              <w:keepNext/>
            </w:pPr>
            <w:r w:rsidRPr="00373827">
              <w:t>Total cost</w:t>
            </w:r>
          </w:p>
        </w:tc>
        <w:tc>
          <w:tcPr>
            <w:tcW w:w="668" w:type="pct"/>
            <w:tcBorders>
              <w:bottom w:val="nil"/>
            </w:tcBorders>
            <w:noWrap/>
          </w:tcPr>
          <w:p w14:paraId="787693A1" w14:textId="77777777" w:rsidR="00A16F92" w:rsidRPr="00373827" w:rsidRDefault="00A16F92" w:rsidP="00F20F17">
            <w:pPr>
              <w:pStyle w:val="TableText"/>
              <w:keepNext/>
              <w:jc w:val="right"/>
            </w:pPr>
            <w:r w:rsidRPr="00637F12">
              <w:t>$1,173.23</w:t>
            </w:r>
          </w:p>
        </w:tc>
        <w:tc>
          <w:tcPr>
            <w:tcW w:w="669" w:type="pct"/>
            <w:tcBorders>
              <w:bottom w:val="nil"/>
            </w:tcBorders>
            <w:noWrap/>
          </w:tcPr>
          <w:p w14:paraId="780A8571" w14:textId="77777777" w:rsidR="00A16F92" w:rsidRPr="00373827" w:rsidRDefault="00A16F92" w:rsidP="00F20F17">
            <w:pPr>
              <w:pStyle w:val="TableText"/>
              <w:keepNext/>
              <w:jc w:val="right"/>
            </w:pPr>
            <w:r w:rsidRPr="00637F12">
              <w:t>$1,004.20</w:t>
            </w:r>
          </w:p>
        </w:tc>
        <w:tc>
          <w:tcPr>
            <w:tcW w:w="601" w:type="pct"/>
            <w:tcBorders>
              <w:bottom w:val="nil"/>
            </w:tcBorders>
            <w:noWrap/>
          </w:tcPr>
          <w:p w14:paraId="46AE26ED" w14:textId="77777777" w:rsidR="00A16F92" w:rsidRPr="00373827" w:rsidRDefault="00A16F92" w:rsidP="00F20F17">
            <w:pPr>
              <w:pStyle w:val="TableText"/>
              <w:keepNext/>
              <w:jc w:val="right"/>
            </w:pPr>
            <w:r w:rsidRPr="00637F12">
              <w:t>$169.02</w:t>
            </w:r>
          </w:p>
        </w:tc>
      </w:tr>
      <w:tr w:rsidR="00A16F92" w:rsidRPr="00373827" w14:paraId="1BD76D1D" w14:textId="77777777" w:rsidTr="00F20F17">
        <w:trPr>
          <w:trHeight w:val="300"/>
        </w:trPr>
        <w:tc>
          <w:tcPr>
            <w:tcW w:w="3062" w:type="pct"/>
            <w:tcBorders>
              <w:top w:val="nil"/>
              <w:bottom w:val="nil"/>
            </w:tcBorders>
            <w:noWrap/>
            <w:hideMark/>
          </w:tcPr>
          <w:p w14:paraId="169F0DBD" w14:textId="77777777" w:rsidR="00A16F92" w:rsidRPr="00373827" w:rsidRDefault="00A16F92" w:rsidP="00F20F17">
            <w:pPr>
              <w:pStyle w:val="TableText"/>
              <w:keepNext/>
            </w:pPr>
            <w:r w:rsidRPr="00373827">
              <w:t>Proportion eligible for targeted therapy</w:t>
            </w:r>
          </w:p>
        </w:tc>
        <w:tc>
          <w:tcPr>
            <w:tcW w:w="668" w:type="pct"/>
            <w:tcBorders>
              <w:top w:val="nil"/>
              <w:bottom w:val="nil"/>
            </w:tcBorders>
            <w:noWrap/>
          </w:tcPr>
          <w:p w14:paraId="6EDECA39" w14:textId="77777777" w:rsidR="00A16F92" w:rsidRPr="00373827" w:rsidRDefault="00A16F92" w:rsidP="00F20F17">
            <w:pPr>
              <w:pStyle w:val="TableText"/>
              <w:keepNext/>
              <w:jc w:val="right"/>
            </w:pPr>
            <w:r w:rsidRPr="00637F12">
              <w:t>0.1957</w:t>
            </w:r>
          </w:p>
        </w:tc>
        <w:tc>
          <w:tcPr>
            <w:tcW w:w="669" w:type="pct"/>
            <w:tcBorders>
              <w:top w:val="nil"/>
              <w:bottom w:val="nil"/>
            </w:tcBorders>
            <w:noWrap/>
          </w:tcPr>
          <w:p w14:paraId="7400E03E" w14:textId="77777777" w:rsidR="00A16F92" w:rsidRPr="00373827" w:rsidRDefault="00A16F92" w:rsidP="00F20F17">
            <w:pPr>
              <w:pStyle w:val="TableText"/>
              <w:keepNext/>
              <w:jc w:val="right"/>
            </w:pPr>
            <w:r w:rsidRPr="00637F12">
              <w:t>0.1732</w:t>
            </w:r>
          </w:p>
        </w:tc>
        <w:tc>
          <w:tcPr>
            <w:tcW w:w="601" w:type="pct"/>
            <w:tcBorders>
              <w:top w:val="nil"/>
              <w:bottom w:val="nil"/>
            </w:tcBorders>
            <w:noWrap/>
          </w:tcPr>
          <w:p w14:paraId="60A7AE52" w14:textId="77777777" w:rsidR="00A16F92" w:rsidRPr="00373827" w:rsidRDefault="00A16F92" w:rsidP="00F20F17">
            <w:pPr>
              <w:pStyle w:val="TableText"/>
              <w:keepNext/>
              <w:jc w:val="right"/>
            </w:pPr>
            <w:r w:rsidRPr="00637F12">
              <w:t>0.0225</w:t>
            </w:r>
          </w:p>
        </w:tc>
      </w:tr>
      <w:tr w:rsidR="00A16F92" w:rsidRPr="00373827" w14:paraId="1DD61EBB" w14:textId="77777777" w:rsidTr="00F20F17">
        <w:trPr>
          <w:trHeight w:val="300"/>
        </w:trPr>
        <w:tc>
          <w:tcPr>
            <w:tcW w:w="3062" w:type="pct"/>
            <w:tcBorders>
              <w:right w:val="nil"/>
            </w:tcBorders>
            <w:noWrap/>
            <w:hideMark/>
          </w:tcPr>
          <w:p w14:paraId="3281A589" w14:textId="77777777" w:rsidR="00A16F92" w:rsidRPr="00373827" w:rsidRDefault="00A16F92" w:rsidP="00F20F17">
            <w:pPr>
              <w:pStyle w:val="TableText"/>
              <w:rPr>
                <w:b/>
              </w:rPr>
            </w:pPr>
            <w:r w:rsidRPr="00373827">
              <w:rPr>
                <w:b/>
              </w:rPr>
              <w:t>ICER per additional patient eligible for targeted therapy</w:t>
            </w:r>
          </w:p>
        </w:tc>
        <w:tc>
          <w:tcPr>
            <w:tcW w:w="668" w:type="pct"/>
            <w:tcBorders>
              <w:left w:val="nil"/>
              <w:right w:val="nil"/>
            </w:tcBorders>
            <w:noWrap/>
          </w:tcPr>
          <w:p w14:paraId="32B854DC" w14:textId="77777777" w:rsidR="00A16F92" w:rsidRPr="00373827" w:rsidRDefault="00A16F92" w:rsidP="00F20F17">
            <w:pPr>
              <w:pStyle w:val="TableText"/>
              <w:jc w:val="right"/>
              <w:rPr>
                <w:b/>
              </w:rPr>
            </w:pPr>
          </w:p>
        </w:tc>
        <w:tc>
          <w:tcPr>
            <w:tcW w:w="669" w:type="pct"/>
            <w:tcBorders>
              <w:left w:val="nil"/>
            </w:tcBorders>
            <w:noWrap/>
          </w:tcPr>
          <w:p w14:paraId="649C3876" w14:textId="77777777" w:rsidR="00A16F92" w:rsidRPr="00373827" w:rsidRDefault="00A16F92" w:rsidP="00F20F17">
            <w:pPr>
              <w:pStyle w:val="TableText"/>
              <w:jc w:val="right"/>
              <w:rPr>
                <w:b/>
              </w:rPr>
            </w:pPr>
          </w:p>
        </w:tc>
        <w:tc>
          <w:tcPr>
            <w:tcW w:w="601" w:type="pct"/>
            <w:noWrap/>
          </w:tcPr>
          <w:p w14:paraId="582EFE14" w14:textId="77777777" w:rsidR="00A16F92" w:rsidRPr="00152404" w:rsidRDefault="00A16F92" w:rsidP="00F20F17">
            <w:pPr>
              <w:pStyle w:val="TableText"/>
              <w:jc w:val="right"/>
              <w:rPr>
                <w:b/>
              </w:rPr>
            </w:pPr>
            <w:r w:rsidRPr="00152404">
              <w:rPr>
                <w:b/>
              </w:rPr>
              <w:t>$7,496</w:t>
            </w:r>
          </w:p>
        </w:tc>
      </w:tr>
    </w:tbl>
    <w:p w14:paraId="1C60FAC6" w14:textId="77777777" w:rsidR="00094AA8" w:rsidRDefault="00094AA8" w:rsidP="00094AA8">
      <w:pPr>
        <w:pStyle w:val="TableFooter"/>
      </w:pPr>
      <w:r>
        <w:rPr>
          <w:vertAlign w:val="superscript"/>
        </w:rPr>
        <w:t>a</w:t>
      </w:r>
      <w:r>
        <w:t xml:space="preserve"> Incorporates variants that could </w:t>
      </w:r>
      <w:r w:rsidRPr="00C1061A">
        <w:t>be identified by either current or proposed testing</w:t>
      </w:r>
      <w:r>
        <w:t xml:space="preserve">, or </w:t>
      </w:r>
      <w:r w:rsidRPr="00F467E2">
        <w:t>incremental variants within the current scope of eligibility to PBS-listed targeted therapies, and those beyond current PBS restrictions</w:t>
      </w:r>
      <w:r>
        <w:t>.</w:t>
      </w:r>
    </w:p>
    <w:p w14:paraId="7169D22D" w14:textId="039F7997" w:rsidR="004E63D6" w:rsidRPr="00373827" w:rsidRDefault="007C4117" w:rsidP="004E63D6">
      <w:pPr>
        <w:pStyle w:val="TableFooter"/>
      </w:pPr>
      <w:r>
        <w:rPr>
          <w:i/>
        </w:rPr>
        <w:t>ALK</w:t>
      </w:r>
      <w:r>
        <w:t xml:space="preserve"> = </w:t>
      </w:r>
      <w:r w:rsidRPr="003316EF">
        <w:t>anaplastic lymphoma kinase</w:t>
      </w:r>
      <w:r>
        <w:t xml:space="preserve">; </w:t>
      </w:r>
      <w:r w:rsidR="004E63D6" w:rsidRPr="00152F12">
        <w:rPr>
          <w:i/>
        </w:rPr>
        <w:t>BRAF</w:t>
      </w:r>
      <w:r w:rsidR="004E63D6">
        <w:t xml:space="preserve"> = proto-oncogene B-Raf and v-Raf murine sarcoma viral oncogene homolog B; </w:t>
      </w:r>
      <w:r>
        <w:t xml:space="preserve">DNA = deoxyribonucleic acid; </w:t>
      </w:r>
      <w:r w:rsidRPr="00A81F01">
        <w:rPr>
          <w:i/>
        </w:rPr>
        <w:t>EGFR</w:t>
      </w:r>
      <w:r>
        <w:t xml:space="preserve"> = </w:t>
      </w:r>
      <w:r w:rsidRPr="00A81F01">
        <w:t>epidermal growth factor receptor</w:t>
      </w:r>
      <w:r>
        <w:t xml:space="preserve">; </w:t>
      </w:r>
      <w:r w:rsidR="004E63D6">
        <w:t>FISH = f</w:t>
      </w:r>
      <w:r w:rsidR="004E63D6" w:rsidRPr="003316EF">
        <w:t xml:space="preserve">luorescence </w:t>
      </w:r>
      <w:r w:rsidR="004E63D6" w:rsidRPr="00956452">
        <w:rPr>
          <w:i/>
        </w:rPr>
        <w:t>in situ</w:t>
      </w:r>
      <w:r w:rsidR="004E63D6" w:rsidRPr="003316EF">
        <w:t xml:space="preserve"> hybridisation</w:t>
      </w:r>
      <w:r w:rsidR="004E63D6">
        <w:t xml:space="preserve">; IHC = immunohistochemistry; </w:t>
      </w:r>
      <w:r w:rsidR="004E63D6" w:rsidRPr="000B3989">
        <w:rPr>
          <w:i/>
          <w:iCs/>
        </w:rPr>
        <w:t>KRAS</w:t>
      </w:r>
      <w:r w:rsidR="004E63D6" w:rsidRPr="00B52D8D">
        <w:t xml:space="preserve"> = Kirsten rat sarcoma viral oncogene homologue</w:t>
      </w:r>
      <w:r w:rsidR="004E63D6">
        <w:t xml:space="preserve">; </w:t>
      </w:r>
      <w:r w:rsidRPr="00336456">
        <w:rPr>
          <w:i/>
        </w:rPr>
        <w:t>MET</w:t>
      </w:r>
      <w:r>
        <w:t xml:space="preserve">ex14sk = MET proto-oncogene, receptor tyrosine kinase exon 14 skipping alterations; </w:t>
      </w:r>
      <w:r w:rsidR="00C13707">
        <w:t xml:space="preserve">NGS = next-generation sequencing; </w:t>
      </w:r>
      <w:r>
        <w:t xml:space="preserve">NOS = not otherwise specified; </w:t>
      </w:r>
      <w:r w:rsidR="00C13707">
        <w:t xml:space="preserve">NPA = negative percent agreement; </w:t>
      </w:r>
      <w:r>
        <w:t xml:space="preserve">NSCLC = non-small cell lung cancer; PPA = positive percent agreement; </w:t>
      </w:r>
      <w:r w:rsidR="004E63D6">
        <w:t>RNA = ribonucleic acid</w:t>
      </w:r>
      <w:r>
        <w:t>;</w:t>
      </w:r>
      <w:r w:rsidRPr="007C4117">
        <w:rPr>
          <w:i/>
        </w:rPr>
        <w:t xml:space="preserve"> </w:t>
      </w:r>
      <w:r w:rsidRPr="00743D1B">
        <w:rPr>
          <w:i/>
        </w:rPr>
        <w:t>ROS1</w:t>
      </w:r>
      <w:r>
        <w:t xml:space="preserve"> = ROS proto-oncogene 1.</w:t>
      </w:r>
    </w:p>
    <w:p w14:paraId="03B10B1A" w14:textId="67FA2030" w:rsidR="004E63D6" w:rsidRPr="00CE28E3" w:rsidRDefault="004E63D6" w:rsidP="004E63D6">
      <w:pPr>
        <w:pStyle w:val="Heading4"/>
      </w:pPr>
      <w:r w:rsidRPr="00CE28E3">
        <w:t>Disaggregated and aggregated base-case results</w:t>
      </w:r>
      <w:bookmarkEnd w:id="186"/>
    </w:p>
    <w:p w14:paraId="3A039693" w14:textId="3A4716D1" w:rsidR="004E63D6" w:rsidRDefault="004E63D6" w:rsidP="004E63D6">
      <w:pPr>
        <w:pStyle w:val="NormalBeforeBullet"/>
      </w:pPr>
      <w:r>
        <w:t xml:space="preserve">Disaggregated costs and outcomes are presented in </w:t>
      </w:r>
      <w:r>
        <w:fldChar w:fldCharType="begin"/>
      </w:r>
      <w:r>
        <w:instrText xml:space="preserve"> REF _Ref28950549 \h </w:instrText>
      </w:r>
      <w:r>
        <w:fldChar w:fldCharType="separate"/>
      </w:r>
      <w:r w:rsidR="00C857F3" w:rsidRPr="00CE28E3">
        <w:t>Table</w:t>
      </w:r>
      <w:r w:rsidR="00C857F3">
        <w:t> </w:t>
      </w:r>
      <w:r w:rsidR="00C857F3">
        <w:rPr>
          <w:noProof/>
        </w:rPr>
        <w:t>55</w:t>
      </w:r>
      <w:r>
        <w:fldChar w:fldCharType="end"/>
      </w:r>
      <w:r>
        <w:t xml:space="preserve"> and </w:t>
      </w:r>
      <w:r>
        <w:fldChar w:fldCharType="begin"/>
      </w:r>
      <w:r>
        <w:instrText xml:space="preserve"> REF _Ref108607554 \h </w:instrText>
      </w:r>
      <w:r>
        <w:fldChar w:fldCharType="separate"/>
      </w:r>
      <w:r w:rsidR="00C857F3" w:rsidRPr="00CE28E3">
        <w:t>Table</w:t>
      </w:r>
      <w:r w:rsidR="00C857F3">
        <w:t> </w:t>
      </w:r>
      <w:r w:rsidR="00C857F3">
        <w:rPr>
          <w:noProof/>
        </w:rPr>
        <w:t>56</w:t>
      </w:r>
      <w:r>
        <w:fldChar w:fldCharType="end"/>
      </w:r>
      <w:r>
        <w:t xml:space="preserve">, respectively. </w:t>
      </w:r>
    </w:p>
    <w:p w14:paraId="36B44CBC" w14:textId="77777777" w:rsidR="004E63D6" w:rsidRDefault="004E63D6" w:rsidP="004E63D6">
      <w:pPr>
        <w:pStyle w:val="NormalBeforeBullet"/>
      </w:pPr>
      <w:r>
        <w:t xml:space="preserve">The incremental cost is driven by costs associated with testing and, cost-offsets due to a reduction in biopsies performed. Further disaggregation of the cost of testing depicts that the majority of test costs with small gene panel testing related to use of the small gene panels (combined DNA/RNA or separate DNA and RNA panels), whereas cost offsets related primarily to the reduction in use and cost of </w:t>
      </w:r>
      <w:r w:rsidRPr="004D1CE4">
        <w:rPr>
          <w:i/>
        </w:rPr>
        <w:t xml:space="preserve">EGFR </w:t>
      </w:r>
      <w:r>
        <w:t xml:space="preserve">and </w:t>
      </w:r>
      <w:r w:rsidRPr="004D1CE4">
        <w:rPr>
          <w:i/>
        </w:rPr>
        <w:t>MET</w:t>
      </w:r>
      <w:r>
        <w:t xml:space="preserve">ex14sk testing. </w:t>
      </w:r>
    </w:p>
    <w:p w14:paraId="3DF09F24" w14:textId="14CF6B29" w:rsidR="004E63D6" w:rsidRPr="00CE28E3" w:rsidRDefault="004E63D6" w:rsidP="004E63D6">
      <w:pPr>
        <w:pStyle w:val="Caption"/>
      </w:pPr>
      <w:bookmarkStart w:id="188" w:name="_Ref28950549"/>
      <w:r w:rsidRPr="00CE28E3">
        <w:t>Table</w:t>
      </w:r>
      <w:r>
        <w:t> </w:t>
      </w:r>
      <w:fldSimple w:instr=" SEQ Table \* ARABIC ">
        <w:r w:rsidR="00C857F3">
          <w:rPr>
            <w:noProof/>
          </w:rPr>
          <w:t>55</w:t>
        </w:r>
      </w:fldSimple>
      <w:bookmarkEnd w:id="188"/>
      <w:r w:rsidRPr="00CE28E3">
        <w:tab/>
      </w:r>
      <w:r>
        <w:t>Disaggregated modelled costs</w:t>
      </w:r>
    </w:p>
    <w:tbl>
      <w:tblPr>
        <w:tblStyle w:val="TableGrid1"/>
        <w:tblW w:w="5000" w:type="pct"/>
        <w:tblLayout w:type="fixed"/>
        <w:tblLook w:val="04A0" w:firstRow="1" w:lastRow="0" w:firstColumn="1" w:lastColumn="0" w:noHBand="0" w:noVBand="1"/>
        <w:tblCaption w:val="Disaggregated modelled costs"/>
        <w:tblDescription w:val="Disaggregated modelled costs"/>
      </w:tblPr>
      <w:tblGrid>
        <w:gridCol w:w="3257"/>
        <w:gridCol w:w="1919"/>
        <w:gridCol w:w="1920"/>
        <w:gridCol w:w="1920"/>
      </w:tblGrid>
      <w:tr w:rsidR="004E63D6" w:rsidRPr="00C917B1" w14:paraId="33034F27" w14:textId="77777777" w:rsidTr="00F56CC8">
        <w:trPr>
          <w:cnfStyle w:val="100000000000" w:firstRow="1" w:lastRow="0" w:firstColumn="0" w:lastColumn="0" w:oddVBand="0" w:evenVBand="0" w:oddHBand="0" w:evenHBand="0" w:firstRowFirstColumn="0" w:firstRowLastColumn="0" w:lastRowFirstColumn="0" w:lastRowLastColumn="0"/>
          <w:trHeight w:val="300"/>
          <w:tblHeader/>
        </w:trPr>
        <w:tc>
          <w:tcPr>
            <w:tcW w:w="1806" w:type="pct"/>
            <w:tcBorders>
              <w:bottom w:val="single" w:sz="4" w:space="0" w:color="auto"/>
            </w:tcBorders>
            <w:noWrap/>
            <w:hideMark/>
          </w:tcPr>
          <w:p w14:paraId="5315EF8F" w14:textId="77777777" w:rsidR="004E63D6" w:rsidRPr="00C917B1" w:rsidRDefault="004E63D6" w:rsidP="00CA410A">
            <w:pPr>
              <w:pStyle w:val="TableHeading"/>
            </w:pPr>
          </w:p>
        </w:tc>
        <w:tc>
          <w:tcPr>
            <w:tcW w:w="1064" w:type="pct"/>
            <w:tcBorders>
              <w:bottom w:val="single" w:sz="4" w:space="0" w:color="auto"/>
            </w:tcBorders>
            <w:noWrap/>
            <w:hideMark/>
          </w:tcPr>
          <w:p w14:paraId="0B9425BB" w14:textId="77777777" w:rsidR="004E63D6" w:rsidRPr="00C917B1" w:rsidRDefault="004E63D6" w:rsidP="00CA410A">
            <w:pPr>
              <w:pStyle w:val="TableHeading"/>
              <w:jc w:val="center"/>
            </w:pPr>
            <w:r w:rsidRPr="00C917B1">
              <w:t>Small gene panel testing</w:t>
            </w:r>
          </w:p>
        </w:tc>
        <w:tc>
          <w:tcPr>
            <w:tcW w:w="1065" w:type="pct"/>
            <w:tcBorders>
              <w:bottom w:val="single" w:sz="4" w:space="0" w:color="auto"/>
            </w:tcBorders>
            <w:noWrap/>
            <w:hideMark/>
          </w:tcPr>
          <w:p w14:paraId="4D78362C" w14:textId="77777777" w:rsidR="004E63D6" w:rsidRPr="00C917B1" w:rsidRDefault="004E63D6" w:rsidP="00CA410A">
            <w:pPr>
              <w:pStyle w:val="TableHeading"/>
              <w:jc w:val="center"/>
            </w:pPr>
            <w:r w:rsidRPr="00C917B1">
              <w:t>Single gene testing</w:t>
            </w:r>
          </w:p>
        </w:tc>
        <w:tc>
          <w:tcPr>
            <w:tcW w:w="1065" w:type="pct"/>
            <w:tcBorders>
              <w:bottom w:val="single" w:sz="4" w:space="0" w:color="auto"/>
            </w:tcBorders>
            <w:noWrap/>
            <w:hideMark/>
          </w:tcPr>
          <w:p w14:paraId="17C31B84" w14:textId="77777777" w:rsidR="004E63D6" w:rsidRPr="00C917B1" w:rsidRDefault="004E63D6" w:rsidP="00CA410A">
            <w:pPr>
              <w:pStyle w:val="TableHeading"/>
              <w:jc w:val="center"/>
            </w:pPr>
            <w:r w:rsidRPr="00C917B1">
              <w:t>Increment</w:t>
            </w:r>
          </w:p>
        </w:tc>
      </w:tr>
      <w:tr w:rsidR="004E63D6" w:rsidRPr="00C917B1" w14:paraId="57FF1BF2" w14:textId="77777777" w:rsidTr="00CA410A">
        <w:trPr>
          <w:trHeight w:val="300"/>
        </w:trPr>
        <w:tc>
          <w:tcPr>
            <w:tcW w:w="1806" w:type="pct"/>
            <w:tcBorders>
              <w:bottom w:val="single" w:sz="4" w:space="0" w:color="auto"/>
            </w:tcBorders>
            <w:noWrap/>
            <w:hideMark/>
          </w:tcPr>
          <w:p w14:paraId="2100477D" w14:textId="77777777" w:rsidR="004E63D6" w:rsidRPr="00C917B1" w:rsidRDefault="004E63D6" w:rsidP="00CA410A">
            <w:pPr>
              <w:pStyle w:val="TableText"/>
            </w:pPr>
            <w:r w:rsidRPr="00C917B1">
              <w:t>Cost of testing</w:t>
            </w:r>
          </w:p>
        </w:tc>
        <w:tc>
          <w:tcPr>
            <w:tcW w:w="1064" w:type="pct"/>
            <w:tcBorders>
              <w:bottom w:val="single" w:sz="4" w:space="0" w:color="auto"/>
            </w:tcBorders>
            <w:noWrap/>
            <w:hideMark/>
          </w:tcPr>
          <w:p w14:paraId="22C3425B" w14:textId="3A77DD53" w:rsidR="004E63D6" w:rsidRPr="00C917B1" w:rsidRDefault="004E63D6" w:rsidP="00610940">
            <w:pPr>
              <w:pStyle w:val="TableText"/>
              <w:jc w:val="right"/>
            </w:pPr>
            <w:bookmarkStart w:id="189" w:name="RANGE!B4"/>
            <w:r w:rsidRPr="00C917B1">
              <w:t>$1,053.</w:t>
            </w:r>
            <w:bookmarkEnd w:id="189"/>
            <w:r w:rsidR="00610940" w:rsidRPr="00C917B1">
              <w:t>6</w:t>
            </w:r>
            <w:r w:rsidR="00610940">
              <w:t>5</w:t>
            </w:r>
          </w:p>
        </w:tc>
        <w:tc>
          <w:tcPr>
            <w:tcW w:w="1065" w:type="pct"/>
            <w:tcBorders>
              <w:bottom w:val="single" w:sz="4" w:space="0" w:color="auto"/>
            </w:tcBorders>
            <w:noWrap/>
            <w:hideMark/>
          </w:tcPr>
          <w:p w14:paraId="37D55C86" w14:textId="690A93D3" w:rsidR="004E63D6" w:rsidRPr="00C917B1" w:rsidRDefault="004E63D6" w:rsidP="00CA410A">
            <w:pPr>
              <w:pStyle w:val="TableText"/>
              <w:jc w:val="right"/>
            </w:pPr>
            <w:bookmarkStart w:id="190" w:name="RANGE!C4"/>
            <w:r w:rsidRPr="00C917B1">
              <w:t>$773.59</w:t>
            </w:r>
            <w:bookmarkEnd w:id="190"/>
          </w:p>
        </w:tc>
        <w:tc>
          <w:tcPr>
            <w:tcW w:w="1065" w:type="pct"/>
            <w:tcBorders>
              <w:bottom w:val="single" w:sz="4" w:space="0" w:color="auto"/>
            </w:tcBorders>
            <w:noWrap/>
            <w:hideMark/>
          </w:tcPr>
          <w:p w14:paraId="0F4B54C1" w14:textId="59D012D7" w:rsidR="004E63D6" w:rsidRPr="00C917B1" w:rsidRDefault="004E63D6" w:rsidP="00610940">
            <w:pPr>
              <w:pStyle w:val="TableText"/>
              <w:jc w:val="right"/>
            </w:pPr>
            <w:r w:rsidRPr="00C917B1">
              <w:t>$280.</w:t>
            </w:r>
            <w:r w:rsidR="00610940" w:rsidRPr="00C917B1">
              <w:t>0</w:t>
            </w:r>
            <w:r w:rsidR="00610940">
              <w:t>6</w:t>
            </w:r>
          </w:p>
        </w:tc>
      </w:tr>
      <w:tr w:rsidR="004E63D6" w:rsidRPr="00C917B1" w14:paraId="4FDC8D61" w14:textId="77777777" w:rsidTr="00CA410A">
        <w:trPr>
          <w:trHeight w:val="300"/>
        </w:trPr>
        <w:tc>
          <w:tcPr>
            <w:tcW w:w="1806" w:type="pct"/>
            <w:tcBorders>
              <w:top w:val="single" w:sz="4" w:space="0" w:color="auto"/>
              <w:bottom w:val="nil"/>
            </w:tcBorders>
            <w:noWrap/>
            <w:hideMark/>
          </w:tcPr>
          <w:p w14:paraId="70DFF6B7" w14:textId="77777777" w:rsidR="004E63D6" w:rsidRPr="00C917B1" w:rsidRDefault="004E63D6" w:rsidP="00CA410A">
            <w:pPr>
              <w:pStyle w:val="TableText"/>
              <w:numPr>
                <w:ilvl w:val="0"/>
                <w:numId w:val="35"/>
              </w:numPr>
              <w:ind w:left="306" w:hanging="142"/>
            </w:pPr>
            <w:r w:rsidRPr="00C917B1">
              <w:t xml:space="preserve">Cost of </w:t>
            </w:r>
            <w:r w:rsidRPr="00DB3E00">
              <w:rPr>
                <w:i/>
              </w:rPr>
              <w:t>EGFR</w:t>
            </w:r>
          </w:p>
        </w:tc>
        <w:tc>
          <w:tcPr>
            <w:tcW w:w="1064" w:type="pct"/>
            <w:tcBorders>
              <w:top w:val="single" w:sz="4" w:space="0" w:color="auto"/>
              <w:bottom w:val="nil"/>
            </w:tcBorders>
            <w:noWrap/>
            <w:hideMark/>
          </w:tcPr>
          <w:p w14:paraId="5B08C895" w14:textId="77777777" w:rsidR="004E63D6" w:rsidRPr="00C917B1" w:rsidRDefault="004E63D6" w:rsidP="00CA410A">
            <w:pPr>
              <w:pStyle w:val="TableText"/>
              <w:jc w:val="right"/>
            </w:pPr>
            <w:r w:rsidRPr="00C917B1">
              <w:t>$0.00</w:t>
            </w:r>
          </w:p>
        </w:tc>
        <w:tc>
          <w:tcPr>
            <w:tcW w:w="1065" w:type="pct"/>
            <w:tcBorders>
              <w:top w:val="single" w:sz="4" w:space="0" w:color="auto"/>
              <w:bottom w:val="nil"/>
            </w:tcBorders>
            <w:noWrap/>
            <w:hideMark/>
          </w:tcPr>
          <w:p w14:paraId="7B03F0F0" w14:textId="77777777" w:rsidR="004E63D6" w:rsidRPr="00C917B1" w:rsidRDefault="004E63D6" w:rsidP="00CA410A">
            <w:pPr>
              <w:pStyle w:val="TableText"/>
              <w:jc w:val="right"/>
            </w:pPr>
            <w:r w:rsidRPr="00C917B1">
              <w:t>$388.91</w:t>
            </w:r>
          </w:p>
        </w:tc>
        <w:tc>
          <w:tcPr>
            <w:tcW w:w="1065" w:type="pct"/>
            <w:tcBorders>
              <w:top w:val="single" w:sz="4" w:space="0" w:color="auto"/>
              <w:bottom w:val="nil"/>
            </w:tcBorders>
            <w:noWrap/>
            <w:hideMark/>
          </w:tcPr>
          <w:p w14:paraId="613F2E35" w14:textId="77777777" w:rsidR="004E63D6" w:rsidRPr="00C917B1" w:rsidRDefault="004E63D6" w:rsidP="00CA410A">
            <w:pPr>
              <w:pStyle w:val="TableText"/>
              <w:jc w:val="right"/>
            </w:pPr>
            <w:r w:rsidRPr="00C917B1">
              <w:t>−$388.91</w:t>
            </w:r>
          </w:p>
        </w:tc>
      </w:tr>
      <w:tr w:rsidR="004E63D6" w:rsidRPr="00C917B1" w14:paraId="731FF4E0" w14:textId="77777777" w:rsidTr="00CA410A">
        <w:trPr>
          <w:trHeight w:val="300"/>
        </w:trPr>
        <w:tc>
          <w:tcPr>
            <w:tcW w:w="1806" w:type="pct"/>
            <w:tcBorders>
              <w:top w:val="nil"/>
              <w:bottom w:val="nil"/>
            </w:tcBorders>
            <w:noWrap/>
            <w:hideMark/>
          </w:tcPr>
          <w:p w14:paraId="5B28B22E" w14:textId="77777777" w:rsidR="004E63D6" w:rsidRPr="00C917B1" w:rsidRDefault="004E63D6" w:rsidP="00CA410A">
            <w:pPr>
              <w:pStyle w:val="TableText"/>
              <w:numPr>
                <w:ilvl w:val="0"/>
                <w:numId w:val="35"/>
              </w:numPr>
              <w:ind w:left="306" w:hanging="142"/>
            </w:pPr>
            <w:r w:rsidRPr="00C917B1">
              <w:t xml:space="preserve">Cost of </w:t>
            </w:r>
            <w:r w:rsidRPr="00DB3E00">
              <w:rPr>
                <w:i/>
              </w:rPr>
              <w:t xml:space="preserve">ALK </w:t>
            </w:r>
            <w:r w:rsidRPr="00C917B1">
              <w:t>FISH</w:t>
            </w:r>
          </w:p>
        </w:tc>
        <w:tc>
          <w:tcPr>
            <w:tcW w:w="1064" w:type="pct"/>
            <w:tcBorders>
              <w:top w:val="nil"/>
              <w:bottom w:val="nil"/>
            </w:tcBorders>
            <w:noWrap/>
            <w:hideMark/>
          </w:tcPr>
          <w:p w14:paraId="434876C9" w14:textId="1E6FB858" w:rsidR="004E63D6" w:rsidRPr="00C917B1" w:rsidRDefault="004E63D6" w:rsidP="00610940">
            <w:pPr>
              <w:pStyle w:val="TableText"/>
              <w:jc w:val="right"/>
            </w:pPr>
            <w:r w:rsidRPr="00C917B1">
              <w:t>$0.</w:t>
            </w:r>
            <w:r w:rsidR="00610940">
              <w:t>91</w:t>
            </w:r>
          </w:p>
        </w:tc>
        <w:tc>
          <w:tcPr>
            <w:tcW w:w="1065" w:type="pct"/>
            <w:tcBorders>
              <w:top w:val="nil"/>
              <w:bottom w:val="nil"/>
            </w:tcBorders>
            <w:noWrap/>
            <w:hideMark/>
          </w:tcPr>
          <w:p w14:paraId="4E01E252" w14:textId="77777777" w:rsidR="004E63D6" w:rsidRPr="00C917B1" w:rsidRDefault="004E63D6" w:rsidP="00CA410A">
            <w:pPr>
              <w:pStyle w:val="TableText"/>
              <w:jc w:val="right"/>
            </w:pPr>
            <w:r w:rsidRPr="00C917B1">
              <w:t>$17.86</w:t>
            </w:r>
          </w:p>
        </w:tc>
        <w:tc>
          <w:tcPr>
            <w:tcW w:w="1065" w:type="pct"/>
            <w:tcBorders>
              <w:top w:val="nil"/>
              <w:bottom w:val="nil"/>
            </w:tcBorders>
            <w:noWrap/>
            <w:hideMark/>
          </w:tcPr>
          <w:p w14:paraId="395453CF" w14:textId="3EFFD392" w:rsidR="004E63D6" w:rsidRPr="00C917B1" w:rsidRDefault="004E63D6" w:rsidP="00610940">
            <w:pPr>
              <w:pStyle w:val="TableText"/>
              <w:jc w:val="right"/>
            </w:pPr>
            <w:r w:rsidRPr="00C917B1">
              <w:t>−$16.</w:t>
            </w:r>
            <w:r w:rsidR="00610940" w:rsidRPr="00C917B1">
              <w:t>9</w:t>
            </w:r>
            <w:r w:rsidR="00610940">
              <w:t>5</w:t>
            </w:r>
          </w:p>
        </w:tc>
      </w:tr>
      <w:tr w:rsidR="004E63D6" w:rsidRPr="00C917B1" w14:paraId="5B0F5AE4" w14:textId="77777777" w:rsidTr="00CA410A">
        <w:trPr>
          <w:trHeight w:val="300"/>
        </w:trPr>
        <w:tc>
          <w:tcPr>
            <w:tcW w:w="1806" w:type="pct"/>
            <w:tcBorders>
              <w:top w:val="nil"/>
              <w:bottom w:val="nil"/>
            </w:tcBorders>
            <w:noWrap/>
            <w:hideMark/>
          </w:tcPr>
          <w:p w14:paraId="2C023CEC" w14:textId="77777777" w:rsidR="004E63D6" w:rsidRPr="00C917B1" w:rsidRDefault="004E63D6" w:rsidP="00CA410A">
            <w:pPr>
              <w:pStyle w:val="TableText"/>
              <w:numPr>
                <w:ilvl w:val="0"/>
                <w:numId w:val="35"/>
              </w:numPr>
              <w:ind w:left="306" w:hanging="142"/>
            </w:pPr>
            <w:r w:rsidRPr="00C917B1">
              <w:t xml:space="preserve">Cost of </w:t>
            </w:r>
            <w:r w:rsidRPr="00DB3E00">
              <w:rPr>
                <w:i/>
              </w:rPr>
              <w:t xml:space="preserve">ROS1 </w:t>
            </w:r>
            <w:r w:rsidRPr="00C917B1">
              <w:t>FISH</w:t>
            </w:r>
          </w:p>
        </w:tc>
        <w:tc>
          <w:tcPr>
            <w:tcW w:w="1064" w:type="pct"/>
            <w:tcBorders>
              <w:top w:val="nil"/>
              <w:bottom w:val="nil"/>
            </w:tcBorders>
            <w:noWrap/>
            <w:hideMark/>
          </w:tcPr>
          <w:p w14:paraId="6CE7F3D6" w14:textId="77777777" w:rsidR="004E63D6" w:rsidRPr="00C917B1" w:rsidRDefault="004E63D6" w:rsidP="00CA410A">
            <w:pPr>
              <w:pStyle w:val="TableText"/>
              <w:jc w:val="right"/>
            </w:pPr>
            <w:r w:rsidRPr="00C917B1">
              <w:t>$1.45</w:t>
            </w:r>
          </w:p>
        </w:tc>
        <w:tc>
          <w:tcPr>
            <w:tcW w:w="1065" w:type="pct"/>
            <w:tcBorders>
              <w:top w:val="nil"/>
              <w:bottom w:val="nil"/>
            </w:tcBorders>
            <w:noWrap/>
            <w:hideMark/>
          </w:tcPr>
          <w:p w14:paraId="19824B3C" w14:textId="77777777" w:rsidR="004E63D6" w:rsidRPr="00C917B1" w:rsidRDefault="004E63D6" w:rsidP="00CA410A">
            <w:pPr>
              <w:pStyle w:val="TableText"/>
              <w:jc w:val="right"/>
            </w:pPr>
            <w:r w:rsidRPr="00C917B1">
              <w:t>$29.76</w:t>
            </w:r>
          </w:p>
        </w:tc>
        <w:tc>
          <w:tcPr>
            <w:tcW w:w="1065" w:type="pct"/>
            <w:tcBorders>
              <w:top w:val="nil"/>
              <w:bottom w:val="nil"/>
            </w:tcBorders>
            <w:noWrap/>
            <w:hideMark/>
          </w:tcPr>
          <w:p w14:paraId="368D0541" w14:textId="77777777" w:rsidR="004E63D6" w:rsidRPr="00C917B1" w:rsidRDefault="004E63D6" w:rsidP="00CA410A">
            <w:pPr>
              <w:pStyle w:val="TableText"/>
              <w:jc w:val="right"/>
            </w:pPr>
            <w:r w:rsidRPr="00C917B1">
              <w:t>−$28.31</w:t>
            </w:r>
          </w:p>
        </w:tc>
      </w:tr>
      <w:tr w:rsidR="004E63D6" w:rsidRPr="00C917B1" w14:paraId="3DE26A33" w14:textId="77777777" w:rsidTr="004A71B0">
        <w:trPr>
          <w:trHeight w:val="300"/>
        </w:trPr>
        <w:tc>
          <w:tcPr>
            <w:tcW w:w="1806" w:type="pct"/>
            <w:tcBorders>
              <w:top w:val="nil"/>
              <w:bottom w:val="nil"/>
            </w:tcBorders>
            <w:noWrap/>
            <w:hideMark/>
          </w:tcPr>
          <w:p w14:paraId="771EB338" w14:textId="77777777" w:rsidR="004E63D6" w:rsidRPr="00C917B1" w:rsidRDefault="004E63D6" w:rsidP="00CA410A">
            <w:pPr>
              <w:pStyle w:val="TableText"/>
              <w:numPr>
                <w:ilvl w:val="0"/>
                <w:numId w:val="35"/>
              </w:numPr>
              <w:ind w:left="306" w:hanging="142"/>
            </w:pPr>
            <w:r w:rsidRPr="00C917B1">
              <w:t xml:space="preserve">Cost of </w:t>
            </w:r>
            <w:r w:rsidRPr="00DB3E00">
              <w:rPr>
                <w:i/>
              </w:rPr>
              <w:t>MET</w:t>
            </w:r>
            <w:r w:rsidRPr="00C917B1">
              <w:t>ex14sk</w:t>
            </w:r>
          </w:p>
        </w:tc>
        <w:tc>
          <w:tcPr>
            <w:tcW w:w="1064" w:type="pct"/>
            <w:tcBorders>
              <w:top w:val="nil"/>
              <w:bottom w:val="nil"/>
            </w:tcBorders>
            <w:noWrap/>
          </w:tcPr>
          <w:p w14:paraId="6FCE55BD" w14:textId="77646C71" w:rsidR="004E63D6" w:rsidRPr="00C917B1" w:rsidRDefault="004E63D6" w:rsidP="00CA410A">
            <w:pPr>
              <w:pStyle w:val="TableText"/>
              <w:jc w:val="right"/>
            </w:pPr>
          </w:p>
        </w:tc>
        <w:tc>
          <w:tcPr>
            <w:tcW w:w="1065" w:type="pct"/>
            <w:tcBorders>
              <w:top w:val="nil"/>
              <w:bottom w:val="nil"/>
            </w:tcBorders>
            <w:noWrap/>
          </w:tcPr>
          <w:p w14:paraId="59BC312A" w14:textId="62A1142C" w:rsidR="004E63D6" w:rsidRPr="00C917B1" w:rsidRDefault="004E63D6" w:rsidP="00CA410A">
            <w:pPr>
              <w:pStyle w:val="TableText"/>
              <w:jc w:val="right"/>
            </w:pPr>
          </w:p>
        </w:tc>
        <w:tc>
          <w:tcPr>
            <w:tcW w:w="1065" w:type="pct"/>
            <w:tcBorders>
              <w:top w:val="nil"/>
              <w:bottom w:val="nil"/>
            </w:tcBorders>
            <w:noWrap/>
          </w:tcPr>
          <w:p w14:paraId="23B6FBB1" w14:textId="588FD631" w:rsidR="004E63D6" w:rsidRPr="00C917B1" w:rsidRDefault="004E63D6" w:rsidP="00CA410A">
            <w:pPr>
              <w:pStyle w:val="TableText"/>
              <w:jc w:val="right"/>
            </w:pPr>
          </w:p>
        </w:tc>
      </w:tr>
      <w:tr w:rsidR="004A71B0" w:rsidRPr="00C917B1" w14:paraId="459341E6" w14:textId="77777777" w:rsidTr="00CA410A">
        <w:trPr>
          <w:trHeight w:val="300"/>
        </w:trPr>
        <w:tc>
          <w:tcPr>
            <w:tcW w:w="1806" w:type="pct"/>
            <w:tcBorders>
              <w:top w:val="nil"/>
              <w:bottom w:val="nil"/>
            </w:tcBorders>
            <w:noWrap/>
          </w:tcPr>
          <w:p w14:paraId="699EE748" w14:textId="30749F8E" w:rsidR="004A71B0" w:rsidRPr="00C917B1" w:rsidRDefault="004A71B0" w:rsidP="004A71B0">
            <w:pPr>
              <w:pStyle w:val="TableText"/>
              <w:numPr>
                <w:ilvl w:val="1"/>
                <w:numId w:val="35"/>
              </w:numPr>
              <w:ind w:left="733" w:hanging="284"/>
            </w:pPr>
            <w:r w:rsidRPr="0020070F">
              <w:rPr>
                <w:i/>
              </w:rPr>
              <w:t>MET</w:t>
            </w:r>
            <w:r>
              <w:t>ex14sk test</w:t>
            </w:r>
          </w:p>
        </w:tc>
        <w:tc>
          <w:tcPr>
            <w:tcW w:w="1064" w:type="pct"/>
            <w:tcBorders>
              <w:top w:val="nil"/>
              <w:bottom w:val="nil"/>
            </w:tcBorders>
            <w:noWrap/>
          </w:tcPr>
          <w:p w14:paraId="101BA7E0" w14:textId="5BBAC781" w:rsidR="004A71B0" w:rsidRPr="00C917B1" w:rsidRDefault="004A71B0" w:rsidP="004A71B0">
            <w:pPr>
              <w:pStyle w:val="TableText"/>
              <w:jc w:val="right"/>
            </w:pPr>
            <w:r w:rsidRPr="00DA771B">
              <w:t>$0.00</w:t>
            </w:r>
          </w:p>
        </w:tc>
        <w:tc>
          <w:tcPr>
            <w:tcW w:w="1065" w:type="pct"/>
            <w:tcBorders>
              <w:top w:val="nil"/>
              <w:bottom w:val="nil"/>
            </w:tcBorders>
            <w:noWrap/>
          </w:tcPr>
          <w:p w14:paraId="1003F360" w14:textId="121005DC" w:rsidR="004A71B0" w:rsidRPr="00C917B1" w:rsidRDefault="004A71B0" w:rsidP="004A71B0">
            <w:pPr>
              <w:pStyle w:val="TableText"/>
              <w:jc w:val="right"/>
            </w:pPr>
            <w:r w:rsidRPr="00994D7E">
              <w:t>$253.41</w:t>
            </w:r>
          </w:p>
        </w:tc>
        <w:tc>
          <w:tcPr>
            <w:tcW w:w="1065" w:type="pct"/>
            <w:tcBorders>
              <w:top w:val="nil"/>
              <w:bottom w:val="nil"/>
            </w:tcBorders>
            <w:noWrap/>
          </w:tcPr>
          <w:p w14:paraId="029C69CB" w14:textId="0BBD8E62" w:rsidR="004A71B0" w:rsidRPr="00C917B1" w:rsidRDefault="004A71B0" w:rsidP="004A71B0">
            <w:pPr>
              <w:pStyle w:val="TableText"/>
              <w:jc w:val="right"/>
            </w:pPr>
            <w:r w:rsidRPr="00994D7E">
              <w:t>−$253.41</w:t>
            </w:r>
          </w:p>
        </w:tc>
      </w:tr>
      <w:tr w:rsidR="004A71B0" w:rsidRPr="00C917B1" w14:paraId="73D392F6" w14:textId="77777777" w:rsidTr="00CA410A">
        <w:trPr>
          <w:trHeight w:val="300"/>
        </w:trPr>
        <w:tc>
          <w:tcPr>
            <w:tcW w:w="1806" w:type="pct"/>
            <w:tcBorders>
              <w:top w:val="nil"/>
              <w:bottom w:val="nil"/>
            </w:tcBorders>
            <w:noWrap/>
          </w:tcPr>
          <w:p w14:paraId="2CFE5C0C" w14:textId="01B8BD9A" w:rsidR="004A71B0" w:rsidRPr="00C917B1" w:rsidRDefault="004A71B0" w:rsidP="004A71B0">
            <w:pPr>
              <w:pStyle w:val="TableText"/>
              <w:numPr>
                <w:ilvl w:val="1"/>
                <w:numId w:val="35"/>
              </w:numPr>
              <w:ind w:left="733" w:hanging="284"/>
            </w:pPr>
            <w:r w:rsidRPr="004A71B0">
              <w:rPr>
                <w:i/>
              </w:rPr>
              <w:t>MET</w:t>
            </w:r>
            <w:r>
              <w:t>ex14sk block retrieval</w:t>
            </w:r>
          </w:p>
        </w:tc>
        <w:tc>
          <w:tcPr>
            <w:tcW w:w="1064" w:type="pct"/>
            <w:tcBorders>
              <w:top w:val="nil"/>
              <w:bottom w:val="nil"/>
            </w:tcBorders>
            <w:noWrap/>
          </w:tcPr>
          <w:p w14:paraId="351DF640" w14:textId="27847EA6" w:rsidR="004A71B0" w:rsidRPr="00C917B1" w:rsidRDefault="004A71B0" w:rsidP="004A71B0">
            <w:pPr>
              <w:pStyle w:val="TableText"/>
              <w:jc w:val="right"/>
            </w:pPr>
            <w:r w:rsidRPr="00DA771B">
              <w:t>$0.00</w:t>
            </w:r>
          </w:p>
        </w:tc>
        <w:tc>
          <w:tcPr>
            <w:tcW w:w="1065" w:type="pct"/>
            <w:tcBorders>
              <w:top w:val="nil"/>
              <w:bottom w:val="nil"/>
            </w:tcBorders>
            <w:noWrap/>
          </w:tcPr>
          <w:p w14:paraId="597CD070" w14:textId="020C07B1" w:rsidR="004A71B0" w:rsidRPr="00C917B1" w:rsidRDefault="004A71B0" w:rsidP="004A71B0">
            <w:pPr>
              <w:pStyle w:val="TableText"/>
              <w:jc w:val="right"/>
            </w:pPr>
            <w:r w:rsidRPr="00994D7E">
              <w:t>$54.21</w:t>
            </w:r>
          </w:p>
        </w:tc>
        <w:tc>
          <w:tcPr>
            <w:tcW w:w="1065" w:type="pct"/>
            <w:tcBorders>
              <w:top w:val="nil"/>
              <w:bottom w:val="nil"/>
            </w:tcBorders>
            <w:noWrap/>
          </w:tcPr>
          <w:p w14:paraId="245534B4" w14:textId="228FCCB9" w:rsidR="004A71B0" w:rsidRPr="00C917B1" w:rsidRDefault="004A71B0" w:rsidP="004A71B0">
            <w:pPr>
              <w:pStyle w:val="TableText"/>
              <w:jc w:val="right"/>
            </w:pPr>
            <w:r w:rsidRPr="00994D7E">
              <w:t>−$54.21</w:t>
            </w:r>
          </w:p>
        </w:tc>
      </w:tr>
      <w:tr w:rsidR="004A71B0" w:rsidRPr="00C917B1" w14:paraId="43590399" w14:textId="77777777" w:rsidTr="00CA410A">
        <w:trPr>
          <w:trHeight w:val="300"/>
        </w:trPr>
        <w:tc>
          <w:tcPr>
            <w:tcW w:w="1806" w:type="pct"/>
            <w:tcBorders>
              <w:top w:val="nil"/>
              <w:bottom w:val="nil"/>
            </w:tcBorders>
            <w:noWrap/>
          </w:tcPr>
          <w:p w14:paraId="74DE1AF2" w14:textId="1EFA76BB" w:rsidR="004A71B0" w:rsidRPr="00C917B1" w:rsidRDefault="004A71B0" w:rsidP="004A71B0">
            <w:pPr>
              <w:pStyle w:val="TableText"/>
              <w:numPr>
                <w:ilvl w:val="1"/>
                <w:numId w:val="35"/>
              </w:numPr>
              <w:ind w:left="733" w:hanging="284"/>
            </w:pPr>
            <w:r w:rsidRPr="0020070F">
              <w:rPr>
                <w:i/>
              </w:rPr>
              <w:t>MET</w:t>
            </w:r>
            <w:r>
              <w:t>ex14sk consult</w:t>
            </w:r>
          </w:p>
        </w:tc>
        <w:tc>
          <w:tcPr>
            <w:tcW w:w="1064" w:type="pct"/>
            <w:tcBorders>
              <w:top w:val="nil"/>
              <w:bottom w:val="nil"/>
            </w:tcBorders>
            <w:noWrap/>
          </w:tcPr>
          <w:p w14:paraId="07BC9E4B" w14:textId="20FB7787" w:rsidR="004A71B0" w:rsidRPr="00C917B1" w:rsidRDefault="004A71B0" w:rsidP="004A71B0">
            <w:pPr>
              <w:pStyle w:val="TableText"/>
              <w:jc w:val="right"/>
            </w:pPr>
            <w:r w:rsidRPr="00DA771B">
              <w:t>$0.00</w:t>
            </w:r>
          </w:p>
        </w:tc>
        <w:tc>
          <w:tcPr>
            <w:tcW w:w="1065" w:type="pct"/>
            <w:tcBorders>
              <w:top w:val="nil"/>
              <w:bottom w:val="nil"/>
            </w:tcBorders>
            <w:noWrap/>
          </w:tcPr>
          <w:p w14:paraId="6A1157C5" w14:textId="01AD8A43" w:rsidR="004A71B0" w:rsidRPr="00C917B1" w:rsidRDefault="004A71B0" w:rsidP="004A71B0">
            <w:pPr>
              <w:pStyle w:val="TableText"/>
              <w:jc w:val="right"/>
            </w:pPr>
            <w:r w:rsidRPr="00994D7E">
              <w:t>$29.43</w:t>
            </w:r>
          </w:p>
        </w:tc>
        <w:tc>
          <w:tcPr>
            <w:tcW w:w="1065" w:type="pct"/>
            <w:tcBorders>
              <w:top w:val="nil"/>
              <w:bottom w:val="nil"/>
            </w:tcBorders>
            <w:noWrap/>
          </w:tcPr>
          <w:p w14:paraId="36610712" w14:textId="799DE788" w:rsidR="004A71B0" w:rsidRPr="00C917B1" w:rsidRDefault="004A71B0" w:rsidP="004A71B0">
            <w:pPr>
              <w:pStyle w:val="TableText"/>
              <w:jc w:val="right"/>
            </w:pPr>
            <w:r w:rsidRPr="00994D7E">
              <w:t>−$29.43</w:t>
            </w:r>
          </w:p>
        </w:tc>
      </w:tr>
      <w:tr w:rsidR="004E63D6" w:rsidRPr="00C917B1" w14:paraId="0AC21076" w14:textId="77777777" w:rsidTr="00CA410A">
        <w:trPr>
          <w:trHeight w:val="300"/>
        </w:trPr>
        <w:tc>
          <w:tcPr>
            <w:tcW w:w="1806" w:type="pct"/>
            <w:tcBorders>
              <w:top w:val="nil"/>
              <w:bottom w:val="nil"/>
            </w:tcBorders>
            <w:noWrap/>
            <w:hideMark/>
          </w:tcPr>
          <w:p w14:paraId="32110982" w14:textId="77777777" w:rsidR="004E63D6" w:rsidRPr="00C917B1" w:rsidRDefault="004E63D6" w:rsidP="00CA410A">
            <w:pPr>
              <w:pStyle w:val="TableText"/>
              <w:numPr>
                <w:ilvl w:val="0"/>
                <w:numId w:val="35"/>
              </w:numPr>
              <w:ind w:left="306" w:hanging="142"/>
            </w:pPr>
            <w:r w:rsidRPr="00C917B1">
              <w:t>Cost of combined DNA/RNA panels</w:t>
            </w:r>
          </w:p>
        </w:tc>
        <w:tc>
          <w:tcPr>
            <w:tcW w:w="1064" w:type="pct"/>
            <w:tcBorders>
              <w:top w:val="nil"/>
              <w:bottom w:val="nil"/>
            </w:tcBorders>
            <w:noWrap/>
            <w:hideMark/>
          </w:tcPr>
          <w:p w14:paraId="52A6980B" w14:textId="77777777" w:rsidR="004E63D6" w:rsidRPr="00C917B1" w:rsidRDefault="004E63D6" w:rsidP="00CA410A">
            <w:pPr>
              <w:pStyle w:val="TableText"/>
              <w:jc w:val="right"/>
            </w:pPr>
            <w:r w:rsidRPr="00C917B1">
              <w:t>$351.48</w:t>
            </w:r>
          </w:p>
        </w:tc>
        <w:tc>
          <w:tcPr>
            <w:tcW w:w="1065" w:type="pct"/>
            <w:tcBorders>
              <w:top w:val="nil"/>
              <w:bottom w:val="nil"/>
            </w:tcBorders>
            <w:noWrap/>
            <w:hideMark/>
          </w:tcPr>
          <w:p w14:paraId="5C23B357" w14:textId="77777777" w:rsidR="004E63D6" w:rsidRPr="00C917B1" w:rsidRDefault="004E63D6" w:rsidP="00CA410A">
            <w:pPr>
              <w:pStyle w:val="TableText"/>
              <w:jc w:val="right"/>
            </w:pPr>
            <w:r w:rsidRPr="00C917B1">
              <w:t>$0.00</w:t>
            </w:r>
          </w:p>
        </w:tc>
        <w:tc>
          <w:tcPr>
            <w:tcW w:w="1065" w:type="pct"/>
            <w:tcBorders>
              <w:top w:val="nil"/>
              <w:bottom w:val="nil"/>
            </w:tcBorders>
            <w:noWrap/>
            <w:hideMark/>
          </w:tcPr>
          <w:p w14:paraId="60A3E62C" w14:textId="77777777" w:rsidR="004E63D6" w:rsidRPr="00C917B1" w:rsidRDefault="004E63D6" w:rsidP="00CA410A">
            <w:pPr>
              <w:pStyle w:val="TableText"/>
              <w:jc w:val="right"/>
            </w:pPr>
            <w:r w:rsidRPr="00C917B1">
              <w:t>$351.48</w:t>
            </w:r>
          </w:p>
        </w:tc>
      </w:tr>
      <w:tr w:rsidR="004E63D6" w:rsidRPr="00C917B1" w14:paraId="07ECC494" w14:textId="77777777" w:rsidTr="00CA410A">
        <w:trPr>
          <w:trHeight w:val="300"/>
        </w:trPr>
        <w:tc>
          <w:tcPr>
            <w:tcW w:w="1806" w:type="pct"/>
            <w:tcBorders>
              <w:top w:val="nil"/>
              <w:bottom w:val="nil"/>
            </w:tcBorders>
            <w:noWrap/>
            <w:hideMark/>
          </w:tcPr>
          <w:p w14:paraId="51FE369D" w14:textId="77777777" w:rsidR="004E63D6" w:rsidRPr="00C917B1" w:rsidRDefault="004E63D6" w:rsidP="00CA410A">
            <w:pPr>
              <w:pStyle w:val="TableText"/>
              <w:numPr>
                <w:ilvl w:val="0"/>
                <w:numId w:val="35"/>
              </w:numPr>
              <w:ind w:left="306" w:hanging="142"/>
            </w:pPr>
            <w:r w:rsidRPr="00C917B1">
              <w:t>Cost of DNA panel only</w:t>
            </w:r>
          </w:p>
        </w:tc>
        <w:tc>
          <w:tcPr>
            <w:tcW w:w="1064" w:type="pct"/>
            <w:tcBorders>
              <w:top w:val="nil"/>
              <w:bottom w:val="nil"/>
            </w:tcBorders>
            <w:noWrap/>
            <w:hideMark/>
          </w:tcPr>
          <w:p w14:paraId="20820445" w14:textId="77777777" w:rsidR="004E63D6" w:rsidRPr="00C917B1" w:rsidRDefault="004E63D6" w:rsidP="00CA410A">
            <w:pPr>
              <w:pStyle w:val="TableText"/>
              <w:jc w:val="right"/>
            </w:pPr>
            <w:r w:rsidRPr="00C917B1">
              <w:t>$482.51</w:t>
            </w:r>
          </w:p>
        </w:tc>
        <w:tc>
          <w:tcPr>
            <w:tcW w:w="1065" w:type="pct"/>
            <w:tcBorders>
              <w:top w:val="nil"/>
              <w:bottom w:val="nil"/>
            </w:tcBorders>
            <w:noWrap/>
            <w:hideMark/>
          </w:tcPr>
          <w:p w14:paraId="36EA9FBC" w14:textId="77777777" w:rsidR="004E63D6" w:rsidRPr="00C917B1" w:rsidRDefault="004E63D6" w:rsidP="00CA410A">
            <w:pPr>
              <w:pStyle w:val="TableText"/>
              <w:jc w:val="right"/>
            </w:pPr>
            <w:r w:rsidRPr="00C917B1">
              <w:t>$0.00</w:t>
            </w:r>
          </w:p>
        </w:tc>
        <w:tc>
          <w:tcPr>
            <w:tcW w:w="1065" w:type="pct"/>
            <w:tcBorders>
              <w:top w:val="nil"/>
              <w:bottom w:val="nil"/>
            </w:tcBorders>
            <w:noWrap/>
            <w:hideMark/>
          </w:tcPr>
          <w:p w14:paraId="61FED2E0" w14:textId="77777777" w:rsidR="004E63D6" w:rsidRPr="00C917B1" w:rsidRDefault="004E63D6" w:rsidP="00CA410A">
            <w:pPr>
              <w:pStyle w:val="TableText"/>
              <w:jc w:val="right"/>
            </w:pPr>
            <w:r w:rsidRPr="00C917B1">
              <w:t>$482.51</w:t>
            </w:r>
          </w:p>
        </w:tc>
      </w:tr>
      <w:tr w:rsidR="004E63D6" w:rsidRPr="00C917B1" w14:paraId="24D9B0BF" w14:textId="77777777" w:rsidTr="00CA410A">
        <w:trPr>
          <w:trHeight w:val="300"/>
        </w:trPr>
        <w:tc>
          <w:tcPr>
            <w:tcW w:w="1806" w:type="pct"/>
            <w:tcBorders>
              <w:top w:val="nil"/>
              <w:bottom w:val="nil"/>
            </w:tcBorders>
            <w:noWrap/>
            <w:hideMark/>
          </w:tcPr>
          <w:p w14:paraId="213E1625" w14:textId="77777777" w:rsidR="004E63D6" w:rsidRPr="00C917B1" w:rsidRDefault="004E63D6" w:rsidP="00CA410A">
            <w:pPr>
              <w:pStyle w:val="TableText"/>
              <w:numPr>
                <w:ilvl w:val="0"/>
                <w:numId w:val="35"/>
              </w:numPr>
              <w:ind w:left="306" w:hanging="142"/>
            </w:pPr>
            <w:r w:rsidRPr="00C917B1">
              <w:t xml:space="preserve">Cost </w:t>
            </w:r>
            <w:r>
              <w:t>of</w:t>
            </w:r>
            <w:r w:rsidRPr="00C917B1">
              <w:t xml:space="preserve"> RNA panel only</w:t>
            </w:r>
          </w:p>
        </w:tc>
        <w:tc>
          <w:tcPr>
            <w:tcW w:w="1064" w:type="pct"/>
            <w:tcBorders>
              <w:top w:val="nil"/>
              <w:bottom w:val="nil"/>
            </w:tcBorders>
            <w:noWrap/>
            <w:hideMark/>
          </w:tcPr>
          <w:p w14:paraId="65E43BA4" w14:textId="77777777" w:rsidR="004E63D6" w:rsidRPr="00C917B1" w:rsidRDefault="004E63D6" w:rsidP="00CA410A">
            <w:pPr>
              <w:pStyle w:val="TableText"/>
              <w:jc w:val="right"/>
            </w:pPr>
            <w:r w:rsidRPr="00C917B1">
              <w:t>$217.30</w:t>
            </w:r>
          </w:p>
        </w:tc>
        <w:tc>
          <w:tcPr>
            <w:tcW w:w="1065" w:type="pct"/>
            <w:tcBorders>
              <w:top w:val="nil"/>
              <w:bottom w:val="nil"/>
            </w:tcBorders>
            <w:noWrap/>
            <w:hideMark/>
          </w:tcPr>
          <w:p w14:paraId="7FD0F73D" w14:textId="77777777" w:rsidR="004E63D6" w:rsidRPr="00C917B1" w:rsidRDefault="004E63D6" w:rsidP="00CA410A">
            <w:pPr>
              <w:pStyle w:val="TableText"/>
              <w:jc w:val="right"/>
            </w:pPr>
            <w:r w:rsidRPr="00C917B1">
              <w:t>$0.00</w:t>
            </w:r>
          </w:p>
        </w:tc>
        <w:tc>
          <w:tcPr>
            <w:tcW w:w="1065" w:type="pct"/>
            <w:tcBorders>
              <w:top w:val="nil"/>
              <w:bottom w:val="nil"/>
            </w:tcBorders>
            <w:noWrap/>
            <w:hideMark/>
          </w:tcPr>
          <w:p w14:paraId="0EA9D83F" w14:textId="77777777" w:rsidR="004E63D6" w:rsidRPr="00C917B1" w:rsidRDefault="004E63D6" w:rsidP="00CA410A">
            <w:pPr>
              <w:pStyle w:val="TableText"/>
              <w:jc w:val="right"/>
            </w:pPr>
            <w:r w:rsidRPr="00C917B1">
              <w:t>$217.30</w:t>
            </w:r>
          </w:p>
        </w:tc>
      </w:tr>
      <w:tr w:rsidR="004E63D6" w:rsidRPr="00C917B1" w14:paraId="1A8319A8" w14:textId="77777777" w:rsidTr="00CA410A">
        <w:trPr>
          <w:trHeight w:val="300"/>
        </w:trPr>
        <w:tc>
          <w:tcPr>
            <w:tcW w:w="1806" w:type="pct"/>
            <w:tcBorders>
              <w:top w:val="nil"/>
            </w:tcBorders>
            <w:noWrap/>
            <w:hideMark/>
          </w:tcPr>
          <w:p w14:paraId="4E5E4A48" w14:textId="77777777" w:rsidR="004E63D6" w:rsidRPr="00C917B1" w:rsidRDefault="004E63D6" w:rsidP="00CA410A">
            <w:pPr>
              <w:pStyle w:val="TableText"/>
              <w:numPr>
                <w:ilvl w:val="0"/>
                <w:numId w:val="35"/>
              </w:numPr>
              <w:ind w:left="306" w:hanging="142"/>
            </w:pPr>
            <w:r w:rsidRPr="00C917B1">
              <w:lastRenderedPageBreak/>
              <w:t>Cost of IHC</w:t>
            </w:r>
          </w:p>
        </w:tc>
        <w:tc>
          <w:tcPr>
            <w:tcW w:w="1064" w:type="pct"/>
            <w:tcBorders>
              <w:top w:val="nil"/>
            </w:tcBorders>
            <w:noWrap/>
            <w:hideMark/>
          </w:tcPr>
          <w:p w14:paraId="12547D28" w14:textId="77777777" w:rsidR="004E63D6" w:rsidRPr="00C917B1" w:rsidRDefault="004E63D6" w:rsidP="00CA410A">
            <w:pPr>
              <w:pStyle w:val="TableText"/>
              <w:jc w:val="right"/>
            </w:pPr>
            <w:r w:rsidRPr="00C917B1">
              <w:t>$0.00</w:t>
            </w:r>
          </w:p>
        </w:tc>
        <w:tc>
          <w:tcPr>
            <w:tcW w:w="1065" w:type="pct"/>
            <w:tcBorders>
              <w:top w:val="nil"/>
            </w:tcBorders>
            <w:noWrap/>
            <w:hideMark/>
          </w:tcPr>
          <w:p w14:paraId="4E522892" w14:textId="77777777" w:rsidR="004E63D6" w:rsidRPr="00C917B1" w:rsidRDefault="004E63D6" w:rsidP="00CA410A">
            <w:pPr>
              <w:pStyle w:val="TableText"/>
              <w:jc w:val="right"/>
            </w:pPr>
            <w:r w:rsidRPr="00C917B1">
              <w:t>$0.00</w:t>
            </w:r>
          </w:p>
        </w:tc>
        <w:tc>
          <w:tcPr>
            <w:tcW w:w="1065" w:type="pct"/>
            <w:tcBorders>
              <w:top w:val="nil"/>
            </w:tcBorders>
            <w:noWrap/>
            <w:hideMark/>
          </w:tcPr>
          <w:p w14:paraId="40EB35FE" w14:textId="77777777" w:rsidR="004E63D6" w:rsidRPr="00C917B1" w:rsidRDefault="004E63D6" w:rsidP="00CA410A">
            <w:pPr>
              <w:pStyle w:val="TableText"/>
              <w:jc w:val="right"/>
            </w:pPr>
            <w:r w:rsidRPr="00C917B1">
              <w:t>$0.00</w:t>
            </w:r>
          </w:p>
        </w:tc>
      </w:tr>
      <w:tr w:rsidR="004E63D6" w:rsidRPr="00C917B1" w14:paraId="021745A8" w14:textId="77777777" w:rsidTr="00CA410A">
        <w:trPr>
          <w:trHeight w:val="300"/>
        </w:trPr>
        <w:tc>
          <w:tcPr>
            <w:tcW w:w="1806" w:type="pct"/>
            <w:noWrap/>
            <w:hideMark/>
          </w:tcPr>
          <w:p w14:paraId="327C0757" w14:textId="77777777" w:rsidR="004E63D6" w:rsidRPr="00C917B1" w:rsidRDefault="004E63D6" w:rsidP="00CA410A">
            <w:pPr>
              <w:pStyle w:val="TableText"/>
            </w:pPr>
            <w:r w:rsidRPr="00C917B1">
              <w:t>Cost of rebiopsy</w:t>
            </w:r>
          </w:p>
        </w:tc>
        <w:tc>
          <w:tcPr>
            <w:tcW w:w="1064" w:type="pct"/>
            <w:noWrap/>
            <w:hideMark/>
          </w:tcPr>
          <w:p w14:paraId="5B326F1E" w14:textId="77777777" w:rsidR="004E63D6" w:rsidRPr="00C917B1" w:rsidRDefault="004E63D6" w:rsidP="00CA410A">
            <w:pPr>
              <w:pStyle w:val="TableText"/>
              <w:jc w:val="right"/>
            </w:pPr>
            <w:r w:rsidRPr="00C917B1">
              <w:t>$119.58</w:t>
            </w:r>
          </w:p>
        </w:tc>
        <w:tc>
          <w:tcPr>
            <w:tcW w:w="1065" w:type="pct"/>
            <w:noWrap/>
            <w:hideMark/>
          </w:tcPr>
          <w:p w14:paraId="38DDBBEC" w14:textId="77777777" w:rsidR="004E63D6" w:rsidRPr="00C917B1" w:rsidRDefault="004E63D6" w:rsidP="00CA410A">
            <w:pPr>
              <w:pStyle w:val="TableText"/>
              <w:jc w:val="right"/>
            </w:pPr>
            <w:r w:rsidRPr="00C917B1">
              <w:t>$230.61</w:t>
            </w:r>
          </w:p>
        </w:tc>
        <w:tc>
          <w:tcPr>
            <w:tcW w:w="1065" w:type="pct"/>
            <w:noWrap/>
            <w:hideMark/>
          </w:tcPr>
          <w:p w14:paraId="2D7F2766" w14:textId="77777777" w:rsidR="004E63D6" w:rsidRPr="00C917B1" w:rsidRDefault="004E63D6" w:rsidP="00CA410A">
            <w:pPr>
              <w:pStyle w:val="TableText"/>
              <w:jc w:val="right"/>
            </w:pPr>
            <w:r w:rsidRPr="00C917B1">
              <w:t>−$111.03</w:t>
            </w:r>
          </w:p>
        </w:tc>
      </w:tr>
      <w:tr w:rsidR="004E63D6" w:rsidRPr="00C917B1" w14:paraId="23497ABC" w14:textId="77777777" w:rsidTr="00CA410A">
        <w:trPr>
          <w:trHeight w:val="300"/>
        </w:trPr>
        <w:tc>
          <w:tcPr>
            <w:tcW w:w="1806" w:type="pct"/>
            <w:noWrap/>
            <w:hideMark/>
          </w:tcPr>
          <w:p w14:paraId="51D7EA17" w14:textId="77777777" w:rsidR="004E63D6" w:rsidRPr="00C917B1" w:rsidRDefault="004E63D6" w:rsidP="00CA410A">
            <w:pPr>
              <w:pStyle w:val="TableText"/>
              <w:rPr>
                <w:b/>
              </w:rPr>
            </w:pPr>
            <w:r w:rsidRPr="00C917B1">
              <w:rPr>
                <w:b/>
              </w:rPr>
              <w:t>Total cost</w:t>
            </w:r>
          </w:p>
        </w:tc>
        <w:tc>
          <w:tcPr>
            <w:tcW w:w="1064" w:type="pct"/>
            <w:noWrap/>
            <w:hideMark/>
          </w:tcPr>
          <w:p w14:paraId="633C46B4" w14:textId="6718E27E" w:rsidR="004E63D6" w:rsidRPr="00C917B1" w:rsidRDefault="004E63D6" w:rsidP="00610940">
            <w:pPr>
              <w:pStyle w:val="TableText"/>
              <w:jc w:val="right"/>
              <w:rPr>
                <w:b/>
              </w:rPr>
            </w:pPr>
            <w:bookmarkStart w:id="191" w:name="RANGE!B15"/>
            <w:r w:rsidRPr="00C917B1">
              <w:rPr>
                <w:b/>
              </w:rPr>
              <w:t>$1,173.</w:t>
            </w:r>
            <w:bookmarkEnd w:id="191"/>
            <w:r w:rsidR="00610940" w:rsidRPr="00C917B1">
              <w:rPr>
                <w:b/>
              </w:rPr>
              <w:t>2</w:t>
            </w:r>
            <w:r w:rsidR="00610940">
              <w:rPr>
                <w:b/>
              </w:rPr>
              <w:t>3</w:t>
            </w:r>
          </w:p>
        </w:tc>
        <w:tc>
          <w:tcPr>
            <w:tcW w:w="1065" w:type="pct"/>
            <w:noWrap/>
            <w:hideMark/>
          </w:tcPr>
          <w:p w14:paraId="1A7149C6" w14:textId="77777777" w:rsidR="004E63D6" w:rsidRPr="00C917B1" w:rsidRDefault="004E63D6" w:rsidP="00CA410A">
            <w:pPr>
              <w:pStyle w:val="TableText"/>
              <w:jc w:val="right"/>
              <w:rPr>
                <w:b/>
              </w:rPr>
            </w:pPr>
            <w:bookmarkStart w:id="192" w:name="RANGE!C15"/>
            <w:r w:rsidRPr="00C917B1">
              <w:rPr>
                <w:b/>
              </w:rPr>
              <w:t>$1,004.20</w:t>
            </w:r>
            <w:bookmarkEnd w:id="192"/>
          </w:p>
        </w:tc>
        <w:tc>
          <w:tcPr>
            <w:tcW w:w="1065" w:type="pct"/>
            <w:noWrap/>
            <w:hideMark/>
          </w:tcPr>
          <w:p w14:paraId="0727F75E" w14:textId="79324AEB" w:rsidR="004E63D6" w:rsidRPr="00C917B1" w:rsidRDefault="004E63D6" w:rsidP="00610940">
            <w:pPr>
              <w:pStyle w:val="TableText"/>
              <w:jc w:val="right"/>
              <w:rPr>
                <w:b/>
              </w:rPr>
            </w:pPr>
            <w:r w:rsidRPr="00C917B1">
              <w:rPr>
                <w:b/>
              </w:rPr>
              <w:t>$169.</w:t>
            </w:r>
            <w:r w:rsidR="00610940" w:rsidRPr="00C917B1">
              <w:rPr>
                <w:b/>
              </w:rPr>
              <w:t>0</w:t>
            </w:r>
            <w:r w:rsidR="00610940">
              <w:rPr>
                <w:b/>
              </w:rPr>
              <w:t>2</w:t>
            </w:r>
          </w:p>
        </w:tc>
      </w:tr>
    </w:tbl>
    <w:p w14:paraId="54F650DE" w14:textId="77777777" w:rsidR="004E63D6" w:rsidRDefault="004E63D6" w:rsidP="004E63D6">
      <w:pPr>
        <w:pStyle w:val="TableFooter"/>
      </w:pPr>
      <w:r>
        <w:rPr>
          <w:i/>
        </w:rPr>
        <w:t>ALK</w:t>
      </w:r>
      <w:r>
        <w:t xml:space="preserve"> = </w:t>
      </w:r>
      <w:r w:rsidRPr="003316EF">
        <w:t>anaplastic lymphoma kinase</w:t>
      </w:r>
      <w:r>
        <w:t xml:space="preserve">; DNA = deoxyribose nucleic acid;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IHC = immunohistochemistry; </w:t>
      </w:r>
      <w:r w:rsidRPr="00336456">
        <w:rPr>
          <w:i/>
        </w:rPr>
        <w:t>MET</w:t>
      </w:r>
      <w:r>
        <w:t xml:space="preserve">ex14sk = MET proto-oncogene, receptor tyrosine kinase exon 14 skipping alterations; RNA = ribonucleic acid; </w:t>
      </w:r>
      <w:r w:rsidRPr="00743D1B">
        <w:rPr>
          <w:i/>
        </w:rPr>
        <w:t>ROS1</w:t>
      </w:r>
      <w:r>
        <w:t xml:space="preserve"> = ROS proto-oncogene 1.</w:t>
      </w:r>
    </w:p>
    <w:p w14:paraId="088934EF" w14:textId="1EFB1BAD" w:rsidR="004E63D6" w:rsidRDefault="004E63D6" w:rsidP="004E63D6">
      <w:pPr>
        <w:pStyle w:val="NormalBeforeBullet"/>
      </w:pPr>
      <w:bookmarkStart w:id="193" w:name="_Ref28950554"/>
      <w:r>
        <w:t xml:space="preserve">The additional patients eligible for targeted therapy was driven by an increase in patients with </w:t>
      </w:r>
      <w:r w:rsidR="008B28D9">
        <w:t xml:space="preserve">incremental </w:t>
      </w:r>
      <w:r>
        <w:t xml:space="preserve">actionable variants identified. A slight reduction in patients with common actionable variants was also observed. As described in Section 3.1, as </w:t>
      </w:r>
      <w:r w:rsidR="008B28D9">
        <w:t>incremental</w:t>
      </w:r>
      <w:r w:rsidR="008B28D9" w:rsidRPr="00D304D0">
        <w:t xml:space="preserve"> </w:t>
      </w:r>
      <w:r>
        <w:t xml:space="preserve">actionable variants were not identified using the same testing method as was used in the clinical trials of targeted therapy, it is unclear whether all of these patients would respond to targeted therapies to the same extent as those with common actionable variants. </w:t>
      </w:r>
    </w:p>
    <w:p w14:paraId="12C077F7" w14:textId="0A3D6374" w:rsidR="004E63D6" w:rsidRPr="00CE28E3" w:rsidRDefault="004E63D6" w:rsidP="004E63D6">
      <w:pPr>
        <w:pStyle w:val="Caption"/>
      </w:pPr>
      <w:bookmarkStart w:id="194" w:name="_Ref108607554"/>
      <w:r w:rsidRPr="00CE28E3">
        <w:t>Table</w:t>
      </w:r>
      <w:r>
        <w:t> </w:t>
      </w:r>
      <w:fldSimple w:instr=" SEQ Table \* ARABIC ">
        <w:r w:rsidR="00C857F3">
          <w:rPr>
            <w:noProof/>
          </w:rPr>
          <w:t>56</w:t>
        </w:r>
      </w:fldSimple>
      <w:bookmarkEnd w:id="194"/>
      <w:r w:rsidRPr="00CE28E3">
        <w:tab/>
      </w:r>
      <w:r>
        <w:t>Disaggregated modelled outcomes</w:t>
      </w:r>
    </w:p>
    <w:tbl>
      <w:tblPr>
        <w:tblStyle w:val="TableGrid1"/>
        <w:tblW w:w="5000" w:type="pct"/>
        <w:tblLayout w:type="fixed"/>
        <w:tblLook w:val="04A0" w:firstRow="1" w:lastRow="0" w:firstColumn="1" w:lastColumn="0" w:noHBand="0" w:noVBand="1"/>
        <w:tblCaption w:val="Disaggregated modelled outcomes"/>
        <w:tblDescription w:val="Disaggregated modelled outcomes"/>
      </w:tblPr>
      <w:tblGrid>
        <w:gridCol w:w="3257"/>
        <w:gridCol w:w="1920"/>
        <w:gridCol w:w="1920"/>
        <w:gridCol w:w="1919"/>
      </w:tblGrid>
      <w:tr w:rsidR="004E63D6" w:rsidRPr="00C917B1" w14:paraId="6F776363" w14:textId="77777777" w:rsidTr="00F56CC8">
        <w:trPr>
          <w:cnfStyle w:val="100000000000" w:firstRow="1" w:lastRow="0" w:firstColumn="0" w:lastColumn="0" w:oddVBand="0" w:evenVBand="0" w:oddHBand="0" w:evenHBand="0" w:firstRowFirstColumn="0" w:firstRowLastColumn="0" w:lastRowFirstColumn="0" w:lastRowLastColumn="0"/>
          <w:trHeight w:val="300"/>
          <w:tblHeader/>
        </w:trPr>
        <w:tc>
          <w:tcPr>
            <w:tcW w:w="1806" w:type="pct"/>
            <w:tcBorders>
              <w:bottom w:val="single" w:sz="4" w:space="0" w:color="auto"/>
            </w:tcBorders>
            <w:noWrap/>
            <w:hideMark/>
          </w:tcPr>
          <w:p w14:paraId="7CC6E89D" w14:textId="77777777" w:rsidR="004E63D6" w:rsidRPr="00C917B1" w:rsidRDefault="004E63D6" w:rsidP="00CA410A">
            <w:pPr>
              <w:pStyle w:val="TableHeading"/>
            </w:pPr>
          </w:p>
        </w:tc>
        <w:tc>
          <w:tcPr>
            <w:tcW w:w="1065" w:type="pct"/>
            <w:tcBorders>
              <w:bottom w:val="single" w:sz="4" w:space="0" w:color="auto"/>
            </w:tcBorders>
            <w:noWrap/>
            <w:hideMark/>
          </w:tcPr>
          <w:p w14:paraId="75D6BD7A" w14:textId="77777777" w:rsidR="004E63D6" w:rsidRPr="00C917B1" w:rsidRDefault="004E63D6" w:rsidP="00CA410A">
            <w:pPr>
              <w:pStyle w:val="TableHeading"/>
              <w:jc w:val="center"/>
            </w:pPr>
            <w:r w:rsidRPr="00C917B1">
              <w:t>Small gene panel testing</w:t>
            </w:r>
          </w:p>
        </w:tc>
        <w:tc>
          <w:tcPr>
            <w:tcW w:w="1065" w:type="pct"/>
            <w:tcBorders>
              <w:bottom w:val="single" w:sz="4" w:space="0" w:color="auto"/>
            </w:tcBorders>
            <w:noWrap/>
            <w:hideMark/>
          </w:tcPr>
          <w:p w14:paraId="4A2FE7A2" w14:textId="77777777" w:rsidR="004E63D6" w:rsidRPr="00C917B1" w:rsidRDefault="004E63D6" w:rsidP="00CA410A">
            <w:pPr>
              <w:pStyle w:val="TableHeading"/>
              <w:jc w:val="center"/>
            </w:pPr>
            <w:r w:rsidRPr="00C917B1">
              <w:t>Single gene testing</w:t>
            </w:r>
          </w:p>
        </w:tc>
        <w:tc>
          <w:tcPr>
            <w:tcW w:w="1064" w:type="pct"/>
            <w:tcBorders>
              <w:bottom w:val="single" w:sz="4" w:space="0" w:color="auto"/>
            </w:tcBorders>
            <w:noWrap/>
            <w:hideMark/>
          </w:tcPr>
          <w:p w14:paraId="2AD60480" w14:textId="77777777" w:rsidR="004E63D6" w:rsidRPr="00C917B1" w:rsidRDefault="004E63D6" w:rsidP="00CA410A">
            <w:pPr>
              <w:pStyle w:val="TableHeading"/>
              <w:jc w:val="center"/>
            </w:pPr>
            <w:r w:rsidRPr="00C917B1">
              <w:t>Increment</w:t>
            </w:r>
          </w:p>
        </w:tc>
      </w:tr>
      <w:tr w:rsidR="00610940" w:rsidRPr="00D304D0" w14:paraId="3EB33DE8" w14:textId="77777777" w:rsidTr="00610940">
        <w:trPr>
          <w:trHeight w:val="300"/>
        </w:trPr>
        <w:tc>
          <w:tcPr>
            <w:tcW w:w="1806" w:type="pct"/>
            <w:tcBorders>
              <w:bottom w:val="nil"/>
            </w:tcBorders>
            <w:noWrap/>
            <w:hideMark/>
          </w:tcPr>
          <w:p w14:paraId="522CB258" w14:textId="77777777" w:rsidR="00610940" w:rsidRPr="00D304D0" w:rsidRDefault="00610940" w:rsidP="00610940">
            <w:pPr>
              <w:pStyle w:val="TableText"/>
              <w:rPr>
                <w:b/>
              </w:rPr>
            </w:pPr>
            <w:r w:rsidRPr="00D304D0">
              <w:rPr>
                <w:b/>
              </w:rPr>
              <w:t>Eligible for targeted therapy</w:t>
            </w:r>
          </w:p>
        </w:tc>
        <w:tc>
          <w:tcPr>
            <w:tcW w:w="1065" w:type="pct"/>
            <w:tcBorders>
              <w:bottom w:val="nil"/>
            </w:tcBorders>
            <w:noWrap/>
          </w:tcPr>
          <w:p w14:paraId="17C2AAAB" w14:textId="6D8FE625" w:rsidR="00610940" w:rsidRPr="00610940" w:rsidRDefault="00610940" w:rsidP="00610940">
            <w:pPr>
              <w:pStyle w:val="TableText"/>
              <w:jc w:val="right"/>
              <w:rPr>
                <w:b/>
              </w:rPr>
            </w:pPr>
            <w:r w:rsidRPr="00610940">
              <w:rPr>
                <w:b/>
              </w:rPr>
              <w:t>0.1957</w:t>
            </w:r>
          </w:p>
        </w:tc>
        <w:tc>
          <w:tcPr>
            <w:tcW w:w="1065" w:type="pct"/>
            <w:tcBorders>
              <w:bottom w:val="nil"/>
            </w:tcBorders>
            <w:noWrap/>
          </w:tcPr>
          <w:p w14:paraId="221A2DA7" w14:textId="447D1A51" w:rsidR="00610940" w:rsidRPr="00610940" w:rsidRDefault="00610940" w:rsidP="00610940">
            <w:pPr>
              <w:pStyle w:val="TableText"/>
              <w:jc w:val="right"/>
              <w:rPr>
                <w:b/>
              </w:rPr>
            </w:pPr>
            <w:r w:rsidRPr="00610940">
              <w:rPr>
                <w:b/>
              </w:rPr>
              <w:t>0.1732</w:t>
            </w:r>
          </w:p>
        </w:tc>
        <w:tc>
          <w:tcPr>
            <w:tcW w:w="1064" w:type="pct"/>
            <w:tcBorders>
              <w:bottom w:val="nil"/>
            </w:tcBorders>
            <w:noWrap/>
          </w:tcPr>
          <w:p w14:paraId="615616BD" w14:textId="0E677F74" w:rsidR="00610940" w:rsidRPr="00610940" w:rsidRDefault="00610940" w:rsidP="00610940">
            <w:pPr>
              <w:pStyle w:val="TableText"/>
              <w:jc w:val="right"/>
              <w:rPr>
                <w:b/>
              </w:rPr>
            </w:pPr>
            <w:r w:rsidRPr="00610940">
              <w:rPr>
                <w:b/>
              </w:rPr>
              <w:t>0.0225</w:t>
            </w:r>
          </w:p>
        </w:tc>
      </w:tr>
      <w:tr w:rsidR="00610940" w:rsidRPr="00D304D0" w14:paraId="1EE5FE46" w14:textId="77777777" w:rsidTr="00610940">
        <w:trPr>
          <w:trHeight w:val="300"/>
        </w:trPr>
        <w:tc>
          <w:tcPr>
            <w:tcW w:w="1806" w:type="pct"/>
            <w:tcBorders>
              <w:top w:val="nil"/>
              <w:bottom w:val="nil"/>
            </w:tcBorders>
            <w:noWrap/>
            <w:hideMark/>
          </w:tcPr>
          <w:p w14:paraId="7D5AC0AC" w14:textId="77777777" w:rsidR="00610940" w:rsidRPr="00D304D0" w:rsidRDefault="00610940" w:rsidP="00610940">
            <w:pPr>
              <w:pStyle w:val="TableText"/>
              <w:numPr>
                <w:ilvl w:val="0"/>
                <w:numId w:val="35"/>
              </w:numPr>
              <w:ind w:left="306" w:hanging="142"/>
            </w:pPr>
            <w:r>
              <w:t>C</w:t>
            </w:r>
            <w:r w:rsidRPr="00D304D0">
              <w:t>ommon variants</w:t>
            </w:r>
          </w:p>
        </w:tc>
        <w:tc>
          <w:tcPr>
            <w:tcW w:w="1065" w:type="pct"/>
            <w:tcBorders>
              <w:top w:val="nil"/>
              <w:bottom w:val="nil"/>
            </w:tcBorders>
            <w:noWrap/>
          </w:tcPr>
          <w:p w14:paraId="1D9E8D0F" w14:textId="33913971" w:rsidR="00610940" w:rsidRPr="00D304D0" w:rsidRDefault="00610940" w:rsidP="00610940">
            <w:pPr>
              <w:pStyle w:val="TableText"/>
              <w:jc w:val="right"/>
            </w:pPr>
            <w:r w:rsidRPr="00844555">
              <w:t>0.1706</w:t>
            </w:r>
          </w:p>
        </w:tc>
        <w:tc>
          <w:tcPr>
            <w:tcW w:w="1065" w:type="pct"/>
            <w:tcBorders>
              <w:top w:val="nil"/>
              <w:bottom w:val="nil"/>
            </w:tcBorders>
            <w:noWrap/>
          </w:tcPr>
          <w:p w14:paraId="6696349D" w14:textId="655575A5" w:rsidR="00610940" w:rsidRPr="00D304D0" w:rsidRDefault="00610940" w:rsidP="00610940">
            <w:pPr>
              <w:pStyle w:val="TableText"/>
              <w:jc w:val="right"/>
            </w:pPr>
            <w:r w:rsidRPr="00844555">
              <w:t>0.1732</w:t>
            </w:r>
          </w:p>
        </w:tc>
        <w:tc>
          <w:tcPr>
            <w:tcW w:w="1064" w:type="pct"/>
            <w:tcBorders>
              <w:top w:val="nil"/>
              <w:bottom w:val="nil"/>
            </w:tcBorders>
            <w:noWrap/>
          </w:tcPr>
          <w:p w14:paraId="2B6D65C5" w14:textId="1A8F33BA" w:rsidR="00610940" w:rsidRPr="00D304D0" w:rsidRDefault="00610940" w:rsidP="00610940">
            <w:pPr>
              <w:pStyle w:val="TableText"/>
              <w:jc w:val="right"/>
            </w:pPr>
            <w:r w:rsidRPr="00844555">
              <w:t>−0.0026</w:t>
            </w:r>
          </w:p>
        </w:tc>
      </w:tr>
      <w:tr w:rsidR="00610940" w:rsidRPr="00D304D0" w14:paraId="78B38FC3" w14:textId="77777777" w:rsidTr="00610940">
        <w:trPr>
          <w:trHeight w:val="300"/>
        </w:trPr>
        <w:tc>
          <w:tcPr>
            <w:tcW w:w="1806" w:type="pct"/>
            <w:tcBorders>
              <w:top w:val="nil"/>
              <w:bottom w:val="single" w:sz="4" w:space="0" w:color="auto"/>
            </w:tcBorders>
            <w:noWrap/>
            <w:hideMark/>
          </w:tcPr>
          <w:p w14:paraId="785896BF" w14:textId="10F88307" w:rsidR="00610940" w:rsidRPr="00D304D0" w:rsidRDefault="008B28D9" w:rsidP="00610940">
            <w:pPr>
              <w:pStyle w:val="TableText"/>
              <w:numPr>
                <w:ilvl w:val="0"/>
                <w:numId w:val="35"/>
              </w:numPr>
              <w:ind w:left="306" w:hanging="142"/>
            </w:pPr>
            <w:r>
              <w:t>Incremental</w:t>
            </w:r>
            <w:r w:rsidRPr="00D304D0">
              <w:t xml:space="preserve"> </w:t>
            </w:r>
            <w:r w:rsidR="00610940" w:rsidRPr="00D304D0">
              <w:t>variants</w:t>
            </w:r>
          </w:p>
        </w:tc>
        <w:tc>
          <w:tcPr>
            <w:tcW w:w="1065" w:type="pct"/>
            <w:tcBorders>
              <w:top w:val="nil"/>
              <w:bottom w:val="single" w:sz="4" w:space="0" w:color="auto"/>
            </w:tcBorders>
            <w:noWrap/>
          </w:tcPr>
          <w:p w14:paraId="799C1CFD" w14:textId="02C038EC" w:rsidR="00610940" w:rsidRPr="00D304D0" w:rsidRDefault="00610940" w:rsidP="00610940">
            <w:pPr>
              <w:pStyle w:val="TableText"/>
              <w:jc w:val="right"/>
            </w:pPr>
            <w:r w:rsidRPr="00844555">
              <w:t>0.0251</w:t>
            </w:r>
          </w:p>
        </w:tc>
        <w:tc>
          <w:tcPr>
            <w:tcW w:w="1065" w:type="pct"/>
            <w:tcBorders>
              <w:top w:val="nil"/>
              <w:bottom w:val="single" w:sz="4" w:space="0" w:color="auto"/>
            </w:tcBorders>
            <w:noWrap/>
          </w:tcPr>
          <w:p w14:paraId="7510FCA2" w14:textId="23545AC0" w:rsidR="00610940" w:rsidRPr="00D304D0" w:rsidRDefault="00610940" w:rsidP="00610940">
            <w:pPr>
              <w:pStyle w:val="TableText"/>
              <w:jc w:val="right"/>
            </w:pPr>
            <w:r w:rsidRPr="00844555">
              <w:t>0.0000</w:t>
            </w:r>
          </w:p>
        </w:tc>
        <w:tc>
          <w:tcPr>
            <w:tcW w:w="1064" w:type="pct"/>
            <w:tcBorders>
              <w:top w:val="nil"/>
              <w:bottom w:val="single" w:sz="4" w:space="0" w:color="auto"/>
            </w:tcBorders>
            <w:noWrap/>
          </w:tcPr>
          <w:p w14:paraId="27B8D441" w14:textId="762A4740" w:rsidR="00610940" w:rsidRPr="00D304D0" w:rsidRDefault="00610940" w:rsidP="00610940">
            <w:pPr>
              <w:pStyle w:val="TableText"/>
              <w:jc w:val="right"/>
            </w:pPr>
            <w:r w:rsidRPr="00844555">
              <w:t>0.0251</w:t>
            </w:r>
          </w:p>
        </w:tc>
      </w:tr>
      <w:tr w:rsidR="00610940" w:rsidRPr="00D304D0" w14:paraId="06EBEA66" w14:textId="77777777" w:rsidTr="00610940">
        <w:trPr>
          <w:trHeight w:val="300"/>
        </w:trPr>
        <w:tc>
          <w:tcPr>
            <w:tcW w:w="1806" w:type="pct"/>
            <w:tcBorders>
              <w:bottom w:val="nil"/>
            </w:tcBorders>
            <w:noWrap/>
            <w:hideMark/>
          </w:tcPr>
          <w:p w14:paraId="1B9F16FD" w14:textId="77777777" w:rsidR="00610940" w:rsidRPr="00D304D0" w:rsidRDefault="00610940" w:rsidP="00610940">
            <w:pPr>
              <w:pStyle w:val="TableText"/>
            </w:pPr>
            <w:r>
              <w:t>A</w:t>
            </w:r>
            <w:r w:rsidRPr="00D304D0">
              <w:t>ctionable variant identified</w:t>
            </w:r>
          </w:p>
        </w:tc>
        <w:tc>
          <w:tcPr>
            <w:tcW w:w="1065" w:type="pct"/>
            <w:tcBorders>
              <w:bottom w:val="nil"/>
            </w:tcBorders>
            <w:noWrap/>
          </w:tcPr>
          <w:p w14:paraId="4141B829" w14:textId="4EFC4860" w:rsidR="00610940" w:rsidRPr="00D304D0" w:rsidRDefault="00610940" w:rsidP="00610940">
            <w:pPr>
              <w:pStyle w:val="TableText"/>
              <w:jc w:val="right"/>
            </w:pPr>
            <w:r w:rsidRPr="00844555">
              <w:t>0.2556</w:t>
            </w:r>
          </w:p>
        </w:tc>
        <w:tc>
          <w:tcPr>
            <w:tcW w:w="1065" w:type="pct"/>
            <w:tcBorders>
              <w:bottom w:val="nil"/>
            </w:tcBorders>
            <w:noWrap/>
          </w:tcPr>
          <w:p w14:paraId="1142C4FB" w14:textId="3F717AE5" w:rsidR="00610940" w:rsidRPr="00D304D0" w:rsidRDefault="00610940" w:rsidP="00610940">
            <w:pPr>
              <w:pStyle w:val="TableText"/>
              <w:jc w:val="right"/>
            </w:pPr>
            <w:r w:rsidRPr="00844555">
              <w:t>0.2075</w:t>
            </w:r>
          </w:p>
        </w:tc>
        <w:tc>
          <w:tcPr>
            <w:tcW w:w="1064" w:type="pct"/>
            <w:tcBorders>
              <w:bottom w:val="nil"/>
            </w:tcBorders>
            <w:noWrap/>
          </w:tcPr>
          <w:p w14:paraId="498B7A9E" w14:textId="7F846BDE" w:rsidR="00610940" w:rsidRPr="00D304D0" w:rsidRDefault="00610940" w:rsidP="00610940">
            <w:pPr>
              <w:pStyle w:val="TableText"/>
              <w:jc w:val="right"/>
            </w:pPr>
            <w:r w:rsidRPr="00844555">
              <w:t>0.0481</w:t>
            </w:r>
          </w:p>
        </w:tc>
      </w:tr>
      <w:tr w:rsidR="00610940" w:rsidRPr="00D304D0" w14:paraId="612CB80D" w14:textId="77777777" w:rsidTr="00610940">
        <w:trPr>
          <w:trHeight w:val="300"/>
        </w:trPr>
        <w:tc>
          <w:tcPr>
            <w:tcW w:w="1806" w:type="pct"/>
            <w:tcBorders>
              <w:top w:val="nil"/>
              <w:bottom w:val="nil"/>
            </w:tcBorders>
            <w:noWrap/>
            <w:hideMark/>
          </w:tcPr>
          <w:p w14:paraId="238C0D38" w14:textId="77777777" w:rsidR="00610940" w:rsidRPr="00D304D0" w:rsidRDefault="00610940" w:rsidP="00610940">
            <w:pPr>
              <w:pStyle w:val="TableText"/>
              <w:numPr>
                <w:ilvl w:val="0"/>
                <w:numId w:val="35"/>
              </w:numPr>
              <w:ind w:left="306" w:hanging="142"/>
            </w:pPr>
            <w:r>
              <w:t>C</w:t>
            </w:r>
            <w:r w:rsidRPr="00D304D0">
              <w:t>ommon variants identified</w:t>
            </w:r>
          </w:p>
        </w:tc>
        <w:tc>
          <w:tcPr>
            <w:tcW w:w="1065" w:type="pct"/>
            <w:tcBorders>
              <w:top w:val="nil"/>
              <w:bottom w:val="nil"/>
            </w:tcBorders>
            <w:noWrap/>
          </w:tcPr>
          <w:p w14:paraId="4EE3DFBB" w14:textId="162B2B32" w:rsidR="00610940" w:rsidRPr="00D304D0" w:rsidRDefault="00610940" w:rsidP="00610940">
            <w:pPr>
              <w:pStyle w:val="TableText"/>
              <w:jc w:val="right"/>
            </w:pPr>
            <w:r w:rsidRPr="00844555">
              <w:t>0.2226</w:t>
            </w:r>
          </w:p>
        </w:tc>
        <w:tc>
          <w:tcPr>
            <w:tcW w:w="1065" w:type="pct"/>
            <w:tcBorders>
              <w:top w:val="nil"/>
              <w:bottom w:val="nil"/>
            </w:tcBorders>
            <w:noWrap/>
          </w:tcPr>
          <w:p w14:paraId="170AE03A" w14:textId="1124E745" w:rsidR="00610940" w:rsidRPr="00D304D0" w:rsidRDefault="00610940" w:rsidP="00610940">
            <w:pPr>
              <w:pStyle w:val="TableText"/>
              <w:jc w:val="right"/>
            </w:pPr>
            <w:r w:rsidRPr="00844555">
              <w:t>0.2075</w:t>
            </w:r>
          </w:p>
        </w:tc>
        <w:tc>
          <w:tcPr>
            <w:tcW w:w="1064" w:type="pct"/>
            <w:tcBorders>
              <w:top w:val="nil"/>
              <w:bottom w:val="nil"/>
            </w:tcBorders>
            <w:noWrap/>
          </w:tcPr>
          <w:p w14:paraId="1748DC00" w14:textId="4FC90E31" w:rsidR="00610940" w:rsidRPr="00D304D0" w:rsidRDefault="00610940" w:rsidP="00610940">
            <w:pPr>
              <w:pStyle w:val="TableText"/>
              <w:jc w:val="right"/>
            </w:pPr>
            <w:r w:rsidRPr="00844555">
              <w:t>0.0152</w:t>
            </w:r>
          </w:p>
        </w:tc>
      </w:tr>
      <w:tr w:rsidR="00610940" w:rsidRPr="00D304D0" w14:paraId="3ABAEA57" w14:textId="77777777" w:rsidTr="00610940">
        <w:trPr>
          <w:trHeight w:val="300"/>
        </w:trPr>
        <w:tc>
          <w:tcPr>
            <w:tcW w:w="1806" w:type="pct"/>
            <w:tcBorders>
              <w:top w:val="nil"/>
            </w:tcBorders>
            <w:noWrap/>
            <w:hideMark/>
          </w:tcPr>
          <w:p w14:paraId="0B9DB294" w14:textId="05E30424" w:rsidR="00610940" w:rsidRPr="00D304D0" w:rsidRDefault="008B28D9" w:rsidP="00610940">
            <w:pPr>
              <w:pStyle w:val="TableText"/>
              <w:numPr>
                <w:ilvl w:val="0"/>
                <w:numId w:val="35"/>
              </w:numPr>
              <w:ind w:left="306" w:hanging="142"/>
            </w:pPr>
            <w:r>
              <w:t>Incremental</w:t>
            </w:r>
            <w:r w:rsidRPr="00D304D0">
              <w:t xml:space="preserve"> </w:t>
            </w:r>
            <w:r w:rsidR="00610940" w:rsidRPr="00D304D0">
              <w:t>variants identified</w:t>
            </w:r>
          </w:p>
        </w:tc>
        <w:tc>
          <w:tcPr>
            <w:tcW w:w="1065" w:type="pct"/>
            <w:tcBorders>
              <w:top w:val="nil"/>
            </w:tcBorders>
            <w:noWrap/>
          </w:tcPr>
          <w:p w14:paraId="3BD881CD" w14:textId="6F325C9E" w:rsidR="00610940" w:rsidRPr="00D304D0" w:rsidRDefault="00610940" w:rsidP="00610940">
            <w:pPr>
              <w:pStyle w:val="TableText"/>
              <w:jc w:val="right"/>
            </w:pPr>
            <w:r w:rsidRPr="00844555">
              <w:t>0.0330</w:t>
            </w:r>
          </w:p>
        </w:tc>
        <w:tc>
          <w:tcPr>
            <w:tcW w:w="1065" w:type="pct"/>
            <w:tcBorders>
              <w:top w:val="nil"/>
            </w:tcBorders>
            <w:noWrap/>
          </w:tcPr>
          <w:p w14:paraId="7BF86B7D" w14:textId="7A180C09" w:rsidR="00610940" w:rsidRPr="00D304D0" w:rsidRDefault="00610940" w:rsidP="00610940">
            <w:pPr>
              <w:pStyle w:val="TableText"/>
              <w:jc w:val="right"/>
            </w:pPr>
            <w:r w:rsidRPr="00844555">
              <w:t>0.0000</w:t>
            </w:r>
          </w:p>
        </w:tc>
        <w:tc>
          <w:tcPr>
            <w:tcW w:w="1064" w:type="pct"/>
            <w:tcBorders>
              <w:top w:val="nil"/>
            </w:tcBorders>
            <w:noWrap/>
          </w:tcPr>
          <w:p w14:paraId="04408855" w14:textId="0792B22E" w:rsidR="00610940" w:rsidRPr="00D304D0" w:rsidRDefault="00610940" w:rsidP="00610940">
            <w:pPr>
              <w:pStyle w:val="TableText"/>
              <w:jc w:val="right"/>
            </w:pPr>
            <w:r w:rsidRPr="00844555">
              <w:t>0.0330</w:t>
            </w:r>
          </w:p>
        </w:tc>
      </w:tr>
      <w:tr w:rsidR="004E63D6" w:rsidRPr="00D304D0" w14:paraId="7BF1CECB" w14:textId="77777777" w:rsidTr="00CA410A">
        <w:trPr>
          <w:trHeight w:val="300"/>
        </w:trPr>
        <w:tc>
          <w:tcPr>
            <w:tcW w:w="1806" w:type="pct"/>
            <w:tcBorders>
              <w:top w:val="nil"/>
              <w:bottom w:val="single" w:sz="4" w:space="0" w:color="auto"/>
            </w:tcBorders>
            <w:noWrap/>
          </w:tcPr>
          <w:p w14:paraId="2FBCCDB2" w14:textId="77777777" w:rsidR="004E63D6" w:rsidRDefault="004E63D6" w:rsidP="00CA410A">
            <w:pPr>
              <w:pStyle w:val="TableText"/>
            </w:pPr>
            <w:r>
              <w:t>Patients successfully tested</w:t>
            </w:r>
          </w:p>
        </w:tc>
        <w:tc>
          <w:tcPr>
            <w:tcW w:w="1065" w:type="pct"/>
            <w:tcBorders>
              <w:top w:val="nil"/>
              <w:bottom w:val="single" w:sz="4" w:space="0" w:color="auto"/>
            </w:tcBorders>
            <w:noWrap/>
          </w:tcPr>
          <w:p w14:paraId="792BE114" w14:textId="77777777" w:rsidR="004E63D6" w:rsidRPr="00D304D0" w:rsidRDefault="004E63D6" w:rsidP="00CA410A">
            <w:pPr>
              <w:pStyle w:val="TableText"/>
              <w:jc w:val="right"/>
            </w:pPr>
            <w:r w:rsidRPr="00CE7F71">
              <w:t>0.9890</w:t>
            </w:r>
          </w:p>
        </w:tc>
        <w:tc>
          <w:tcPr>
            <w:tcW w:w="1065" w:type="pct"/>
            <w:tcBorders>
              <w:top w:val="nil"/>
              <w:bottom w:val="single" w:sz="4" w:space="0" w:color="auto"/>
            </w:tcBorders>
            <w:noWrap/>
          </w:tcPr>
          <w:p w14:paraId="2366BE0B" w14:textId="77777777" w:rsidR="004E63D6" w:rsidRPr="00D304D0" w:rsidRDefault="004E63D6" w:rsidP="00CA410A">
            <w:pPr>
              <w:pStyle w:val="TableText"/>
              <w:jc w:val="right"/>
            </w:pPr>
            <w:r w:rsidRPr="00CE7F71">
              <w:t>0.9788</w:t>
            </w:r>
          </w:p>
        </w:tc>
        <w:tc>
          <w:tcPr>
            <w:tcW w:w="1064" w:type="pct"/>
            <w:tcBorders>
              <w:top w:val="nil"/>
              <w:bottom w:val="single" w:sz="4" w:space="0" w:color="auto"/>
            </w:tcBorders>
            <w:noWrap/>
          </w:tcPr>
          <w:p w14:paraId="3795768D" w14:textId="77777777" w:rsidR="004E63D6" w:rsidRPr="00D304D0" w:rsidRDefault="004E63D6" w:rsidP="00CA410A">
            <w:pPr>
              <w:pStyle w:val="TableText"/>
              <w:jc w:val="right"/>
            </w:pPr>
            <w:r w:rsidRPr="00CE7F71">
              <w:t>0.0102</w:t>
            </w:r>
          </w:p>
        </w:tc>
      </w:tr>
      <w:tr w:rsidR="00610940" w:rsidRPr="00D304D0" w14:paraId="151C2AD7" w14:textId="77777777" w:rsidTr="00610940">
        <w:trPr>
          <w:trHeight w:val="300"/>
        </w:trPr>
        <w:tc>
          <w:tcPr>
            <w:tcW w:w="1806" w:type="pct"/>
            <w:tcBorders>
              <w:bottom w:val="nil"/>
            </w:tcBorders>
            <w:noWrap/>
            <w:hideMark/>
          </w:tcPr>
          <w:p w14:paraId="06973E35" w14:textId="77777777" w:rsidR="00610940" w:rsidRPr="00D304D0" w:rsidRDefault="00610940" w:rsidP="00610940">
            <w:pPr>
              <w:pStyle w:val="TableText"/>
            </w:pPr>
            <w:r w:rsidRPr="00D304D0">
              <w:t>Proportion with known biomarker status</w:t>
            </w:r>
          </w:p>
        </w:tc>
        <w:tc>
          <w:tcPr>
            <w:tcW w:w="1065" w:type="pct"/>
            <w:tcBorders>
              <w:bottom w:val="nil"/>
            </w:tcBorders>
            <w:noWrap/>
          </w:tcPr>
          <w:p w14:paraId="733A1F7D" w14:textId="4331307F" w:rsidR="00610940" w:rsidRPr="00D304D0" w:rsidRDefault="00610940" w:rsidP="00610940">
            <w:pPr>
              <w:pStyle w:val="TableText"/>
              <w:jc w:val="right"/>
            </w:pPr>
            <w:r w:rsidRPr="00CF2213">
              <w:t>0.9817</w:t>
            </w:r>
          </w:p>
        </w:tc>
        <w:tc>
          <w:tcPr>
            <w:tcW w:w="1065" w:type="pct"/>
            <w:tcBorders>
              <w:bottom w:val="nil"/>
            </w:tcBorders>
            <w:noWrap/>
          </w:tcPr>
          <w:p w14:paraId="17D6ED02" w14:textId="511E56B2" w:rsidR="00610940" w:rsidRPr="00D304D0" w:rsidRDefault="00610940" w:rsidP="00610940">
            <w:pPr>
              <w:pStyle w:val="TableText"/>
              <w:jc w:val="right"/>
            </w:pPr>
            <w:r w:rsidRPr="00CF2213">
              <w:t>0.7583</w:t>
            </w:r>
          </w:p>
        </w:tc>
        <w:tc>
          <w:tcPr>
            <w:tcW w:w="1064" w:type="pct"/>
            <w:tcBorders>
              <w:bottom w:val="nil"/>
            </w:tcBorders>
            <w:noWrap/>
          </w:tcPr>
          <w:p w14:paraId="2B4F1D1A" w14:textId="13F0CD59" w:rsidR="00610940" w:rsidRPr="00D304D0" w:rsidRDefault="00610940" w:rsidP="00610940">
            <w:pPr>
              <w:pStyle w:val="TableText"/>
              <w:jc w:val="right"/>
            </w:pPr>
            <w:r w:rsidRPr="00CF2213">
              <w:t>0.2234</w:t>
            </w:r>
          </w:p>
        </w:tc>
      </w:tr>
      <w:tr w:rsidR="00610940" w:rsidRPr="00D304D0" w14:paraId="3341C65B" w14:textId="77777777" w:rsidTr="00CA410A">
        <w:trPr>
          <w:trHeight w:val="300"/>
        </w:trPr>
        <w:tc>
          <w:tcPr>
            <w:tcW w:w="1806" w:type="pct"/>
            <w:tcBorders>
              <w:top w:val="nil"/>
              <w:bottom w:val="nil"/>
            </w:tcBorders>
            <w:noWrap/>
          </w:tcPr>
          <w:p w14:paraId="74A43D03" w14:textId="77777777" w:rsidR="00610940" w:rsidRPr="001E460D" w:rsidRDefault="00610940" w:rsidP="00610940">
            <w:pPr>
              <w:pStyle w:val="TableText"/>
              <w:numPr>
                <w:ilvl w:val="0"/>
                <w:numId w:val="35"/>
              </w:numPr>
              <w:ind w:left="306" w:hanging="142"/>
            </w:pPr>
            <w:r>
              <w:t>Early disease</w:t>
            </w:r>
          </w:p>
        </w:tc>
        <w:tc>
          <w:tcPr>
            <w:tcW w:w="1065" w:type="pct"/>
            <w:tcBorders>
              <w:top w:val="nil"/>
              <w:bottom w:val="nil"/>
            </w:tcBorders>
            <w:noWrap/>
          </w:tcPr>
          <w:p w14:paraId="5BC5A429" w14:textId="18028B47" w:rsidR="00610940" w:rsidRPr="00D304D0" w:rsidRDefault="00610940" w:rsidP="00610940">
            <w:pPr>
              <w:pStyle w:val="TableText"/>
              <w:jc w:val="right"/>
            </w:pPr>
            <w:r w:rsidRPr="00CF2213">
              <w:t>0.2322</w:t>
            </w:r>
          </w:p>
        </w:tc>
        <w:tc>
          <w:tcPr>
            <w:tcW w:w="1065" w:type="pct"/>
            <w:tcBorders>
              <w:top w:val="nil"/>
              <w:bottom w:val="nil"/>
            </w:tcBorders>
            <w:noWrap/>
          </w:tcPr>
          <w:p w14:paraId="48378D57" w14:textId="34A5E242" w:rsidR="00610940" w:rsidRPr="00D304D0" w:rsidRDefault="00610940" w:rsidP="00610940">
            <w:pPr>
              <w:pStyle w:val="TableText"/>
              <w:jc w:val="right"/>
            </w:pPr>
            <w:r w:rsidRPr="00CF2213">
              <w:t>0.0343</w:t>
            </w:r>
          </w:p>
        </w:tc>
        <w:tc>
          <w:tcPr>
            <w:tcW w:w="1064" w:type="pct"/>
            <w:tcBorders>
              <w:top w:val="nil"/>
              <w:bottom w:val="nil"/>
            </w:tcBorders>
            <w:noWrap/>
          </w:tcPr>
          <w:p w14:paraId="16361148" w14:textId="5AE5D20B" w:rsidR="00610940" w:rsidRPr="00D304D0" w:rsidRDefault="00610940" w:rsidP="00610940">
            <w:pPr>
              <w:pStyle w:val="TableText"/>
              <w:jc w:val="right"/>
            </w:pPr>
            <w:r w:rsidRPr="00CF2213">
              <w:t>0.1979</w:t>
            </w:r>
          </w:p>
        </w:tc>
      </w:tr>
      <w:tr w:rsidR="00610940" w:rsidRPr="00D304D0" w14:paraId="38A50241" w14:textId="77777777" w:rsidTr="00CA410A">
        <w:trPr>
          <w:trHeight w:val="300"/>
        </w:trPr>
        <w:tc>
          <w:tcPr>
            <w:tcW w:w="1806" w:type="pct"/>
            <w:tcBorders>
              <w:top w:val="nil"/>
            </w:tcBorders>
            <w:noWrap/>
          </w:tcPr>
          <w:p w14:paraId="7D636AAB" w14:textId="77777777" w:rsidR="00610940" w:rsidRPr="001E460D" w:rsidRDefault="00610940" w:rsidP="00610940">
            <w:pPr>
              <w:pStyle w:val="TableText"/>
              <w:numPr>
                <w:ilvl w:val="0"/>
                <w:numId w:val="35"/>
              </w:numPr>
              <w:ind w:left="306" w:hanging="142"/>
            </w:pPr>
            <w:r>
              <w:t>Advanced disease</w:t>
            </w:r>
          </w:p>
        </w:tc>
        <w:tc>
          <w:tcPr>
            <w:tcW w:w="1065" w:type="pct"/>
            <w:tcBorders>
              <w:top w:val="nil"/>
            </w:tcBorders>
            <w:noWrap/>
          </w:tcPr>
          <w:p w14:paraId="6A002B9D" w14:textId="3DB7E88E" w:rsidR="00610940" w:rsidRPr="00D304D0" w:rsidRDefault="00610940" w:rsidP="00610940">
            <w:pPr>
              <w:pStyle w:val="TableText"/>
              <w:jc w:val="right"/>
            </w:pPr>
            <w:r w:rsidRPr="00CF2213">
              <w:t>0.7495</w:t>
            </w:r>
          </w:p>
        </w:tc>
        <w:tc>
          <w:tcPr>
            <w:tcW w:w="1065" w:type="pct"/>
            <w:tcBorders>
              <w:top w:val="nil"/>
            </w:tcBorders>
            <w:noWrap/>
          </w:tcPr>
          <w:p w14:paraId="23960BDD" w14:textId="53617364" w:rsidR="00610940" w:rsidRPr="00D304D0" w:rsidRDefault="00610940" w:rsidP="00610940">
            <w:pPr>
              <w:pStyle w:val="TableText"/>
              <w:jc w:val="right"/>
            </w:pPr>
            <w:r w:rsidRPr="00CF2213">
              <w:t>0.7240</w:t>
            </w:r>
          </w:p>
        </w:tc>
        <w:tc>
          <w:tcPr>
            <w:tcW w:w="1064" w:type="pct"/>
            <w:tcBorders>
              <w:top w:val="nil"/>
            </w:tcBorders>
            <w:noWrap/>
          </w:tcPr>
          <w:p w14:paraId="4E51F15B" w14:textId="5C949B11" w:rsidR="00610940" w:rsidRPr="00D304D0" w:rsidRDefault="00610940" w:rsidP="00610940">
            <w:pPr>
              <w:pStyle w:val="TableText"/>
              <w:jc w:val="right"/>
            </w:pPr>
            <w:r w:rsidRPr="00CF2213">
              <w:t>0.0254</w:t>
            </w:r>
          </w:p>
        </w:tc>
      </w:tr>
      <w:tr w:rsidR="004E63D6" w:rsidRPr="00D304D0" w14:paraId="49005E7A" w14:textId="77777777" w:rsidTr="00CA410A">
        <w:trPr>
          <w:trHeight w:val="300"/>
        </w:trPr>
        <w:tc>
          <w:tcPr>
            <w:tcW w:w="1806" w:type="pct"/>
            <w:noWrap/>
            <w:hideMark/>
          </w:tcPr>
          <w:p w14:paraId="2D545B6B" w14:textId="77777777" w:rsidR="004E63D6" w:rsidRPr="00D304D0" w:rsidRDefault="004E63D6" w:rsidP="00CA410A">
            <w:pPr>
              <w:pStyle w:val="TableText"/>
            </w:pPr>
            <w:r w:rsidRPr="00D304D0">
              <w:t>Proportion undergoing rebiopsy</w:t>
            </w:r>
          </w:p>
        </w:tc>
        <w:tc>
          <w:tcPr>
            <w:tcW w:w="1065" w:type="pct"/>
            <w:noWrap/>
            <w:hideMark/>
          </w:tcPr>
          <w:p w14:paraId="1843EF9D" w14:textId="77777777" w:rsidR="004E63D6" w:rsidRPr="00D304D0" w:rsidRDefault="004E63D6" w:rsidP="00CA410A">
            <w:pPr>
              <w:pStyle w:val="TableText"/>
              <w:jc w:val="right"/>
            </w:pPr>
            <w:bookmarkStart w:id="195" w:name="RANGE!B24"/>
            <w:r w:rsidRPr="00D304D0">
              <w:t>0.0212</w:t>
            </w:r>
            <w:bookmarkEnd w:id="195"/>
          </w:p>
        </w:tc>
        <w:tc>
          <w:tcPr>
            <w:tcW w:w="1065" w:type="pct"/>
            <w:noWrap/>
            <w:hideMark/>
          </w:tcPr>
          <w:p w14:paraId="014C286A" w14:textId="77777777" w:rsidR="004E63D6" w:rsidRPr="00D304D0" w:rsidRDefault="004E63D6" w:rsidP="00CA410A">
            <w:pPr>
              <w:pStyle w:val="TableText"/>
              <w:jc w:val="right"/>
            </w:pPr>
            <w:bookmarkStart w:id="196" w:name="RANGE!C24"/>
            <w:r w:rsidRPr="00D304D0">
              <w:t>0.0410</w:t>
            </w:r>
            <w:bookmarkEnd w:id="196"/>
          </w:p>
        </w:tc>
        <w:tc>
          <w:tcPr>
            <w:tcW w:w="1064" w:type="pct"/>
            <w:noWrap/>
            <w:hideMark/>
          </w:tcPr>
          <w:p w14:paraId="61B71DD5" w14:textId="77777777" w:rsidR="004E63D6" w:rsidRPr="00D304D0" w:rsidRDefault="004E63D6" w:rsidP="00CA410A">
            <w:pPr>
              <w:pStyle w:val="TableText"/>
              <w:jc w:val="right"/>
            </w:pPr>
            <w:r w:rsidRPr="00D304D0">
              <w:t>−0.0197</w:t>
            </w:r>
          </w:p>
        </w:tc>
      </w:tr>
    </w:tbl>
    <w:p w14:paraId="2E355B6B" w14:textId="77777777" w:rsidR="004E63D6" w:rsidRDefault="004E63D6" w:rsidP="004E63D6">
      <w:pPr>
        <w:pStyle w:val="TableFooter"/>
      </w:pPr>
    </w:p>
    <w:p w14:paraId="5000DD54" w14:textId="77777777" w:rsidR="004E63D6" w:rsidRDefault="004E63D6" w:rsidP="004E63D6">
      <w:pPr>
        <w:pStyle w:val="NormalBeforeBullet"/>
      </w:pPr>
      <w:r>
        <w:t xml:space="preserve">More patients were identified with actionable variants than those considered eligible for targeted therapy (absolutely and incrementally). This was due to the inclusion of patients tested with early stage disease who do not developed advanced disease (and so are not eligible for targeted therapy). The incremental difference was also higher (and in some cases the direction of the effect changed) due to incomplete current testing performed (i.e. not FISH or </w:t>
      </w:r>
      <w:r w:rsidRPr="00F529F9">
        <w:rPr>
          <w:i/>
        </w:rPr>
        <w:t>MET</w:t>
      </w:r>
      <w:r>
        <w:t xml:space="preserve">ex14sk testing). </w:t>
      </w:r>
    </w:p>
    <w:p w14:paraId="4C37C7F7" w14:textId="71229EAF" w:rsidR="004E63D6" w:rsidRDefault="004E63D6" w:rsidP="004E63D6">
      <w:pPr>
        <w:pStyle w:val="NormalBeforeBullet"/>
      </w:pPr>
      <w:r>
        <w:t xml:space="preserve">With panel testing, a </w:t>
      </w:r>
      <w:r w:rsidR="00A5212B">
        <w:t xml:space="preserve">slightly </w:t>
      </w:r>
      <w:r>
        <w:t xml:space="preserve">higher proportion of patients were identified with actionable variants than presented in Section 2 and in Section 3.2.7. This was due to the </w:t>
      </w:r>
      <w:r w:rsidRPr="00DB3E00">
        <w:rPr>
          <w:i/>
        </w:rPr>
        <w:t>ALK</w:t>
      </w:r>
      <w:r>
        <w:t xml:space="preserve"> concordance data used (comparison to FISH</w:t>
      </w:r>
      <w:r w:rsidR="00A5212B">
        <w:t xml:space="preserve"> alone with positivity defined as ≥15% positive cells from Park </w:t>
      </w:r>
      <w:r w:rsidR="00EF55F9">
        <w:t>and Shim</w:t>
      </w:r>
      <w:r w:rsidR="00A5212B">
        <w:t xml:space="preserve"> 2020</w:t>
      </w:r>
      <w:r>
        <w:t xml:space="preserve">, rather than FISH ± IHC). As </w:t>
      </w:r>
      <w:r w:rsidR="00A5212B">
        <w:t>th</w:t>
      </w:r>
      <w:r>
        <w:t xml:space="preserve">is </w:t>
      </w:r>
      <w:r w:rsidR="00A5212B">
        <w:t xml:space="preserve">reflects </w:t>
      </w:r>
      <w:r>
        <w:t xml:space="preserve">the clinical utility standard, this approach was adopted in the base case analysis (see Section 3.2.3). Sensitivity analyses are presented using the </w:t>
      </w:r>
      <w:r w:rsidRPr="00DB3E00">
        <w:rPr>
          <w:i/>
        </w:rPr>
        <w:t>ALK</w:t>
      </w:r>
      <w:r>
        <w:t xml:space="preserve"> concordance data compared to FISH ± IHC. </w:t>
      </w:r>
    </w:p>
    <w:p w14:paraId="12FF3084" w14:textId="470A1FBF" w:rsidR="004E63D6" w:rsidRDefault="004E63D6" w:rsidP="004E63D6">
      <w:pPr>
        <w:pStyle w:val="NormalBeforeBullet"/>
      </w:pPr>
      <w:r>
        <w:t>Small gene panel testing was associated with more patients with a known biomarker status</w:t>
      </w:r>
      <w:r w:rsidR="00A5212B">
        <w:t xml:space="preserve"> due to completion of testing in more patients (as some current tests are restricted to advanced stage only). </w:t>
      </w:r>
    </w:p>
    <w:p w14:paraId="62F4ED00" w14:textId="77777777" w:rsidR="004E63D6" w:rsidRPr="00CE28E3" w:rsidRDefault="004E63D6" w:rsidP="004E63D6">
      <w:pPr>
        <w:pStyle w:val="Heading3"/>
      </w:pPr>
      <w:bookmarkStart w:id="197" w:name="_Toc109054493"/>
      <w:bookmarkStart w:id="198" w:name="_Toc148531178"/>
      <w:bookmarkEnd w:id="193"/>
      <w:r w:rsidRPr="00CE28E3">
        <w:lastRenderedPageBreak/>
        <w:t>3.</w:t>
      </w:r>
      <w:r>
        <w:t>3.2</w:t>
      </w:r>
      <w:r w:rsidRPr="00CE28E3">
        <w:t xml:space="preserve"> Uncertainty analysis: model inputs</w:t>
      </w:r>
      <w:r>
        <w:t>, structure</w:t>
      </w:r>
      <w:r w:rsidRPr="00CE28E3">
        <w:t xml:space="preserve"> and assumptions</w:t>
      </w:r>
      <w:bookmarkEnd w:id="197"/>
      <w:bookmarkEnd w:id="198"/>
    </w:p>
    <w:p w14:paraId="693509EA" w14:textId="77777777" w:rsidR="004E63D6" w:rsidRPr="00CE28E3" w:rsidRDefault="004E63D6" w:rsidP="004E63D6">
      <w:pPr>
        <w:pStyle w:val="Heading4"/>
      </w:pPr>
      <w:r w:rsidRPr="00CE28E3">
        <w:t>Scenario analyses</w:t>
      </w:r>
    </w:p>
    <w:p w14:paraId="32CA4BF2" w14:textId="77777777" w:rsidR="004E63D6" w:rsidRDefault="004E63D6" w:rsidP="004E63D6">
      <w:pPr>
        <w:pStyle w:val="NormalBeforeBullet"/>
      </w:pPr>
      <w:r>
        <w:t>Scenario analyses have been conducted assuming that current single gene testing includes other markers currently in the process of being considered by MSAC for targeted therapies in the non-squamous or NOS NSCLC population.</w:t>
      </w:r>
    </w:p>
    <w:p w14:paraId="15D05902" w14:textId="64FEA938" w:rsidR="004E63D6" w:rsidRDefault="004E63D6" w:rsidP="004E63D6">
      <w:pPr>
        <w:pStyle w:val="Caption"/>
      </w:pPr>
      <w:r w:rsidRPr="00CE28E3">
        <w:t>Table</w:t>
      </w:r>
      <w:r>
        <w:t> </w:t>
      </w:r>
      <w:fldSimple w:instr=" SEQ Table \* ARABIC ">
        <w:r w:rsidR="00C857F3">
          <w:rPr>
            <w:noProof/>
          </w:rPr>
          <w:t>57</w:t>
        </w:r>
      </w:fldSimple>
      <w:r w:rsidRPr="00CE28E3">
        <w:tab/>
      </w:r>
      <w:r>
        <w:t>Scenario analyses including additional markers under consideration</w:t>
      </w:r>
    </w:p>
    <w:tbl>
      <w:tblPr>
        <w:tblStyle w:val="TableGrid1"/>
        <w:tblW w:w="5000" w:type="pct"/>
        <w:tblLayout w:type="fixed"/>
        <w:tblLook w:val="04A0" w:firstRow="1" w:lastRow="0" w:firstColumn="1" w:lastColumn="0" w:noHBand="0" w:noVBand="1"/>
        <w:tblCaption w:val="Scenario analyses including additional markers under consideration"/>
        <w:tblDescription w:val="Scenario analyses including additional markers under consideration"/>
      </w:tblPr>
      <w:tblGrid>
        <w:gridCol w:w="4390"/>
        <w:gridCol w:w="1542"/>
        <w:gridCol w:w="1542"/>
        <w:gridCol w:w="1542"/>
      </w:tblGrid>
      <w:tr w:rsidR="004E63D6" w:rsidRPr="00024EB0" w14:paraId="69DAE83F" w14:textId="77777777" w:rsidTr="00CA410A">
        <w:trPr>
          <w:cnfStyle w:val="100000000000" w:firstRow="1" w:lastRow="0" w:firstColumn="0" w:lastColumn="0" w:oddVBand="0" w:evenVBand="0" w:oddHBand="0" w:evenHBand="0" w:firstRowFirstColumn="0" w:firstRowLastColumn="0" w:lastRowFirstColumn="0" w:lastRowLastColumn="0"/>
          <w:trHeight w:val="900"/>
          <w:tblHeader/>
        </w:trPr>
        <w:tc>
          <w:tcPr>
            <w:tcW w:w="2435" w:type="pct"/>
            <w:noWrap/>
            <w:hideMark/>
          </w:tcPr>
          <w:p w14:paraId="74F37040" w14:textId="77777777" w:rsidR="004E63D6" w:rsidRPr="00024EB0" w:rsidRDefault="004E63D6" w:rsidP="00CA410A">
            <w:pPr>
              <w:pStyle w:val="TableHeading"/>
            </w:pPr>
          </w:p>
        </w:tc>
        <w:tc>
          <w:tcPr>
            <w:tcW w:w="855" w:type="pct"/>
            <w:hideMark/>
          </w:tcPr>
          <w:p w14:paraId="3A262EE0" w14:textId="77777777" w:rsidR="004E63D6" w:rsidRPr="00024EB0" w:rsidRDefault="004E63D6" w:rsidP="00CA410A">
            <w:pPr>
              <w:pStyle w:val="TableHeading"/>
              <w:jc w:val="center"/>
            </w:pPr>
            <w:r w:rsidRPr="00024EB0">
              <w:t>Inc</w:t>
            </w:r>
            <w:r>
              <w:t>.</w:t>
            </w:r>
            <w:r w:rsidRPr="00024EB0">
              <w:t xml:space="preserve"> cost</w:t>
            </w:r>
          </w:p>
        </w:tc>
        <w:tc>
          <w:tcPr>
            <w:tcW w:w="855" w:type="pct"/>
            <w:hideMark/>
          </w:tcPr>
          <w:p w14:paraId="65E1294E" w14:textId="77777777" w:rsidR="004E63D6" w:rsidRPr="00024EB0" w:rsidRDefault="004E63D6" w:rsidP="00CA410A">
            <w:pPr>
              <w:pStyle w:val="TableHeading"/>
              <w:jc w:val="center"/>
            </w:pPr>
            <w:r w:rsidRPr="00024EB0">
              <w:t>Inc. eligible for targeted therapy</w:t>
            </w:r>
          </w:p>
        </w:tc>
        <w:tc>
          <w:tcPr>
            <w:tcW w:w="855" w:type="pct"/>
            <w:hideMark/>
          </w:tcPr>
          <w:p w14:paraId="09FA7EB0" w14:textId="77777777" w:rsidR="004E63D6" w:rsidRPr="00024EB0" w:rsidRDefault="004E63D6" w:rsidP="00CA410A">
            <w:pPr>
              <w:pStyle w:val="TableHeading"/>
              <w:jc w:val="center"/>
            </w:pPr>
            <w:r>
              <w:t>ICER</w:t>
            </w:r>
          </w:p>
        </w:tc>
      </w:tr>
      <w:tr w:rsidR="003E1F54" w:rsidRPr="00024EB0" w14:paraId="43C4D39D" w14:textId="77777777" w:rsidTr="003E1F54">
        <w:trPr>
          <w:cnfStyle w:val="100000000000" w:firstRow="1" w:lastRow="0" w:firstColumn="0" w:lastColumn="0" w:oddVBand="0" w:evenVBand="0" w:oddHBand="0" w:evenHBand="0" w:firstRowFirstColumn="0" w:firstRowLastColumn="0" w:lastRowFirstColumn="0" w:lastRowLastColumn="0"/>
          <w:trHeight w:val="300"/>
          <w:tblHeader/>
        </w:trPr>
        <w:tc>
          <w:tcPr>
            <w:tcW w:w="2435" w:type="pct"/>
            <w:tcBorders>
              <w:bottom w:val="single" w:sz="4" w:space="0" w:color="auto"/>
            </w:tcBorders>
            <w:noWrap/>
            <w:hideMark/>
          </w:tcPr>
          <w:p w14:paraId="0E0CAF94" w14:textId="77777777" w:rsidR="003E1F54" w:rsidRPr="00024EB0" w:rsidRDefault="003E1F54" w:rsidP="003E1F54">
            <w:pPr>
              <w:pStyle w:val="TableText"/>
            </w:pPr>
            <w:r w:rsidRPr="00024EB0">
              <w:rPr>
                <w:b/>
              </w:rPr>
              <w:t>Base case</w:t>
            </w:r>
            <w:r>
              <w:rPr>
                <w:b/>
              </w:rPr>
              <w:br/>
            </w:r>
            <w:r>
              <w:t xml:space="preserve">Targeted therapies available for actionable variants in </w:t>
            </w:r>
            <w:r w:rsidRPr="00DB3E00">
              <w:rPr>
                <w:i/>
              </w:rPr>
              <w:t>EGFR</w:t>
            </w:r>
            <w:r>
              <w:t xml:space="preserve">, </w:t>
            </w:r>
            <w:r w:rsidRPr="00DB3E00">
              <w:rPr>
                <w:i/>
              </w:rPr>
              <w:t>ALK</w:t>
            </w:r>
            <w:r>
              <w:t xml:space="preserve">, </w:t>
            </w:r>
            <w:r w:rsidRPr="00DB3E00">
              <w:rPr>
                <w:i/>
              </w:rPr>
              <w:t>ROS1</w:t>
            </w:r>
            <w:r>
              <w:t xml:space="preserve"> and </w:t>
            </w:r>
            <w:r w:rsidRPr="00DB3E00">
              <w:rPr>
                <w:i/>
              </w:rPr>
              <w:t>MET</w:t>
            </w:r>
            <w:r>
              <w:t>ex14sk</w:t>
            </w:r>
          </w:p>
        </w:tc>
        <w:tc>
          <w:tcPr>
            <w:tcW w:w="855" w:type="pct"/>
            <w:tcBorders>
              <w:bottom w:val="single" w:sz="4" w:space="0" w:color="auto"/>
            </w:tcBorders>
            <w:noWrap/>
          </w:tcPr>
          <w:p w14:paraId="17B86974" w14:textId="76CD3928" w:rsidR="003E1F54" w:rsidRPr="003E1F54" w:rsidRDefault="003E1F54" w:rsidP="003E1F54">
            <w:pPr>
              <w:pStyle w:val="TableText"/>
              <w:jc w:val="right"/>
              <w:rPr>
                <w:b/>
              </w:rPr>
            </w:pPr>
            <w:r w:rsidRPr="003E1F54">
              <w:rPr>
                <w:b/>
              </w:rPr>
              <w:t>$169.02</w:t>
            </w:r>
          </w:p>
        </w:tc>
        <w:tc>
          <w:tcPr>
            <w:tcW w:w="855" w:type="pct"/>
            <w:tcBorders>
              <w:bottom w:val="single" w:sz="4" w:space="0" w:color="auto"/>
            </w:tcBorders>
            <w:noWrap/>
          </w:tcPr>
          <w:p w14:paraId="18B252D2" w14:textId="3A16BD40" w:rsidR="003E1F54" w:rsidRPr="003E1F54" w:rsidRDefault="003E1F54" w:rsidP="003E1F54">
            <w:pPr>
              <w:pStyle w:val="TableText"/>
              <w:jc w:val="right"/>
              <w:rPr>
                <w:b/>
              </w:rPr>
            </w:pPr>
            <w:r w:rsidRPr="003E1F54">
              <w:rPr>
                <w:b/>
              </w:rPr>
              <w:t>0.0225</w:t>
            </w:r>
          </w:p>
        </w:tc>
        <w:tc>
          <w:tcPr>
            <w:tcW w:w="855" w:type="pct"/>
            <w:tcBorders>
              <w:bottom w:val="single" w:sz="4" w:space="0" w:color="auto"/>
            </w:tcBorders>
            <w:noWrap/>
          </w:tcPr>
          <w:p w14:paraId="0C20074D" w14:textId="156714B2" w:rsidR="003E1F54" w:rsidRPr="003E1F54" w:rsidRDefault="003E1F54" w:rsidP="003E1F54">
            <w:pPr>
              <w:pStyle w:val="TableText"/>
              <w:jc w:val="right"/>
              <w:rPr>
                <w:b/>
              </w:rPr>
            </w:pPr>
            <w:r w:rsidRPr="003E1F54">
              <w:rPr>
                <w:b/>
              </w:rPr>
              <w:t>$7,496</w:t>
            </w:r>
          </w:p>
        </w:tc>
      </w:tr>
      <w:tr w:rsidR="003E1F54" w:rsidRPr="00024EB0" w14:paraId="0EF9C077" w14:textId="77777777" w:rsidTr="00CA410A">
        <w:trPr>
          <w:trHeight w:val="300"/>
        </w:trPr>
        <w:tc>
          <w:tcPr>
            <w:tcW w:w="2435" w:type="pct"/>
            <w:tcBorders>
              <w:bottom w:val="single" w:sz="4" w:space="0" w:color="auto"/>
            </w:tcBorders>
            <w:noWrap/>
          </w:tcPr>
          <w:p w14:paraId="70F7022D" w14:textId="77777777" w:rsidR="003E1F54" w:rsidRPr="00024EB0" w:rsidRDefault="003E1F54" w:rsidP="003E1F54">
            <w:pPr>
              <w:pStyle w:val="TableText"/>
            </w:pPr>
            <w:r>
              <w:t xml:space="preserve">Targeted therapy additionally available for </w:t>
            </w:r>
            <w:r w:rsidRPr="00DB3E00">
              <w:rPr>
                <w:i/>
              </w:rPr>
              <w:t>KRAS</w:t>
            </w:r>
            <w:r>
              <w:t xml:space="preserve"> G12C variants (MSAC 1669)</w:t>
            </w:r>
            <w:r w:rsidRPr="008C7A9F">
              <w:rPr>
                <w:vertAlign w:val="superscript"/>
              </w:rPr>
              <w:t>a</w:t>
            </w:r>
          </w:p>
        </w:tc>
        <w:tc>
          <w:tcPr>
            <w:tcW w:w="855" w:type="pct"/>
            <w:tcBorders>
              <w:bottom w:val="single" w:sz="4" w:space="0" w:color="auto"/>
            </w:tcBorders>
            <w:noWrap/>
          </w:tcPr>
          <w:p w14:paraId="4F1B77E0" w14:textId="09EABD15" w:rsidR="003E1F54" w:rsidRPr="00024EB0" w:rsidRDefault="003E1F54" w:rsidP="003E1F54">
            <w:pPr>
              <w:pStyle w:val="TableText"/>
              <w:jc w:val="right"/>
            </w:pPr>
            <w:r w:rsidRPr="006F435D">
              <w:t>$169.02</w:t>
            </w:r>
          </w:p>
        </w:tc>
        <w:tc>
          <w:tcPr>
            <w:tcW w:w="855" w:type="pct"/>
            <w:tcBorders>
              <w:bottom w:val="single" w:sz="4" w:space="0" w:color="auto"/>
            </w:tcBorders>
            <w:noWrap/>
          </w:tcPr>
          <w:p w14:paraId="6BD2AC35" w14:textId="0D649331" w:rsidR="003E1F54" w:rsidRPr="00024EB0" w:rsidRDefault="003E1F54" w:rsidP="003E1F54">
            <w:pPr>
              <w:pStyle w:val="TableText"/>
              <w:jc w:val="right"/>
            </w:pPr>
            <w:r w:rsidRPr="006F435D">
              <w:t>0.0231</w:t>
            </w:r>
          </w:p>
        </w:tc>
        <w:tc>
          <w:tcPr>
            <w:tcW w:w="855" w:type="pct"/>
            <w:tcBorders>
              <w:bottom w:val="single" w:sz="4" w:space="0" w:color="auto"/>
            </w:tcBorders>
            <w:noWrap/>
          </w:tcPr>
          <w:p w14:paraId="0C25534F" w14:textId="666F79FE" w:rsidR="003E1F54" w:rsidRPr="00024EB0" w:rsidRDefault="003E1F54" w:rsidP="003E1F54">
            <w:pPr>
              <w:pStyle w:val="TableText"/>
              <w:jc w:val="right"/>
            </w:pPr>
            <w:r w:rsidRPr="006F435D">
              <w:t>$7,330</w:t>
            </w:r>
          </w:p>
        </w:tc>
      </w:tr>
      <w:tr w:rsidR="003E1F54" w:rsidRPr="00024EB0" w14:paraId="23B558A8" w14:textId="77777777" w:rsidTr="00CA410A">
        <w:trPr>
          <w:trHeight w:val="300"/>
        </w:trPr>
        <w:tc>
          <w:tcPr>
            <w:tcW w:w="2435" w:type="pct"/>
            <w:tcBorders>
              <w:top w:val="single" w:sz="4" w:space="0" w:color="auto"/>
              <w:bottom w:val="single" w:sz="4" w:space="0" w:color="auto"/>
            </w:tcBorders>
            <w:noWrap/>
          </w:tcPr>
          <w:p w14:paraId="1E5942A4" w14:textId="77777777" w:rsidR="003E1F54" w:rsidRPr="00024EB0" w:rsidRDefault="003E1F54" w:rsidP="003E1F54">
            <w:pPr>
              <w:pStyle w:val="TableText"/>
            </w:pPr>
            <w:r>
              <w:t xml:space="preserve">Targeted therapy additionally available for </w:t>
            </w:r>
            <w:r w:rsidRPr="00DB3E00">
              <w:rPr>
                <w:i/>
              </w:rPr>
              <w:t>NTRK</w:t>
            </w:r>
            <w:r>
              <w:t xml:space="preserve"> actionable variants (MSAC 1602)</w:t>
            </w:r>
          </w:p>
        </w:tc>
        <w:tc>
          <w:tcPr>
            <w:tcW w:w="855" w:type="pct"/>
            <w:tcBorders>
              <w:top w:val="single" w:sz="4" w:space="0" w:color="auto"/>
              <w:bottom w:val="single" w:sz="4" w:space="0" w:color="auto"/>
            </w:tcBorders>
            <w:noWrap/>
          </w:tcPr>
          <w:p w14:paraId="615E43E6" w14:textId="5DA7F225" w:rsidR="003E1F54" w:rsidRPr="00024EB0" w:rsidRDefault="003E1F54" w:rsidP="003E1F54">
            <w:pPr>
              <w:pStyle w:val="TableText"/>
              <w:jc w:val="right"/>
            </w:pPr>
            <w:r w:rsidRPr="006F435D">
              <w:t>$86.03</w:t>
            </w:r>
          </w:p>
        </w:tc>
        <w:tc>
          <w:tcPr>
            <w:tcW w:w="855" w:type="pct"/>
            <w:tcBorders>
              <w:top w:val="single" w:sz="4" w:space="0" w:color="auto"/>
              <w:bottom w:val="single" w:sz="4" w:space="0" w:color="auto"/>
            </w:tcBorders>
            <w:noWrap/>
          </w:tcPr>
          <w:p w14:paraId="785FC2D7" w14:textId="0F014C5D" w:rsidR="003E1F54" w:rsidRPr="00024EB0" w:rsidRDefault="003E1F54" w:rsidP="003E1F54">
            <w:pPr>
              <w:pStyle w:val="TableText"/>
              <w:jc w:val="right"/>
            </w:pPr>
            <w:r w:rsidRPr="006F435D">
              <w:t>0.0227</w:t>
            </w:r>
          </w:p>
        </w:tc>
        <w:tc>
          <w:tcPr>
            <w:tcW w:w="855" w:type="pct"/>
            <w:tcBorders>
              <w:top w:val="single" w:sz="4" w:space="0" w:color="auto"/>
              <w:bottom w:val="single" w:sz="4" w:space="0" w:color="auto"/>
            </w:tcBorders>
            <w:noWrap/>
          </w:tcPr>
          <w:p w14:paraId="0CC2AEB7" w14:textId="3FDB33DF" w:rsidR="003E1F54" w:rsidRPr="00024EB0" w:rsidRDefault="003E1F54" w:rsidP="003E1F54">
            <w:pPr>
              <w:pStyle w:val="TableText"/>
              <w:jc w:val="right"/>
            </w:pPr>
            <w:r w:rsidRPr="006F435D">
              <w:t>$3,784</w:t>
            </w:r>
          </w:p>
        </w:tc>
      </w:tr>
      <w:tr w:rsidR="003E1F54" w:rsidRPr="00024EB0" w14:paraId="558A4758" w14:textId="77777777" w:rsidTr="00CA410A">
        <w:trPr>
          <w:trHeight w:val="300"/>
        </w:trPr>
        <w:tc>
          <w:tcPr>
            <w:tcW w:w="2435" w:type="pct"/>
            <w:tcBorders>
              <w:top w:val="single" w:sz="4" w:space="0" w:color="auto"/>
              <w:bottom w:val="single" w:sz="4" w:space="0" w:color="auto"/>
            </w:tcBorders>
            <w:noWrap/>
          </w:tcPr>
          <w:p w14:paraId="7F16E504" w14:textId="77777777" w:rsidR="003E1F54" w:rsidRDefault="003E1F54" w:rsidP="003E1F54">
            <w:pPr>
              <w:pStyle w:val="TableText"/>
            </w:pPr>
            <w:r>
              <w:t xml:space="preserve">Targeted therapies additionally available for both </w:t>
            </w:r>
            <w:r w:rsidRPr="00DB3E00">
              <w:rPr>
                <w:i/>
              </w:rPr>
              <w:t>KRAS</w:t>
            </w:r>
            <w:r>
              <w:t xml:space="preserve"> G12C and </w:t>
            </w:r>
            <w:r w:rsidRPr="00DB3E00">
              <w:rPr>
                <w:i/>
              </w:rPr>
              <w:t>NTRK</w:t>
            </w:r>
          </w:p>
        </w:tc>
        <w:tc>
          <w:tcPr>
            <w:tcW w:w="855" w:type="pct"/>
            <w:tcBorders>
              <w:top w:val="single" w:sz="4" w:space="0" w:color="auto"/>
              <w:bottom w:val="single" w:sz="4" w:space="0" w:color="auto"/>
            </w:tcBorders>
            <w:noWrap/>
          </w:tcPr>
          <w:p w14:paraId="2C5CCF4D" w14:textId="5761D2AB" w:rsidR="003E1F54" w:rsidRPr="00024EB0" w:rsidRDefault="003E1F54" w:rsidP="003E1F54">
            <w:pPr>
              <w:pStyle w:val="TableText"/>
              <w:jc w:val="right"/>
            </w:pPr>
            <w:r w:rsidRPr="006F435D">
              <w:t>$86.03</w:t>
            </w:r>
          </w:p>
        </w:tc>
        <w:tc>
          <w:tcPr>
            <w:tcW w:w="855" w:type="pct"/>
            <w:tcBorders>
              <w:top w:val="single" w:sz="4" w:space="0" w:color="auto"/>
              <w:bottom w:val="single" w:sz="4" w:space="0" w:color="auto"/>
            </w:tcBorders>
            <w:noWrap/>
          </w:tcPr>
          <w:p w14:paraId="7F8998C2" w14:textId="5EDBD019" w:rsidR="003E1F54" w:rsidRPr="00024EB0" w:rsidRDefault="003E1F54" w:rsidP="003E1F54">
            <w:pPr>
              <w:pStyle w:val="TableText"/>
              <w:jc w:val="right"/>
            </w:pPr>
            <w:r w:rsidRPr="006F435D">
              <w:t>0.0232</w:t>
            </w:r>
          </w:p>
        </w:tc>
        <w:tc>
          <w:tcPr>
            <w:tcW w:w="855" w:type="pct"/>
            <w:tcBorders>
              <w:top w:val="single" w:sz="4" w:space="0" w:color="auto"/>
              <w:bottom w:val="single" w:sz="4" w:space="0" w:color="auto"/>
            </w:tcBorders>
            <w:noWrap/>
          </w:tcPr>
          <w:p w14:paraId="5CB637DF" w14:textId="31CB3117" w:rsidR="003E1F54" w:rsidRPr="00024EB0" w:rsidRDefault="003E1F54" w:rsidP="003E1F54">
            <w:pPr>
              <w:pStyle w:val="TableText"/>
              <w:jc w:val="right"/>
            </w:pPr>
            <w:r w:rsidRPr="006F435D">
              <w:t>$3,700</w:t>
            </w:r>
          </w:p>
        </w:tc>
      </w:tr>
    </w:tbl>
    <w:p w14:paraId="34DFD2F0" w14:textId="77777777" w:rsidR="004E63D6" w:rsidRPr="00CE28E3"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ICER = incremental cost-effectiveness ratio; IHC = immunohistochemistry; </w:t>
      </w:r>
      <w:r w:rsidRPr="008964CF">
        <w:rPr>
          <w:i/>
          <w:iCs/>
        </w:rPr>
        <w:t>KRAS</w:t>
      </w:r>
      <w:r w:rsidRPr="00B52D8D">
        <w:t xml:space="preserve"> G12C = Kirsten rat sarcoma viral oncogene homologue with a glycine-to-cysteine substitution at codon 12</w:t>
      </w:r>
      <w:r>
        <w:t xml:space="preserve">; </w:t>
      </w:r>
      <w:r w:rsidRPr="00336456">
        <w:rPr>
          <w:i/>
        </w:rPr>
        <w:t>MET</w:t>
      </w:r>
      <w:r>
        <w:t xml:space="preserve">ex14sk = MET proto-oncogene, receptor tyrosine kinase exon 14 skipping alterations; </w:t>
      </w:r>
      <w:r w:rsidRPr="008964CF">
        <w:rPr>
          <w:i/>
          <w:iCs/>
        </w:rPr>
        <w:t>NTRK</w:t>
      </w:r>
      <w:r w:rsidRPr="00B52D8D">
        <w:t xml:space="preserve"> = neurotrophic tropomyosin receptor kinase; </w:t>
      </w:r>
      <w:r w:rsidRPr="00743D1B">
        <w:rPr>
          <w:i/>
        </w:rPr>
        <w:t>ROS1</w:t>
      </w:r>
      <w:r>
        <w:t xml:space="preserve"> = ROS proto-oncogene 1.</w:t>
      </w:r>
    </w:p>
    <w:p w14:paraId="09ABFE1C" w14:textId="77777777" w:rsidR="004E63D6" w:rsidRDefault="004E63D6" w:rsidP="004E63D6">
      <w:pPr>
        <w:pStyle w:val="TableFooter"/>
      </w:pPr>
      <w:r w:rsidRPr="008C7A9F">
        <w:rPr>
          <w:vertAlign w:val="superscript"/>
        </w:rPr>
        <w:t>a</w:t>
      </w:r>
      <w:r>
        <w:t xml:space="preserve"> All assumptions used to inform this analysis were based on the 1669 PSD (April 2022 MSAC Meeting). The analysis was conducted using a 13% prevalence of KRAS G12C variants, assuming no additional test cost and perfect test performance.</w:t>
      </w:r>
    </w:p>
    <w:p w14:paraId="26401F23" w14:textId="77777777" w:rsidR="004E63D6" w:rsidRPr="003251C2" w:rsidRDefault="004E63D6" w:rsidP="004E63D6">
      <w:pPr>
        <w:pStyle w:val="TableFooter"/>
      </w:pPr>
      <w:r w:rsidRPr="008C7A9F">
        <w:rPr>
          <w:vertAlign w:val="superscript"/>
        </w:rPr>
        <w:t>b</w:t>
      </w:r>
      <w:r>
        <w:t xml:space="preserve"> All assumptions used to inform this analysis were based on the 1602.1 PSD (November 2021 MSAC Meeting). Analysis conducted using a 0.02% prevalence of NTRK fusions. Testing was assumed to be restricted to advanced or metastatic disease, where an IHC triage process was used. IHC was assumed to have a test performance of 88% sensitivity and 96% specificity and cost of $74.50. For those in whom IHC returns</w:t>
      </w:r>
      <w:r w:rsidRPr="008C7A9F">
        <w:t xml:space="preserve"> a positive result, 50% of testing is assumed to occur by NGS (fee $1,200) and 50% using two FISH tests (combined fee of $533)</w:t>
      </w:r>
      <w:r>
        <w:t>.</w:t>
      </w:r>
    </w:p>
    <w:p w14:paraId="04F74694" w14:textId="77777777" w:rsidR="004E63D6" w:rsidRPr="00CE28E3" w:rsidRDefault="004E63D6" w:rsidP="004E63D6">
      <w:pPr>
        <w:pStyle w:val="Heading4"/>
      </w:pPr>
      <w:r w:rsidRPr="00CE28E3">
        <w:t>Sensitivity analyses</w:t>
      </w:r>
    </w:p>
    <w:p w14:paraId="1D5B4C79" w14:textId="2E754012" w:rsidR="004E63D6" w:rsidRDefault="004E63D6" w:rsidP="004E63D6">
      <w:pPr>
        <w:pStyle w:val="NormalBeforeBullet"/>
      </w:pPr>
      <w:r>
        <w:t xml:space="preserve">Univariate sensitivity analyses were conducted around parameters included in the model. The results of key analyses are presented in </w:t>
      </w:r>
      <w:r>
        <w:fldChar w:fldCharType="begin"/>
      </w:r>
      <w:r>
        <w:instrText xml:space="preserve"> REF _Ref108607565 \h </w:instrText>
      </w:r>
      <w:r>
        <w:fldChar w:fldCharType="separate"/>
      </w:r>
      <w:r w:rsidR="00C857F3" w:rsidRPr="00CE28E3">
        <w:t>Table</w:t>
      </w:r>
      <w:r w:rsidR="00C857F3">
        <w:t> </w:t>
      </w:r>
      <w:r w:rsidR="00C857F3">
        <w:rPr>
          <w:noProof/>
        </w:rPr>
        <w:t>58</w:t>
      </w:r>
      <w:r>
        <w:fldChar w:fldCharType="end"/>
      </w:r>
      <w:r>
        <w:t xml:space="preserve">, with all analyses performed presented in </w:t>
      </w:r>
      <w:r>
        <w:fldChar w:fldCharType="begin"/>
      </w:r>
      <w:r>
        <w:instrText xml:space="preserve"> REF _Ref108607581 \h </w:instrText>
      </w:r>
      <w:r>
        <w:fldChar w:fldCharType="separate"/>
      </w:r>
      <w:r w:rsidR="00C857F3" w:rsidRPr="00CE28E3">
        <w:t>Table</w:t>
      </w:r>
      <w:r w:rsidR="00C857F3">
        <w:t> </w:t>
      </w:r>
      <w:r w:rsidR="00C857F3">
        <w:rPr>
          <w:noProof/>
        </w:rPr>
        <w:t>92</w:t>
      </w:r>
      <w:r>
        <w:fldChar w:fldCharType="end"/>
      </w:r>
      <w:r>
        <w:t>, Appendix F.</w:t>
      </w:r>
    </w:p>
    <w:p w14:paraId="529173FB" w14:textId="66080191" w:rsidR="004E63D6" w:rsidRDefault="004E63D6" w:rsidP="004E63D6">
      <w:pPr>
        <w:pStyle w:val="Caption"/>
      </w:pPr>
      <w:bookmarkStart w:id="199" w:name="_Ref108607565"/>
      <w:r w:rsidRPr="00CE28E3">
        <w:t>Table</w:t>
      </w:r>
      <w:r>
        <w:t> </w:t>
      </w:r>
      <w:fldSimple w:instr=" SEQ Table \* ARABIC ">
        <w:r w:rsidR="00C857F3">
          <w:rPr>
            <w:noProof/>
          </w:rPr>
          <w:t>58</w:t>
        </w:r>
      </w:fldSimple>
      <w:bookmarkEnd w:id="199"/>
      <w:r w:rsidRPr="00CE28E3">
        <w:tab/>
      </w:r>
      <w:r>
        <w:t>Results of the key sensitivity analyses</w:t>
      </w:r>
    </w:p>
    <w:tbl>
      <w:tblPr>
        <w:tblStyle w:val="TableGrid1"/>
        <w:tblW w:w="5000" w:type="pct"/>
        <w:tblLayout w:type="fixed"/>
        <w:tblLook w:val="04A0" w:firstRow="1" w:lastRow="0" w:firstColumn="1" w:lastColumn="0" w:noHBand="0" w:noVBand="1"/>
        <w:tblCaption w:val="Results of the key sensitivity analyses"/>
        <w:tblDescription w:val="Results of the key sensitivity analyses"/>
      </w:tblPr>
      <w:tblGrid>
        <w:gridCol w:w="4957"/>
        <w:gridCol w:w="1086"/>
        <w:gridCol w:w="1087"/>
        <w:gridCol w:w="1087"/>
        <w:gridCol w:w="799"/>
      </w:tblGrid>
      <w:tr w:rsidR="009B3EB6" w:rsidRPr="00024EB0" w14:paraId="62619BFE" w14:textId="77777777" w:rsidTr="00F20F17">
        <w:trPr>
          <w:cnfStyle w:val="100000000000" w:firstRow="1" w:lastRow="0" w:firstColumn="0" w:lastColumn="0" w:oddVBand="0" w:evenVBand="0" w:oddHBand="0" w:evenHBand="0" w:firstRowFirstColumn="0" w:firstRowLastColumn="0" w:lastRowFirstColumn="0" w:lastRowLastColumn="0"/>
          <w:trHeight w:val="900"/>
          <w:tblHeader/>
        </w:trPr>
        <w:tc>
          <w:tcPr>
            <w:tcW w:w="2749" w:type="pct"/>
            <w:noWrap/>
            <w:hideMark/>
          </w:tcPr>
          <w:p w14:paraId="6489D3F2" w14:textId="77777777" w:rsidR="009B3EB6" w:rsidRPr="00024EB0" w:rsidRDefault="009B3EB6" w:rsidP="00F20F17">
            <w:pPr>
              <w:pStyle w:val="TableHeading"/>
              <w:keepNext w:val="0"/>
            </w:pPr>
          </w:p>
        </w:tc>
        <w:tc>
          <w:tcPr>
            <w:tcW w:w="602" w:type="pct"/>
            <w:hideMark/>
          </w:tcPr>
          <w:p w14:paraId="1694D17E" w14:textId="77777777" w:rsidR="009B3EB6" w:rsidRPr="00024EB0" w:rsidRDefault="009B3EB6" w:rsidP="00F20F17">
            <w:pPr>
              <w:pStyle w:val="TableHeading"/>
              <w:keepNext w:val="0"/>
              <w:jc w:val="center"/>
            </w:pPr>
            <w:r w:rsidRPr="00024EB0">
              <w:t>Inc</w:t>
            </w:r>
            <w:r>
              <w:t>.</w:t>
            </w:r>
            <w:r w:rsidRPr="00024EB0">
              <w:t xml:space="preserve"> cost</w:t>
            </w:r>
          </w:p>
        </w:tc>
        <w:tc>
          <w:tcPr>
            <w:tcW w:w="603" w:type="pct"/>
            <w:hideMark/>
          </w:tcPr>
          <w:p w14:paraId="66359BCC" w14:textId="77777777" w:rsidR="009B3EB6" w:rsidRPr="00024EB0" w:rsidRDefault="009B3EB6" w:rsidP="00F20F17">
            <w:pPr>
              <w:pStyle w:val="TableHeading"/>
              <w:keepNext w:val="0"/>
              <w:jc w:val="center"/>
            </w:pPr>
            <w:r w:rsidRPr="00024EB0">
              <w:t>Inc. eligible for targeted therapy</w:t>
            </w:r>
          </w:p>
        </w:tc>
        <w:tc>
          <w:tcPr>
            <w:tcW w:w="603" w:type="pct"/>
            <w:hideMark/>
          </w:tcPr>
          <w:p w14:paraId="31A6D6D3" w14:textId="77777777" w:rsidR="009B3EB6" w:rsidRPr="00024EB0" w:rsidRDefault="009B3EB6" w:rsidP="00F20F17">
            <w:pPr>
              <w:pStyle w:val="TableHeading"/>
              <w:keepNext w:val="0"/>
              <w:jc w:val="center"/>
            </w:pPr>
            <w:r>
              <w:t>ICER</w:t>
            </w:r>
          </w:p>
        </w:tc>
        <w:tc>
          <w:tcPr>
            <w:tcW w:w="443" w:type="pct"/>
            <w:noWrap/>
            <w:hideMark/>
          </w:tcPr>
          <w:p w14:paraId="688C1DD6" w14:textId="77777777" w:rsidR="009B3EB6" w:rsidRPr="00024EB0" w:rsidRDefault="009B3EB6" w:rsidP="00F20F17">
            <w:pPr>
              <w:pStyle w:val="TableHeading"/>
              <w:keepNext w:val="0"/>
              <w:jc w:val="right"/>
            </w:pPr>
            <w:r>
              <w:t>% change</w:t>
            </w:r>
          </w:p>
        </w:tc>
      </w:tr>
      <w:tr w:rsidR="009B3EB6" w:rsidRPr="00DD0D7A" w14:paraId="2A443336" w14:textId="77777777" w:rsidTr="00F20F17">
        <w:trPr>
          <w:cnfStyle w:val="100000000000" w:firstRow="1" w:lastRow="0" w:firstColumn="0" w:lastColumn="0" w:oddVBand="0" w:evenVBand="0" w:oddHBand="0" w:evenHBand="0" w:firstRowFirstColumn="0" w:firstRowLastColumn="0" w:lastRowFirstColumn="0" w:lastRowLastColumn="0"/>
          <w:trHeight w:val="300"/>
          <w:tblHeader/>
        </w:trPr>
        <w:tc>
          <w:tcPr>
            <w:tcW w:w="2749" w:type="pct"/>
            <w:tcBorders>
              <w:bottom w:val="single" w:sz="4" w:space="0" w:color="auto"/>
            </w:tcBorders>
            <w:noWrap/>
            <w:hideMark/>
          </w:tcPr>
          <w:p w14:paraId="55AA45C6" w14:textId="77777777" w:rsidR="009B3EB6" w:rsidRPr="00DD0D7A" w:rsidRDefault="009B3EB6" w:rsidP="00F20F17">
            <w:pPr>
              <w:pStyle w:val="TableText"/>
              <w:rPr>
                <w:b/>
              </w:rPr>
            </w:pPr>
            <w:r w:rsidRPr="00DD0D7A">
              <w:rPr>
                <w:b/>
              </w:rPr>
              <w:t>Base case</w:t>
            </w:r>
          </w:p>
        </w:tc>
        <w:tc>
          <w:tcPr>
            <w:tcW w:w="602" w:type="pct"/>
            <w:tcBorders>
              <w:bottom w:val="single" w:sz="4" w:space="0" w:color="auto"/>
            </w:tcBorders>
            <w:noWrap/>
          </w:tcPr>
          <w:p w14:paraId="0043A95B" w14:textId="77777777" w:rsidR="009B3EB6" w:rsidRPr="00DD0D7A" w:rsidRDefault="009B3EB6" w:rsidP="00F20F17">
            <w:pPr>
              <w:pStyle w:val="TableText"/>
              <w:jc w:val="right"/>
              <w:rPr>
                <w:b/>
              </w:rPr>
            </w:pPr>
            <w:r w:rsidRPr="00DD0D7A">
              <w:rPr>
                <w:b/>
              </w:rPr>
              <w:t>$169.02</w:t>
            </w:r>
          </w:p>
        </w:tc>
        <w:tc>
          <w:tcPr>
            <w:tcW w:w="603" w:type="pct"/>
            <w:tcBorders>
              <w:bottom w:val="single" w:sz="4" w:space="0" w:color="auto"/>
            </w:tcBorders>
            <w:noWrap/>
          </w:tcPr>
          <w:p w14:paraId="3EC4B52A" w14:textId="77777777" w:rsidR="009B3EB6" w:rsidRPr="00DD0D7A" w:rsidRDefault="009B3EB6" w:rsidP="00F20F17">
            <w:pPr>
              <w:pStyle w:val="TableText"/>
              <w:jc w:val="right"/>
              <w:rPr>
                <w:b/>
              </w:rPr>
            </w:pPr>
            <w:r w:rsidRPr="00DD0D7A">
              <w:rPr>
                <w:b/>
              </w:rPr>
              <w:t>0.0225</w:t>
            </w:r>
          </w:p>
        </w:tc>
        <w:tc>
          <w:tcPr>
            <w:tcW w:w="603" w:type="pct"/>
            <w:tcBorders>
              <w:bottom w:val="single" w:sz="4" w:space="0" w:color="auto"/>
            </w:tcBorders>
            <w:noWrap/>
          </w:tcPr>
          <w:p w14:paraId="1B66F370" w14:textId="77777777" w:rsidR="009B3EB6" w:rsidRPr="00DD0D7A" w:rsidRDefault="009B3EB6" w:rsidP="00F20F17">
            <w:pPr>
              <w:pStyle w:val="TableText"/>
              <w:jc w:val="right"/>
              <w:rPr>
                <w:b/>
              </w:rPr>
            </w:pPr>
            <w:r w:rsidRPr="00DD0D7A">
              <w:rPr>
                <w:b/>
              </w:rPr>
              <w:t>$7,496</w:t>
            </w:r>
          </w:p>
        </w:tc>
        <w:tc>
          <w:tcPr>
            <w:tcW w:w="443" w:type="pct"/>
            <w:tcBorders>
              <w:bottom w:val="single" w:sz="4" w:space="0" w:color="auto"/>
            </w:tcBorders>
            <w:noWrap/>
          </w:tcPr>
          <w:p w14:paraId="5795D61E" w14:textId="77777777" w:rsidR="009B3EB6" w:rsidRPr="00DD0D7A" w:rsidRDefault="009B3EB6" w:rsidP="00F20F17">
            <w:pPr>
              <w:pStyle w:val="TableText"/>
              <w:jc w:val="right"/>
              <w:rPr>
                <w:b/>
              </w:rPr>
            </w:pPr>
            <w:r w:rsidRPr="00DD0D7A">
              <w:rPr>
                <w:b/>
              </w:rPr>
              <w:t>−</w:t>
            </w:r>
          </w:p>
        </w:tc>
      </w:tr>
      <w:tr w:rsidR="009B3EB6" w:rsidRPr="00024EB0" w14:paraId="3DF10B66" w14:textId="77777777" w:rsidTr="00F20F17">
        <w:trPr>
          <w:trHeight w:val="300"/>
        </w:trPr>
        <w:tc>
          <w:tcPr>
            <w:tcW w:w="2749" w:type="pct"/>
            <w:tcBorders>
              <w:bottom w:val="single" w:sz="4" w:space="0" w:color="auto"/>
              <w:right w:val="nil"/>
            </w:tcBorders>
            <w:noWrap/>
            <w:hideMark/>
          </w:tcPr>
          <w:p w14:paraId="156D7131" w14:textId="77777777" w:rsidR="009B3EB6" w:rsidRPr="00024EB0" w:rsidRDefault="009B3EB6" w:rsidP="00F20F17">
            <w:pPr>
              <w:pStyle w:val="TableText"/>
            </w:pPr>
            <w:r w:rsidRPr="00024EB0">
              <w:t>Proportion of patients with advanced disease</w:t>
            </w:r>
            <w:r>
              <w:t xml:space="preserve"> </w:t>
            </w:r>
            <w:r w:rsidRPr="00024EB0">
              <w:t>(base case: 75.9%)</w:t>
            </w:r>
          </w:p>
        </w:tc>
        <w:tc>
          <w:tcPr>
            <w:tcW w:w="602" w:type="pct"/>
            <w:tcBorders>
              <w:left w:val="nil"/>
              <w:bottom w:val="single" w:sz="4" w:space="0" w:color="auto"/>
              <w:right w:val="nil"/>
            </w:tcBorders>
            <w:noWrap/>
          </w:tcPr>
          <w:p w14:paraId="229C1EB9"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5A536257"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4BF09A37" w14:textId="77777777" w:rsidR="009B3EB6" w:rsidRPr="00024EB0" w:rsidRDefault="009B3EB6" w:rsidP="00F20F17">
            <w:pPr>
              <w:pStyle w:val="TableText"/>
              <w:jc w:val="right"/>
            </w:pPr>
          </w:p>
        </w:tc>
        <w:tc>
          <w:tcPr>
            <w:tcW w:w="443" w:type="pct"/>
            <w:tcBorders>
              <w:left w:val="nil"/>
              <w:bottom w:val="single" w:sz="4" w:space="0" w:color="auto"/>
            </w:tcBorders>
            <w:noWrap/>
          </w:tcPr>
          <w:p w14:paraId="68591E6C" w14:textId="77777777" w:rsidR="009B3EB6" w:rsidRPr="00024EB0" w:rsidRDefault="009B3EB6" w:rsidP="00F20F17">
            <w:pPr>
              <w:pStyle w:val="TableText"/>
              <w:jc w:val="right"/>
            </w:pPr>
          </w:p>
        </w:tc>
      </w:tr>
      <w:tr w:rsidR="009B3EB6" w:rsidRPr="00024EB0" w14:paraId="101C8B7D" w14:textId="77777777" w:rsidTr="00F20F17">
        <w:trPr>
          <w:trHeight w:val="300"/>
        </w:trPr>
        <w:tc>
          <w:tcPr>
            <w:tcW w:w="2749" w:type="pct"/>
            <w:tcBorders>
              <w:bottom w:val="nil"/>
              <w:right w:val="single" w:sz="4" w:space="0" w:color="auto"/>
            </w:tcBorders>
            <w:noWrap/>
          </w:tcPr>
          <w:p w14:paraId="634F0CB0" w14:textId="77777777" w:rsidR="009B3EB6" w:rsidRPr="00024EB0" w:rsidRDefault="009B3EB6" w:rsidP="00F20F17">
            <w:pPr>
              <w:pStyle w:val="TableText"/>
            </w:pPr>
            <w:r>
              <w:t>100%</w:t>
            </w:r>
          </w:p>
        </w:tc>
        <w:tc>
          <w:tcPr>
            <w:tcW w:w="602" w:type="pct"/>
            <w:tcBorders>
              <w:left w:val="single" w:sz="4" w:space="0" w:color="auto"/>
              <w:bottom w:val="nil"/>
              <w:right w:val="single" w:sz="4" w:space="0" w:color="auto"/>
            </w:tcBorders>
            <w:noWrap/>
          </w:tcPr>
          <w:p w14:paraId="6AA6A476" w14:textId="77777777" w:rsidR="009B3EB6" w:rsidRPr="00024EB0" w:rsidRDefault="009B3EB6" w:rsidP="00F20F17">
            <w:pPr>
              <w:pStyle w:val="TableText"/>
              <w:jc w:val="right"/>
            </w:pPr>
            <w:r w:rsidRPr="005B2B27">
              <w:t>$27.97</w:t>
            </w:r>
          </w:p>
        </w:tc>
        <w:tc>
          <w:tcPr>
            <w:tcW w:w="603" w:type="pct"/>
            <w:tcBorders>
              <w:left w:val="single" w:sz="4" w:space="0" w:color="auto"/>
              <w:bottom w:val="nil"/>
              <w:right w:val="single" w:sz="4" w:space="0" w:color="auto"/>
            </w:tcBorders>
            <w:noWrap/>
          </w:tcPr>
          <w:p w14:paraId="16002B9F" w14:textId="77777777" w:rsidR="009B3EB6" w:rsidRPr="00024EB0" w:rsidRDefault="009B3EB6" w:rsidP="00F20F17">
            <w:pPr>
              <w:pStyle w:val="TableText"/>
              <w:jc w:val="right"/>
            </w:pPr>
            <w:r w:rsidRPr="005B2B27">
              <w:t>0.0297</w:t>
            </w:r>
          </w:p>
        </w:tc>
        <w:tc>
          <w:tcPr>
            <w:tcW w:w="603" w:type="pct"/>
            <w:tcBorders>
              <w:left w:val="single" w:sz="4" w:space="0" w:color="auto"/>
              <w:bottom w:val="nil"/>
              <w:right w:val="single" w:sz="4" w:space="0" w:color="auto"/>
            </w:tcBorders>
            <w:noWrap/>
          </w:tcPr>
          <w:p w14:paraId="1F9623B1" w14:textId="77777777" w:rsidR="009B3EB6" w:rsidRPr="00024EB0" w:rsidRDefault="009B3EB6" w:rsidP="00F20F17">
            <w:pPr>
              <w:pStyle w:val="TableText"/>
              <w:jc w:val="right"/>
            </w:pPr>
            <w:r w:rsidRPr="005B2B27">
              <w:t>$941</w:t>
            </w:r>
          </w:p>
        </w:tc>
        <w:tc>
          <w:tcPr>
            <w:tcW w:w="443" w:type="pct"/>
            <w:tcBorders>
              <w:left w:val="single" w:sz="4" w:space="0" w:color="auto"/>
              <w:bottom w:val="nil"/>
            </w:tcBorders>
            <w:noWrap/>
          </w:tcPr>
          <w:p w14:paraId="5DE4083A" w14:textId="77777777" w:rsidR="009B3EB6" w:rsidRPr="00024EB0" w:rsidRDefault="009B3EB6" w:rsidP="00F20F17">
            <w:pPr>
              <w:pStyle w:val="TableText"/>
              <w:jc w:val="right"/>
            </w:pPr>
            <w:r w:rsidRPr="005B2B27">
              <w:t>−87%</w:t>
            </w:r>
          </w:p>
        </w:tc>
      </w:tr>
      <w:tr w:rsidR="009B3EB6" w:rsidRPr="00024EB0" w14:paraId="6D9AC3A9" w14:textId="77777777" w:rsidTr="00F20F17">
        <w:trPr>
          <w:trHeight w:val="300"/>
        </w:trPr>
        <w:tc>
          <w:tcPr>
            <w:tcW w:w="2749" w:type="pct"/>
            <w:tcBorders>
              <w:top w:val="nil"/>
              <w:bottom w:val="single" w:sz="4" w:space="0" w:color="auto"/>
              <w:right w:val="single" w:sz="4" w:space="0" w:color="auto"/>
            </w:tcBorders>
            <w:noWrap/>
          </w:tcPr>
          <w:p w14:paraId="321FFBE6" w14:textId="77777777" w:rsidR="009B3EB6" w:rsidRPr="00024EB0" w:rsidRDefault="009B3EB6" w:rsidP="00F20F17">
            <w:pPr>
              <w:pStyle w:val="TableText"/>
            </w:pPr>
            <w:r w:rsidRPr="004802F8">
              <w:t>50%</w:t>
            </w:r>
          </w:p>
        </w:tc>
        <w:tc>
          <w:tcPr>
            <w:tcW w:w="602" w:type="pct"/>
            <w:tcBorders>
              <w:top w:val="nil"/>
              <w:left w:val="single" w:sz="4" w:space="0" w:color="auto"/>
              <w:bottom w:val="single" w:sz="4" w:space="0" w:color="auto"/>
              <w:right w:val="single" w:sz="4" w:space="0" w:color="auto"/>
            </w:tcBorders>
            <w:noWrap/>
          </w:tcPr>
          <w:p w14:paraId="100F76F5" w14:textId="77777777" w:rsidR="009B3EB6" w:rsidRPr="00024EB0" w:rsidRDefault="009B3EB6" w:rsidP="00F20F17">
            <w:pPr>
              <w:pStyle w:val="TableText"/>
              <w:jc w:val="right"/>
            </w:pPr>
            <w:r w:rsidRPr="005B2B27">
              <w:t>$320.01</w:t>
            </w:r>
          </w:p>
        </w:tc>
        <w:tc>
          <w:tcPr>
            <w:tcW w:w="603" w:type="pct"/>
            <w:tcBorders>
              <w:top w:val="nil"/>
              <w:left w:val="single" w:sz="4" w:space="0" w:color="auto"/>
              <w:bottom w:val="single" w:sz="4" w:space="0" w:color="auto"/>
              <w:right w:val="single" w:sz="4" w:space="0" w:color="auto"/>
            </w:tcBorders>
            <w:noWrap/>
          </w:tcPr>
          <w:p w14:paraId="3C5344A9" w14:textId="77777777" w:rsidR="009B3EB6" w:rsidRPr="00024EB0" w:rsidRDefault="009B3EB6" w:rsidP="00F20F17">
            <w:pPr>
              <w:pStyle w:val="TableText"/>
              <w:jc w:val="right"/>
            </w:pPr>
            <w:r w:rsidRPr="005B2B27">
              <w:t>0.0149</w:t>
            </w:r>
          </w:p>
        </w:tc>
        <w:tc>
          <w:tcPr>
            <w:tcW w:w="603" w:type="pct"/>
            <w:tcBorders>
              <w:top w:val="nil"/>
              <w:left w:val="single" w:sz="4" w:space="0" w:color="auto"/>
              <w:bottom w:val="single" w:sz="4" w:space="0" w:color="auto"/>
              <w:right w:val="single" w:sz="4" w:space="0" w:color="auto"/>
            </w:tcBorders>
            <w:noWrap/>
          </w:tcPr>
          <w:p w14:paraId="617DCEF3" w14:textId="77777777" w:rsidR="009B3EB6" w:rsidRPr="00024EB0" w:rsidRDefault="009B3EB6" w:rsidP="00F20F17">
            <w:pPr>
              <w:pStyle w:val="TableText"/>
              <w:jc w:val="right"/>
            </w:pPr>
            <w:r w:rsidRPr="005B2B27">
              <w:t>$21,530</w:t>
            </w:r>
          </w:p>
        </w:tc>
        <w:tc>
          <w:tcPr>
            <w:tcW w:w="443" w:type="pct"/>
            <w:tcBorders>
              <w:top w:val="nil"/>
              <w:left w:val="single" w:sz="4" w:space="0" w:color="auto"/>
              <w:bottom w:val="single" w:sz="4" w:space="0" w:color="auto"/>
            </w:tcBorders>
            <w:noWrap/>
          </w:tcPr>
          <w:p w14:paraId="32792C06" w14:textId="77777777" w:rsidR="009B3EB6" w:rsidRPr="00024EB0" w:rsidRDefault="009B3EB6" w:rsidP="00F20F17">
            <w:pPr>
              <w:pStyle w:val="TableText"/>
              <w:jc w:val="right"/>
            </w:pPr>
            <w:r w:rsidRPr="005B2B27">
              <w:t>187%</w:t>
            </w:r>
          </w:p>
        </w:tc>
      </w:tr>
      <w:tr w:rsidR="009B3EB6" w:rsidRPr="00024EB0" w14:paraId="2A1DD86C" w14:textId="77777777" w:rsidTr="00F20F17">
        <w:trPr>
          <w:trHeight w:val="300"/>
        </w:trPr>
        <w:tc>
          <w:tcPr>
            <w:tcW w:w="2749" w:type="pct"/>
            <w:tcBorders>
              <w:bottom w:val="single" w:sz="4" w:space="0" w:color="auto"/>
              <w:right w:val="nil"/>
            </w:tcBorders>
            <w:noWrap/>
          </w:tcPr>
          <w:p w14:paraId="6551104C" w14:textId="77777777" w:rsidR="009B3EB6" w:rsidRPr="00024EB0" w:rsidRDefault="009B3EB6" w:rsidP="00F20F17">
            <w:pPr>
              <w:pStyle w:val="TableText"/>
            </w:pPr>
            <w:r w:rsidRPr="00024EB0">
              <w:t xml:space="preserve">Timing of </w:t>
            </w:r>
            <w:r w:rsidRPr="00DB3E00">
              <w:rPr>
                <w:i/>
              </w:rPr>
              <w:t>MET</w:t>
            </w:r>
            <w:r w:rsidRPr="00024EB0">
              <w:t>ex14sk testing</w:t>
            </w:r>
            <w:r>
              <w:t xml:space="preserve"> </w:t>
            </w:r>
            <w:r w:rsidRPr="00024EB0">
              <w:t xml:space="preserve">(base case: after </w:t>
            </w:r>
            <w:r w:rsidRPr="00DB3E00">
              <w:rPr>
                <w:i/>
              </w:rPr>
              <w:t>EGFR</w:t>
            </w:r>
            <w:r w:rsidRPr="00024EB0">
              <w:t>)</w:t>
            </w:r>
          </w:p>
        </w:tc>
        <w:tc>
          <w:tcPr>
            <w:tcW w:w="602" w:type="pct"/>
            <w:tcBorders>
              <w:left w:val="nil"/>
              <w:bottom w:val="single" w:sz="4" w:space="0" w:color="auto"/>
              <w:right w:val="nil"/>
            </w:tcBorders>
            <w:noWrap/>
          </w:tcPr>
          <w:p w14:paraId="71EB0EA5"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619DC461"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7C83A190" w14:textId="77777777" w:rsidR="009B3EB6" w:rsidRPr="00024EB0" w:rsidRDefault="009B3EB6" w:rsidP="00F20F17">
            <w:pPr>
              <w:pStyle w:val="TableText"/>
              <w:jc w:val="right"/>
            </w:pPr>
          </w:p>
        </w:tc>
        <w:tc>
          <w:tcPr>
            <w:tcW w:w="443" w:type="pct"/>
            <w:tcBorders>
              <w:left w:val="nil"/>
              <w:bottom w:val="single" w:sz="4" w:space="0" w:color="auto"/>
            </w:tcBorders>
            <w:noWrap/>
          </w:tcPr>
          <w:p w14:paraId="60DA19D5" w14:textId="77777777" w:rsidR="009B3EB6" w:rsidRPr="00024EB0" w:rsidRDefault="009B3EB6" w:rsidP="00F20F17">
            <w:pPr>
              <w:pStyle w:val="TableText"/>
              <w:jc w:val="right"/>
            </w:pPr>
          </w:p>
        </w:tc>
      </w:tr>
      <w:tr w:rsidR="009B3EB6" w:rsidRPr="00024EB0" w14:paraId="02A34C4F" w14:textId="77777777" w:rsidTr="00F20F17">
        <w:trPr>
          <w:trHeight w:val="300"/>
        </w:trPr>
        <w:tc>
          <w:tcPr>
            <w:tcW w:w="2749" w:type="pct"/>
            <w:tcBorders>
              <w:bottom w:val="nil"/>
              <w:right w:val="single" w:sz="4" w:space="0" w:color="auto"/>
            </w:tcBorders>
            <w:noWrap/>
            <w:hideMark/>
          </w:tcPr>
          <w:p w14:paraId="56046B1E" w14:textId="77777777" w:rsidR="009B3EB6" w:rsidRPr="00024EB0" w:rsidRDefault="009B3EB6" w:rsidP="00F20F17">
            <w:pPr>
              <w:pStyle w:val="TableText"/>
            </w:pPr>
            <w:r>
              <w:t>A</w:t>
            </w:r>
            <w:r w:rsidRPr="00024EB0">
              <w:t xml:space="preserve">t the same time as </w:t>
            </w:r>
            <w:r w:rsidRPr="00DB3E00">
              <w:rPr>
                <w:i/>
              </w:rPr>
              <w:t>EGFR</w:t>
            </w:r>
          </w:p>
        </w:tc>
        <w:tc>
          <w:tcPr>
            <w:tcW w:w="602" w:type="pct"/>
            <w:tcBorders>
              <w:left w:val="single" w:sz="4" w:space="0" w:color="auto"/>
              <w:bottom w:val="nil"/>
              <w:right w:val="single" w:sz="4" w:space="0" w:color="auto"/>
            </w:tcBorders>
            <w:noWrap/>
          </w:tcPr>
          <w:p w14:paraId="028E4D79" w14:textId="77777777" w:rsidR="009B3EB6" w:rsidRPr="00024EB0" w:rsidRDefault="009B3EB6" w:rsidP="00F20F17">
            <w:pPr>
              <w:pStyle w:val="TableText"/>
              <w:jc w:val="right"/>
            </w:pPr>
            <w:r w:rsidRPr="005B2B27">
              <w:t>$109.54</w:t>
            </w:r>
          </w:p>
        </w:tc>
        <w:tc>
          <w:tcPr>
            <w:tcW w:w="603" w:type="pct"/>
            <w:tcBorders>
              <w:left w:val="single" w:sz="4" w:space="0" w:color="auto"/>
              <w:bottom w:val="nil"/>
              <w:right w:val="single" w:sz="4" w:space="0" w:color="auto"/>
            </w:tcBorders>
            <w:noWrap/>
          </w:tcPr>
          <w:p w14:paraId="283EB9D4" w14:textId="77777777" w:rsidR="009B3EB6" w:rsidRPr="00024EB0" w:rsidRDefault="009B3EB6" w:rsidP="00F20F17">
            <w:pPr>
              <w:pStyle w:val="TableText"/>
              <w:jc w:val="right"/>
            </w:pPr>
            <w:r w:rsidRPr="005B2B27">
              <w:t>0.0225</w:t>
            </w:r>
          </w:p>
        </w:tc>
        <w:tc>
          <w:tcPr>
            <w:tcW w:w="603" w:type="pct"/>
            <w:tcBorders>
              <w:left w:val="single" w:sz="4" w:space="0" w:color="auto"/>
              <w:bottom w:val="nil"/>
              <w:right w:val="single" w:sz="4" w:space="0" w:color="auto"/>
            </w:tcBorders>
            <w:noWrap/>
          </w:tcPr>
          <w:p w14:paraId="096BCD91" w14:textId="77777777" w:rsidR="009B3EB6" w:rsidRPr="00024EB0" w:rsidRDefault="009B3EB6" w:rsidP="00F20F17">
            <w:pPr>
              <w:pStyle w:val="TableText"/>
              <w:jc w:val="right"/>
            </w:pPr>
            <w:r w:rsidRPr="005B2B27">
              <w:t>$4,858</w:t>
            </w:r>
          </w:p>
        </w:tc>
        <w:tc>
          <w:tcPr>
            <w:tcW w:w="443" w:type="pct"/>
            <w:tcBorders>
              <w:left w:val="single" w:sz="4" w:space="0" w:color="auto"/>
              <w:bottom w:val="nil"/>
            </w:tcBorders>
            <w:noWrap/>
          </w:tcPr>
          <w:p w14:paraId="07B9EC1A" w14:textId="77777777" w:rsidR="009B3EB6" w:rsidRPr="00024EB0" w:rsidRDefault="009B3EB6" w:rsidP="00F20F17">
            <w:pPr>
              <w:pStyle w:val="TableText"/>
              <w:jc w:val="right"/>
            </w:pPr>
            <w:r w:rsidRPr="005B2B27">
              <w:t>−35%</w:t>
            </w:r>
          </w:p>
        </w:tc>
      </w:tr>
      <w:tr w:rsidR="009B3EB6" w:rsidRPr="00024EB0" w14:paraId="7B93EFC7" w14:textId="77777777" w:rsidTr="00F20F17">
        <w:trPr>
          <w:trHeight w:val="300"/>
        </w:trPr>
        <w:tc>
          <w:tcPr>
            <w:tcW w:w="2749" w:type="pct"/>
            <w:tcBorders>
              <w:top w:val="nil"/>
              <w:bottom w:val="single" w:sz="4" w:space="0" w:color="auto"/>
              <w:right w:val="single" w:sz="4" w:space="0" w:color="auto"/>
            </w:tcBorders>
            <w:noWrap/>
          </w:tcPr>
          <w:p w14:paraId="4DB32247" w14:textId="77777777" w:rsidR="009B3EB6" w:rsidRDefault="009B3EB6" w:rsidP="00F20F17">
            <w:pPr>
              <w:pStyle w:val="TableText"/>
            </w:pPr>
            <w:r>
              <w:t>After EGFR (excluding block retrieval and consult costs)</w:t>
            </w:r>
          </w:p>
        </w:tc>
        <w:tc>
          <w:tcPr>
            <w:tcW w:w="602" w:type="pct"/>
            <w:tcBorders>
              <w:top w:val="nil"/>
              <w:left w:val="single" w:sz="4" w:space="0" w:color="auto"/>
              <w:bottom w:val="single" w:sz="4" w:space="0" w:color="auto"/>
              <w:right w:val="single" w:sz="4" w:space="0" w:color="auto"/>
            </w:tcBorders>
            <w:noWrap/>
          </w:tcPr>
          <w:p w14:paraId="6C36E4BF" w14:textId="77777777" w:rsidR="009B3EB6" w:rsidRPr="00024EB0" w:rsidRDefault="009B3EB6" w:rsidP="00F20F17">
            <w:pPr>
              <w:pStyle w:val="TableText"/>
              <w:jc w:val="right"/>
            </w:pPr>
            <w:r w:rsidRPr="005B2B27">
              <w:t>$252.67</w:t>
            </w:r>
          </w:p>
        </w:tc>
        <w:tc>
          <w:tcPr>
            <w:tcW w:w="603" w:type="pct"/>
            <w:tcBorders>
              <w:top w:val="nil"/>
              <w:left w:val="single" w:sz="4" w:space="0" w:color="auto"/>
              <w:bottom w:val="single" w:sz="4" w:space="0" w:color="auto"/>
              <w:right w:val="single" w:sz="4" w:space="0" w:color="auto"/>
            </w:tcBorders>
            <w:noWrap/>
          </w:tcPr>
          <w:p w14:paraId="10F253E6" w14:textId="77777777" w:rsidR="009B3EB6" w:rsidRPr="00024EB0" w:rsidRDefault="009B3EB6" w:rsidP="00F20F17">
            <w:pPr>
              <w:pStyle w:val="TableText"/>
              <w:jc w:val="right"/>
            </w:pPr>
            <w:r w:rsidRPr="005B2B27">
              <w:t>0.0225</w:t>
            </w:r>
          </w:p>
        </w:tc>
        <w:tc>
          <w:tcPr>
            <w:tcW w:w="603" w:type="pct"/>
            <w:tcBorders>
              <w:top w:val="nil"/>
              <w:left w:val="single" w:sz="4" w:space="0" w:color="auto"/>
              <w:bottom w:val="single" w:sz="4" w:space="0" w:color="auto"/>
              <w:right w:val="single" w:sz="4" w:space="0" w:color="auto"/>
            </w:tcBorders>
            <w:noWrap/>
          </w:tcPr>
          <w:p w14:paraId="3B89503C" w14:textId="77777777" w:rsidR="009B3EB6" w:rsidRPr="00024EB0" w:rsidRDefault="009B3EB6" w:rsidP="00F20F17">
            <w:pPr>
              <w:pStyle w:val="TableText"/>
              <w:jc w:val="right"/>
            </w:pPr>
            <w:r w:rsidRPr="005B2B27">
              <w:t>$11,206</w:t>
            </w:r>
          </w:p>
        </w:tc>
        <w:tc>
          <w:tcPr>
            <w:tcW w:w="443" w:type="pct"/>
            <w:tcBorders>
              <w:top w:val="nil"/>
              <w:left w:val="single" w:sz="4" w:space="0" w:color="auto"/>
              <w:bottom w:val="single" w:sz="4" w:space="0" w:color="auto"/>
            </w:tcBorders>
            <w:noWrap/>
          </w:tcPr>
          <w:p w14:paraId="1DD7D1AF" w14:textId="77777777" w:rsidR="009B3EB6" w:rsidRPr="00024EB0" w:rsidRDefault="009B3EB6" w:rsidP="00F20F17">
            <w:pPr>
              <w:pStyle w:val="TableText"/>
              <w:jc w:val="right"/>
            </w:pPr>
            <w:r w:rsidRPr="005B2B27">
              <w:t>49%</w:t>
            </w:r>
          </w:p>
        </w:tc>
      </w:tr>
      <w:tr w:rsidR="009B3EB6" w:rsidRPr="00024EB0" w14:paraId="73FCE083" w14:textId="77777777" w:rsidTr="00F20F17">
        <w:trPr>
          <w:trHeight w:val="300"/>
        </w:trPr>
        <w:tc>
          <w:tcPr>
            <w:tcW w:w="2749" w:type="pct"/>
            <w:tcBorders>
              <w:bottom w:val="single" w:sz="4" w:space="0" w:color="auto"/>
              <w:right w:val="nil"/>
            </w:tcBorders>
            <w:noWrap/>
            <w:hideMark/>
          </w:tcPr>
          <w:p w14:paraId="756290E3" w14:textId="77777777" w:rsidR="009B3EB6" w:rsidRPr="00024EB0" w:rsidRDefault="009B3EB6" w:rsidP="00F20F17">
            <w:pPr>
              <w:pStyle w:val="TableText"/>
            </w:pPr>
            <w:r w:rsidRPr="00024EB0">
              <w:lastRenderedPageBreak/>
              <w:t>Small gene panel testing strategy (base case: mixed)</w:t>
            </w:r>
          </w:p>
        </w:tc>
        <w:tc>
          <w:tcPr>
            <w:tcW w:w="602" w:type="pct"/>
            <w:tcBorders>
              <w:left w:val="nil"/>
              <w:bottom w:val="single" w:sz="4" w:space="0" w:color="auto"/>
              <w:right w:val="nil"/>
            </w:tcBorders>
            <w:noWrap/>
          </w:tcPr>
          <w:p w14:paraId="615D4E5F"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539480BB"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031B6732" w14:textId="77777777" w:rsidR="009B3EB6" w:rsidRPr="00024EB0" w:rsidRDefault="009B3EB6" w:rsidP="00F20F17">
            <w:pPr>
              <w:pStyle w:val="TableText"/>
              <w:jc w:val="right"/>
            </w:pPr>
          </w:p>
        </w:tc>
        <w:tc>
          <w:tcPr>
            <w:tcW w:w="443" w:type="pct"/>
            <w:tcBorders>
              <w:left w:val="nil"/>
              <w:bottom w:val="single" w:sz="4" w:space="0" w:color="auto"/>
            </w:tcBorders>
            <w:noWrap/>
          </w:tcPr>
          <w:p w14:paraId="4D5293CC" w14:textId="77777777" w:rsidR="009B3EB6" w:rsidRPr="00024EB0" w:rsidRDefault="009B3EB6" w:rsidP="00F20F17">
            <w:pPr>
              <w:pStyle w:val="TableText"/>
              <w:jc w:val="right"/>
            </w:pPr>
          </w:p>
        </w:tc>
      </w:tr>
      <w:tr w:rsidR="009B3EB6" w:rsidRPr="00024EB0" w14:paraId="0CBAB8D2" w14:textId="77777777" w:rsidTr="00F20F17">
        <w:trPr>
          <w:trHeight w:val="300"/>
        </w:trPr>
        <w:tc>
          <w:tcPr>
            <w:tcW w:w="2749" w:type="pct"/>
            <w:tcBorders>
              <w:bottom w:val="nil"/>
            </w:tcBorders>
            <w:noWrap/>
            <w:hideMark/>
          </w:tcPr>
          <w:p w14:paraId="473DE58B" w14:textId="77777777" w:rsidR="009B3EB6" w:rsidRPr="00024EB0" w:rsidRDefault="009B3EB6" w:rsidP="00F20F17">
            <w:pPr>
              <w:pStyle w:val="TableText"/>
            </w:pPr>
            <w:r w:rsidRPr="00024EB0">
              <w:t>All combined DNA/RNA panel testing</w:t>
            </w:r>
          </w:p>
        </w:tc>
        <w:tc>
          <w:tcPr>
            <w:tcW w:w="602" w:type="pct"/>
            <w:tcBorders>
              <w:bottom w:val="nil"/>
            </w:tcBorders>
            <w:noWrap/>
          </w:tcPr>
          <w:p w14:paraId="2C9BEB53" w14:textId="77777777" w:rsidR="009B3EB6" w:rsidRPr="00024EB0" w:rsidRDefault="009B3EB6" w:rsidP="00F20F17">
            <w:pPr>
              <w:pStyle w:val="TableText"/>
              <w:jc w:val="right"/>
            </w:pPr>
            <w:r w:rsidRPr="005B2B27">
              <w:t>$348.65</w:t>
            </w:r>
          </w:p>
        </w:tc>
        <w:tc>
          <w:tcPr>
            <w:tcW w:w="603" w:type="pct"/>
            <w:tcBorders>
              <w:bottom w:val="nil"/>
            </w:tcBorders>
            <w:noWrap/>
          </w:tcPr>
          <w:p w14:paraId="749FA338" w14:textId="77777777" w:rsidR="009B3EB6" w:rsidRPr="00024EB0" w:rsidRDefault="009B3EB6" w:rsidP="00F20F17">
            <w:pPr>
              <w:pStyle w:val="TableText"/>
              <w:jc w:val="right"/>
            </w:pPr>
            <w:r w:rsidRPr="005B2B27">
              <w:t>0.0228</w:t>
            </w:r>
          </w:p>
        </w:tc>
        <w:tc>
          <w:tcPr>
            <w:tcW w:w="603" w:type="pct"/>
            <w:tcBorders>
              <w:bottom w:val="nil"/>
            </w:tcBorders>
            <w:noWrap/>
          </w:tcPr>
          <w:p w14:paraId="2B4593E8" w14:textId="77777777" w:rsidR="009B3EB6" w:rsidRPr="00024EB0" w:rsidRDefault="009B3EB6" w:rsidP="00F20F17">
            <w:pPr>
              <w:pStyle w:val="TableText"/>
              <w:jc w:val="right"/>
            </w:pPr>
            <w:r w:rsidRPr="005B2B27">
              <w:t>$15,277</w:t>
            </w:r>
          </w:p>
        </w:tc>
        <w:tc>
          <w:tcPr>
            <w:tcW w:w="443" w:type="pct"/>
            <w:tcBorders>
              <w:bottom w:val="nil"/>
            </w:tcBorders>
            <w:noWrap/>
          </w:tcPr>
          <w:p w14:paraId="2747E8CD" w14:textId="77777777" w:rsidR="009B3EB6" w:rsidRPr="00024EB0" w:rsidRDefault="009B3EB6" w:rsidP="00F20F17">
            <w:pPr>
              <w:pStyle w:val="TableText"/>
              <w:jc w:val="right"/>
            </w:pPr>
            <w:r w:rsidRPr="005B2B27">
              <w:t>104%</w:t>
            </w:r>
          </w:p>
        </w:tc>
      </w:tr>
      <w:tr w:rsidR="009B3EB6" w:rsidRPr="00024EB0" w14:paraId="0466352B" w14:textId="77777777" w:rsidTr="00F20F17">
        <w:trPr>
          <w:trHeight w:val="300"/>
        </w:trPr>
        <w:tc>
          <w:tcPr>
            <w:tcW w:w="2749" w:type="pct"/>
            <w:tcBorders>
              <w:top w:val="nil"/>
              <w:bottom w:val="nil"/>
            </w:tcBorders>
            <w:noWrap/>
            <w:hideMark/>
          </w:tcPr>
          <w:p w14:paraId="72511A8A" w14:textId="77777777" w:rsidR="009B3EB6" w:rsidRPr="00024EB0" w:rsidRDefault="009B3EB6" w:rsidP="00F20F17">
            <w:pPr>
              <w:pStyle w:val="TableText"/>
            </w:pPr>
            <w:r w:rsidRPr="00024EB0">
              <w:t>All two-stage DNA then RNA panel testing</w:t>
            </w:r>
          </w:p>
        </w:tc>
        <w:tc>
          <w:tcPr>
            <w:tcW w:w="602" w:type="pct"/>
            <w:tcBorders>
              <w:top w:val="nil"/>
              <w:bottom w:val="nil"/>
            </w:tcBorders>
            <w:noWrap/>
          </w:tcPr>
          <w:p w14:paraId="2C742090" w14:textId="77777777" w:rsidR="009B3EB6" w:rsidRPr="00024EB0" w:rsidRDefault="009B3EB6" w:rsidP="00F20F17">
            <w:pPr>
              <w:pStyle w:val="TableText"/>
              <w:jc w:val="right"/>
            </w:pPr>
            <w:r w:rsidRPr="005B2B27">
              <w:t>$116.98</w:t>
            </w:r>
          </w:p>
        </w:tc>
        <w:tc>
          <w:tcPr>
            <w:tcW w:w="603" w:type="pct"/>
            <w:tcBorders>
              <w:top w:val="nil"/>
              <w:bottom w:val="nil"/>
            </w:tcBorders>
            <w:noWrap/>
          </w:tcPr>
          <w:p w14:paraId="7E11F4AC" w14:textId="77777777" w:rsidR="009B3EB6" w:rsidRPr="00024EB0" w:rsidRDefault="009B3EB6" w:rsidP="00F20F17">
            <w:pPr>
              <w:pStyle w:val="TableText"/>
              <w:jc w:val="right"/>
            </w:pPr>
            <w:r w:rsidRPr="005B2B27">
              <w:t>0.0228</w:t>
            </w:r>
          </w:p>
        </w:tc>
        <w:tc>
          <w:tcPr>
            <w:tcW w:w="603" w:type="pct"/>
            <w:tcBorders>
              <w:top w:val="nil"/>
              <w:bottom w:val="nil"/>
            </w:tcBorders>
            <w:noWrap/>
          </w:tcPr>
          <w:p w14:paraId="11E46BD0" w14:textId="77777777" w:rsidR="009B3EB6" w:rsidRPr="00024EB0" w:rsidRDefault="009B3EB6" w:rsidP="00F20F17">
            <w:pPr>
              <w:pStyle w:val="TableText"/>
              <w:jc w:val="right"/>
            </w:pPr>
            <w:r w:rsidRPr="005B2B27">
              <w:t>$5,126</w:t>
            </w:r>
          </w:p>
        </w:tc>
        <w:tc>
          <w:tcPr>
            <w:tcW w:w="443" w:type="pct"/>
            <w:tcBorders>
              <w:top w:val="nil"/>
              <w:bottom w:val="nil"/>
            </w:tcBorders>
            <w:noWrap/>
          </w:tcPr>
          <w:p w14:paraId="0308D1D3" w14:textId="77777777" w:rsidR="009B3EB6" w:rsidRPr="00024EB0" w:rsidRDefault="009B3EB6" w:rsidP="00F20F17">
            <w:pPr>
              <w:pStyle w:val="TableText"/>
              <w:jc w:val="right"/>
            </w:pPr>
            <w:r w:rsidRPr="005B2B27">
              <w:t>−32%</w:t>
            </w:r>
          </w:p>
        </w:tc>
      </w:tr>
      <w:tr w:rsidR="009B3EB6" w:rsidRPr="00024EB0" w14:paraId="7448BB35" w14:textId="77777777" w:rsidTr="00F20F17">
        <w:trPr>
          <w:trHeight w:val="300"/>
        </w:trPr>
        <w:tc>
          <w:tcPr>
            <w:tcW w:w="2749" w:type="pct"/>
            <w:tcBorders>
              <w:top w:val="nil"/>
              <w:bottom w:val="nil"/>
            </w:tcBorders>
            <w:noWrap/>
            <w:hideMark/>
          </w:tcPr>
          <w:p w14:paraId="601257DC" w14:textId="77777777" w:rsidR="009B3EB6" w:rsidRPr="00024EB0" w:rsidRDefault="009B3EB6" w:rsidP="00F20F17">
            <w:pPr>
              <w:pStyle w:val="TableText"/>
            </w:pPr>
            <w:r>
              <w:t>All DNA then IHC/</w:t>
            </w:r>
            <w:r w:rsidRPr="00024EB0">
              <w:t>FISH testing</w:t>
            </w:r>
          </w:p>
        </w:tc>
        <w:tc>
          <w:tcPr>
            <w:tcW w:w="602" w:type="pct"/>
            <w:tcBorders>
              <w:top w:val="nil"/>
              <w:bottom w:val="nil"/>
            </w:tcBorders>
            <w:noWrap/>
          </w:tcPr>
          <w:p w14:paraId="3AC18E52" w14:textId="77777777" w:rsidR="009B3EB6" w:rsidRPr="00024EB0" w:rsidRDefault="009B3EB6" w:rsidP="00F20F17">
            <w:pPr>
              <w:pStyle w:val="TableText"/>
              <w:jc w:val="right"/>
            </w:pPr>
            <w:r w:rsidRPr="005B2B27">
              <w:t>−$162.34</w:t>
            </w:r>
          </w:p>
        </w:tc>
        <w:tc>
          <w:tcPr>
            <w:tcW w:w="603" w:type="pct"/>
            <w:tcBorders>
              <w:top w:val="nil"/>
              <w:bottom w:val="nil"/>
            </w:tcBorders>
            <w:noWrap/>
          </w:tcPr>
          <w:p w14:paraId="2E7DB090" w14:textId="77777777" w:rsidR="009B3EB6" w:rsidRPr="00024EB0" w:rsidRDefault="009B3EB6" w:rsidP="00F20F17">
            <w:pPr>
              <w:pStyle w:val="TableText"/>
              <w:jc w:val="right"/>
            </w:pPr>
            <w:r w:rsidRPr="005B2B27">
              <w:t>0.0173</w:t>
            </w:r>
          </w:p>
        </w:tc>
        <w:tc>
          <w:tcPr>
            <w:tcW w:w="603" w:type="pct"/>
            <w:tcBorders>
              <w:top w:val="nil"/>
              <w:bottom w:val="nil"/>
            </w:tcBorders>
            <w:noWrap/>
          </w:tcPr>
          <w:p w14:paraId="26EB56CF" w14:textId="77777777" w:rsidR="009B3EB6" w:rsidRPr="00024EB0" w:rsidRDefault="009B3EB6" w:rsidP="00F20F17">
            <w:pPr>
              <w:pStyle w:val="TableText"/>
              <w:jc w:val="right"/>
            </w:pPr>
            <w:r w:rsidRPr="005B2B27">
              <w:t>Dominant</w:t>
            </w:r>
          </w:p>
        </w:tc>
        <w:tc>
          <w:tcPr>
            <w:tcW w:w="443" w:type="pct"/>
            <w:tcBorders>
              <w:top w:val="nil"/>
              <w:bottom w:val="nil"/>
            </w:tcBorders>
            <w:noWrap/>
          </w:tcPr>
          <w:p w14:paraId="2D6E1C84" w14:textId="77777777" w:rsidR="009B3EB6" w:rsidRPr="00024EB0" w:rsidRDefault="009B3EB6" w:rsidP="00F20F17">
            <w:pPr>
              <w:pStyle w:val="TableText"/>
              <w:jc w:val="right"/>
            </w:pPr>
            <w:r w:rsidRPr="005B2B27">
              <w:t>−225%</w:t>
            </w:r>
          </w:p>
        </w:tc>
      </w:tr>
      <w:tr w:rsidR="009B3EB6" w:rsidRPr="00024EB0" w14:paraId="2DC57973" w14:textId="77777777" w:rsidTr="00F20F17">
        <w:trPr>
          <w:trHeight w:val="300"/>
        </w:trPr>
        <w:tc>
          <w:tcPr>
            <w:tcW w:w="2749" w:type="pct"/>
            <w:tcBorders>
              <w:bottom w:val="single" w:sz="4" w:space="0" w:color="auto"/>
              <w:right w:val="nil"/>
            </w:tcBorders>
            <w:noWrap/>
            <w:hideMark/>
          </w:tcPr>
          <w:p w14:paraId="2542D67E" w14:textId="77777777" w:rsidR="009B3EB6" w:rsidRPr="00024EB0" w:rsidRDefault="009B3EB6" w:rsidP="00F20F17">
            <w:pPr>
              <w:pStyle w:val="TableText"/>
            </w:pPr>
            <w:r w:rsidRPr="00024EB0">
              <w:t>Test success</w:t>
            </w:r>
            <w:r>
              <w:t xml:space="preserve"> </w:t>
            </w:r>
            <w:r>
              <w:br/>
            </w:r>
            <w:r w:rsidRPr="00024EB0">
              <w:t>(base case: 97.2% for panels, 94.6% for single-gene testing)</w:t>
            </w:r>
          </w:p>
        </w:tc>
        <w:tc>
          <w:tcPr>
            <w:tcW w:w="602" w:type="pct"/>
            <w:tcBorders>
              <w:left w:val="nil"/>
              <w:bottom w:val="single" w:sz="4" w:space="0" w:color="auto"/>
              <w:right w:val="nil"/>
            </w:tcBorders>
            <w:noWrap/>
          </w:tcPr>
          <w:p w14:paraId="102B6B87"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6CC8E605"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722D2EB2" w14:textId="77777777" w:rsidR="009B3EB6" w:rsidRPr="00024EB0" w:rsidRDefault="009B3EB6" w:rsidP="00F20F17">
            <w:pPr>
              <w:pStyle w:val="TableText"/>
              <w:jc w:val="right"/>
            </w:pPr>
          </w:p>
        </w:tc>
        <w:tc>
          <w:tcPr>
            <w:tcW w:w="443" w:type="pct"/>
            <w:tcBorders>
              <w:left w:val="nil"/>
              <w:bottom w:val="single" w:sz="4" w:space="0" w:color="auto"/>
            </w:tcBorders>
            <w:noWrap/>
          </w:tcPr>
          <w:p w14:paraId="4A655D9F" w14:textId="77777777" w:rsidR="009B3EB6" w:rsidRPr="00024EB0" w:rsidRDefault="009B3EB6" w:rsidP="00F20F17">
            <w:pPr>
              <w:pStyle w:val="TableText"/>
              <w:jc w:val="right"/>
            </w:pPr>
          </w:p>
        </w:tc>
      </w:tr>
      <w:tr w:rsidR="009B3EB6" w:rsidRPr="00024EB0" w14:paraId="0C1EF6E2" w14:textId="77777777" w:rsidTr="00F20F17">
        <w:trPr>
          <w:trHeight w:val="300"/>
        </w:trPr>
        <w:tc>
          <w:tcPr>
            <w:tcW w:w="2749" w:type="pct"/>
            <w:tcBorders>
              <w:top w:val="nil"/>
              <w:bottom w:val="nil"/>
            </w:tcBorders>
            <w:noWrap/>
            <w:hideMark/>
          </w:tcPr>
          <w:p w14:paraId="0BD0FEB5" w14:textId="77777777" w:rsidR="009B3EB6" w:rsidRPr="00024EB0" w:rsidRDefault="009B3EB6" w:rsidP="00F20F17">
            <w:pPr>
              <w:pStyle w:val="TableText"/>
            </w:pPr>
            <w:r w:rsidRPr="00024EB0">
              <w:t>Both strategies 97.2%</w:t>
            </w:r>
          </w:p>
        </w:tc>
        <w:tc>
          <w:tcPr>
            <w:tcW w:w="602" w:type="pct"/>
            <w:tcBorders>
              <w:top w:val="nil"/>
              <w:bottom w:val="nil"/>
            </w:tcBorders>
            <w:noWrap/>
          </w:tcPr>
          <w:p w14:paraId="6BC815A1" w14:textId="77777777" w:rsidR="009B3EB6" w:rsidRPr="00024EB0" w:rsidRDefault="009B3EB6" w:rsidP="00F20F17">
            <w:pPr>
              <w:pStyle w:val="TableText"/>
              <w:jc w:val="right"/>
            </w:pPr>
            <w:r w:rsidRPr="005B2B27">
              <w:t>$273.97</w:t>
            </w:r>
          </w:p>
        </w:tc>
        <w:tc>
          <w:tcPr>
            <w:tcW w:w="603" w:type="pct"/>
            <w:tcBorders>
              <w:top w:val="nil"/>
              <w:bottom w:val="nil"/>
            </w:tcBorders>
            <w:noWrap/>
          </w:tcPr>
          <w:p w14:paraId="75F2C44F" w14:textId="77777777" w:rsidR="009B3EB6" w:rsidRPr="00024EB0" w:rsidRDefault="009B3EB6" w:rsidP="00F20F17">
            <w:pPr>
              <w:pStyle w:val="TableText"/>
              <w:jc w:val="right"/>
            </w:pPr>
            <w:r w:rsidRPr="005B2B27">
              <w:t>0.0216</w:t>
            </w:r>
          </w:p>
        </w:tc>
        <w:tc>
          <w:tcPr>
            <w:tcW w:w="603" w:type="pct"/>
            <w:tcBorders>
              <w:top w:val="nil"/>
              <w:bottom w:val="nil"/>
            </w:tcBorders>
            <w:noWrap/>
          </w:tcPr>
          <w:p w14:paraId="7D621098" w14:textId="77777777" w:rsidR="009B3EB6" w:rsidRPr="00024EB0" w:rsidRDefault="009B3EB6" w:rsidP="00F20F17">
            <w:pPr>
              <w:pStyle w:val="TableText"/>
              <w:jc w:val="right"/>
            </w:pPr>
            <w:r w:rsidRPr="005B2B27">
              <w:t>$12,662</w:t>
            </w:r>
          </w:p>
        </w:tc>
        <w:tc>
          <w:tcPr>
            <w:tcW w:w="443" w:type="pct"/>
            <w:tcBorders>
              <w:top w:val="nil"/>
              <w:bottom w:val="nil"/>
            </w:tcBorders>
            <w:noWrap/>
          </w:tcPr>
          <w:p w14:paraId="362387D6" w14:textId="77777777" w:rsidR="009B3EB6" w:rsidRPr="00024EB0" w:rsidRDefault="009B3EB6" w:rsidP="00F20F17">
            <w:pPr>
              <w:pStyle w:val="TableText"/>
              <w:jc w:val="right"/>
            </w:pPr>
            <w:r w:rsidRPr="005B2B27">
              <w:t>69%</w:t>
            </w:r>
          </w:p>
        </w:tc>
      </w:tr>
      <w:tr w:rsidR="009B3EB6" w:rsidRPr="00024EB0" w14:paraId="46EE2D6A" w14:textId="77777777" w:rsidTr="00F20F17">
        <w:trPr>
          <w:trHeight w:val="300"/>
        </w:trPr>
        <w:tc>
          <w:tcPr>
            <w:tcW w:w="2749" w:type="pct"/>
            <w:tcBorders>
              <w:top w:val="nil"/>
              <w:bottom w:val="nil"/>
            </w:tcBorders>
            <w:noWrap/>
            <w:hideMark/>
          </w:tcPr>
          <w:p w14:paraId="1AF20349" w14:textId="77777777" w:rsidR="009B3EB6" w:rsidRPr="00024EB0" w:rsidRDefault="009B3EB6" w:rsidP="00F20F17">
            <w:pPr>
              <w:pStyle w:val="TableText"/>
            </w:pPr>
            <w:r w:rsidRPr="00917F12">
              <w:t>97.2% for panels</w:t>
            </w:r>
            <w:r>
              <w:t>, 95.9%</w:t>
            </w:r>
            <w:r w:rsidRPr="00916E2F">
              <w:rPr>
                <w:vertAlign w:val="superscript"/>
              </w:rPr>
              <w:t>a</w:t>
            </w:r>
            <w:r>
              <w:t xml:space="preserve"> for single-gene testing</w:t>
            </w:r>
          </w:p>
        </w:tc>
        <w:tc>
          <w:tcPr>
            <w:tcW w:w="602" w:type="pct"/>
            <w:tcBorders>
              <w:top w:val="nil"/>
              <w:bottom w:val="nil"/>
            </w:tcBorders>
            <w:noWrap/>
          </w:tcPr>
          <w:p w14:paraId="5174D06D" w14:textId="77777777" w:rsidR="009B3EB6" w:rsidRPr="00024EB0" w:rsidRDefault="009B3EB6" w:rsidP="00F20F17">
            <w:pPr>
              <w:pStyle w:val="TableText"/>
              <w:jc w:val="right"/>
            </w:pPr>
            <w:r w:rsidRPr="005B2B27">
              <w:t>$221.50</w:t>
            </w:r>
          </w:p>
        </w:tc>
        <w:tc>
          <w:tcPr>
            <w:tcW w:w="603" w:type="pct"/>
            <w:tcBorders>
              <w:top w:val="nil"/>
              <w:bottom w:val="nil"/>
            </w:tcBorders>
            <w:noWrap/>
          </w:tcPr>
          <w:p w14:paraId="096CB553" w14:textId="77777777" w:rsidR="009B3EB6" w:rsidRPr="00024EB0" w:rsidRDefault="009B3EB6" w:rsidP="00F20F17">
            <w:pPr>
              <w:pStyle w:val="TableText"/>
              <w:jc w:val="right"/>
            </w:pPr>
            <w:r w:rsidRPr="005B2B27">
              <w:t>0.0221</w:t>
            </w:r>
          </w:p>
        </w:tc>
        <w:tc>
          <w:tcPr>
            <w:tcW w:w="603" w:type="pct"/>
            <w:tcBorders>
              <w:top w:val="nil"/>
              <w:bottom w:val="nil"/>
            </w:tcBorders>
            <w:noWrap/>
          </w:tcPr>
          <w:p w14:paraId="2A74EED2" w14:textId="77777777" w:rsidR="009B3EB6" w:rsidRPr="00024EB0" w:rsidRDefault="009B3EB6" w:rsidP="00F20F17">
            <w:pPr>
              <w:pStyle w:val="TableText"/>
              <w:jc w:val="right"/>
            </w:pPr>
            <w:r w:rsidRPr="005B2B27">
              <w:t>$10,026</w:t>
            </w:r>
          </w:p>
        </w:tc>
        <w:tc>
          <w:tcPr>
            <w:tcW w:w="443" w:type="pct"/>
            <w:tcBorders>
              <w:top w:val="nil"/>
              <w:bottom w:val="nil"/>
            </w:tcBorders>
            <w:noWrap/>
          </w:tcPr>
          <w:p w14:paraId="62FAB492" w14:textId="77777777" w:rsidR="009B3EB6" w:rsidRPr="00024EB0" w:rsidRDefault="009B3EB6" w:rsidP="00F20F17">
            <w:pPr>
              <w:pStyle w:val="TableText"/>
              <w:jc w:val="right"/>
            </w:pPr>
            <w:r w:rsidRPr="005B2B27">
              <w:t>34%</w:t>
            </w:r>
          </w:p>
        </w:tc>
      </w:tr>
      <w:tr w:rsidR="009B3EB6" w:rsidRPr="00024EB0" w14:paraId="2EC97A2F" w14:textId="77777777" w:rsidTr="00F20F17">
        <w:trPr>
          <w:trHeight w:val="300"/>
        </w:trPr>
        <w:tc>
          <w:tcPr>
            <w:tcW w:w="2749" w:type="pct"/>
            <w:tcBorders>
              <w:top w:val="nil"/>
              <w:bottom w:val="single" w:sz="4" w:space="0" w:color="auto"/>
            </w:tcBorders>
            <w:noWrap/>
            <w:hideMark/>
          </w:tcPr>
          <w:p w14:paraId="3A511652" w14:textId="77777777" w:rsidR="009B3EB6" w:rsidRPr="00024EB0" w:rsidRDefault="009B3EB6" w:rsidP="00F20F17">
            <w:pPr>
              <w:pStyle w:val="TableText"/>
            </w:pPr>
            <w:r w:rsidRPr="00917F12">
              <w:t>97.2% for panels</w:t>
            </w:r>
            <w:r>
              <w:t>, 92.0%</w:t>
            </w:r>
            <w:r>
              <w:rPr>
                <w:vertAlign w:val="superscript"/>
              </w:rPr>
              <w:t>b</w:t>
            </w:r>
            <w:r>
              <w:t xml:space="preserve"> for single-gene testing</w:t>
            </w:r>
          </w:p>
        </w:tc>
        <w:tc>
          <w:tcPr>
            <w:tcW w:w="602" w:type="pct"/>
            <w:tcBorders>
              <w:top w:val="nil"/>
              <w:bottom w:val="single" w:sz="4" w:space="0" w:color="auto"/>
            </w:tcBorders>
            <w:noWrap/>
          </w:tcPr>
          <w:p w14:paraId="53D22752" w14:textId="77777777" w:rsidR="009B3EB6" w:rsidRPr="00024EB0" w:rsidRDefault="009B3EB6" w:rsidP="00F20F17">
            <w:pPr>
              <w:pStyle w:val="TableText"/>
              <w:jc w:val="right"/>
            </w:pPr>
            <w:r w:rsidRPr="005B2B27">
              <w:t>$64.07</w:t>
            </w:r>
          </w:p>
        </w:tc>
        <w:tc>
          <w:tcPr>
            <w:tcW w:w="603" w:type="pct"/>
            <w:tcBorders>
              <w:top w:val="nil"/>
              <w:bottom w:val="single" w:sz="4" w:space="0" w:color="auto"/>
            </w:tcBorders>
            <w:noWrap/>
          </w:tcPr>
          <w:p w14:paraId="403B6555" w14:textId="77777777" w:rsidR="009B3EB6" w:rsidRPr="00024EB0" w:rsidRDefault="009B3EB6" w:rsidP="00F20F17">
            <w:pPr>
              <w:pStyle w:val="TableText"/>
              <w:jc w:val="right"/>
            </w:pPr>
            <w:r w:rsidRPr="005B2B27">
              <w:t>0.0235</w:t>
            </w:r>
          </w:p>
        </w:tc>
        <w:tc>
          <w:tcPr>
            <w:tcW w:w="603" w:type="pct"/>
            <w:tcBorders>
              <w:top w:val="nil"/>
              <w:bottom w:val="single" w:sz="4" w:space="0" w:color="auto"/>
            </w:tcBorders>
            <w:noWrap/>
          </w:tcPr>
          <w:p w14:paraId="41AB40F9" w14:textId="77777777" w:rsidR="009B3EB6" w:rsidRPr="00024EB0" w:rsidRDefault="009B3EB6" w:rsidP="00F20F17">
            <w:pPr>
              <w:pStyle w:val="TableText"/>
              <w:jc w:val="right"/>
            </w:pPr>
            <w:r w:rsidRPr="005B2B27">
              <w:t>$2,731</w:t>
            </w:r>
          </w:p>
        </w:tc>
        <w:tc>
          <w:tcPr>
            <w:tcW w:w="443" w:type="pct"/>
            <w:tcBorders>
              <w:top w:val="nil"/>
              <w:bottom w:val="single" w:sz="4" w:space="0" w:color="auto"/>
            </w:tcBorders>
            <w:noWrap/>
          </w:tcPr>
          <w:p w14:paraId="61E87B27" w14:textId="77777777" w:rsidR="009B3EB6" w:rsidRPr="00024EB0" w:rsidRDefault="009B3EB6" w:rsidP="00F20F17">
            <w:pPr>
              <w:pStyle w:val="TableText"/>
              <w:jc w:val="right"/>
            </w:pPr>
            <w:r w:rsidRPr="005B2B27">
              <w:t>−64%</w:t>
            </w:r>
          </w:p>
        </w:tc>
      </w:tr>
      <w:tr w:rsidR="009B3EB6" w:rsidRPr="00024EB0" w14:paraId="240C1184" w14:textId="77777777" w:rsidTr="00F20F17">
        <w:trPr>
          <w:trHeight w:val="300"/>
        </w:trPr>
        <w:tc>
          <w:tcPr>
            <w:tcW w:w="2749" w:type="pct"/>
            <w:tcBorders>
              <w:top w:val="single" w:sz="4" w:space="0" w:color="auto"/>
              <w:bottom w:val="single" w:sz="4" w:space="0" w:color="auto"/>
              <w:right w:val="nil"/>
            </w:tcBorders>
            <w:noWrap/>
          </w:tcPr>
          <w:p w14:paraId="02612FF3" w14:textId="77777777" w:rsidR="009B3EB6" w:rsidRPr="00917F12" w:rsidRDefault="009B3EB6" w:rsidP="00F20F17">
            <w:pPr>
              <w:pStyle w:val="TableText"/>
            </w:pPr>
            <w:r w:rsidRPr="00DB3E00">
              <w:rPr>
                <w:i/>
              </w:rPr>
              <w:t xml:space="preserve">ALK </w:t>
            </w:r>
            <w:r>
              <w:t xml:space="preserve">small gene panel </w:t>
            </w:r>
            <w:r w:rsidRPr="00024EB0">
              <w:t>concordan</w:t>
            </w:r>
            <w:r>
              <w:t xml:space="preserve">ce </w:t>
            </w:r>
            <w:r>
              <w:br/>
              <w:t xml:space="preserve">(base case: vs clinical utility standard, </w:t>
            </w:r>
            <w:r w:rsidRPr="00024EB0">
              <w:t>FISH</w:t>
            </w:r>
            <w:r>
              <w:t xml:space="preserve"> ≥15% positivity</w:t>
            </w:r>
            <w:r w:rsidRPr="00024EB0">
              <w:t>)</w:t>
            </w:r>
          </w:p>
        </w:tc>
        <w:tc>
          <w:tcPr>
            <w:tcW w:w="602" w:type="pct"/>
            <w:tcBorders>
              <w:top w:val="single" w:sz="4" w:space="0" w:color="auto"/>
              <w:left w:val="nil"/>
              <w:bottom w:val="single" w:sz="4" w:space="0" w:color="auto"/>
              <w:right w:val="nil"/>
            </w:tcBorders>
            <w:noWrap/>
          </w:tcPr>
          <w:p w14:paraId="65792CB4" w14:textId="77777777" w:rsidR="009B3EB6" w:rsidRPr="00917F12" w:rsidRDefault="009B3EB6" w:rsidP="00F20F17">
            <w:pPr>
              <w:pStyle w:val="TableText"/>
              <w:jc w:val="right"/>
            </w:pPr>
          </w:p>
        </w:tc>
        <w:tc>
          <w:tcPr>
            <w:tcW w:w="603" w:type="pct"/>
            <w:tcBorders>
              <w:top w:val="single" w:sz="4" w:space="0" w:color="auto"/>
              <w:left w:val="nil"/>
              <w:bottom w:val="single" w:sz="4" w:space="0" w:color="auto"/>
              <w:right w:val="nil"/>
            </w:tcBorders>
            <w:noWrap/>
          </w:tcPr>
          <w:p w14:paraId="74B4F4C5" w14:textId="77777777" w:rsidR="009B3EB6" w:rsidRPr="00917F12" w:rsidRDefault="009B3EB6" w:rsidP="00F20F17">
            <w:pPr>
              <w:pStyle w:val="TableText"/>
              <w:jc w:val="right"/>
            </w:pPr>
          </w:p>
        </w:tc>
        <w:tc>
          <w:tcPr>
            <w:tcW w:w="603" w:type="pct"/>
            <w:tcBorders>
              <w:top w:val="single" w:sz="4" w:space="0" w:color="auto"/>
              <w:left w:val="nil"/>
              <w:bottom w:val="single" w:sz="4" w:space="0" w:color="auto"/>
              <w:right w:val="nil"/>
            </w:tcBorders>
            <w:noWrap/>
          </w:tcPr>
          <w:p w14:paraId="5D1F1251" w14:textId="77777777" w:rsidR="009B3EB6" w:rsidRPr="00917F12" w:rsidRDefault="009B3EB6" w:rsidP="00F20F17">
            <w:pPr>
              <w:pStyle w:val="TableText"/>
              <w:jc w:val="right"/>
            </w:pPr>
          </w:p>
        </w:tc>
        <w:tc>
          <w:tcPr>
            <w:tcW w:w="443" w:type="pct"/>
            <w:tcBorders>
              <w:top w:val="single" w:sz="4" w:space="0" w:color="auto"/>
              <w:left w:val="nil"/>
              <w:bottom w:val="single" w:sz="4" w:space="0" w:color="auto"/>
            </w:tcBorders>
            <w:noWrap/>
          </w:tcPr>
          <w:p w14:paraId="0C0E84DF" w14:textId="77777777" w:rsidR="009B3EB6" w:rsidRPr="00917F12" w:rsidRDefault="009B3EB6" w:rsidP="00F20F17">
            <w:pPr>
              <w:pStyle w:val="TableText"/>
              <w:jc w:val="right"/>
            </w:pPr>
          </w:p>
        </w:tc>
      </w:tr>
      <w:tr w:rsidR="009B3EB6" w:rsidRPr="00024EB0" w14:paraId="76E9A471" w14:textId="77777777" w:rsidTr="00F20F17">
        <w:trPr>
          <w:trHeight w:val="300"/>
        </w:trPr>
        <w:tc>
          <w:tcPr>
            <w:tcW w:w="2749" w:type="pct"/>
            <w:tcBorders>
              <w:bottom w:val="nil"/>
            </w:tcBorders>
            <w:noWrap/>
            <w:hideMark/>
          </w:tcPr>
          <w:p w14:paraId="7E08B8C3" w14:textId="77777777" w:rsidR="009B3EB6" w:rsidRPr="00024EB0" w:rsidRDefault="009B3EB6" w:rsidP="00F20F17">
            <w:pPr>
              <w:pStyle w:val="TableText"/>
            </w:pPr>
            <w:r w:rsidRPr="00DB3E00">
              <w:rPr>
                <w:i/>
              </w:rPr>
              <w:t xml:space="preserve">ALK </w:t>
            </w:r>
            <w:r>
              <w:t xml:space="preserve">small gene panel </w:t>
            </w:r>
            <w:r w:rsidRPr="00024EB0">
              <w:t>concordan</w:t>
            </w:r>
            <w:r>
              <w:t xml:space="preserve">ce vs FISH ± IHC </w:t>
            </w:r>
            <w:r w:rsidRPr="002E183D">
              <w:rPr>
                <w:b/>
              </w:rPr>
              <w:t>#1</w:t>
            </w:r>
          </w:p>
        </w:tc>
        <w:tc>
          <w:tcPr>
            <w:tcW w:w="602" w:type="pct"/>
            <w:tcBorders>
              <w:bottom w:val="nil"/>
            </w:tcBorders>
            <w:noWrap/>
          </w:tcPr>
          <w:p w14:paraId="2FA4F971" w14:textId="77777777" w:rsidR="009B3EB6" w:rsidRPr="00024EB0" w:rsidRDefault="009B3EB6" w:rsidP="00F20F17">
            <w:pPr>
              <w:pStyle w:val="TableText"/>
              <w:jc w:val="right"/>
            </w:pPr>
            <w:r w:rsidRPr="005B2B27">
              <w:t>$168.99</w:t>
            </w:r>
          </w:p>
        </w:tc>
        <w:tc>
          <w:tcPr>
            <w:tcW w:w="603" w:type="pct"/>
            <w:tcBorders>
              <w:bottom w:val="nil"/>
            </w:tcBorders>
            <w:noWrap/>
          </w:tcPr>
          <w:p w14:paraId="67022D67" w14:textId="77777777" w:rsidR="009B3EB6" w:rsidRPr="00024EB0" w:rsidRDefault="009B3EB6" w:rsidP="00F20F17">
            <w:pPr>
              <w:pStyle w:val="TableText"/>
              <w:jc w:val="right"/>
            </w:pPr>
            <w:r w:rsidRPr="005B2B27">
              <w:t>0.0219</w:t>
            </w:r>
          </w:p>
        </w:tc>
        <w:tc>
          <w:tcPr>
            <w:tcW w:w="603" w:type="pct"/>
            <w:tcBorders>
              <w:bottom w:val="nil"/>
            </w:tcBorders>
            <w:noWrap/>
          </w:tcPr>
          <w:p w14:paraId="5994C1F3" w14:textId="77777777" w:rsidR="009B3EB6" w:rsidRPr="00024EB0" w:rsidRDefault="009B3EB6" w:rsidP="00F20F17">
            <w:pPr>
              <w:pStyle w:val="TableText"/>
              <w:jc w:val="right"/>
            </w:pPr>
            <w:r w:rsidRPr="005B2B27">
              <w:t>$7,730</w:t>
            </w:r>
          </w:p>
        </w:tc>
        <w:tc>
          <w:tcPr>
            <w:tcW w:w="443" w:type="pct"/>
            <w:tcBorders>
              <w:bottom w:val="nil"/>
            </w:tcBorders>
            <w:noWrap/>
          </w:tcPr>
          <w:p w14:paraId="3AE178F2" w14:textId="77777777" w:rsidR="009B3EB6" w:rsidRPr="00024EB0" w:rsidRDefault="009B3EB6" w:rsidP="00F20F17">
            <w:pPr>
              <w:pStyle w:val="TableText"/>
              <w:jc w:val="right"/>
            </w:pPr>
            <w:r w:rsidRPr="005B2B27">
              <w:t>3%</w:t>
            </w:r>
          </w:p>
        </w:tc>
      </w:tr>
      <w:tr w:rsidR="009B3EB6" w:rsidRPr="00024EB0" w14:paraId="5FCB5BFC" w14:textId="77777777" w:rsidTr="00F20F17">
        <w:trPr>
          <w:trHeight w:val="300"/>
        </w:trPr>
        <w:tc>
          <w:tcPr>
            <w:tcW w:w="2749" w:type="pct"/>
            <w:tcBorders>
              <w:top w:val="nil"/>
              <w:bottom w:val="single" w:sz="4" w:space="0" w:color="auto"/>
            </w:tcBorders>
            <w:noWrap/>
          </w:tcPr>
          <w:p w14:paraId="7C567CA8" w14:textId="77777777" w:rsidR="009B3EB6" w:rsidRPr="00DB3E00" w:rsidRDefault="009B3EB6" w:rsidP="00F20F17">
            <w:pPr>
              <w:pStyle w:val="TableText"/>
              <w:rPr>
                <w:i/>
              </w:rPr>
            </w:pPr>
            <w:r w:rsidRPr="00DB3E00">
              <w:rPr>
                <w:i/>
              </w:rPr>
              <w:t xml:space="preserve">ALK </w:t>
            </w:r>
            <w:r>
              <w:t xml:space="preserve">small gene panel </w:t>
            </w:r>
            <w:r w:rsidRPr="00024EB0">
              <w:t>concordan</w:t>
            </w:r>
            <w:r>
              <w:t>ce vs FISH</w:t>
            </w:r>
          </w:p>
        </w:tc>
        <w:tc>
          <w:tcPr>
            <w:tcW w:w="602" w:type="pct"/>
            <w:tcBorders>
              <w:top w:val="nil"/>
              <w:bottom w:val="single" w:sz="4" w:space="0" w:color="auto"/>
            </w:tcBorders>
            <w:noWrap/>
          </w:tcPr>
          <w:p w14:paraId="1CF931BE" w14:textId="77777777" w:rsidR="009B3EB6" w:rsidRPr="00024EB0" w:rsidRDefault="009B3EB6" w:rsidP="00F20F17">
            <w:pPr>
              <w:pStyle w:val="TableText"/>
              <w:jc w:val="right"/>
            </w:pPr>
            <w:r w:rsidRPr="005B2B27">
              <w:t>$169.00</w:t>
            </w:r>
          </w:p>
        </w:tc>
        <w:tc>
          <w:tcPr>
            <w:tcW w:w="603" w:type="pct"/>
            <w:tcBorders>
              <w:top w:val="nil"/>
              <w:bottom w:val="single" w:sz="4" w:space="0" w:color="auto"/>
            </w:tcBorders>
            <w:noWrap/>
          </w:tcPr>
          <w:p w14:paraId="1EF6117B" w14:textId="77777777" w:rsidR="009B3EB6" w:rsidRPr="00024EB0" w:rsidRDefault="009B3EB6" w:rsidP="00F20F17">
            <w:pPr>
              <w:pStyle w:val="TableText"/>
              <w:jc w:val="right"/>
            </w:pPr>
            <w:r w:rsidRPr="005B2B27">
              <w:t>0.0360</w:t>
            </w:r>
          </w:p>
        </w:tc>
        <w:tc>
          <w:tcPr>
            <w:tcW w:w="603" w:type="pct"/>
            <w:tcBorders>
              <w:top w:val="nil"/>
              <w:bottom w:val="single" w:sz="4" w:space="0" w:color="auto"/>
            </w:tcBorders>
            <w:noWrap/>
          </w:tcPr>
          <w:p w14:paraId="61094BC9" w14:textId="77777777" w:rsidR="009B3EB6" w:rsidRPr="00024EB0" w:rsidRDefault="009B3EB6" w:rsidP="00F20F17">
            <w:pPr>
              <w:pStyle w:val="TableText"/>
              <w:jc w:val="right"/>
            </w:pPr>
            <w:r w:rsidRPr="005B2B27">
              <w:t>$4,697</w:t>
            </w:r>
          </w:p>
        </w:tc>
        <w:tc>
          <w:tcPr>
            <w:tcW w:w="443" w:type="pct"/>
            <w:tcBorders>
              <w:top w:val="nil"/>
              <w:bottom w:val="single" w:sz="4" w:space="0" w:color="auto"/>
            </w:tcBorders>
            <w:noWrap/>
          </w:tcPr>
          <w:p w14:paraId="3CAD4F63" w14:textId="77777777" w:rsidR="009B3EB6" w:rsidRPr="00024EB0" w:rsidRDefault="009B3EB6" w:rsidP="00F20F17">
            <w:pPr>
              <w:pStyle w:val="TableText"/>
              <w:jc w:val="right"/>
            </w:pPr>
            <w:r w:rsidRPr="005B2B27">
              <w:t>−37%</w:t>
            </w:r>
          </w:p>
        </w:tc>
      </w:tr>
      <w:tr w:rsidR="009B3EB6" w:rsidRPr="00024EB0" w14:paraId="039CC050" w14:textId="77777777" w:rsidTr="00F20F17">
        <w:trPr>
          <w:trHeight w:val="300"/>
        </w:trPr>
        <w:tc>
          <w:tcPr>
            <w:tcW w:w="2749" w:type="pct"/>
            <w:tcBorders>
              <w:bottom w:val="single" w:sz="4" w:space="0" w:color="auto"/>
              <w:right w:val="nil"/>
            </w:tcBorders>
            <w:noWrap/>
            <w:hideMark/>
          </w:tcPr>
          <w:p w14:paraId="1794B647" w14:textId="77777777" w:rsidR="009B3EB6" w:rsidRPr="00024EB0" w:rsidRDefault="009B3EB6" w:rsidP="00F20F17">
            <w:pPr>
              <w:pStyle w:val="TableText"/>
            </w:pPr>
            <w:r w:rsidRPr="00024EB0">
              <w:t>Small panel concordance</w:t>
            </w:r>
          </w:p>
        </w:tc>
        <w:tc>
          <w:tcPr>
            <w:tcW w:w="602" w:type="pct"/>
            <w:tcBorders>
              <w:left w:val="nil"/>
              <w:bottom w:val="single" w:sz="4" w:space="0" w:color="auto"/>
              <w:right w:val="nil"/>
            </w:tcBorders>
            <w:noWrap/>
          </w:tcPr>
          <w:p w14:paraId="3F219291"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0600972D"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5FB44C4C" w14:textId="77777777" w:rsidR="009B3EB6" w:rsidRPr="00024EB0" w:rsidRDefault="009B3EB6" w:rsidP="00F20F17">
            <w:pPr>
              <w:pStyle w:val="TableText"/>
              <w:jc w:val="right"/>
            </w:pPr>
          </w:p>
        </w:tc>
        <w:tc>
          <w:tcPr>
            <w:tcW w:w="443" w:type="pct"/>
            <w:tcBorders>
              <w:left w:val="nil"/>
              <w:bottom w:val="single" w:sz="4" w:space="0" w:color="auto"/>
            </w:tcBorders>
            <w:noWrap/>
          </w:tcPr>
          <w:p w14:paraId="22DFED3B" w14:textId="77777777" w:rsidR="009B3EB6" w:rsidRPr="00024EB0" w:rsidRDefault="009B3EB6" w:rsidP="00F20F17">
            <w:pPr>
              <w:pStyle w:val="TableText"/>
              <w:jc w:val="right"/>
            </w:pPr>
          </w:p>
        </w:tc>
      </w:tr>
      <w:tr w:rsidR="009B3EB6" w:rsidRPr="00024EB0" w14:paraId="45583E6E" w14:textId="77777777" w:rsidTr="00F20F17">
        <w:trPr>
          <w:trHeight w:val="300"/>
        </w:trPr>
        <w:tc>
          <w:tcPr>
            <w:tcW w:w="2749" w:type="pct"/>
            <w:tcBorders>
              <w:bottom w:val="nil"/>
            </w:tcBorders>
            <w:noWrap/>
            <w:hideMark/>
          </w:tcPr>
          <w:p w14:paraId="2F8A624E" w14:textId="77777777" w:rsidR="009B3EB6" w:rsidRPr="00024EB0" w:rsidRDefault="009B3EB6" w:rsidP="00F20F17">
            <w:pPr>
              <w:pStyle w:val="TableText"/>
            </w:pPr>
            <w:r w:rsidRPr="00DB3E00">
              <w:rPr>
                <w:i/>
              </w:rPr>
              <w:t xml:space="preserve">ALK </w:t>
            </w:r>
            <w:r w:rsidRPr="00024EB0">
              <w:t>NPA, 0.</w:t>
            </w:r>
            <w:r>
              <w:t>97</w:t>
            </w:r>
            <w:r w:rsidRPr="00024EB0">
              <w:t xml:space="preserve"> (base case: 0.9</w:t>
            </w:r>
            <w:r>
              <w:t>9</w:t>
            </w:r>
            <w:r w:rsidRPr="00024EB0">
              <w:t>)</w:t>
            </w:r>
          </w:p>
        </w:tc>
        <w:tc>
          <w:tcPr>
            <w:tcW w:w="602" w:type="pct"/>
            <w:tcBorders>
              <w:bottom w:val="nil"/>
            </w:tcBorders>
            <w:noWrap/>
          </w:tcPr>
          <w:p w14:paraId="6AEA0860" w14:textId="77777777" w:rsidR="009B3EB6" w:rsidRPr="00024EB0" w:rsidRDefault="009B3EB6" w:rsidP="00F20F17">
            <w:pPr>
              <w:pStyle w:val="TableText"/>
              <w:jc w:val="right"/>
            </w:pPr>
            <w:r w:rsidRPr="005B2B27">
              <w:t>$169.02</w:t>
            </w:r>
          </w:p>
        </w:tc>
        <w:tc>
          <w:tcPr>
            <w:tcW w:w="603" w:type="pct"/>
            <w:tcBorders>
              <w:bottom w:val="nil"/>
            </w:tcBorders>
            <w:noWrap/>
          </w:tcPr>
          <w:p w14:paraId="2F503400" w14:textId="77777777" w:rsidR="009B3EB6" w:rsidRPr="00024EB0" w:rsidRDefault="009B3EB6" w:rsidP="00F20F17">
            <w:pPr>
              <w:pStyle w:val="TableText"/>
              <w:jc w:val="right"/>
            </w:pPr>
            <w:r w:rsidRPr="005B2B27">
              <w:t>0.0375</w:t>
            </w:r>
          </w:p>
        </w:tc>
        <w:tc>
          <w:tcPr>
            <w:tcW w:w="603" w:type="pct"/>
            <w:tcBorders>
              <w:bottom w:val="nil"/>
            </w:tcBorders>
            <w:noWrap/>
          </w:tcPr>
          <w:p w14:paraId="32E7B7D9" w14:textId="77777777" w:rsidR="009B3EB6" w:rsidRPr="00024EB0" w:rsidRDefault="009B3EB6" w:rsidP="00F20F17">
            <w:pPr>
              <w:pStyle w:val="TableText"/>
              <w:jc w:val="right"/>
            </w:pPr>
            <w:r w:rsidRPr="005B2B27">
              <w:t>$4,509</w:t>
            </w:r>
          </w:p>
        </w:tc>
        <w:tc>
          <w:tcPr>
            <w:tcW w:w="443" w:type="pct"/>
            <w:tcBorders>
              <w:bottom w:val="nil"/>
            </w:tcBorders>
            <w:noWrap/>
          </w:tcPr>
          <w:p w14:paraId="7E84BD1F" w14:textId="77777777" w:rsidR="009B3EB6" w:rsidRPr="00024EB0" w:rsidRDefault="009B3EB6" w:rsidP="00F20F17">
            <w:pPr>
              <w:pStyle w:val="TableText"/>
              <w:jc w:val="right"/>
            </w:pPr>
            <w:r w:rsidRPr="005B2B27">
              <w:t>−40%</w:t>
            </w:r>
          </w:p>
        </w:tc>
      </w:tr>
      <w:tr w:rsidR="009B3EB6" w:rsidRPr="00024EB0" w14:paraId="2E1403CC" w14:textId="77777777" w:rsidTr="00F20F17">
        <w:trPr>
          <w:trHeight w:val="300"/>
        </w:trPr>
        <w:tc>
          <w:tcPr>
            <w:tcW w:w="2749" w:type="pct"/>
            <w:tcBorders>
              <w:top w:val="nil"/>
              <w:bottom w:val="single" w:sz="4" w:space="0" w:color="auto"/>
            </w:tcBorders>
            <w:noWrap/>
            <w:hideMark/>
          </w:tcPr>
          <w:p w14:paraId="655FD8A7" w14:textId="77777777" w:rsidR="009B3EB6" w:rsidRPr="00024EB0" w:rsidRDefault="009B3EB6" w:rsidP="00F20F17">
            <w:pPr>
              <w:pStyle w:val="TableText"/>
            </w:pPr>
            <w:r w:rsidRPr="00DB3E00">
              <w:rPr>
                <w:i/>
              </w:rPr>
              <w:t xml:space="preserve">ALK </w:t>
            </w:r>
            <w:r w:rsidRPr="00024EB0">
              <w:t>NPA, 1.00 (base case: 0.9</w:t>
            </w:r>
            <w:r>
              <w:t>9</w:t>
            </w:r>
            <w:r w:rsidRPr="00024EB0">
              <w:t>)</w:t>
            </w:r>
          </w:p>
        </w:tc>
        <w:tc>
          <w:tcPr>
            <w:tcW w:w="602" w:type="pct"/>
            <w:tcBorders>
              <w:top w:val="nil"/>
              <w:bottom w:val="single" w:sz="4" w:space="0" w:color="auto"/>
            </w:tcBorders>
            <w:noWrap/>
          </w:tcPr>
          <w:p w14:paraId="29075E94" w14:textId="77777777" w:rsidR="009B3EB6" w:rsidRPr="00024EB0" w:rsidRDefault="009B3EB6" w:rsidP="00F20F17">
            <w:pPr>
              <w:pStyle w:val="TableText"/>
              <w:jc w:val="right"/>
            </w:pPr>
            <w:r w:rsidRPr="005B2B27">
              <w:t>$169.02</w:t>
            </w:r>
          </w:p>
        </w:tc>
        <w:tc>
          <w:tcPr>
            <w:tcW w:w="603" w:type="pct"/>
            <w:tcBorders>
              <w:top w:val="nil"/>
              <w:bottom w:val="single" w:sz="4" w:space="0" w:color="auto"/>
            </w:tcBorders>
            <w:noWrap/>
          </w:tcPr>
          <w:p w14:paraId="1AC41A6D" w14:textId="77777777" w:rsidR="009B3EB6" w:rsidRPr="00024EB0" w:rsidRDefault="009B3EB6" w:rsidP="00F20F17">
            <w:pPr>
              <w:pStyle w:val="TableText"/>
              <w:jc w:val="right"/>
            </w:pPr>
            <w:r w:rsidRPr="005B2B27">
              <w:t>0.0166</w:t>
            </w:r>
          </w:p>
        </w:tc>
        <w:tc>
          <w:tcPr>
            <w:tcW w:w="603" w:type="pct"/>
            <w:tcBorders>
              <w:top w:val="nil"/>
              <w:bottom w:val="single" w:sz="4" w:space="0" w:color="auto"/>
            </w:tcBorders>
            <w:noWrap/>
          </w:tcPr>
          <w:p w14:paraId="70368616" w14:textId="77777777" w:rsidR="009B3EB6" w:rsidRPr="00024EB0" w:rsidRDefault="009B3EB6" w:rsidP="00F20F17">
            <w:pPr>
              <w:pStyle w:val="TableText"/>
              <w:jc w:val="right"/>
            </w:pPr>
            <w:r w:rsidRPr="005B2B27">
              <w:t>$10,162</w:t>
            </w:r>
          </w:p>
        </w:tc>
        <w:tc>
          <w:tcPr>
            <w:tcW w:w="443" w:type="pct"/>
            <w:tcBorders>
              <w:top w:val="nil"/>
              <w:bottom w:val="single" w:sz="4" w:space="0" w:color="auto"/>
            </w:tcBorders>
            <w:noWrap/>
          </w:tcPr>
          <w:p w14:paraId="76C2E68F" w14:textId="77777777" w:rsidR="009B3EB6" w:rsidRPr="00024EB0" w:rsidRDefault="009B3EB6" w:rsidP="00F20F17">
            <w:pPr>
              <w:pStyle w:val="TableText"/>
              <w:jc w:val="right"/>
            </w:pPr>
            <w:r w:rsidRPr="005B2B27">
              <w:t>36%</w:t>
            </w:r>
          </w:p>
        </w:tc>
      </w:tr>
      <w:tr w:rsidR="009B3EB6" w:rsidRPr="00024EB0" w14:paraId="4F942AB7" w14:textId="77777777" w:rsidTr="00F20F17">
        <w:trPr>
          <w:trHeight w:val="300"/>
        </w:trPr>
        <w:tc>
          <w:tcPr>
            <w:tcW w:w="2749" w:type="pct"/>
            <w:tcBorders>
              <w:top w:val="nil"/>
              <w:bottom w:val="single" w:sz="4" w:space="0" w:color="auto"/>
            </w:tcBorders>
            <w:noWrap/>
          </w:tcPr>
          <w:p w14:paraId="50E268B9" w14:textId="77777777" w:rsidR="009B3EB6" w:rsidRPr="00DD0D7A" w:rsidRDefault="009B3EB6" w:rsidP="00F20F17">
            <w:pPr>
              <w:pStyle w:val="TableText"/>
            </w:pPr>
            <w:r>
              <w:rPr>
                <w:i/>
              </w:rPr>
              <w:t xml:space="preserve">ALK </w:t>
            </w:r>
            <w:r>
              <w:t>PPA, 0.48 (base case: 1.00)</w:t>
            </w:r>
          </w:p>
        </w:tc>
        <w:tc>
          <w:tcPr>
            <w:tcW w:w="602" w:type="pct"/>
            <w:tcBorders>
              <w:top w:val="nil"/>
              <w:bottom w:val="single" w:sz="4" w:space="0" w:color="auto"/>
            </w:tcBorders>
            <w:noWrap/>
          </w:tcPr>
          <w:p w14:paraId="18D86337" w14:textId="77777777" w:rsidR="009B3EB6" w:rsidRPr="00024EB0" w:rsidRDefault="009B3EB6" w:rsidP="00F20F17">
            <w:pPr>
              <w:pStyle w:val="TableText"/>
              <w:jc w:val="right"/>
            </w:pPr>
            <w:r w:rsidRPr="005B2B27">
              <w:t>$168.81</w:t>
            </w:r>
          </w:p>
        </w:tc>
        <w:tc>
          <w:tcPr>
            <w:tcW w:w="603" w:type="pct"/>
            <w:tcBorders>
              <w:top w:val="nil"/>
              <w:bottom w:val="single" w:sz="4" w:space="0" w:color="auto"/>
            </w:tcBorders>
            <w:noWrap/>
          </w:tcPr>
          <w:p w14:paraId="4062FEEF" w14:textId="77777777" w:rsidR="009B3EB6" w:rsidRPr="00024EB0" w:rsidRDefault="009B3EB6" w:rsidP="00F20F17">
            <w:pPr>
              <w:pStyle w:val="TableText"/>
              <w:jc w:val="right"/>
            </w:pPr>
            <w:r w:rsidRPr="005B2B27">
              <w:t>0.0114</w:t>
            </w:r>
          </w:p>
        </w:tc>
        <w:tc>
          <w:tcPr>
            <w:tcW w:w="603" w:type="pct"/>
            <w:tcBorders>
              <w:top w:val="nil"/>
              <w:bottom w:val="single" w:sz="4" w:space="0" w:color="auto"/>
            </w:tcBorders>
            <w:noWrap/>
          </w:tcPr>
          <w:p w14:paraId="30DAFB61" w14:textId="77777777" w:rsidR="009B3EB6" w:rsidRPr="00024EB0" w:rsidRDefault="009B3EB6" w:rsidP="00F20F17">
            <w:pPr>
              <w:pStyle w:val="TableText"/>
              <w:jc w:val="right"/>
            </w:pPr>
            <w:r w:rsidRPr="005B2B27">
              <w:t>$14,848</w:t>
            </w:r>
          </w:p>
        </w:tc>
        <w:tc>
          <w:tcPr>
            <w:tcW w:w="443" w:type="pct"/>
            <w:tcBorders>
              <w:top w:val="nil"/>
              <w:bottom w:val="single" w:sz="4" w:space="0" w:color="auto"/>
            </w:tcBorders>
            <w:noWrap/>
          </w:tcPr>
          <w:p w14:paraId="5BEA88EF" w14:textId="77777777" w:rsidR="009B3EB6" w:rsidRPr="00024EB0" w:rsidRDefault="009B3EB6" w:rsidP="00F20F17">
            <w:pPr>
              <w:pStyle w:val="TableText"/>
              <w:jc w:val="right"/>
            </w:pPr>
            <w:r w:rsidRPr="005B2B27">
              <w:t>98%</w:t>
            </w:r>
          </w:p>
        </w:tc>
      </w:tr>
      <w:tr w:rsidR="009B3EB6" w:rsidRPr="00024EB0" w14:paraId="7E3AE8DC" w14:textId="77777777" w:rsidTr="00F20F17">
        <w:trPr>
          <w:trHeight w:val="300"/>
        </w:trPr>
        <w:tc>
          <w:tcPr>
            <w:tcW w:w="2749" w:type="pct"/>
            <w:tcBorders>
              <w:bottom w:val="nil"/>
            </w:tcBorders>
            <w:noWrap/>
            <w:hideMark/>
          </w:tcPr>
          <w:p w14:paraId="02378BEC" w14:textId="77777777" w:rsidR="009B3EB6" w:rsidRPr="00024EB0" w:rsidRDefault="009B3EB6" w:rsidP="00F20F17">
            <w:pPr>
              <w:pStyle w:val="TableText"/>
            </w:pPr>
            <w:r w:rsidRPr="00DB3E00">
              <w:rPr>
                <w:i/>
              </w:rPr>
              <w:t xml:space="preserve">EGFR </w:t>
            </w:r>
            <w:r w:rsidRPr="00024EB0">
              <w:t>NPA, 0.95 (base case: 0.97)</w:t>
            </w:r>
          </w:p>
        </w:tc>
        <w:tc>
          <w:tcPr>
            <w:tcW w:w="602" w:type="pct"/>
            <w:tcBorders>
              <w:bottom w:val="nil"/>
            </w:tcBorders>
            <w:noWrap/>
          </w:tcPr>
          <w:p w14:paraId="27FF7D41" w14:textId="77777777" w:rsidR="009B3EB6" w:rsidRPr="00024EB0" w:rsidRDefault="009B3EB6" w:rsidP="00F20F17">
            <w:pPr>
              <w:pStyle w:val="TableText"/>
              <w:jc w:val="right"/>
            </w:pPr>
            <w:r w:rsidRPr="005B2B27">
              <w:t>$161.36</w:t>
            </w:r>
          </w:p>
        </w:tc>
        <w:tc>
          <w:tcPr>
            <w:tcW w:w="603" w:type="pct"/>
            <w:tcBorders>
              <w:bottom w:val="nil"/>
            </w:tcBorders>
            <w:noWrap/>
          </w:tcPr>
          <w:p w14:paraId="0F74FA04" w14:textId="77777777" w:rsidR="009B3EB6" w:rsidRPr="00024EB0" w:rsidRDefault="009B3EB6" w:rsidP="00F20F17">
            <w:pPr>
              <w:pStyle w:val="TableText"/>
              <w:jc w:val="right"/>
            </w:pPr>
            <w:r w:rsidRPr="005B2B27">
              <w:t>0.0354</w:t>
            </w:r>
          </w:p>
        </w:tc>
        <w:tc>
          <w:tcPr>
            <w:tcW w:w="603" w:type="pct"/>
            <w:tcBorders>
              <w:bottom w:val="nil"/>
            </w:tcBorders>
            <w:noWrap/>
          </w:tcPr>
          <w:p w14:paraId="15A815F1" w14:textId="77777777" w:rsidR="009B3EB6" w:rsidRPr="00024EB0" w:rsidRDefault="009B3EB6" w:rsidP="00F20F17">
            <w:pPr>
              <w:pStyle w:val="TableText"/>
              <w:jc w:val="right"/>
            </w:pPr>
            <w:r w:rsidRPr="005B2B27">
              <w:t>$4,562</w:t>
            </w:r>
          </w:p>
        </w:tc>
        <w:tc>
          <w:tcPr>
            <w:tcW w:w="443" w:type="pct"/>
            <w:tcBorders>
              <w:bottom w:val="nil"/>
            </w:tcBorders>
            <w:noWrap/>
          </w:tcPr>
          <w:p w14:paraId="6C5E71A6" w14:textId="77777777" w:rsidR="009B3EB6" w:rsidRPr="00024EB0" w:rsidRDefault="009B3EB6" w:rsidP="00F20F17">
            <w:pPr>
              <w:pStyle w:val="TableText"/>
              <w:jc w:val="right"/>
            </w:pPr>
            <w:r w:rsidRPr="005B2B27">
              <w:t>−39%</w:t>
            </w:r>
          </w:p>
        </w:tc>
      </w:tr>
      <w:tr w:rsidR="009B3EB6" w:rsidRPr="00024EB0" w14:paraId="5D186AA3" w14:textId="77777777" w:rsidTr="00F20F17">
        <w:trPr>
          <w:trHeight w:val="300"/>
        </w:trPr>
        <w:tc>
          <w:tcPr>
            <w:tcW w:w="2749" w:type="pct"/>
            <w:tcBorders>
              <w:top w:val="nil"/>
              <w:bottom w:val="single" w:sz="4" w:space="0" w:color="auto"/>
            </w:tcBorders>
            <w:noWrap/>
            <w:hideMark/>
          </w:tcPr>
          <w:p w14:paraId="35042DFE" w14:textId="77777777" w:rsidR="009B3EB6" w:rsidRPr="00024EB0" w:rsidRDefault="009B3EB6" w:rsidP="00F20F17">
            <w:pPr>
              <w:pStyle w:val="TableText"/>
            </w:pPr>
            <w:r w:rsidRPr="00DB3E00">
              <w:rPr>
                <w:i/>
              </w:rPr>
              <w:t xml:space="preserve">EGFR </w:t>
            </w:r>
            <w:r w:rsidRPr="00024EB0">
              <w:t>NPA, 0.99 (base case: 0.97)</w:t>
            </w:r>
          </w:p>
        </w:tc>
        <w:tc>
          <w:tcPr>
            <w:tcW w:w="602" w:type="pct"/>
            <w:tcBorders>
              <w:top w:val="nil"/>
              <w:bottom w:val="single" w:sz="4" w:space="0" w:color="auto"/>
            </w:tcBorders>
            <w:noWrap/>
          </w:tcPr>
          <w:p w14:paraId="7C653CAA" w14:textId="77777777" w:rsidR="009B3EB6" w:rsidRPr="00024EB0" w:rsidRDefault="009B3EB6" w:rsidP="00F20F17">
            <w:pPr>
              <w:pStyle w:val="TableText"/>
              <w:jc w:val="right"/>
            </w:pPr>
            <w:r w:rsidRPr="005B2B27">
              <w:t>$176.69</w:t>
            </w:r>
          </w:p>
        </w:tc>
        <w:tc>
          <w:tcPr>
            <w:tcW w:w="603" w:type="pct"/>
            <w:tcBorders>
              <w:top w:val="nil"/>
              <w:bottom w:val="single" w:sz="4" w:space="0" w:color="auto"/>
            </w:tcBorders>
            <w:noWrap/>
          </w:tcPr>
          <w:p w14:paraId="52D54C54" w14:textId="77777777" w:rsidR="009B3EB6" w:rsidRPr="00024EB0" w:rsidRDefault="009B3EB6" w:rsidP="00F20F17">
            <w:pPr>
              <w:pStyle w:val="TableText"/>
              <w:jc w:val="right"/>
            </w:pPr>
            <w:r w:rsidRPr="005B2B27">
              <w:t>0.0097</w:t>
            </w:r>
          </w:p>
        </w:tc>
        <w:tc>
          <w:tcPr>
            <w:tcW w:w="603" w:type="pct"/>
            <w:tcBorders>
              <w:top w:val="nil"/>
              <w:bottom w:val="single" w:sz="4" w:space="0" w:color="auto"/>
            </w:tcBorders>
            <w:noWrap/>
          </w:tcPr>
          <w:p w14:paraId="5BDE150C" w14:textId="77777777" w:rsidR="009B3EB6" w:rsidRPr="00024EB0" w:rsidRDefault="009B3EB6" w:rsidP="00F20F17">
            <w:pPr>
              <w:pStyle w:val="TableText"/>
              <w:jc w:val="right"/>
            </w:pPr>
            <w:r w:rsidRPr="005B2B27">
              <w:t>$18,168</w:t>
            </w:r>
          </w:p>
        </w:tc>
        <w:tc>
          <w:tcPr>
            <w:tcW w:w="443" w:type="pct"/>
            <w:tcBorders>
              <w:top w:val="nil"/>
              <w:bottom w:val="single" w:sz="4" w:space="0" w:color="auto"/>
            </w:tcBorders>
            <w:noWrap/>
          </w:tcPr>
          <w:p w14:paraId="71DA41BA" w14:textId="77777777" w:rsidR="009B3EB6" w:rsidRPr="00024EB0" w:rsidRDefault="009B3EB6" w:rsidP="00F20F17">
            <w:pPr>
              <w:pStyle w:val="TableText"/>
              <w:jc w:val="right"/>
            </w:pPr>
            <w:r w:rsidRPr="005B2B27">
              <w:t>142%</w:t>
            </w:r>
          </w:p>
        </w:tc>
      </w:tr>
      <w:tr w:rsidR="009B3EB6" w:rsidRPr="00024EB0" w14:paraId="323EB51C" w14:textId="77777777" w:rsidTr="00F20F17">
        <w:trPr>
          <w:trHeight w:val="300"/>
        </w:trPr>
        <w:tc>
          <w:tcPr>
            <w:tcW w:w="2749" w:type="pct"/>
            <w:tcBorders>
              <w:bottom w:val="single" w:sz="4" w:space="0" w:color="auto"/>
            </w:tcBorders>
            <w:noWrap/>
            <w:hideMark/>
          </w:tcPr>
          <w:p w14:paraId="0CBFE8FA" w14:textId="77777777" w:rsidR="009B3EB6" w:rsidRPr="00024EB0" w:rsidRDefault="009B3EB6" w:rsidP="00F20F17">
            <w:pPr>
              <w:pStyle w:val="TableText"/>
            </w:pPr>
            <w:r w:rsidRPr="00DB3E00">
              <w:rPr>
                <w:i/>
              </w:rPr>
              <w:t>MET</w:t>
            </w:r>
            <w:r w:rsidRPr="00024EB0">
              <w:t>ex14sk NPA, 0.93 (base case: 1.00)</w:t>
            </w:r>
          </w:p>
        </w:tc>
        <w:tc>
          <w:tcPr>
            <w:tcW w:w="602" w:type="pct"/>
            <w:tcBorders>
              <w:bottom w:val="single" w:sz="4" w:space="0" w:color="auto"/>
            </w:tcBorders>
            <w:noWrap/>
          </w:tcPr>
          <w:p w14:paraId="395978AA" w14:textId="77777777" w:rsidR="009B3EB6" w:rsidRPr="00024EB0" w:rsidRDefault="009B3EB6" w:rsidP="00F20F17">
            <w:pPr>
              <w:pStyle w:val="TableText"/>
              <w:jc w:val="right"/>
            </w:pPr>
            <w:r w:rsidRPr="005B2B27">
              <w:t>$138.59</w:t>
            </w:r>
          </w:p>
        </w:tc>
        <w:tc>
          <w:tcPr>
            <w:tcW w:w="603" w:type="pct"/>
            <w:tcBorders>
              <w:bottom w:val="single" w:sz="4" w:space="0" w:color="auto"/>
            </w:tcBorders>
            <w:noWrap/>
          </w:tcPr>
          <w:p w14:paraId="3876F44A" w14:textId="77777777" w:rsidR="009B3EB6" w:rsidRPr="00024EB0" w:rsidRDefault="009B3EB6" w:rsidP="00F20F17">
            <w:pPr>
              <w:pStyle w:val="TableText"/>
              <w:jc w:val="right"/>
            </w:pPr>
            <w:r w:rsidRPr="005B2B27">
              <w:t>0.0734</w:t>
            </w:r>
          </w:p>
        </w:tc>
        <w:tc>
          <w:tcPr>
            <w:tcW w:w="603" w:type="pct"/>
            <w:tcBorders>
              <w:bottom w:val="single" w:sz="4" w:space="0" w:color="auto"/>
            </w:tcBorders>
            <w:noWrap/>
          </w:tcPr>
          <w:p w14:paraId="46868F41" w14:textId="77777777" w:rsidR="009B3EB6" w:rsidRPr="00024EB0" w:rsidRDefault="009B3EB6" w:rsidP="00F20F17">
            <w:pPr>
              <w:pStyle w:val="TableText"/>
              <w:jc w:val="right"/>
            </w:pPr>
            <w:r w:rsidRPr="005B2B27">
              <w:t>$1,887</w:t>
            </w:r>
          </w:p>
        </w:tc>
        <w:tc>
          <w:tcPr>
            <w:tcW w:w="443" w:type="pct"/>
            <w:tcBorders>
              <w:bottom w:val="single" w:sz="4" w:space="0" w:color="auto"/>
            </w:tcBorders>
            <w:noWrap/>
          </w:tcPr>
          <w:p w14:paraId="33327852" w14:textId="77777777" w:rsidR="009B3EB6" w:rsidRPr="00024EB0" w:rsidRDefault="009B3EB6" w:rsidP="00F20F17">
            <w:pPr>
              <w:pStyle w:val="TableText"/>
              <w:jc w:val="right"/>
            </w:pPr>
            <w:r w:rsidRPr="005B2B27">
              <w:t>−75%</w:t>
            </w:r>
          </w:p>
        </w:tc>
      </w:tr>
      <w:tr w:rsidR="009B3EB6" w:rsidRPr="00024EB0" w14:paraId="7EFDDD9A" w14:textId="77777777" w:rsidTr="00F20F17">
        <w:trPr>
          <w:trHeight w:val="300"/>
        </w:trPr>
        <w:tc>
          <w:tcPr>
            <w:tcW w:w="2749" w:type="pct"/>
            <w:tcBorders>
              <w:bottom w:val="single" w:sz="4" w:space="0" w:color="auto"/>
              <w:right w:val="nil"/>
            </w:tcBorders>
            <w:noWrap/>
            <w:hideMark/>
          </w:tcPr>
          <w:p w14:paraId="2AB6CC6A" w14:textId="77777777" w:rsidR="009B3EB6" w:rsidRPr="00024EB0" w:rsidRDefault="009B3EB6" w:rsidP="00F20F17">
            <w:pPr>
              <w:pStyle w:val="TableText"/>
            </w:pPr>
            <w:r w:rsidRPr="00024EB0">
              <w:t>Rebiopsy uptake rate (base case: 100%)</w:t>
            </w:r>
          </w:p>
        </w:tc>
        <w:tc>
          <w:tcPr>
            <w:tcW w:w="602" w:type="pct"/>
            <w:tcBorders>
              <w:left w:val="nil"/>
              <w:bottom w:val="single" w:sz="4" w:space="0" w:color="auto"/>
              <w:right w:val="nil"/>
            </w:tcBorders>
            <w:noWrap/>
          </w:tcPr>
          <w:p w14:paraId="41CCBECC"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66C06C1A" w14:textId="77777777" w:rsidR="009B3EB6" w:rsidRPr="00024EB0" w:rsidRDefault="009B3EB6" w:rsidP="00F20F17">
            <w:pPr>
              <w:pStyle w:val="TableText"/>
              <w:jc w:val="right"/>
            </w:pPr>
          </w:p>
        </w:tc>
        <w:tc>
          <w:tcPr>
            <w:tcW w:w="603" w:type="pct"/>
            <w:tcBorders>
              <w:left w:val="nil"/>
              <w:bottom w:val="single" w:sz="4" w:space="0" w:color="auto"/>
              <w:right w:val="nil"/>
            </w:tcBorders>
            <w:noWrap/>
          </w:tcPr>
          <w:p w14:paraId="7F001308" w14:textId="77777777" w:rsidR="009B3EB6" w:rsidRPr="00024EB0" w:rsidRDefault="009B3EB6" w:rsidP="00F20F17">
            <w:pPr>
              <w:pStyle w:val="TableText"/>
              <w:jc w:val="right"/>
            </w:pPr>
          </w:p>
        </w:tc>
        <w:tc>
          <w:tcPr>
            <w:tcW w:w="443" w:type="pct"/>
            <w:tcBorders>
              <w:left w:val="nil"/>
              <w:bottom w:val="single" w:sz="4" w:space="0" w:color="auto"/>
            </w:tcBorders>
            <w:noWrap/>
          </w:tcPr>
          <w:p w14:paraId="40E72832" w14:textId="77777777" w:rsidR="009B3EB6" w:rsidRPr="00024EB0" w:rsidRDefault="009B3EB6" w:rsidP="00F20F17">
            <w:pPr>
              <w:pStyle w:val="TableText"/>
              <w:jc w:val="right"/>
            </w:pPr>
          </w:p>
        </w:tc>
      </w:tr>
      <w:tr w:rsidR="009B3EB6" w:rsidRPr="00024EB0" w14:paraId="331F7215" w14:textId="77777777" w:rsidTr="00F20F17">
        <w:trPr>
          <w:trHeight w:val="300"/>
        </w:trPr>
        <w:tc>
          <w:tcPr>
            <w:tcW w:w="2749" w:type="pct"/>
            <w:tcBorders>
              <w:bottom w:val="nil"/>
            </w:tcBorders>
            <w:noWrap/>
            <w:hideMark/>
          </w:tcPr>
          <w:p w14:paraId="6C2B5C2C" w14:textId="77777777" w:rsidR="009B3EB6" w:rsidRPr="00024EB0" w:rsidRDefault="009B3EB6" w:rsidP="00F20F17">
            <w:pPr>
              <w:pStyle w:val="TableText"/>
            </w:pPr>
            <w:r w:rsidRPr="00024EB0">
              <w:t>30%</w:t>
            </w:r>
          </w:p>
        </w:tc>
        <w:tc>
          <w:tcPr>
            <w:tcW w:w="602" w:type="pct"/>
            <w:tcBorders>
              <w:bottom w:val="nil"/>
            </w:tcBorders>
            <w:noWrap/>
          </w:tcPr>
          <w:p w14:paraId="567BEE4E" w14:textId="77777777" w:rsidR="009B3EB6" w:rsidRPr="00024EB0" w:rsidRDefault="009B3EB6" w:rsidP="00F20F17">
            <w:pPr>
              <w:pStyle w:val="TableText"/>
              <w:jc w:val="right"/>
            </w:pPr>
            <w:r w:rsidRPr="005B2B27">
              <w:t>$254.94</w:t>
            </w:r>
          </w:p>
        </w:tc>
        <w:tc>
          <w:tcPr>
            <w:tcW w:w="603" w:type="pct"/>
            <w:tcBorders>
              <w:bottom w:val="nil"/>
            </w:tcBorders>
            <w:noWrap/>
          </w:tcPr>
          <w:p w14:paraId="6B721CF2" w14:textId="77777777" w:rsidR="009B3EB6" w:rsidRPr="00024EB0" w:rsidRDefault="009B3EB6" w:rsidP="00F20F17">
            <w:pPr>
              <w:pStyle w:val="TableText"/>
              <w:jc w:val="right"/>
            </w:pPr>
            <w:r w:rsidRPr="005B2B27">
              <w:t>0.0248</w:t>
            </w:r>
          </w:p>
        </w:tc>
        <w:tc>
          <w:tcPr>
            <w:tcW w:w="603" w:type="pct"/>
            <w:tcBorders>
              <w:bottom w:val="nil"/>
            </w:tcBorders>
            <w:noWrap/>
          </w:tcPr>
          <w:p w14:paraId="13CD5E5D" w14:textId="77777777" w:rsidR="009B3EB6" w:rsidRPr="00024EB0" w:rsidRDefault="009B3EB6" w:rsidP="00F20F17">
            <w:pPr>
              <w:pStyle w:val="TableText"/>
              <w:jc w:val="right"/>
            </w:pPr>
            <w:r w:rsidRPr="005B2B27">
              <w:t>$10,298</w:t>
            </w:r>
          </w:p>
        </w:tc>
        <w:tc>
          <w:tcPr>
            <w:tcW w:w="443" w:type="pct"/>
            <w:tcBorders>
              <w:bottom w:val="nil"/>
            </w:tcBorders>
            <w:noWrap/>
          </w:tcPr>
          <w:p w14:paraId="48A9BF5F" w14:textId="77777777" w:rsidR="009B3EB6" w:rsidRPr="00024EB0" w:rsidRDefault="009B3EB6" w:rsidP="00F20F17">
            <w:pPr>
              <w:pStyle w:val="TableText"/>
              <w:jc w:val="right"/>
            </w:pPr>
            <w:r w:rsidRPr="005B2B27">
              <w:t>37%</w:t>
            </w:r>
          </w:p>
        </w:tc>
      </w:tr>
      <w:tr w:rsidR="009B3EB6" w:rsidRPr="00024EB0" w14:paraId="5D64330D" w14:textId="77777777" w:rsidTr="00F20F17">
        <w:trPr>
          <w:trHeight w:val="300"/>
        </w:trPr>
        <w:tc>
          <w:tcPr>
            <w:tcW w:w="2749" w:type="pct"/>
            <w:tcBorders>
              <w:top w:val="nil"/>
            </w:tcBorders>
            <w:noWrap/>
            <w:hideMark/>
          </w:tcPr>
          <w:p w14:paraId="58686FE9" w14:textId="77777777" w:rsidR="009B3EB6" w:rsidRPr="00024EB0" w:rsidRDefault="009B3EB6" w:rsidP="00F20F17">
            <w:pPr>
              <w:pStyle w:val="TableText"/>
            </w:pPr>
            <w:r w:rsidRPr="00024EB0">
              <w:t>60%</w:t>
            </w:r>
          </w:p>
        </w:tc>
        <w:tc>
          <w:tcPr>
            <w:tcW w:w="602" w:type="pct"/>
            <w:tcBorders>
              <w:top w:val="nil"/>
            </w:tcBorders>
            <w:noWrap/>
          </w:tcPr>
          <w:p w14:paraId="399A2725" w14:textId="77777777" w:rsidR="009B3EB6" w:rsidRPr="00024EB0" w:rsidRDefault="009B3EB6" w:rsidP="00F20F17">
            <w:pPr>
              <w:pStyle w:val="TableText"/>
              <w:jc w:val="right"/>
            </w:pPr>
            <w:r w:rsidRPr="005B2B27">
              <w:t>$218.12</w:t>
            </w:r>
          </w:p>
        </w:tc>
        <w:tc>
          <w:tcPr>
            <w:tcW w:w="603" w:type="pct"/>
            <w:tcBorders>
              <w:top w:val="nil"/>
            </w:tcBorders>
            <w:noWrap/>
          </w:tcPr>
          <w:p w14:paraId="69DC86B0" w14:textId="77777777" w:rsidR="009B3EB6" w:rsidRPr="00024EB0" w:rsidRDefault="009B3EB6" w:rsidP="00F20F17">
            <w:pPr>
              <w:pStyle w:val="TableText"/>
              <w:jc w:val="right"/>
            </w:pPr>
            <w:r w:rsidRPr="005B2B27">
              <w:t>0.0238</w:t>
            </w:r>
          </w:p>
        </w:tc>
        <w:tc>
          <w:tcPr>
            <w:tcW w:w="603" w:type="pct"/>
            <w:tcBorders>
              <w:top w:val="nil"/>
            </w:tcBorders>
            <w:noWrap/>
          </w:tcPr>
          <w:p w14:paraId="4C27FC62" w14:textId="77777777" w:rsidR="009B3EB6" w:rsidRPr="00024EB0" w:rsidRDefault="009B3EB6" w:rsidP="00F20F17">
            <w:pPr>
              <w:pStyle w:val="TableText"/>
              <w:jc w:val="right"/>
            </w:pPr>
            <w:r w:rsidRPr="005B2B27">
              <w:t>$9,161</w:t>
            </w:r>
          </w:p>
        </w:tc>
        <w:tc>
          <w:tcPr>
            <w:tcW w:w="443" w:type="pct"/>
            <w:tcBorders>
              <w:top w:val="nil"/>
            </w:tcBorders>
            <w:noWrap/>
          </w:tcPr>
          <w:p w14:paraId="350A0B67" w14:textId="77777777" w:rsidR="009B3EB6" w:rsidRPr="00024EB0" w:rsidRDefault="009B3EB6" w:rsidP="00F20F17">
            <w:pPr>
              <w:pStyle w:val="TableText"/>
              <w:jc w:val="right"/>
            </w:pPr>
            <w:r w:rsidRPr="005B2B27">
              <w:t>22%</w:t>
            </w:r>
          </w:p>
        </w:tc>
      </w:tr>
      <w:tr w:rsidR="001E1B2D" w:rsidRPr="00024EB0" w14:paraId="5B34B9B5" w14:textId="77777777" w:rsidTr="00F20F17">
        <w:trPr>
          <w:trHeight w:val="300"/>
        </w:trPr>
        <w:tc>
          <w:tcPr>
            <w:tcW w:w="2749" w:type="pct"/>
            <w:noWrap/>
          </w:tcPr>
          <w:p w14:paraId="4769CA2A" w14:textId="77777777" w:rsidR="001E1B2D" w:rsidRPr="00024EB0" w:rsidRDefault="001E1B2D" w:rsidP="00F20F17">
            <w:pPr>
              <w:pStyle w:val="TableText"/>
            </w:pPr>
            <w:r>
              <w:t xml:space="preserve">Average fee charged for </w:t>
            </w:r>
            <w:r w:rsidRPr="00956452">
              <w:rPr>
                <w:i/>
              </w:rPr>
              <w:t>EGFR</w:t>
            </w:r>
            <w:r>
              <w:t xml:space="preserve"> and </w:t>
            </w:r>
            <w:r w:rsidRPr="00956452">
              <w:rPr>
                <w:i/>
              </w:rPr>
              <w:t>ALK</w:t>
            </w:r>
            <w:r>
              <w:t xml:space="preserve"> and </w:t>
            </w:r>
            <w:r w:rsidRPr="00956452">
              <w:rPr>
                <w:i/>
              </w:rPr>
              <w:t>ROS1</w:t>
            </w:r>
            <w:r>
              <w:t xml:space="preserve"> FISH </w:t>
            </w:r>
            <w:r>
              <w:br/>
              <w:t>(base case: MBS Schedule Fees)</w:t>
            </w:r>
          </w:p>
        </w:tc>
        <w:tc>
          <w:tcPr>
            <w:tcW w:w="602" w:type="pct"/>
            <w:noWrap/>
          </w:tcPr>
          <w:p w14:paraId="407D8AD8" w14:textId="77777777" w:rsidR="001E1B2D" w:rsidRPr="005B2B27" w:rsidRDefault="001E1B2D" w:rsidP="00F20F17">
            <w:pPr>
              <w:pStyle w:val="TableText"/>
              <w:jc w:val="right"/>
            </w:pPr>
            <w:r w:rsidRPr="009B6F33">
              <w:t>$185.26</w:t>
            </w:r>
          </w:p>
        </w:tc>
        <w:tc>
          <w:tcPr>
            <w:tcW w:w="603" w:type="pct"/>
            <w:noWrap/>
          </w:tcPr>
          <w:p w14:paraId="2B44554A" w14:textId="77777777" w:rsidR="001E1B2D" w:rsidRPr="005B2B27" w:rsidRDefault="001E1B2D" w:rsidP="00F20F17">
            <w:pPr>
              <w:pStyle w:val="TableText"/>
              <w:jc w:val="right"/>
            </w:pPr>
            <w:r w:rsidRPr="009B6F33">
              <w:t>0.0225</w:t>
            </w:r>
          </w:p>
        </w:tc>
        <w:tc>
          <w:tcPr>
            <w:tcW w:w="603" w:type="pct"/>
            <w:noWrap/>
          </w:tcPr>
          <w:p w14:paraId="7788C308" w14:textId="77777777" w:rsidR="001E1B2D" w:rsidRPr="005B2B27" w:rsidRDefault="001E1B2D" w:rsidP="00F20F17">
            <w:pPr>
              <w:pStyle w:val="TableText"/>
              <w:jc w:val="right"/>
            </w:pPr>
            <w:r w:rsidRPr="009B6F33">
              <w:t>$8,217</w:t>
            </w:r>
          </w:p>
        </w:tc>
        <w:tc>
          <w:tcPr>
            <w:tcW w:w="443" w:type="pct"/>
            <w:noWrap/>
          </w:tcPr>
          <w:p w14:paraId="54AF113A" w14:textId="77777777" w:rsidR="001E1B2D" w:rsidRPr="005B2B27" w:rsidRDefault="001E1B2D" w:rsidP="00F20F17">
            <w:pPr>
              <w:pStyle w:val="TableText"/>
              <w:jc w:val="right"/>
            </w:pPr>
            <w:r w:rsidRPr="009B6F33">
              <w:t>10%</w:t>
            </w:r>
          </w:p>
        </w:tc>
      </w:tr>
      <w:tr w:rsidR="009B3EB6" w:rsidRPr="00024EB0" w14:paraId="45F3CBE0" w14:textId="77777777" w:rsidTr="00F20F17">
        <w:trPr>
          <w:trHeight w:val="300"/>
        </w:trPr>
        <w:tc>
          <w:tcPr>
            <w:tcW w:w="2749" w:type="pct"/>
            <w:noWrap/>
            <w:hideMark/>
          </w:tcPr>
          <w:p w14:paraId="6807623F" w14:textId="77777777" w:rsidR="009B3EB6" w:rsidRPr="00024EB0" w:rsidRDefault="009B3EB6" w:rsidP="00F20F17">
            <w:pPr>
              <w:pStyle w:val="TableText"/>
            </w:pPr>
            <w:r w:rsidRPr="00024EB0">
              <w:t>FISH utilisation, use IHC NPA data (base case: calibrated)</w:t>
            </w:r>
            <w:r w:rsidRPr="00A20449">
              <w:rPr>
                <w:vertAlign w:val="superscript"/>
              </w:rPr>
              <w:t>c</w:t>
            </w:r>
            <w:r>
              <w:t xml:space="preserve"> </w:t>
            </w:r>
            <w:r w:rsidRPr="002E183D">
              <w:rPr>
                <w:b/>
              </w:rPr>
              <w:t>#2</w:t>
            </w:r>
          </w:p>
        </w:tc>
        <w:tc>
          <w:tcPr>
            <w:tcW w:w="602" w:type="pct"/>
            <w:noWrap/>
          </w:tcPr>
          <w:p w14:paraId="7E50F3A2" w14:textId="77777777" w:rsidR="009B3EB6" w:rsidRPr="00024EB0" w:rsidRDefault="009B3EB6" w:rsidP="00F20F17">
            <w:pPr>
              <w:pStyle w:val="TableText"/>
              <w:jc w:val="right"/>
            </w:pPr>
            <w:r w:rsidRPr="005B2B27">
              <w:t>$183.78</w:t>
            </w:r>
          </w:p>
        </w:tc>
        <w:tc>
          <w:tcPr>
            <w:tcW w:w="603" w:type="pct"/>
            <w:noWrap/>
          </w:tcPr>
          <w:p w14:paraId="029F8B83" w14:textId="77777777" w:rsidR="009B3EB6" w:rsidRPr="00024EB0" w:rsidRDefault="009B3EB6" w:rsidP="00F20F17">
            <w:pPr>
              <w:pStyle w:val="TableText"/>
              <w:jc w:val="right"/>
            </w:pPr>
            <w:r w:rsidRPr="005B2B27">
              <w:t>0.0225</w:t>
            </w:r>
          </w:p>
        </w:tc>
        <w:tc>
          <w:tcPr>
            <w:tcW w:w="603" w:type="pct"/>
            <w:noWrap/>
          </w:tcPr>
          <w:p w14:paraId="3DB7C53B" w14:textId="77777777" w:rsidR="009B3EB6" w:rsidRPr="00024EB0" w:rsidRDefault="009B3EB6" w:rsidP="00F20F17">
            <w:pPr>
              <w:pStyle w:val="TableText"/>
              <w:jc w:val="right"/>
            </w:pPr>
            <w:r w:rsidRPr="005B2B27">
              <w:t>$8,151</w:t>
            </w:r>
          </w:p>
        </w:tc>
        <w:tc>
          <w:tcPr>
            <w:tcW w:w="443" w:type="pct"/>
            <w:noWrap/>
          </w:tcPr>
          <w:p w14:paraId="4E163B75" w14:textId="77777777" w:rsidR="009B3EB6" w:rsidRPr="00024EB0" w:rsidRDefault="009B3EB6" w:rsidP="00F20F17">
            <w:pPr>
              <w:pStyle w:val="TableText"/>
              <w:jc w:val="right"/>
            </w:pPr>
            <w:r w:rsidRPr="005B2B27">
              <w:t>9%</w:t>
            </w:r>
          </w:p>
        </w:tc>
      </w:tr>
      <w:tr w:rsidR="009B3EB6" w:rsidRPr="00024EB0" w14:paraId="64872E90" w14:textId="77777777" w:rsidTr="00F20F17">
        <w:trPr>
          <w:trHeight w:val="300"/>
        </w:trPr>
        <w:tc>
          <w:tcPr>
            <w:tcW w:w="2749" w:type="pct"/>
            <w:tcBorders>
              <w:bottom w:val="single" w:sz="4" w:space="0" w:color="auto"/>
            </w:tcBorders>
            <w:noWrap/>
            <w:hideMark/>
          </w:tcPr>
          <w:p w14:paraId="34E11815" w14:textId="77777777" w:rsidR="009B3EB6" w:rsidRPr="00024EB0" w:rsidRDefault="009B3EB6" w:rsidP="00F20F17">
            <w:pPr>
              <w:pStyle w:val="TableText"/>
            </w:pPr>
            <w:r w:rsidRPr="00024EB0">
              <w:t xml:space="preserve">Separate RNA small panel use, allowed </w:t>
            </w:r>
            <w:r>
              <w:t>with</w:t>
            </w:r>
            <w:r w:rsidRPr="00024EB0">
              <w:t xml:space="preserve"> </w:t>
            </w:r>
            <w:r w:rsidRPr="00DB3E00">
              <w:rPr>
                <w:i/>
              </w:rPr>
              <w:t>KRAS</w:t>
            </w:r>
            <w:r w:rsidRPr="00024EB0">
              <w:t xml:space="preserve"> </w:t>
            </w:r>
            <w:r>
              <w:t>or</w:t>
            </w:r>
            <w:r w:rsidRPr="00024EB0">
              <w:t xml:space="preserve"> </w:t>
            </w:r>
            <w:r w:rsidRPr="00DB3E00">
              <w:rPr>
                <w:i/>
              </w:rPr>
              <w:t>BRAF</w:t>
            </w:r>
            <w:r w:rsidRPr="00024EB0">
              <w:t xml:space="preserve"> </w:t>
            </w:r>
            <w:r w:rsidRPr="002E183D">
              <w:rPr>
                <w:b/>
              </w:rPr>
              <w:t>#4</w:t>
            </w:r>
            <w:r w:rsidRPr="00024EB0">
              <w:t xml:space="preserve"> (base case: not allowed)</w:t>
            </w:r>
            <w:r>
              <w:t xml:space="preserve"> </w:t>
            </w:r>
          </w:p>
        </w:tc>
        <w:tc>
          <w:tcPr>
            <w:tcW w:w="602" w:type="pct"/>
            <w:tcBorders>
              <w:bottom w:val="single" w:sz="4" w:space="0" w:color="auto"/>
            </w:tcBorders>
            <w:noWrap/>
          </w:tcPr>
          <w:p w14:paraId="3A65B0F3" w14:textId="77777777" w:rsidR="009B3EB6" w:rsidRPr="00024EB0" w:rsidRDefault="009B3EB6" w:rsidP="00F20F17">
            <w:pPr>
              <w:pStyle w:val="TableText"/>
              <w:jc w:val="right"/>
            </w:pPr>
            <w:r w:rsidRPr="005B2B27">
              <w:t>$307.24</w:t>
            </w:r>
          </w:p>
        </w:tc>
        <w:tc>
          <w:tcPr>
            <w:tcW w:w="603" w:type="pct"/>
            <w:tcBorders>
              <w:bottom w:val="single" w:sz="4" w:space="0" w:color="auto"/>
            </w:tcBorders>
            <w:noWrap/>
          </w:tcPr>
          <w:p w14:paraId="6A423384" w14:textId="77777777" w:rsidR="009B3EB6" w:rsidRPr="00024EB0" w:rsidRDefault="009B3EB6" w:rsidP="00F20F17">
            <w:pPr>
              <w:pStyle w:val="TableText"/>
              <w:jc w:val="right"/>
            </w:pPr>
            <w:r w:rsidRPr="005B2B27">
              <w:t>0.0225</w:t>
            </w:r>
          </w:p>
        </w:tc>
        <w:tc>
          <w:tcPr>
            <w:tcW w:w="603" w:type="pct"/>
            <w:tcBorders>
              <w:bottom w:val="single" w:sz="4" w:space="0" w:color="auto"/>
            </w:tcBorders>
            <w:noWrap/>
          </w:tcPr>
          <w:p w14:paraId="08BF359C" w14:textId="77777777" w:rsidR="009B3EB6" w:rsidRPr="00024EB0" w:rsidRDefault="009B3EB6" w:rsidP="00F20F17">
            <w:pPr>
              <w:pStyle w:val="TableText"/>
              <w:jc w:val="right"/>
            </w:pPr>
            <w:r w:rsidRPr="005B2B27">
              <w:t>$13,627</w:t>
            </w:r>
          </w:p>
        </w:tc>
        <w:tc>
          <w:tcPr>
            <w:tcW w:w="443" w:type="pct"/>
            <w:tcBorders>
              <w:bottom w:val="single" w:sz="4" w:space="0" w:color="auto"/>
            </w:tcBorders>
            <w:noWrap/>
          </w:tcPr>
          <w:p w14:paraId="2A784F4E" w14:textId="77777777" w:rsidR="009B3EB6" w:rsidRPr="00024EB0" w:rsidRDefault="009B3EB6" w:rsidP="00F20F17">
            <w:pPr>
              <w:pStyle w:val="TableText"/>
              <w:jc w:val="right"/>
            </w:pPr>
            <w:r w:rsidRPr="005B2B27">
              <w:t>82%</w:t>
            </w:r>
          </w:p>
        </w:tc>
      </w:tr>
      <w:tr w:rsidR="009B3EB6" w:rsidRPr="00024EB0" w14:paraId="424F3385" w14:textId="77777777" w:rsidTr="00F20F17">
        <w:trPr>
          <w:trHeight w:val="300"/>
        </w:trPr>
        <w:tc>
          <w:tcPr>
            <w:tcW w:w="2749" w:type="pct"/>
            <w:tcBorders>
              <w:bottom w:val="single" w:sz="4" w:space="0" w:color="auto"/>
              <w:right w:val="single" w:sz="4" w:space="0" w:color="auto"/>
            </w:tcBorders>
            <w:noWrap/>
            <w:hideMark/>
          </w:tcPr>
          <w:p w14:paraId="3112323D" w14:textId="77777777" w:rsidR="009B3EB6" w:rsidRPr="00024EB0" w:rsidRDefault="009B3EB6" w:rsidP="00F20F17">
            <w:pPr>
              <w:pStyle w:val="TableText"/>
            </w:pPr>
            <w:r w:rsidRPr="00024EB0">
              <w:t xml:space="preserve">Proportion with </w:t>
            </w:r>
            <w:r w:rsidRPr="00DB3E00">
              <w:rPr>
                <w:i/>
              </w:rPr>
              <w:t>KRAS</w:t>
            </w:r>
            <w:r w:rsidRPr="00024EB0">
              <w:t xml:space="preserve"> or </w:t>
            </w:r>
            <w:r w:rsidRPr="00DB3E00">
              <w:rPr>
                <w:i/>
              </w:rPr>
              <w:t>BRAF</w:t>
            </w:r>
            <w:r w:rsidRPr="00024EB0">
              <w:t xml:space="preserve"> activating variants</w:t>
            </w:r>
            <w:r>
              <w:t>, 52%</w:t>
            </w:r>
            <w:r w:rsidRPr="00024EB0">
              <w:t xml:space="preserve"> </w:t>
            </w:r>
            <w:r>
              <w:br/>
            </w:r>
            <w:r w:rsidRPr="00024EB0">
              <w:t>(base case: 30.8%)</w:t>
            </w:r>
          </w:p>
        </w:tc>
        <w:tc>
          <w:tcPr>
            <w:tcW w:w="602" w:type="pct"/>
            <w:tcBorders>
              <w:left w:val="single" w:sz="4" w:space="0" w:color="auto"/>
              <w:bottom w:val="single" w:sz="4" w:space="0" w:color="auto"/>
              <w:right w:val="single" w:sz="4" w:space="0" w:color="auto"/>
            </w:tcBorders>
            <w:noWrap/>
          </w:tcPr>
          <w:p w14:paraId="221E2587" w14:textId="77777777" w:rsidR="009B3EB6" w:rsidRPr="00024EB0" w:rsidRDefault="009B3EB6" w:rsidP="00F20F17">
            <w:pPr>
              <w:pStyle w:val="TableText"/>
              <w:jc w:val="right"/>
            </w:pPr>
            <w:r w:rsidRPr="005B2B27">
              <w:t>$73.89</w:t>
            </w:r>
          </w:p>
        </w:tc>
        <w:tc>
          <w:tcPr>
            <w:tcW w:w="603" w:type="pct"/>
            <w:tcBorders>
              <w:left w:val="single" w:sz="4" w:space="0" w:color="auto"/>
              <w:bottom w:val="single" w:sz="4" w:space="0" w:color="auto"/>
              <w:right w:val="single" w:sz="4" w:space="0" w:color="auto"/>
            </w:tcBorders>
            <w:noWrap/>
          </w:tcPr>
          <w:p w14:paraId="79927DF0" w14:textId="77777777" w:rsidR="009B3EB6" w:rsidRPr="00024EB0" w:rsidRDefault="009B3EB6" w:rsidP="00F20F17">
            <w:pPr>
              <w:pStyle w:val="TableText"/>
              <w:jc w:val="right"/>
            </w:pPr>
            <w:r w:rsidRPr="005B2B27">
              <w:t>0.0225</w:t>
            </w:r>
          </w:p>
        </w:tc>
        <w:tc>
          <w:tcPr>
            <w:tcW w:w="603" w:type="pct"/>
            <w:tcBorders>
              <w:left w:val="single" w:sz="4" w:space="0" w:color="auto"/>
              <w:bottom w:val="single" w:sz="4" w:space="0" w:color="auto"/>
              <w:right w:val="single" w:sz="4" w:space="0" w:color="auto"/>
            </w:tcBorders>
            <w:noWrap/>
          </w:tcPr>
          <w:p w14:paraId="03F64E7C" w14:textId="77777777" w:rsidR="009B3EB6" w:rsidRPr="00024EB0" w:rsidRDefault="009B3EB6" w:rsidP="00F20F17">
            <w:pPr>
              <w:pStyle w:val="TableText"/>
              <w:jc w:val="right"/>
            </w:pPr>
            <w:r w:rsidRPr="005B2B27">
              <w:t>$3,277</w:t>
            </w:r>
          </w:p>
        </w:tc>
        <w:tc>
          <w:tcPr>
            <w:tcW w:w="443" w:type="pct"/>
            <w:tcBorders>
              <w:left w:val="single" w:sz="4" w:space="0" w:color="auto"/>
              <w:bottom w:val="single" w:sz="4" w:space="0" w:color="auto"/>
            </w:tcBorders>
            <w:noWrap/>
          </w:tcPr>
          <w:p w14:paraId="1B2DACE9" w14:textId="77777777" w:rsidR="009B3EB6" w:rsidRPr="00024EB0" w:rsidRDefault="009B3EB6" w:rsidP="00F20F17">
            <w:pPr>
              <w:pStyle w:val="TableText"/>
              <w:jc w:val="right"/>
            </w:pPr>
            <w:r w:rsidRPr="005B2B27">
              <w:t>−56%</w:t>
            </w:r>
          </w:p>
        </w:tc>
      </w:tr>
      <w:tr w:rsidR="009B3EB6" w:rsidRPr="00024EB0" w14:paraId="1BA1A387" w14:textId="77777777" w:rsidTr="00F20F17">
        <w:trPr>
          <w:trHeight w:val="300"/>
        </w:trPr>
        <w:tc>
          <w:tcPr>
            <w:tcW w:w="2749" w:type="pct"/>
            <w:tcBorders>
              <w:bottom w:val="single" w:sz="4" w:space="0" w:color="auto"/>
              <w:right w:val="single" w:sz="4" w:space="0" w:color="auto"/>
            </w:tcBorders>
            <w:noWrap/>
            <w:hideMark/>
          </w:tcPr>
          <w:p w14:paraId="73785D17" w14:textId="77777777" w:rsidR="009B3EB6" w:rsidRPr="00024EB0" w:rsidRDefault="009B3EB6" w:rsidP="00F20F17">
            <w:pPr>
              <w:pStyle w:val="TableText"/>
            </w:pPr>
            <w:r>
              <w:t xml:space="preserve">Rebiopsy cost, </w:t>
            </w:r>
            <w:r w:rsidRPr="00024EB0">
              <w:t>$3,369 [all outpatient]</w:t>
            </w:r>
            <w:r>
              <w:t xml:space="preserve"> </w:t>
            </w:r>
            <w:r w:rsidRPr="002E183D">
              <w:rPr>
                <w:b/>
              </w:rPr>
              <w:t>#3</w:t>
            </w:r>
            <w:r w:rsidRPr="00024EB0">
              <w:t xml:space="preserve"> </w:t>
            </w:r>
            <w:r>
              <w:br/>
            </w:r>
            <w:r w:rsidRPr="00024EB0">
              <w:t>(base case: $5,630 [all inpatient])</w:t>
            </w:r>
          </w:p>
        </w:tc>
        <w:tc>
          <w:tcPr>
            <w:tcW w:w="602" w:type="pct"/>
            <w:tcBorders>
              <w:left w:val="single" w:sz="4" w:space="0" w:color="auto"/>
              <w:bottom w:val="single" w:sz="4" w:space="0" w:color="auto"/>
              <w:right w:val="single" w:sz="4" w:space="0" w:color="auto"/>
            </w:tcBorders>
            <w:noWrap/>
          </w:tcPr>
          <w:p w14:paraId="6B982B25" w14:textId="77777777" w:rsidR="009B3EB6" w:rsidRPr="00024EB0" w:rsidRDefault="009B3EB6" w:rsidP="00F20F17">
            <w:pPr>
              <w:pStyle w:val="TableText"/>
              <w:jc w:val="right"/>
            </w:pPr>
            <w:r w:rsidRPr="005B2B27">
              <w:t>$213.63</w:t>
            </w:r>
          </w:p>
        </w:tc>
        <w:tc>
          <w:tcPr>
            <w:tcW w:w="603" w:type="pct"/>
            <w:tcBorders>
              <w:left w:val="single" w:sz="4" w:space="0" w:color="auto"/>
              <w:bottom w:val="single" w:sz="4" w:space="0" w:color="auto"/>
              <w:right w:val="single" w:sz="4" w:space="0" w:color="auto"/>
            </w:tcBorders>
            <w:noWrap/>
          </w:tcPr>
          <w:p w14:paraId="47BC2AF1" w14:textId="77777777" w:rsidR="009B3EB6" w:rsidRPr="00024EB0" w:rsidRDefault="009B3EB6" w:rsidP="00F20F17">
            <w:pPr>
              <w:pStyle w:val="TableText"/>
              <w:jc w:val="right"/>
            </w:pPr>
            <w:r w:rsidRPr="005B2B27">
              <w:t>0.0225</w:t>
            </w:r>
          </w:p>
        </w:tc>
        <w:tc>
          <w:tcPr>
            <w:tcW w:w="603" w:type="pct"/>
            <w:tcBorders>
              <w:left w:val="single" w:sz="4" w:space="0" w:color="auto"/>
              <w:bottom w:val="single" w:sz="4" w:space="0" w:color="auto"/>
              <w:right w:val="single" w:sz="4" w:space="0" w:color="auto"/>
            </w:tcBorders>
            <w:noWrap/>
          </w:tcPr>
          <w:p w14:paraId="18C84D2C" w14:textId="77777777" w:rsidR="009B3EB6" w:rsidRPr="00024EB0" w:rsidRDefault="009B3EB6" w:rsidP="00F20F17">
            <w:pPr>
              <w:pStyle w:val="TableText"/>
              <w:jc w:val="right"/>
            </w:pPr>
            <w:r w:rsidRPr="005B2B27">
              <w:t>$9,475</w:t>
            </w:r>
          </w:p>
        </w:tc>
        <w:tc>
          <w:tcPr>
            <w:tcW w:w="443" w:type="pct"/>
            <w:tcBorders>
              <w:left w:val="single" w:sz="4" w:space="0" w:color="auto"/>
              <w:bottom w:val="single" w:sz="4" w:space="0" w:color="auto"/>
            </w:tcBorders>
            <w:noWrap/>
          </w:tcPr>
          <w:p w14:paraId="574560DB" w14:textId="77777777" w:rsidR="009B3EB6" w:rsidRPr="00024EB0" w:rsidRDefault="009B3EB6" w:rsidP="00F20F17">
            <w:pPr>
              <w:pStyle w:val="TableText"/>
              <w:jc w:val="right"/>
            </w:pPr>
            <w:r w:rsidRPr="005B2B27">
              <w:t>26%</w:t>
            </w:r>
          </w:p>
        </w:tc>
      </w:tr>
      <w:tr w:rsidR="009B3EB6" w:rsidRPr="002E183D" w14:paraId="00810ABA" w14:textId="77777777" w:rsidTr="00F20F17">
        <w:trPr>
          <w:trHeight w:val="300"/>
        </w:trPr>
        <w:tc>
          <w:tcPr>
            <w:tcW w:w="2749" w:type="pct"/>
            <w:tcBorders>
              <w:bottom w:val="single" w:sz="4" w:space="0" w:color="auto"/>
              <w:right w:val="nil"/>
            </w:tcBorders>
            <w:noWrap/>
            <w:hideMark/>
          </w:tcPr>
          <w:p w14:paraId="230B3016" w14:textId="77777777" w:rsidR="009B3EB6" w:rsidRPr="002E183D" w:rsidRDefault="009B3EB6" w:rsidP="00F20F17">
            <w:pPr>
              <w:pStyle w:val="TableText"/>
              <w:keepNext/>
              <w:rPr>
                <w:b/>
              </w:rPr>
            </w:pPr>
            <w:r w:rsidRPr="002E183D">
              <w:rPr>
                <w:b/>
              </w:rPr>
              <w:t>Multivariate analyses</w:t>
            </w:r>
          </w:p>
        </w:tc>
        <w:tc>
          <w:tcPr>
            <w:tcW w:w="602" w:type="pct"/>
            <w:tcBorders>
              <w:left w:val="nil"/>
              <w:bottom w:val="single" w:sz="4" w:space="0" w:color="auto"/>
              <w:right w:val="nil"/>
            </w:tcBorders>
            <w:noWrap/>
            <w:hideMark/>
          </w:tcPr>
          <w:p w14:paraId="7F407EC0" w14:textId="77777777" w:rsidR="009B3EB6" w:rsidRPr="002E183D" w:rsidRDefault="009B3EB6" w:rsidP="00F20F17">
            <w:pPr>
              <w:pStyle w:val="TableText"/>
              <w:keepNext/>
              <w:jc w:val="right"/>
              <w:rPr>
                <w:b/>
              </w:rPr>
            </w:pPr>
          </w:p>
        </w:tc>
        <w:tc>
          <w:tcPr>
            <w:tcW w:w="603" w:type="pct"/>
            <w:tcBorders>
              <w:left w:val="nil"/>
              <w:bottom w:val="single" w:sz="4" w:space="0" w:color="auto"/>
              <w:right w:val="nil"/>
            </w:tcBorders>
            <w:noWrap/>
            <w:hideMark/>
          </w:tcPr>
          <w:p w14:paraId="684B85E2" w14:textId="77777777" w:rsidR="009B3EB6" w:rsidRPr="002E183D" w:rsidRDefault="009B3EB6" w:rsidP="00F20F17">
            <w:pPr>
              <w:pStyle w:val="TableText"/>
              <w:keepNext/>
              <w:jc w:val="right"/>
              <w:rPr>
                <w:b/>
              </w:rPr>
            </w:pPr>
          </w:p>
        </w:tc>
        <w:tc>
          <w:tcPr>
            <w:tcW w:w="603" w:type="pct"/>
            <w:tcBorders>
              <w:left w:val="nil"/>
              <w:bottom w:val="single" w:sz="4" w:space="0" w:color="auto"/>
              <w:right w:val="nil"/>
            </w:tcBorders>
            <w:noWrap/>
            <w:hideMark/>
          </w:tcPr>
          <w:p w14:paraId="345C0BF0" w14:textId="77777777" w:rsidR="009B3EB6" w:rsidRPr="002E183D" w:rsidRDefault="009B3EB6" w:rsidP="00F20F17">
            <w:pPr>
              <w:pStyle w:val="TableText"/>
              <w:keepNext/>
              <w:jc w:val="right"/>
              <w:rPr>
                <w:b/>
              </w:rPr>
            </w:pPr>
          </w:p>
        </w:tc>
        <w:tc>
          <w:tcPr>
            <w:tcW w:w="443" w:type="pct"/>
            <w:tcBorders>
              <w:left w:val="nil"/>
              <w:bottom w:val="single" w:sz="4" w:space="0" w:color="auto"/>
            </w:tcBorders>
            <w:noWrap/>
            <w:hideMark/>
          </w:tcPr>
          <w:p w14:paraId="4A42D20D" w14:textId="77777777" w:rsidR="009B3EB6" w:rsidRPr="002E183D" w:rsidRDefault="009B3EB6" w:rsidP="00F20F17">
            <w:pPr>
              <w:pStyle w:val="TableText"/>
              <w:keepNext/>
              <w:jc w:val="right"/>
              <w:rPr>
                <w:b/>
              </w:rPr>
            </w:pPr>
          </w:p>
        </w:tc>
      </w:tr>
      <w:tr w:rsidR="009B3EB6" w:rsidRPr="00024EB0" w14:paraId="1BF94A57" w14:textId="77777777" w:rsidTr="00F20F17">
        <w:trPr>
          <w:trHeight w:val="300"/>
        </w:trPr>
        <w:tc>
          <w:tcPr>
            <w:tcW w:w="2749" w:type="pct"/>
            <w:tcBorders>
              <w:bottom w:val="nil"/>
            </w:tcBorders>
            <w:noWrap/>
          </w:tcPr>
          <w:p w14:paraId="7185386A" w14:textId="77777777" w:rsidR="009B3EB6" w:rsidRPr="00024EB0" w:rsidRDefault="009B3EB6" w:rsidP="00F20F17">
            <w:pPr>
              <w:pStyle w:val="TableText"/>
              <w:keepNext/>
            </w:pPr>
            <w:r>
              <w:t>#1 AND #2</w:t>
            </w:r>
          </w:p>
        </w:tc>
        <w:tc>
          <w:tcPr>
            <w:tcW w:w="602" w:type="pct"/>
            <w:tcBorders>
              <w:bottom w:val="nil"/>
            </w:tcBorders>
            <w:noWrap/>
          </w:tcPr>
          <w:p w14:paraId="1ED23937" w14:textId="77777777" w:rsidR="009B3EB6" w:rsidRPr="00024EB0" w:rsidRDefault="009B3EB6" w:rsidP="00F20F17">
            <w:pPr>
              <w:pStyle w:val="TableText"/>
              <w:keepNext/>
              <w:jc w:val="right"/>
            </w:pPr>
            <w:r w:rsidRPr="00362F21">
              <w:t>$183.74</w:t>
            </w:r>
          </w:p>
        </w:tc>
        <w:tc>
          <w:tcPr>
            <w:tcW w:w="603" w:type="pct"/>
            <w:tcBorders>
              <w:bottom w:val="nil"/>
            </w:tcBorders>
            <w:noWrap/>
          </w:tcPr>
          <w:p w14:paraId="01E9B7FE" w14:textId="77777777" w:rsidR="009B3EB6" w:rsidRPr="00024EB0" w:rsidRDefault="009B3EB6" w:rsidP="00F20F17">
            <w:pPr>
              <w:pStyle w:val="TableText"/>
              <w:keepNext/>
              <w:jc w:val="right"/>
            </w:pPr>
            <w:r w:rsidRPr="00362F21">
              <w:t>0.0219</w:t>
            </w:r>
          </w:p>
        </w:tc>
        <w:tc>
          <w:tcPr>
            <w:tcW w:w="603" w:type="pct"/>
            <w:tcBorders>
              <w:bottom w:val="nil"/>
            </w:tcBorders>
            <w:noWrap/>
          </w:tcPr>
          <w:p w14:paraId="7E4449E9" w14:textId="77777777" w:rsidR="009B3EB6" w:rsidRPr="00024EB0" w:rsidRDefault="009B3EB6" w:rsidP="00F20F17">
            <w:pPr>
              <w:pStyle w:val="TableText"/>
              <w:keepNext/>
              <w:jc w:val="right"/>
            </w:pPr>
            <w:r w:rsidRPr="00362F21">
              <w:t>$8,404</w:t>
            </w:r>
          </w:p>
        </w:tc>
        <w:tc>
          <w:tcPr>
            <w:tcW w:w="443" w:type="pct"/>
            <w:tcBorders>
              <w:bottom w:val="nil"/>
            </w:tcBorders>
            <w:noWrap/>
          </w:tcPr>
          <w:p w14:paraId="1CD46A28" w14:textId="77777777" w:rsidR="009B3EB6" w:rsidRPr="00024EB0" w:rsidRDefault="009B3EB6" w:rsidP="00F20F17">
            <w:pPr>
              <w:pStyle w:val="TableText"/>
              <w:keepNext/>
              <w:jc w:val="right"/>
            </w:pPr>
            <w:r w:rsidRPr="003B6B47">
              <w:t>12%</w:t>
            </w:r>
          </w:p>
        </w:tc>
      </w:tr>
      <w:tr w:rsidR="009B3EB6" w:rsidRPr="00024EB0" w14:paraId="21293E41" w14:textId="77777777" w:rsidTr="00F20F17">
        <w:trPr>
          <w:trHeight w:val="300"/>
        </w:trPr>
        <w:tc>
          <w:tcPr>
            <w:tcW w:w="2749" w:type="pct"/>
            <w:tcBorders>
              <w:top w:val="nil"/>
              <w:bottom w:val="nil"/>
            </w:tcBorders>
            <w:noWrap/>
          </w:tcPr>
          <w:p w14:paraId="45A59BDC" w14:textId="77777777" w:rsidR="009B3EB6" w:rsidRPr="00024EB0" w:rsidRDefault="009B3EB6" w:rsidP="00F20F17">
            <w:pPr>
              <w:pStyle w:val="TableText"/>
              <w:keepNext/>
            </w:pPr>
            <w:r>
              <w:t>#1, #2 AND #3</w:t>
            </w:r>
          </w:p>
        </w:tc>
        <w:tc>
          <w:tcPr>
            <w:tcW w:w="602" w:type="pct"/>
            <w:tcBorders>
              <w:top w:val="nil"/>
              <w:bottom w:val="nil"/>
            </w:tcBorders>
            <w:noWrap/>
          </w:tcPr>
          <w:p w14:paraId="7D591FDC" w14:textId="77777777" w:rsidR="009B3EB6" w:rsidRPr="00024EB0" w:rsidRDefault="009B3EB6" w:rsidP="00F20F17">
            <w:pPr>
              <w:pStyle w:val="TableText"/>
              <w:keepNext/>
              <w:jc w:val="right"/>
            </w:pPr>
            <w:r w:rsidRPr="00362F21">
              <w:t>$228.35</w:t>
            </w:r>
          </w:p>
        </w:tc>
        <w:tc>
          <w:tcPr>
            <w:tcW w:w="603" w:type="pct"/>
            <w:tcBorders>
              <w:top w:val="nil"/>
              <w:bottom w:val="nil"/>
            </w:tcBorders>
            <w:noWrap/>
          </w:tcPr>
          <w:p w14:paraId="5F282C10" w14:textId="77777777" w:rsidR="009B3EB6" w:rsidRPr="00024EB0" w:rsidRDefault="009B3EB6" w:rsidP="00F20F17">
            <w:pPr>
              <w:pStyle w:val="TableText"/>
              <w:keepNext/>
              <w:jc w:val="right"/>
            </w:pPr>
            <w:r w:rsidRPr="00362F21">
              <w:t>0.0219</w:t>
            </w:r>
          </w:p>
        </w:tc>
        <w:tc>
          <w:tcPr>
            <w:tcW w:w="603" w:type="pct"/>
            <w:tcBorders>
              <w:top w:val="nil"/>
              <w:bottom w:val="nil"/>
            </w:tcBorders>
            <w:noWrap/>
          </w:tcPr>
          <w:p w14:paraId="232F4671" w14:textId="77777777" w:rsidR="009B3EB6" w:rsidRPr="00024EB0" w:rsidRDefault="009B3EB6" w:rsidP="00F20F17">
            <w:pPr>
              <w:pStyle w:val="TableText"/>
              <w:keepNext/>
              <w:jc w:val="right"/>
            </w:pPr>
            <w:r w:rsidRPr="00362F21">
              <w:t>$10,444</w:t>
            </w:r>
          </w:p>
        </w:tc>
        <w:tc>
          <w:tcPr>
            <w:tcW w:w="443" w:type="pct"/>
            <w:tcBorders>
              <w:top w:val="nil"/>
              <w:bottom w:val="nil"/>
            </w:tcBorders>
            <w:noWrap/>
          </w:tcPr>
          <w:p w14:paraId="67AE34B7" w14:textId="77777777" w:rsidR="009B3EB6" w:rsidRPr="00024EB0" w:rsidRDefault="009B3EB6" w:rsidP="00F20F17">
            <w:pPr>
              <w:pStyle w:val="TableText"/>
              <w:keepNext/>
              <w:jc w:val="right"/>
            </w:pPr>
            <w:r w:rsidRPr="003B6B47">
              <w:t>39%</w:t>
            </w:r>
          </w:p>
        </w:tc>
      </w:tr>
      <w:tr w:rsidR="009B3EB6" w:rsidRPr="00024EB0" w14:paraId="13647358" w14:textId="77777777" w:rsidTr="00F20F17">
        <w:trPr>
          <w:trHeight w:val="300"/>
        </w:trPr>
        <w:tc>
          <w:tcPr>
            <w:tcW w:w="2749" w:type="pct"/>
            <w:tcBorders>
              <w:top w:val="nil"/>
            </w:tcBorders>
            <w:noWrap/>
          </w:tcPr>
          <w:p w14:paraId="4645FB0F" w14:textId="77777777" w:rsidR="009B3EB6" w:rsidRPr="00024EB0" w:rsidRDefault="009B3EB6" w:rsidP="00F20F17">
            <w:pPr>
              <w:pStyle w:val="TableText"/>
            </w:pPr>
            <w:r>
              <w:t>#1, #2, #3 AND #4</w:t>
            </w:r>
          </w:p>
        </w:tc>
        <w:tc>
          <w:tcPr>
            <w:tcW w:w="602" w:type="pct"/>
            <w:tcBorders>
              <w:top w:val="nil"/>
            </w:tcBorders>
            <w:noWrap/>
          </w:tcPr>
          <w:p w14:paraId="05BD582D" w14:textId="77777777" w:rsidR="009B3EB6" w:rsidRPr="00024EB0" w:rsidRDefault="009B3EB6" w:rsidP="00F20F17">
            <w:pPr>
              <w:pStyle w:val="TableText"/>
              <w:jc w:val="right"/>
            </w:pPr>
            <w:r w:rsidRPr="00362F21">
              <w:t>$366.57</w:t>
            </w:r>
          </w:p>
        </w:tc>
        <w:tc>
          <w:tcPr>
            <w:tcW w:w="603" w:type="pct"/>
            <w:tcBorders>
              <w:top w:val="nil"/>
            </w:tcBorders>
            <w:noWrap/>
          </w:tcPr>
          <w:p w14:paraId="4BEC7523" w14:textId="77777777" w:rsidR="009B3EB6" w:rsidRPr="00024EB0" w:rsidRDefault="009B3EB6" w:rsidP="00F20F17">
            <w:pPr>
              <w:pStyle w:val="TableText"/>
              <w:jc w:val="right"/>
            </w:pPr>
            <w:r w:rsidRPr="00362F21">
              <w:t>0.0219</w:t>
            </w:r>
          </w:p>
        </w:tc>
        <w:tc>
          <w:tcPr>
            <w:tcW w:w="603" w:type="pct"/>
            <w:tcBorders>
              <w:top w:val="nil"/>
            </w:tcBorders>
            <w:noWrap/>
          </w:tcPr>
          <w:p w14:paraId="4956A1CC" w14:textId="77777777" w:rsidR="009B3EB6" w:rsidRPr="00024EB0" w:rsidRDefault="009B3EB6" w:rsidP="00F20F17">
            <w:pPr>
              <w:pStyle w:val="TableText"/>
              <w:jc w:val="right"/>
            </w:pPr>
            <w:r w:rsidRPr="00362F21">
              <w:t>$16,767</w:t>
            </w:r>
          </w:p>
        </w:tc>
        <w:tc>
          <w:tcPr>
            <w:tcW w:w="443" w:type="pct"/>
            <w:tcBorders>
              <w:top w:val="nil"/>
            </w:tcBorders>
            <w:noWrap/>
          </w:tcPr>
          <w:p w14:paraId="1B89E009" w14:textId="77777777" w:rsidR="009B3EB6" w:rsidRPr="00024EB0" w:rsidRDefault="009B3EB6" w:rsidP="00F20F17">
            <w:pPr>
              <w:pStyle w:val="TableText"/>
              <w:jc w:val="right"/>
            </w:pPr>
            <w:r w:rsidRPr="003B6B47">
              <w:t>124%</w:t>
            </w:r>
          </w:p>
        </w:tc>
      </w:tr>
    </w:tbl>
    <w:p w14:paraId="1BA4FE78" w14:textId="07BA5A41" w:rsidR="004E63D6" w:rsidRDefault="004E63D6" w:rsidP="004E63D6">
      <w:pPr>
        <w:pStyle w:val="TableFooter"/>
      </w:pPr>
      <w:r w:rsidRPr="00916E2F">
        <w:rPr>
          <w:vertAlign w:val="superscript"/>
        </w:rPr>
        <w:t>a</w:t>
      </w:r>
      <w:r w:rsidRPr="00916E2F">
        <w:t xml:space="preserve"> </w:t>
      </w:r>
      <w:r>
        <w:t>Half the difference between test strategies</w:t>
      </w:r>
    </w:p>
    <w:p w14:paraId="23C2FD9D" w14:textId="77777777" w:rsidR="004E63D6" w:rsidRPr="00916E2F" w:rsidRDefault="004E63D6" w:rsidP="004E63D6">
      <w:pPr>
        <w:pStyle w:val="TableFooter"/>
      </w:pPr>
      <w:r w:rsidRPr="00916E2F">
        <w:rPr>
          <w:vertAlign w:val="superscript"/>
        </w:rPr>
        <w:t>b</w:t>
      </w:r>
      <w:r>
        <w:t xml:space="preserve"> Double the difference between test strategies</w:t>
      </w:r>
    </w:p>
    <w:p w14:paraId="57488A10" w14:textId="790F1A06" w:rsidR="00A20449" w:rsidRPr="00916E2F" w:rsidRDefault="00A20449" w:rsidP="00A20449">
      <w:pPr>
        <w:pStyle w:val="TableFooter"/>
      </w:pPr>
      <w:r w:rsidRPr="00A20449">
        <w:rPr>
          <w:vertAlign w:val="superscript"/>
        </w:rPr>
        <w:t>c</w:t>
      </w:r>
      <w:r>
        <w:t xml:space="preserve"> Estimates of FISH use in the base case was calibrated to MBS utilisation data on the ratio of </w:t>
      </w:r>
      <w:r w:rsidRPr="00A20449">
        <w:rPr>
          <w:i/>
        </w:rPr>
        <w:t>EGFR</w:t>
      </w:r>
      <w:r>
        <w:t>:</w:t>
      </w:r>
      <w:r w:rsidRPr="00A20449">
        <w:rPr>
          <w:i/>
        </w:rPr>
        <w:t>ALK</w:t>
      </w:r>
      <w:r>
        <w:t xml:space="preserve"> or </w:t>
      </w:r>
      <w:r w:rsidRPr="00A20449">
        <w:rPr>
          <w:i/>
        </w:rPr>
        <w:t>ROS1</w:t>
      </w:r>
      <w:r>
        <w:t xml:space="preserve"> FISH services. The sensitivity analysis uses estimates based on biomarker prevalence and IHC specificity.</w:t>
      </w:r>
    </w:p>
    <w:p w14:paraId="0A883679" w14:textId="5312311B" w:rsidR="004E63D6" w:rsidRDefault="004E63D6" w:rsidP="004E63D6">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DNA = deoxyribose nucleic acid;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ICER = incremental cost-effectiveness ratio; IHC = immunohistochemistry; </w:t>
      </w:r>
      <w:r w:rsidRPr="000B3989">
        <w:rPr>
          <w:i/>
          <w:iCs/>
        </w:rPr>
        <w:t>KRAS</w:t>
      </w:r>
      <w:r w:rsidRPr="00B52D8D">
        <w:t xml:space="preserve"> = Kirsten rat sarcoma viral oncogene homologue</w:t>
      </w:r>
      <w:r>
        <w:t xml:space="preserve">; </w:t>
      </w:r>
      <w:r w:rsidRPr="00336456">
        <w:rPr>
          <w:i/>
        </w:rPr>
        <w:t>MET</w:t>
      </w:r>
      <w:r>
        <w:t xml:space="preserve">ex14sk = MET proto-oncogene, receptor tyrosine kinase exon 14 skipping alterations; NPA = negative percent agreement; </w:t>
      </w:r>
      <w:r w:rsidRPr="000B3989">
        <w:rPr>
          <w:i/>
          <w:iCs/>
        </w:rPr>
        <w:t>NTRK</w:t>
      </w:r>
      <w:r w:rsidRPr="00B52D8D">
        <w:t xml:space="preserve"> = neurotrophic tropomyosin </w:t>
      </w:r>
      <w:r w:rsidRPr="00B52D8D">
        <w:lastRenderedPageBreak/>
        <w:t>receptor kinase;</w:t>
      </w:r>
      <w:r>
        <w:t xml:space="preserve"> </w:t>
      </w:r>
      <w:r w:rsidR="00C13707">
        <w:t xml:space="preserve">PPA = positive percent agreement; </w:t>
      </w:r>
      <w:r>
        <w:t>RNA = ribonucleic acid;</w:t>
      </w:r>
      <w:r w:rsidRPr="00B52D8D">
        <w:t xml:space="preserve"> </w:t>
      </w:r>
      <w:r w:rsidRPr="00743D1B">
        <w:rPr>
          <w:i/>
        </w:rPr>
        <w:t>ROS1</w:t>
      </w:r>
      <w:r>
        <w:t xml:space="preserve"> = ROS proto-oncogene 1.</w:t>
      </w:r>
    </w:p>
    <w:p w14:paraId="269E698B" w14:textId="1BF69A22" w:rsidR="004E63D6" w:rsidRDefault="004E63D6" w:rsidP="004E63D6">
      <w:pPr>
        <w:pStyle w:val="NormalBeforeBullet"/>
      </w:pPr>
      <w:r>
        <w:t xml:space="preserve">The analyses were most sensitive to the proportion of patients with advanced disease (as this affects the current costs offset), the small gene panel testing strategy used (including distribution of strategies used), differences in the test success rate, concordance of small gene panel testing (particularly NPA, which is assumed to increase </w:t>
      </w:r>
      <w:r w:rsidR="00EA6B38">
        <w:t xml:space="preserve">incremental </w:t>
      </w:r>
      <w:r>
        <w:t xml:space="preserve">actionable variants), and rebiopsy rate. The analysis was also sensitive to the assumption that patients found to have </w:t>
      </w:r>
      <w:r w:rsidRPr="0028041B">
        <w:rPr>
          <w:i/>
        </w:rPr>
        <w:t>KRAS</w:t>
      </w:r>
      <w:r>
        <w:t xml:space="preserve"> and </w:t>
      </w:r>
      <w:r w:rsidRPr="0028041B">
        <w:rPr>
          <w:i/>
        </w:rPr>
        <w:t>BRAF</w:t>
      </w:r>
      <w:r>
        <w:t xml:space="preserve"> variants on the DNA panel only would not receive RNA small gene panel testing (and expected yield of these non-actionable variants). As described in Section </w:t>
      </w:r>
      <w:r w:rsidRPr="00D03BA2">
        <w:t xml:space="preserve">2B.2.4, instances of concurrent variants may be more common than previously thought. A prospective case series from Germany </w:t>
      </w: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 </w:instrText>
      </w: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EN.CITE.DATA </w:instrText>
      </w:r>
      <w:r>
        <w:fldChar w:fldCharType="end"/>
      </w:r>
      <w:r>
        <w:fldChar w:fldCharType="separate"/>
      </w:r>
      <w:r>
        <w:rPr>
          <w:noProof/>
        </w:rPr>
        <w:t>(Griesinger et al. 2021)</w:t>
      </w:r>
      <w:r>
        <w:fldChar w:fldCharType="end"/>
      </w:r>
      <w:r w:rsidRPr="00D03BA2">
        <w:t xml:space="preserve"> reported that of all patients with </w:t>
      </w:r>
      <w:r w:rsidRPr="0028041B">
        <w:rPr>
          <w:i/>
        </w:rPr>
        <w:t>ROS1</w:t>
      </w:r>
      <w:r w:rsidRPr="00D03BA2">
        <w:t xml:space="preserve"> and </w:t>
      </w:r>
      <w:r w:rsidRPr="0028041B">
        <w:rPr>
          <w:i/>
        </w:rPr>
        <w:t>ALK</w:t>
      </w:r>
      <w:r w:rsidRPr="00D03BA2">
        <w:t xml:space="preserve"> variants identified, respectively, 23.7% (14/59) and 16.1% (19/118) also had variants in </w:t>
      </w:r>
      <w:r w:rsidRPr="0028041B">
        <w:rPr>
          <w:i/>
        </w:rPr>
        <w:t>BRAF</w:t>
      </w:r>
      <w:r w:rsidRPr="00D03BA2">
        <w:t xml:space="preserve"> or </w:t>
      </w:r>
      <w:r w:rsidRPr="0028041B">
        <w:rPr>
          <w:i/>
        </w:rPr>
        <w:t>KRAS</w:t>
      </w:r>
      <w:r w:rsidRPr="00D03BA2">
        <w:t>.</w:t>
      </w:r>
    </w:p>
    <w:p w14:paraId="2643CC12" w14:textId="77777777" w:rsidR="004E63D6" w:rsidRDefault="004E63D6" w:rsidP="004E63D6">
      <w:pPr>
        <w:pStyle w:val="NormalBeforeBullet"/>
      </w:pPr>
      <w:r>
        <w:t>A few assumptions included in the base case analysis may not be the most conservative approach. Justification has been provided to support the use of the estimates in the base case, however multivariate analyses are performed using alternate approaches identified. The results do suggest that the analyses are sensitive to the combined effects of these changes.</w:t>
      </w:r>
    </w:p>
    <w:p w14:paraId="11F88876" w14:textId="77777777" w:rsidR="004E63D6" w:rsidRPr="00CE28E3" w:rsidRDefault="004E63D6" w:rsidP="004E63D6">
      <w:pPr>
        <w:pStyle w:val="Heading2"/>
        <w:numPr>
          <w:ilvl w:val="0"/>
          <w:numId w:val="0"/>
        </w:numPr>
        <w:ind w:left="720" w:hanging="720"/>
      </w:pPr>
      <w:bookmarkStart w:id="200" w:name="_Toc109054494"/>
      <w:bookmarkStart w:id="201" w:name="_Toc148531179"/>
      <w:r w:rsidRPr="00CE28E3">
        <w:t>3.4</w:t>
      </w:r>
      <w:r>
        <w:tab/>
      </w:r>
      <w:r w:rsidRPr="00CE28E3">
        <w:t>Conclusions</w:t>
      </w:r>
      <w:bookmarkEnd w:id="200"/>
      <w:bookmarkEnd w:id="201"/>
    </w:p>
    <w:p w14:paraId="0697DA02" w14:textId="77777777" w:rsidR="004E63D6" w:rsidRDefault="004E63D6" w:rsidP="004E63D6">
      <w:pPr>
        <w:pStyle w:val="NormalBeforeBullet"/>
      </w:pPr>
      <w:r>
        <w:t xml:space="preserve">Small gene panel testing was observed to be associated with a small incremental cost per patient receiving testing. This was driven by the cost of proposed panel testing, with offsets due to a reduction in use and cost of current tests and rebiopsies. The assumption that RNA panels cannot be used where </w:t>
      </w:r>
      <w:r w:rsidRPr="000415BB">
        <w:rPr>
          <w:i/>
        </w:rPr>
        <w:t>KRAS</w:t>
      </w:r>
      <w:r>
        <w:t xml:space="preserve"> and </w:t>
      </w:r>
      <w:r w:rsidRPr="000415BB">
        <w:rPr>
          <w:i/>
        </w:rPr>
        <w:t>BRAF</w:t>
      </w:r>
      <w:r>
        <w:t xml:space="preserve"> activating variants are identified (which do not have associated targeted therapies) and assumptions regarding the use and cost of rebiopsy are key drivers of the incremental cost.</w:t>
      </w:r>
    </w:p>
    <w:p w14:paraId="0A93289D" w14:textId="5E83D787" w:rsidR="004E63D6" w:rsidRDefault="004E63D6" w:rsidP="004E63D6">
      <w:pPr>
        <w:pStyle w:val="NormalBeforeBullet"/>
      </w:pPr>
      <w:r>
        <w:t xml:space="preserve">While small gene panel testing was associated with more patients with actionable variants eligible for targeted therapy, this was driven by an increase in patients with </w:t>
      </w:r>
      <w:r w:rsidR="0024606C">
        <w:t xml:space="preserve">incremental </w:t>
      </w:r>
      <w:r>
        <w:t>actionable variants, not found through the test used in the trials of the targeted therapies. It is unclear whether these additional cases benefit from targeted therapies relative to the standard of care (immunotherapy ± chemotherapy).</w:t>
      </w:r>
    </w:p>
    <w:p w14:paraId="4A89D71E" w14:textId="77777777" w:rsidR="004E63D6" w:rsidRDefault="004E63D6" w:rsidP="004E63D6">
      <w:pPr>
        <w:pStyle w:val="NormalBeforeBullet"/>
      </w:pPr>
      <w:r>
        <w:t>While not quantified in this analysis, small gene panel testing is also likely to identify more non-actionable variants. K</w:t>
      </w:r>
      <w:r w:rsidRPr="00F5322C">
        <w:t xml:space="preserve">nowledge of </w:t>
      </w:r>
      <w:r>
        <w:t xml:space="preserve">such </w:t>
      </w:r>
      <w:r w:rsidRPr="00F5322C">
        <w:t>variant</w:t>
      </w:r>
      <w:r>
        <w:t>s</w:t>
      </w:r>
      <w:r w:rsidRPr="00F5322C">
        <w:t xml:space="preserve"> may permit treatment options such as compassionate access programs or clinical trials. These may provide considerable benefit to patients whose effective treatment options are otherwise limited.</w:t>
      </w:r>
    </w:p>
    <w:p w14:paraId="250E69B3" w14:textId="77777777" w:rsidR="004E63D6" w:rsidRDefault="004E63D6" w:rsidP="004E63D6">
      <w:pPr>
        <w:pStyle w:val="NormalBeforeBullet"/>
      </w:pPr>
      <w:r>
        <w:t>In addition to the identification of more actionable and non-actionable variants, small gene panel testing may be associated with improved test turnaround time. The extent of this was difficult to quantify in the proposed setting, however currently some patients may experience delays in testing due to restrictions related to stage of disease able to be tested, whether current testing is pathologist determinable and the extent of some current testing that is performed more centrally. Small gene panel testing as proposed may resolve some of these issues.</w:t>
      </w:r>
    </w:p>
    <w:p w14:paraId="34F9BCAA" w14:textId="77777777" w:rsidR="004E63D6" w:rsidRDefault="004E63D6" w:rsidP="004E63D6">
      <w:pPr>
        <w:pStyle w:val="NormalBeforeBullet"/>
      </w:pPr>
      <w:r>
        <w:t xml:space="preserve">The analysis was sensitive to the proportion of patients tested with (or who progress to) advanced disease. This proportion may decrease over time </w:t>
      </w:r>
      <w:r w:rsidRPr="002F41E9">
        <w:t>due to the proposed lung cancer screening program (MSAC Application 1699), and shift for use of immunotherapies into the adjuvant setting.</w:t>
      </w:r>
    </w:p>
    <w:p w14:paraId="6BC787EB" w14:textId="77777777" w:rsidR="004E63D6" w:rsidRPr="00CE28E3" w:rsidRDefault="004E63D6" w:rsidP="004E63D6">
      <w:r w:rsidRPr="00CE28E3">
        <w:br w:type="page"/>
      </w:r>
    </w:p>
    <w:p w14:paraId="60B62B1F" w14:textId="77777777" w:rsidR="004E63D6" w:rsidRPr="00CE28E3" w:rsidRDefault="004E63D6" w:rsidP="004E63D6">
      <w:pPr>
        <w:pStyle w:val="Heading1"/>
        <w:numPr>
          <w:ilvl w:val="0"/>
          <w:numId w:val="0"/>
        </w:numPr>
        <w:ind w:left="1985" w:hanging="1985"/>
      </w:pPr>
      <w:bookmarkStart w:id="202" w:name="_Toc109054495"/>
      <w:bookmarkStart w:id="203" w:name="_Toc148531180"/>
      <w:r w:rsidRPr="00CE28E3">
        <w:lastRenderedPageBreak/>
        <w:t>Section 4</w:t>
      </w:r>
      <w:r w:rsidRPr="00CE28E3">
        <w:tab/>
        <w:t>Use of the health technology in practice</w:t>
      </w:r>
      <w:bookmarkEnd w:id="202"/>
      <w:bookmarkEnd w:id="203"/>
    </w:p>
    <w:p w14:paraId="47A11BB4" w14:textId="77777777" w:rsidR="004E63D6" w:rsidRDefault="004E63D6" w:rsidP="004E63D6">
      <w:pPr>
        <w:pStyle w:val="NormalBeforeBullet"/>
      </w:pPr>
      <w:r>
        <w:t>A market-share approach is used to estimate the extent of the current market for sequential tests in non-squamous NSCLC that will be substituted with the listing of the small gene panel. The relevant funding program is the MBS. Market growth is not anticipated.</w:t>
      </w:r>
    </w:p>
    <w:p w14:paraId="0AB0A142" w14:textId="77777777" w:rsidR="004E63D6" w:rsidRPr="00CE28E3" w:rsidRDefault="004E63D6" w:rsidP="004E63D6">
      <w:pPr>
        <w:pStyle w:val="Heading2"/>
        <w:numPr>
          <w:ilvl w:val="0"/>
          <w:numId w:val="0"/>
        </w:numPr>
        <w:ind w:left="720" w:hanging="720"/>
      </w:pPr>
      <w:bookmarkStart w:id="204" w:name="_Toc109054496"/>
      <w:bookmarkStart w:id="205" w:name="_Toc148531181"/>
      <w:r w:rsidRPr="00CE28E3">
        <w:t>4.1</w:t>
      </w:r>
      <w:r>
        <w:tab/>
      </w:r>
      <w:r w:rsidRPr="00CE28E3">
        <w:t>Justification of the selection of approach and data sources</w:t>
      </w:r>
      <w:bookmarkEnd w:id="204"/>
      <w:bookmarkEnd w:id="205"/>
    </w:p>
    <w:p w14:paraId="352724CA" w14:textId="49D17ED8" w:rsidR="004E63D6" w:rsidRPr="003251C2" w:rsidRDefault="004E63D6" w:rsidP="004E63D6">
      <w:pPr>
        <w:pStyle w:val="NormalBeforeBullet"/>
      </w:pPr>
      <w:r>
        <w:t>A</w:t>
      </w:r>
      <w:r w:rsidRPr="007A6382">
        <w:t xml:space="preserve"> </w:t>
      </w:r>
      <w:r>
        <w:t>summary of</w:t>
      </w:r>
      <w:r w:rsidRPr="007A6382">
        <w:t xml:space="preserve"> the data sources used in estimating the financial impact of</w:t>
      </w:r>
      <w:r>
        <w:t xml:space="preserve"> small gene panel testing to the MBS is presented in </w:t>
      </w:r>
      <w:r>
        <w:fldChar w:fldCharType="begin"/>
      </w:r>
      <w:r>
        <w:instrText xml:space="preserve"> REF _Ref69728465 \h </w:instrText>
      </w:r>
      <w:r>
        <w:fldChar w:fldCharType="separate"/>
      </w:r>
      <w:r w:rsidR="00C857F3" w:rsidRPr="00CE28E3">
        <w:t>Table</w:t>
      </w:r>
      <w:r w:rsidR="00C857F3">
        <w:t> </w:t>
      </w:r>
      <w:r w:rsidR="00C857F3">
        <w:rPr>
          <w:noProof/>
        </w:rPr>
        <w:t>59</w:t>
      </w:r>
      <w:r>
        <w:fldChar w:fldCharType="end"/>
      </w:r>
      <w:r>
        <w:t>.</w:t>
      </w:r>
    </w:p>
    <w:p w14:paraId="39BB1B9F" w14:textId="0A09F547" w:rsidR="004E63D6" w:rsidRPr="00CE28E3" w:rsidRDefault="004E63D6" w:rsidP="004E63D6">
      <w:pPr>
        <w:pStyle w:val="Caption"/>
      </w:pPr>
      <w:bookmarkStart w:id="206" w:name="_Ref69728465"/>
      <w:r w:rsidRPr="00CE28E3">
        <w:t>Table</w:t>
      </w:r>
      <w:r>
        <w:t> </w:t>
      </w:r>
      <w:fldSimple w:instr=" SEQ Table \* ARABIC ">
        <w:r w:rsidR="00C857F3">
          <w:rPr>
            <w:noProof/>
          </w:rPr>
          <w:t>59</w:t>
        </w:r>
      </w:fldSimple>
      <w:bookmarkEnd w:id="206"/>
      <w:r w:rsidRPr="00CE28E3">
        <w:tab/>
        <w:t xml:space="preserve">Data sources and parameter values applied in the utilisation and financial estimates </w:t>
      </w:r>
    </w:p>
    <w:tbl>
      <w:tblPr>
        <w:tblStyle w:val="TableGrid1"/>
        <w:tblW w:w="5000" w:type="pct"/>
        <w:tblLook w:val="04A0" w:firstRow="1" w:lastRow="0" w:firstColumn="1" w:lastColumn="0" w:noHBand="0" w:noVBand="1"/>
        <w:tblCaption w:val="Data sources and parameter values applied in the utilisation and financial estimates "/>
        <w:tblDescription w:val="Data sources and parameter values applied in the utilisation and financial estimates "/>
      </w:tblPr>
      <w:tblGrid>
        <w:gridCol w:w="3540"/>
        <w:gridCol w:w="5476"/>
      </w:tblGrid>
      <w:tr w:rsidR="004E63D6" w:rsidRPr="0085115F" w14:paraId="0BEE13D8"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5A1F6C1E" w14:textId="77777777" w:rsidR="004E63D6" w:rsidRPr="0085115F" w:rsidRDefault="004E63D6" w:rsidP="00CA410A">
            <w:pPr>
              <w:pStyle w:val="TableHeading"/>
            </w:pPr>
            <w:bookmarkStart w:id="207" w:name="ColumnTitle_Table39"/>
            <w:r w:rsidRPr="0085115F">
              <w:t>Data</w:t>
            </w:r>
          </w:p>
        </w:tc>
        <w:tc>
          <w:tcPr>
            <w:tcW w:w="3037" w:type="pct"/>
          </w:tcPr>
          <w:p w14:paraId="02838E13" w14:textId="77777777" w:rsidR="004E63D6" w:rsidRPr="0085115F" w:rsidRDefault="004E63D6" w:rsidP="00CA410A">
            <w:pPr>
              <w:pStyle w:val="TableHeading"/>
            </w:pPr>
            <w:r w:rsidRPr="0085115F">
              <w:t>Source and value</w:t>
            </w:r>
          </w:p>
        </w:tc>
      </w:tr>
      <w:bookmarkEnd w:id="207"/>
      <w:tr w:rsidR="004E63D6" w:rsidRPr="00CE28E3" w14:paraId="02400472"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477C0E00" w14:textId="77777777" w:rsidR="004E63D6" w:rsidRPr="00CE28E3" w:rsidRDefault="004E63D6" w:rsidP="00CA410A">
            <w:pPr>
              <w:pStyle w:val="TableText"/>
            </w:pPr>
            <w:r>
              <w:t>MBS statistics for item 73337, 2015−2021</w:t>
            </w:r>
          </w:p>
        </w:tc>
        <w:tc>
          <w:tcPr>
            <w:tcW w:w="3037" w:type="pct"/>
          </w:tcPr>
          <w:p w14:paraId="7D32003C" w14:textId="77777777" w:rsidR="004E63D6" w:rsidRPr="00CE28E3" w:rsidRDefault="004E63D6" w:rsidP="00CA410A">
            <w:pPr>
              <w:pStyle w:val="TableText"/>
            </w:pPr>
            <w:r>
              <w:t>Services Australia</w:t>
            </w:r>
          </w:p>
        </w:tc>
      </w:tr>
      <w:tr w:rsidR="004E63D6" w:rsidRPr="00CE28E3" w14:paraId="43C6A402"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6CF74C9F" w14:textId="77777777" w:rsidR="004E63D6" w:rsidRDefault="004E63D6" w:rsidP="00CA410A">
            <w:pPr>
              <w:pStyle w:val="TableText"/>
            </w:pPr>
            <w:r>
              <w:t>Relative use of combined DNA/RNA testing</w:t>
            </w:r>
          </w:p>
        </w:tc>
        <w:tc>
          <w:tcPr>
            <w:tcW w:w="3037" w:type="pct"/>
          </w:tcPr>
          <w:p w14:paraId="66436D58" w14:textId="77777777" w:rsidR="004E63D6" w:rsidRDefault="004E63D6" w:rsidP="00CA410A">
            <w:pPr>
              <w:pStyle w:val="TableText"/>
            </w:pPr>
            <w:r>
              <w:t>Applicant feedback provided during the preparation of the DCAR</w:t>
            </w:r>
          </w:p>
        </w:tc>
      </w:tr>
      <w:tr w:rsidR="004E63D6" w:rsidRPr="00CE28E3" w14:paraId="71A224E2"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368EAECE" w14:textId="77777777" w:rsidR="004E63D6" w:rsidRDefault="004E63D6" w:rsidP="00CA410A">
            <w:pPr>
              <w:pStyle w:val="TableText"/>
            </w:pPr>
            <w:r>
              <w:t>Yield of variants identified through panel testing</w:t>
            </w:r>
          </w:p>
        </w:tc>
        <w:tc>
          <w:tcPr>
            <w:tcW w:w="3037" w:type="pct"/>
          </w:tcPr>
          <w:p w14:paraId="1AD4D2A8" w14:textId="77777777" w:rsidR="004E63D6" w:rsidRDefault="004E63D6" w:rsidP="00CA410A">
            <w:pPr>
              <w:pStyle w:val="TableText"/>
            </w:pPr>
            <w:r>
              <w:t>Section 3</w:t>
            </w:r>
          </w:p>
        </w:tc>
      </w:tr>
      <w:tr w:rsidR="004E63D6" w:rsidRPr="00CE28E3" w14:paraId="695B00E0"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746DF898" w14:textId="77777777" w:rsidR="004E63D6" w:rsidRDefault="004E63D6" w:rsidP="00CA410A">
            <w:pPr>
              <w:pStyle w:val="TableText"/>
            </w:pPr>
            <w:r>
              <w:t>Proportion of samples with sufficient sample for RNA–based testing</w:t>
            </w:r>
          </w:p>
        </w:tc>
        <w:tc>
          <w:tcPr>
            <w:tcW w:w="3037" w:type="pct"/>
          </w:tcPr>
          <w:p w14:paraId="39E6E138" w14:textId="77777777" w:rsidR="004E63D6" w:rsidRDefault="004E63D6" w:rsidP="00CA410A">
            <w:pPr>
              <w:pStyle w:val="TableText"/>
            </w:pPr>
            <w:r>
              <w:t>1721 Application Form</w:t>
            </w:r>
          </w:p>
        </w:tc>
      </w:tr>
      <w:tr w:rsidR="004E63D6" w:rsidRPr="00CE28E3" w14:paraId="2F95AAEE"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633D81EA" w14:textId="77777777" w:rsidR="004E63D6" w:rsidRPr="00C103A2" w:rsidRDefault="004E63D6" w:rsidP="00CA410A">
            <w:pPr>
              <w:pStyle w:val="TableText"/>
              <w:rPr>
                <w:vertAlign w:val="subscript"/>
              </w:rPr>
            </w:pPr>
            <w:r>
              <w:t>Proportion of services of item 73337 that receive the 75% benefit</w:t>
            </w:r>
          </w:p>
        </w:tc>
        <w:tc>
          <w:tcPr>
            <w:tcW w:w="3037" w:type="pct"/>
          </w:tcPr>
          <w:p w14:paraId="49ADE777" w14:textId="77777777" w:rsidR="004E63D6" w:rsidRDefault="004E63D6" w:rsidP="00CA410A">
            <w:pPr>
              <w:pStyle w:val="TableText"/>
            </w:pPr>
            <w:r>
              <w:t>1161 and 1173 PSD, November 2016 MSAC Meeting</w:t>
            </w:r>
          </w:p>
        </w:tc>
      </w:tr>
      <w:tr w:rsidR="004E63D6" w:rsidRPr="00CE28E3" w14:paraId="5F5FCB93"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1BCB391D" w14:textId="77777777" w:rsidR="004E63D6" w:rsidRDefault="004E63D6" w:rsidP="00CA410A">
            <w:pPr>
              <w:pStyle w:val="TableText"/>
            </w:pPr>
            <w:r>
              <w:t>Stage at diagnosis</w:t>
            </w:r>
          </w:p>
        </w:tc>
        <w:tc>
          <w:tcPr>
            <w:tcW w:w="3037" w:type="pct"/>
          </w:tcPr>
          <w:p w14:paraId="5E5AE068" w14:textId="77777777" w:rsidR="004E63D6" w:rsidRDefault="004E63D6" w:rsidP="00CA410A">
            <w:pPr>
              <w:pStyle w:val="TableText"/>
            </w:pPr>
            <w:r>
              <w:t xml:space="preserve">Victorian Cancer Registry data reported by Mitchell et al. </w:t>
            </w:r>
            <w:r>
              <w:fldChar w:fldCharType="begin">
                <w:fldData xml:space="preserve">PEVuZE5vdGU+PENpdGUgRXhjbHVkZUF1dGg9IjEiPjxBdXRob3I+TWl0Y2hlbGw8L0F1dGhvcj48
WWVhcj4yMDEzPC9ZZWFyPjxSZWNOdW0+MjAxPC9SZWNOdW0+PElEVGV4dD42NzQtOTwvSURUZXh0
PjxEaXNwbGF5VGV4dD4oMjAxMyk8L0Rpc3BsYXlUZXh0PjxyZWNvcmQ+PHJlYy1udW1iZXI+MjAx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 </w:instrText>
            </w:r>
            <w:r>
              <w:fldChar w:fldCharType="begin">
                <w:fldData xml:space="preserve">PEVuZE5vdGU+PENpdGUgRXhjbHVkZUF1dGg9IjEiPjxBdXRob3I+TWl0Y2hlbGw8L0F1dGhvcj48
WWVhcj4yMDEzPC9ZZWFyPjxSZWNOdW0+MjAxPC9SZWNOdW0+PElEVGV4dD42NzQtOTwvSURUZXh0
PjxEaXNwbGF5VGV4dD4oMjAxMyk8L0Rpc3BsYXlUZXh0PjxyZWNvcmQ+PHJlYy1udW1iZXI+MjAx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EN.CITE.DATA </w:instrText>
            </w:r>
            <w:r>
              <w:fldChar w:fldCharType="end"/>
            </w:r>
            <w:r>
              <w:fldChar w:fldCharType="separate"/>
            </w:r>
            <w:r>
              <w:rPr>
                <w:noProof/>
              </w:rPr>
              <w:t>(2013)</w:t>
            </w:r>
            <w:r>
              <w:fldChar w:fldCharType="end"/>
            </w:r>
          </w:p>
        </w:tc>
      </w:tr>
      <w:tr w:rsidR="004E63D6" w:rsidRPr="00CE28E3" w14:paraId="6F3496D4"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79119F6A" w14:textId="77777777" w:rsidR="004E63D6" w:rsidRDefault="004E63D6" w:rsidP="00CA410A">
            <w:pPr>
              <w:pStyle w:val="TableText"/>
            </w:pPr>
            <w:r>
              <w:t>Proportion diagnosed Stage I−IIIA who progress</w:t>
            </w:r>
          </w:p>
        </w:tc>
        <w:tc>
          <w:tcPr>
            <w:tcW w:w="3037" w:type="pct"/>
          </w:tcPr>
          <w:p w14:paraId="341D9D9E" w14:textId="77777777" w:rsidR="004E63D6" w:rsidRPr="00FC2846" w:rsidRDefault="004E63D6" w:rsidP="00CA410A">
            <w:pPr>
              <w:pStyle w:val="TableText"/>
            </w:pPr>
            <w:r>
              <w:t>DUSC report on erlotinib and gefitinib (2017)</w:t>
            </w:r>
          </w:p>
        </w:tc>
      </w:tr>
      <w:tr w:rsidR="004E63D6" w:rsidRPr="00CE28E3" w14:paraId="736C0660"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4F8B3A73" w14:textId="77777777" w:rsidR="004E63D6" w:rsidRPr="00CE28E3" w:rsidRDefault="004E63D6" w:rsidP="00CA410A">
            <w:pPr>
              <w:pStyle w:val="TableText"/>
            </w:pPr>
            <w:r>
              <w:t>MBS statistics for item 73341, 2016−2021</w:t>
            </w:r>
          </w:p>
        </w:tc>
        <w:tc>
          <w:tcPr>
            <w:tcW w:w="3037" w:type="pct"/>
          </w:tcPr>
          <w:p w14:paraId="2B4E3C4C" w14:textId="77777777" w:rsidR="004E63D6" w:rsidRPr="00CE28E3" w:rsidRDefault="004E63D6" w:rsidP="00CA410A">
            <w:pPr>
              <w:pStyle w:val="TableText"/>
            </w:pPr>
            <w:r w:rsidRPr="00FC2846">
              <w:t>Services Australia</w:t>
            </w:r>
          </w:p>
        </w:tc>
      </w:tr>
      <w:tr w:rsidR="004E63D6" w:rsidRPr="00CE28E3" w14:paraId="253E4A68"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123D77C1" w14:textId="77777777" w:rsidR="004E63D6" w:rsidRPr="00CE28E3" w:rsidRDefault="004E63D6" w:rsidP="00CA410A">
            <w:pPr>
              <w:pStyle w:val="TableText"/>
            </w:pPr>
            <w:r>
              <w:t>MBS statistics for item 73344, 2019−2021</w:t>
            </w:r>
          </w:p>
        </w:tc>
        <w:tc>
          <w:tcPr>
            <w:tcW w:w="3037" w:type="pct"/>
          </w:tcPr>
          <w:p w14:paraId="5B27E9B9" w14:textId="77777777" w:rsidR="004E63D6" w:rsidRPr="00CE28E3" w:rsidRDefault="004E63D6" w:rsidP="00CA410A">
            <w:pPr>
              <w:pStyle w:val="TableText"/>
            </w:pPr>
            <w:r w:rsidRPr="00FC2846">
              <w:t>Services Australia</w:t>
            </w:r>
          </w:p>
        </w:tc>
      </w:tr>
      <w:tr w:rsidR="004E63D6" w:rsidRPr="00CE28E3" w14:paraId="161A7584"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1963" w:type="pct"/>
          </w:tcPr>
          <w:p w14:paraId="61B93658" w14:textId="77777777" w:rsidR="004E63D6" w:rsidRDefault="004E63D6" w:rsidP="00CA410A">
            <w:pPr>
              <w:pStyle w:val="TableText"/>
            </w:pPr>
            <w:r>
              <w:t>Proportion of services of item 73341 and 73344 that receive the 75% benefit</w:t>
            </w:r>
          </w:p>
        </w:tc>
        <w:tc>
          <w:tcPr>
            <w:tcW w:w="3037" w:type="pct"/>
          </w:tcPr>
          <w:p w14:paraId="1966C183" w14:textId="77777777" w:rsidR="004E63D6" w:rsidRPr="00FC2846" w:rsidRDefault="004E63D6" w:rsidP="00CA410A">
            <w:pPr>
              <w:pStyle w:val="TableText"/>
            </w:pPr>
            <w:r>
              <w:t>MBS Data</w:t>
            </w:r>
          </w:p>
        </w:tc>
      </w:tr>
    </w:tbl>
    <w:p w14:paraId="101B01E7" w14:textId="3D8227BB" w:rsidR="004E63D6" w:rsidRDefault="004E63D6" w:rsidP="004E63D6">
      <w:pPr>
        <w:pStyle w:val="TableFooter"/>
      </w:pPr>
      <w:bookmarkStart w:id="208" w:name="_Toc54940862"/>
      <w:r>
        <w:t xml:space="preserve">DNA = deoxyribose nucleic acid; </w:t>
      </w:r>
      <w:r w:rsidR="009B0043">
        <w:t xml:space="preserve">DCAR = Department Contracted Assessment Report; </w:t>
      </w:r>
      <w:r>
        <w:t xml:space="preserve">DUSC = drug utilisation subcommittee; </w:t>
      </w:r>
      <w:r w:rsidRPr="00A81F01">
        <w:rPr>
          <w:i/>
        </w:rPr>
        <w:t>EGFR</w:t>
      </w:r>
      <w:r>
        <w:t xml:space="preserve"> = </w:t>
      </w:r>
      <w:r w:rsidRPr="00A81F01">
        <w:t>epidermal growth factor receptor</w:t>
      </w:r>
      <w:r>
        <w:t xml:space="preserve">; </w:t>
      </w:r>
      <w:r w:rsidR="009B0043">
        <w:t xml:space="preserve">MBS = Medicare Benefits Schedule; </w:t>
      </w:r>
      <w:r>
        <w:t>PSD = public summary document; RNA = ribonucleic acid.</w:t>
      </w:r>
    </w:p>
    <w:p w14:paraId="7724B030" w14:textId="77777777" w:rsidR="004E63D6" w:rsidRPr="00CE28E3" w:rsidRDefault="004E63D6" w:rsidP="004E63D6">
      <w:pPr>
        <w:pStyle w:val="Heading2"/>
        <w:numPr>
          <w:ilvl w:val="0"/>
          <w:numId w:val="0"/>
        </w:numPr>
        <w:ind w:left="720" w:hanging="720"/>
      </w:pPr>
      <w:bookmarkStart w:id="209" w:name="_Toc109054497"/>
      <w:bookmarkStart w:id="210" w:name="_Toc148531182"/>
      <w:r w:rsidRPr="00CE28E3">
        <w:t>4.2</w:t>
      </w:r>
      <w:r>
        <w:tab/>
      </w:r>
      <w:r w:rsidRPr="00CE28E3">
        <w:t>Estimation of use and financial impact of the proposed health technology</w:t>
      </w:r>
      <w:bookmarkEnd w:id="208"/>
      <w:bookmarkEnd w:id="209"/>
      <w:bookmarkEnd w:id="210"/>
    </w:p>
    <w:p w14:paraId="55882742" w14:textId="77777777" w:rsidR="004E63D6" w:rsidRDefault="004E63D6" w:rsidP="004E63D6">
      <w:pPr>
        <w:pStyle w:val="NormalBeforeBullet"/>
      </w:pPr>
      <w:r w:rsidRPr="00A81F01">
        <w:rPr>
          <w:i/>
        </w:rPr>
        <w:t>EGFR</w:t>
      </w:r>
      <w:r>
        <w:t xml:space="preserve"> testing is currently a pathologist determinable service that occurs on diagnosis of non-squamous NSCLC. As small gene panel testing is also proposed to be pathologist determinable on diagnosis of non-squamous NSCLC, the current market for </w:t>
      </w:r>
      <w:r w:rsidRPr="00A81F01">
        <w:rPr>
          <w:i/>
        </w:rPr>
        <w:t>EGFR</w:t>
      </w:r>
      <w:r>
        <w:t xml:space="preserve"> testing would apply to that for small gene panel testing.</w:t>
      </w:r>
    </w:p>
    <w:p w14:paraId="6356F8B3" w14:textId="677CE7C3" w:rsidR="004E63D6" w:rsidRDefault="004E63D6" w:rsidP="004E63D6">
      <w:pPr>
        <w:pStyle w:val="NormalBeforeBullet"/>
      </w:pPr>
      <w:r>
        <w:t>No growth in the market is anticipated with small gene panel testing, however a sensitivity analys</w:t>
      </w:r>
      <w:r w:rsidR="002D5943">
        <w:t>i</w:t>
      </w:r>
      <w:r>
        <w:t xml:space="preserve">s has been performed assuming growth in the market </w:t>
      </w:r>
      <w:r w:rsidR="00A20449">
        <w:t xml:space="preserve">(for example if states are currently funding </w:t>
      </w:r>
      <w:r w:rsidR="00A20449" w:rsidRPr="00A20449">
        <w:rPr>
          <w:i/>
        </w:rPr>
        <w:t>EGFR</w:t>
      </w:r>
      <w:r w:rsidR="00A20449">
        <w:t xml:space="preserve"> testing, and with the listing of small gene panels, this shifts to the MBS) </w:t>
      </w:r>
      <w:r>
        <w:t xml:space="preserve">(see Section 4.6). </w:t>
      </w:r>
    </w:p>
    <w:p w14:paraId="1A8FD02F" w14:textId="7D15F2B5" w:rsidR="004E63D6" w:rsidRDefault="004E63D6" w:rsidP="004E63D6">
      <w:pPr>
        <w:pStyle w:val="NormalBeforeBullet"/>
      </w:pPr>
      <w:r>
        <w:lastRenderedPageBreak/>
        <w:t xml:space="preserve">MBS item statistics on the use of </w:t>
      </w:r>
      <w:r w:rsidRPr="00A81F01">
        <w:rPr>
          <w:i/>
        </w:rPr>
        <w:t>EGFR</w:t>
      </w:r>
      <w:r>
        <w:t xml:space="preserve"> testing (item 73337) 2015−2021 are presented in </w:t>
      </w:r>
      <w:r>
        <w:fldChar w:fldCharType="begin"/>
      </w:r>
      <w:r>
        <w:instrText xml:space="preserve"> REF _Ref108606614 \h </w:instrText>
      </w:r>
      <w:r>
        <w:fldChar w:fldCharType="separate"/>
      </w:r>
      <w:r w:rsidR="00C857F3" w:rsidRPr="00CE28E3">
        <w:t>Table</w:t>
      </w:r>
      <w:r w:rsidR="00C857F3">
        <w:t> </w:t>
      </w:r>
      <w:r w:rsidR="00C857F3">
        <w:rPr>
          <w:noProof/>
        </w:rPr>
        <w:t>60</w:t>
      </w:r>
      <w:r>
        <w:fldChar w:fldCharType="end"/>
      </w:r>
      <w:r>
        <w:t>.</w:t>
      </w:r>
    </w:p>
    <w:p w14:paraId="1A3256CB" w14:textId="722F112B" w:rsidR="004E63D6" w:rsidRDefault="004E63D6" w:rsidP="004E63D6">
      <w:pPr>
        <w:pStyle w:val="Caption"/>
      </w:pPr>
      <w:bookmarkStart w:id="211" w:name="_Ref108606614"/>
      <w:r w:rsidRPr="00CE28E3">
        <w:t>Table</w:t>
      </w:r>
      <w:r>
        <w:t> </w:t>
      </w:r>
      <w:fldSimple w:instr=" SEQ Table \* ARABIC ">
        <w:r w:rsidR="00C857F3">
          <w:rPr>
            <w:noProof/>
          </w:rPr>
          <w:t>60</w:t>
        </w:r>
      </w:fldSimple>
      <w:bookmarkEnd w:id="211"/>
      <w:r w:rsidRPr="00CE28E3">
        <w:tab/>
      </w:r>
      <w:r>
        <w:t>Use of MBS item 73337, 2015−2021</w:t>
      </w:r>
    </w:p>
    <w:tbl>
      <w:tblPr>
        <w:tblStyle w:val="TableGrid"/>
        <w:tblW w:w="0" w:type="auto"/>
        <w:tblLook w:val="04A0" w:firstRow="1" w:lastRow="0" w:firstColumn="1" w:lastColumn="0" w:noHBand="0" w:noVBand="1"/>
        <w:tblCaption w:val="Use of MBS item 73337, 2015−2021"/>
        <w:tblDescription w:val="Use of MBS item 73337, 2015−2021"/>
      </w:tblPr>
      <w:tblGrid>
        <w:gridCol w:w="1413"/>
        <w:gridCol w:w="1086"/>
        <w:gridCol w:w="1086"/>
        <w:gridCol w:w="1086"/>
        <w:gridCol w:w="1086"/>
        <w:gridCol w:w="1086"/>
        <w:gridCol w:w="1086"/>
        <w:gridCol w:w="1087"/>
      </w:tblGrid>
      <w:tr w:rsidR="004E63D6" w:rsidRPr="00507A6B" w14:paraId="75341B2F" w14:textId="77777777" w:rsidTr="00F56CC8">
        <w:trPr>
          <w:tblHeader/>
        </w:trPr>
        <w:tc>
          <w:tcPr>
            <w:tcW w:w="1413" w:type="dxa"/>
          </w:tcPr>
          <w:p w14:paraId="18387AAC" w14:textId="77777777" w:rsidR="004E63D6" w:rsidRPr="00507A6B" w:rsidRDefault="004E63D6" w:rsidP="00CA410A">
            <w:pPr>
              <w:pStyle w:val="TableHeading"/>
              <w:jc w:val="center"/>
            </w:pPr>
          </w:p>
        </w:tc>
        <w:tc>
          <w:tcPr>
            <w:tcW w:w="1086" w:type="dxa"/>
          </w:tcPr>
          <w:p w14:paraId="49C6D28E" w14:textId="77777777" w:rsidR="004E63D6" w:rsidRPr="00507A6B" w:rsidRDefault="004E63D6" w:rsidP="00CA410A">
            <w:pPr>
              <w:pStyle w:val="TableHeading"/>
              <w:jc w:val="center"/>
            </w:pPr>
            <w:r w:rsidRPr="00507A6B">
              <w:t>2015</w:t>
            </w:r>
          </w:p>
        </w:tc>
        <w:tc>
          <w:tcPr>
            <w:tcW w:w="1086" w:type="dxa"/>
          </w:tcPr>
          <w:p w14:paraId="6B8862A8" w14:textId="77777777" w:rsidR="004E63D6" w:rsidRPr="00507A6B" w:rsidRDefault="004E63D6" w:rsidP="00CA410A">
            <w:pPr>
              <w:pStyle w:val="TableHeading"/>
              <w:jc w:val="center"/>
            </w:pPr>
            <w:r w:rsidRPr="00507A6B">
              <w:t>2016</w:t>
            </w:r>
          </w:p>
        </w:tc>
        <w:tc>
          <w:tcPr>
            <w:tcW w:w="1086" w:type="dxa"/>
          </w:tcPr>
          <w:p w14:paraId="6A3DB566" w14:textId="77777777" w:rsidR="004E63D6" w:rsidRPr="00507A6B" w:rsidRDefault="004E63D6" w:rsidP="00CA410A">
            <w:pPr>
              <w:pStyle w:val="TableHeading"/>
              <w:jc w:val="center"/>
            </w:pPr>
            <w:r w:rsidRPr="00507A6B">
              <w:t>2017</w:t>
            </w:r>
          </w:p>
        </w:tc>
        <w:tc>
          <w:tcPr>
            <w:tcW w:w="1086" w:type="dxa"/>
          </w:tcPr>
          <w:p w14:paraId="5C64F952" w14:textId="77777777" w:rsidR="004E63D6" w:rsidRPr="00507A6B" w:rsidRDefault="004E63D6" w:rsidP="00CA410A">
            <w:pPr>
              <w:pStyle w:val="TableHeading"/>
              <w:jc w:val="center"/>
            </w:pPr>
            <w:r w:rsidRPr="00507A6B">
              <w:t>2018</w:t>
            </w:r>
          </w:p>
        </w:tc>
        <w:tc>
          <w:tcPr>
            <w:tcW w:w="1086" w:type="dxa"/>
          </w:tcPr>
          <w:p w14:paraId="28BDB4E1" w14:textId="77777777" w:rsidR="004E63D6" w:rsidRPr="00507A6B" w:rsidRDefault="004E63D6" w:rsidP="00CA410A">
            <w:pPr>
              <w:pStyle w:val="TableHeading"/>
              <w:jc w:val="center"/>
            </w:pPr>
            <w:r w:rsidRPr="00507A6B">
              <w:t>2019</w:t>
            </w:r>
          </w:p>
        </w:tc>
        <w:tc>
          <w:tcPr>
            <w:tcW w:w="1086" w:type="dxa"/>
          </w:tcPr>
          <w:p w14:paraId="10D0D968" w14:textId="77777777" w:rsidR="004E63D6" w:rsidRPr="00507A6B" w:rsidRDefault="004E63D6" w:rsidP="00CA410A">
            <w:pPr>
              <w:pStyle w:val="TableHeading"/>
              <w:jc w:val="center"/>
            </w:pPr>
            <w:r w:rsidRPr="00507A6B">
              <w:t>2020</w:t>
            </w:r>
          </w:p>
        </w:tc>
        <w:tc>
          <w:tcPr>
            <w:tcW w:w="1087" w:type="dxa"/>
          </w:tcPr>
          <w:p w14:paraId="37313111" w14:textId="77777777" w:rsidR="004E63D6" w:rsidRPr="00507A6B" w:rsidRDefault="004E63D6" w:rsidP="00CA410A">
            <w:pPr>
              <w:pStyle w:val="TableHeading"/>
              <w:jc w:val="center"/>
            </w:pPr>
            <w:r w:rsidRPr="00507A6B">
              <w:t>2021</w:t>
            </w:r>
          </w:p>
        </w:tc>
      </w:tr>
      <w:tr w:rsidR="004E63D6" w:rsidRPr="00507A6B" w14:paraId="2F1E5E9B" w14:textId="77777777" w:rsidTr="00CA410A">
        <w:tc>
          <w:tcPr>
            <w:tcW w:w="1413" w:type="dxa"/>
          </w:tcPr>
          <w:p w14:paraId="6B03DB40" w14:textId="77777777" w:rsidR="004E63D6" w:rsidRPr="00507A6B" w:rsidRDefault="004E63D6" w:rsidP="00CA410A">
            <w:pPr>
              <w:pStyle w:val="TableText"/>
            </w:pPr>
            <w:r w:rsidRPr="00507A6B">
              <w:t>No. services</w:t>
            </w:r>
          </w:p>
        </w:tc>
        <w:tc>
          <w:tcPr>
            <w:tcW w:w="1086" w:type="dxa"/>
          </w:tcPr>
          <w:p w14:paraId="0DFF05C9" w14:textId="77777777" w:rsidR="004E63D6" w:rsidRPr="00507A6B" w:rsidRDefault="004E63D6" w:rsidP="00CA410A">
            <w:pPr>
              <w:pStyle w:val="TableText"/>
              <w:jc w:val="center"/>
            </w:pPr>
            <w:r w:rsidRPr="00507A6B">
              <w:t>3,368</w:t>
            </w:r>
          </w:p>
        </w:tc>
        <w:tc>
          <w:tcPr>
            <w:tcW w:w="1086" w:type="dxa"/>
          </w:tcPr>
          <w:p w14:paraId="0B8DBA47" w14:textId="77777777" w:rsidR="004E63D6" w:rsidRPr="00507A6B" w:rsidRDefault="004E63D6" w:rsidP="00CA410A">
            <w:pPr>
              <w:pStyle w:val="TableText"/>
              <w:jc w:val="center"/>
            </w:pPr>
            <w:r w:rsidRPr="00507A6B">
              <w:t>3,419</w:t>
            </w:r>
          </w:p>
        </w:tc>
        <w:tc>
          <w:tcPr>
            <w:tcW w:w="1086" w:type="dxa"/>
          </w:tcPr>
          <w:p w14:paraId="572FE97E" w14:textId="77777777" w:rsidR="004E63D6" w:rsidRPr="00507A6B" w:rsidRDefault="004E63D6" w:rsidP="00CA410A">
            <w:pPr>
              <w:pStyle w:val="TableText"/>
              <w:jc w:val="center"/>
            </w:pPr>
            <w:r w:rsidRPr="00507A6B">
              <w:t>3,863</w:t>
            </w:r>
          </w:p>
        </w:tc>
        <w:tc>
          <w:tcPr>
            <w:tcW w:w="1086" w:type="dxa"/>
          </w:tcPr>
          <w:p w14:paraId="641D6D59" w14:textId="77777777" w:rsidR="004E63D6" w:rsidRPr="00507A6B" w:rsidRDefault="004E63D6" w:rsidP="00CA410A">
            <w:pPr>
              <w:pStyle w:val="TableText"/>
              <w:jc w:val="center"/>
            </w:pPr>
            <w:r w:rsidRPr="00507A6B">
              <w:t>4,147</w:t>
            </w:r>
          </w:p>
        </w:tc>
        <w:tc>
          <w:tcPr>
            <w:tcW w:w="1086" w:type="dxa"/>
          </w:tcPr>
          <w:p w14:paraId="57F8E2B8" w14:textId="77777777" w:rsidR="004E63D6" w:rsidRPr="00507A6B" w:rsidRDefault="004E63D6" w:rsidP="00CA410A">
            <w:pPr>
              <w:pStyle w:val="TableText"/>
              <w:jc w:val="center"/>
            </w:pPr>
            <w:r w:rsidRPr="00507A6B">
              <w:t>4,603</w:t>
            </w:r>
          </w:p>
        </w:tc>
        <w:tc>
          <w:tcPr>
            <w:tcW w:w="1086" w:type="dxa"/>
          </w:tcPr>
          <w:p w14:paraId="021EA28F" w14:textId="77777777" w:rsidR="004E63D6" w:rsidRPr="00507A6B" w:rsidRDefault="004E63D6" w:rsidP="00CA410A">
            <w:pPr>
              <w:pStyle w:val="TableText"/>
              <w:jc w:val="center"/>
            </w:pPr>
            <w:r w:rsidRPr="00507A6B">
              <w:t>4,697</w:t>
            </w:r>
          </w:p>
        </w:tc>
        <w:tc>
          <w:tcPr>
            <w:tcW w:w="1087" w:type="dxa"/>
          </w:tcPr>
          <w:p w14:paraId="6C4F0922" w14:textId="77777777" w:rsidR="004E63D6" w:rsidRPr="00507A6B" w:rsidRDefault="004E63D6" w:rsidP="00CA410A">
            <w:pPr>
              <w:pStyle w:val="TableText"/>
              <w:jc w:val="center"/>
            </w:pPr>
            <w:r w:rsidRPr="00507A6B">
              <w:t>4,854</w:t>
            </w:r>
          </w:p>
        </w:tc>
      </w:tr>
    </w:tbl>
    <w:p w14:paraId="3B203773" w14:textId="30289990" w:rsidR="004E63D6" w:rsidRDefault="004E63D6" w:rsidP="004E63D6">
      <w:pPr>
        <w:pStyle w:val="TableFooter"/>
      </w:pPr>
      <w:r>
        <w:t>Source: Services Australia</w:t>
      </w:r>
      <w:r w:rsidR="009B0043">
        <w:t>; MBS = Medicare Benefits Schedule</w:t>
      </w:r>
    </w:p>
    <w:p w14:paraId="5DFC1A21" w14:textId="26FF31CB" w:rsidR="004E63D6" w:rsidRDefault="004E63D6" w:rsidP="004E63D6">
      <w:pPr>
        <w:pStyle w:val="NormalBeforeBullet"/>
      </w:pPr>
      <w:r>
        <w:t>Linear extrapolations of these data appear reasonable to project estimates of use 2023−2028 (</w:t>
      </w:r>
      <w:r>
        <w:rPr>
          <w:highlight w:val="yellow"/>
        </w:rPr>
        <w:fldChar w:fldCharType="begin"/>
      </w:r>
      <w:r>
        <w:instrText xml:space="preserve"> REF _Ref108607765 \h </w:instrText>
      </w:r>
      <w:r>
        <w:rPr>
          <w:highlight w:val="yellow"/>
        </w:rPr>
      </w:r>
      <w:r>
        <w:rPr>
          <w:highlight w:val="yellow"/>
        </w:rPr>
        <w:fldChar w:fldCharType="separate"/>
      </w:r>
      <w:r w:rsidR="00C857F3">
        <w:t xml:space="preserve">Figure </w:t>
      </w:r>
      <w:r w:rsidR="00C857F3">
        <w:rPr>
          <w:noProof/>
        </w:rPr>
        <w:t>18</w:t>
      </w:r>
      <w:r>
        <w:rPr>
          <w:highlight w:val="yellow"/>
        </w:rPr>
        <w:fldChar w:fldCharType="end"/>
      </w:r>
      <w:r>
        <w:t>).</w:t>
      </w:r>
    </w:p>
    <w:p w14:paraId="2B835EA6" w14:textId="4F127999" w:rsidR="004E63D6" w:rsidRDefault="004E63D6" w:rsidP="004E63D6">
      <w:pPr>
        <w:pStyle w:val="Caption"/>
      </w:pPr>
      <w:bookmarkStart w:id="212" w:name="_Ref108607765"/>
      <w:r>
        <w:t xml:space="preserve">Figure </w:t>
      </w:r>
      <w:fldSimple w:instr=" SEQ Figure \* ARABIC ">
        <w:r w:rsidR="00C857F3">
          <w:rPr>
            <w:noProof/>
          </w:rPr>
          <w:t>18</w:t>
        </w:r>
      </w:fldSimple>
      <w:bookmarkEnd w:id="212"/>
      <w:r>
        <w:tab/>
      </w:r>
      <w:r w:rsidRPr="00A81F01">
        <w:rPr>
          <w:i/>
        </w:rPr>
        <w:t>EGFR</w:t>
      </w:r>
      <w:r>
        <w:t xml:space="preserve"> services, observed (2015−2021) and projected (2022−2028)</w:t>
      </w:r>
    </w:p>
    <w:p w14:paraId="69D2C70A" w14:textId="77777777" w:rsidR="004E63D6" w:rsidRDefault="004E63D6" w:rsidP="004E63D6">
      <w:pPr>
        <w:pStyle w:val="NormalBeforeBullet"/>
        <w:jc w:val="center"/>
      </w:pPr>
      <w:r>
        <w:rPr>
          <w:noProof/>
          <w:lang w:eastAsia="en-AU"/>
        </w:rPr>
        <w:drawing>
          <wp:inline distT="0" distB="0" distL="0" distR="0" wp14:anchorId="2A8BC8A2" wp14:editId="0DB0FFEE">
            <wp:extent cx="4542155" cy="2743200"/>
            <wp:effectExtent l="0" t="0" r="0" b="0"/>
            <wp:docPr id="34" name="Picture 34" descr="EGFR services, observed (2015−2021) and projected (2022−2028)" title="EGFR services, observed (2015−2021) and projected (2022−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2155" cy="2743200"/>
                    </a:xfrm>
                    <a:prstGeom prst="rect">
                      <a:avLst/>
                    </a:prstGeom>
                    <a:noFill/>
                  </pic:spPr>
                </pic:pic>
              </a:graphicData>
            </a:graphic>
          </wp:inline>
        </w:drawing>
      </w:r>
    </w:p>
    <w:p w14:paraId="562AC870" w14:textId="77777777" w:rsidR="004E63D6" w:rsidRDefault="004E63D6" w:rsidP="004E63D6">
      <w:pPr>
        <w:pStyle w:val="TableFooter"/>
      </w:pPr>
      <w:r>
        <w:t>Source: ‘MBS statistics’ worksheet of the ‘1721 financial impact.xlsx’ workbook accompanying the DCAR.</w:t>
      </w:r>
    </w:p>
    <w:p w14:paraId="4258498D" w14:textId="77777777" w:rsidR="004E63D6" w:rsidRDefault="004E63D6" w:rsidP="004E63D6">
      <w:pPr>
        <w:pStyle w:val="TableFooter"/>
      </w:pPr>
      <w:r w:rsidRPr="00A81F01">
        <w:rPr>
          <w:i/>
        </w:rPr>
        <w:t>EGFR</w:t>
      </w:r>
      <w:r>
        <w:t xml:space="preserve"> = </w:t>
      </w:r>
      <w:r w:rsidRPr="00A81F01">
        <w:t>epidermal growth factor receptor</w:t>
      </w:r>
      <w:r>
        <w:t xml:space="preserve">. </w:t>
      </w:r>
    </w:p>
    <w:p w14:paraId="500A9065" w14:textId="687E7DEA" w:rsidR="004E63D6" w:rsidRDefault="004E63D6" w:rsidP="004E63D6">
      <w:pPr>
        <w:pStyle w:val="NormalBeforeBullet"/>
      </w:pPr>
      <w:r>
        <w:t xml:space="preserve">The projected number of </w:t>
      </w:r>
      <w:r w:rsidRPr="00A81F01">
        <w:rPr>
          <w:i/>
        </w:rPr>
        <w:t>EGFR</w:t>
      </w:r>
      <w:r>
        <w:t xml:space="preserve"> services, 2023−2028 is presented in </w:t>
      </w:r>
      <w:r>
        <w:fldChar w:fldCharType="begin"/>
      </w:r>
      <w:r>
        <w:instrText xml:space="preserve"> REF _Ref108603626 \h </w:instrText>
      </w:r>
      <w:r>
        <w:fldChar w:fldCharType="separate"/>
      </w:r>
      <w:r w:rsidR="00C857F3" w:rsidRPr="00CE28E3">
        <w:t>Table</w:t>
      </w:r>
      <w:r w:rsidR="00C857F3">
        <w:t> </w:t>
      </w:r>
      <w:r w:rsidR="00C857F3">
        <w:rPr>
          <w:noProof/>
        </w:rPr>
        <w:t>61</w:t>
      </w:r>
      <w:r>
        <w:fldChar w:fldCharType="end"/>
      </w:r>
      <w:r>
        <w:t>. In the base case, small gene panel testing is assumed to take 100% of the share of the market for testing. PASC noted that l</w:t>
      </w:r>
      <w:r w:rsidRPr="001022E7">
        <w:t>aboratory capacity will expand naturally with market force</w:t>
      </w:r>
      <w:r>
        <w:t xml:space="preserve">s over the next couple of years (and so expected that laboratories that currently perform </w:t>
      </w:r>
      <w:r w:rsidRPr="00A81F01">
        <w:rPr>
          <w:i/>
        </w:rPr>
        <w:t>EGFR</w:t>
      </w:r>
      <w:r>
        <w:t xml:space="preserve"> testing would be able to provide small gene panel testing services). </w:t>
      </w:r>
    </w:p>
    <w:p w14:paraId="40525B4B" w14:textId="2A4790D6" w:rsidR="004E63D6" w:rsidRDefault="004E63D6" w:rsidP="004E63D6">
      <w:pPr>
        <w:pStyle w:val="NormalBeforeBullet"/>
      </w:pPr>
    </w:p>
    <w:p w14:paraId="3285159A" w14:textId="77777777" w:rsidR="004E63D6" w:rsidRDefault="004E63D6" w:rsidP="004E63D6">
      <w:pPr>
        <w:pStyle w:val="NormalBeforeBullet"/>
      </w:pPr>
      <w:r>
        <w:t>Two funding approaches have been proposed for small gene panel testing in NSCLC:</w:t>
      </w:r>
    </w:p>
    <w:p w14:paraId="369A881E" w14:textId="77777777" w:rsidR="004E63D6" w:rsidRDefault="004E63D6" w:rsidP="004E63D6">
      <w:pPr>
        <w:pStyle w:val="NormalBeforeBullet"/>
        <w:numPr>
          <w:ilvl w:val="0"/>
          <w:numId w:val="26"/>
        </w:numPr>
      </w:pPr>
      <w:r>
        <w:t>Combined DNA/RNA testing, where one provider can perform both DNA and RNA testing; and</w:t>
      </w:r>
    </w:p>
    <w:p w14:paraId="6164B233" w14:textId="77777777" w:rsidR="004E63D6" w:rsidRDefault="004E63D6" w:rsidP="004E63D6">
      <w:pPr>
        <w:pStyle w:val="NormalBeforeBullet"/>
        <w:numPr>
          <w:ilvl w:val="0"/>
          <w:numId w:val="26"/>
        </w:numPr>
      </w:pPr>
      <w:r>
        <w:t>Two-step DNA, then RNA testing, should providers be unable to perform both (whether due to laboratory capacity or infrastructure, or due to quantity of sample available for RNA-based testing).</w:t>
      </w:r>
    </w:p>
    <w:p w14:paraId="6F153D6B" w14:textId="4F5B73A1" w:rsidR="004E63D6" w:rsidRDefault="004E63D6" w:rsidP="004E63D6">
      <w:pPr>
        <w:pStyle w:val="NormalBeforeBullet"/>
      </w:pPr>
      <w:r>
        <w:t xml:space="preserve">The financial impact analysis assumes that both approaches will be available, with the proportion of providers able to provide combined DNA/RNA testing based on applicant feedback. The share of services that use either the combined or two-step approach is presented in </w:t>
      </w:r>
      <w:r>
        <w:fldChar w:fldCharType="begin"/>
      </w:r>
      <w:r>
        <w:instrText xml:space="preserve"> REF _Ref108603626 \h </w:instrText>
      </w:r>
      <w:r>
        <w:fldChar w:fldCharType="separate"/>
      </w:r>
      <w:r w:rsidR="00C857F3" w:rsidRPr="00CE28E3">
        <w:t>Table</w:t>
      </w:r>
      <w:r w:rsidR="00C857F3">
        <w:t> </w:t>
      </w:r>
      <w:r w:rsidR="00C857F3">
        <w:rPr>
          <w:noProof/>
        </w:rPr>
        <w:t>61</w:t>
      </w:r>
      <w:r>
        <w:fldChar w:fldCharType="end"/>
      </w:r>
      <w:r>
        <w:t>.</w:t>
      </w:r>
    </w:p>
    <w:p w14:paraId="1CE22B7B" w14:textId="6FA7853A" w:rsidR="004E63D6" w:rsidRDefault="004E63D6" w:rsidP="004E63D6">
      <w:pPr>
        <w:pStyle w:val="Caption"/>
      </w:pPr>
      <w:bookmarkStart w:id="213" w:name="_Ref108603626"/>
      <w:r w:rsidRPr="00CE28E3">
        <w:lastRenderedPageBreak/>
        <w:t>Table</w:t>
      </w:r>
      <w:r>
        <w:t> </w:t>
      </w:r>
      <w:fldSimple w:instr=" SEQ Table \* ARABIC ">
        <w:r w:rsidR="00C857F3">
          <w:rPr>
            <w:noProof/>
          </w:rPr>
          <w:t>61</w:t>
        </w:r>
      </w:fldSimple>
      <w:bookmarkEnd w:id="213"/>
      <w:r w:rsidRPr="00CE28E3">
        <w:tab/>
      </w:r>
      <w:r>
        <w:t>Extent of use of small gene panel testing</w:t>
      </w:r>
    </w:p>
    <w:tbl>
      <w:tblPr>
        <w:tblStyle w:val="TableGrid1"/>
        <w:tblW w:w="5000" w:type="pct"/>
        <w:tblLayout w:type="fixed"/>
        <w:tblLook w:val="04A0" w:firstRow="1" w:lastRow="0" w:firstColumn="1" w:lastColumn="0" w:noHBand="0" w:noVBand="1"/>
        <w:tblCaption w:val="Extent of use of small gene panel testing"/>
        <w:tblDescription w:val="Extent of use of small gene panel testing"/>
      </w:tblPr>
      <w:tblGrid>
        <w:gridCol w:w="418"/>
        <w:gridCol w:w="3686"/>
        <w:gridCol w:w="819"/>
        <w:gridCol w:w="819"/>
        <w:gridCol w:w="819"/>
        <w:gridCol w:w="819"/>
        <w:gridCol w:w="819"/>
        <w:gridCol w:w="817"/>
      </w:tblGrid>
      <w:tr w:rsidR="004E63D6" w:rsidRPr="00B0078B" w14:paraId="4B2BABEA" w14:textId="77777777" w:rsidTr="00F56CC8">
        <w:trPr>
          <w:cnfStyle w:val="100000000000" w:firstRow="1" w:lastRow="0" w:firstColumn="0" w:lastColumn="0" w:oddVBand="0" w:evenVBand="0" w:oddHBand="0" w:evenHBand="0" w:firstRowFirstColumn="0" w:firstRowLastColumn="0" w:lastRowFirstColumn="0" w:lastRowLastColumn="0"/>
          <w:trHeight w:val="300"/>
          <w:tblHeader/>
        </w:trPr>
        <w:tc>
          <w:tcPr>
            <w:tcW w:w="232" w:type="pct"/>
          </w:tcPr>
          <w:p w14:paraId="2BAAE008" w14:textId="77777777" w:rsidR="004E63D6" w:rsidRPr="00B0078B" w:rsidRDefault="004E63D6" w:rsidP="00CA410A">
            <w:pPr>
              <w:pStyle w:val="TableHeading"/>
              <w:jc w:val="center"/>
            </w:pPr>
          </w:p>
        </w:tc>
        <w:tc>
          <w:tcPr>
            <w:tcW w:w="2044" w:type="pct"/>
            <w:noWrap/>
            <w:hideMark/>
          </w:tcPr>
          <w:p w14:paraId="55615E48" w14:textId="77777777" w:rsidR="004E63D6" w:rsidRPr="00B0078B" w:rsidRDefault="004E63D6" w:rsidP="00CA410A">
            <w:pPr>
              <w:pStyle w:val="TableHeading"/>
              <w:jc w:val="center"/>
            </w:pPr>
          </w:p>
        </w:tc>
        <w:tc>
          <w:tcPr>
            <w:tcW w:w="454" w:type="pct"/>
            <w:noWrap/>
            <w:hideMark/>
          </w:tcPr>
          <w:p w14:paraId="136AE606" w14:textId="77777777" w:rsidR="004E63D6" w:rsidRPr="00B0078B" w:rsidRDefault="004E63D6" w:rsidP="00CA410A">
            <w:pPr>
              <w:pStyle w:val="TableHeading"/>
              <w:jc w:val="center"/>
            </w:pPr>
            <w:r w:rsidRPr="00B0078B">
              <w:t>2023</w:t>
            </w:r>
          </w:p>
        </w:tc>
        <w:tc>
          <w:tcPr>
            <w:tcW w:w="454" w:type="pct"/>
            <w:noWrap/>
            <w:hideMark/>
          </w:tcPr>
          <w:p w14:paraId="07071CF2" w14:textId="77777777" w:rsidR="004E63D6" w:rsidRPr="00B0078B" w:rsidRDefault="004E63D6" w:rsidP="00CA410A">
            <w:pPr>
              <w:pStyle w:val="TableHeading"/>
              <w:jc w:val="center"/>
            </w:pPr>
            <w:r w:rsidRPr="00B0078B">
              <w:t>2024</w:t>
            </w:r>
          </w:p>
        </w:tc>
        <w:tc>
          <w:tcPr>
            <w:tcW w:w="454" w:type="pct"/>
            <w:noWrap/>
            <w:hideMark/>
          </w:tcPr>
          <w:p w14:paraId="36EE1C33" w14:textId="77777777" w:rsidR="004E63D6" w:rsidRPr="00B0078B" w:rsidRDefault="004E63D6" w:rsidP="00CA410A">
            <w:pPr>
              <w:pStyle w:val="TableHeading"/>
              <w:jc w:val="center"/>
            </w:pPr>
            <w:r w:rsidRPr="00B0078B">
              <w:t>2025</w:t>
            </w:r>
          </w:p>
        </w:tc>
        <w:tc>
          <w:tcPr>
            <w:tcW w:w="454" w:type="pct"/>
            <w:noWrap/>
            <w:hideMark/>
          </w:tcPr>
          <w:p w14:paraId="67BC916A" w14:textId="77777777" w:rsidR="004E63D6" w:rsidRPr="00B0078B" w:rsidRDefault="004E63D6" w:rsidP="00CA410A">
            <w:pPr>
              <w:pStyle w:val="TableHeading"/>
              <w:jc w:val="center"/>
            </w:pPr>
            <w:r w:rsidRPr="00B0078B">
              <w:t>2026</w:t>
            </w:r>
          </w:p>
        </w:tc>
        <w:tc>
          <w:tcPr>
            <w:tcW w:w="454" w:type="pct"/>
            <w:noWrap/>
            <w:hideMark/>
          </w:tcPr>
          <w:p w14:paraId="482374E3" w14:textId="77777777" w:rsidR="004E63D6" w:rsidRPr="00B0078B" w:rsidRDefault="004E63D6" w:rsidP="00CA410A">
            <w:pPr>
              <w:pStyle w:val="TableHeading"/>
              <w:jc w:val="center"/>
            </w:pPr>
            <w:r w:rsidRPr="00B0078B">
              <w:t>2027</w:t>
            </w:r>
          </w:p>
        </w:tc>
        <w:tc>
          <w:tcPr>
            <w:tcW w:w="453" w:type="pct"/>
            <w:noWrap/>
            <w:hideMark/>
          </w:tcPr>
          <w:p w14:paraId="1347F917" w14:textId="77777777" w:rsidR="004E63D6" w:rsidRPr="00B0078B" w:rsidRDefault="004E63D6" w:rsidP="00CA410A">
            <w:pPr>
              <w:pStyle w:val="TableHeading"/>
              <w:jc w:val="center"/>
            </w:pPr>
            <w:r w:rsidRPr="00B0078B">
              <w:t>2028</w:t>
            </w:r>
          </w:p>
        </w:tc>
      </w:tr>
      <w:tr w:rsidR="004E63D6" w:rsidRPr="00B0078B" w14:paraId="6A008312" w14:textId="77777777" w:rsidTr="00CA410A">
        <w:trPr>
          <w:trHeight w:val="300"/>
        </w:trPr>
        <w:tc>
          <w:tcPr>
            <w:tcW w:w="232" w:type="pct"/>
          </w:tcPr>
          <w:p w14:paraId="656F1190" w14:textId="77777777" w:rsidR="004E63D6" w:rsidRPr="00B0078B" w:rsidRDefault="004E63D6" w:rsidP="00CA410A">
            <w:pPr>
              <w:pStyle w:val="TableText"/>
            </w:pPr>
            <w:r>
              <w:t>A</w:t>
            </w:r>
          </w:p>
        </w:tc>
        <w:tc>
          <w:tcPr>
            <w:tcW w:w="2044" w:type="pct"/>
            <w:noWrap/>
            <w:hideMark/>
          </w:tcPr>
          <w:p w14:paraId="7101AE2E" w14:textId="77777777" w:rsidR="004E63D6" w:rsidRPr="00B0078B" w:rsidRDefault="004E63D6" w:rsidP="00CA410A">
            <w:pPr>
              <w:pStyle w:val="TableText"/>
            </w:pPr>
            <w:r w:rsidRPr="00B0078B">
              <w:t xml:space="preserve">Projected </w:t>
            </w:r>
            <w:r>
              <w:t>use of item 73337</w:t>
            </w:r>
          </w:p>
        </w:tc>
        <w:tc>
          <w:tcPr>
            <w:tcW w:w="454" w:type="pct"/>
            <w:noWrap/>
            <w:hideMark/>
          </w:tcPr>
          <w:p w14:paraId="688417FD" w14:textId="77777777" w:rsidR="004E63D6" w:rsidRPr="00B0078B" w:rsidRDefault="004E63D6" w:rsidP="00CA410A">
            <w:pPr>
              <w:pStyle w:val="TableText"/>
              <w:jc w:val="right"/>
            </w:pPr>
            <w:r w:rsidRPr="008B097E">
              <w:t>5,521</w:t>
            </w:r>
          </w:p>
        </w:tc>
        <w:tc>
          <w:tcPr>
            <w:tcW w:w="454" w:type="pct"/>
            <w:noWrap/>
            <w:hideMark/>
          </w:tcPr>
          <w:p w14:paraId="2E9939BA" w14:textId="77777777" w:rsidR="004E63D6" w:rsidRPr="00B0078B" w:rsidRDefault="004E63D6" w:rsidP="00CA410A">
            <w:pPr>
              <w:pStyle w:val="TableText"/>
              <w:jc w:val="right"/>
            </w:pPr>
            <w:r w:rsidRPr="008B097E">
              <w:t>5,797</w:t>
            </w:r>
          </w:p>
        </w:tc>
        <w:tc>
          <w:tcPr>
            <w:tcW w:w="454" w:type="pct"/>
            <w:noWrap/>
            <w:hideMark/>
          </w:tcPr>
          <w:p w14:paraId="47484EDD" w14:textId="77777777" w:rsidR="004E63D6" w:rsidRPr="00B0078B" w:rsidRDefault="004E63D6" w:rsidP="00CA410A">
            <w:pPr>
              <w:pStyle w:val="TableText"/>
              <w:jc w:val="right"/>
            </w:pPr>
            <w:r w:rsidRPr="008B097E">
              <w:t>6,074</w:t>
            </w:r>
          </w:p>
        </w:tc>
        <w:tc>
          <w:tcPr>
            <w:tcW w:w="454" w:type="pct"/>
            <w:noWrap/>
            <w:hideMark/>
          </w:tcPr>
          <w:p w14:paraId="3C065A43" w14:textId="77777777" w:rsidR="004E63D6" w:rsidRPr="00B0078B" w:rsidRDefault="004E63D6" w:rsidP="00CA410A">
            <w:pPr>
              <w:pStyle w:val="TableText"/>
              <w:jc w:val="right"/>
            </w:pPr>
            <w:r w:rsidRPr="008B097E">
              <w:t>6,351</w:t>
            </w:r>
          </w:p>
        </w:tc>
        <w:tc>
          <w:tcPr>
            <w:tcW w:w="454" w:type="pct"/>
            <w:noWrap/>
            <w:hideMark/>
          </w:tcPr>
          <w:p w14:paraId="5AC19E58" w14:textId="77777777" w:rsidR="004E63D6" w:rsidRPr="00B0078B" w:rsidRDefault="004E63D6" w:rsidP="00CA410A">
            <w:pPr>
              <w:pStyle w:val="TableText"/>
              <w:jc w:val="right"/>
            </w:pPr>
            <w:r w:rsidRPr="008B097E">
              <w:t>6,628</w:t>
            </w:r>
          </w:p>
        </w:tc>
        <w:tc>
          <w:tcPr>
            <w:tcW w:w="453" w:type="pct"/>
            <w:noWrap/>
            <w:hideMark/>
          </w:tcPr>
          <w:p w14:paraId="50E48649" w14:textId="77777777" w:rsidR="004E63D6" w:rsidRPr="00B0078B" w:rsidRDefault="004E63D6" w:rsidP="00CA410A">
            <w:pPr>
              <w:pStyle w:val="TableText"/>
              <w:jc w:val="right"/>
            </w:pPr>
            <w:r w:rsidRPr="008B097E">
              <w:t>6,905</w:t>
            </w:r>
          </w:p>
        </w:tc>
      </w:tr>
      <w:tr w:rsidR="004E63D6" w:rsidRPr="00B0078B" w14:paraId="2C8AFF3D" w14:textId="77777777" w:rsidTr="00CA410A">
        <w:trPr>
          <w:trHeight w:val="300"/>
        </w:trPr>
        <w:tc>
          <w:tcPr>
            <w:tcW w:w="232" w:type="pct"/>
          </w:tcPr>
          <w:p w14:paraId="30B1409A" w14:textId="77777777" w:rsidR="004E63D6" w:rsidRPr="00B0078B" w:rsidRDefault="004E63D6" w:rsidP="00CA410A">
            <w:pPr>
              <w:pStyle w:val="TableText"/>
            </w:pPr>
            <w:r>
              <w:t>B</w:t>
            </w:r>
          </w:p>
        </w:tc>
        <w:tc>
          <w:tcPr>
            <w:tcW w:w="2044" w:type="pct"/>
            <w:noWrap/>
            <w:hideMark/>
          </w:tcPr>
          <w:p w14:paraId="1B081F7A" w14:textId="77777777" w:rsidR="004E63D6" w:rsidRPr="00B0078B" w:rsidRDefault="004E63D6" w:rsidP="00CA410A">
            <w:pPr>
              <w:pStyle w:val="TableText"/>
            </w:pPr>
            <w:r w:rsidRPr="00B0078B">
              <w:t xml:space="preserve">No. of </w:t>
            </w:r>
            <w:r>
              <w:t xml:space="preserve">small gene panel services </w:t>
            </w:r>
            <w:r>
              <w:br/>
              <w:t>[</w:t>
            </w:r>
            <w:r w:rsidRPr="0014730E">
              <w:t>100</w:t>
            </w:r>
            <w:r>
              <w:t>% market share × A]</w:t>
            </w:r>
          </w:p>
        </w:tc>
        <w:tc>
          <w:tcPr>
            <w:tcW w:w="454" w:type="pct"/>
            <w:noWrap/>
            <w:hideMark/>
          </w:tcPr>
          <w:p w14:paraId="21AC4265" w14:textId="77777777" w:rsidR="004E63D6" w:rsidRPr="00B0078B" w:rsidRDefault="004E63D6" w:rsidP="00CA410A">
            <w:pPr>
              <w:pStyle w:val="TableText"/>
              <w:jc w:val="right"/>
            </w:pPr>
            <w:r w:rsidRPr="008B097E">
              <w:t>5,521</w:t>
            </w:r>
          </w:p>
        </w:tc>
        <w:tc>
          <w:tcPr>
            <w:tcW w:w="454" w:type="pct"/>
            <w:noWrap/>
            <w:hideMark/>
          </w:tcPr>
          <w:p w14:paraId="687BE392" w14:textId="77777777" w:rsidR="004E63D6" w:rsidRPr="00B0078B" w:rsidRDefault="004E63D6" w:rsidP="00CA410A">
            <w:pPr>
              <w:pStyle w:val="TableText"/>
              <w:jc w:val="right"/>
            </w:pPr>
            <w:r w:rsidRPr="008B097E">
              <w:t>5,797</w:t>
            </w:r>
          </w:p>
        </w:tc>
        <w:tc>
          <w:tcPr>
            <w:tcW w:w="454" w:type="pct"/>
            <w:noWrap/>
            <w:hideMark/>
          </w:tcPr>
          <w:p w14:paraId="73D651CB" w14:textId="77777777" w:rsidR="004E63D6" w:rsidRPr="00B0078B" w:rsidRDefault="004E63D6" w:rsidP="00CA410A">
            <w:pPr>
              <w:pStyle w:val="TableText"/>
              <w:jc w:val="right"/>
            </w:pPr>
            <w:r w:rsidRPr="008B097E">
              <w:t>6,074</w:t>
            </w:r>
          </w:p>
        </w:tc>
        <w:tc>
          <w:tcPr>
            <w:tcW w:w="454" w:type="pct"/>
            <w:noWrap/>
            <w:hideMark/>
          </w:tcPr>
          <w:p w14:paraId="000CDF52" w14:textId="77777777" w:rsidR="004E63D6" w:rsidRPr="00B0078B" w:rsidRDefault="004E63D6" w:rsidP="00CA410A">
            <w:pPr>
              <w:pStyle w:val="TableText"/>
              <w:jc w:val="right"/>
            </w:pPr>
            <w:r w:rsidRPr="008B097E">
              <w:t>6,351</w:t>
            </w:r>
          </w:p>
        </w:tc>
        <w:tc>
          <w:tcPr>
            <w:tcW w:w="454" w:type="pct"/>
            <w:noWrap/>
            <w:hideMark/>
          </w:tcPr>
          <w:p w14:paraId="08E008F6" w14:textId="77777777" w:rsidR="004E63D6" w:rsidRPr="00B0078B" w:rsidRDefault="004E63D6" w:rsidP="00CA410A">
            <w:pPr>
              <w:pStyle w:val="TableText"/>
              <w:jc w:val="right"/>
            </w:pPr>
            <w:r w:rsidRPr="008B097E">
              <w:t>6,628</w:t>
            </w:r>
          </w:p>
        </w:tc>
        <w:tc>
          <w:tcPr>
            <w:tcW w:w="453" w:type="pct"/>
            <w:noWrap/>
            <w:hideMark/>
          </w:tcPr>
          <w:p w14:paraId="15C47361" w14:textId="77777777" w:rsidR="004E63D6" w:rsidRPr="00B0078B" w:rsidRDefault="004E63D6" w:rsidP="00CA410A">
            <w:pPr>
              <w:pStyle w:val="TableText"/>
              <w:jc w:val="right"/>
            </w:pPr>
            <w:r w:rsidRPr="008B097E">
              <w:t>6,905</w:t>
            </w:r>
          </w:p>
        </w:tc>
      </w:tr>
      <w:tr w:rsidR="004E63D6" w:rsidRPr="00B0078B" w14:paraId="3660F8C1" w14:textId="77777777" w:rsidTr="00CA410A">
        <w:trPr>
          <w:trHeight w:val="300"/>
        </w:trPr>
        <w:tc>
          <w:tcPr>
            <w:tcW w:w="232" w:type="pct"/>
          </w:tcPr>
          <w:p w14:paraId="6B6E94E1" w14:textId="77777777" w:rsidR="004E63D6" w:rsidRPr="00B0078B" w:rsidRDefault="004E63D6" w:rsidP="00CA410A">
            <w:pPr>
              <w:pStyle w:val="TableText"/>
            </w:pPr>
            <w:r>
              <w:t>C</w:t>
            </w:r>
          </w:p>
        </w:tc>
        <w:tc>
          <w:tcPr>
            <w:tcW w:w="2044" w:type="pct"/>
            <w:noWrap/>
            <w:hideMark/>
          </w:tcPr>
          <w:p w14:paraId="0C525B93" w14:textId="77777777" w:rsidR="004E63D6" w:rsidRPr="00B0078B" w:rsidRDefault="004E63D6" w:rsidP="00CA410A">
            <w:pPr>
              <w:pStyle w:val="TableText"/>
            </w:pPr>
            <w:r w:rsidRPr="00B0078B">
              <w:t>Proportion of services that use combined DNA/RNA testing</w:t>
            </w:r>
          </w:p>
        </w:tc>
        <w:tc>
          <w:tcPr>
            <w:tcW w:w="454" w:type="pct"/>
            <w:shd w:val="clear" w:color="auto" w:fill="auto"/>
            <w:noWrap/>
            <w:hideMark/>
          </w:tcPr>
          <w:p w14:paraId="4E8FD62A" w14:textId="77777777" w:rsidR="004E63D6" w:rsidRPr="00B0078B" w:rsidRDefault="004E63D6" w:rsidP="00CA410A">
            <w:pPr>
              <w:pStyle w:val="TableText"/>
              <w:jc w:val="right"/>
            </w:pPr>
            <w:r w:rsidRPr="008B097E">
              <w:t>25.0%</w:t>
            </w:r>
          </w:p>
        </w:tc>
        <w:tc>
          <w:tcPr>
            <w:tcW w:w="454" w:type="pct"/>
            <w:shd w:val="clear" w:color="auto" w:fill="auto"/>
            <w:noWrap/>
            <w:hideMark/>
          </w:tcPr>
          <w:p w14:paraId="7F17F932" w14:textId="77777777" w:rsidR="004E63D6" w:rsidRPr="00B0078B" w:rsidRDefault="004E63D6" w:rsidP="00CA410A">
            <w:pPr>
              <w:pStyle w:val="TableText"/>
              <w:jc w:val="right"/>
            </w:pPr>
            <w:r w:rsidRPr="008B097E">
              <w:t>25.0%</w:t>
            </w:r>
          </w:p>
        </w:tc>
        <w:tc>
          <w:tcPr>
            <w:tcW w:w="454" w:type="pct"/>
            <w:shd w:val="clear" w:color="auto" w:fill="auto"/>
            <w:noWrap/>
            <w:hideMark/>
          </w:tcPr>
          <w:p w14:paraId="55C0019A" w14:textId="77777777" w:rsidR="004E63D6" w:rsidRPr="00B0078B" w:rsidRDefault="004E63D6" w:rsidP="00CA410A">
            <w:pPr>
              <w:pStyle w:val="TableText"/>
              <w:jc w:val="right"/>
            </w:pPr>
            <w:r w:rsidRPr="008B097E">
              <w:t>30.0%</w:t>
            </w:r>
          </w:p>
        </w:tc>
        <w:tc>
          <w:tcPr>
            <w:tcW w:w="454" w:type="pct"/>
            <w:shd w:val="clear" w:color="auto" w:fill="auto"/>
            <w:noWrap/>
            <w:hideMark/>
          </w:tcPr>
          <w:p w14:paraId="420A5653" w14:textId="77777777" w:rsidR="004E63D6" w:rsidRPr="00B0078B" w:rsidRDefault="004E63D6" w:rsidP="00CA410A">
            <w:pPr>
              <w:pStyle w:val="TableText"/>
              <w:jc w:val="right"/>
            </w:pPr>
            <w:r w:rsidRPr="008B097E">
              <w:t>35.0%</w:t>
            </w:r>
          </w:p>
        </w:tc>
        <w:tc>
          <w:tcPr>
            <w:tcW w:w="454" w:type="pct"/>
            <w:shd w:val="clear" w:color="auto" w:fill="auto"/>
            <w:noWrap/>
            <w:hideMark/>
          </w:tcPr>
          <w:p w14:paraId="219E7EC7" w14:textId="77777777" w:rsidR="004E63D6" w:rsidRPr="00B0078B" w:rsidRDefault="004E63D6" w:rsidP="00CA410A">
            <w:pPr>
              <w:pStyle w:val="TableText"/>
              <w:jc w:val="right"/>
            </w:pPr>
            <w:r w:rsidRPr="008B097E">
              <w:t>40.0%</w:t>
            </w:r>
          </w:p>
        </w:tc>
        <w:tc>
          <w:tcPr>
            <w:tcW w:w="453" w:type="pct"/>
            <w:shd w:val="clear" w:color="auto" w:fill="auto"/>
            <w:noWrap/>
            <w:hideMark/>
          </w:tcPr>
          <w:p w14:paraId="58725CDA" w14:textId="77777777" w:rsidR="004E63D6" w:rsidRPr="00B0078B" w:rsidRDefault="004E63D6" w:rsidP="00CA410A">
            <w:pPr>
              <w:pStyle w:val="TableText"/>
              <w:jc w:val="right"/>
            </w:pPr>
            <w:r w:rsidRPr="008B097E">
              <w:t>50.0%</w:t>
            </w:r>
          </w:p>
        </w:tc>
      </w:tr>
      <w:tr w:rsidR="004E63D6" w:rsidRPr="00B0078B" w14:paraId="2389E5F2" w14:textId="77777777" w:rsidTr="00CA410A">
        <w:trPr>
          <w:trHeight w:val="300"/>
        </w:trPr>
        <w:tc>
          <w:tcPr>
            <w:tcW w:w="232" w:type="pct"/>
          </w:tcPr>
          <w:p w14:paraId="4133CA9F" w14:textId="77777777" w:rsidR="004E63D6" w:rsidRPr="00B0078B" w:rsidRDefault="004E63D6" w:rsidP="00CA410A">
            <w:pPr>
              <w:pStyle w:val="TableText"/>
            </w:pPr>
            <w:r>
              <w:t>D</w:t>
            </w:r>
          </w:p>
        </w:tc>
        <w:tc>
          <w:tcPr>
            <w:tcW w:w="2044" w:type="pct"/>
            <w:noWrap/>
            <w:hideMark/>
          </w:tcPr>
          <w:p w14:paraId="7AF10CAD" w14:textId="77777777" w:rsidR="004E63D6" w:rsidRPr="00B0078B" w:rsidRDefault="004E63D6" w:rsidP="00CA410A">
            <w:pPr>
              <w:pStyle w:val="TableText"/>
            </w:pPr>
            <w:r w:rsidRPr="00B0078B">
              <w:t xml:space="preserve">No. combined </w:t>
            </w:r>
            <w:r>
              <w:t xml:space="preserve">small panel </w:t>
            </w:r>
            <w:r w:rsidRPr="00B0078B">
              <w:t>DNA/RNA services</w:t>
            </w:r>
            <w:r>
              <w:t xml:space="preserve"> [B × C]</w:t>
            </w:r>
          </w:p>
        </w:tc>
        <w:tc>
          <w:tcPr>
            <w:tcW w:w="454" w:type="pct"/>
            <w:noWrap/>
            <w:hideMark/>
          </w:tcPr>
          <w:p w14:paraId="0C803DAA" w14:textId="77777777" w:rsidR="004E63D6" w:rsidRPr="00B0078B" w:rsidRDefault="004E63D6" w:rsidP="00CA410A">
            <w:pPr>
              <w:pStyle w:val="TableText"/>
              <w:jc w:val="right"/>
            </w:pPr>
            <w:r w:rsidRPr="008B097E">
              <w:t>1,380</w:t>
            </w:r>
          </w:p>
        </w:tc>
        <w:tc>
          <w:tcPr>
            <w:tcW w:w="454" w:type="pct"/>
            <w:noWrap/>
            <w:hideMark/>
          </w:tcPr>
          <w:p w14:paraId="2ECA5D21" w14:textId="77777777" w:rsidR="004E63D6" w:rsidRPr="00B0078B" w:rsidRDefault="004E63D6" w:rsidP="00CA410A">
            <w:pPr>
              <w:pStyle w:val="TableText"/>
              <w:jc w:val="right"/>
            </w:pPr>
            <w:r w:rsidRPr="008B097E">
              <w:t>1,449</w:t>
            </w:r>
          </w:p>
        </w:tc>
        <w:tc>
          <w:tcPr>
            <w:tcW w:w="454" w:type="pct"/>
            <w:noWrap/>
            <w:hideMark/>
          </w:tcPr>
          <w:p w14:paraId="24638193" w14:textId="77777777" w:rsidR="004E63D6" w:rsidRPr="00B0078B" w:rsidRDefault="004E63D6" w:rsidP="00CA410A">
            <w:pPr>
              <w:pStyle w:val="TableText"/>
              <w:jc w:val="right"/>
            </w:pPr>
            <w:r w:rsidRPr="008B097E">
              <w:t>1,822</w:t>
            </w:r>
          </w:p>
        </w:tc>
        <w:tc>
          <w:tcPr>
            <w:tcW w:w="454" w:type="pct"/>
            <w:noWrap/>
            <w:hideMark/>
          </w:tcPr>
          <w:p w14:paraId="186E9BED" w14:textId="77777777" w:rsidR="004E63D6" w:rsidRPr="00B0078B" w:rsidRDefault="004E63D6" w:rsidP="00CA410A">
            <w:pPr>
              <w:pStyle w:val="TableText"/>
              <w:jc w:val="right"/>
            </w:pPr>
            <w:r w:rsidRPr="008B097E">
              <w:t>2,223</w:t>
            </w:r>
          </w:p>
        </w:tc>
        <w:tc>
          <w:tcPr>
            <w:tcW w:w="454" w:type="pct"/>
            <w:noWrap/>
            <w:hideMark/>
          </w:tcPr>
          <w:p w14:paraId="66609D6D" w14:textId="77777777" w:rsidR="004E63D6" w:rsidRPr="00B0078B" w:rsidRDefault="004E63D6" w:rsidP="00CA410A">
            <w:pPr>
              <w:pStyle w:val="TableText"/>
              <w:jc w:val="right"/>
            </w:pPr>
            <w:r w:rsidRPr="008B097E">
              <w:t>2,651</w:t>
            </w:r>
          </w:p>
        </w:tc>
        <w:tc>
          <w:tcPr>
            <w:tcW w:w="453" w:type="pct"/>
            <w:noWrap/>
            <w:hideMark/>
          </w:tcPr>
          <w:p w14:paraId="23843FA2" w14:textId="77777777" w:rsidR="004E63D6" w:rsidRPr="00B0078B" w:rsidRDefault="004E63D6" w:rsidP="00CA410A">
            <w:pPr>
              <w:pStyle w:val="TableText"/>
              <w:jc w:val="right"/>
            </w:pPr>
            <w:r w:rsidRPr="008B097E">
              <w:t>3,453</w:t>
            </w:r>
          </w:p>
        </w:tc>
      </w:tr>
      <w:tr w:rsidR="004E63D6" w:rsidRPr="00B0078B" w14:paraId="3532215D" w14:textId="77777777" w:rsidTr="00CA410A">
        <w:trPr>
          <w:trHeight w:val="300"/>
        </w:trPr>
        <w:tc>
          <w:tcPr>
            <w:tcW w:w="232" w:type="pct"/>
          </w:tcPr>
          <w:p w14:paraId="7C474250" w14:textId="77777777" w:rsidR="004E63D6" w:rsidRPr="00B0078B" w:rsidRDefault="004E63D6" w:rsidP="00CA410A">
            <w:pPr>
              <w:pStyle w:val="TableText"/>
            </w:pPr>
            <w:r>
              <w:t>F</w:t>
            </w:r>
          </w:p>
        </w:tc>
        <w:tc>
          <w:tcPr>
            <w:tcW w:w="2044" w:type="pct"/>
            <w:noWrap/>
            <w:hideMark/>
          </w:tcPr>
          <w:p w14:paraId="54C7E941" w14:textId="77777777" w:rsidR="004E63D6" w:rsidRPr="00B0078B" w:rsidRDefault="004E63D6" w:rsidP="00CA410A">
            <w:pPr>
              <w:pStyle w:val="TableText"/>
            </w:pPr>
            <w:r w:rsidRPr="00B0078B">
              <w:t>No. services that use two-step DNA then RNA testing approach</w:t>
            </w:r>
            <w:r>
              <w:t xml:space="preserve"> [B – D]</w:t>
            </w:r>
          </w:p>
        </w:tc>
        <w:tc>
          <w:tcPr>
            <w:tcW w:w="454" w:type="pct"/>
            <w:noWrap/>
            <w:hideMark/>
          </w:tcPr>
          <w:p w14:paraId="144C3590" w14:textId="77777777" w:rsidR="004E63D6" w:rsidRPr="00B0078B" w:rsidRDefault="004E63D6" w:rsidP="00CA410A">
            <w:pPr>
              <w:pStyle w:val="TableText"/>
              <w:jc w:val="right"/>
            </w:pPr>
            <w:r w:rsidRPr="008B097E">
              <w:t>4,140</w:t>
            </w:r>
          </w:p>
        </w:tc>
        <w:tc>
          <w:tcPr>
            <w:tcW w:w="454" w:type="pct"/>
            <w:noWrap/>
            <w:hideMark/>
          </w:tcPr>
          <w:p w14:paraId="4AAF8BB6" w14:textId="77777777" w:rsidR="004E63D6" w:rsidRPr="00B0078B" w:rsidRDefault="004E63D6" w:rsidP="00CA410A">
            <w:pPr>
              <w:pStyle w:val="TableText"/>
              <w:jc w:val="right"/>
            </w:pPr>
            <w:r w:rsidRPr="008B097E">
              <w:t>4,348</w:t>
            </w:r>
          </w:p>
        </w:tc>
        <w:tc>
          <w:tcPr>
            <w:tcW w:w="454" w:type="pct"/>
            <w:noWrap/>
            <w:hideMark/>
          </w:tcPr>
          <w:p w14:paraId="4B8F9A03" w14:textId="77777777" w:rsidR="004E63D6" w:rsidRPr="00B0078B" w:rsidRDefault="004E63D6" w:rsidP="00CA410A">
            <w:pPr>
              <w:pStyle w:val="TableText"/>
              <w:jc w:val="right"/>
            </w:pPr>
            <w:r w:rsidRPr="008B097E">
              <w:t>4,252</w:t>
            </w:r>
          </w:p>
        </w:tc>
        <w:tc>
          <w:tcPr>
            <w:tcW w:w="454" w:type="pct"/>
            <w:noWrap/>
            <w:hideMark/>
          </w:tcPr>
          <w:p w14:paraId="5F143736" w14:textId="77777777" w:rsidR="004E63D6" w:rsidRPr="00B0078B" w:rsidRDefault="004E63D6" w:rsidP="00CA410A">
            <w:pPr>
              <w:pStyle w:val="TableText"/>
              <w:jc w:val="right"/>
            </w:pPr>
            <w:r w:rsidRPr="008B097E">
              <w:t>4,128</w:t>
            </w:r>
          </w:p>
        </w:tc>
        <w:tc>
          <w:tcPr>
            <w:tcW w:w="454" w:type="pct"/>
            <w:noWrap/>
            <w:hideMark/>
          </w:tcPr>
          <w:p w14:paraId="2596EF75" w14:textId="77777777" w:rsidR="004E63D6" w:rsidRPr="00B0078B" w:rsidRDefault="004E63D6" w:rsidP="00CA410A">
            <w:pPr>
              <w:pStyle w:val="TableText"/>
              <w:jc w:val="right"/>
            </w:pPr>
            <w:r w:rsidRPr="008B097E">
              <w:t>3,977</w:t>
            </w:r>
          </w:p>
        </w:tc>
        <w:tc>
          <w:tcPr>
            <w:tcW w:w="453" w:type="pct"/>
            <w:noWrap/>
            <w:hideMark/>
          </w:tcPr>
          <w:p w14:paraId="2A6D1101" w14:textId="77777777" w:rsidR="004E63D6" w:rsidRPr="00B0078B" w:rsidRDefault="004E63D6" w:rsidP="00CA410A">
            <w:pPr>
              <w:pStyle w:val="TableText"/>
              <w:jc w:val="right"/>
            </w:pPr>
            <w:r w:rsidRPr="008B097E">
              <w:t>3,453</w:t>
            </w:r>
          </w:p>
        </w:tc>
      </w:tr>
      <w:tr w:rsidR="004E63D6" w:rsidRPr="00B0078B" w14:paraId="3D0913F4" w14:textId="77777777" w:rsidTr="00CA410A">
        <w:trPr>
          <w:trHeight w:val="300"/>
        </w:trPr>
        <w:tc>
          <w:tcPr>
            <w:tcW w:w="232" w:type="pct"/>
          </w:tcPr>
          <w:p w14:paraId="5F36C9FF" w14:textId="77777777" w:rsidR="004E63D6" w:rsidRDefault="004E63D6" w:rsidP="00CA410A">
            <w:pPr>
              <w:pStyle w:val="TableText"/>
            </w:pPr>
            <w:r>
              <w:t>G</w:t>
            </w:r>
          </w:p>
        </w:tc>
        <w:tc>
          <w:tcPr>
            <w:tcW w:w="2044" w:type="pct"/>
            <w:noWrap/>
          </w:tcPr>
          <w:p w14:paraId="53F013FA" w14:textId="77777777" w:rsidR="004E63D6" w:rsidRPr="00B0078B" w:rsidRDefault="004E63D6" w:rsidP="00CA410A">
            <w:pPr>
              <w:pStyle w:val="TableText"/>
            </w:pPr>
            <w:r>
              <w:t>Small DNA panel services [F]</w:t>
            </w:r>
          </w:p>
        </w:tc>
        <w:tc>
          <w:tcPr>
            <w:tcW w:w="454" w:type="pct"/>
            <w:noWrap/>
          </w:tcPr>
          <w:p w14:paraId="3C3B3D94" w14:textId="77777777" w:rsidR="004E63D6" w:rsidRPr="00B0078B" w:rsidRDefault="004E63D6" w:rsidP="00CA410A">
            <w:pPr>
              <w:pStyle w:val="TableText"/>
              <w:jc w:val="right"/>
            </w:pPr>
            <w:r w:rsidRPr="008B097E">
              <w:t>4,140</w:t>
            </w:r>
          </w:p>
        </w:tc>
        <w:tc>
          <w:tcPr>
            <w:tcW w:w="454" w:type="pct"/>
            <w:noWrap/>
          </w:tcPr>
          <w:p w14:paraId="47B635D9" w14:textId="77777777" w:rsidR="004E63D6" w:rsidRPr="00B0078B" w:rsidRDefault="004E63D6" w:rsidP="00CA410A">
            <w:pPr>
              <w:pStyle w:val="TableText"/>
              <w:jc w:val="right"/>
            </w:pPr>
            <w:r w:rsidRPr="008B097E">
              <w:t>4,348</w:t>
            </w:r>
          </w:p>
        </w:tc>
        <w:tc>
          <w:tcPr>
            <w:tcW w:w="454" w:type="pct"/>
            <w:noWrap/>
          </w:tcPr>
          <w:p w14:paraId="343CB2EE" w14:textId="77777777" w:rsidR="004E63D6" w:rsidRPr="00B0078B" w:rsidRDefault="004E63D6" w:rsidP="00CA410A">
            <w:pPr>
              <w:pStyle w:val="TableText"/>
              <w:jc w:val="right"/>
            </w:pPr>
            <w:r w:rsidRPr="008B097E">
              <w:t>4,252</w:t>
            </w:r>
          </w:p>
        </w:tc>
        <w:tc>
          <w:tcPr>
            <w:tcW w:w="454" w:type="pct"/>
            <w:noWrap/>
          </w:tcPr>
          <w:p w14:paraId="17A919EC" w14:textId="77777777" w:rsidR="004E63D6" w:rsidRPr="00B0078B" w:rsidRDefault="004E63D6" w:rsidP="00CA410A">
            <w:pPr>
              <w:pStyle w:val="TableText"/>
              <w:jc w:val="right"/>
            </w:pPr>
            <w:r w:rsidRPr="008B097E">
              <w:t>4,128</w:t>
            </w:r>
          </w:p>
        </w:tc>
        <w:tc>
          <w:tcPr>
            <w:tcW w:w="454" w:type="pct"/>
            <w:noWrap/>
          </w:tcPr>
          <w:p w14:paraId="4D5434D2" w14:textId="77777777" w:rsidR="004E63D6" w:rsidRPr="00B0078B" w:rsidRDefault="004E63D6" w:rsidP="00CA410A">
            <w:pPr>
              <w:pStyle w:val="TableText"/>
              <w:jc w:val="right"/>
            </w:pPr>
            <w:r w:rsidRPr="008B097E">
              <w:t>3,977</w:t>
            </w:r>
          </w:p>
        </w:tc>
        <w:tc>
          <w:tcPr>
            <w:tcW w:w="453" w:type="pct"/>
            <w:noWrap/>
          </w:tcPr>
          <w:p w14:paraId="327B3E12" w14:textId="77777777" w:rsidR="004E63D6" w:rsidRPr="00B0078B" w:rsidRDefault="004E63D6" w:rsidP="00CA410A">
            <w:pPr>
              <w:pStyle w:val="TableText"/>
              <w:jc w:val="right"/>
            </w:pPr>
            <w:r w:rsidRPr="008B097E">
              <w:t>3,453</w:t>
            </w:r>
          </w:p>
        </w:tc>
      </w:tr>
      <w:tr w:rsidR="004E63D6" w:rsidRPr="00B0078B" w14:paraId="7B6B8BE4" w14:textId="77777777" w:rsidTr="00CA410A">
        <w:trPr>
          <w:trHeight w:val="300"/>
        </w:trPr>
        <w:tc>
          <w:tcPr>
            <w:tcW w:w="232" w:type="pct"/>
          </w:tcPr>
          <w:p w14:paraId="204F4232" w14:textId="77777777" w:rsidR="004E63D6" w:rsidRDefault="004E63D6" w:rsidP="00CA410A">
            <w:pPr>
              <w:pStyle w:val="TableText"/>
            </w:pPr>
            <w:r>
              <w:t>H</w:t>
            </w:r>
          </w:p>
        </w:tc>
        <w:tc>
          <w:tcPr>
            <w:tcW w:w="2044" w:type="pct"/>
            <w:noWrap/>
          </w:tcPr>
          <w:p w14:paraId="1BAB47BE" w14:textId="77777777" w:rsidR="004E63D6" w:rsidRDefault="004E63D6" w:rsidP="00CA410A">
            <w:pPr>
              <w:pStyle w:val="TableText"/>
            </w:pPr>
            <w:r>
              <w:t>No. that require further testing [48.4% ×G]</w:t>
            </w:r>
          </w:p>
        </w:tc>
        <w:tc>
          <w:tcPr>
            <w:tcW w:w="454" w:type="pct"/>
            <w:noWrap/>
          </w:tcPr>
          <w:p w14:paraId="14EBF3C1" w14:textId="77777777" w:rsidR="004E63D6" w:rsidRPr="00B0078B" w:rsidRDefault="004E63D6" w:rsidP="00CA410A">
            <w:pPr>
              <w:pStyle w:val="TableText"/>
              <w:jc w:val="right"/>
            </w:pPr>
            <w:r w:rsidRPr="008B097E">
              <w:t>2,005</w:t>
            </w:r>
          </w:p>
        </w:tc>
        <w:tc>
          <w:tcPr>
            <w:tcW w:w="454" w:type="pct"/>
            <w:noWrap/>
          </w:tcPr>
          <w:p w14:paraId="3AF301A4" w14:textId="77777777" w:rsidR="004E63D6" w:rsidRPr="00B0078B" w:rsidRDefault="004E63D6" w:rsidP="00CA410A">
            <w:pPr>
              <w:pStyle w:val="TableText"/>
              <w:jc w:val="right"/>
            </w:pPr>
            <w:r w:rsidRPr="008B097E">
              <w:t>2,105</w:t>
            </w:r>
          </w:p>
        </w:tc>
        <w:tc>
          <w:tcPr>
            <w:tcW w:w="454" w:type="pct"/>
            <w:noWrap/>
          </w:tcPr>
          <w:p w14:paraId="1792B1D8" w14:textId="77777777" w:rsidR="004E63D6" w:rsidRPr="00B0078B" w:rsidRDefault="004E63D6" w:rsidP="00CA410A">
            <w:pPr>
              <w:pStyle w:val="TableText"/>
              <w:jc w:val="right"/>
            </w:pPr>
            <w:r w:rsidRPr="008B097E">
              <w:t>2,059</w:t>
            </w:r>
          </w:p>
        </w:tc>
        <w:tc>
          <w:tcPr>
            <w:tcW w:w="454" w:type="pct"/>
            <w:noWrap/>
          </w:tcPr>
          <w:p w14:paraId="71BD66F6" w14:textId="77777777" w:rsidR="004E63D6" w:rsidRPr="00B0078B" w:rsidRDefault="004E63D6" w:rsidP="00CA410A">
            <w:pPr>
              <w:pStyle w:val="TableText"/>
              <w:jc w:val="right"/>
            </w:pPr>
            <w:r w:rsidRPr="008B097E">
              <w:t>1,999</w:t>
            </w:r>
          </w:p>
        </w:tc>
        <w:tc>
          <w:tcPr>
            <w:tcW w:w="454" w:type="pct"/>
            <w:noWrap/>
          </w:tcPr>
          <w:p w14:paraId="0A23CDC0" w14:textId="77777777" w:rsidR="004E63D6" w:rsidRPr="00B0078B" w:rsidRDefault="004E63D6" w:rsidP="00CA410A">
            <w:pPr>
              <w:pStyle w:val="TableText"/>
              <w:jc w:val="right"/>
            </w:pPr>
            <w:r w:rsidRPr="008B097E">
              <w:t>1,926</w:t>
            </w:r>
          </w:p>
        </w:tc>
        <w:tc>
          <w:tcPr>
            <w:tcW w:w="453" w:type="pct"/>
            <w:noWrap/>
          </w:tcPr>
          <w:p w14:paraId="1A990543" w14:textId="77777777" w:rsidR="004E63D6" w:rsidRPr="00B0078B" w:rsidRDefault="004E63D6" w:rsidP="00CA410A">
            <w:pPr>
              <w:pStyle w:val="TableText"/>
              <w:jc w:val="right"/>
            </w:pPr>
            <w:r w:rsidRPr="008B097E">
              <w:t>1,672</w:t>
            </w:r>
          </w:p>
        </w:tc>
      </w:tr>
      <w:tr w:rsidR="004E63D6" w:rsidRPr="00B0078B" w14:paraId="03289526" w14:textId="77777777" w:rsidTr="00CA410A">
        <w:trPr>
          <w:trHeight w:val="300"/>
        </w:trPr>
        <w:tc>
          <w:tcPr>
            <w:tcW w:w="232" w:type="pct"/>
          </w:tcPr>
          <w:p w14:paraId="67E29EA4" w14:textId="77777777" w:rsidR="004E63D6" w:rsidRDefault="004E63D6" w:rsidP="00CA410A">
            <w:pPr>
              <w:pStyle w:val="TableText"/>
            </w:pPr>
            <w:r>
              <w:t>I</w:t>
            </w:r>
          </w:p>
        </w:tc>
        <w:tc>
          <w:tcPr>
            <w:tcW w:w="2044" w:type="pct"/>
            <w:noWrap/>
          </w:tcPr>
          <w:p w14:paraId="7BECDA4F" w14:textId="77777777" w:rsidR="004E63D6" w:rsidRDefault="004E63D6" w:rsidP="00CA410A">
            <w:pPr>
              <w:pStyle w:val="TableText"/>
            </w:pPr>
            <w:r>
              <w:t>No. with sufficient sample for small RNA panel testing [</w:t>
            </w:r>
            <w:r w:rsidRPr="0014730E">
              <w:t>95</w:t>
            </w:r>
            <w:r>
              <w:t>% × H]</w:t>
            </w:r>
          </w:p>
        </w:tc>
        <w:tc>
          <w:tcPr>
            <w:tcW w:w="454" w:type="pct"/>
            <w:noWrap/>
          </w:tcPr>
          <w:p w14:paraId="487FF5A5" w14:textId="77777777" w:rsidR="004E63D6" w:rsidRPr="00A839B3" w:rsidRDefault="004E63D6" w:rsidP="00CA410A">
            <w:pPr>
              <w:pStyle w:val="TableText"/>
              <w:jc w:val="right"/>
            </w:pPr>
            <w:r w:rsidRPr="008B097E">
              <w:t>1,905</w:t>
            </w:r>
          </w:p>
        </w:tc>
        <w:tc>
          <w:tcPr>
            <w:tcW w:w="454" w:type="pct"/>
            <w:noWrap/>
          </w:tcPr>
          <w:p w14:paraId="6FFF98F9" w14:textId="77777777" w:rsidR="004E63D6" w:rsidRPr="00A839B3" w:rsidRDefault="004E63D6" w:rsidP="00CA410A">
            <w:pPr>
              <w:pStyle w:val="TableText"/>
              <w:jc w:val="right"/>
            </w:pPr>
            <w:r w:rsidRPr="008B097E">
              <w:t>2,000</w:t>
            </w:r>
          </w:p>
        </w:tc>
        <w:tc>
          <w:tcPr>
            <w:tcW w:w="454" w:type="pct"/>
            <w:noWrap/>
          </w:tcPr>
          <w:p w14:paraId="3B9C8716" w14:textId="77777777" w:rsidR="004E63D6" w:rsidRPr="00A839B3" w:rsidRDefault="004E63D6" w:rsidP="00CA410A">
            <w:pPr>
              <w:pStyle w:val="TableText"/>
              <w:jc w:val="right"/>
            </w:pPr>
            <w:r w:rsidRPr="008B097E">
              <w:t>1,956</w:t>
            </w:r>
          </w:p>
        </w:tc>
        <w:tc>
          <w:tcPr>
            <w:tcW w:w="454" w:type="pct"/>
            <w:noWrap/>
          </w:tcPr>
          <w:p w14:paraId="7EF72FEE" w14:textId="77777777" w:rsidR="004E63D6" w:rsidRPr="00A839B3" w:rsidRDefault="004E63D6" w:rsidP="00CA410A">
            <w:pPr>
              <w:pStyle w:val="TableText"/>
              <w:jc w:val="right"/>
            </w:pPr>
            <w:r w:rsidRPr="008B097E">
              <w:t>1,899</w:t>
            </w:r>
          </w:p>
        </w:tc>
        <w:tc>
          <w:tcPr>
            <w:tcW w:w="454" w:type="pct"/>
            <w:noWrap/>
          </w:tcPr>
          <w:p w14:paraId="6BF6AE9A" w14:textId="77777777" w:rsidR="004E63D6" w:rsidRPr="00A839B3" w:rsidRDefault="004E63D6" w:rsidP="00CA410A">
            <w:pPr>
              <w:pStyle w:val="TableText"/>
              <w:jc w:val="right"/>
            </w:pPr>
            <w:r w:rsidRPr="008B097E">
              <w:t>1,829</w:t>
            </w:r>
          </w:p>
        </w:tc>
        <w:tc>
          <w:tcPr>
            <w:tcW w:w="453" w:type="pct"/>
            <w:noWrap/>
          </w:tcPr>
          <w:p w14:paraId="71952E92" w14:textId="77777777" w:rsidR="004E63D6" w:rsidRPr="00A839B3" w:rsidRDefault="004E63D6" w:rsidP="00CA410A">
            <w:pPr>
              <w:pStyle w:val="TableText"/>
              <w:jc w:val="right"/>
            </w:pPr>
            <w:r w:rsidRPr="008B097E">
              <w:t>1,588</w:t>
            </w:r>
          </w:p>
        </w:tc>
      </w:tr>
      <w:tr w:rsidR="004E63D6" w:rsidRPr="00B0078B" w14:paraId="43625FBF" w14:textId="77777777" w:rsidTr="00CA410A">
        <w:trPr>
          <w:trHeight w:val="300"/>
        </w:trPr>
        <w:tc>
          <w:tcPr>
            <w:tcW w:w="232" w:type="pct"/>
          </w:tcPr>
          <w:p w14:paraId="46EE7AE4" w14:textId="77777777" w:rsidR="004E63D6" w:rsidRPr="00D457EE" w:rsidRDefault="004E63D6" w:rsidP="00CA410A">
            <w:pPr>
              <w:pStyle w:val="TableText"/>
              <w:rPr>
                <w:b/>
              </w:rPr>
            </w:pPr>
          </w:p>
        </w:tc>
        <w:tc>
          <w:tcPr>
            <w:tcW w:w="2044" w:type="pct"/>
            <w:noWrap/>
          </w:tcPr>
          <w:p w14:paraId="45ED5D7D" w14:textId="77777777" w:rsidR="004E63D6" w:rsidRPr="00D457EE" w:rsidRDefault="004E63D6" w:rsidP="00CA410A">
            <w:pPr>
              <w:pStyle w:val="TableText"/>
              <w:rPr>
                <w:b/>
              </w:rPr>
            </w:pPr>
            <w:r w:rsidRPr="00D457EE">
              <w:rPr>
                <w:b/>
              </w:rPr>
              <w:t>Total number of small gene panel services</w:t>
            </w:r>
            <w:r>
              <w:rPr>
                <w:b/>
              </w:rPr>
              <w:br/>
              <w:t>[D + G + I]</w:t>
            </w:r>
          </w:p>
        </w:tc>
        <w:tc>
          <w:tcPr>
            <w:tcW w:w="454" w:type="pct"/>
            <w:noWrap/>
          </w:tcPr>
          <w:p w14:paraId="3E285B07" w14:textId="77777777" w:rsidR="004E63D6" w:rsidRPr="007B664B" w:rsidRDefault="004E63D6" w:rsidP="00CA410A">
            <w:pPr>
              <w:pStyle w:val="TableText"/>
              <w:jc w:val="right"/>
              <w:rPr>
                <w:b/>
              </w:rPr>
            </w:pPr>
            <w:r w:rsidRPr="007B664B">
              <w:rPr>
                <w:b/>
              </w:rPr>
              <w:t>7,425</w:t>
            </w:r>
          </w:p>
        </w:tc>
        <w:tc>
          <w:tcPr>
            <w:tcW w:w="454" w:type="pct"/>
            <w:noWrap/>
          </w:tcPr>
          <w:p w14:paraId="2D38F47C" w14:textId="77777777" w:rsidR="004E63D6" w:rsidRPr="007B664B" w:rsidRDefault="004E63D6" w:rsidP="00CA410A">
            <w:pPr>
              <w:pStyle w:val="TableText"/>
              <w:jc w:val="right"/>
              <w:rPr>
                <w:b/>
              </w:rPr>
            </w:pPr>
            <w:r w:rsidRPr="007B664B">
              <w:rPr>
                <w:b/>
              </w:rPr>
              <w:t>7,798</w:t>
            </w:r>
          </w:p>
        </w:tc>
        <w:tc>
          <w:tcPr>
            <w:tcW w:w="454" w:type="pct"/>
            <w:noWrap/>
          </w:tcPr>
          <w:p w14:paraId="7D0803D2" w14:textId="77777777" w:rsidR="004E63D6" w:rsidRPr="007B664B" w:rsidRDefault="004E63D6" w:rsidP="00CA410A">
            <w:pPr>
              <w:pStyle w:val="TableText"/>
              <w:jc w:val="right"/>
              <w:rPr>
                <w:b/>
              </w:rPr>
            </w:pPr>
            <w:r w:rsidRPr="007B664B">
              <w:rPr>
                <w:b/>
              </w:rPr>
              <w:t>8,030</w:t>
            </w:r>
          </w:p>
        </w:tc>
        <w:tc>
          <w:tcPr>
            <w:tcW w:w="454" w:type="pct"/>
            <w:noWrap/>
          </w:tcPr>
          <w:p w14:paraId="37879A22" w14:textId="77777777" w:rsidR="004E63D6" w:rsidRPr="007B664B" w:rsidRDefault="004E63D6" w:rsidP="00CA410A">
            <w:pPr>
              <w:pStyle w:val="TableText"/>
              <w:jc w:val="right"/>
              <w:rPr>
                <w:b/>
              </w:rPr>
            </w:pPr>
            <w:r w:rsidRPr="007B664B">
              <w:rPr>
                <w:b/>
              </w:rPr>
              <w:t>8,250</w:t>
            </w:r>
          </w:p>
        </w:tc>
        <w:tc>
          <w:tcPr>
            <w:tcW w:w="454" w:type="pct"/>
            <w:noWrap/>
          </w:tcPr>
          <w:p w14:paraId="6830D427" w14:textId="77777777" w:rsidR="004E63D6" w:rsidRPr="007B664B" w:rsidRDefault="004E63D6" w:rsidP="00CA410A">
            <w:pPr>
              <w:pStyle w:val="TableText"/>
              <w:jc w:val="right"/>
              <w:rPr>
                <w:b/>
              </w:rPr>
            </w:pPr>
            <w:r w:rsidRPr="007B664B">
              <w:rPr>
                <w:b/>
              </w:rPr>
              <w:t>8,458</w:t>
            </w:r>
          </w:p>
        </w:tc>
        <w:tc>
          <w:tcPr>
            <w:tcW w:w="453" w:type="pct"/>
            <w:noWrap/>
          </w:tcPr>
          <w:p w14:paraId="3447D926" w14:textId="77777777" w:rsidR="004E63D6" w:rsidRPr="007B664B" w:rsidRDefault="004E63D6" w:rsidP="00CA410A">
            <w:pPr>
              <w:pStyle w:val="TableText"/>
              <w:jc w:val="right"/>
              <w:rPr>
                <w:b/>
              </w:rPr>
            </w:pPr>
            <w:r w:rsidRPr="007B664B">
              <w:rPr>
                <w:b/>
              </w:rPr>
              <w:t>8,493</w:t>
            </w:r>
          </w:p>
        </w:tc>
      </w:tr>
    </w:tbl>
    <w:p w14:paraId="2FFFED2B" w14:textId="77777777" w:rsidR="004E63D6" w:rsidRDefault="004E63D6" w:rsidP="004E63D6">
      <w:pPr>
        <w:pStyle w:val="TableFooter"/>
      </w:pPr>
      <w:r>
        <w:t>Source: ‘Section 4.2’ worksheet of the ‘1721 financial impact.xlsx’ workbook accompanying the DCAR.</w:t>
      </w:r>
    </w:p>
    <w:p w14:paraId="083A48BE" w14:textId="77777777" w:rsidR="004E63D6" w:rsidRDefault="004E63D6" w:rsidP="004E63D6">
      <w:pPr>
        <w:pStyle w:val="TableFooter"/>
      </w:pPr>
      <w:r>
        <w:t>DNA = deoxyribose nucleic acid; RNA = ribonucleic acid.</w:t>
      </w:r>
    </w:p>
    <w:p w14:paraId="3F054464" w14:textId="77777777" w:rsidR="004E63D6" w:rsidRDefault="004E63D6" w:rsidP="004E63D6">
      <w:pPr>
        <w:pStyle w:val="NormalBeforeBullet"/>
      </w:pPr>
      <w:r>
        <w:t xml:space="preserve">In the two-step approach, RNA testing would only occur where no </w:t>
      </w:r>
      <w:r w:rsidRPr="00555926">
        <w:rPr>
          <w:i/>
        </w:rPr>
        <w:t>EGFR</w:t>
      </w:r>
      <w:r>
        <w:t xml:space="preserve">, </w:t>
      </w:r>
      <w:r w:rsidRPr="00555926">
        <w:rPr>
          <w:i/>
        </w:rPr>
        <w:t>KRAS</w:t>
      </w:r>
      <w:r>
        <w:t xml:space="preserve">, </w:t>
      </w:r>
      <w:r w:rsidRPr="00555926">
        <w:rPr>
          <w:i/>
        </w:rPr>
        <w:t>BRAF</w:t>
      </w:r>
      <w:r>
        <w:t xml:space="preserve"> or </w:t>
      </w:r>
      <w:r w:rsidRPr="00555926">
        <w:rPr>
          <w:i/>
        </w:rPr>
        <w:t>MET</w:t>
      </w:r>
      <w:r>
        <w:t xml:space="preserve"> exon 14 variants were identified through the small DNA panel. Variants are expected to be identified in 52% of patients (17.3</w:t>
      </w:r>
      <w:r w:rsidRPr="0014730E">
        <w:t xml:space="preserve">% </w:t>
      </w:r>
      <w:r w:rsidRPr="00C35CEB">
        <w:rPr>
          <w:i/>
        </w:rPr>
        <w:t>EGFR</w:t>
      </w:r>
      <w:r w:rsidRPr="0014730E">
        <w:t xml:space="preserve">, 28.8% </w:t>
      </w:r>
      <w:r w:rsidRPr="00C35CEB">
        <w:rPr>
          <w:i/>
        </w:rPr>
        <w:t>KRAS</w:t>
      </w:r>
      <w:r w:rsidRPr="0014730E">
        <w:t>, 2</w:t>
      </w:r>
      <w:r>
        <w:t>.0</w:t>
      </w:r>
      <w:r w:rsidRPr="0014730E">
        <w:t xml:space="preserve">% </w:t>
      </w:r>
      <w:r w:rsidRPr="00C35CEB">
        <w:rPr>
          <w:i/>
        </w:rPr>
        <w:t xml:space="preserve">BRAF </w:t>
      </w:r>
      <w:r w:rsidRPr="0014730E">
        <w:t>and 3.</w:t>
      </w:r>
      <w:r>
        <w:t xml:space="preserve">5% </w:t>
      </w:r>
      <w:r w:rsidRPr="00C35CEB">
        <w:rPr>
          <w:i/>
        </w:rPr>
        <w:t xml:space="preserve">MET </w:t>
      </w:r>
      <w:r>
        <w:t>exon 14), and so further testing would be required in the remaining 48%. Expected yield from small gene panel testing was sourced from Section 3, including adjustments small gene panel concordance.</w:t>
      </w:r>
    </w:p>
    <w:p w14:paraId="481D7FFA" w14:textId="77777777" w:rsidR="004E63D6" w:rsidRDefault="004E63D6" w:rsidP="004E63D6">
      <w:pPr>
        <w:pStyle w:val="NormalBeforeBullet"/>
      </w:pPr>
      <w:r>
        <w:t xml:space="preserve">Due to the amount of sample required for RNA-based testing, some samples may not have sufficient tissue quantity or quality available (and so would require current IHC ± FISH tests to determine eligibility for targeted therapies). The analysis assumes that this would be the case in </w:t>
      </w:r>
      <w:r w:rsidRPr="0014730E">
        <w:t>5</w:t>
      </w:r>
      <w:r>
        <w:t>% of samples, as assumed in Section 3, based on information provided in the 1721 Application Form.</w:t>
      </w:r>
    </w:p>
    <w:p w14:paraId="2EC376E2" w14:textId="77777777" w:rsidR="004E63D6" w:rsidRDefault="004E63D6" w:rsidP="004E63D6">
      <w:pPr>
        <w:pStyle w:val="NormalBeforeBullet"/>
      </w:pPr>
    </w:p>
    <w:p w14:paraId="1BB48682" w14:textId="77777777" w:rsidR="004E63D6" w:rsidRDefault="004E63D6" w:rsidP="004E63D6">
      <w:pPr>
        <w:pStyle w:val="NormalBeforeBullet"/>
      </w:pPr>
      <w:r>
        <w:t>The cost of small panel testing varies depending on the approach adopted. The proposed schedule fee for the combined DNA/RNA panel is $1,247.00. MBS data provided during the preparation of the DCAR relating to item 73337 indicate that 32% of services receive the 75% level of MBS benefit, and so this is also likely to apply for small gene panel testing. The weighted cost to the MBS per combined DNA/RNA service is $1,087.92.</w:t>
      </w:r>
      <w:r>
        <w:rPr>
          <w:rStyle w:val="FootnoteReference"/>
        </w:rPr>
        <w:footnoteReference w:id="20"/>
      </w:r>
      <w:r>
        <w:t xml:space="preserve"> </w:t>
      </w:r>
    </w:p>
    <w:p w14:paraId="7798EADC" w14:textId="77777777" w:rsidR="004E63D6" w:rsidRDefault="004E63D6" w:rsidP="004E63D6">
      <w:pPr>
        <w:pStyle w:val="NormalBeforeBullet"/>
      </w:pPr>
      <w:r>
        <w:t>Each component of two-step testing has a proposed schedule fee of $682.35. The weighted cost to the MBS for either small panel DNA or small panel RNA testing is $570.48.</w:t>
      </w:r>
      <w:r>
        <w:rPr>
          <w:rStyle w:val="FootnoteReference"/>
        </w:rPr>
        <w:footnoteReference w:id="21"/>
      </w:r>
    </w:p>
    <w:p w14:paraId="4076FE9F" w14:textId="7B678B12" w:rsidR="004E63D6" w:rsidRDefault="004E63D6" w:rsidP="004E63D6">
      <w:pPr>
        <w:pStyle w:val="NormalBeforeBullet"/>
      </w:pPr>
      <w:r>
        <w:t xml:space="preserve">The cost to the MBS of small gene panel testing is presented in </w:t>
      </w:r>
      <w:r>
        <w:fldChar w:fldCharType="begin"/>
      </w:r>
      <w:r>
        <w:instrText xml:space="preserve"> REF _Ref108605178 \h </w:instrText>
      </w:r>
      <w:r>
        <w:fldChar w:fldCharType="separate"/>
      </w:r>
      <w:r w:rsidR="00C857F3" w:rsidRPr="00CE28E3">
        <w:t>Table</w:t>
      </w:r>
      <w:r w:rsidR="00C857F3">
        <w:t> </w:t>
      </w:r>
      <w:r w:rsidR="00C857F3">
        <w:rPr>
          <w:noProof/>
        </w:rPr>
        <w:t>62</w:t>
      </w:r>
      <w:r>
        <w:fldChar w:fldCharType="end"/>
      </w:r>
      <w:r>
        <w:t>.</w:t>
      </w:r>
    </w:p>
    <w:p w14:paraId="3012E79D" w14:textId="7A16B87C" w:rsidR="004E63D6" w:rsidRDefault="004E63D6" w:rsidP="004E63D6">
      <w:pPr>
        <w:pStyle w:val="Caption"/>
      </w:pPr>
      <w:bookmarkStart w:id="214" w:name="_Ref108605178"/>
      <w:r w:rsidRPr="00CE28E3">
        <w:lastRenderedPageBreak/>
        <w:t>Table</w:t>
      </w:r>
      <w:r>
        <w:t> </w:t>
      </w:r>
      <w:fldSimple w:instr=" SEQ Table \* ARABIC ">
        <w:r w:rsidR="00C857F3">
          <w:rPr>
            <w:noProof/>
          </w:rPr>
          <w:t>62</w:t>
        </w:r>
      </w:fldSimple>
      <w:bookmarkEnd w:id="214"/>
      <w:r w:rsidRPr="00CE28E3">
        <w:tab/>
      </w:r>
      <w:r>
        <w:t>Cost of small gene panel testing to the MBS</w:t>
      </w:r>
    </w:p>
    <w:tbl>
      <w:tblPr>
        <w:tblStyle w:val="TableGrid1"/>
        <w:tblW w:w="5000" w:type="pct"/>
        <w:tblLayout w:type="fixed"/>
        <w:tblLook w:val="04A0" w:firstRow="1" w:lastRow="0" w:firstColumn="1" w:lastColumn="0" w:noHBand="0" w:noVBand="1"/>
        <w:tblCaption w:val="Cost of small gene panel testing to the MBS"/>
        <w:tblDescription w:val="Cost of small gene panel testing to the MBS"/>
      </w:tblPr>
      <w:tblGrid>
        <w:gridCol w:w="2690"/>
        <w:gridCol w:w="1055"/>
        <w:gridCol w:w="1055"/>
        <w:gridCol w:w="1055"/>
        <w:gridCol w:w="1055"/>
        <w:gridCol w:w="1055"/>
        <w:gridCol w:w="1051"/>
      </w:tblGrid>
      <w:tr w:rsidR="004E63D6" w:rsidRPr="00B0078B" w14:paraId="43FA48A0" w14:textId="77777777" w:rsidTr="00CA410A">
        <w:trPr>
          <w:cnfStyle w:val="100000000000" w:firstRow="1" w:lastRow="0" w:firstColumn="0" w:lastColumn="0" w:oddVBand="0" w:evenVBand="0" w:oddHBand="0" w:evenHBand="0" w:firstRowFirstColumn="0" w:firstRowLastColumn="0" w:lastRowFirstColumn="0" w:lastRowLastColumn="0"/>
          <w:trHeight w:val="300"/>
          <w:tblHeader/>
        </w:trPr>
        <w:tc>
          <w:tcPr>
            <w:tcW w:w="1492" w:type="pct"/>
            <w:noWrap/>
            <w:hideMark/>
          </w:tcPr>
          <w:p w14:paraId="604C414F" w14:textId="77777777" w:rsidR="004E63D6" w:rsidRPr="00B0078B" w:rsidRDefault="004E63D6" w:rsidP="00CA410A">
            <w:pPr>
              <w:pStyle w:val="TableHeading"/>
              <w:jc w:val="center"/>
            </w:pPr>
          </w:p>
        </w:tc>
        <w:tc>
          <w:tcPr>
            <w:tcW w:w="585" w:type="pct"/>
            <w:noWrap/>
            <w:hideMark/>
          </w:tcPr>
          <w:p w14:paraId="68725448" w14:textId="77777777" w:rsidR="004E63D6" w:rsidRPr="00B0078B" w:rsidRDefault="004E63D6" w:rsidP="00CA410A">
            <w:pPr>
              <w:pStyle w:val="TableHeading"/>
              <w:jc w:val="center"/>
            </w:pPr>
            <w:r w:rsidRPr="00B0078B">
              <w:t>2023</w:t>
            </w:r>
          </w:p>
        </w:tc>
        <w:tc>
          <w:tcPr>
            <w:tcW w:w="585" w:type="pct"/>
            <w:noWrap/>
            <w:hideMark/>
          </w:tcPr>
          <w:p w14:paraId="05182D2B" w14:textId="77777777" w:rsidR="004E63D6" w:rsidRPr="00B0078B" w:rsidRDefault="004E63D6" w:rsidP="00CA410A">
            <w:pPr>
              <w:pStyle w:val="TableHeading"/>
              <w:jc w:val="center"/>
            </w:pPr>
            <w:r w:rsidRPr="00B0078B">
              <w:t>2024</w:t>
            </w:r>
          </w:p>
        </w:tc>
        <w:tc>
          <w:tcPr>
            <w:tcW w:w="585" w:type="pct"/>
            <w:noWrap/>
            <w:hideMark/>
          </w:tcPr>
          <w:p w14:paraId="0B898A63" w14:textId="77777777" w:rsidR="004E63D6" w:rsidRPr="00B0078B" w:rsidRDefault="004E63D6" w:rsidP="00CA410A">
            <w:pPr>
              <w:pStyle w:val="TableHeading"/>
              <w:jc w:val="center"/>
            </w:pPr>
            <w:r w:rsidRPr="00B0078B">
              <w:t>2025</w:t>
            </w:r>
          </w:p>
        </w:tc>
        <w:tc>
          <w:tcPr>
            <w:tcW w:w="585" w:type="pct"/>
            <w:noWrap/>
            <w:hideMark/>
          </w:tcPr>
          <w:p w14:paraId="368EC18C" w14:textId="77777777" w:rsidR="004E63D6" w:rsidRPr="00B0078B" w:rsidRDefault="004E63D6" w:rsidP="00CA410A">
            <w:pPr>
              <w:pStyle w:val="TableHeading"/>
              <w:jc w:val="center"/>
            </w:pPr>
            <w:r w:rsidRPr="00B0078B">
              <w:t>2026</w:t>
            </w:r>
          </w:p>
        </w:tc>
        <w:tc>
          <w:tcPr>
            <w:tcW w:w="585" w:type="pct"/>
            <w:noWrap/>
            <w:hideMark/>
          </w:tcPr>
          <w:p w14:paraId="1DA3D993" w14:textId="77777777" w:rsidR="004E63D6" w:rsidRPr="00B0078B" w:rsidRDefault="004E63D6" w:rsidP="00CA410A">
            <w:pPr>
              <w:pStyle w:val="TableHeading"/>
              <w:jc w:val="center"/>
            </w:pPr>
            <w:r w:rsidRPr="00B0078B">
              <w:t>2027</w:t>
            </w:r>
          </w:p>
        </w:tc>
        <w:tc>
          <w:tcPr>
            <w:tcW w:w="583" w:type="pct"/>
            <w:noWrap/>
            <w:hideMark/>
          </w:tcPr>
          <w:p w14:paraId="31DE9B58" w14:textId="77777777" w:rsidR="004E63D6" w:rsidRPr="00B0078B" w:rsidRDefault="004E63D6" w:rsidP="00CA410A">
            <w:pPr>
              <w:pStyle w:val="TableHeading"/>
              <w:jc w:val="center"/>
            </w:pPr>
            <w:r w:rsidRPr="00B0078B">
              <w:t>2028</w:t>
            </w:r>
          </w:p>
        </w:tc>
      </w:tr>
      <w:tr w:rsidR="004E63D6" w:rsidRPr="00B0078B" w14:paraId="1466A543" w14:textId="77777777" w:rsidTr="00CA410A">
        <w:trPr>
          <w:trHeight w:val="300"/>
        </w:trPr>
        <w:tc>
          <w:tcPr>
            <w:tcW w:w="1492" w:type="pct"/>
            <w:noWrap/>
            <w:hideMark/>
          </w:tcPr>
          <w:p w14:paraId="73C0EACD" w14:textId="77777777" w:rsidR="004E63D6" w:rsidRPr="00B0078B" w:rsidRDefault="004E63D6" w:rsidP="00CA410A">
            <w:pPr>
              <w:pStyle w:val="TableText"/>
            </w:pPr>
            <w:r w:rsidRPr="00B0078B">
              <w:t xml:space="preserve">No. combined DNA/RNA </w:t>
            </w:r>
            <w:r>
              <w:t xml:space="preserve">small panel </w:t>
            </w:r>
            <w:r w:rsidRPr="00B0078B">
              <w:t>services</w:t>
            </w:r>
          </w:p>
        </w:tc>
        <w:tc>
          <w:tcPr>
            <w:tcW w:w="585" w:type="pct"/>
            <w:noWrap/>
            <w:hideMark/>
          </w:tcPr>
          <w:p w14:paraId="4AFCC205" w14:textId="77777777" w:rsidR="004E63D6" w:rsidRPr="00B0078B" w:rsidRDefault="004E63D6" w:rsidP="00CA410A">
            <w:pPr>
              <w:pStyle w:val="TableText"/>
              <w:jc w:val="right"/>
            </w:pPr>
            <w:r w:rsidRPr="00517C9C">
              <w:t>1,380</w:t>
            </w:r>
          </w:p>
        </w:tc>
        <w:tc>
          <w:tcPr>
            <w:tcW w:w="585" w:type="pct"/>
            <w:noWrap/>
            <w:hideMark/>
          </w:tcPr>
          <w:p w14:paraId="5DAC03EB" w14:textId="77777777" w:rsidR="004E63D6" w:rsidRPr="00B0078B" w:rsidRDefault="004E63D6" w:rsidP="00CA410A">
            <w:pPr>
              <w:pStyle w:val="TableText"/>
              <w:jc w:val="right"/>
            </w:pPr>
            <w:r w:rsidRPr="00517C9C">
              <w:t>1,449</w:t>
            </w:r>
          </w:p>
        </w:tc>
        <w:tc>
          <w:tcPr>
            <w:tcW w:w="585" w:type="pct"/>
            <w:noWrap/>
            <w:hideMark/>
          </w:tcPr>
          <w:p w14:paraId="2B1F40DD" w14:textId="77777777" w:rsidR="004E63D6" w:rsidRPr="00B0078B" w:rsidRDefault="004E63D6" w:rsidP="00CA410A">
            <w:pPr>
              <w:pStyle w:val="TableText"/>
              <w:jc w:val="right"/>
            </w:pPr>
            <w:r w:rsidRPr="00517C9C">
              <w:t>1,822</w:t>
            </w:r>
          </w:p>
        </w:tc>
        <w:tc>
          <w:tcPr>
            <w:tcW w:w="585" w:type="pct"/>
            <w:noWrap/>
            <w:hideMark/>
          </w:tcPr>
          <w:p w14:paraId="690826BD" w14:textId="77777777" w:rsidR="004E63D6" w:rsidRPr="00B0078B" w:rsidRDefault="004E63D6" w:rsidP="00CA410A">
            <w:pPr>
              <w:pStyle w:val="TableText"/>
              <w:jc w:val="right"/>
            </w:pPr>
            <w:r w:rsidRPr="00517C9C">
              <w:t>2,223</w:t>
            </w:r>
          </w:p>
        </w:tc>
        <w:tc>
          <w:tcPr>
            <w:tcW w:w="585" w:type="pct"/>
            <w:noWrap/>
            <w:hideMark/>
          </w:tcPr>
          <w:p w14:paraId="78C3134C" w14:textId="77777777" w:rsidR="004E63D6" w:rsidRPr="00B0078B" w:rsidRDefault="004E63D6" w:rsidP="00CA410A">
            <w:pPr>
              <w:pStyle w:val="TableText"/>
              <w:jc w:val="right"/>
            </w:pPr>
            <w:r w:rsidRPr="00517C9C">
              <w:t>2,651</w:t>
            </w:r>
          </w:p>
        </w:tc>
        <w:tc>
          <w:tcPr>
            <w:tcW w:w="583" w:type="pct"/>
            <w:noWrap/>
            <w:hideMark/>
          </w:tcPr>
          <w:p w14:paraId="6EC8475D" w14:textId="77777777" w:rsidR="004E63D6" w:rsidRPr="00B0078B" w:rsidRDefault="004E63D6" w:rsidP="00CA410A">
            <w:pPr>
              <w:pStyle w:val="TableText"/>
              <w:jc w:val="right"/>
            </w:pPr>
            <w:r w:rsidRPr="00517C9C">
              <w:t>3,453</w:t>
            </w:r>
          </w:p>
        </w:tc>
      </w:tr>
      <w:tr w:rsidR="004E63D6" w:rsidRPr="00B0078B" w14:paraId="47343117" w14:textId="77777777" w:rsidTr="00CA410A">
        <w:trPr>
          <w:trHeight w:val="300"/>
        </w:trPr>
        <w:tc>
          <w:tcPr>
            <w:tcW w:w="1492" w:type="pct"/>
            <w:noWrap/>
          </w:tcPr>
          <w:p w14:paraId="40DEB329" w14:textId="77777777" w:rsidR="004E63D6" w:rsidRPr="00B0078B" w:rsidRDefault="004E63D6" w:rsidP="00CA410A">
            <w:pPr>
              <w:pStyle w:val="TableText"/>
            </w:pPr>
            <w:r w:rsidRPr="00D631BC">
              <w:t>Cost of combined DNA/RNA panel testing to the MBS ($1,</w:t>
            </w:r>
            <w:r>
              <w:t>087.92</w:t>
            </w:r>
            <w:r w:rsidRPr="00D631BC">
              <w:t xml:space="preserve"> per service)</w:t>
            </w:r>
            <w:r w:rsidRPr="00D457EE">
              <w:rPr>
                <w:vertAlign w:val="superscript"/>
              </w:rPr>
              <w:t>a</w:t>
            </w:r>
          </w:p>
        </w:tc>
        <w:tc>
          <w:tcPr>
            <w:tcW w:w="585" w:type="pct"/>
            <w:noWrap/>
          </w:tcPr>
          <w:p w14:paraId="3A8C1219" w14:textId="77777777" w:rsidR="004E63D6" w:rsidRPr="00B0078B" w:rsidRDefault="004E63D6" w:rsidP="00CA410A">
            <w:pPr>
              <w:pStyle w:val="TableText"/>
              <w:jc w:val="right"/>
            </w:pPr>
            <w:r w:rsidRPr="00517C9C">
              <w:t>$1,501,460</w:t>
            </w:r>
          </w:p>
        </w:tc>
        <w:tc>
          <w:tcPr>
            <w:tcW w:w="585" w:type="pct"/>
            <w:noWrap/>
          </w:tcPr>
          <w:p w14:paraId="2A9F19A2" w14:textId="77777777" w:rsidR="004E63D6" w:rsidRPr="00B0078B" w:rsidRDefault="004E63D6" w:rsidP="00CA410A">
            <w:pPr>
              <w:pStyle w:val="TableText"/>
              <w:jc w:val="right"/>
            </w:pPr>
            <w:r w:rsidRPr="00517C9C">
              <w:t>$1,576,778</w:t>
            </w:r>
          </w:p>
        </w:tc>
        <w:tc>
          <w:tcPr>
            <w:tcW w:w="585" w:type="pct"/>
            <w:noWrap/>
          </w:tcPr>
          <w:p w14:paraId="34A71972" w14:textId="77777777" w:rsidR="004E63D6" w:rsidRPr="00B0078B" w:rsidRDefault="004E63D6" w:rsidP="00CA410A">
            <w:pPr>
              <w:pStyle w:val="TableText"/>
              <w:jc w:val="right"/>
            </w:pPr>
            <w:r w:rsidRPr="00517C9C">
              <w:t>$1,982,517</w:t>
            </w:r>
          </w:p>
        </w:tc>
        <w:tc>
          <w:tcPr>
            <w:tcW w:w="585" w:type="pct"/>
            <w:noWrap/>
          </w:tcPr>
          <w:p w14:paraId="0987E9BB" w14:textId="77777777" w:rsidR="004E63D6" w:rsidRPr="00B0078B" w:rsidRDefault="004E63D6" w:rsidP="00CA410A">
            <w:pPr>
              <w:pStyle w:val="TableText"/>
              <w:jc w:val="right"/>
            </w:pPr>
            <w:r w:rsidRPr="00517C9C">
              <w:t>$2,418,382</w:t>
            </w:r>
          </w:p>
        </w:tc>
        <w:tc>
          <w:tcPr>
            <w:tcW w:w="585" w:type="pct"/>
            <w:noWrap/>
          </w:tcPr>
          <w:p w14:paraId="3E1E7111" w14:textId="77777777" w:rsidR="004E63D6" w:rsidRPr="00B0078B" w:rsidRDefault="004E63D6" w:rsidP="00CA410A">
            <w:pPr>
              <w:pStyle w:val="TableText"/>
              <w:jc w:val="right"/>
            </w:pPr>
            <w:r w:rsidRPr="00517C9C">
              <w:t>$2,884,375</w:t>
            </w:r>
          </w:p>
        </w:tc>
        <w:tc>
          <w:tcPr>
            <w:tcW w:w="583" w:type="pct"/>
            <w:noWrap/>
          </w:tcPr>
          <w:p w14:paraId="30E4739E" w14:textId="77777777" w:rsidR="004E63D6" w:rsidRPr="00B0078B" w:rsidRDefault="004E63D6" w:rsidP="00CA410A">
            <w:pPr>
              <w:pStyle w:val="TableText"/>
              <w:jc w:val="right"/>
            </w:pPr>
            <w:r w:rsidRPr="00517C9C">
              <w:t>$3,756,107</w:t>
            </w:r>
          </w:p>
        </w:tc>
      </w:tr>
      <w:tr w:rsidR="004E63D6" w:rsidRPr="00B0078B" w14:paraId="6F97E1D6" w14:textId="77777777" w:rsidTr="00CA410A">
        <w:trPr>
          <w:trHeight w:val="300"/>
        </w:trPr>
        <w:tc>
          <w:tcPr>
            <w:tcW w:w="1492" w:type="pct"/>
            <w:noWrap/>
          </w:tcPr>
          <w:p w14:paraId="384C1E24" w14:textId="77777777" w:rsidR="004E63D6" w:rsidRPr="00B0078B" w:rsidRDefault="004E63D6" w:rsidP="00CA410A">
            <w:pPr>
              <w:pStyle w:val="TableText"/>
            </w:pPr>
            <w:r>
              <w:t>No. small DNA panel services</w:t>
            </w:r>
          </w:p>
        </w:tc>
        <w:tc>
          <w:tcPr>
            <w:tcW w:w="585" w:type="pct"/>
            <w:noWrap/>
          </w:tcPr>
          <w:p w14:paraId="5B2D1C4D" w14:textId="77777777" w:rsidR="004E63D6" w:rsidRPr="00B0078B" w:rsidRDefault="004E63D6" w:rsidP="00CA410A">
            <w:pPr>
              <w:pStyle w:val="TableText"/>
              <w:jc w:val="right"/>
            </w:pPr>
            <w:r w:rsidRPr="00517C9C">
              <w:t>4,140</w:t>
            </w:r>
          </w:p>
        </w:tc>
        <w:tc>
          <w:tcPr>
            <w:tcW w:w="585" w:type="pct"/>
            <w:noWrap/>
          </w:tcPr>
          <w:p w14:paraId="6CA38BEA" w14:textId="77777777" w:rsidR="004E63D6" w:rsidRPr="00B0078B" w:rsidRDefault="004E63D6" w:rsidP="00CA410A">
            <w:pPr>
              <w:pStyle w:val="TableText"/>
              <w:jc w:val="right"/>
            </w:pPr>
            <w:r w:rsidRPr="00517C9C">
              <w:t>4,348</w:t>
            </w:r>
          </w:p>
        </w:tc>
        <w:tc>
          <w:tcPr>
            <w:tcW w:w="585" w:type="pct"/>
            <w:noWrap/>
          </w:tcPr>
          <w:p w14:paraId="593B76F5" w14:textId="77777777" w:rsidR="004E63D6" w:rsidRPr="00B0078B" w:rsidRDefault="004E63D6" w:rsidP="00CA410A">
            <w:pPr>
              <w:pStyle w:val="TableText"/>
              <w:jc w:val="right"/>
            </w:pPr>
            <w:r w:rsidRPr="00517C9C">
              <w:t>4,252</w:t>
            </w:r>
          </w:p>
        </w:tc>
        <w:tc>
          <w:tcPr>
            <w:tcW w:w="585" w:type="pct"/>
            <w:noWrap/>
          </w:tcPr>
          <w:p w14:paraId="594F8505" w14:textId="77777777" w:rsidR="004E63D6" w:rsidRPr="00B0078B" w:rsidRDefault="004E63D6" w:rsidP="00CA410A">
            <w:pPr>
              <w:pStyle w:val="TableText"/>
              <w:jc w:val="right"/>
            </w:pPr>
            <w:r w:rsidRPr="00517C9C">
              <w:t>4,128</w:t>
            </w:r>
          </w:p>
        </w:tc>
        <w:tc>
          <w:tcPr>
            <w:tcW w:w="585" w:type="pct"/>
            <w:noWrap/>
          </w:tcPr>
          <w:p w14:paraId="5AAEFFDC" w14:textId="77777777" w:rsidR="004E63D6" w:rsidRPr="00B0078B" w:rsidRDefault="004E63D6" w:rsidP="00CA410A">
            <w:pPr>
              <w:pStyle w:val="TableText"/>
              <w:jc w:val="right"/>
            </w:pPr>
            <w:r w:rsidRPr="00517C9C">
              <w:t>3,977</w:t>
            </w:r>
          </w:p>
        </w:tc>
        <w:tc>
          <w:tcPr>
            <w:tcW w:w="583" w:type="pct"/>
            <w:noWrap/>
          </w:tcPr>
          <w:p w14:paraId="069A7C1C" w14:textId="77777777" w:rsidR="004E63D6" w:rsidRPr="00B0078B" w:rsidRDefault="004E63D6" w:rsidP="00CA410A">
            <w:pPr>
              <w:pStyle w:val="TableText"/>
              <w:jc w:val="right"/>
            </w:pPr>
            <w:r w:rsidRPr="00517C9C">
              <w:t>3,453</w:t>
            </w:r>
          </w:p>
        </w:tc>
      </w:tr>
      <w:tr w:rsidR="004E63D6" w:rsidRPr="00B0078B" w14:paraId="454CC0AD" w14:textId="77777777" w:rsidTr="00CA410A">
        <w:trPr>
          <w:trHeight w:val="300"/>
        </w:trPr>
        <w:tc>
          <w:tcPr>
            <w:tcW w:w="1492" w:type="pct"/>
            <w:noWrap/>
          </w:tcPr>
          <w:p w14:paraId="30BFBA44" w14:textId="77777777" w:rsidR="004E63D6" w:rsidRDefault="004E63D6" w:rsidP="00CA410A">
            <w:pPr>
              <w:pStyle w:val="TableText"/>
            </w:pPr>
            <w:r w:rsidRPr="008D4325">
              <w:t>Cost of DNA-based panel testing ($</w:t>
            </w:r>
            <w:r>
              <w:t>568.17</w:t>
            </w:r>
            <w:r w:rsidRPr="008D4325">
              <w:t xml:space="preserve"> per service)</w:t>
            </w:r>
            <w:r w:rsidRPr="00D457EE">
              <w:rPr>
                <w:vertAlign w:val="superscript"/>
              </w:rPr>
              <w:t>b</w:t>
            </w:r>
          </w:p>
        </w:tc>
        <w:tc>
          <w:tcPr>
            <w:tcW w:w="585" w:type="pct"/>
            <w:noWrap/>
          </w:tcPr>
          <w:p w14:paraId="46598F5B" w14:textId="77777777" w:rsidR="004E63D6" w:rsidRPr="00B0078B" w:rsidRDefault="004E63D6" w:rsidP="00CA410A">
            <w:pPr>
              <w:pStyle w:val="TableText"/>
              <w:jc w:val="right"/>
            </w:pPr>
            <w:r w:rsidRPr="00517C9C">
              <w:t>$2,352,426</w:t>
            </w:r>
          </w:p>
        </w:tc>
        <w:tc>
          <w:tcPr>
            <w:tcW w:w="585" w:type="pct"/>
            <w:noWrap/>
          </w:tcPr>
          <w:p w14:paraId="74DD68ED" w14:textId="77777777" w:rsidR="004E63D6" w:rsidRPr="00B0078B" w:rsidRDefault="004E63D6" w:rsidP="00CA410A">
            <w:pPr>
              <w:pStyle w:val="TableText"/>
              <w:jc w:val="right"/>
            </w:pPr>
            <w:r w:rsidRPr="00517C9C">
              <w:t>$2,470,432</w:t>
            </w:r>
          </w:p>
        </w:tc>
        <w:tc>
          <w:tcPr>
            <w:tcW w:w="585" w:type="pct"/>
            <w:noWrap/>
          </w:tcPr>
          <w:p w14:paraId="6D0F4840" w14:textId="77777777" w:rsidR="004E63D6" w:rsidRPr="00B0078B" w:rsidRDefault="004E63D6" w:rsidP="00CA410A">
            <w:pPr>
              <w:pStyle w:val="TableText"/>
              <w:jc w:val="right"/>
            </w:pPr>
            <w:r w:rsidRPr="00517C9C">
              <w:t>$2,415,876</w:t>
            </w:r>
          </w:p>
        </w:tc>
        <w:tc>
          <w:tcPr>
            <w:tcW w:w="585" w:type="pct"/>
            <w:noWrap/>
          </w:tcPr>
          <w:p w14:paraId="7E53BEB3" w14:textId="77777777" w:rsidR="004E63D6" w:rsidRPr="00B0078B" w:rsidRDefault="004E63D6" w:rsidP="00CA410A">
            <w:pPr>
              <w:pStyle w:val="TableText"/>
              <w:jc w:val="right"/>
            </w:pPr>
            <w:r w:rsidRPr="00517C9C">
              <w:t>$2,345,585</w:t>
            </w:r>
          </w:p>
        </w:tc>
        <w:tc>
          <w:tcPr>
            <w:tcW w:w="585" w:type="pct"/>
            <w:noWrap/>
          </w:tcPr>
          <w:p w14:paraId="6DC7D82E" w14:textId="77777777" w:rsidR="004E63D6" w:rsidRPr="00B0078B" w:rsidRDefault="004E63D6" w:rsidP="00CA410A">
            <w:pPr>
              <w:pStyle w:val="TableText"/>
              <w:jc w:val="right"/>
            </w:pPr>
            <w:r w:rsidRPr="00517C9C">
              <w:t>$2,259,561</w:t>
            </w:r>
          </w:p>
        </w:tc>
        <w:tc>
          <w:tcPr>
            <w:tcW w:w="583" w:type="pct"/>
            <w:noWrap/>
          </w:tcPr>
          <w:p w14:paraId="26BD3FFE" w14:textId="77777777" w:rsidR="004E63D6" w:rsidRPr="00B0078B" w:rsidRDefault="004E63D6" w:rsidP="00CA410A">
            <w:pPr>
              <w:pStyle w:val="TableText"/>
              <w:jc w:val="right"/>
            </w:pPr>
            <w:r w:rsidRPr="00517C9C">
              <w:t>$1,961,638</w:t>
            </w:r>
          </w:p>
        </w:tc>
      </w:tr>
      <w:tr w:rsidR="004E63D6" w:rsidRPr="00B0078B" w14:paraId="598C896D" w14:textId="77777777" w:rsidTr="00CA410A">
        <w:trPr>
          <w:trHeight w:val="300"/>
        </w:trPr>
        <w:tc>
          <w:tcPr>
            <w:tcW w:w="1492" w:type="pct"/>
            <w:noWrap/>
          </w:tcPr>
          <w:p w14:paraId="2C8878AD" w14:textId="77777777" w:rsidR="004E63D6" w:rsidRDefault="004E63D6" w:rsidP="00CA410A">
            <w:pPr>
              <w:pStyle w:val="TableText"/>
            </w:pPr>
            <w:r>
              <w:t>No. small RNA panel services</w:t>
            </w:r>
          </w:p>
        </w:tc>
        <w:tc>
          <w:tcPr>
            <w:tcW w:w="585" w:type="pct"/>
            <w:noWrap/>
          </w:tcPr>
          <w:p w14:paraId="0A8A57CC" w14:textId="77777777" w:rsidR="004E63D6" w:rsidRPr="00A839B3" w:rsidRDefault="004E63D6" w:rsidP="00CA410A">
            <w:pPr>
              <w:pStyle w:val="TableText"/>
              <w:jc w:val="right"/>
            </w:pPr>
            <w:r w:rsidRPr="00517C9C">
              <w:t>1,905</w:t>
            </w:r>
          </w:p>
        </w:tc>
        <w:tc>
          <w:tcPr>
            <w:tcW w:w="585" w:type="pct"/>
            <w:noWrap/>
          </w:tcPr>
          <w:p w14:paraId="7856E381" w14:textId="77777777" w:rsidR="004E63D6" w:rsidRPr="00A839B3" w:rsidRDefault="004E63D6" w:rsidP="00CA410A">
            <w:pPr>
              <w:pStyle w:val="TableText"/>
              <w:jc w:val="right"/>
            </w:pPr>
            <w:r w:rsidRPr="00517C9C">
              <w:t>2,000</w:t>
            </w:r>
          </w:p>
        </w:tc>
        <w:tc>
          <w:tcPr>
            <w:tcW w:w="585" w:type="pct"/>
            <w:noWrap/>
          </w:tcPr>
          <w:p w14:paraId="3862C71F" w14:textId="77777777" w:rsidR="004E63D6" w:rsidRPr="00A839B3" w:rsidRDefault="004E63D6" w:rsidP="00CA410A">
            <w:pPr>
              <w:pStyle w:val="TableText"/>
              <w:jc w:val="right"/>
            </w:pPr>
            <w:r w:rsidRPr="00517C9C">
              <w:t>1,956</w:t>
            </w:r>
          </w:p>
        </w:tc>
        <w:tc>
          <w:tcPr>
            <w:tcW w:w="585" w:type="pct"/>
            <w:noWrap/>
          </w:tcPr>
          <w:p w14:paraId="407DC275" w14:textId="77777777" w:rsidR="004E63D6" w:rsidRPr="00A839B3" w:rsidRDefault="004E63D6" w:rsidP="00CA410A">
            <w:pPr>
              <w:pStyle w:val="TableText"/>
              <w:jc w:val="right"/>
            </w:pPr>
            <w:r w:rsidRPr="00517C9C">
              <w:t>1,899</w:t>
            </w:r>
          </w:p>
        </w:tc>
        <w:tc>
          <w:tcPr>
            <w:tcW w:w="585" w:type="pct"/>
            <w:noWrap/>
          </w:tcPr>
          <w:p w14:paraId="3399E64F" w14:textId="77777777" w:rsidR="004E63D6" w:rsidRPr="00A839B3" w:rsidRDefault="004E63D6" w:rsidP="00CA410A">
            <w:pPr>
              <w:pStyle w:val="TableText"/>
              <w:jc w:val="right"/>
            </w:pPr>
            <w:r w:rsidRPr="00517C9C">
              <w:t>1,829</w:t>
            </w:r>
          </w:p>
        </w:tc>
        <w:tc>
          <w:tcPr>
            <w:tcW w:w="583" w:type="pct"/>
            <w:noWrap/>
          </w:tcPr>
          <w:p w14:paraId="32253C71" w14:textId="77777777" w:rsidR="004E63D6" w:rsidRPr="00A839B3" w:rsidRDefault="004E63D6" w:rsidP="00CA410A">
            <w:pPr>
              <w:pStyle w:val="TableText"/>
              <w:jc w:val="right"/>
            </w:pPr>
            <w:r w:rsidRPr="00517C9C">
              <w:t>1,588</w:t>
            </w:r>
          </w:p>
        </w:tc>
      </w:tr>
      <w:tr w:rsidR="004E63D6" w:rsidRPr="00B0078B" w14:paraId="2CD370C0" w14:textId="77777777" w:rsidTr="00CA410A">
        <w:trPr>
          <w:trHeight w:val="300"/>
        </w:trPr>
        <w:tc>
          <w:tcPr>
            <w:tcW w:w="1492" w:type="pct"/>
            <w:noWrap/>
          </w:tcPr>
          <w:p w14:paraId="7F80F449" w14:textId="77777777" w:rsidR="004E63D6" w:rsidRDefault="004E63D6" w:rsidP="00CA410A">
            <w:pPr>
              <w:pStyle w:val="TableText"/>
            </w:pPr>
            <w:r w:rsidRPr="00B361C6">
              <w:t>Cost of RNA-based panel testing ($</w:t>
            </w:r>
            <w:r>
              <w:t>568.17</w:t>
            </w:r>
            <w:r w:rsidRPr="00B361C6">
              <w:t xml:space="preserve"> per service)</w:t>
            </w:r>
            <w:r w:rsidRPr="00D457EE">
              <w:rPr>
                <w:vertAlign w:val="superscript"/>
              </w:rPr>
              <w:t>b</w:t>
            </w:r>
          </w:p>
        </w:tc>
        <w:tc>
          <w:tcPr>
            <w:tcW w:w="585" w:type="pct"/>
            <w:noWrap/>
          </w:tcPr>
          <w:p w14:paraId="11287E9F" w14:textId="77777777" w:rsidR="004E63D6" w:rsidRPr="00483B34" w:rsidRDefault="004E63D6" w:rsidP="00CA410A">
            <w:pPr>
              <w:pStyle w:val="TableText"/>
              <w:jc w:val="right"/>
            </w:pPr>
            <w:r w:rsidRPr="00517C9C">
              <w:t>$1,082,137</w:t>
            </w:r>
          </w:p>
        </w:tc>
        <w:tc>
          <w:tcPr>
            <w:tcW w:w="585" w:type="pct"/>
            <w:noWrap/>
          </w:tcPr>
          <w:p w14:paraId="598E5507" w14:textId="77777777" w:rsidR="004E63D6" w:rsidRPr="00483B34" w:rsidRDefault="004E63D6" w:rsidP="00CA410A">
            <w:pPr>
              <w:pStyle w:val="TableText"/>
              <w:jc w:val="right"/>
            </w:pPr>
            <w:r w:rsidRPr="00517C9C">
              <w:t>$1,136,421</w:t>
            </w:r>
          </w:p>
        </w:tc>
        <w:tc>
          <w:tcPr>
            <w:tcW w:w="585" w:type="pct"/>
            <w:noWrap/>
          </w:tcPr>
          <w:p w14:paraId="4460E162" w14:textId="77777777" w:rsidR="004E63D6" w:rsidRPr="00483B34" w:rsidRDefault="004E63D6" w:rsidP="00CA410A">
            <w:pPr>
              <w:pStyle w:val="TableText"/>
              <w:jc w:val="right"/>
            </w:pPr>
            <w:r w:rsidRPr="00517C9C">
              <w:t>$1,111,325</w:t>
            </w:r>
          </w:p>
        </w:tc>
        <w:tc>
          <w:tcPr>
            <w:tcW w:w="585" w:type="pct"/>
            <w:noWrap/>
          </w:tcPr>
          <w:p w14:paraId="53B33F65" w14:textId="77777777" w:rsidR="004E63D6" w:rsidRPr="00483B34" w:rsidRDefault="004E63D6" w:rsidP="00CA410A">
            <w:pPr>
              <w:pStyle w:val="TableText"/>
              <w:jc w:val="right"/>
            </w:pPr>
            <w:r w:rsidRPr="00517C9C">
              <w:t>$1,078,990</w:t>
            </w:r>
          </w:p>
        </w:tc>
        <w:tc>
          <w:tcPr>
            <w:tcW w:w="585" w:type="pct"/>
            <w:noWrap/>
          </w:tcPr>
          <w:p w14:paraId="1E93FAE2" w14:textId="77777777" w:rsidR="004E63D6" w:rsidRPr="00483B34" w:rsidRDefault="004E63D6" w:rsidP="00CA410A">
            <w:pPr>
              <w:pStyle w:val="TableText"/>
              <w:jc w:val="right"/>
            </w:pPr>
            <w:r w:rsidRPr="00517C9C">
              <w:t>$1,039,418</w:t>
            </w:r>
          </w:p>
        </w:tc>
        <w:tc>
          <w:tcPr>
            <w:tcW w:w="583" w:type="pct"/>
            <w:noWrap/>
          </w:tcPr>
          <w:p w14:paraId="2E0C66E0" w14:textId="77777777" w:rsidR="004E63D6" w:rsidRPr="00483B34" w:rsidRDefault="004E63D6" w:rsidP="00CA410A">
            <w:pPr>
              <w:pStyle w:val="TableText"/>
              <w:jc w:val="right"/>
            </w:pPr>
            <w:r w:rsidRPr="00517C9C">
              <w:t>$902,371</w:t>
            </w:r>
          </w:p>
        </w:tc>
      </w:tr>
      <w:tr w:rsidR="004E63D6" w:rsidRPr="00B0078B" w14:paraId="235B206F" w14:textId="77777777" w:rsidTr="00CA410A">
        <w:trPr>
          <w:trHeight w:val="300"/>
        </w:trPr>
        <w:tc>
          <w:tcPr>
            <w:tcW w:w="1492" w:type="pct"/>
            <w:noWrap/>
          </w:tcPr>
          <w:p w14:paraId="46993344" w14:textId="77777777" w:rsidR="004E63D6" w:rsidRPr="00D457EE" w:rsidRDefault="004E63D6" w:rsidP="00CA410A">
            <w:pPr>
              <w:pStyle w:val="TableText"/>
              <w:rPr>
                <w:b/>
              </w:rPr>
            </w:pPr>
            <w:r w:rsidRPr="00D457EE">
              <w:rPr>
                <w:b/>
              </w:rPr>
              <w:t>Cost to the MBS of small gene panel testing</w:t>
            </w:r>
          </w:p>
        </w:tc>
        <w:tc>
          <w:tcPr>
            <w:tcW w:w="585" w:type="pct"/>
            <w:noWrap/>
          </w:tcPr>
          <w:p w14:paraId="7E509669" w14:textId="77777777" w:rsidR="004E63D6" w:rsidRPr="007B664B" w:rsidRDefault="004E63D6" w:rsidP="00CA410A">
            <w:pPr>
              <w:pStyle w:val="TableText"/>
              <w:jc w:val="right"/>
              <w:rPr>
                <w:b/>
              </w:rPr>
            </w:pPr>
            <w:r w:rsidRPr="007B664B">
              <w:rPr>
                <w:b/>
              </w:rPr>
              <w:t>$4,936,022</w:t>
            </w:r>
          </w:p>
        </w:tc>
        <w:tc>
          <w:tcPr>
            <w:tcW w:w="585" w:type="pct"/>
            <w:noWrap/>
          </w:tcPr>
          <w:p w14:paraId="74A72AC2" w14:textId="77777777" w:rsidR="004E63D6" w:rsidRPr="007B664B" w:rsidRDefault="004E63D6" w:rsidP="00CA410A">
            <w:pPr>
              <w:pStyle w:val="TableText"/>
              <w:jc w:val="right"/>
              <w:rPr>
                <w:b/>
              </w:rPr>
            </w:pPr>
            <w:r w:rsidRPr="007B664B">
              <w:rPr>
                <w:b/>
              </w:rPr>
              <w:t>$5,183,631</w:t>
            </w:r>
          </w:p>
        </w:tc>
        <w:tc>
          <w:tcPr>
            <w:tcW w:w="585" w:type="pct"/>
            <w:noWrap/>
          </w:tcPr>
          <w:p w14:paraId="4C2054FA" w14:textId="77777777" w:rsidR="004E63D6" w:rsidRPr="007B664B" w:rsidRDefault="004E63D6" w:rsidP="00CA410A">
            <w:pPr>
              <w:pStyle w:val="TableText"/>
              <w:jc w:val="right"/>
              <w:rPr>
                <w:b/>
              </w:rPr>
            </w:pPr>
            <w:r w:rsidRPr="007B664B">
              <w:rPr>
                <w:b/>
              </w:rPr>
              <w:t>$5,509,717</w:t>
            </w:r>
          </w:p>
        </w:tc>
        <w:tc>
          <w:tcPr>
            <w:tcW w:w="585" w:type="pct"/>
            <w:noWrap/>
          </w:tcPr>
          <w:p w14:paraId="0F68E872" w14:textId="77777777" w:rsidR="004E63D6" w:rsidRPr="007B664B" w:rsidRDefault="004E63D6" w:rsidP="00CA410A">
            <w:pPr>
              <w:pStyle w:val="TableText"/>
              <w:jc w:val="right"/>
              <w:rPr>
                <w:b/>
              </w:rPr>
            </w:pPr>
            <w:r w:rsidRPr="007B664B">
              <w:rPr>
                <w:b/>
              </w:rPr>
              <w:t>$5,842,958</w:t>
            </w:r>
          </w:p>
        </w:tc>
        <w:tc>
          <w:tcPr>
            <w:tcW w:w="585" w:type="pct"/>
            <w:noWrap/>
          </w:tcPr>
          <w:p w14:paraId="46AA06ED" w14:textId="77777777" w:rsidR="004E63D6" w:rsidRPr="007B664B" w:rsidRDefault="004E63D6" w:rsidP="00CA410A">
            <w:pPr>
              <w:pStyle w:val="TableText"/>
              <w:jc w:val="right"/>
              <w:rPr>
                <w:b/>
              </w:rPr>
            </w:pPr>
            <w:r w:rsidRPr="007B664B">
              <w:rPr>
                <w:b/>
              </w:rPr>
              <w:t>$6,183,354</w:t>
            </w:r>
          </w:p>
        </w:tc>
        <w:tc>
          <w:tcPr>
            <w:tcW w:w="583" w:type="pct"/>
            <w:noWrap/>
          </w:tcPr>
          <w:p w14:paraId="03D87DB4" w14:textId="77777777" w:rsidR="004E63D6" w:rsidRPr="007B664B" w:rsidRDefault="004E63D6" w:rsidP="00CA410A">
            <w:pPr>
              <w:pStyle w:val="TableText"/>
              <w:jc w:val="right"/>
              <w:rPr>
                <w:b/>
              </w:rPr>
            </w:pPr>
            <w:r w:rsidRPr="007B664B">
              <w:rPr>
                <w:b/>
              </w:rPr>
              <w:t>$6,620,116</w:t>
            </w:r>
          </w:p>
        </w:tc>
      </w:tr>
    </w:tbl>
    <w:p w14:paraId="79F80515" w14:textId="77777777" w:rsidR="004E63D6" w:rsidRDefault="004E63D6" w:rsidP="004E63D6">
      <w:pPr>
        <w:pStyle w:val="TableFooter"/>
      </w:pPr>
      <w:r>
        <w:t>Source: ‘Section 4.2’ worksheet of the ‘1721 financial impact.xlsx’ workbook accompanying the DCAR.</w:t>
      </w:r>
    </w:p>
    <w:p w14:paraId="3AE7F0C3" w14:textId="77777777" w:rsidR="004E63D6" w:rsidRDefault="004E63D6" w:rsidP="004E63D6">
      <w:pPr>
        <w:pStyle w:val="TableFooter"/>
      </w:pPr>
      <w:r>
        <w:t>DNA = deoxyribose nucleic acid; RNA = ribonucleic acid.</w:t>
      </w:r>
    </w:p>
    <w:p w14:paraId="6F0C45AC" w14:textId="77777777" w:rsidR="004E63D6" w:rsidRDefault="004E63D6" w:rsidP="004E63D6">
      <w:pPr>
        <w:pStyle w:val="TableFooter"/>
      </w:pPr>
      <w:r w:rsidRPr="00D457EE">
        <w:rPr>
          <w:vertAlign w:val="superscript"/>
        </w:rPr>
        <w:t>a</w:t>
      </w:r>
      <w:r>
        <w:t xml:space="preserve"> 31.8% </w:t>
      </w:r>
      <w:r>
        <w:rPr>
          <w:rFonts w:cstheme="minorHAnsi"/>
        </w:rPr>
        <w:t>×</w:t>
      </w:r>
      <w:r>
        <w:t xml:space="preserve"> $935.25 [75% MBS benefit] +68.2% </w:t>
      </w:r>
      <w:r>
        <w:rPr>
          <w:rFonts w:cstheme="minorHAnsi"/>
        </w:rPr>
        <w:t>×</w:t>
      </w:r>
      <w:r>
        <w:t xml:space="preserve"> $1,159.10 [85% MBS benefit]</w:t>
      </w:r>
    </w:p>
    <w:p w14:paraId="44D9D9B6" w14:textId="77777777" w:rsidR="004E63D6" w:rsidRDefault="004E63D6" w:rsidP="004E63D6">
      <w:pPr>
        <w:pStyle w:val="TableFooter"/>
      </w:pPr>
      <w:r w:rsidRPr="00D457EE">
        <w:rPr>
          <w:vertAlign w:val="superscript"/>
        </w:rPr>
        <w:t>b</w:t>
      </w:r>
      <w:r>
        <w:t xml:space="preserve"> 31.8% </w:t>
      </w:r>
      <w:r>
        <w:rPr>
          <w:rFonts w:cstheme="minorHAnsi"/>
        </w:rPr>
        <w:t>×</w:t>
      </w:r>
      <w:r>
        <w:t xml:space="preserve"> $511.80 [75% MBS benefit] +68.2% </w:t>
      </w:r>
      <w:r>
        <w:rPr>
          <w:rFonts w:cstheme="minorHAnsi"/>
        </w:rPr>
        <w:t>×</w:t>
      </w:r>
      <w:r>
        <w:t xml:space="preserve"> $594.45 [85% MBS benefit]</w:t>
      </w:r>
    </w:p>
    <w:p w14:paraId="7481E944" w14:textId="77777777" w:rsidR="004E63D6" w:rsidRPr="00CE28E3" w:rsidRDefault="004E63D6" w:rsidP="004E63D6">
      <w:pPr>
        <w:pStyle w:val="Heading2"/>
        <w:numPr>
          <w:ilvl w:val="0"/>
          <w:numId w:val="0"/>
        </w:numPr>
        <w:ind w:left="720" w:hanging="720"/>
      </w:pPr>
      <w:bookmarkStart w:id="215" w:name="_Toc54940863"/>
      <w:bookmarkStart w:id="216" w:name="_Toc109054498"/>
      <w:bookmarkStart w:id="217" w:name="_Toc148531183"/>
      <w:r w:rsidRPr="00CE28E3">
        <w:t>4.3</w:t>
      </w:r>
      <w:r>
        <w:tab/>
      </w:r>
      <w:r w:rsidRPr="00CE28E3">
        <w:t>Estimation of changes in use and financial impact of other health technologies</w:t>
      </w:r>
      <w:bookmarkEnd w:id="215"/>
      <w:bookmarkEnd w:id="216"/>
      <w:bookmarkEnd w:id="217"/>
    </w:p>
    <w:p w14:paraId="36DEC0DA" w14:textId="72487969" w:rsidR="004E63D6" w:rsidRDefault="004E63D6" w:rsidP="004E63D6">
      <w:pPr>
        <w:pStyle w:val="NormalBeforeBullet"/>
      </w:pPr>
      <w:r>
        <w:t xml:space="preserve">In addition to substitution of projected </w:t>
      </w:r>
      <w:r w:rsidRPr="007A7150">
        <w:rPr>
          <w:i/>
        </w:rPr>
        <w:t>EGFR</w:t>
      </w:r>
      <w:r>
        <w:t xml:space="preserve"> services estimated in Section 4.2, small gene panel testing will also change the use of other biomarker testing services included in the comparator, including </w:t>
      </w:r>
      <w:r w:rsidRPr="007A7150">
        <w:rPr>
          <w:i/>
        </w:rPr>
        <w:t xml:space="preserve">ALK </w:t>
      </w:r>
      <w:r w:rsidRPr="00B47786">
        <w:t>and</w:t>
      </w:r>
      <w:r>
        <w:t xml:space="preserve"> </w:t>
      </w:r>
      <w:r w:rsidRPr="007A7150">
        <w:rPr>
          <w:i/>
        </w:rPr>
        <w:t xml:space="preserve">ROS1 </w:t>
      </w:r>
      <w:r>
        <w:t xml:space="preserve">FISH testing and </w:t>
      </w:r>
      <w:r w:rsidRPr="007A7150">
        <w:rPr>
          <w:i/>
        </w:rPr>
        <w:t>MET</w:t>
      </w:r>
      <w:r>
        <w:t>ex14sk testing. While there may also be a change in</w:t>
      </w:r>
      <w:r w:rsidR="00E466E6">
        <w:t xml:space="preserve"> the relative</w:t>
      </w:r>
      <w:r>
        <w:t xml:space="preserve"> use of IHC testing items, </w:t>
      </w:r>
      <w:r w:rsidRPr="007A7150">
        <w:t xml:space="preserve">PASC considered that the expected </w:t>
      </w:r>
      <w:r>
        <w:t>reduction in</w:t>
      </w:r>
      <w:r w:rsidRPr="007A7150">
        <w:t xml:space="preserve"> </w:t>
      </w:r>
      <w:r w:rsidR="00E466E6">
        <w:t xml:space="preserve">the cost of </w:t>
      </w:r>
      <w:r w:rsidRPr="007A7150">
        <w:t xml:space="preserve">IHC testing for </w:t>
      </w:r>
      <w:r w:rsidRPr="00FE43E9">
        <w:rPr>
          <w:i/>
        </w:rPr>
        <w:t>ALK</w:t>
      </w:r>
      <w:r w:rsidRPr="007A7150">
        <w:t xml:space="preserve"> and </w:t>
      </w:r>
      <w:r w:rsidRPr="00FE43E9">
        <w:rPr>
          <w:i/>
        </w:rPr>
        <w:t>ROS1</w:t>
      </w:r>
      <w:r w:rsidRPr="007A7150">
        <w:t xml:space="preserve"> would not be straightforward to estimate</w:t>
      </w:r>
      <w:r>
        <w:t xml:space="preserve"> (p10, 1634 Ratified PICO)</w:t>
      </w:r>
      <w:r w:rsidRPr="007A7150">
        <w:t xml:space="preserve">. </w:t>
      </w:r>
      <w:r w:rsidR="00E466E6">
        <w:t>The total number of IHC services is not likely to change with proposed small gene panel testing, and for many patients, the item claimed will not change (where</w:t>
      </w:r>
      <w:r w:rsidR="00E466E6" w:rsidRPr="00E466E6">
        <w:t xml:space="preserve"> </w:t>
      </w:r>
      <w:r w:rsidR="00E466E6">
        <w:t xml:space="preserve">the number of antibodies tested does not change the item being charged e.g. from use of ten to eight antibodies tested). A conservative approach has been adopted in the DCAR that assumes no reduction in cost of </w:t>
      </w:r>
      <w:r w:rsidR="00E466E6" w:rsidRPr="00956452">
        <w:t>ALK</w:t>
      </w:r>
      <w:r w:rsidR="00E466E6">
        <w:t xml:space="preserve"> and </w:t>
      </w:r>
      <w:r w:rsidR="00E466E6" w:rsidRPr="00956452">
        <w:t>ROS1</w:t>
      </w:r>
      <w:r w:rsidR="00E466E6">
        <w:t xml:space="preserve"> IHC testing</w:t>
      </w:r>
      <w:r w:rsidR="003531F3">
        <w:t xml:space="preserve">. A sensitivity analysis is conducted that assumes all </w:t>
      </w:r>
      <w:r w:rsidR="003531F3" w:rsidRPr="003531F3">
        <w:rPr>
          <w:i/>
        </w:rPr>
        <w:t>EGFR</w:t>
      </w:r>
      <w:r w:rsidR="003531F3">
        <w:t xml:space="preserve"> services would also be associated with a change in IHC item use (from 72849 [85% benefit: $88.70] to 72847 [85% benefit: $76.00], reduction in cost of $12.70).</w:t>
      </w:r>
    </w:p>
    <w:p w14:paraId="1A993B72" w14:textId="77777777" w:rsidR="004E63D6" w:rsidRDefault="004E63D6" w:rsidP="004E63D6">
      <w:pPr>
        <w:pStyle w:val="NormalBeforeBullet"/>
      </w:pPr>
      <w:r>
        <w:t xml:space="preserve">As </w:t>
      </w:r>
      <w:r w:rsidRPr="00697484">
        <w:rPr>
          <w:i/>
        </w:rPr>
        <w:t>MET</w:t>
      </w:r>
      <w:r>
        <w:t>ex14sk testing is not pathologist determinable and is restricted to use in the advanced setting, changes in use of block retrieval services have also been included in the analysis.</w:t>
      </w:r>
    </w:p>
    <w:p w14:paraId="038A4C80" w14:textId="77777777" w:rsidR="004E63D6" w:rsidRDefault="004E63D6" w:rsidP="004E63D6">
      <w:pPr>
        <w:pStyle w:val="Heading3"/>
      </w:pPr>
      <w:bookmarkStart w:id="218" w:name="_Toc109054499"/>
      <w:bookmarkStart w:id="219" w:name="_Toc148531184"/>
      <w:r>
        <w:t xml:space="preserve">Change in use and cost of </w:t>
      </w:r>
      <w:r w:rsidRPr="0050119D">
        <w:rPr>
          <w:i/>
        </w:rPr>
        <w:t>EGFR</w:t>
      </w:r>
      <w:r>
        <w:t xml:space="preserve"> services</w:t>
      </w:r>
      <w:bookmarkEnd w:id="218"/>
      <w:bookmarkEnd w:id="219"/>
    </w:p>
    <w:p w14:paraId="6BA573EF" w14:textId="77777777" w:rsidR="004E63D6" w:rsidRDefault="004E63D6" w:rsidP="004E63D6">
      <w:pPr>
        <w:pStyle w:val="NormalBeforeBullet"/>
      </w:pPr>
      <w:r>
        <w:t xml:space="preserve">The number of </w:t>
      </w:r>
      <w:r w:rsidRPr="00F6018A">
        <w:rPr>
          <w:i/>
        </w:rPr>
        <w:t>EGFR</w:t>
      </w:r>
      <w:r>
        <w:t xml:space="preserve"> services substituted by small gene panel testing was estimated in Section 4.2. The schedule fee for </w:t>
      </w:r>
      <w:r w:rsidRPr="007D6676">
        <w:rPr>
          <w:i/>
        </w:rPr>
        <w:t>EGFR</w:t>
      </w:r>
      <w:r>
        <w:t xml:space="preserve"> testing is $397.35. As indicated in Section 4.2, 32% of services are expected to incur the 75% MBS benefit, and so the weighted cost of </w:t>
      </w:r>
      <w:r w:rsidRPr="007D6676">
        <w:rPr>
          <w:i/>
        </w:rPr>
        <w:t>EGFR</w:t>
      </w:r>
      <w:r>
        <w:t xml:space="preserve"> testing to the MBS is $325.13.</w:t>
      </w:r>
      <w:r>
        <w:rPr>
          <w:rStyle w:val="FootnoteReference"/>
        </w:rPr>
        <w:footnoteReference w:id="22"/>
      </w:r>
    </w:p>
    <w:p w14:paraId="455D82D2" w14:textId="7A90017D" w:rsidR="004E63D6" w:rsidRDefault="004E63D6" w:rsidP="004E63D6">
      <w:pPr>
        <w:pStyle w:val="Caption"/>
      </w:pPr>
      <w:r w:rsidRPr="00CE28E3">
        <w:lastRenderedPageBreak/>
        <w:t>Table</w:t>
      </w:r>
      <w:r>
        <w:t> </w:t>
      </w:r>
      <w:fldSimple w:instr=" SEQ Table \* ARABIC ">
        <w:r w:rsidR="00C857F3">
          <w:rPr>
            <w:noProof/>
          </w:rPr>
          <w:t>63</w:t>
        </w:r>
      </w:fldSimple>
      <w:r w:rsidRPr="00CE28E3">
        <w:tab/>
      </w:r>
      <w:r>
        <w:t xml:space="preserve">Reduction in use and cost of </w:t>
      </w:r>
      <w:r w:rsidRPr="00AC16DD">
        <w:rPr>
          <w:i/>
        </w:rPr>
        <w:t>EGFR</w:t>
      </w:r>
      <w:r>
        <w:t xml:space="preserve"> testing</w:t>
      </w:r>
    </w:p>
    <w:tbl>
      <w:tblPr>
        <w:tblStyle w:val="TableGrid1"/>
        <w:tblW w:w="5000" w:type="pct"/>
        <w:tblLayout w:type="fixed"/>
        <w:tblLook w:val="04A0" w:firstRow="1" w:lastRow="0" w:firstColumn="1" w:lastColumn="0" w:noHBand="0" w:noVBand="1"/>
        <w:tblCaption w:val="Reduction in use and cost of EGFR testing"/>
        <w:tblDescription w:val="Reduction in use and cost of EGFR testing"/>
      </w:tblPr>
      <w:tblGrid>
        <w:gridCol w:w="2688"/>
        <w:gridCol w:w="1055"/>
        <w:gridCol w:w="1055"/>
        <w:gridCol w:w="1055"/>
        <w:gridCol w:w="1055"/>
        <w:gridCol w:w="1055"/>
        <w:gridCol w:w="1053"/>
      </w:tblGrid>
      <w:tr w:rsidR="004E63D6" w:rsidRPr="0085115F" w14:paraId="4AEA401E" w14:textId="77777777" w:rsidTr="00F56CC8">
        <w:trPr>
          <w:cnfStyle w:val="100000000000" w:firstRow="1" w:lastRow="0" w:firstColumn="0" w:lastColumn="0" w:oddVBand="0" w:evenVBand="0" w:oddHBand="0" w:evenHBand="0" w:firstRowFirstColumn="0" w:firstRowLastColumn="0" w:lastRowFirstColumn="0" w:lastRowLastColumn="0"/>
          <w:trHeight w:val="300"/>
          <w:tblHeader/>
        </w:trPr>
        <w:tc>
          <w:tcPr>
            <w:tcW w:w="1491" w:type="pct"/>
            <w:noWrap/>
            <w:hideMark/>
          </w:tcPr>
          <w:p w14:paraId="2F709AD1" w14:textId="77777777" w:rsidR="004E63D6" w:rsidRPr="0085115F" w:rsidRDefault="004E63D6" w:rsidP="00247A5F">
            <w:pPr>
              <w:pStyle w:val="TableHeading"/>
            </w:pPr>
          </w:p>
        </w:tc>
        <w:tc>
          <w:tcPr>
            <w:tcW w:w="585" w:type="pct"/>
            <w:noWrap/>
            <w:hideMark/>
          </w:tcPr>
          <w:p w14:paraId="0DF00651" w14:textId="77777777" w:rsidR="004E63D6" w:rsidRPr="0085115F" w:rsidRDefault="004E63D6" w:rsidP="00247A5F">
            <w:pPr>
              <w:pStyle w:val="TableHeading"/>
              <w:jc w:val="center"/>
            </w:pPr>
            <w:r w:rsidRPr="0085115F">
              <w:t>2023</w:t>
            </w:r>
          </w:p>
        </w:tc>
        <w:tc>
          <w:tcPr>
            <w:tcW w:w="585" w:type="pct"/>
            <w:noWrap/>
            <w:hideMark/>
          </w:tcPr>
          <w:p w14:paraId="4C2F025B" w14:textId="77777777" w:rsidR="004E63D6" w:rsidRPr="0085115F" w:rsidRDefault="004E63D6" w:rsidP="00247A5F">
            <w:pPr>
              <w:pStyle w:val="TableHeading"/>
              <w:jc w:val="center"/>
            </w:pPr>
            <w:r w:rsidRPr="0085115F">
              <w:t>2024</w:t>
            </w:r>
          </w:p>
        </w:tc>
        <w:tc>
          <w:tcPr>
            <w:tcW w:w="585" w:type="pct"/>
            <w:noWrap/>
            <w:hideMark/>
          </w:tcPr>
          <w:p w14:paraId="427A27FD" w14:textId="77777777" w:rsidR="004E63D6" w:rsidRPr="0085115F" w:rsidRDefault="004E63D6" w:rsidP="00247A5F">
            <w:pPr>
              <w:pStyle w:val="TableHeading"/>
              <w:jc w:val="center"/>
            </w:pPr>
            <w:r w:rsidRPr="0085115F">
              <w:t>2025</w:t>
            </w:r>
          </w:p>
        </w:tc>
        <w:tc>
          <w:tcPr>
            <w:tcW w:w="585" w:type="pct"/>
            <w:noWrap/>
            <w:hideMark/>
          </w:tcPr>
          <w:p w14:paraId="635CE0F6" w14:textId="77777777" w:rsidR="004E63D6" w:rsidRPr="0085115F" w:rsidRDefault="004E63D6" w:rsidP="00247A5F">
            <w:pPr>
              <w:pStyle w:val="TableHeading"/>
              <w:jc w:val="center"/>
            </w:pPr>
            <w:r w:rsidRPr="0085115F">
              <w:t>2026</w:t>
            </w:r>
          </w:p>
        </w:tc>
        <w:tc>
          <w:tcPr>
            <w:tcW w:w="585" w:type="pct"/>
            <w:noWrap/>
            <w:hideMark/>
          </w:tcPr>
          <w:p w14:paraId="7D2F2537" w14:textId="77777777" w:rsidR="004E63D6" w:rsidRPr="0085115F" w:rsidRDefault="004E63D6" w:rsidP="00247A5F">
            <w:pPr>
              <w:pStyle w:val="TableHeading"/>
              <w:jc w:val="center"/>
            </w:pPr>
            <w:r w:rsidRPr="0085115F">
              <w:t>2027</w:t>
            </w:r>
          </w:p>
        </w:tc>
        <w:tc>
          <w:tcPr>
            <w:tcW w:w="584" w:type="pct"/>
            <w:noWrap/>
            <w:hideMark/>
          </w:tcPr>
          <w:p w14:paraId="14B3A5BF" w14:textId="77777777" w:rsidR="004E63D6" w:rsidRPr="0085115F" w:rsidRDefault="004E63D6" w:rsidP="00247A5F">
            <w:pPr>
              <w:pStyle w:val="TableHeading"/>
              <w:jc w:val="center"/>
            </w:pPr>
            <w:r w:rsidRPr="0085115F">
              <w:t>2028</w:t>
            </w:r>
          </w:p>
        </w:tc>
      </w:tr>
      <w:tr w:rsidR="004E63D6" w:rsidRPr="0085115F" w14:paraId="509E58B9" w14:textId="77777777" w:rsidTr="00CA410A">
        <w:trPr>
          <w:trHeight w:val="300"/>
        </w:trPr>
        <w:tc>
          <w:tcPr>
            <w:tcW w:w="1491" w:type="pct"/>
            <w:noWrap/>
            <w:hideMark/>
          </w:tcPr>
          <w:p w14:paraId="17AA8D6D" w14:textId="21270C84" w:rsidR="004E63D6" w:rsidRPr="0085115F" w:rsidRDefault="004E63D6" w:rsidP="00247A5F">
            <w:pPr>
              <w:pStyle w:val="TableText"/>
              <w:keepNext/>
            </w:pPr>
            <w:r>
              <w:t xml:space="preserve">Projected reduction in </w:t>
            </w:r>
            <w:r w:rsidRPr="0085115F">
              <w:rPr>
                <w:i/>
              </w:rPr>
              <w:t>EGFR</w:t>
            </w:r>
            <w:r>
              <w:t xml:space="preserve"> services [Row B, </w:t>
            </w:r>
            <w:r>
              <w:fldChar w:fldCharType="begin"/>
            </w:r>
            <w:r>
              <w:instrText xml:space="preserve"> REF _Ref108603626 \h </w:instrText>
            </w:r>
            <w:r>
              <w:fldChar w:fldCharType="separate"/>
            </w:r>
            <w:r w:rsidR="00C857F3" w:rsidRPr="00CE28E3">
              <w:t>Table</w:t>
            </w:r>
            <w:r w:rsidR="00C857F3">
              <w:t> </w:t>
            </w:r>
            <w:r w:rsidR="00C857F3">
              <w:rPr>
                <w:noProof/>
              </w:rPr>
              <w:t>61</w:t>
            </w:r>
            <w:r>
              <w:fldChar w:fldCharType="end"/>
            </w:r>
            <w:r>
              <w:t>]</w:t>
            </w:r>
          </w:p>
        </w:tc>
        <w:tc>
          <w:tcPr>
            <w:tcW w:w="585" w:type="pct"/>
            <w:noWrap/>
            <w:hideMark/>
          </w:tcPr>
          <w:p w14:paraId="05004FDD" w14:textId="77777777" w:rsidR="004E63D6" w:rsidRPr="0085115F" w:rsidRDefault="004E63D6" w:rsidP="00247A5F">
            <w:pPr>
              <w:pStyle w:val="TableText"/>
              <w:keepNext/>
              <w:jc w:val="right"/>
            </w:pPr>
            <w:r w:rsidRPr="0085115F">
              <w:t>5,521</w:t>
            </w:r>
          </w:p>
        </w:tc>
        <w:tc>
          <w:tcPr>
            <w:tcW w:w="585" w:type="pct"/>
            <w:noWrap/>
            <w:hideMark/>
          </w:tcPr>
          <w:p w14:paraId="78048CC6" w14:textId="77777777" w:rsidR="004E63D6" w:rsidRPr="0085115F" w:rsidRDefault="004E63D6" w:rsidP="00247A5F">
            <w:pPr>
              <w:pStyle w:val="TableText"/>
              <w:keepNext/>
              <w:jc w:val="right"/>
            </w:pPr>
            <w:r w:rsidRPr="0085115F">
              <w:t>5,797</w:t>
            </w:r>
          </w:p>
        </w:tc>
        <w:tc>
          <w:tcPr>
            <w:tcW w:w="585" w:type="pct"/>
            <w:noWrap/>
            <w:hideMark/>
          </w:tcPr>
          <w:p w14:paraId="619990AC" w14:textId="77777777" w:rsidR="004E63D6" w:rsidRPr="0085115F" w:rsidRDefault="004E63D6" w:rsidP="00247A5F">
            <w:pPr>
              <w:pStyle w:val="TableText"/>
              <w:keepNext/>
              <w:jc w:val="right"/>
            </w:pPr>
            <w:r w:rsidRPr="0085115F">
              <w:t>6,074</w:t>
            </w:r>
          </w:p>
        </w:tc>
        <w:tc>
          <w:tcPr>
            <w:tcW w:w="585" w:type="pct"/>
            <w:noWrap/>
            <w:hideMark/>
          </w:tcPr>
          <w:p w14:paraId="5B50035B" w14:textId="77777777" w:rsidR="004E63D6" w:rsidRPr="0085115F" w:rsidRDefault="004E63D6" w:rsidP="00247A5F">
            <w:pPr>
              <w:pStyle w:val="TableText"/>
              <w:keepNext/>
              <w:jc w:val="right"/>
            </w:pPr>
            <w:r w:rsidRPr="0085115F">
              <w:t>6,351</w:t>
            </w:r>
          </w:p>
        </w:tc>
        <w:tc>
          <w:tcPr>
            <w:tcW w:w="585" w:type="pct"/>
            <w:noWrap/>
            <w:hideMark/>
          </w:tcPr>
          <w:p w14:paraId="279D90FA" w14:textId="77777777" w:rsidR="004E63D6" w:rsidRPr="0085115F" w:rsidRDefault="004E63D6" w:rsidP="00247A5F">
            <w:pPr>
              <w:pStyle w:val="TableText"/>
              <w:keepNext/>
              <w:jc w:val="right"/>
            </w:pPr>
            <w:r w:rsidRPr="0085115F">
              <w:t>6,628</w:t>
            </w:r>
          </w:p>
        </w:tc>
        <w:tc>
          <w:tcPr>
            <w:tcW w:w="584" w:type="pct"/>
            <w:noWrap/>
            <w:hideMark/>
          </w:tcPr>
          <w:p w14:paraId="62CF9545" w14:textId="77777777" w:rsidR="004E63D6" w:rsidRPr="0085115F" w:rsidRDefault="004E63D6" w:rsidP="00247A5F">
            <w:pPr>
              <w:pStyle w:val="TableText"/>
              <w:keepNext/>
              <w:jc w:val="right"/>
            </w:pPr>
            <w:r w:rsidRPr="0085115F">
              <w:t>6,905</w:t>
            </w:r>
          </w:p>
        </w:tc>
      </w:tr>
      <w:tr w:rsidR="004E63D6" w:rsidRPr="0085115F" w14:paraId="5FAC20D2" w14:textId="77777777" w:rsidTr="00CA410A">
        <w:trPr>
          <w:trHeight w:val="300"/>
        </w:trPr>
        <w:tc>
          <w:tcPr>
            <w:tcW w:w="1491" w:type="pct"/>
            <w:noWrap/>
            <w:hideMark/>
          </w:tcPr>
          <w:p w14:paraId="65BE972F" w14:textId="77777777" w:rsidR="004E63D6" w:rsidRPr="0085115F" w:rsidRDefault="004E63D6" w:rsidP="00247A5F">
            <w:pPr>
              <w:pStyle w:val="TableText"/>
              <w:keepNext/>
            </w:pPr>
            <w:r w:rsidRPr="0085115F">
              <w:t xml:space="preserve">Reduction in cost of </w:t>
            </w:r>
            <w:r w:rsidRPr="0085115F">
              <w:rPr>
                <w:i/>
              </w:rPr>
              <w:t>EGFR</w:t>
            </w:r>
            <w:r w:rsidRPr="0085115F">
              <w:t xml:space="preserve"> testing to the MBS ($</w:t>
            </w:r>
            <w:r>
              <w:t>325.13</w:t>
            </w:r>
            <w:r w:rsidRPr="0085115F">
              <w:t xml:space="preserve"> per service)</w:t>
            </w:r>
            <w:r w:rsidRPr="00B47786">
              <w:rPr>
                <w:vertAlign w:val="superscript"/>
              </w:rPr>
              <w:t>a</w:t>
            </w:r>
          </w:p>
        </w:tc>
        <w:tc>
          <w:tcPr>
            <w:tcW w:w="585" w:type="pct"/>
            <w:noWrap/>
            <w:hideMark/>
          </w:tcPr>
          <w:p w14:paraId="5BBAC814" w14:textId="77777777" w:rsidR="004E63D6" w:rsidRPr="0085115F" w:rsidRDefault="004E63D6" w:rsidP="00247A5F">
            <w:pPr>
              <w:pStyle w:val="TableText"/>
              <w:keepNext/>
              <w:jc w:val="right"/>
            </w:pPr>
            <w:r w:rsidRPr="00AF6709">
              <w:t>$1,794,855</w:t>
            </w:r>
          </w:p>
        </w:tc>
        <w:tc>
          <w:tcPr>
            <w:tcW w:w="585" w:type="pct"/>
            <w:noWrap/>
            <w:hideMark/>
          </w:tcPr>
          <w:p w14:paraId="279A9796" w14:textId="77777777" w:rsidR="004E63D6" w:rsidRPr="0085115F" w:rsidRDefault="004E63D6" w:rsidP="00247A5F">
            <w:pPr>
              <w:pStyle w:val="TableText"/>
              <w:keepNext/>
              <w:jc w:val="right"/>
            </w:pPr>
            <w:r w:rsidRPr="00AF6709">
              <w:t>$1,884,891</w:t>
            </w:r>
          </w:p>
        </w:tc>
        <w:tc>
          <w:tcPr>
            <w:tcW w:w="585" w:type="pct"/>
            <w:noWrap/>
            <w:hideMark/>
          </w:tcPr>
          <w:p w14:paraId="70B613AE" w14:textId="77777777" w:rsidR="004E63D6" w:rsidRPr="0085115F" w:rsidRDefault="004E63D6" w:rsidP="00247A5F">
            <w:pPr>
              <w:pStyle w:val="TableText"/>
              <w:keepNext/>
              <w:jc w:val="right"/>
            </w:pPr>
            <w:r w:rsidRPr="00AF6709">
              <w:t>$1,974,928</w:t>
            </w:r>
          </w:p>
        </w:tc>
        <w:tc>
          <w:tcPr>
            <w:tcW w:w="585" w:type="pct"/>
            <w:noWrap/>
            <w:hideMark/>
          </w:tcPr>
          <w:p w14:paraId="141DF146" w14:textId="77777777" w:rsidR="004E63D6" w:rsidRPr="0085115F" w:rsidRDefault="004E63D6" w:rsidP="00247A5F">
            <w:pPr>
              <w:pStyle w:val="TableText"/>
              <w:keepNext/>
              <w:jc w:val="right"/>
            </w:pPr>
            <w:r w:rsidRPr="00AF6709">
              <w:t>$2,064,964</w:t>
            </w:r>
          </w:p>
        </w:tc>
        <w:tc>
          <w:tcPr>
            <w:tcW w:w="585" w:type="pct"/>
            <w:noWrap/>
            <w:hideMark/>
          </w:tcPr>
          <w:p w14:paraId="5BBDD608" w14:textId="77777777" w:rsidR="004E63D6" w:rsidRPr="0085115F" w:rsidRDefault="004E63D6" w:rsidP="00247A5F">
            <w:pPr>
              <w:pStyle w:val="TableText"/>
              <w:keepNext/>
              <w:jc w:val="right"/>
            </w:pPr>
            <w:r w:rsidRPr="00AF6709">
              <w:t>$2,155,001</w:t>
            </w:r>
          </w:p>
        </w:tc>
        <w:tc>
          <w:tcPr>
            <w:tcW w:w="584" w:type="pct"/>
            <w:noWrap/>
            <w:hideMark/>
          </w:tcPr>
          <w:p w14:paraId="1CC8D550" w14:textId="77777777" w:rsidR="004E63D6" w:rsidRPr="0085115F" w:rsidRDefault="004E63D6" w:rsidP="00247A5F">
            <w:pPr>
              <w:pStyle w:val="TableText"/>
              <w:keepNext/>
              <w:jc w:val="right"/>
            </w:pPr>
            <w:r w:rsidRPr="00AF6709">
              <w:t>$2,245,037</w:t>
            </w:r>
          </w:p>
        </w:tc>
      </w:tr>
    </w:tbl>
    <w:p w14:paraId="6974126C" w14:textId="77777777" w:rsidR="004E63D6" w:rsidRDefault="004E63D6" w:rsidP="004E63D6">
      <w:pPr>
        <w:pStyle w:val="TableFooter"/>
      </w:pPr>
      <w:r>
        <w:t>Source: ‘Section 4.3’ worksheet of the ‘1721 financial impact.xlsx’ workbook accompanying the DCAR.</w:t>
      </w:r>
    </w:p>
    <w:p w14:paraId="24F395EC" w14:textId="77777777" w:rsidR="004E63D6" w:rsidRDefault="004E63D6" w:rsidP="004E63D6">
      <w:pPr>
        <w:pStyle w:val="TableFooter"/>
      </w:pPr>
      <w:r w:rsidRPr="00A81F01">
        <w:rPr>
          <w:i/>
        </w:rPr>
        <w:t>EGFR</w:t>
      </w:r>
      <w:r>
        <w:t xml:space="preserve"> = </w:t>
      </w:r>
      <w:r w:rsidRPr="00A81F01">
        <w:t>epidermal growth factor receptor</w:t>
      </w:r>
      <w:r>
        <w:t>.</w:t>
      </w:r>
    </w:p>
    <w:p w14:paraId="2FCB4CA9" w14:textId="77777777" w:rsidR="004E63D6" w:rsidRDefault="004E63D6" w:rsidP="004E63D6">
      <w:pPr>
        <w:pStyle w:val="TableFooter"/>
      </w:pPr>
      <w:r w:rsidRPr="00D457EE">
        <w:rPr>
          <w:vertAlign w:val="superscript"/>
        </w:rPr>
        <w:t>a</w:t>
      </w:r>
      <w:r>
        <w:t xml:space="preserve"> 31.8</w:t>
      </w:r>
      <w:r w:rsidRPr="00B47786">
        <w:t>% × $298.05 [75% MBS benefit] +</w:t>
      </w:r>
      <w:r>
        <w:t>68.2</w:t>
      </w:r>
      <w:r w:rsidRPr="00B47786">
        <w:t>% × $337.75 [85% MBS benefit]</w:t>
      </w:r>
    </w:p>
    <w:p w14:paraId="2548C5A4" w14:textId="77777777" w:rsidR="004E63D6" w:rsidRDefault="004E63D6" w:rsidP="004E63D6">
      <w:pPr>
        <w:pStyle w:val="Heading3"/>
      </w:pPr>
      <w:bookmarkStart w:id="220" w:name="_Toc109054500"/>
      <w:bookmarkStart w:id="221" w:name="_Toc148531185"/>
      <w:r>
        <w:t xml:space="preserve">Change in use and cost of </w:t>
      </w:r>
      <w:r w:rsidRPr="0050119D">
        <w:rPr>
          <w:i/>
        </w:rPr>
        <w:t>ALK</w:t>
      </w:r>
      <w:r>
        <w:t xml:space="preserve"> and </w:t>
      </w:r>
      <w:r w:rsidRPr="0050119D">
        <w:rPr>
          <w:i/>
        </w:rPr>
        <w:t>ROS1</w:t>
      </w:r>
      <w:r>
        <w:t xml:space="preserve"> FISH services</w:t>
      </w:r>
      <w:bookmarkEnd w:id="220"/>
      <w:bookmarkEnd w:id="221"/>
    </w:p>
    <w:p w14:paraId="73D2DAAC" w14:textId="3D508FED" w:rsidR="004E63D6" w:rsidRDefault="004E63D6" w:rsidP="004E63D6">
      <w:pPr>
        <w:pStyle w:val="NormalBeforeBullet"/>
      </w:pPr>
      <w:r>
        <w:t xml:space="preserve">MBS statistics for the use of </w:t>
      </w:r>
      <w:r w:rsidRPr="00BB69A5">
        <w:rPr>
          <w:i/>
        </w:rPr>
        <w:t>ALK</w:t>
      </w:r>
      <w:r>
        <w:t xml:space="preserve"> FISH testing (item 73341), 2016−2021, are presented in </w:t>
      </w:r>
      <w:r>
        <w:fldChar w:fldCharType="begin"/>
      </w:r>
      <w:r>
        <w:instrText xml:space="preserve"> REF _Ref108605306 \h </w:instrText>
      </w:r>
      <w:r>
        <w:fldChar w:fldCharType="separate"/>
      </w:r>
      <w:r w:rsidR="00C857F3" w:rsidRPr="00CE28E3">
        <w:t>Table</w:t>
      </w:r>
      <w:r w:rsidR="00C857F3">
        <w:t> </w:t>
      </w:r>
      <w:r w:rsidR="00C857F3">
        <w:rPr>
          <w:noProof/>
        </w:rPr>
        <w:t>64</w:t>
      </w:r>
      <w:r>
        <w:fldChar w:fldCharType="end"/>
      </w:r>
      <w:r>
        <w:t xml:space="preserve">. </w:t>
      </w:r>
    </w:p>
    <w:p w14:paraId="7B1BFE3A" w14:textId="267AE408" w:rsidR="004E63D6" w:rsidRDefault="004E63D6" w:rsidP="004E63D6">
      <w:pPr>
        <w:pStyle w:val="Caption"/>
      </w:pPr>
      <w:bookmarkStart w:id="222" w:name="_Ref108605306"/>
      <w:r w:rsidRPr="00CE28E3">
        <w:t>Table</w:t>
      </w:r>
      <w:r>
        <w:t> </w:t>
      </w:r>
      <w:fldSimple w:instr=" SEQ Table \* ARABIC ">
        <w:r w:rsidR="00C857F3">
          <w:rPr>
            <w:noProof/>
          </w:rPr>
          <w:t>64</w:t>
        </w:r>
      </w:fldSimple>
      <w:bookmarkEnd w:id="222"/>
      <w:r w:rsidRPr="00CE28E3">
        <w:tab/>
      </w:r>
      <w:r>
        <w:t>Use of MBS item 73341, 2016−2021</w:t>
      </w:r>
    </w:p>
    <w:tbl>
      <w:tblPr>
        <w:tblStyle w:val="TableGrid"/>
        <w:tblW w:w="5000" w:type="pct"/>
        <w:tblLook w:val="04A0" w:firstRow="1" w:lastRow="0" w:firstColumn="1" w:lastColumn="0" w:noHBand="0" w:noVBand="1"/>
        <w:tblCaption w:val="Use of MBS item 73341, 2016−2021"/>
        <w:tblDescription w:val="Use of MBS item 73341, 2016−2021"/>
      </w:tblPr>
      <w:tblGrid>
        <w:gridCol w:w="1609"/>
        <w:gridCol w:w="1235"/>
        <w:gridCol w:w="1235"/>
        <w:gridCol w:w="1235"/>
        <w:gridCol w:w="1235"/>
        <w:gridCol w:w="1235"/>
        <w:gridCol w:w="1232"/>
      </w:tblGrid>
      <w:tr w:rsidR="004E63D6" w:rsidRPr="00507A6B" w14:paraId="0D4F4F33" w14:textId="77777777" w:rsidTr="00EC7F4B">
        <w:trPr>
          <w:tblHeader/>
        </w:trPr>
        <w:tc>
          <w:tcPr>
            <w:tcW w:w="892" w:type="pct"/>
          </w:tcPr>
          <w:p w14:paraId="7BF5001C" w14:textId="77777777" w:rsidR="004E63D6" w:rsidRPr="00507A6B" w:rsidRDefault="004E63D6" w:rsidP="00CA410A">
            <w:pPr>
              <w:pStyle w:val="TableHeading"/>
              <w:jc w:val="center"/>
            </w:pPr>
          </w:p>
        </w:tc>
        <w:tc>
          <w:tcPr>
            <w:tcW w:w="685" w:type="pct"/>
          </w:tcPr>
          <w:p w14:paraId="01123AEC" w14:textId="77777777" w:rsidR="004E63D6" w:rsidRPr="00507A6B" w:rsidRDefault="004E63D6" w:rsidP="00CA410A">
            <w:pPr>
              <w:pStyle w:val="TableHeading"/>
              <w:jc w:val="center"/>
            </w:pPr>
            <w:r w:rsidRPr="00507A6B">
              <w:t>2016</w:t>
            </w:r>
          </w:p>
        </w:tc>
        <w:tc>
          <w:tcPr>
            <w:tcW w:w="685" w:type="pct"/>
          </w:tcPr>
          <w:p w14:paraId="336B0FE1" w14:textId="77777777" w:rsidR="004E63D6" w:rsidRPr="00507A6B" w:rsidRDefault="004E63D6" w:rsidP="00CA410A">
            <w:pPr>
              <w:pStyle w:val="TableHeading"/>
              <w:jc w:val="center"/>
            </w:pPr>
            <w:r w:rsidRPr="00507A6B">
              <w:t>2017</w:t>
            </w:r>
          </w:p>
        </w:tc>
        <w:tc>
          <w:tcPr>
            <w:tcW w:w="685" w:type="pct"/>
          </w:tcPr>
          <w:p w14:paraId="2D4D01A8" w14:textId="77777777" w:rsidR="004E63D6" w:rsidRPr="00507A6B" w:rsidRDefault="004E63D6" w:rsidP="00CA410A">
            <w:pPr>
              <w:pStyle w:val="TableHeading"/>
              <w:jc w:val="center"/>
            </w:pPr>
            <w:r w:rsidRPr="00507A6B">
              <w:t>2018</w:t>
            </w:r>
          </w:p>
        </w:tc>
        <w:tc>
          <w:tcPr>
            <w:tcW w:w="685" w:type="pct"/>
          </w:tcPr>
          <w:p w14:paraId="7E4563FB" w14:textId="77777777" w:rsidR="004E63D6" w:rsidRPr="00507A6B" w:rsidRDefault="004E63D6" w:rsidP="00CA410A">
            <w:pPr>
              <w:pStyle w:val="TableHeading"/>
              <w:jc w:val="center"/>
            </w:pPr>
            <w:r w:rsidRPr="00507A6B">
              <w:t>2019</w:t>
            </w:r>
          </w:p>
        </w:tc>
        <w:tc>
          <w:tcPr>
            <w:tcW w:w="685" w:type="pct"/>
          </w:tcPr>
          <w:p w14:paraId="4719837D" w14:textId="77777777" w:rsidR="004E63D6" w:rsidRPr="00507A6B" w:rsidRDefault="004E63D6" w:rsidP="00CA410A">
            <w:pPr>
              <w:pStyle w:val="TableHeading"/>
              <w:jc w:val="center"/>
            </w:pPr>
            <w:r w:rsidRPr="00507A6B">
              <w:t>2020</w:t>
            </w:r>
          </w:p>
        </w:tc>
        <w:tc>
          <w:tcPr>
            <w:tcW w:w="684" w:type="pct"/>
          </w:tcPr>
          <w:p w14:paraId="38D638D7" w14:textId="77777777" w:rsidR="004E63D6" w:rsidRPr="00507A6B" w:rsidRDefault="004E63D6" w:rsidP="00CA410A">
            <w:pPr>
              <w:pStyle w:val="TableHeading"/>
              <w:jc w:val="center"/>
            </w:pPr>
            <w:r w:rsidRPr="00507A6B">
              <w:t>2021</w:t>
            </w:r>
          </w:p>
        </w:tc>
      </w:tr>
      <w:tr w:rsidR="004E63D6" w:rsidRPr="00507A6B" w14:paraId="77F61FCB" w14:textId="77777777" w:rsidTr="00CA410A">
        <w:tc>
          <w:tcPr>
            <w:tcW w:w="892" w:type="pct"/>
          </w:tcPr>
          <w:p w14:paraId="369E08C2" w14:textId="77777777" w:rsidR="004E63D6" w:rsidRPr="00507A6B" w:rsidRDefault="004E63D6" w:rsidP="00CA410A">
            <w:pPr>
              <w:pStyle w:val="TableText"/>
            </w:pPr>
            <w:r w:rsidRPr="00507A6B">
              <w:t>No. services</w:t>
            </w:r>
          </w:p>
        </w:tc>
        <w:tc>
          <w:tcPr>
            <w:tcW w:w="685" w:type="pct"/>
          </w:tcPr>
          <w:p w14:paraId="67C2BAEA" w14:textId="77777777" w:rsidR="004E63D6" w:rsidRPr="00507A6B" w:rsidRDefault="004E63D6" w:rsidP="00CA410A">
            <w:pPr>
              <w:pStyle w:val="TableText"/>
              <w:jc w:val="center"/>
            </w:pPr>
            <w:r>
              <w:t>188</w:t>
            </w:r>
          </w:p>
        </w:tc>
        <w:tc>
          <w:tcPr>
            <w:tcW w:w="685" w:type="pct"/>
          </w:tcPr>
          <w:p w14:paraId="348984F1" w14:textId="77777777" w:rsidR="004E63D6" w:rsidRPr="00507A6B" w:rsidRDefault="004E63D6" w:rsidP="00CA410A">
            <w:pPr>
              <w:pStyle w:val="TableText"/>
              <w:jc w:val="center"/>
            </w:pPr>
            <w:r>
              <w:t>305</w:t>
            </w:r>
          </w:p>
        </w:tc>
        <w:tc>
          <w:tcPr>
            <w:tcW w:w="685" w:type="pct"/>
          </w:tcPr>
          <w:p w14:paraId="1ABDD48A" w14:textId="77777777" w:rsidR="004E63D6" w:rsidRPr="00507A6B" w:rsidRDefault="004E63D6" w:rsidP="00CA410A">
            <w:pPr>
              <w:pStyle w:val="TableText"/>
              <w:jc w:val="center"/>
            </w:pPr>
            <w:r>
              <w:t>292</w:t>
            </w:r>
          </w:p>
        </w:tc>
        <w:tc>
          <w:tcPr>
            <w:tcW w:w="685" w:type="pct"/>
          </w:tcPr>
          <w:p w14:paraId="7F8F7471" w14:textId="77777777" w:rsidR="004E63D6" w:rsidRPr="00507A6B" w:rsidRDefault="004E63D6" w:rsidP="00CA410A">
            <w:pPr>
              <w:pStyle w:val="TableText"/>
              <w:jc w:val="center"/>
            </w:pPr>
            <w:r>
              <w:t>201</w:t>
            </w:r>
          </w:p>
        </w:tc>
        <w:tc>
          <w:tcPr>
            <w:tcW w:w="685" w:type="pct"/>
          </w:tcPr>
          <w:p w14:paraId="3D7309BD" w14:textId="77777777" w:rsidR="004E63D6" w:rsidRPr="00507A6B" w:rsidRDefault="004E63D6" w:rsidP="00CA410A">
            <w:pPr>
              <w:pStyle w:val="TableText"/>
              <w:jc w:val="center"/>
            </w:pPr>
            <w:r>
              <w:t>222</w:t>
            </w:r>
          </w:p>
        </w:tc>
        <w:tc>
          <w:tcPr>
            <w:tcW w:w="684" w:type="pct"/>
          </w:tcPr>
          <w:p w14:paraId="014966B7" w14:textId="77777777" w:rsidR="004E63D6" w:rsidRPr="00507A6B" w:rsidRDefault="004E63D6" w:rsidP="00CA410A">
            <w:pPr>
              <w:pStyle w:val="TableText"/>
              <w:jc w:val="center"/>
            </w:pPr>
            <w:r>
              <w:t>216</w:t>
            </w:r>
          </w:p>
        </w:tc>
      </w:tr>
      <w:tr w:rsidR="004E63D6" w:rsidRPr="00507A6B" w14:paraId="555A1299" w14:textId="77777777" w:rsidTr="00CA410A">
        <w:tc>
          <w:tcPr>
            <w:tcW w:w="892" w:type="pct"/>
          </w:tcPr>
          <w:p w14:paraId="382E9A1F" w14:textId="77777777" w:rsidR="004E63D6" w:rsidRPr="00507A6B" w:rsidRDefault="004E63D6" w:rsidP="00CA410A">
            <w:pPr>
              <w:pStyle w:val="TableText"/>
            </w:pPr>
            <w:r>
              <w:t xml:space="preserve">As a proportion of </w:t>
            </w:r>
            <w:r w:rsidRPr="00555BED">
              <w:rPr>
                <w:i/>
              </w:rPr>
              <w:t>EGFR</w:t>
            </w:r>
            <w:r>
              <w:t xml:space="preserve"> services</w:t>
            </w:r>
          </w:p>
        </w:tc>
        <w:tc>
          <w:tcPr>
            <w:tcW w:w="685" w:type="pct"/>
          </w:tcPr>
          <w:p w14:paraId="6EDB6183" w14:textId="77777777" w:rsidR="004E63D6" w:rsidRDefault="004E63D6" w:rsidP="00CA410A">
            <w:pPr>
              <w:pStyle w:val="TableText"/>
              <w:jc w:val="center"/>
            </w:pPr>
            <w:r>
              <w:t>5.5%</w:t>
            </w:r>
          </w:p>
        </w:tc>
        <w:tc>
          <w:tcPr>
            <w:tcW w:w="685" w:type="pct"/>
          </w:tcPr>
          <w:p w14:paraId="7138DF04" w14:textId="77777777" w:rsidR="004E63D6" w:rsidRDefault="004E63D6" w:rsidP="00CA410A">
            <w:pPr>
              <w:pStyle w:val="TableText"/>
              <w:jc w:val="center"/>
            </w:pPr>
            <w:r>
              <w:t>7.9%</w:t>
            </w:r>
          </w:p>
        </w:tc>
        <w:tc>
          <w:tcPr>
            <w:tcW w:w="685" w:type="pct"/>
          </w:tcPr>
          <w:p w14:paraId="2DD0832E" w14:textId="77777777" w:rsidR="004E63D6" w:rsidRDefault="004E63D6" w:rsidP="00CA410A">
            <w:pPr>
              <w:pStyle w:val="TableText"/>
              <w:jc w:val="center"/>
            </w:pPr>
            <w:r>
              <w:t>7.0%</w:t>
            </w:r>
          </w:p>
        </w:tc>
        <w:tc>
          <w:tcPr>
            <w:tcW w:w="685" w:type="pct"/>
          </w:tcPr>
          <w:p w14:paraId="334556C0" w14:textId="77777777" w:rsidR="004E63D6" w:rsidRDefault="004E63D6" w:rsidP="00CA410A">
            <w:pPr>
              <w:pStyle w:val="TableText"/>
              <w:jc w:val="center"/>
            </w:pPr>
            <w:r>
              <w:t>4.4%</w:t>
            </w:r>
          </w:p>
        </w:tc>
        <w:tc>
          <w:tcPr>
            <w:tcW w:w="685" w:type="pct"/>
          </w:tcPr>
          <w:p w14:paraId="061DD1D4" w14:textId="77777777" w:rsidR="004E63D6" w:rsidRDefault="004E63D6" w:rsidP="00CA410A">
            <w:pPr>
              <w:pStyle w:val="TableText"/>
              <w:jc w:val="center"/>
            </w:pPr>
            <w:r>
              <w:t>4.7%</w:t>
            </w:r>
          </w:p>
        </w:tc>
        <w:tc>
          <w:tcPr>
            <w:tcW w:w="684" w:type="pct"/>
          </w:tcPr>
          <w:p w14:paraId="41076FD5" w14:textId="77777777" w:rsidR="004E63D6" w:rsidRDefault="004E63D6" w:rsidP="00CA410A">
            <w:pPr>
              <w:pStyle w:val="TableText"/>
              <w:jc w:val="center"/>
            </w:pPr>
            <w:r>
              <w:t>4.4%</w:t>
            </w:r>
          </w:p>
        </w:tc>
      </w:tr>
    </w:tbl>
    <w:p w14:paraId="7B8857B6" w14:textId="77777777" w:rsidR="004E63D6" w:rsidRDefault="004E63D6" w:rsidP="004E63D6">
      <w:pPr>
        <w:pStyle w:val="TableFooter"/>
      </w:pPr>
      <w:r>
        <w:t>Source: ‘MBS statistics’ worksheet of the ‘1721 financial impact.xlsx’ workbook accompanying the DCAR.</w:t>
      </w:r>
    </w:p>
    <w:p w14:paraId="3899E30B" w14:textId="77777777" w:rsidR="004E63D6" w:rsidRDefault="004E63D6" w:rsidP="004E63D6">
      <w:pPr>
        <w:pStyle w:val="TableFooter"/>
      </w:pPr>
      <w:r w:rsidRPr="00A81F01">
        <w:rPr>
          <w:i/>
        </w:rPr>
        <w:t>EGFR</w:t>
      </w:r>
      <w:r>
        <w:t xml:space="preserve"> = </w:t>
      </w:r>
      <w:r w:rsidRPr="00A81F01">
        <w:t>epidermal growth factor receptor</w:t>
      </w:r>
      <w:r>
        <w:t>.</w:t>
      </w:r>
    </w:p>
    <w:p w14:paraId="02A7F5A4" w14:textId="77777777" w:rsidR="004E63D6" w:rsidRDefault="004E63D6" w:rsidP="004E63D6">
      <w:pPr>
        <w:pStyle w:val="NormalBeforeBullet"/>
      </w:pPr>
      <w:r>
        <w:t xml:space="preserve">Two alternate approaches were considered for projecting </w:t>
      </w:r>
      <w:r w:rsidRPr="00BB69A5">
        <w:rPr>
          <w:i/>
        </w:rPr>
        <w:t>ALK</w:t>
      </w:r>
      <w:r>
        <w:t xml:space="preserve"> FISH use:</w:t>
      </w:r>
    </w:p>
    <w:p w14:paraId="0087437D" w14:textId="1D083CA0" w:rsidR="004E63D6" w:rsidRDefault="004E63D6" w:rsidP="004E63D6">
      <w:pPr>
        <w:pStyle w:val="NormalBeforeBullet"/>
        <w:numPr>
          <w:ilvl w:val="0"/>
          <w:numId w:val="27"/>
        </w:numPr>
      </w:pPr>
      <w:r>
        <w:t xml:space="preserve">While fluctuations were noted in the number of </w:t>
      </w:r>
      <w:r w:rsidRPr="00BB69A5">
        <w:rPr>
          <w:i/>
        </w:rPr>
        <w:t>ALK</w:t>
      </w:r>
      <w:r>
        <w:t xml:space="preserve"> FISH services in the first few years of listing, these appear to have stabilised since 2019. Linear projections based on use since 2019 could be used (i.e. three calendar years). This approach projects an increase in services from 236 in 2023 to 273 in 2028 (</w:t>
      </w:r>
      <w:r>
        <w:rPr>
          <w:highlight w:val="yellow"/>
        </w:rPr>
        <w:fldChar w:fldCharType="begin"/>
      </w:r>
      <w:r>
        <w:instrText xml:space="preserve"> REF _Ref108607771 \h </w:instrText>
      </w:r>
      <w:r>
        <w:rPr>
          <w:highlight w:val="yellow"/>
        </w:rPr>
      </w:r>
      <w:r>
        <w:rPr>
          <w:highlight w:val="yellow"/>
        </w:rPr>
        <w:fldChar w:fldCharType="separate"/>
      </w:r>
      <w:r w:rsidR="00C857F3">
        <w:t xml:space="preserve">Figure </w:t>
      </w:r>
      <w:r w:rsidR="00C857F3">
        <w:rPr>
          <w:noProof/>
        </w:rPr>
        <w:t>19</w:t>
      </w:r>
      <w:r>
        <w:rPr>
          <w:highlight w:val="yellow"/>
        </w:rPr>
        <w:fldChar w:fldCharType="end"/>
      </w:r>
      <w:r>
        <w:t>).</w:t>
      </w:r>
    </w:p>
    <w:p w14:paraId="6034BAA6" w14:textId="64DCDC65" w:rsidR="004E63D6" w:rsidRPr="00B01E2F" w:rsidRDefault="004E63D6" w:rsidP="004E63D6">
      <w:pPr>
        <w:pStyle w:val="Caption"/>
      </w:pPr>
      <w:bookmarkStart w:id="223" w:name="_Ref108607771"/>
      <w:r>
        <w:t xml:space="preserve">Figure </w:t>
      </w:r>
      <w:fldSimple w:instr=" SEQ Figure \* ARABIC ">
        <w:r w:rsidR="00C857F3">
          <w:rPr>
            <w:noProof/>
          </w:rPr>
          <w:t>19</w:t>
        </w:r>
      </w:fldSimple>
      <w:bookmarkEnd w:id="223"/>
      <w:r>
        <w:tab/>
      </w:r>
      <w:r>
        <w:rPr>
          <w:i/>
        </w:rPr>
        <w:t>ALK</w:t>
      </w:r>
      <w:r>
        <w:t xml:space="preserve"> FISH services, observed (2019−2021) and projected (2022−2028)</w:t>
      </w:r>
      <w:r w:rsidRPr="00B01E2F">
        <w:rPr>
          <w:vertAlign w:val="superscript"/>
        </w:rPr>
        <w:t>a</w:t>
      </w:r>
      <w:r>
        <w:rPr>
          <w:vertAlign w:val="superscript"/>
        </w:rPr>
        <w:t xml:space="preserve"> </w:t>
      </w:r>
      <w:r>
        <w:t>[Option 1]</w:t>
      </w:r>
    </w:p>
    <w:p w14:paraId="61E95188" w14:textId="77777777" w:rsidR="004E63D6" w:rsidRDefault="004E63D6" w:rsidP="004E63D6">
      <w:pPr>
        <w:pStyle w:val="NormalBeforeBullet"/>
        <w:jc w:val="center"/>
      </w:pPr>
      <w:r>
        <w:rPr>
          <w:noProof/>
          <w:lang w:eastAsia="en-AU"/>
        </w:rPr>
        <w:drawing>
          <wp:inline distT="0" distB="0" distL="0" distR="0" wp14:anchorId="4D1C7C5A" wp14:editId="01DF5CA3">
            <wp:extent cx="4542155" cy="2743200"/>
            <wp:effectExtent l="0" t="0" r="0" b="0"/>
            <wp:docPr id="35" name="Picture 35" descr="ALK FISH services, observed (2019−2021) and projected (2022−2028)a [Option 1]" title="ALK FISH services, observed (2019−2021) and projected (2022−2028)a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2155" cy="2743200"/>
                    </a:xfrm>
                    <a:prstGeom prst="rect">
                      <a:avLst/>
                    </a:prstGeom>
                    <a:noFill/>
                  </pic:spPr>
                </pic:pic>
              </a:graphicData>
            </a:graphic>
          </wp:inline>
        </w:drawing>
      </w:r>
    </w:p>
    <w:p w14:paraId="4EE9B655" w14:textId="77777777" w:rsidR="004E63D6" w:rsidRDefault="004E63D6" w:rsidP="004E63D6">
      <w:pPr>
        <w:pStyle w:val="TableFooter"/>
      </w:pPr>
      <w:r>
        <w:t>Source: ‘MBS statistics’ worksheet of the ‘1721 financial impact.xlsx’ workbook accompanying the DCAR.</w:t>
      </w:r>
    </w:p>
    <w:p w14:paraId="7704B23E" w14:textId="77777777" w:rsidR="004E63D6" w:rsidRDefault="004E63D6" w:rsidP="004E63D6">
      <w:pPr>
        <w:pStyle w:val="TableFooter"/>
      </w:pPr>
      <w:r>
        <w:rPr>
          <w:i/>
        </w:rPr>
        <w:t>ALK</w:t>
      </w:r>
      <w:r>
        <w:t xml:space="preserve"> = </w:t>
      </w:r>
      <w:r w:rsidRPr="003316EF">
        <w:t>anaplastic lymphoma kinase</w:t>
      </w:r>
      <w:r>
        <w:t>; FISH = f</w:t>
      </w:r>
      <w:r w:rsidRPr="003316EF">
        <w:t xml:space="preserve">luorescence </w:t>
      </w:r>
      <w:r w:rsidRPr="00956452">
        <w:rPr>
          <w:i/>
        </w:rPr>
        <w:t>in situ</w:t>
      </w:r>
      <w:r w:rsidRPr="003316EF">
        <w:t xml:space="preserve"> hybridisation</w:t>
      </w:r>
      <w:r>
        <w:t>.</w:t>
      </w:r>
    </w:p>
    <w:p w14:paraId="0A36ECC9" w14:textId="77777777" w:rsidR="004E63D6" w:rsidRDefault="004E63D6" w:rsidP="004E63D6">
      <w:pPr>
        <w:pStyle w:val="TableFooter"/>
      </w:pPr>
      <w:r w:rsidRPr="00B01E2F">
        <w:rPr>
          <w:vertAlign w:val="superscript"/>
        </w:rPr>
        <w:t>a</w:t>
      </w:r>
      <w:r>
        <w:t xml:space="preserve"> Estimates of </w:t>
      </w:r>
      <w:r w:rsidRPr="00B01E2F">
        <w:rPr>
          <w:i/>
        </w:rPr>
        <w:t>ALK</w:t>
      </w:r>
      <w:r>
        <w:t xml:space="preserve"> FISH use were projected directly based on use observed in 2019−2021.</w:t>
      </w:r>
    </w:p>
    <w:p w14:paraId="7826A306" w14:textId="26744470" w:rsidR="004E63D6" w:rsidRDefault="004E63D6" w:rsidP="004E63D6">
      <w:pPr>
        <w:pStyle w:val="NormalBeforeBullet"/>
        <w:numPr>
          <w:ilvl w:val="0"/>
          <w:numId w:val="27"/>
        </w:numPr>
      </w:pPr>
      <w:r>
        <w:lastRenderedPageBreak/>
        <w:t xml:space="preserve">In addition to the number of </w:t>
      </w:r>
      <w:r w:rsidRPr="00BB69A5">
        <w:rPr>
          <w:i/>
        </w:rPr>
        <w:t xml:space="preserve">ALK </w:t>
      </w:r>
      <w:r>
        <w:t xml:space="preserve">FISH services stabilising since 2019, so too has the ratio of </w:t>
      </w:r>
      <w:r w:rsidRPr="00F6018A">
        <w:rPr>
          <w:i/>
        </w:rPr>
        <w:t>ALK</w:t>
      </w:r>
      <w:r>
        <w:t xml:space="preserve"> FISH to </w:t>
      </w:r>
      <w:r w:rsidRPr="00F6018A">
        <w:rPr>
          <w:i/>
        </w:rPr>
        <w:t>EGFR</w:t>
      </w:r>
      <w:r>
        <w:t xml:space="preserve"> services (average 4.5%). This average estimate could be applied to the projected number of </w:t>
      </w:r>
      <w:r w:rsidRPr="00F6018A">
        <w:rPr>
          <w:i/>
        </w:rPr>
        <w:t>EGFR</w:t>
      </w:r>
      <w:r>
        <w:t xml:space="preserve"> services. This approach projects that the number of </w:t>
      </w:r>
      <w:r w:rsidRPr="00BB69A5">
        <w:rPr>
          <w:i/>
        </w:rPr>
        <w:t xml:space="preserve">ALK </w:t>
      </w:r>
      <w:r>
        <w:t>FISH services would increase from 249 in 2023 to 312 in 2028 (</w:t>
      </w:r>
      <w:r>
        <w:fldChar w:fldCharType="begin"/>
      </w:r>
      <w:r>
        <w:instrText xml:space="preserve"> REF _Ref108606737 \h </w:instrText>
      </w:r>
      <w:r>
        <w:fldChar w:fldCharType="separate"/>
      </w:r>
      <w:r w:rsidR="00C857F3" w:rsidRPr="00CE28E3">
        <w:t>Table</w:t>
      </w:r>
      <w:r w:rsidR="00C857F3">
        <w:t> </w:t>
      </w:r>
      <w:r w:rsidR="00C857F3">
        <w:rPr>
          <w:noProof/>
        </w:rPr>
        <w:t>65</w:t>
      </w:r>
      <w:r>
        <w:fldChar w:fldCharType="end"/>
      </w:r>
      <w:r>
        <w:t>).</w:t>
      </w:r>
    </w:p>
    <w:p w14:paraId="7D490C5F" w14:textId="0410A5F9" w:rsidR="004E63D6" w:rsidRDefault="004E63D6" w:rsidP="004E63D6">
      <w:pPr>
        <w:pStyle w:val="Caption"/>
      </w:pPr>
      <w:bookmarkStart w:id="224" w:name="_Ref108606737"/>
      <w:r w:rsidRPr="00CE28E3">
        <w:t>Table</w:t>
      </w:r>
      <w:r>
        <w:t> </w:t>
      </w:r>
      <w:fldSimple w:instr=" SEQ Table \* ARABIC ">
        <w:r w:rsidR="00C857F3">
          <w:rPr>
            <w:noProof/>
          </w:rPr>
          <w:t>65</w:t>
        </w:r>
      </w:fldSimple>
      <w:bookmarkEnd w:id="224"/>
      <w:r w:rsidRPr="00CE28E3">
        <w:tab/>
      </w:r>
      <w:r w:rsidRPr="000055AC">
        <w:rPr>
          <w:i/>
        </w:rPr>
        <w:t>ALK</w:t>
      </w:r>
      <w:r>
        <w:t xml:space="preserve"> FISH projections, based on projected </w:t>
      </w:r>
      <w:r w:rsidRPr="000055AC">
        <w:rPr>
          <w:i/>
        </w:rPr>
        <w:t>EGFR</w:t>
      </w:r>
      <w:r>
        <w:t xml:space="preserve"> use [Option 2]</w:t>
      </w:r>
    </w:p>
    <w:tbl>
      <w:tblPr>
        <w:tblStyle w:val="TableGrid1"/>
        <w:tblW w:w="5000" w:type="pct"/>
        <w:tblLayout w:type="fixed"/>
        <w:tblLook w:val="04A0" w:firstRow="1" w:lastRow="0" w:firstColumn="1" w:lastColumn="0" w:noHBand="0" w:noVBand="1"/>
        <w:tblCaption w:val="ALK FISH projections, based on projected EGFR use [Option 2]"/>
        <w:tblDescription w:val="ALK FISH projections, based on projected EGFR use [Option 2]"/>
      </w:tblPr>
      <w:tblGrid>
        <w:gridCol w:w="2830"/>
        <w:gridCol w:w="1032"/>
        <w:gridCol w:w="1031"/>
        <w:gridCol w:w="1031"/>
        <w:gridCol w:w="1031"/>
        <w:gridCol w:w="1031"/>
        <w:gridCol w:w="1030"/>
      </w:tblGrid>
      <w:tr w:rsidR="004E63D6" w:rsidRPr="00B0078B" w14:paraId="164497E8" w14:textId="77777777" w:rsidTr="00EC7F4B">
        <w:trPr>
          <w:cnfStyle w:val="100000000000" w:firstRow="1" w:lastRow="0" w:firstColumn="0" w:lastColumn="0" w:oddVBand="0" w:evenVBand="0" w:oddHBand="0" w:evenHBand="0" w:firstRowFirstColumn="0" w:firstRowLastColumn="0" w:lastRowFirstColumn="0" w:lastRowLastColumn="0"/>
          <w:trHeight w:val="300"/>
          <w:tblHeader/>
        </w:trPr>
        <w:tc>
          <w:tcPr>
            <w:tcW w:w="1569" w:type="pct"/>
            <w:noWrap/>
            <w:hideMark/>
          </w:tcPr>
          <w:p w14:paraId="766C87A1" w14:textId="77777777" w:rsidR="004E63D6" w:rsidRPr="00B0078B" w:rsidRDefault="004E63D6" w:rsidP="00CA410A">
            <w:pPr>
              <w:pStyle w:val="TableHeading"/>
              <w:jc w:val="center"/>
            </w:pPr>
          </w:p>
        </w:tc>
        <w:tc>
          <w:tcPr>
            <w:tcW w:w="572" w:type="pct"/>
            <w:noWrap/>
            <w:hideMark/>
          </w:tcPr>
          <w:p w14:paraId="3C9C13B7" w14:textId="77777777" w:rsidR="004E63D6" w:rsidRPr="00B0078B" w:rsidRDefault="004E63D6" w:rsidP="00CA410A">
            <w:pPr>
              <w:pStyle w:val="TableHeading"/>
              <w:jc w:val="center"/>
            </w:pPr>
            <w:r w:rsidRPr="00B0078B">
              <w:t>2023</w:t>
            </w:r>
          </w:p>
        </w:tc>
        <w:tc>
          <w:tcPr>
            <w:tcW w:w="572" w:type="pct"/>
            <w:noWrap/>
            <w:hideMark/>
          </w:tcPr>
          <w:p w14:paraId="4AAD206E" w14:textId="77777777" w:rsidR="004E63D6" w:rsidRPr="00B0078B" w:rsidRDefault="004E63D6" w:rsidP="00CA410A">
            <w:pPr>
              <w:pStyle w:val="TableHeading"/>
              <w:jc w:val="center"/>
            </w:pPr>
            <w:r w:rsidRPr="00B0078B">
              <w:t>2024</w:t>
            </w:r>
          </w:p>
        </w:tc>
        <w:tc>
          <w:tcPr>
            <w:tcW w:w="572" w:type="pct"/>
            <w:noWrap/>
            <w:hideMark/>
          </w:tcPr>
          <w:p w14:paraId="6EC20AB4" w14:textId="77777777" w:rsidR="004E63D6" w:rsidRPr="00B0078B" w:rsidRDefault="004E63D6" w:rsidP="00CA410A">
            <w:pPr>
              <w:pStyle w:val="TableHeading"/>
              <w:jc w:val="center"/>
            </w:pPr>
            <w:r w:rsidRPr="00B0078B">
              <w:t>2025</w:t>
            </w:r>
          </w:p>
        </w:tc>
        <w:tc>
          <w:tcPr>
            <w:tcW w:w="572" w:type="pct"/>
            <w:noWrap/>
            <w:hideMark/>
          </w:tcPr>
          <w:p w14:paraId="25218711" w14:textId="77777777" w:rsidR="004E63D6" w:rsidRPr="00B0078B" w:rsidRDefault="004E63D6" w:rsidP="00CA410A">
            <w:pPr>
              <w:pStyle w:val="TableHeading"/>
              <w:jc w:val="center"/>
            </w:pPr>
            <w:r w:rsidRPr="00B0078B">
              <w:t>2026</w:t>
            </w:r>
          </w:p>
        </w:tc>
        <w:tc>
          <w:tcPr>
            <w:tcW w:w="572" w:type="pct"/>
            <w:noWrap/>
            <w:hideMark/>
          </w:tcPr>
          <w:p w14:paraId="12474B67" w14:textId="77777777" w:rsidR="004E63D6" w:rsidRPr="00B0078B" w:rsidRDefault="004E63D6" w:rsidP="00CA410A">
            <w:pPr>
              <w:pStyle w:val="TableHeading"/>
              <w:jc w:val="center"/>
            </w:pPr>
            <w:r w:rsidRPr="00B0078B">
              <w:t>2027</w:t>
            </w:r>
          </w:p>
        </w:tc>
        <w:tc>
          <w:tcPr>
            <w:tcW w:w="571" w:type="pct"/>
            <w:noWrap/>
            <w:hideMark/>
          </w:tcPr>
          <w:p w14:paraId="5424790C" w14:textId="77777777" w:rsidR="004E63D6" w:rsidRPr="00B0078B" w:rsidRDefault="004E63D6" w:rsidP="00CA410A">
            <w:pPr>
              <w:pStyle w:val="TableHeading"/>
              <w:jc w:val="center"/>
            </w:pPr>
            <w:r w:rsidRPr="00B0078B">
              <w:t>2028</w:t>
            </w:r>
          </w:p>
        </w:tc>
      </w:tr>
      <w:tr w:rsidR="004E63D6" w:rsidRPr="00B0078B" w14:paraId="43E6E865" w14:textId="77777777" w:rsidTr="00CA410A">
        <w:trPr>
          <w:trHeight w:val="300"/>
        </w:trPr>
        <w:tc>
          <w:tcPr>
            <w:tcW w:w="1569" w:type="pct"/>
            <w:noWrap/>
            <w:hideMark/>
          </w:tcPr>
          <w:p w14:paraId="60844AE3" w14:textId="77777777" w:rsidR="004E63D6" w:rsidRPr="00B0078B" w:rsidRDefault="004E63D6" w:rsidP="00CA410A">
            <w:pPr>
              <w:pStyle w:val="TableText"/>
              <w:keepNext/>
            </w:pPr>
            <w:r w:rsidRPr="00B0078B">
              <w:t xml:space="preserve">Projected </w:t>
            </w:r>
            <w:r w:rsidRPr="00B01E2F">
              <w:rPr>
                <w:i/>
              </w:rPr>
              <w:t>EGFR</w:t>
            </w:r>
            <w:r>
              <w:t xml:space="preserve"> services</w:t>
            </w:r>
          </w:p>
        </w:tc>
        <w:tc>
          <w:tcPr>
            <w:tcW w:w="572" w:type="pct"/>
            <w:noWrap/>
            <w:hideMark/>
          </w:tcPr>
          <w:p w14:paraId="4E39DBBA" w14:textId="77777777" w:rsidR="004E63D6" w:rsidRPr="00B0078B" w:rsidRDefault="004E63D6" w:rsidP="00CA410A">
            <w:pPr>
              <w:pStyle w:val="TableText"/>
              <w:keepNext/>
              <w:jc w:val="right"/>
            </w:pPr>
            <w:r w:rsidRPr="00B0078B">
              <w:t>5,521</w:t>
            </w:r>
          </w:p>
        </w:tc>
        <w:tc>
          <w:tcPr>
            <w:tcW w:w="572" w:type="pct"/>
            <w:noWrap/>
            <w:hideMark/>
          </w:tcPr>
          <w:p w14:paraId="1CAF52AD" w14:textId="77777777" w:rsidR="004E63D6" w:rsidRPr="00B0078B" w:rsidRDefault="004E63D6" w:rsidP="00CA410A">
            <w:pPr>
              <w:pStyle w:val="TableText"/>
              <w:keepNext/>
              <w:jc w:val="right"/>
            </w:pPr>
            <w:r w:rsidRPr="00B0078B">
              <w:t>5,797</w:t>
            </w:r>
          </w:p>
        </w:tc>
        <w:tc>
          <w:tcPr>
            <w:tcW w:w="572" w:type="pct"/>
            <w:noWrap/>
            <w:hideMark/>
          </w:tcPr>
          <w:p w14:paraId="0D03841A" w14:textId="77777777" w:rsidR="004E63D6" w:rsidRPr="00B0078B" w:rsidRDefault="004E63D6" w:rsidP="00CA410A">
            <w:pPr>
              <w:pStyle w:val="TableText"/>
              <w:keepNext/>
              <w:jc w:val="right"/>
            </w:pPr>
            <w:r w:rsidRPr="00B0078B">
              <w:t>6,074</w:t>
            </w:r>
          </w:p>
        </w:tc>
        <w:tc>
          <w:tcPr>
            <w:tcW w:w="572" w:type="pct"/>
            <w:noWrap/>
            <w:hideMark/>
          </w:tcPr>
          <w:p w14:paraId="5AEF9756" w14:textId="77777777" w:rsidR="004E63D6" w:rsidRPr="00B0078B" w:rsidRDefault="004E63D6" w:rsidP="00CA410A">
            <w:pPr>
              <w:pStyle w:val="TableText"/>
              <w:keepNext/>
              <w:jc w:val="right"/>
            </w:pPr>
            <w:r w:rsidRPr="00B0078B">
              <w:t>6,351</w:t>
            </w:r>
          </w:p>
        </w:tc>
        <w:tc>
          <w:tcPr>
            <w:tcW w:w="572" w:type="pct"/>
            <w:noWrap/>
            <w:hideMark/>
          </w:tcPr>
          <w:p w14:paraId="348D996E" w14:textId="77777777" w:rsidR="004E63D6" w:rsidRPr="00B0078B" w:rsidRDefault="004E63D6" w:rsidP="00CA410A">
            <w:pPr>
              <w:pStyle w:val="TableText"/>
              <w:keepNext/>
              <w:jc w:val="right"/>
            </w:pPr>
            <w:r w:rsidRPr="00B0078B">
              <w:t>6,628</w:t>
            </w:r>
          </w:p>
        </w:tc>
        <w:tc>
          <w:tcPr>
            <w:tcW w:w="571" w:type="pct"/>
            <w:noWrap/>
            <w:hideMark/>
          </w:tcPr>
          <w:p w14:paraId="3743ECF9" w14:textId="77777777" w:rsidR="004E63D6" w:rsidRPr="00B0078B" w:rsidRDefault="004E63D6" w:rsidP="00CA410A">
            <w:pPr>
              <w:pStyle w:val="TableText"/>
              <w:keepNext/>
              <w:jc w:val="right"/>
            </w:pPr>
            <w:r w:rsidRPr="00B0078B">
              <w:t>6,905</w:t>
            </w:r>
          </w:p>
        </w:tc>
      </w:tr>
      <w:tr w:rsidR="004E63D6" w:rsidRPr="00B0078B" w14:paraId="6326DC8F" w14:textId="77777777" w:rsidTr="00CA410A">
        <w:trPr>
          <w:trHeight w:val="300"/>
        </w:trPr>
        <w:tc>
          <w:tcPr>
            <w:tcW w:w="1569" w:type="pct"/>
            <w:noWrap/>
            <w:hideMark/>
          </w:tcPr>
          <w:p w14:paraId="0C6E3FAA" w14:textId="77777777" w:rsidR="004E63D6" w:rsidRPr="00B0078B" w:rsidRDefault="004E63D6" w:rsidP="00CA410A">
            <w:pPr>
              <w:pStyle w:val="TableText"/>
              <w:keepNext/>
            </w:pPr>
            <w:r w:rsidRPr="00E14AE8">
              <w:t xml:space="preserve">Projected </w:t>
            </w:r>
            <w:r w:rsidRPr="00B01E2F">
              <w:rPr>
                <w:i/>
              </w:rPr>
              <w:t>ALK</w:t>
            </w:r>
            <w:r w:rsidRPr="00E14AE8">
              <w:t xml:space="preserve"> FISH use </w:t>
            </w:r>
            <w:r>
              <w:br/>
            </w:r>
            <w:r w:rsidRPr="00E14AE8">
              <w:t xml:space="preserve">(4.5% of </w:t>
            </w:r>
            <w:r w:rsidRPr="00B01E2F">
              <w:rPr>
                <w:i/>
              </w:rPr>
              <w:t>EGFR</w:t>
            </w:r>
            <w:r w:rsidRPr="00E14AE8">
              <w:t xml:space="preserve"> services)</w:t>
            </w:r>
          </w:p>
        </w:tc>
        <w:tc>
          <w:tcPr>
            <w:tcW w:w="572" w:type="pct"/>
            <w:noWrap/>
            <w:hideMark/>
          </w:tcPr>
          <w:p w14:paraId="7C8D0F7B" w14:textId="77777777" w:rsidR="004E63D6" w:rsidRPr="00B0078B" w:rsidRDefault="004E63D6" w:rsidP="00CA410A">
            <w:pPr>
              <w:pStyle w:val="TableText"/>
              <w:keepNext/>
              <w:jc w:val="right"/>
            </w:pPr>
            <w:r w:rsidRPr="00E14AE8">
              <w:t>249</w:t>
            </w:r>
          </w:p>
        </w:tc>
        <w:tc>
          <w:tcPr>
            <w:tcW w:w="572" w:type="pct"/>
            <w:noWrap/>
            <w:hideMark/>
          </w:tcPr>
          <w:p w14:paraId="4A97E0C3" w14:textId="77777777" w:rsidR="004E63D6" w:rsidRPr="00B0078B" w:rsidRDefault="004E63D6" w:rsidP="00CA410A">
            <w:pPr>
              <w:pStyle w:val="TableText"/>
              <w:keepNext/>
              <w:jc w:val="right"/>
            </w:pPr>
            <w:r w:rsidRPr="00E14AE8">
              <w:t>262</w:t>
            </w:r>
          </w:p>
        </w:tc>
        <w:tc>
          <w:tcPr>
            <w:tcW w:w="572" w:type="pct"/>
            <w:noWrap/>
            <w:hideMark/>
          </w:tcPr>
          <w:p w14:paraId="3F967514" w14:textId="77777777" w:rsidR="004E63D6" w:rsidRPr="00B0078B" w:rsidRDefault="004E63D6" w:rsidP="00CA410A">
            <w:pPr>
              <w:pStyle w:val="TableText"/>
              <w:keepNext/>
              <w:jc w:val="right"/>
            </w:pPr>
            <w:r w:rsidRPr="00E14AE8">
              <w:t>274</w:t>
            </w:r>
          </w:p>
        </w:tc>
        <w:tc>
          <w:tcPr>
            <w:tcW w:w="572" w:type="pct"/>
            <w:noWrap/>
            <w:hideMark/>
          </w:tcPr>
          <w:p w14:paraId="0A164ABF" w14:textId="77777777" w:rsidR="004E63D6" w:rsidRPr="00B0078B" w:rsidRDefault="004E63D6" w:rsidP="00CA410A">
            <w:pPr>
              <w:pStyle w:val="TableText"/>
              <w:keepNext/>
              <w:jc w:val="right"/>
            </w:pPr>
            <w:r w:rsidRPr="00E14AE8">
              <w:t>287</w:t>
            </w:r>
          </w:p>
        </w:tc>
        <w:tc>
          <w:tcPr>
            <w:tcW w:w="572" w:type="pct"/>
            <w:noWrap/>
            <w:hideMark/>
          </w:tcPr>
          <w:p w14:paraId="143E49FF" w14:textId="77777777" w:rsidR="004E63D6" w:rsidRPr="00B0078B" w:rsidRDefault="004E63D6" w:rsidP="00CA410A">
            <w:pPr>
              <w:pStyle w:val="TableText"/>
              <w:keepNext/>
              <w:jc w:val="right"/>
            </w:pPr>
            <w:r w:rsidRPr="00E14AE8">
              <w:t>299</w:t>
            </w:r>
          </w:p>
        </w:tc>
        <w:tc>
          <w:tcPr>
            <w:tcW w:w="571" w:type="pct"/>
            <w:noWrap/>
            <w:hideMark/>
          </w:tcPr>
          <w:p w14:paraId="34A96F7D" w14:textId="77777777" w:rsidR="004E63D6" w:rsidRPr="00B0078B" w:rsidRDefault="004E63D6" w:rsidP="00CA410A">
            <w:pPr>
              <w:pStyle w:val="TableText"/>
              <w:keepNext/>
              <w:jc w:val="right"/>
            </w:pPr>
            <w:r w:rsidRPr="00E14AE8">
              <w:t>312</w:t>
            </w:r>
          </w:p>
        </w:tc>
      </w:tr>
    </w:tbl>
    <w:p w14:paraId="64E84518" w14:textId="77777777" w:rsidR="004E63D6" w:rsidRDefault="004E63D6" w:rsidP="004E63D6">
      <w:pPr>
        <w:pStyle w:val="TableFooter"/>
      </w:pPr>
      <w:r>
        <w:t>Source: ‘Section 4.3’ worksheet of the ‘1721 financial impact.xlsx’ workbook accompanying the DCAR.</w:t>
      </w:r>
    </w:p>
    <w:p w14:paraId="3DAFA02E" w14:textId="77777777" w:rsidR="004E63D6"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w:t>
      </w:r>
    </w:p>
    <w:p w14:paraId="15A0E539" w14:textId="77777777" w:rsidR="004E63D6" w:rsidRDefault="004E63D6" w:rsidP="004E63D6">
      <w:pPr>
        <w:pStyle w:val="NormalBeforeBullet"/>
      </w:pPr>
      <w:r>
        <w:t xml:space="preserve">Given that a relationship between </w:t>
      </w:r>
      <w:r w:rsidRPr="00694E67">
        <w:rPr>
          <w:i/>
        </w:rPr>
        <w:t>EGFR</w:t>
      </w:r>
      <w:r>
        <w:t xml:space="preserve"> and </w:t>
      </w:r>
      <w:r w:rsidRPr="00694E67">
        <w:rPr>
          <w:i/>
        </w:rPr>
        <w:t>ALK</w:t>
      </w:r>
      <w:r>
        <w:t xml:space="preserve"> FISH use is expected and that there may be more confidence in </w:t>
      </w:r>
      <w:r w:rsidRPr="00694E67">
        <w:rPr>
          <w:i/>
        </w:rPr>
        <w:t>EGFR</w:t>
      </w:r>
      <w:r>
        <w:t xml:space="preserve"> service projections, Option 2 will be applied in the base case. The alternate approach is presented in a sensitivity analysis.</w:t>
      </w:r>
    </w:p>
    <w:p w14:paraId="58866D62" w14:textId="4EA1B491" w:rsidR="004E63D6" w:rsidRDefault="004E63D6" w:rsidP="004E63D6">
      <w:pPr>
        <w:pStyle w:val="NormalBeforeBullet"/>
      </w:pPr>
      <w:r>
        <w:t xml:space="preserve">A similar approach is used to project the number of </w:t>
      </w:r>
      <w:r w:rsidRPr="0087181C">
        <w:rPr>
          <w:i/>
        </w:rPr>
        <w:t>ROS1</w:t>
      </w:r>
      <w:r>
        <w:t xml:space="preserve"> FISH services that will be substituted by small gene panel testing. In the base case, the ratio of </w:t>
      </w:r>
      <w:r w:rsidRPr="0087181C">
        <w:rPr>
          <w:i/>
        </w:rPr>
        <w:t>ROS1</w:t>
      </w:r>
      <w:r>
        <w:t xml:space="preserve"> FISH : </w:t>
      </w:r>
      <w:r w:rsidRPr="0087181C">
        <w:rPr>
          <w:i/>
        </w:rPr>
        <w:t>EGFR</w:t>
      </w:r>
      <w:r>
        <w:t xml:space="preserve"> services is applied to projected estimates of </w:t>
      </w:r>
      <w:r w:rsidRPr="0087181C">
        <w:rPr>
          <w:i/>
        </w:rPr>
        <w:t>EGFR</w:t>
      </w:r>
      <w:r>
        <w:t xml:space="preserve"> use. An alternate approach is tested in a sensitivity analysis applying the growth rate for </w:t>
      </w:r>
      <w:r w:rsidRPr="0087181C">
        <w:rPr>
          <w:i/>
        </w:rPr>
        <w:t>ALK</w:t>
      </w:r>
      <w:r>
        <w:t xml:space="preserve"> FISH testing estimated in </w:t>
      </w:r>
      <w:r>
        <w:rPr>
          <w:highlight w:val="yellow"/>
        </w:rPr>
        <w:fldChar w:fldCharType="begin"/>
      </w:r>
      <w:r>
        <w:instrText xml:space="preserve"> REF _Ref108607771 \h </w:instrText>
      </w:r>
      <w:r>
        <w:rPr>
          <w:highlight w:val="yellow"/>
        </w:rPr>
      </w:r>
      <w:r>
        <w:rPr>
          <w:highlight w:val="yellow"/>
        </w:rPr>
        <w:fldChar w:fldCharType="separate"/>
      </w:r>
      <w:r w:rsidR="00C857F3">
        <w:t xml:space="preserve">Figure </w:t>
      </w:r>
      <w:r w:rsidR="00C857F3">
        <w:rPr>
          <w:noProof/>
        </w:rPr>
        <w:t>19</w:t>
      </w:r>
      <w:r>
        <w:rPr>
          <w:highlight w:val="yellow"/>
        </w:rPr>
        <w:fldChar w:fldCharType="end"/>
      </w:r>
      <w:r>
        <w:t xml:space="preserve"> (i.e. Option 1 for projecting </w:t>
      </w:r>
      <w:r w:rsidRPr="0087181C">
        <w:rPr>
          <w:i/>
        </w:rPr>
        <w:t>ALK</w:t>
      </w:r>
      <w:r>
        <w:t xml:space="preserve"> FISH estimates). </w:t>
      </w:r>
    </w:p>
    <w:p w14:paraId="381F32DA" w14:textId="77777777" w:rsidR="004E63D6" w:rsidRDefault="004E63D6" w:rsidP="004E63D6">
      <w:pPr>
        <w:pStyle w:val="NormalBeforeBullet"/>
      </w:pPr>
    </w:p>
    <w:p w14:paraId="1FEE9E67" w14:textId="2CCC2999" w:rsidR="004E63D6" w:rsidRDefault="004E63D6" w:rsidP="004E63D6">
      <w:pPr>
        <w:pStyle w:val="NormalBeforeBullet"/>
      </w:pPr>
      <w:r>
        <w:t xml:space="preserve">However not all FISH services may be able to be substituted by small gene panel testing. As described in Section 4.2, </w:t>
      </w:r>
      <w:r w:rsidRPr="00697484">
        <w:t>5</w:t>
      </w:r>
      <w:r>
        <w:t xml:space="preserve">% of samples are assumed to have insufficient sample available for RNA-based testing, and would still require FISH. Assuming no change to the current wording of the FISH items, IHC testing would still be required prior to FISH, and so only those with a positive IHC result would require FISH. The IHC positivity rate was assumed to be 4.5% and 7.5% respectively, for </w:t>
      </w:r>
      <w:r w:rsidRPr="00956452">
        <w:t>ALK</w:t>
      </w:r>
      <w:r w:rsidRPr="003014FD">
        <w:t xml:space="preserve"> </w:t>
      </w:r>
      <w:r>
        <w:t xml:space="preserve">and </w:t>
      </w:r>
      <w:r w:rsidRPr="00956452">
        <w:t>ROS1</w:t>
      </w:r>
      <w:r>
        <w:t xml:space="preserve">, and was based on the ratio of FISH to </w:t>
      </w:r>
      <w:r w:rsidRPr="00DC4EA0">
        <w:rPr>
          <w:i/>
        </w:rPr>
        <w:t>EGFR</w:t>
      </w:r>
      <w:r>
        <w:t xml:space="preserve"> services (as only those with positive IHC results would have had a FISH test requested). The estimated reduction in </w:t>
      </w:r>
      <w:r w:rsidRPr="00DC4EA0">
        <w:rPr>
          <w:i/>
        </w:rPr>
        <w:t>ALK</w:t>
      </w:r>
      <w:r>
        <w:t xml:space="preserve"> and </w:t>
      </w:r>
      <w:r w:rsidRPr="00DC4EA0">
        <w:rPr>
          <w:i/>
        </w:rPr>
        <w:t>ROS1</w:t>
      </w:r>
      <w:r>
        <w:t xml:space="preserve"> FISH services is presented in </w:t>
      </w:r>
      <w:r>
        <w:fldChar w:fldCharType="begin"/>
      </w:r>
      <w:r>
        <w:instrText xml:space="preserve"> REF _Ref108605384 \h </w:instrText>
      </w:r>
      <w:r>
        <w:fldChar w:fldCharType="separate"/>
      </w:r>
      <w:r w:rsidR="00C857F3" w:rsidRPr="00CE28E3">
        <w:t>Table</w:t>
      </w:r>
      <w:r w:rsidR="00C857F3">
        <w:t> </w:t>
      </w:r>
      <w:r w:rsidR="00C857F3">
        <w:rPr>
          <w:noProof/>
        </w:rPr>
        <w:t>66</w:t>
      </w:r>
      <w:r>
        <w:fldChar w:fldCharType="end"/>
      </w:r>
      <w:r>
        <w:t xml:space="preserve">. </w:t>
      </w:r>
    </w:p>
    <w:p w14:paraId="203F9AA7" w14:textId="160150B5" w:rsidR="004E63D6" w:rsidRDefault="004E63D6" w:rsidP="004E63D6">
      <w:pPr>
        <w:pStyle w:val="NormalBeforeBullet"/>
      </w:pPr>
      <w:r>
        <w:t>The schedule fee for each FISH service is $400.00. MBS data provided during the preparation of the DCAR indicate that 64.5% of FISH services received the 85% level of benefit. The weighted cost per FISH service to the MBS is $325.80.</w:t>
      </w:r>
      <w:r>
        <w:rPr>
          <w:rStyle w:val="FootnoteReference"/>
        </w:rPr>
        <w:footnoteReference w:id="23"/>
      </w:r>
      <w:r>
        <w:t xml:space="preserve"> The reduction in cost to the MBS due to changes in the use of </w:t>
      </w:r>
      <w:r w:rsidRPr="00DC4EA0">
        <w:rPr>
          <w:i/>
        </w:rPr>
        <w:t>ALK</w:t>
      </w:r>
      <w:r>
        <w:t xml:space="preserve"> and </w:t>
      </w:r>
      <w:r w:rsidRPr="00DC4EA0">
        <w:rPr>
          <w:i/>
        </w:rPr>
        <w:t>ROS1</w:t>
      </w:r>
      <w:r>
        <w:t xml:space="preserve"> FISH testing are presented in </w:t>
      </w:r>
      <w:r>
        <w:fldChar w:fldCharType="begin"/>
      </w:r>
      <w:r>
        <w:instrText xml:space="preserve"> REF _Ref108605384 \h </w:instrText>
      </w:r>
      <w:r>
        <w:fldChar w:fldCharType="separate"/>
      </w:r>
      <w:r w:rsidR="00C857F3" w:rsidRPr="00CE28E3">
        <w:t>Table</w:t>
      </w:r>
      <w:r w:rsidR="00C857F3">
        <w:t> </w:t>
      </w:r>
      <w:r w:rsidR="00C857F3">
        <w:rPr>
          <w:noProof/>
        </w:rPr>
        <w:t>66</w:t>
      </w:r>
      <w:r>
        <w:fldChar w:fldCharType="end"/>
      </w:r>
      <w:r>
        <w:t>.</w:t>
      </w:r>
    </w:p>
    <w:p w14:paraId="431CCC37" w14:textId="2C14A469" w:rsidR="004E63D6" w:rsidRDefault="004E63D6" w:rsidP="004E63D6">
      <w:pPr>
        <w:pStyle w:val="Caption"/>
      </w:pPr>
      <w:bookmarkStart w:id="225" w:name="_Ref108605384"/>
      <w:r w:rsidRPr="00CE28E3">
        <w:lastRenderedPageBreak/>
        <w:t>Table</w:t>
      </w:r>
      <w:r>
        <w:t> </w:t>
      </w:r>
      <w:fldSimple w:instr=" SEQ Table \* ARABIC ">
        <w:r w:rsidR="00C857F3">
          <w:rPr>
            <w:noProof/>
          </w:rPr>
          <w:t>66</w:t>
        </w:r>
      </w:fldSimple>
      <w:bookmarkEnd w:id="225"/>
      <w:r w:rsidRPr="00CE28E3">
        <w:tab/>
      </w:r>
      <w:r>
        <w:t xml:space="preserve">Reduction in use and cost of </w:t>
      </w:r>
      <w:r w:rsidRPr="00DC4EA0">
        <w:rPr>
          <w:i/>
        </w:rPr>
        <w:t>ALK</w:t>
      </w:r>
      <w:r>
        <w:t xml:space="preserve"> and </w:t>
      </w:r>
      <w:r w:rsidRPr="00DC4EA0">
        <w:rPr>
          <w:i/>
        </w:rPr>
        <w:t>ROS1</w:t>
      </w:r>
      <w:r>
        <w:t xml:space="preserve"> FISH services</w:t>
      </w:r>
    </w:p>
    <w:tbl>
      <w:tblPr>
        <w:tblStyle w:val="TableGrid1"/>
        <w:tblW w:w="5000" w:type="pct"/>
        <w:tblLayout w:type="fixed"/>
        <w:tblLook w:val="04A0" w:firstRow="1" w:lastRow="0" w:firstColumn="1" w:lastColumn="0" w:noHBand="0" w:noVBand="1"/>
        <w:tblCaption w:val="Reduction in use and cost of ALK and ROS1 FISH services"/>
        <w:tblDescription w:val="Reduction in use and cost of ALK and ROS1 FISH services"/>
      </w:tblPr>
      <w:tblGrid>
        <w:gridCol w:w="419"/>
        <w:gridCol w:w="3124"/>
        <w:gridCol w:w="913"/>
        <w:gridCol w:w="912"/>
        <w:gridCol w:w="912"/>
        <w:gridCol w:w="912"/>
        <w:gridCol w:w="912"/>
        <w:gridCol w:w="912"/>
      </w:tblGrid>
      <w:tr w:rsidR="004E63D6" w:rsidRPr="00B0078B" w14:paraId="196BA01C" w14:textId="77777777" w:rsidTr="00CA410A">
        <w:trPr>
          <w:cnfStyle w:val="100000000000" w:firstRow="1" w:lastRow="0" w:firstColumn="0" w:lastColumn="0" w:oddVBand="0" w:evenVBand="0" w:oddHBand="0" w:evenHBand="0" w:firstRowFirstColumn="0" w:firstRowLastColumn="0" w:lastRowFirstColumn="0" w:lastRowLastColumn="0"/>
          <w:trHeight w:val="300"/>
          <w:tblHeader/>
        </w:trPr>
        <w:tc>
          <w:tcPr>
            <w:tcW w:w="232" w:type="pct"/>
          </w:tcPr>
          <w:p w14:paraId="42D321C3" w14:textId="77777777" w:rsidR="004E63D6" w:rsidRPr="00B0078B" w:rsidRDefault="004E63D6" w:rsidP="00CA410A">
            <w:pPr>
              <w:pStyle w:val="TableHeading"/>
              <w:jc w:val="center"/>
            </w:pPr>
          </w:p>
        </w:tc>
        <w:tc>
          <w:tcPr>
            <w:tcW w:w="1732" w:type="pct"/>
            <w:noWrap/>
            <w:hideMark/>
          </w:tcPr>
          <w:p w14:paraId="38C31021" w14:textId="77777777" w:rsidR="004E63D6" w:rsidRPr="00B0078B" w:rsidRDefault="004E63D6" w:rsidP="00CA410A">
            <w:pPr>
              <w:pStyle w:val="TableHeading"/>
              <w:jc w:val="center"/>
            </w:pPr>
          </w:p>
        </w:tc>
        <w:tc>
          <w:tcPr>
            <w:tcW w:w="506" w:type="pct"/>
            <w:noWrap/>
            <w:hideMark/>
          </w:tcPr>
          <w:p w14:paraId="2E4E971C" w14:textId="77777777" w:rsidR="004E63D6" w:rsidRPr="00B0078B" w:rsidRDefault="004E63D6" w:rsidP="00CA410A">
            <w:pPr>
              <w:pStyle w:val="TableHeading"/>
              <w:jc w:val="center"/>
            </w:pPr>
            <w:r w:rsidRPr="00B0078B">
              <w:t>2023</w:t>
            </w:r>
          </w:p>
        </w:tc>
        <w:tc>
          <w:tcPr>
            <w:tcW w:w="506" w:type="pct"/>
            <w:noWrap/>
            <w:hideMark/>
          </w:tcPr>
          <w:p w14:paraId="1807CDD6" w14:textId="77777777" w:rsidR="004E63D6" w:rsidRPr="00B0078B" w:rsidRDefault="004E63D6" w:rsidP="00CA410A">
            <w:pPr>
              <w:pStyle w:val="TableHeading"/>
              <w:jc w:val="center"/>
            </w:pPr>
            <w:r w:rsidRPr="00B0078B">
              <w:t>2024</w:t>
            </w:r>
          </w:p>
        </w:tc>
        <w:tc>
          <w:tcPr>
            <w:tcW w:w="506" w:type="pct"/>
            <w:noWrap/>
            <w:hideMark/>
          </w:tcPr>
          <w:p w14:paraId="7E705B36" w14:textId="77777777" w:rsidR="004E63D6" w:rsidRPr="00B0078B" w:rsidRDefault="004E63D6" w:rsidP="00CA410A">
            <w:pPr>
              <w:pStyle w:val="TableHeading"/>
              <w:jc w:val="center"/>
            </w:pPr>
            <w:r w:rsidRPr="00B0078B">
              <w:t>2025</w:t>
            </w:r>
          </w:p>
        </w:tc>
        <w:tc>
          <w:tcPr>
            <w:tcW w:w="506" w:type="pct"/>
            <w:noWrap/>
            <w:hideMark/>
          </w:tcPr>
          <w:p w14:paraId="376829F8" w14:textId="77777777" w:rsidR="004E63D6" w:rsidRPr="00B0078B" w:rsidRDefault="004E63D6" w:rsidP="00CA410A">
            <w:pPr>
              <w:pStyle w:val="TableHeading"/>
              <w:jc w:val="center"/>
            </w:pPr>
            <w:r w:rsidRPr="00B0078B">
              <w:t>2026</w:t>
            </w:r>
          </w:p>
        </w:tc>
        <w:tc>
          <w:tcPr>
            <w:tcW w:w="506" w:type="pct"/>
            <w:noWrap/>
            <w:hideMark/>
          </w:tcPr>
          <w:p w14:paraId="321ED29B" w14:textId="77777777" w:rsidR="004E63D6" w:rsidRPr="00B0078B" w:rsidRDefault="004E63D6" w:rsidP="00CA410A">
            <w:pPr>
              <w:pStyle w:val="TableHeading"/>
              <w:jc w:val="center"/>
            </w:pPr>
            <w:r w:rsidRPr="00B0078B">
              <w:t>2027</w:t>
            </w:r>
          </w:p>
        </w:tc>
        <w:tc>
          <w:tcPr>
            <w:tcW w:w="506" w:type="pct"/>
            <w:noWrap/>
            <w:hideMark/>
          </w:tcPr>
          <w:p w14:paraId="63825109" w14:textId="77777777" w:rsidR="004E63D6" w:rsidRPr="00B0078B" w:rsidRDefault="004E63D6" w:rsidP="00CA410A">
            <w:pPr>
              <w:pStyle w:val="TableHeading"/>
              <w:jc w:val="center"/>
            </w:pPr>
            <w:r w:rsidRPr="00B0078B">
              <w:t>2028</w:t>
            </w:r>
          </w:p>
        </w:tc>
      </w:tr>
      <w:tr w:rsidR="004E63D6" w:rsidRPr="00B0078B" w14:paraId="30F02259" w14:textId="77777777" w:rsidTr="00CA410A">
        <w:trPr>
          <w:trHeight w:val="300"/>
        </w:trPr>
        <w:tc>
          <w:tcPr>
            <w:tcW w:w="232" w:type="pct"/>
          </w:tcPr>
          <w:p w14:paraId="50EA23D8" w14:textId="77777777" w:rsidR="004E63D6" w:rsidRPr="00B0078B" w:rsidRDefault="004E63D6" w:rsidP="00CA410A">
            <w:pPr>
              <w:pStyle w:val="TableText"/>
              <w:keepNext/>
            </w:pPr>
            <w:r>
              <w:t>J</w:t>
            </w:r>
          </w:p>
        </w:tc>
        <w:tc>
          <w:tcPr>
            <w:tcW w:w="1732" w:type="pct"/>
            <w:noWrap/>
            <w:hideMark/>
          </w:tcPr>
          <w:p w14:paraId="416DEEDC" w14:textId="3571CFAB" w:rsidR="004E63D6" w:rsidRPr="00B0078B" w:rsidRDefault="004E63D6" w:rsidP="00CA410A">
            <w:pPr>
              <w:pStyle w:val="TableText"/>
              <w:keepNext/>
            </w:pPr>
            <w:r>
              <w:t xml:space="preserve">Projected reduction in </w:t>
            </w:r>
            <w:r w:rsidRPr="0085115F">
              <w:rPr>
                <w:i/>
              </w:rPr>
              <w:t>EGFR</w:t>
            </w:r>
            <w:r>
              <w:t xml:space="preserve"> services [Row B, </w:t>
            </w:r>
            <w:r>
              <w:fldChar w:fldCharType="begin"/>
            </w:r>
            <w:r>
              <w:instrText xml:space="preserve"> REF _Ref108603626 \h </w:instrText>
            </w:r>
            <w:r>
              <w:fldChar w:fldCharType="separate"/>
            </w:r>
            <w:r w:rsidR="00C857F3" w:rsidRPr="00CE28E3">
              <w:t>Table</w:t>
            </w:r>
            <w:r w:rsidR="00C857F3">
              <w:t> </w:t>
            </w:r>
            <w:r w:rsidR="00C857F3">
              <w:rPr>
                <w:noProof/>
              </w:rPr>
              <w:t>61</w:t>
            </w:r>
            <w:r>
              <w:fldChar w:fldCharType="end"/>
            </w:r>
            <w:r>
              <w:t>]</w:t>
            </w:r>
          </w:p>
        </w:tc>
        <w:tc>
          <w:tcPr>
            <w:tcW w:w="506" w:type="pct"/>
            <w:noWrap/>
            <w:hideMark/>
          </w:tcPr>
          <w:p w14:paraId="31713C26" w14:textId="77777777" w:rsidR="004E63D6" w:rsidRPr="00B0078B" w:rsidRDefault="004E63D6" w:rsidP="00CA410A">
            <w:pPr>
              <w:pStyle w:val="TableText"/>
              <w:keepNext/>
              <w:jc w:val="right"/>
            </w:pPr>
            <w:r w:rsidRPr="00B0078B">
              <w:t>5,521</w:t>
            </w:r>
          </w:p>
        </w:tc>
        <w:tc>
          <w:tcPr>
            <w:tcW w:w="506" w:type="pct"/>
            <w:noWrap/>
            <w:hideMark/>
          </w:tcPr>
          <w:p w14:paraId="601D498E" w14:textId="77777777" w:rsidR="004E63D6" w:rsidRPr="00B0078B" w:rsidRDefault="004E63D6" w:rsidP="00CA410A">
            <w:pPr>
              <w:pStyle w:val="TableText"/>
              <w:keepNext/>
              <w:jc w:val="right"/>
            </w:pPr>
            <w:r w:rsidRPr="00B0078B">
              <w:t>5,797</w:t>
            </w:r>
          </w:p>
        </w:tc>
        <w:tc>
          <w:tcPr>
            <w:tcW w:w="506" w:type="pct"/>
            <w:noWrap/>
            <w:hideMark/>
          </w:tcPr>
          <w:p w14:paraId="5E9BBEED" w14:textId="77777777" w:rsidR="004E63D6" w:rsidRPr="00B0078B" w:rsidRDefault="004E63D6" w:rsidP="00CA410A">
            <w:pPr>
              <w:pStyle w:val="TableText"/>
              <w:keepNext/>
              <w:jc w:val="right"/>
            </w:pPr>
            <w:r w:rsidRPr="00B0078B">
              <w:t>6,074</w:t>
            </w:r>
          </w:p>
        </w:tc>
        <w:tc>
          <w:tcPr>
            <w:tcW w:w="506" w:type="pct"/>
            <w:noWrap/>
            <w:hideMark/>
          </w:tcPr>
          <w:p w14:paraId="17F86AFC" w14:textId="77777777" w:rsidR="004E63D6" w:rsidRPr="00B0078B" w:rsidRDefault="004E63D6" w:rsidP="00CA410A">
            <w:pPr>
              <w:pStyle w:val="TableText"/>
              <w:keepNext/>
              <w:jc w:val="right"/>
            </w:pPr>
            <w:r w:rsidRPr="00B0078B">
              <w:t>6,351</w:t>
            </w:r>
          </w:p>
        </w:tc>
        <w:tc>
          <w:tcPr>
            <w:tcW w:w="506" w:type="pct"/>
            <w:noWrap/>
            <w:hideMark/>
          </w:tcPr>
          <w:p w14:paraId="302CF3B4" w14:textId="77777777" w:rsidR="004E63D6" w:rsidRPr="00B0078B" w:rsidRDefault="004E63D6" w:rsidP="00CA410A">
            <w:pPr>
              <w:pStyle w:val="TableText"/>
              <w:keepNext/>
              <w:jc w:val="right"/>
            </w:pPr>
            <w:r w:rsidRPr="00B0078B">
              <w:t>6,628</w:t>
            </w:r>
          </w:p>
        </w:tc>
        <w:tc>
          <w:tcPr>
            <w:tcW w:w="506" w:type="pct"/>
            <w:noWrap/>
            <w:hideMark/>
          </w:tcPr>
          <w:p w14:paraId="478E1609" w14:textId="77777777" w:rsidR="004E63D6" w:rsidRPr="00B0078B" w:rsidRDefault="004E63D6" w:rsidP="00CA410A">
            <w:pPr>
              <w:pStyle w:val="TableText"/>
              <w:keepNext/>
              <w:jc w:val="right"/>
            </w:pPr>
            <w:r w:rsidRPr="00B0078B">
              <w:t>6,905</w:t>
            </w:r>
          </w:p>
        </w:tc>
      </w:tr>
      <w:tr w:rsidR="004E63D6" w:rsidRPr="00B0078B" w14:paraId="48EAE5E5" w14:textId="77777777" w:rsidTr="00CA410A">
        <w:trPr>
          <w:trHeight w:val="300"/>
        </w:trPr>
        <w:tc>
          <w:tcPr>
            <w:tcW w:w="232" w:type="pct"/>
          </w:tcPr>
          <w:p w14:paraId="07628A53" w14:textId="77777777" w:rsidR="004E63D6" w:rsidRDefault="004E63D6" w:rsidP="00CA410A">
            <w:pPr>
              <w:pStyle w:val="TableText"/>
              <w:keepNext/>
            </w:pPr>
            <w:r>
              <w:t>K</w:t>
            </w:r>
          </w:p>
        </w:tc>
        <w:tc>
          <w:tcPr>
            <w:tcW w:w="1732" w:type="pct"/>
            <w:noWrap/>
          </w:tcPr>
          <w:p w14:paraId="6A614B65" w14:textId="77777777" w:rsidR="004E63D6" w:rsidRDefault="004E63D6" w:rsidP="00CA410A">
            <w:pPr>
              <w:pStyle w:val="TableText"/>
              <w:keepNext/>
            </w:pPr>
            <w:r w:rsidRPr="00BD4907">
              <w:t xml:space="preserve">Projected estimates of </w:t>
            </w:r>
            <w:r w:rsidRPr="0085115F">
              <w:rPr>
                <w:i/>
              </w:rPr>
              <w:t>ALK</w:t>
            </w:r>
            <w:r w:rsidRPr="00BD4907">
              <w:t xml:space="preserve"> FISH use </w:t>
            </w:r>
            <w:r>
              <w:t>[</w:t>
            </w:r>
            <w:r w:rsidRPr="00BD4907">
              <w:t xml:space="preserve">4.5% </w:t>
            </w:r>
            <w:r>
              <w:t>× J]</w:t>
            </w:r>
          </w:p>
        </w:tc>
        <w:tc>
          <w:tcPr>
            <w:tcW w:w="506" w:type="pct"/>
            <w:noWrap/>
          </w:tcPr>
          <w:p w14:paraId="31965934" w14:textId="77777777" w:rsidR="004E63D6" w:rsidRPr="00B0078B" w:rsidRDefault="004E63D6" w:rsidP="00CA410A">
            <w:pPr>
              <w:pStyle w:val="TableText"/>
              <w:keepNext/>
              <w:jc w:val="right"/>
            </w:pPr>
            <w:r w:rsidRPr="008F1FDB">
              <w:t>249</w:t>
            </w:r>
          </w:p>
        </w:tc>
        <w:tc>
          <w:tcPr>
            <w:tcW w:w="506" w:type="pct"/>
            <w:noWrap/>
          </w:tcPr>
          <w:p w14:paraId="6FE8EEDD" w14:textId="77777777" w:rsidR="004E63D6" w:rsidRPr="00B0078B" w:rsidRDefault="004E63D6" w:rsidP="00CA410A">
            <w:pPr>
              <w:pStyle w:val="TableText"/>
              <w:keepNext/>
              <w:jc w:val="right"/>
            </w:pPr>
            <w:r w:rsidRPr="008F1FDB">
              <w:t>262</w:t>
            </w:r>
          </w:p>
        </w:tc>
        <w:tc>
          <w:tcPr>
            <w:tcW w:w="506" w:type="pct"/>
            <w:noWrap/>
          </w:tcPr>
          <w:p w14:paraId="56207F5B" w14:textId="77777777" w:rsidR="004E63D6" w:rsidRPr="00B0078B" w:rsidRDefault="004E63D6" w:rsidP="00CA410A">
            <w:pPr>
              <w:pStyle w:val="TableText"/>
              <w:keepNext/>
              <w:jc w:val="right"/>
            </w:pPr>
            <w:r w:rsidRPr="008F1FDB">
              <w:t>274</w:t>
            </w:r>
          </w:p>
        </w:tc>
        <w:tc>
          <w:tcPr>
            <w:tcW w:w="506" w:type="pct"/>
            <w:noWrap/>
          </w:tcPr>
          <w:p w14:paraId="37C2B5A1" w14:textId="77777777" w:rsidR="004E63D6" w:rsidRPr="00B0078B" w:rsidRDefault="004E63D6" w:rsidP="00CA410A">
            <w:pPr>
              <w:pStyle w:val="TableText"/>
              <w:keepNext/>
              <w:jc w:val="right"/>
            </w:pPr>
            <w:r w:rsidRPr="008F1FDB">
              <w:t>287</w:t>
            </w:r>
          </w:p>
        </w:tc>
        <w:tc>
          <w:tcPr>
            <w:tcW w:w="506" w:type="pct"/>
            <w:noWrap/>
          </w:tcPr>
          <w:p w14:paraId="43BEA6B9" w14:textId="77777777" w:rsidR="004E63D6" w:rsidRPr="00B0078B" w:rsidRDefault="004E63D6" w:rsidP="00CA410A">
            <w:pPr>
              <w:pStyle w:val="TableText"/>
              <w:keepNext/>
              <w:jc w:val="right"/>
            </w:pPr>
            <w:r w:rsidRPr="008F1FDB">
              <w:t>299</w:t>
            </w:r>
          </w:p>
        </w:tc>
        <w:tc>
          <w:tcPr>
            <w:tcW w:w="506" w:type="pct"/>
            <w:noWrap/>
          </w:tcPr>
          <w:p w14:paraId="040EDAC2" w14:textId="77777777" w:rsidR="004E63D6" w:rsidRPr="00B0078B" w:rsidRDefault="004E63D6" w:rsidP="00CA410A">
            <w:pPr>
              <w:pStyle w:val="TableText"/>
              <w:keepNext/>
              <w:jc w:val="right"/>
            </w:pPr>
            <w:r w:rsidRPr="008F1FDB">
              <w:t>312</w:t>
            </w:r>
          </w:p>
        </w:tc>
      </w:tr>
      <w:tr w:rsidR="004E63D6" w:rsidRPr="00B0078B" w14:paraId="1D74559B" w14:textId="77777777" w:rsidTr="00CA410A">
        <w:trPr>
          <w:trHeight w:val="300"/>
        </w:trPr>
        <w:tc>
          <w:tcPr>
            <w:tcW w:w="232" w:type="pct"/>
          </w:tcPr>
          <w:p w14:paraId="76825C7A" w14:textId="77777777" w:rsidR="004E63D6" w:rsidRDefault="004E63D6" w:rsidP="00CA410A">
            <w:pPr>
              <w:pStyle w:val="TableText"/>
              <w:keepNext/>
            </w:pPr>
            <w:r>
              <w:t>L</w:t>
            </w:r>
          </w:p>
        </w:tc>
        <w:tc>
          <w:tcPr>
            <w:tcW w:w="1732" w:type="pct"/>
            <w:noWrap/>
          </w:tcPr>
          <w:p w14:paraId="0222AFCE" w14:textId="21CF6084" w:rsidR="004E63D6" w:rsidRDefault="004E63D6" w:rsidP="00CA410A">
            <w:pPr>
              <w:pStyle w:val="TableText"/>
              <w:keepNext/>
            </w:pPr>
            <w:r>
              <w:t xml:space="preserve">No. with insufficient sample for small RNA panel testing </w:t>
            </w:r>
            <w:r>
              <w:br/>
              <w:t xml:space="preserve">[Row H – Row I, </w:t>
            </w:r>
            <w:r>
              <w:fldChar w:fldCharType="begin"/>
            </w:r>
            <w:r>
              <w:instrText xml:space="preserve"> REF _Ref108603626 \h </w:instrText>
            </w:r>
            <w:r>
              <w:fldChar w:fldCharType="separate"/>
            </w:r>
            <w:r w:rsidR="00C857F3" w:rsidRPr="00CE28E3">
              <w:t>Table</w:t>
            </w:r>
            <w:r w:rsidR="00C857F3">
              <w:t> </w:t>
            </w:r>
            <w:r w:rsidR="00C857F3">
              <w:rPr>
                <w:noProof/>
              </w:rPr>
              <w:t>61</w:t>
            </w:r>
            <w:r>
              <w:fldChar w:fldCharType="end"/>
            </w:r>
            <w:r>
              <w:t>]</w:t>
            </w:r>
          </w:p>
        </w:tc>
        <w:tc>
          <w:tcPr>
            <w:tcW w:w="506" w:type="pct"/>
            <w:noWrap/>
          </w:tcPr>
          <w:p w14:paraId="07BF3281" w14:textId="77777777" w:rsidR="004E63D6" w:rsidRPr="00483B34" w:rsidRDefault="004E63D6" w:rsidP="00CA410A">
            <w:pPr>
              <w:pStyle w:val="TableText"/>
              <w:keepNext/>
              <w:jc w:val="right"/>
            </w:pPr>
            <w:r w:rsidRPr="008F1FDB">
              <w:t>100</w:t>
            </w:r>
          </w:p>
        </w:tc>
        <w:tc>
          <w:tcPr>
            <w:tcW w:w="506" w:type="pct"/>
            <w:noWrap/>
          </w:tcPr>
          <w:p w14:paraId="4D0128FA" w14:textId="77777777" w:rsidR="004E63D6" w:rsidRPr="00483B34" w:rsidRDefault="004E63D6" w:rsidP="00CA410A">
            <w:pPr>
              <w:pStyle w:val="TableText"/>
              <w:keepNext/>
              <w:jc w:val="right"/>
            </w:pPr>
            <w:r w:rsidRPr="008F1FDB">
              <w:t>105</w:t>
            </w:r>
          </w:p>
        </w:tc>
        <w:tc>
          <w:tcPr>
            <w:tcW w:w="506" w:type="pct"/>
            <w:noWrap/>
          </w:tcPr>
          <w:p w14:paraId="408DCC70" w14:textId="77777777" w:rsidR="004E63D6" w:rsidRPr="00483B34" w:rsidRDefault="004E63D6" w:rsidP="00CA410A">
            <w:pPr>
              <w:pStyle w:val="TableText"/>
              <w:keepNext/>
              <w:jc w:val="right"/>
            </w:pPr>
            <w:r w:rsidRPr="008F1FDB">
              <w:t>103</w:t>
            </w:r>
          </w:p>
        </w:tc>
        <w:tc>
          <w:tcPr>
            <w:tcW w:w="506" w:type="pct"/>
            <w:noWrap/>
          </w:tcPr>
          <w:p w14:paraId="1AE8B623" w14:textId="77777777" w:rsidR="004E63D6" w:rsidRPr="00483B34" w:rsidRDefault="004E63D6" w:rsidP="00CA410A">
            <w:pPr>
              <w:pStyle w:val="TableText"/>
              <w:keepNext/>
              <w:jc w:val="right"/>
            </w:pPr>
            <w:r w:rsidRPr="008F1FDB">
              <w:t>100</w:t>
            </w:r>
          </w:p>
        </w:tc>
        <w:tc>
          <w:tcPr>
            <w:tcW w:w="506" w:type="pct"/>
            <w:noWrap/>
          </w:tcPr>
          <w:p w14:paraId="6CA02132" w14:textId="77777777" w:rsidR="004E63D6" w:rsidRPr="00483B34" w:rsidRDefault="004E63D6" w:rsidP="00CA410A">
            <w:pPr>
              <w:pStyle w:val="TableText"/>
              <w:keepNext/>
              <w:jc w:val="right"/>
            </w:pPr>
            <w:r w:rsidRPr="008F1FDB">
              <w:t>96</w:t>
            </w:r>
          </w:p>
        </w:tc>
        <w:tc>
          <w:tcPr>
            <w:tcW w:w="506" w:type="pct"/>
            <w:noWrap/>
          </w:tcPr>
          <w:p w14:paraId="56267C1D" w14:textId="77777777" w:rsidR="004E63D6" w:rsidRPr="00483B34" w:rsidRDefault="004E63D6" w:rsidP="00CA410A">
            <w:pPr>
              <w:pStyle w:val="TableText"/>
              <w:keepNext/>
              <w:jc w:val="right"/>
            </w:pPr>
            <w:r w:rsidRPr="008F1FDB">
              <w:t>84</w:t>
            </w:r>
          </w:p>
        </w:tc>
      </w:tr>
      <w:tr w:rsidR="004E63D6" w:rsidRPr="00B0078B" w14:paraId="457CAEB0" w14:textId="77777777" w:rsidTr="00CA410A">
        <w:trPr>
          <w:trHeight w:val="300"/>
        </w:trPr>
        <w:tc>
          <w:tcPr>
            <w:tcW w:w="232" w:type="pct"/>
          </w:tcPr>
          <w:p w14:paraId="1304D275" w14:textId="77777777" w:rsidR="004E63D6" w:rsidRDefault="004E63D6" w:rsidP="00CA410A">
            <w:pPr>
              <w:pStyle w:val="TableText"/>
              <w:keepNext/>
            </w:pPr>
            <w:r>
              <w:t>M</w:t>
            </w:r>
          </w:p>
        </w:tc>
        <w:tc>
          <w:tcPr>
            <w:tcW w:w="1732" w:type="pct"/>
            <w:noWrap/>
          </w:tcPr>
          <w:p w14:paraId="3B0AA05B" w14:textId="77777777" w:rsidR="004E63D6" w:rsidRDefault="004E63D6" w:rsidP="00CA410A">
            <w:pPr>
              <w:pStyle w:val="TableText"/>
              <w:keepNext/>
            </w:pPr>
            <w:r>
              <w:t>No.</w:t>
            </w:r>
            <w:r w:rsidRPr="000749AE">
              <w:t xml:space="preserve"> of insufficient samples </w:t>
            </w:r>
            <w:r>
              <w:t>that have an</w:t>
            </w:r>
            <w:r w:rsidRPr="000749AE">
              <w:t xml:space="preserve"> ALK </w:t>
            </w:r>
            <w:r>
              <w:t>IHC positive result [</w:t>
            </w:r>
            <w:r w:rsidRPr="000749AE">
              <w:t>4.5%</w:t>
            </w:r>
            <w:r>
              <w:t xml:space="preserve"> × L]</w:t>
            </w:r>
          </w:p>
        </w:tc>
        <w:tc>
          <w:tcPr>
            <w:tcW w:w="506" w:type="pct"/>
            <w:noWrap/>
          </w:tcPr>
          <w:p w14:paraId="21B69256" w14:textId="77777777" w:rsidR="004E63D6" w:rsidRPr="0021640D" w:rsidRDefault="004E63D6" w:rsidP="00CA410A">
            <w:pPr>
              <w:pStyle w:val="TableText"/>
              <w:keepNext/>
              <w:jc w:val="right"/>
            </w:pPr>
            <w:r w:rsidRPr="008F1FDB">
              <w:t>5</w:t>
            </w:r>
          </w:p>
        </w:tc>
        <w:tc>
          <w:tcPr>
            <w:tcW w:w="506" w:type="pct"/>
            <w:noWrap/>
          </w:tcPr>
          <w:p w14:paraId="7418A775" w14:textId="77777777" w:rsidR="004E63D6" w:rsidRPr="0021640D" w:rsidRDefault="004E63D6" w:rsidP="00CA410A">
            <w:pPr>
              <w:pStyle w:val="TableText"/>
              <w:keepNext/>
              <w:jc w:val="right"/>
            </w:pPr>
            <w:r w:rsidRPr="008F1FDB">
              <w:t>5</w:t>
            </w:r>
          </w:p>
        </w:tc>
        <w:tc>
          <w:tcPr>
            <w:tcW w:w="506" w:type="pct"/>
            <w:noWrap/>
          </w:tcPr>
          <w:p w14:paraId="70DD38E0" w14:textId="77777777" w:rsidR="004E63D6" w:rsidRPr="0021640D" w:rsidRDefault="004E63D6" w:rsidP="00CA410A">
            <w:pPr>
              <w:pStyle w:val="TableText"/>
              <w:keepNext/>
              <w:jc w:val="right"/>
            </w:pPr>
            <w:r w:rsidRPr="008F1FDB">
              <w:t>5</w:t>
            </w:r>
          </w:p>
        </w:tc>
        <w:tc>
          <w:tcPr>
            <w:tcW w:w="506" w:type="pct"/>
            <w:noWrap/>
          </w:tcPr>
          <w:p w14:paraId="71DBCF80" w14:textId="77777777" w:rsidR="004E63D6" w:rsidRPr="0021640D" w:rsidRDefault="004E63D6" w:rsidP="00CA410A">
            <w:pPr>
              <w:pStyle w:val="TableText"/>
              <w:keepNext/>
              <w:jc w:val="right"/>
            </w:pPr>
            <w:r w:rsidRPr="008F1FDB">
              <w:t>5</w:t>
            </w:r>
          </w:p>
        </w:tc>
        <w:tc>
          <w:tcPr>
            <w:tcW w:w="506" w:type="pct"/>
            <w:noWrap/>
          </w:tcPr>
          <w:p w14:paraId="18B45185" w14:textId="77777777" w:rsidR="004E63D6" w:rsidRPr="0021640D" w:rsidRDefault="004E63D6" w:rsidP="00CA410A">
            <w:pPr>
              <w:pStyle w:val="TableText"/>
              <w:keepNext/>
              <w:jc w:val="right"/>
            </w:pPr>
            <w:r w:rsidRPr="008F1FDB">
              <w:t>4</w:t>
            </w:r>
          </w:p>
        </w:tc>
        <w:tc>
          <w:tcPr>
            <w:tcW w:w="506" w:type="pct"/>
            <w:noWrap/>
          </w:tcPr>
          <w:p w14:paraId="58A82412" w14:textId="77777777" w:rsidR="004E63D6" w:rsidRPr="0021640D" w:rsidRDefault="004E63D6" w:rsidP="00CA410A">
            <w:pPr>
              <w:pStyle w:val="TableText"/>
              <w:keepNext/>
              <w:jc w:val="right"/>
            </w:pPr>
            <w:r w:rsidRPr="008F1FDB">
              <w:t>4</w:t>
            </w:r>
          </w:p>
        </w:tc>
      </w:tr>
      <w:tr w:rsidR="004E63D6" w:rsidRPr="00B0078B" w14:paraId="221ACAD8" w14:textId="77777777" w:rsidTr="00CA410A">
        <w:trPr>
          <w:trHeight w:val="300"/>
        </w:trPr>
        <w:tc>
          <w:tcPr>
            <w:tcW w:w="232" w:type="pct"/>
          </w:tcPr>
          <w:p w14:paraId="5B468235" w14:textId="77777777" w:rsidR="004E63D6" w:rsidRDefault="004E63D6" w:rsidP="00CA410A">
            <w:pPr>
              <w:pStyle w:val="TableText"/>
              <w:keepNext/>
            </w:pPr>
            <w:r>
              <w:t>N</w:t>
            </w:r>
          </w:p>
        </w:tc>
        <w:tc>
          <w:tcPr>
            <w:tcW w:w="1732" w:type="pct"/>
            <w:noWrap/>
          </w:tcPr>
          <w:p w14:paraId="3AFE1727" w14:textId="77777777" w:rsidR="004E63D6" w:rsidRDefault="004E63D6" w:rsidP="00CA410A">
            <w:pPr>
              <w:pStyle w:val="TableText"/>
              <w:keepNext/>
            </w:pPr>
            <w:r w:rsidRPr="000749AE">
              <w:t xml:space="preserve">Reduction in </w:t>
            </w:r>
            <w:r w:rsidRPr="0085115F">
              <w:rPr>
                <w:i/>
              </w:rPr>
              <w:t>ALK</w:t>
            </w:r>
            <w:r w:rsidRPr="000749AE">
              <w:t xml:space="preserve"> FISH services</w:t>
            </w:r>
            <w:r>
              <w:t xml:space="preserve"> [K – M]</w:t>
            </w:r>
          </w:p>
        </w:tc>
        <w:tc>
          <w:tcPr>
            <w:tcW w:w="506" w:type="pct"/>
            <w:noWrap/>
          </w:tcPr>
          <w:p w14:paraId="40CAFC39" w14:textId="77777777" w:rsidR="004E63D6" w:rsidRPr="0021640D" w:rsidRDefault="004E63D6" w:rsidP="00CA410A">
            <w:pPr>
              <w:pStyle w:val="TableText"/>
              <w:keepNext/>
              <w:jc w:val="right"/>
            </w:pPr>
            <w:r w:rsidRPr="008F1FDB">
              <w:t>245</w:t>
            </w:r>
          </w:p>
        </w:tc>
        <w:tc>
          <w:tcPr>
            <w:tcW w:w="506" w:type="pct"/>
            <w:noWrap/>
          </w:tcPr>
          <w:p w14:paraId="463AF45E" w14:textId="77777777" w:rsidR="004E63D6" w:rsidRPr="0021640D" w:rsidRDefault="004E63D6" w:rsidP="00CA410A">
            <w:pPr>
              <w:pStyle w:val="TableText"/>
              <w:keepNext/>
              <w:jc w:val="right"/>
            </w:pPr>
            <w:r w:rsidRPr="008F1FDB">
              <w:t>257</w:t>
            </w:r>
          </w:p>
        </w:tc>
        <w:tc>
          <w:tcPr>
            <w:tcW w:w="506" w:type="pct"/>
            <w:noWrap/>
          </w:tcPr>
          <w:p w14:paraId="5EBD95EF" w14:textId="77777777" w:rsidR="004E63D6" w:rsidRPr="0021640D" w:rsidRDefault="004E63D6" w:rsidP="00CA410A">
            <w:pPr>
              <w:pStyle w:val="TableText"/>
              <w:keepNext/>
              <w:jc w:val="right"/>
            </w:pPr>
            <w:r w:rsidRPr="008F1FDB">
              <w:t>270</w:t>
            </w:r>
          </w:p>
        </w:tc>
        <w:tc>
          <w:tcPr>
            <w:tcW w:w="506" w:type="pct"/>
            <w:noWrap/>
          </w:tcPr>
          <w:p w14:paraId="2A2DDF39" w14:textId="77777777" w:rsidR="004E63D6" w:rsidRPr="0021640D" w:rsidRDefault="004E63D6" w:rsidP="00CA410A">
            <w:pPr>
              <w:pStyle w:val="TableText"/>
              <w:keepNext/>
              <w:jc w:val="right"/>
            </w:pPr>
            <w:r w:rsidRPr="008F1FDB">
              <w:t>282</w:t>
            </w:r>
          </w:p>
        </w:tc>
        <w:tc>
          <w:tcPr>
            <w:tcW w:w="506" w:type="pct"/>
            <w:noWrap/>
          </w:tcPr>
          <w:p w14:paraId="3CD948AD" w14:textId="77777777" w:rsidR="004E63D6" w:rsidRPr="0021640D" w:rsidRDefault="004E63D6" w:rsidP="00CA410A">
            <w:pPr>
              <w:pStyle w:val="TableText"/>
              <w:keepNext/>
              <w:jc w:val="right"/>
            </w:pPr>
            <w:r w:rsidRPr="008F1FDB">
              <w:t>295</w:t>
            </w:r>
          </w:p>
        </w:tc>
        <w:tc>
          <w:tcPr>
            <w:tcW w:w="506" w:type="pct"/>
            <w:noWrap/>
          </w:tcPr>
          <w:p w14:paraId="76C5ECCF" w14:textId="77777777" w:rsidR="004E63D6" w:rsidRPr="0021640D" w:rsidRDefault="004E63D6" w:rsidP="00CA410A">
            <w:pPr>
              <w:pStyle w:val="TableText"/>
              <w:keepNext/>
              <w:jc w:val="right"/>
            </w:pPr>
            <w:r w:rsidRPr="008F1FDB">
              <w:t>308</w:t>
            </w:r>
          </w:p>
        </w:tc>
      </w:tr>
      <w:tr w:rsidR="004E63D6" w:rsidRPr="00B0078B" w14:paraId="0AA2B894" w14:textId="77777777" w:rsidTr="00CA410A">
        <w:trPr>
          <w:trHeight w:val="300"/>
        </w:trPr>
        <w:tc>
          <w:tcPr>
            <w:tcW w:w="232" w:type="pct"/>
          </w:tcPr>
          <w:p w14:paraId="78E48DDE" w14:textId="77777777" w:rsidR="004E63D6" w:rsidRDefault="004E63D6" w:rsidP="00CA410A">
            <w:pPr>
              <w:pStyle w:val="TableText"/>
              <w:keepNext/>
            </w:pPr>
            <w:r>
              <w:t>O</w:t>
            </w:r>
          </w:p>
        </w:tc>
        <w:tc>
          <w:tcPr>
            <w:tcW w:w="1732" w:type="pct"/>
            <w:noWrap/>
          </w:tcPr>
          <w:p w14:paraId="73236FD6" w14:textId="77777777" w:rsidR="004E63D6" w:rsidRPr="000749AE" w:rsidRDefault="004E63D6" w:rsidP="00CA410A">
            <w:pPr>
              <w:pStyle w:val="TableText"/>
              <w:keepNext/>
            </w:pPr>
            <w:r w:rsidRPr="00F8572A">
              <w:t xml:space="preserve">Reduction in cost of </w:t>
            </w:r>
            <w:r w:rsidRPr="0085115F">
              <w:rPr>
                <w:i/>
              </w:rPr>
              <w:t>ALK</w:t>
            </w:r>
            <w:r w:rsidRPr="00F8572A">
              <w:t xml:space="preserve"> FISH testing to the MBS ($</w:t>
            </w:r>
            <w:r>
              <w:t>325.80</w:t>
            </w:r>
            <w:r w:rsidRPr="00F8572A">
              <w:t xml:space="preserve"> per service)</w:t>
            </w:r>
            <w:r w:rsidRPr="00F91703">
              <w:rPr>
                <w:vertAlign w:val="superscript"/>
              </w:rPr>
              <w:t>a</w:t>
            </w:r>
          </w:p>
        </w:tc>
        <w:tc>
          <w:tcPr>
            <w:tcW w:w="506" w:type="pct"/>
            <w:noWrap/>
          </w:tcPr>
          <w:p w14:paraId="31865E0D" w14:textId="77777777" w:rsidR="004E63D6" w:rsidRPr="0060764D" w:rsidRDefault="004E63D6" w:rsidP="00CA410A">
            <w:pPr>
              <w:pStyle w:val="TableText"/>
              <w:keepNext/>
              <w:jc w:val="right"/>
            </w:pPr>
            <w:r w:rsidRPr="00C2768D">
              <w:t>$79,720</w:t>
            </w:r>
          </w:p>
        </w:tc>
        <w:tc>
          <w:tcPr>
            <w:tcW w:w="506" w:type="pct"/>
            <w:noWrap/>
          </w:tcPr>
          <w:p w14:paraId="0AD2F590" w14:textId="77777777" w:rsidR="004E63D6" w:rsidRPr="0060764D" w:rsidRDefault="004E63D6" w:rsidP="00CA410A">
            <w:pPr>
              <w:pStyle w:val="TableText"/>
              <w:keepNext/>
              <w:jc w:val="right"/>
            </w:pPr>
            <w:r w:rsidRPr="00C2768D">
              <w:t>$83,719</w:t>
            </w:r>
          </w:p>
        </w:tc>
        <w:tc>
          <w:tcPr>
            <w:tcW w:w="506" w:type="pct"/>
            <w:noWrap/>
          </w:tcPr>
          <w:p w14:paraId="5A234ACF" w14:textId="77777777" w:rsidR="004E63D6" w:rsidRPr="0060764D" w:rsidRDefault="004E63D6" w:rsidP="00CA410A">
            <w:pPr>
              <w:pStyle w:val="TableText"/>
              <w:keepNext/>
              <w:jc w:val="right"/>
            </w:pPr>
            <w:r w:rsidRPr="00C2768D">
              <w:t>$87,826</w:t>
            </w:r>
          </w:p>
        </w:tc>
        <w:tc>
          <w:tcPr>
            <w:tcW w:w="506" w:type="pct"/>
            <w:noWrap/>
          </w:tcPr>
          <w:p w14:paraId="16F9DB91" w14:textId="77777777" w:rsidR="004E63D6" w:rsidRPr="0060764D" w:rsidRDefault="004E63D6" w:rsidP="00CA410A">
            <w:pPr>
              <w:pStyle w:val="TableText"/>
              <w:keepNext/>
              <w:jc w:val="right"/>
            </w:pPr>
            <w:r w:rsidRPr="00C2768D">
              <w:t>$91,943</w:t>
            </w:r>
          </w:p>
        </w:tc>
        <w:tc>
          <w:tcPr>
            <w:tcW w:w="506" w:type="pct"/>
            <w:noWrap/>
          </w:tcPr>
          <w:p w14:paraId="0A690087" w14:textId="77777777" w:rsidR="004E63D6" w:rsidRPr="0060764D" w:rsidRDefault="004E63D6" w:rsidP="00CA410A">
            <w:pPr>
              <w:pStyle w:val="TableText"/>
              <w:keepNext/>
              <w:jc w:val="right"/>
            </w:pPr>
            <w:r w:rsidRPr="00C2768D">
              <w:t>$96,070</w:t>
            </w:r>
          </w:p>
        </w:tc>
        <w:tc>
          <w:tcPr>
            <w:tcW w:w="506" w:type="pct"/>
            <w:noWrap/>
          </w:tcPr>
          <w:p w14:paraId="7945ED04" w14:textId="77777777" w:rsidR="004E63D6" w:rsidRPr="0060764D" w:rsidRDefault="004E63D6" w:rsidP="00CA410A">
            <w:pPr>
              <w:pStyle w:val="TableText"/>
              <w:keepNext/>
              <w:jc w:val="right"/>
            </w:pPr>
            <w:r w:rsidRPr="00C2768D">
              <w:t>$100,330</w:t>
            </w:r>
          </w:p>
        </w:tc>
      </w:tr>
      <w:tr w:rsidR="004E63D6" w:rsidRPr="00B0078B" w14:paraId="4E6935DC" w14:textId="77777777" w:rsidTr="00CA410A">
        <w:trPr>
          <w:trHeight w:val="300"/>
        </w:trPr>
        <w:tc>
          <w:tcPr>
            <w:tcW w:w="232" w:type="pct"/>
          </w:tcPr>
          <w:p w14:paraId="1F8FBEA3" w14:textId="77777777" w:rsidR="004E63D6" w:rsidRDefault="004E63D6" w:rsidP="00CA410A">
            <w:pPr>
              <w:pStyle w:val="TableText"/>
              <w:keepNext/>
            </w:pPr>
            <w:r>
              <w:t>P</w:t>
            </w:r>
          </w:p>
        </w:tc>
        <w:tc>
          <w:tcPr>
            <w:tcW w:w="1732" w:type="pct"/>
            <w:noWrap/>
          </w:tcPr>
          <w:p w14:paraId="689147E2" w14:textId="77777777" w:rsidR="004E63D6" w:rsidRPr="000749AE" w:rsidRDefault="004E63D6" w:rsidP="00CA410A">
            <w:pPr>
              <w:pStyle w:val="TableText"/>
              <w:keepNext/>
            </w:pPr>
            <w:r w:rsidRPr="00BD4907">
              <w:t xml:space="preserve">Projected estimates of </w:t>
            </w:r>
            <w:r w:rsidRPr="0085115F">
              <w:rPr>
                <w:i/>
              </w:rPr>
              <w:t>ROS1</w:t>
            </w:r>
            <w:r w:rsidRPr="00BD4907">
              <w:t xml:space="preserve"> FISH use </w:t>
            </w:r>
            <w:r>
              <w:br/>
              <w:t>[7</w:t>
            </w:r>
            <w:r w:rsidRPr="00BD4907">
              <w:t xml:space="preserve">.5% </w:t>
            </w:r>
            <w:r>
              <w:t>× J]</w:t>
            </w:r>
          </w:p>
        </w:tc>
        <w:tc>
          <w:tcPr>
            <w:tcW w:w="506" w:type="pct"/>
            <w:noWrap/>
          </w:tcPr>
          <w:p w14:paraId="287F8CAF" w14:textId="77777777" w:rsidR="004E63D6" w:rsidRPr="000749AE" w:rsidRDefault="004E63D6" w:rsidP="00CA410A">
            <w:pPr>
              <w:pStyle w:val="TableText"/>
              <w:keepNext/>
              <w:jc w:val="right"/>
            </w:pPr>
            <w:r w:rsidRPr="003B45EB">
              <w:t>415</w:t>
            </w:r>
          </w:p>
        </w:tc>
        <w:tc>
          <w:tcPr>
            <w:tcW w:w="506" w:type="pct"/>
            <w:noWrap/>
          </w:tcPr>
          <w:p w14:paraId="4044D869" w14:textId="77777777" w:rsidR="004E63D6" w:rsidRPr="000749AE" w:rsidRDefault="004E63D6" w:rsidP="00CA410A">
            <w:pPr>
              <w:pStyle w:val="TableText"/>
              <w:keepNext/>
              <w:jc w:val="right"/>
            </w:pPr>
            <w:r w:rsidRPr="003B45EB">
              <w:t>436</w:t>
            </w:r>
          </w:p>
        </w:tc>
        <w:tc>
          <w:tcPr>
            <w:tcW w:w="506" w:type="pct"/>
            <w:noWrap/>
          </w:tcPr>
          <w:p w14:paraId="2C2F0EE2" w14:textId="77777777" w:rsidR="004E63D6" w:rsidRPr="000749AE" w:rsidRDefault="004E63D6" w:rsidP="00CA410A">
            <w:pPr>
              <w:pStyle w:val="TableText"/>
              <w:keepNext/>
              <w:jc w:val="right"/>
            </w:pPr>
            <w:r w:rsidRPr="003B45EB">
              <w:t>457</w:t>
            </w:r>
          </w:p>
        </w:tc>
        <w:tc>
          <w:tcPr>
            <w:tcW w:w="506" w:type="pct"/>
            <w:noWrap/>
          </w:tcPr>
          <w:p w14:paraId="245ACCAB" w14:textId="77777777" w:rsidR="004E63D6" w:rsidRPr="000749AE" w:rsidRDefault="004E63D6" w:rsidP="00CA410A">
            <w:pPr>
              <w:pStyle w:val="TableText"/>
              <w:keepNext/>
              <w:jc w:val="right"/>
            </w:pPr>
            <w:r w:rsidRPr="003B45EB">
              <w:t>478</w:t>
            </w:r>
          </w:p>
        </w:tc>
        <w:tc>
          <w:tcPr>
            <w:tcW w:w="506" w:type="pct"/>
            <w:noWrap/>
          </w:tcPr>
          <w:p w14:paraId="4A6A8A6C" w14:textId="77777777" w:rsidR="004E63D6" w:rsidRPr="000749AE" w:rsidRDefault="004E63D6" w:rsidP="00CA410A">
            <w:pPr>
              <w:pStyle w:val="TableText"/>
              <w:keepNext/>
              <w:jc w:val="right"/>
            </w:pPr>
            <w:r w:rsidRPr="003B45EB">
              <w:t>499</w:t>
            </w:r>
          </w:p>
        </w:tc>
        <w:tc>
          <w:tcPr>
            <w:tcW w:w="506" w:type="pct"/>
            <w:noWrap/>
          </w:tcPr>
          <w:p w14:paraId="744D23F4" w14:textId="77777777" w:rsidR="004E63D6" w:rsidRPr="000749AE" w:rsidRDefault="004E63D6" w:rsidP="00CA410A">
            <w:pPr>
              <w:pStyle w:val="TableText"/>
              <w:keepNext/>
              <w:jc w:val="right"/>
            </w:pPr>
            <w:r w:rsidRPr="003B45EB">
              <w:t>519</w:t>
            </w:r>
          </w:p>
        </w:tc>
      </w:tr>
      <w:tr w:rsidR="004E63D6" w:rsidRPr="00B0078B" w14:paraId="08102D0D" w14:textId="77777777" w:rsidTr="00CA410A">
        <w:trPr>
          <w:trHeight w:val="300"/>
        </w:trPr>
        <w:tc>
          <w:tcPr>
            <w:tcW w:w="232" w:type="pct"/>
          </w:tcPr>
          <w:p w14:paraId="35441A41" w14:textId="77777777" w:rsidR="004E63D6" w:rsidRDefault="004E63D6" w:rsidP="00CA410A">
            <w:pPr>
              <w:pStyle w:val="TableText"/>
              <w:keepNext/>
            </w:pPr>
            <w:r>
              <w:t>Q</w:t>
            </w:r>
          </w:p>
        </w:tc>
        <w:tc>
          <w:tcPr>
            <w:tcW w:w="1732" w:type="pct"/>
            <w:noWrap/>
          </w:tcPr>
          <w:p w14:paraId="10B00795" w14:textId="77777777" w:rsidR="004E63D6" w:rsidRPr="000749AE" w:rsidRDefault="004E63D6" w:rsidP="00CA410A">
            <w:pPr>
              <w:pStyle w:val="TableText"/>
              <w:keepNext/>
            </w:pPr>
            <w:r>
              <w:t>No.</w:t>
            </w:r>
            <w:r w:rsidRPr="000749AE">
              <w:t xml:space="preserve"> of insufficient samples that </w:t>
            </w:r>
            <w:r>
              <w:t>have a</w:t>
            </w:r>
            <w:r w:rsidRPr="000749AE">
              <w:t xml:space="preserve"> </w:t>
            </w:r>
            <w:r>
              <w:t>ROS1</w:t>
            </w:r>
            <w:r w:rsidRPr="000749AE">
              <w:t xml:space="preserve"> </w:t>
            </w:r>
            <w:r>
              <w:t>IHC positive result [7.</w:t>
            </w:r>
            <w:r w:rsidRPr="000749AE">
              <w:t>5%</w:t>
            </w:r>
            <w:r>
              <w:t xml:space="preserve"> × L]</w:t>
            </w:r>
          </w:p>
        </w:tc>
        <w:tc>
          <w:tcPr>
            <w:tcW w:w="506" w:type="pct"/>
            <w:noWrap/>
          </w:tcPr>
          <w:p w14:paraId="4C1F9C0C" w14:textId="77777777" w:rsidR="004E63D6" w:rsidRPr="000749AE" w:rsidRDefault="004E63D6" w:rsidP="00CA410A">
            <w:pPr>
              <w:pStyle w:val="TableText"/>
              <w:keepNext/>
              <w:jc w:val="right"/>
            </w:pPr>
            <w:r w:rsidRPr="001B7053">
              <w:t>8</w:t>
            </w:r>
          </w:p>
        </w:tc>
        <w:tc>
          <w:tcPr>
            <w:tcW w:w="506" w:type="pct"/>
            <w:noWrap/>
          </w:tcPr>
          <w:p w14:paraId="73B245AF" w14:textId="77777777" w:rsidR="004E63D6" w:rsidRPr="000749AE" w:rsidRDefault="004E63D6" w:rsidP="00CA410A">
            <w:pPr>
              <w:pStyle w:val="TableText"/>
              <w:keepNext/>
              <w:jc w:val="right"/>
            </w:pPr>
            <w:r w:rsidRPr="001B7053">
              <w:t>8</w:t>
            </w:r>
          </w:p>
        </w:tc>
        <w:tc>
          <w:tcPr>
            <w:tcW w:w="506" w:type="pct"/>
            <w:noWrap/>
          </w:tcPr>
          <w:p w14:paraId="192835CD" w14:textId="77777777" w:rsidR="004E63D6" w:rsidRPr="000749AE" w:rsidRDefault="004E63D6" w:rsidP="00CA410A">
            <w:pPr>
              <w:pStyle w:val="TableText"/>
              <w:keepNext/>
              <w:jc w:val="right"/>
            </w:pPr>
            <w:r w:rsidRPr="001B7053">
              <w:t>8</w:t>
            </w:r>
          </w:p>
        </w:tc>
        <w:tc>
          <w:tcPr>
            <w:tcW w:w="506" w:type="pct"/>
            <w:noWrap/>
          </w:tcPr>
          <w:p w14:paraId="36A4AA40" w14:textId="77777777" w:rsidR="004E63D6" w:rsidRPr="000749AE" w:rsidRDefault="004E63D6" w:rsidP="00CA410A">
            <w:pPr>
              <w:pStyle w:val="TableText"/>
              <w:keepNext/>
              <w:jc w:val="right"/>
            </w:pPr>
            <w:r w:rsidRPr="001B7053">
              <w:t>8</w:t>
            </w:r>
          </w:p>
        </w:tc>
        <w:tc>
          <w:tcPr>
            <w:tcW w:w="506" w:type="pct"/>
            <w:noWrap/>
          </w:tcPr>
          <w:p w14:paraId="66243C9A" w14:textId="77777777" w:rsidR="004E63D6" w:rsidRPr="000749AE" w:rsidRDefault="004E63D6" w:rsidP="00CA410A">
            <w:pPr>
              <w:pStyle w:val="TableText"/>
              <w:keepNext/>
              <w:jc w:val="right"/>
            </w:pPr>
            <w:r w:rsidRPr="001B7053">
              <w:t>7</w:t>
            </w:r>
          </w:p>
        </w:tc>
        <w:tc>
          <w:tcPr>
            <w:tcW w:w="506" w:type="pct"/>
            <w:noWrap/>
          </w:tcPr>
          <w:p w14:paraId="1735DA9B" w14:textId="77777777" w:rsidR="004E63D6" w:rsidRPr="000749AE" w:rsidRDefault="004E63D6" w:rsidP="00CA410A">
            <w:pPr>
              <w:pStyle w:val="TableText"/>
              <w:keepNext/>
              <w:jc w:val="right"/>
            </w:pPr>
            <w:r w:rsidRPr="001B7053">
              <w:t>6</w:t>
            </w:r>
          </w:p>
        </w:tc>
      </w:tr>
      <w:tr w:rsidR="004E63D6" w:rsidRPr="00B0078B" w14:paraId="39B57CD5" w14:textId="77777777" w:rsidTr="00CA410A">
        <w:trPr>
          <w:trHeight w:val="300"/>
        </w:trPr>
        <w:tc>
          <w:tcPr>
            <w:tcW w:w="232" w:type="pct"/>
          </w:tcPr>
          <w:p w14:paraId="6F9CFCCC" w14:textId="77777777" w:rsidR="004E63D6" w:rsidRDefault="004E63D6" w:rsidP="00CA410A">
            <w:pPr>
              <w:pStyle w:val="TableText"/>
              <w:keepNext/>
            </w:pPr>
            <w:r>
              <w:t>R</w:t>
            </w:r>
          </w:p>
        </w:tc>
        <w:tc>
          <w:tcPr>
            <w:tcW w:w="1732" w:type="pct"/>
            <w:noWrap/>
          </w:tcPr>
          <w:p w14:paraId="749B1D56" w14:textId="77777777" w:rsidR="004E63D6" w:rsidRPr="000749AE" w:rsidRDefault="004E63D6" w:rsidP="00CA410A">
            <w:pPr>
              <w:pStyle w:val="TableText"/>
              <w:keepNext/>
            </w:pPr>
            <w:r w:rsidRPr="000749AE">
              <w:t xml:space="preserve">Reduction in </w:t>
            </w:r>
            <w:r w:rsidRPr="0085115F">
              <w:rPr>
                <w:i/>
              </w:rPr>
              <w:t>ROS1</w:t>
            </w:r>
            <w:r w:rsidRPr="000749AE">
              <w:t xml:space="preserve"> FISH services</w:t>
            </w:r>
            <w:r>
              <w:t xml:space="preserve"> </w:t>
            </w:r>
            <w:r>
              <w:br/>
              <w:t>[O – P]</w:t>
            </w:r>
          </w:p>
        </w:tc>
        <w:tc>
          <w:tcPr>
            <w:tcW w:w="506" w:type="pct"/>
            <w:noWrap/>
          </w:tcPr>
          <w:p w14:paraId="7DC15690" w14:textId="77777777" w:rsidR="004E63D6" w:rsidRPr="000749AE" w:rsidRDefault="004E63D6" w:rsidP="00CA410A">
            <w:pPr>
              <w:pStyle w:val="TableText"/>
              <w:keepNext/>
              <w:jc w:val="right"/>
            </w:pPr>
            <w:r w:rsidRPr="001B7053">
              <w:t>408</w:t>
            </w:r>
          </w:p>
        </w:tc>
        <w:tc>
          <w:tcPr>
            <w:tcW w:w="506" w:type="pct"/>
            <w:noWrap/>
          </w:tcPr>
          <w:p w14:paraId="7D22C8EC" w14:textId="77777777" w:rsidR="004E63D6" w:rsidRPr="000749AE" w:rsidRDefault="004E63D6" w:rsidP="00CA410A">
            <w:pPr>
              <w:pStyle w:val="TableText"/>
              <w:keepNext/>
              <w:jc w:val="right"/>
            </w:pPr>
            <w:r w:rsidRPr="001B7053">
              <w:t>428</w:t>
            </w:r>
          </w:p>
        </w:tc>
        <w:tc>
          <w:tcPr>
            <w:tcW w:w="506" w:type="pct"/>
            <w:noWrap/>
          </w:tcPr>
          <w:p w14:paraId="3A82F441" w14:textId="77777777" w:rsidR="004E63D6" w:rsidRPr="000749AE" w:rsidRDefault="004E63D6" w:rsidP="00CA410A">
            <w:pPr>
              <w:pStyle w:val="TableText"/>
              <w:keepNext/>
              <w:jc w:val="right"/>
            </w:pPr>
            <w:r w:rsidRPr="001B7053">
              <w:t>449</w:t>
            </w:r>
          </w:p>
        </w:tc>
        <w:tc>
          <w:tcPr>
            <w:tcW w:w="506" w:type="pct"/>
            <w:noWrap/>
          </w:tcPr>
          <w:p w14:paraId="4CE13874" w14:textId="77777777" w:rsidR="004E63D6" w:rsidRPr="000749AE" w:rsidRDefault="004E63D6" w:rsidP="00CA410A">
            <w:pPr>
              <w:pStyle w:val="TableText"/>
              <w:keepNext/>
              <w:jc w:val="right"/>
            </w:pPr>
            <w:r w:rsidRPr="001B7053">
              <w:t>470</w:t>
            </w:r>
          </w:p>
        </w:tc>
        <w:tc>
          <w:tcPr>
            <w:tcW w:w="506" w:type="pct"/>
            <w:noWrap/>
          </w:tcPr>
          <w:p w14:paraId="773FA7FC" w14:textId="77777777" w:rsidR="004E63D6" w:rsidRPr="000749AE" w:rsidRDefault="004E63D6" w:rsidP="00CA410A">
            <w:pPr>
              <w:pStyle w:val="TableText"/>
              <w:keepNext/>
              <w:jc w:val="right"/>
            </w:pPr>
            <w:r w:rsidRPr="001B7053">
              <w:t>491</w:t>
            </w:r>
          </w:p>
        </w:tc>
        <w:tc>
          <w:tcPr>
            <w:tcW w:w="506" w:type="pct"/>
            <w:noWrap/>
          </w:tcPr>
          <w:p w14:paraId="601C5353" w14:textId="77777777" w:rsidR="004E63D6" w:rsidRPr="000749AE" w:rsidRDefault="004E63D6" w:rsidP="00CA410A">
            <w:pPr>
              <w:pStyle w:val="TableText"/>
              <w:keepNext/>
              <w:jc w:val="right"/>
            </w:pPr>
            <w:r w:rsidRPr="001B7053">
              <w:t>513</w:t>
            </w:r>
          </w:p>
        </w:tc>
      </w:tr>
      <w:tr w:rsidR="004E63D6" w:rsidRPr="00B0078B" w14:paraId="7AEDC2BC" w14:textId="77777777" w:rsidTr="00CA410A">
        <w:trPr>
          <w:trHeight w:val="300"/>
        </w:trPr>
        <w:tc>
          <w:tcPr>
            <w:tcW w:w="232" w:type="pct"/>
          </w:tcPr>
          <w:p w14:paraId="0282BD84" w14:textId="77777777" w:rsidR="004E63D6" w:rsidRDefault="004E63D6" w:rsidP="00CA410A">
            <w:pPr>
              <w:pStyle w:val="TableText"/>
              <w:keepNext/>
            </w:pPr>
            <w:r>
              <w:t>S</w:t>
            </w:r>
          </w:p>
        </w:tc>
        <w:tc>
          <w:tcPr>
            <w:tcW w:w="1732" w:type="pct"/>
            <w:noWrap/>
          </w:tcPr>
          <w:p w14:paraId="6CAD2507" w14:textId="77777777" w:rsidR="004E63D6" w:rsidRPr="000749AE" w:rsidRDefault="004E63D6" w:rsidP="00CA410A">
            <w:pPr>
              <w:pStyle w:val="TableText"/>
              <w:keepNext/>
            </w:pPr>
            <w:r w:rsidRPr="00E85E5F">
              <w:t xml:space="preserve">Reduction in cost of </w:t>
            </w:r>
            <w:r w:rsidRPr="0085115F">
              <w:rPr>
                <w:i/>
              </w:rPr>
              <w:t>ROS1</w:t>
            </w:r>
            <w:r w:rsidRPr="00E85E5F">
              <w:t xml:space="preserve"> FISH testing to the MBS ($</w:t>
            </w:r>
            <w:r>
              <w:t>325.80</w:t>
            </w:r>
            <w:r w:rsidRPr="00E85E5F">
              <w:t xml:space="preserve"> per service)</w:t>
            </w:r>
            <w:r w:rsidRPr="00F91703">
              <w:rPr>
                <w:vertAlign w:val="superscript"/>
              </w:rPr>
              <w:t>a</w:t>
            </w:r>
          </w:p>
        </w:tc>
        <w:tc>
          <w:tcPr>
            <w:tcW w:w="506" w:type="pct"/>
            <w:noWrap/>
          </w:tcPr>
          <w:p w14:paraId="4972609A" w14:textId="77777777" w:rsidR="004E63D6" w:rsidRPr="00A65FE3" w:rsidRDefault="004E63D6" w:rsidP="00CA410A">
            <w:pPr>
              <w:pStyle w:val="TableText"/>
              <w:keepNext/>
              <w:jc w:val="right"/>
            </w:pPr>
            <w:r w:rsidRPr="004C3535">
              <w:t>$132,813</w:t>
            </w:r>
          </w:p>
        </w:tc>
        <w:tc>
          <w:tcPr>
            <w:tcW w:w="506" w:type="pct"/>
            <w:noWrap/>
          </w:tcPr>
          <w:p w14:paraId="43F0C372" w14:textId="77777777" w:rsidR="004E63D6" w:rsidRPr="00A65FE3" w:rsidRDefault="004E63D6" w:rsidP="00CA410A">
            <w:pPr>
              <w:pStyle w:val="TableText"/>
              <w:keepNext/>
              <w:jc w:val="right"/>
            </w:pPr>
            <w:r w:rsidRPr="004C3535">
              <w:t>$139,476</w:t>
            </w:r>
          </w:p>
        </w:tc>
        <w:tc>
          <w:tcPr>
            <w:tcW w:w="506" w:type="pct"/>
            <w:noWrap/>
          </w:tcPr>
          <w:p w14:paraId="0686BB8B" w14:textId="77777777" w:rsidR="004E63D6" w:rsidRPr="00A65FE3" w:rsidRDefault="004E63D6" w:rsidP="00CA410A">
            <w:pPr>
              <w:pStyle w:val="TableText"/>
              <w:keepNext/>
              <w:jc w:val="right"/>
            </w:pPr>
            <w:r w:rsidRPr="004C3535">
              <w:t>$146,318</w:t>
            </w:r>
          </w:p>
        </w:tc>
        <w:tc>
          <w:tcPr>
            <w:tcW w:w="506" w:type="pct"/>
            <w:noWrap/>
          </w:tcPr>
          <w:p w14:paraId="79D56FC7" w14:textId="77777777" w:rsidR="004E63D6" w:rsidRPr="00A65FE3" w:rsidRDefault="004E63D6" w:rsidP="00CA410A">
            <w:pPr>
              <w:pStyle w:val="TableText"/>
              <w:keepNext/>
              <w:jc w:val="right"/>
            </w:pPr>
            <w:r w:rsidRPr="004C3535">
              <w:t>$153,177</w:t>
            </w:r>
          </w:p>
        </w:tc>
        <w:tc>
          <w:tcPr>
            <w:tcW w:w="506" w:type="pct"/>
            <w:noWrap/>
          </w:tcPr>
          <w:p w14:paraId="0C2E0C8C" w14:textId="77777777" w:rsidR="004E63D6" w:rsidRPr="00A65FE3" w:rsidRDefault="004E63D6" w:rsidP="00CA410A">
            <w:pPr>
              <w:pStyle w:val="TableText"/>
              <w:keepNext/>
              <w:jc w:val="right"/>
            </w:pPr>
            <w:r w:rsidRPr="004C3535">
              <w:t>$160,053</w:t>
            </w:r>
          </w:p>
        </w:tc>
        <w:tc>
          <w:tcPr>
            <w:tcW w:w="506" w:type="pct"/>
            <w:noWrap/>
          </w:tcPr>
          <w:p w14:paraId="5DA41606" w14:textId="77777777" w:rsidR="004E63D6" w:rsidRPr="00A65FE3" w:rsidRDefault="004E63D6" w:rsidP="00CA410A">
            <w:pPr>
              <w:pStyle w:val="TableText"/>
              <w:keepNext/>
              <w:jc w:val="right"/>
            </w:pPr>
            <w:r w:rsidRPr="004C3535">
              <w:t>$167,150</w:t>
            </w:r>
          </w:p>
        </w:tc>
      </w:tr>
    </w:tbl>
    <w:p w14:paraId="0E54AF58" w14:textId="77777777" w:rsidR="004E63D6" w:rsidRDefault="004E63D6" w:rsidP="004E63D6">
      <w:pPr>
        <w:pStyle w:val="TableFooter"/>
      </w:pPr>
      <w:r>
        <w:t>Source: ‘Section 4.3’ worksheet of the ‘1721 financial impact.xlsx’ workbook accompanying the DCAR.</w:t>
      </w:r>
    </w:p>
    <w:p w14:paraId="61D77EFC" w14:textId="77777777" w:rsidR="004E63D6" w:rsidRDefault="004E63D6" w:rsidP="004E63D6">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RNA = ribonucleic acid; </w:t>
      </w:r>
      <w:r w:rsidRPr="00743D1B">
        <w:rPr>
          <w:i/>
        </w:rPr>
        <w:t>ROS1</w:t>
      </w:r>
      <w:r>
        <w:t xml:space="preserve"> = ROS proto-oncogene 1.</w:t>
      </w:r>
    </w:p>
    <w:p w14:paraId="232F7658" w14:textId="77777777" w:rsidR="004E63D6" w:rsidRDefault="004E63D6" w:rsidP="004E63D6">
      <w:pPr>
        <w:pStyle w:val="TableFooter"/>
      </w:pPr>
      <w:r w:rsidRPr="00D457EE">
        <w:rPr>
          <w:vertAlign w:val="superscript"/>
        </w:rPr>
        <w:t>a</w:t>
      </w:r>
      <w:r>
        <w:t xml:space="preserve"> 35.5% × $300.00</w:t>
      </w:r>
      <w:r w:rsidRPr="00B47786">
        <w:t xml:space="preserve"> </w:t>
      </w:r>
      <w:r>
        <w:t>[75% MBS benefit] +64.5% × $340.00</w:t>
      </w:r>
      <w:r w:rsidRPr="00B47786">
        <w:t xml:space="preserve"> [85% MBS benefit]</w:t>
      </w:r>
    </w:p>
    <w:p w14:paraId="6EDBDDEA" w14:textId="77777777" w:rsidR="004E63D6" w:rsidRDefault="004E63D6" w:rsidP="004E63D6">
      <w:pPr>
        <w:pStyle w:val="Heading3"/>
      </w:pPr>
      <w:bookmarkStart w:id="226" w:name="_Toc109054501"/>
      <w:bookmarkStart w:id="227" w:name="_Toc148531186"/>
      <w:r>
        <w:t xml:space="preserve">Change in use and cost of </w:t>
      </w:r>
      <w:r>
        <w:rPr>
          <w:i/>
        </w:rPr>
        <w:t>MET</w:t>
      </w:r>
      <w:r>
        <w:t>ex14sk services</w:t>
      </w:r>
      <w:bookmarkEnd w:id="226"/>
      <w:bookmarkEnd w:id="227"/>
    </w:p>
    <w:p w14:paraId="03DD52F2" w14:textId="77777777" w:rsidR="004E63D6" w:rsidRDefault="004E63D6" w:rsidP="004E63D6">
      <w:pPr>
        <w:pStyle w:val="NormalBeforeBullet"/>
      </w:pPr>
      <w:r w:rsidRPr="00EF20F5">
        <w:rPr>
          <w:i/>
        </w:rPr>
        <w:t>MET</w:t>
      </w:r>
      <w:r>
        <w:t xml:space="preserve"> exon 14 skipping testing was recently recommended by MSAC in November 2021 and is yet to be included on the MBS. Estimates of use were redacted in the 1660 PSD. As MSAC recommended that </w:t>
      </w:r>
      <w:r w:rsidRPr="00080086">
        <w:rPr>
          <w:i/>
        </w:rPr>
        <w:t>MET</w:t>
      </w:r>
      <w:r>
        <w:t xml:space="preserve">ex14sk testing not be a pathologist determinable test, testing is assumed to occur after </w:t>
      </w:r>
      <w:r w:rsidRPr="00080086">
        <w:rPr>
          <w:i/>
        </w:rPr>
        <w:t xml:space="preserve">EGFR </w:t>
      </w:r>
      <w:r>
        <w:t xml:space="preserve">testing. Patients who are diagnosed at an earlier stage of disease would only be eligible for </w:t>
      </w:r>
      <w:r w:rsidRPr="00080086">
        <w:rPr>
          <w:i/>
        </w:rPr>
        <w:t>MET</w:t>
      </w:r>
      <w:r>
        <w:t xml:space="preserve">ex14sk testing on progression to Stage IIIB/IV disease. The distribution of disease stage at diagnosis was based on a retrospective analysis of </w:t>
      </w:r>
      <w:r w:rsidRPr="008370CD">
        <w:t>Victorian Cancer Registry data</w:t>
      </w:r>
      <w:r>
        <w:t xml:space="preserve"> </w:t>
      </w:r>
      <w:r>
        <w:fldChar w:fldCharType="begin">
          <w:fldData xml:space="preserve">PEVuZE5vdGU+PENpdGU+PEF1dGhvcj5NaXRjaGVsbDwvQXV0aG9yPjxZZWFyPjIwMTM8L1llYXI+
PFJlY051bT4yMDE8L1JlY051bT48SURUZXh0PjY3NC05PC9JRFRleHQ+PERpc3BsYXlUZXh0PihN
aXRjaGVsbCBldCBhbC4gMjAxMyk8L0Rpc3BsYXlUZXh0PjxyZWNvcmQ+PHJlYy1udW1iZXI+MjAx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 </w:instrText>
      </w:r>
      <w:r>
        <w:fldChar w:fldCharType="begin">
          <w:fldData xml:space="preserve">PEVuZE5vdGU+PENpdGU+PEF1dGhvcj5NaXRjaGVsbDwvQXV0aG9yPjxZZWFyPjIwMTM8L1llYXI+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</w:fldData>
        </w:fldChar>
      </w:r>
      <w:r>
        <w:instrText xml:space="preserve"> ADDIN EN.CITE.DATA </w:instrText>
      </w:r>
      <w:r>
        <w:fldChar w:fldCharType="end"/>
      </w:r>
      <w:r>
        <w:fldChar w:fldCharType="separate"/>
      </w:r>
      <w:r>
        <w:rPr>
          <w:noProof/>
        </w:rPr>
        <w:t>(Mitchell et al. 2013)</w:t>
      </w:r>
      <w:r>
        <w:fldChar w:fldCharType="end"/>
      </w:r>
      <w:r>
        <w:t xml:space="preserve">. This study reported that 65.5% of patients had Stage IIIB/IV disease at diagnosis, with the remaining Stages I−IIIA. Of those diagnosed at an earlier stage of disease, 30% are assumed to experience progression to Stage IIIB/IV disease, as per a DUSC report published in 2017 on erlotinib and gefitinib use. For simplicity, progression is assumed to occur within the same year as lung cancer diagnosis. </w:t>
      </w:r>
      <w:r w:rsidRPr="00080086">
        <w:rPr>
          <w:i/>
        </w:rPr>
        <w:t>MET</w:t>
      </w:r>
      <w:r>
        <w:t xml:space="preserve">ex14sk testing is assumed to occur only in the proportion of patients who do not have </w:t>
      </w:r>
      <w:r w:rsidRPr="00080086">
        <w:rPr>
          <w:i/>
        </w:rPr>
        <w:t>EGFR</w:t>
      </w:r>
      <w:r>
        <w:t xml:space="preserve"> variants previously identified.</w:t>
      </w:r>
    </w:p>
    <w:p w14:paraId="5CC3C7FB" w14:textId="77777777" w:rsidR="004E63D6" w:rsidRDefault="004E63D6" w:rsidP="004E63D6">
      <w:pPr>
        <w:pStyle w:val="NormalBeforeBullet"/>
      </w:pPr>
      <w:r>
        <w:t xml:space="preserve">The fee for the proposed </w:t>
      </w:r>
      <w:r w:rsidRPr="007D6676">
        <w:rPr>
          <w:i/>
        </w:rPr>
        <w:t>MET</w:t>
      </w:r>
      <w:r>
        <w:t>ex14sk testing MBS item supported by MSAC in November 2021 was $397.35. As testing is not proposed to be a pathologist determinable service, all services are assumed to incur the 85% benefit.</w:t>
      </w:r>
    </w:p>
    <w:p w14:paraId="5DDBDF9E" w14:textId="34A24B8E" w:rsidR="004E63D6" w:rsidRDefault="004E63D6" w:rsidP="004E63D6">
      <w:pPr>
        <w:pStyle w:val="NormalBeforeBullet"/>
      </w:pPr>
      <w:r>
        <w:t xml:space="preserve">The reduction in use and cost of </w:t>
      </w:r>
      <w:r w:rsidRPr="007D6676">
        <w:rPr>
          <w:i/>
        </w:rPr>
        <w:t>MET</w:t>
      </w:r>
      <w:r>
        <w:t xml:space="preserve">ex14sk testing is presented in </w:t>
      </w:r>
      <w:r>
        <w:fldChar w:fldCharType="begin"/>
      </w:r>
      <w:r>
        <w:instrText xml:space="preserve"> REF _Ref108605784 \h </w:instrText>
      </w:r>
      <w:r>
        <w:fldChar w:fldCharType="separate"/>
      </w:r>
      <w:r w:rsidR="00C857F3" w:rsidRPr="00CE28E3">
        <w:t>Table</w:t>
      </w:r>
      <w:r w:rsidR="00C857F3">
        <w:t> </w:t>
      </w:r>
      <w:r w:rsidR="00C857F3">
        <w:rPr>
          <w:noProof/>
        </w:rPr>
        <w:t>67</w:t>
      </w:r>
      <w:r>
        <w:fldChar w:fldCharType="end"/>
      </w:r>
      <w:r>
        <w:t>.</w:t>
      </w:r>
    </w:p>
    <w:p w14:paraId="571E9EC4" w14:textId="300B4371" w:rsidR="004E63D6" w:rsidRDefault="004E63D6" w:rsidP="004E63D6">
      <w:pPr>
        <w:pStyle w:val="Caption"/>
      </w:pPr>
      <w:bookmarkStart w:id="228" w:name="_Ref108605784"/>
      <w:r w:rsidRPr="00CE28E3">
        <w:lastRenderedPageBreak/>
        <w:t>Table</w:t>
      </w:r>
      <w:r>
        <w:t> </w:t>
      </w:r>
      <w:fldSimple w:instr=" SEQ Table \* ARABIC ">
        <w:r w:rsidR="00C857F3">
          <w:rPr>
            <w:noProof/>
          </w:rPr>
          <w:t>67</w:t>
        </w:r>
      </w:fldSimple>
      <w:bookmarkEnd w:id="228"/>
      <w:r w:rsidRPr="00CE28E3">
        <w:tab/>
      </w:r>
      <w:r>
        <w:t xml:space="preserve">Reduction in use and cost of </w:t>
      </w:r>
      <w:r w:rsidRPr="007D6676">
        <w:rPr>
          <w:i/>
        </w:rPr>
        <w:t>MET</w:t>
      </w:r>
      <w:r>
        <w:t>ex14sk services</w:t>
      </w:r>
    </w:p>
    <w:tbl>
      <w:tblPr>
        <w:tblStyle w:val="TableGrid1"/>
        <w:tblW w:w="5000" w:type="pct"/>
        <w:tblLayout w:type="fixed"/>
        <w:tblLook w:val="04A0" w:firstRow="1" w:lastRow="0" w:firstColumn="1" w:lastColumn="0" w:noHBand="0" w:noVBand="1"/>
        <w:tblCaption w:val="Reduction in use and cost of METex14sk services"/>
        <w:tblDescription w:val="Reduction in use and cost of METex14sk services"/>
      </w:tblPr>
      <w:tblGrid>
        <w:gridCol w:w="418"/>
        <w:gridCol w:w="2270"/>
        <w:gridCol w:w="1055"/>
        <w:gridCol w:w="1055"/>
        <w:gridCol w:w="1055"/>
        <w:gridCol w:w="1055"/>
        <w:gridCol w:w="1055"/>
        <w:gridCol w:w="1053"/>
      </w:tblGrid>
      <w:tr w:rsidR="004E63D6" w:rsidRPr="00B0078B" w14:paraId="6EBBE6B9" w14:textId="77777777" w:rsidTr="00CA410A">
        <w:trPr>
          <w:cnfStyle w:val="100000000000" w:firstRow="1" w:lastRow="0" w:firstColumn="0" w:lastColumn="0" w:oddVBand="0" w:evenVBand="0" w:oddHBand="0" w:evenHBand="0" w:firstRowFirstColumn="0" w:firstRowLastColumn="0" w:lastRowFirstColumn="0" w:lastRowLastColumn="0"/>
          <w:trHeight w:val="300"/>
          <w:tblHeader/>
        </w:trPr>
        <w:tc>
          <w:tcPr>
            <w:tcW w:w="232" w:type="pct"/>
          </w:tcPr>
          <w:p w14:paraId="4CBDB465" w14:textId="77777777" w:rsidR="004E63D6" w:rsidRPr="00B0078B" w:rsidRDefault="004E63D6" w:rsidP="00CA410A">
            <w:pPr>
              <w:pStyle w:val="TableText"/>
              <w:keepNext/>
              <w:rPr>
                <w:b/>
              </w:rPr>
            </w:pPr>
          </w:p>
        </w:tc>
        <w:tc>
          <w:tcPr>
            <w:tcW w:w="1259" w:type="pct"/>
            <w:noWrap/>
            <w:hideMark/>
          </w:tcPr>
          <w:p w14:paraId="24BE75D0" w14:textId="77777777" w:rsidR="004E63D6" w:rsidRPr="00B0078B" w:rsidRDefault="004E63D6" w:rsidP="00CA410A">
            <w:pPr>
              <w:pStyle w:val="TableText"/>
              <w:keepNext/>
              <w:rPr>
                <w:b/>
              </w:rPr>
            </w:pPr>
          </w:p>
        </w:tc>
        <w:tc>
          <w:tcPr>
            <w:tcW w:w="585" w:type="pct"/>
            <w:noWrap/>
            <w:hideMark/>
          </w:tcPr>
          <w:p w14:paraId="39BA6E5A" w14:textId="77777777" w:rsidR="004E63D6" w:rsidRPr="00B0078B" w:rsidRDefault="004E63D6" w:rsidP="00CA410A">
            <w:pPr>
              <w:pStyle w:val="TableText"/>
              <w:keepNext/>
              <w:jc w:val="center"/>
              <w:rPr>
                <w:b/>
              </w:rPr>
            </w:pPr>
            <w:r w:rsidRPr="00B0078B">
              <w:rPr>
                <w:b/>
              </w:rPr>
              <w:t>2023</w:t>
            </w:r>
          </w:p>
        </w:tc>
        <w:tc>
          <w:tcPr>
            <w:tcW w:w="585" w:type="pct"/>
            <w:noWrap/>
            <w:hideMark/>
          </w:tcPr>
          <w:p w14:paraId="4028389B" w14:textId="77777777" w:rsidR="004E63D6" w:rsidRPr="00B0078B" w:rsidRDefault="004E63D6" w:rsidP="00CA410A">
            <w:pPr>
              <w:pStyle w:val="TableText"/>
              <w:keepNext/>
              <w:jc w:val="center"/>
              <w:rPr>
                <w:b/>
              </w:rPr>
            </w:pPr>
            <w:r w:rsidRPr="00B0078B">
              <w:rPr>
                <w:b/>
              </w:rPr>
              <w:t>2024</w:t>
            </w:r>
          </w:p>
        </w:tc>
        <w:tc>
          <w:tcPr>
            <w:tcW w:w="585" w:type="pct"/>
            <w:noWrap/>
            <w:hideMark/>
          </w:tcPr>
          <w:p w14:paraId="621057D7" w14:textId="77777777" w:rsidR="004E63D6" w:rsidRPr="00B0078B" w:rsidRDefault="004E63D6" w:rsidP="00CA410A">
            <w:pPr>
              <w:pStyle w:val="TableText"/>
              <w:keepNext/>
              <w:jc w:val="center"/>
              <w:rPr>
                <w:b/>
              </w:rPr>
            </w:pPr>
            <w:r w:rsidRPr="00B0078B">
              <w:rPr>
                <w:b/>
              </w:rPr>
              <w:t>2025</w:t>
            </w:r>
          </w:p>
        </w:tc>
        <w:tc>
          <w:tcPr>
            <w:tcW w:w="585" w:type="pct"/>
            <w:noWrap/>
            <w:hideMark/>
          </w:tcPr>
          <w:p w14:paraId="2806C287" w14:textId="77777777" w:rsidR="004E63D6" w:rsidRPr="00B0078B" w:rsidRDefault="004E63D6" w:rsidP="00CA410A">
            <w:pPr>
              <w:pStyle w:val="TableText"/>
              <w:keepNext/>
              <w:jc w:val="center"/>
              <w:rPr>
                <w:b/>
              </w:rPr>
            </w:pPr>
            <w:r w:rsidRPr="00B0078B">
              <w:rPr>
                <w:b/>
              </w:rPr>
              <w:t>2026</w:t>
            </w:r>
          </w:p>
        </w:tc>
        <w:tc>
          <w:tcPr>
            <w:tcW w:w="585" w:type="pct"/>
            <w:noWrap/>
            <w:hideMark/>
          </w:tcPr>
          <w:p w14:paraId="26616C58" w14:textId="77777777" w:rsidR="004E63D6" w:rsidRPr="00B0078B" w:rsidRDefault="004E63D6" w:rsidP="00CA410A">
            <w:pPr>
              <w:pStyle w:val="TableText"/>
              <w:keepNext/>
              <w:jc w:val="center"/>
              <w:rPr>
                <w:b/>
              </w:rPr>
            </w:pPr>
            <w:r w:rsidRPr="00B0078B">
              <w:rPr>
                <w:b/>
              </w:rPr>
              <w:t>2027</w:t>
            </w:r>
          </w:p>
        </w:tc>
        <w:tc>
          <w:tcPr>
            <w:tcW w:w="584" w:type="pct"/>
            <w:noWrap/>
            <w:hideMark/>
          </w:tcPr>
          <w:p w14:paraId="02862166" w14:textId="77777777" w:rsidR="004E63D6" w:rsidRPr="00B0078B" w:rsidRDefault="004E63D6" w:rsidP="00CA410A">
            <w:pPr>
              <w:pStyle w:val="TableText"/>
              <w:keepNext/>
              <w:jc w:val="center"/>
              <w:rPr>
                <w:b/>
              </w:rPr>
            </w:pPr>
            <w:r w:rsidRPr="00B0078B">
              <w:rPr>
                <w:b/>
              </w:rPr>
              <w:t>2028</w:t>
            </w:r>
          </w:p>
        </w:tc>
      </w:tr>
      <w:tr w:rsidR="004E63D6" w:rsidRPr="00B0078B" w14:paraId="5E32DE88" w14:textId="77777777" w:rsidTr="00CA410A">
        <w:trPr>
          <w:trHeight w:val="300"/>
        </w:trPr>
        <w:tc>
          <w:tcPr>
            <w:tcW w:w="232" w:type="pct"/>
          </w:tcPr>
          <w:p w14:paraId="398F288B" w14:textId="77777777" w:rsidR="004E63D6" w:rsidRPr="00B0078B" w:rsidRDefault="004E63D6" w:rsidP="00CA410A">
            <w:pPr>
              <w:pStyle w:val="TableText"/>
              <w:keepNext/>
            </w:pPr>
            <w:r>
              <w:t>T</w:t>
            </w:r>
          </w:p>
        </w:tc>
        <w:tc>
          <w:tcPr>
            <w:tcW w:w="1259" w:type="pct"/>
            <w:noWrap/>
            <w:hideMark/>
          </w:tcPr>
          <w:p w14:paraId="4413251A" w14:textId="1779EC60" w:rsidR="004E63D6" w:rsidRPr="00B0078B" w:rsidRDefault="004E63D6" w:rsidP="00CA410A">
            <w:pPr>
              <w:pStyle w:val="TableText"/>
              <w:keepNext/>
            </w:pPr>
            <w:r>
              <w:t xml:space="preserve">Projected reduction in </w:t>
            </w:r>
            <w:r w:rsidRPr="007D6676">
              <w:rPr>
                <w:i/>
              </w:rPr>
              <w:t>EGFR</w:t>
            </w:r>
            <w:r>
              <w:t xml:space="preserve"> services </w:t>
            </w:r>
            <w:r>
              <w:br/>
              <w:t xml:space="preserve">[Row B, </w:t>
            </w:r>
            <w:r>
              <w:fldChar w:fldCharType="begin"/>
            </w:r>
            <w:r>
              <w:instrText xml:space="preserve"> REF _Ref108603626 \h </w:instrText>
            </w:r>
            <w:r>
              <w:fldChar w:fldCharType="separate"/>
            </w:r>
            <w:r w:rsidR="00C857F3" w:rsidRPr="00CE28E3">
              <w:t>Table</w:t>
            </w:r>
            <w:r w:rsidR="00C857F3">
              <w:t> </w:t>
            </w:r>
            <w:r w:rsidR="00C857F3">
              <w:rPr>
                <w:noProof/>
              </w:rPr>
              <w:t>61</w:t>
            </w:r>
            <w:r>
              <w:fldChar w:fldCharType="end"/>
            </w:r>
            <w:r>
              <w:t>]</w:t>
            </w:r>
          </w:p>
        </w:tc>
        <w:tc>
          <w:tcPr>
            <w:tcW w:w="585" w:type="pct"/>
            <w:noWrap/>
            <w:hideMark/>
          </w:tcPr>
          <w:p w14:paraId="2D8330A9" w14:textId="77777777" w:rsidR="004E63D6" w:rsidRPr="00B0078B" w:rsidRDefault="004E63D6" w:rsidP="00CA410A">
            <w:pPr>
              <w:pStyle w:val="TableText"/>
              <w:keepNext/>
              <w:jc w:val="right"/>
            </w:pPr>
            <w:r w:rsidRPr="00B0078B">
              <w:t>5,521</w:t>
            </w:r>
          </w:p>
        </w:tc>
        <w:tc>
          <w:tcPr>
            <w:tcW w:w="585" w:type="pct"/>
            <w:noWrap/>
            <w:hideMark/>
          </w:tcPr>
          <w:p w14:paraId="1CEE918C" w14:textId="77777777" w:rsidR="004E63D6" w:rsidRPr="00B0078B" w:rsidRDefault="004E63D6" w:rsidP="00CA410A">
            <w:pPr>
              <w:pStyle w:val="TableText"/>
              <w:keepNext/>
              <w:jc w:val="right"/>
            </w:pPr>
            <w:r w:rsidRPr="00B0078B">
              <w:t>5,797</w:t>
            </w:r>
          </w:p>
        </w:tc>
        <w:tc>
          <w:tcPr>
            <w:tcW w:w="585" w:type="pct"/>
            <w:noWrap/>
            <w:hideMark/>
          </w:tcPr>
          <w:p w14:paraId="07526CA6" w14:textId="77777777" w:rsidR="004E63D6" w:rsidRPr="00B0078B" w:rsidRDefault="004E63D6" w:rsidP="00CA410A">
            <w:pPr>
              <w:pStyle w:val="TableText"/>
              <w:keepNext/>
              <w:jc w:val="right"/>
            </w:pPr>
            <w:r w:rsidRPr="00B0078B">
              <w:t>6,074</w:t>
            </w:r>
          </w:p>
        </w:tc>
        <w:tc>
          <w:tcPr>
            <w:tcW w:w="585" w:type="pct"/>
            <w:noWrap/>
            <w:hideMark/>
          </w:tcPr>
          <w:p w14:paraId="001EC60B" w14:textId="77777777" w:rsidR="004E63D6" w:rsidRPr="00B0078B" w:rsidRDefault="004E63D6" w:rsidP="00CA410A">
            <w:pPr>
              <w:pStyle w:val="TableText"/>
              <w:keepNext/>
              <w:jc w:val="right"/>
            </w:pPr>
            <w:r w:rsidRPr="00B0078B">
              <w:t>6,351</w:t>
            </w:r>
          </w:p>
        </w:tc>
        <w:tc>
          <w:tcPr>
            <w:tcW w:w="585" w:type="pct"/>
            <w:noWrap/>
            <w:hideMark/>
          </w:tcPr>
          <w:p w14:paraId="37A04E24" w14:textId="77777777" w:rsidR="004E63D6" w:rsidRPr="00B0078B" w:rsidRDefault="004E63D6" w:rsidP="00CA410A">
            <w:pPr>
              <w:pStyle w:val="TableText"/>
              <w:keepNext/>
              <w:jc w:val="right"/>
            </w:pPr>
            <w:r w:rsidRPr="00B0078B">
              <w:t>6,628</w:t>
            </w:r>
          </w:p>
        </w:tc>
        <w:tc>
          <w:tcPr>
            <w:tcW w:w="584" w:type="pct"/>
            <w:noWrap/>
            <w:hideMark/>
          </w:tcPr>
          <w:p w14:paraId="1BE2931F" w14:textId="77777777" w:rsidR="004E63D6" w:rsidRPr="00B0078B" w:rsidRDefault="004E63D6" w:rsidP="00CA410A">
            <w:pPr>
              <w:pStyle w:val="TableText"/>
              <w:keepNext/>
              <w:jc w:val="right"/>
            </w:pPr>
            <w:r w:rsidRPr="00B0078B">
              <w:t>6,905</w:t>
            </w:r>
          </w:p>
        </w:tc>
      </w:tr>
      <w:tr w:rsidR="004E63D6" w:rsidRPr="00B0078B" w14:paraId="75086158" w14:textId="77777777" w:rsidTr="00CA410A">
        <w:trPr>
          <w:trHeight w:val="300"/>
        </w:trPr>
        <w:tc>
          <w:tcPr>
            <w:tcW w:w="232" w:type="pct"/>
          </w:tcPr>
          <w:p w14:paraId="608FF22D" w14:textId="77777777" w:rsidR="004E63D6" w:rsidRDefault="004E63D6" w:rsidP="00CA410A">
            <w:pPr>
              <w:pStyle w:val="TableText"/>
              <w:keepNext/>
            </w:pPr>
            <w:r>
              <w:t>U</w:t>
            </w:r>
          </w:p>
        </w:tc>
        <w:tc>
          <w:tcPr>
            <w:tcW w:w="1259" w:type="pct"/>
            <w:noWrap/>
          </w:tcPr>
          <w:p w14:paraId="0D4AA256" w14:textId="77777777" w:rsidR="004E63D6" w:rsidRDefault="004E63D6" w:rsidP="00CA410A">
            <w:pPr>
              <w:pStyle w:val="TableText"/>
              <w:keepNext/>
            </w:pPr>
            <w:r w:rsidRPr="00CE7EDE">
              <w:t xml:space="preserve">No. </w:t>
            </w:r>
            <w:r w:rsidRPr="007D6676">
              <w:rPr>
                <w:i/>
              </w:rPr>
              <w:t>EGFR</w:t>
            </w:r>
            <w:r w:rsidRPr="00CE7EDE">
              <w:t xml:space="preserve"> tests conducte</w:t>
            </w:r>
            <w:r>
              <w:t>d in advanced disease patients [65.5% × T]</w:t>
            </w:r>
          </w:p>
        </w:tc>
        <w:tc>
          <w:tcPr>
            <w:tcW w:w="585" w:type="pct"/>
            <w:noWrap/>
          </w:tcPr>
          <w:p w14:paraId="034265A2" w14:textId="77777777" w:rsidR="004E63D6" w:rsidRPr="00B0078B" w:rsidRDefault="004E63D6" w:rsidP="00CA410A">
            <w:pPr>
              <w:pStyle w:val="TableText"/>
              <w:keepNext/>
              <w:jc w:val="right"/>
            </w:pPr>
            <w:r w:rsidRPr="00CE7EDE">
              <w:t>3,616</w:t>
            </w:r>
          </w:p>
        </w:tc>
        <w:tc>
          <w:tcPr>
            <w:tcW w:w="585" w:type="pct"/>
            <w:noWrap/>
          </w:tcPr>
          <w:p w14:paraId="2541A7A8" w14:textId="77777777" w:rsidR="004E63D6" w:rsidRPr="00B0078B" w:rsidRDefault="004E63D6" w:rsidP="00CA410A">
            <w:pPr>
              <w:pStyle w:val="TableText"/>
              <w:keepNext/>
              <w:jc w:val="right"/>
            </w:pPr>
            <w:r w:rsidRPr="00CE7EDE">
              <w:t>3,797</w:t>
            </w:r>
          </w:p>
        </w:tc>
        <w:tc>
          <w:tcPr>
            <w:tcW w:w="585" w:type="pct"/>
            <w:noWrap/>
          </w:tcPr>
          <w:p w14:paraId="62C9AD86" w14:textId="77777777" w:rsidR="004E63D6" w:rsidRPr="00B0078B" w:rsidRDefault="004E63D6" w:rsidP="00CA410A">
            <w:pPr>
              <w:pStyle w:val="TableText"/>
              <w:keepNext/>
              <w:jc w:val="right"/>
            </w:pPr>
            <w:r w:rsidRPr="00CE7EDE">
              <w:t>3,979</w:t>
            </w:r>
          </w:p>
        </w:tc>
        <w:tc>
          <w:tcPr>
            <w:tcW w:w="585" w:type="pct"/>
            <w:noWrap/>
          </w:tcPr>
          <w:p w14:paraId="6E12E82F" w14:textId="77777777" w:rsidR="004E63D6" w:rsidRPr="00B0078B" w:rsidRDefault="004E63D6" w:rsidP="00CA410A">
            <w:pPr>
              <w:pStyle w:val="TableText"/>
              <w:keepNext/>
              <w:jc w:val="right"/>
            </w:pPr>
            <w:r w:rsidRPr="00CE7EDE">
              <w:t>4,160</w:t>
            </w:r>
          </w:p>
        </w:tc>
        <w:tc>
          <w:tcPr>
            <w:tcW w:w="585" w:type="pct"/>
            <w:noWrap/>
          </w:tcPr>
          <w:p w14:paraId="6662529A" w14:textId="77777777" w:rsidR="004E63D6" w:rsidRPr="00B0078B" w:rsidRDefault="004E63D6" w:rsidP="00CA410A">
            <w:pPr>
              <w:pStyle w:val="TableText"/>
              <w:keepNext/>
              <w:jc w:val="right"/>
            </w:pPr>
            <w:r w:rsidRPr="00CE7EDE">
              <w:t>4,341</w:t>
            </w:r>
          </w:p>
        </w:tc>
        <w:tc>
          <w:tcPr>
            <w:tcW w:w="584" w:type="pct"/>
            <w:noWrap/>
          </w:tcPr>
          <w:p w14:paraId="6507BDC7" w14:textId="77777777" w:rsidR="004E63D6" w:rsidRPr="00B0078B" w:rsidRDefault="004E63D6" w:rsidP="00CA410A">
            <w:pPr>
              <w:pStyle w:val="TableText"/>
              <w:keepNext/>
              <w:jc w:val="right"/>
            </w:pPr>
            <w:r w:rsidRPr="00CE7EDE">
              <w:t>4,523</w:t>
            </w:r>
          </w:p>
        </w:tc>
      </w:tr>
      <w:tr w:rsidR="004E63D6" w:rsidRPr="00B0078B" w14:paraId="5CE29FD7" w14:textId="77777777" w:rsidTr="00CA410A">
        <w:trPr>
          <w:trHeight w:val="300"/>
        </w:trPr>
        <w:tc>
          <w:tcPr>
            <w:tcW w:w="232" w:type="pct"/>
          </w:tcPr>
          <w:p w14:paraId="5D8B55F1" w14:textId="77777777" w:rsidR="004E63D6" w:rsidRDefault="004E63D6" w:rsidP="00CA410A">
            <w:pPr>
              <w:pStyle w:val="TableText"/>
              <w:keepNext/>
            </w:pPr>
            <w:r>
              <w:t>V</w:t>
            </w:r>
          </w:p>
        </w:tc>
        <w:tc>
          <w:tcPr>
            <w:tcW w:w="1259" w:type="pct"/>
            <w:noWrap/>
          </w:tcPr>
          <w:p w14:paraId="456CEAD2" w14:textId="77777777" w:rsidR="004E63D6" w:rsidRPr="00CE7EDE" w:rsidRDefault="004E63D6" w:rsidP="00CA410A">
            <w:pPr>
              <w:pStyle w:val="TableText"/>
              <w:keepNext/>
            </w:pPr>
            <w:r w:rsidRPr="008648FD">
              <w:t>No. of patients with advanced dis</w:t>
            </w:r>
            <w:r>
              <w:t xml:space="preserve">ease and who are </w:t>
            </w:r>
            <w:r w:rsidRPr="007D6676">
              <w:rPr>
                <w:i/>
              </w:rPr>
              <w:t>EGFR</w:t>
            </w:r>
            <w:r>
              <w:t xml:space="preserve">-negative </w:t>
            </w:r>
            <w:r>
              <w:br/>
              <w:t>[</w:t>
            </w:r>
            <w:r w:rsidRPr="00754C03">
              <w:t>8</w:t>
            </w:r>
            <w:r>
              <w:t>5</w:t>
            </w:r>
            <w:r w:rsidRPr="008648FD">
              <w:t>%</w:t>
            </w:r>
            <w:r w:rsidRPr="008B0672">
              <w:rPr>
                <w:vertAlign w:val="superscript"/>
              </w:rPr>
              <w:t>a</w:t>
            </w:r>
            <w:r>
              <w:t xml:space="preserve"> × U]</w:t>
            </w:r>
          </w:p>
        </w:tc>
        <w:tc>
          <w:tcPr>
            <w:tcW w:w="585" w:type="pct"/>
            <w:noWrap/>
          </w:tcPr>
          <w:p w14:paraId="7E79662F" w14:textId="77777777" w:rsidR="004E63D6" w:rsidRPr="00CE7EDE" w:rsidRDefault="004E63D6" w:rsidP="00CA410A">
            <w:pPr>
              <w:pStyle w:val="TableText"/>
              <w:keepNext/>
              <w:jc w:val="right"/>
            </w:pPr>
            <w:r w:rsidRPr="00771B2B">
              <w:t>3,074</w:t>
            </w:r>
          </w:p>
        </w:tc>
        <w:tc>
          <w:tcPr>
            <w:tcW w:w="585" w:type="pct"/>
            <w:noWrap/>
          </w:tcPr>
          <w:p w14:paraId="1252087F" w14:textId="77777777" w:rsidR="004E63D6" w:rsidRPr="00CE7EDE" w:rsidRDefault="004E63D6" w:rsidP="00CA410A">
            <w:pPr>
              <w:pStyle w:val="TableText"/>
              <w:keepNext/>
              <w:jc w:val="right"/>
            </w:pPr>
            <w:r w:rsidRPr="00771B2B">
              <w:t>3,228</w:t>
            </w:r>
          </w:p>
        </w:tc>
        <w:tc>
          <w:tcPr>
            <w:tcW w:w="585" w:type="pct"/>
            <w:noWrap/>
          </w:tcPr>
          <w:p w14:paraId="701CA782" w14:textId="77777777" w:rsidR="004E63D6" w:rsidRPr="00CE7EDE" w:rsidRDefault="004E63D6" w:rsidP="00CA410A">
            <w:pPr>
              <w:pStyle w:val="TableText"/>
              <w:keepNext/>
              <w:jc w:val="right"/>
            </w:pPr>
            <w:r w:rsidRPr="00771B2B">
              <w:t>3,382</w:t>
            </w:r>
          </w:p>
        </w:tc>
        <w:tc>
          <w:tcPr>
            <w:tcW w:w="585" w:type="pct"/>
            <w:noWrap/>
          </w:tcPr>
          <w:p w14:paraId="165308FC" w14:textId="77777777" w:rsidR="004E63D6" w:rsidRPr="00CE7EDE" w:rsidRDefault="004E63D6" w:rsidP="00CA410A">
            <w:pPr>
              <w:pStyle w:val="TableText"/>
              <w:keepNext/>
              <w:jc w:val="right"/>
            </w:pPr>
            <w:r w:rsidRPr="00771B2B">
              <w:t>3,536</w:t>
            </w:r>
          </w:p>
        </w:tc>
        <w:tc>
          <w:tcPr>
            <w:tcW w:w="585" w:type="pct"/>
            <w:noWrap/>
          </w:tcPr>
          <w:p w14:paraId="0A8C6E9C" w14:textId="77777777" w:rsidR="004E63D6" w:rsidRPr="00CE7EDE" w:rsidRDefault="004E63D6" w:rsidP="00CA410A">
            <w:pPr>
              <w:pStyle w:val="TableText"/>
              <w:keepNext/>
              <w:jc w:val="right"/>
            </w:pPr>
            <w:r w:rsidRPr="00771B2B">
              <w:t>3,690</w:t>
            </w:r>
          </w:p>
        </w:tc>
        <w:tc>
          <w:tcPr>
            <w:tcW w:w="584" w:type="pct"/>
            <w:noWrap/>
          </w:tcPr>
          <w:p w14:paraId="487C1FF4" w14:textId="77777777" w:rsidR="004E63D6" w:rsidRPr="00CE7EDE" w:rsidRDefault="004E63D6" w:rsidP="00CA410A">
            <w:pPr>
              <w:pStyle w:val="TableText"/>
              <w:keepNext/>
              <w:jc w:val="right"/>
            </w:pPr>
            <w:r w:rsidRPr="00771B2B">
              <w:t>3,844</w:t>
            </w:r>
          </w:p>
        </w:tc>
      </w:tr>
      <w:tr w:rsidR="007B4D43" w:rsidRPr="00B0078B" w14:paraId="1028735E" w14:textId="77777777" w:rsidTr="00CA410A">
        <w:trPr>
          <w:trHeight w:val="300"/>
        </w:trPr>
        <w:tc>
          <w:tcPr>
            <w:tcW w:w="232" w:type="pct"/>
          </w:tcPr>
          <w:p w14:paraId="7D1AF0E4" w14:textId="77777777" w:rsidR="007B4D43" w:rsidRDefault="007B4D43" w:rsidP="007B4D43">
            <w:pPr>
              <w:pStyle w:val="TableText"/>
              <w:keepNext/>
            </w:pPr>
            <w:r>
              <w:t>W</w:t>
            </w:r>
          </w:p>
        </w:tc>
        <w:tc>
          <w:tcPr>
            <w:tcW w:w="1259" w:type="pct"/>
            <w:noWrap/>
          </w:tcPr>
          <w:p w14:paraId="0D98495A" w14:textId="29F1C1C8" w:rsidR="007B4D43" w:rsidRDefault="007B4D43" w:rsidP="007B4D43">
            <w:pPr>
              <w:pStyle w:val="TableText"/>
              <w:keepNext/>
            </w:pPr>
            <w:r>
              <w:t>No. services in</w:t>
            </w:r>
            <w:r w:rsidRPr="00CE7EDE">
              <w:t xml:space="preserve"> patients that progress to advanced dise</w:t>
            </w:r>
            <w:r>
              <w:t xml:space="preserve">ase (assumed within same year) and who do not have </w:t>
            </w:r>
            <w:r w:rsidRPr="007D6676">
              <w:rPr>
                <w:i/>
              </w:rPr>
              <w:t>EGFR</w:t>
            </w:r>
            <w:r>
              <w:t xml:space="preserve"> variants</w:t>
            </w:r>
            <w:r>
              <w:br/>
              <w:t>[34.5</w:t>
            </w:r>
            <w:r w:rsidRPr="00CE7EDE">
              <w:t>%</w:t>
            </w:r>
            <w:r>
              <w:t xml:space="preserve"> × 30% × </w:t>
            </w:r>
            <w:r w:rsidRPr="00754C03">
              <w:t>8</w:t>
            </w:r>
            <w:r>
              <w:t>5% × T]</w:t>
            </w:r>
            <w:r>
              <w:rPr>
                <w:vertAlign w:val="superscript"/>
              </w:rPr>
              <w:t>b</w:t>
            </w:r>
          </w:p>
        </w:tc>
        <w:tc>
          <w:tcPr>
            <w:tcW w:w="585" w:type="pct"/>
            <w:noWrap/>
          </w:tcPr>
          <w:p w14:paraId="2642B22D" w14:textId="3AA3DC3D" w:rsidR="007B4D43" w:rsidRPr="00483B34" w:rsidRDefault="007B4D43" w:rsidP="007B4D43">
            <w:pPr>
              <w:pStyle w:val="TableText"/>
              <w:keepNext/>
              <w:jc w:val="right"/>
            </w:pPr>
            <w:r w:rsidRPr="00B33DFE">
              <w:t>486</w:t>
            </w:r>
          </w:p>
        </w:tc>
        <w:tc>
          <w:tcPr>
            <w:tcW w:w="585" w:type="pct"/>
            <w:noWrap/>
          </w:tcPr>
          <w:p w14:paraId="67BA2FD4" w14:textId="3B44EE0C" w:rsidR="007B4D43" w:rsidRPr="00483B34" w:rsidRDefault="007B4D43" w:rsidP="007B4D43">
            <w:pPr>
              <w:pStyle w:val="TableText"/>
              <w:keepNext/>
              <w:jc w:val="right"/>
            </w:pPr>
            <w:r w:rsidRPr="00B33DFE">
              <w:t>510</w:t>
            </w:r>
          </w:p>
        </w:tc>
        <w:tc>
          <w:tcPr>
            <w:tcW w:w="585" w:type="pct"/>
            <w:noWrap/>
          </w:tcPr>
          <w:p w14:paraId="6CC9BCCB" w14:textId="5E6D0CB0" w:rsidR="007B4D43" w:rsidRPr="00483B34" w:rsidRDefault="007B4D43" w:rsidP="007B4D43">
            <w:pPr>
              <w:pStyle w:val="TableText"/>
              <w:keepNext/>
              <w:jc w:val="right"/>
            </w:pPr>
            <w:r w:rsidRPr="00B33DFE">
              <w:t>534</w:t>
            </w:r>
          </w:p>
        </w:tc>
        <w:tc>
          <w:tcPr>
            <w:tcW w:w="585" w:type="pct"/>
            <w:noWrap/>
          </w:tcPr>
          <w:p w14:paraId="125C9D5A" w14:textId="188C9CF9" w:rsidR="007B4D43" w:rsidRPr="00483B34" w:rsidRDefault="007B4D43" w:rsidP="007B4D43">
            <w:pPr>
              <w:pStyle w:val="TableText"/>
              <w:keepNext/>
              <w:jc w:val="right"/>
            </w:pPr>
            <w:r w:rsidRPr="00B33DFE">
              <w:t>559</w:t>
            </w:r>
          </w:p>
        </w:tc>
        <w:tc>
          <w:tcPr>
            <w:tcW w:w="585" w:type="pct"/>
            <w:noWrap/>
          </w:tcPr>
          <w:p w14:paraId="060D44DD" w14:textId="656EB88C" w:rsidR="007B4D43" w:rsidRPr="00483B34" w:rsidRDefault="007B4D43" w:rsidP="007B4D43">
            <w:pPr>
              <w:pStyle w:val="TableText"/>
              <w:keepNext/>
              <w:jc w:val="right"/>
            </w:pPr>
            <w:r w:rsidRPr="00B33DFE">
              <w:t>583</w:t>
            </w:r>
          </w:p>
        </w:tc>
        <w:tc>
          <w:tcPr>
            <w:tcW w:w="584" w:type="pct"/>
            <w:noWrap/>
          </w:tcPr>
          <w:p w14:paraId="46178A7B" w14:textId="63AAC69F" w:rsidR="007B4D43" w:rsidRPr="00483B34" w:rsidRDefault="007B4D43" w:rsidP="007B4D43">
            <w:pPr>
              <w:pStyle w:val="TableText"/>
              <w:keepNext/>
              <w:jc w:val="right"/>
            </w:pPr>
            <w:r w:rsidRPr="00B33DFE">
              <w:t>607</w:t>
            </w:r>
          </w:p>
        </w:tc>
      </w:tr>
      <w:tr w:rsidR="007B4D43" w:rsidRPr="00B0078B" w14:paraId="61C3C84D" w14:textId="77777777" w:rsidTr="00CA410A">
        <w:trPr>
          <w:trHeight w:val="300"/>
        </w:trPr>
        <w:tc>
          <w:tcPr>
            <w:tcW w:w="232" w:type="pct"/>
          </w:tcPr>
          <w:p w14:paraId="7ADE9916" w14:textId="77777777" w:rsidR="007B4D43" w:rsidRDefault="007B4D43" w:rsidP="007B4D43">
            <w:pPr>
              <w:pStyle w:val="TableText"/>
              <w:keepNext/>
            </w:pPr>
            <w:r>
              <w:t>X</w:t>
            </w:r>
          </w:p>
        </w:tc>
        <w:tc>
          <w:tcPr>
            <w:tcW w:w="1259" w:type="pct"/>
            <w:noWrap/>
          </w:tcPr>
          <w:p w14:paraId="48A3ED2F" w14:textId="77777777" w:rsidR="007B4D43" w:rsidRDefault="007B4D43" w:rsidP="007B4D43">
            <w:pPr>
              <w:pStyle w:val="TableText"/>
              <w:keepNext/>
            </w:pPr>
            <w:r w:rsidRPr="00CE7EDE">
              <w:t xml:space="preserve">Reduction in use of </w:t>
            </w:r>
            <w:r w:rsidRPr="007D6676">
              <w:rPr>
                <w:i/>
              </w:rPr>
              <w:t>MET</w:t>
            </w:r>
            <w:r w:rsidRPr="00CE7EDE">
              <w:t>ex14sk testing</w:t>
            </w:r>
            <w:r>
              <w:t xml:space="preserve"> [V + W]</w:t>
            </w:r>
          </w:p>
        </w:tc>
        <w:tc>
          <w:tcPr>
            <w:tcW w:w="585" w:type="pct"/>
            <w:noWrap/>
          </w:tcPr>
          <w:p w14:paraId="53CEF838" w14:textId="2992B3F4" w:rsidR="007B4D43" w:rsidRPr="0021640D" w:rsidRDefault="007B4D43" w:rsidP="007B4D43">
            <w:pPr>
              <w:pStyle w:val="TableText"/>
              <w:keepNext/>
              <w:jc w:val="right"/>
            </w:pPr>
            <w:r w:rsidRPr="00920525">
              <w:t>3,559</w:t>
            </w:r>
          </w:p>
        </w:tc>
        <w:tc>
          <w:tcPr>
            <w:tcW w:w="585" w:type="pct"/>
            <w:noWrap/>
          </w:tcPr>
          <w:p w14:paraId="46155582" w14:textId="7C0E6A95" w:rsidR="007B4D43" w:rsidRPr="0021640D" w:rsidRDefault="007B4D43" w:rsidP="007B4D43">
            <w:pPr>
              <w:pStyle w:val="TableText"/>
              <w:keepNext/>
              <w:jc w:val="right"/>
            </w:pPr>
            <w:r w:rsidRPr="00920525">
              <w:t>3,738</w:t>
            </w:r>
          </w:p>
        </w:tc>
        <w:tc>
          <w:tcPr>
            <w:tcW w:w="585" w:type="pct"/>
            <w:noWrap/>
          </w:tcPr>
          <w:p w14:paraId="3B7E3BE9" w14:textId="501BD941" w:rsidR="007B4D43" w:rsidRPr="0021640D" w:rsidRDefault="007B4D43" w:rsidP="007B4D43">
            <w:pPr>
              <w:pStyle w:val="TableText"/>
              <w:keepNext/>
              <w:jc w:val="right"/>
            </w:pPr>
            <w:r w:rsidRPr="00920525">
              <w:t>3,916</w:t>
            </w:r>
          </w:p>
        </w:tc>
        <w:tc>
          <w:tcPr>
            <w:tcW w:w="585" w:type="pct"/>
            <w:noWrap/>
          </w:tcPr>
          <w:p w14:paraId="74CD31C2" w14:textId="576A67A8" w:rsidR="007B4D43" w:rsidRPr="0021640D" w:rsidRDefault="007B4D43" w:rsidP="007B4D43">
            <w:pPr>
              <w:pStyle w:val="TableText"/>
              <w:keepNext/>
              <w:jc w:val="right"/>
            </w:pPr>
            <w:r w:rsidRPr="00920525">
              <w:t>4,095</w:t>
            </w:r>
          </w:p>
        </w:tc>
        <w:tc>
          <w:tcPr>
            <w:tcW w:w="585" w:type="pct"/>
            <w:noWrap/>
          </w:tcPr>
          <w:p w14:paraId="7EFAD0B1" w14:textId="28177817" w:rsidR="007B4D43" w:rsidRPr="0021640D" w:rsidRDefault="007B4D43" w:rsidP="007B4D43">
            <w:pPr>
              <w:pStyle w:val="TableText"/>
              <w:keepNext/>
              <w:jc w:val="right"/>
            </w:pPr>
            <w:r w:rsidRPr="00920525">
              <w:t>4,273</w:t>
            </w:r>
          </w:p>
        </w:tc>
        <w:tc>
          <w:tcPr>
            <w:tcW w:w="584" w:type="pct"/>
            <w:noWrap/>
          </w:tcPr>
          <w:p w14:paraId="772501D2" w14:textId="2766DEF4" w:rsidR="007B4D43" w:rsidRPr="0021640D" w:rsidRDefault="007B4D43" w:rsidP="007B4D43">
            <w:pPr>
              <w:pStyle w:val="TableText"/>
              <w:keepNext/>
              <w:jc w:val="right"/>
            </w:pPr>
            <w:r w:rsidRPr="00920525">
              <w:t>4,452</w:t>
            </w:r>
          </w:p>
        </w:tc>
      </w:tr>
      <w:tr w:rsidR="007B4D43" w:rsidRPr="00B0078B" w14:paraId="7EF70586" w14:textId="77777777" w:rsidTr="00CA410A">
        <w:trPr>
          <w:trHeight w:val="300"/>
        </w:trPr>
        <w:tc>
          <w:tcPr>
            <w:tcW w:w="232" w:type="pct"/>
          </w:tcPr>
          <w:p w14:paraId="2EE82B48" w14:textId="77777777" w:rsidR="007B4D43" w:rsidRDefault="007B4D43" w:rsidP="007B4D43">
            <w:pPr>
              <w:pStyle w:val="TableText"/>
              <w:keepNext/>
            </w:pPr>
            <w:r>
              <w:t>Y</w:t>
            </w:r>
          </w:p>
        </w:tc>
        <w:tc>
          <w:tcPr>
            <w:tcW w:w="1259" w:type="pct"/>
            <w:noWrap/>
          </w:tcPr>
          <w:p w14:paraId="1BD145EC" w14:textId="77777777" w:rsidR="007B4D43" w:rsidRPr="00CE7EDE" w:rsidRDefault="007B4D43" w:rsidP="007B4D43">
            <w:pPr>
              <w:pStyle w:val="TableText"/>
              <w:keepNext/>
            </w:pPr>
            <w:r w:rsidRPr="00214216">
              <w:t xml:space="preserve">Reduction in cost of </w:t>
            </w:r>
            <w:r w:rsidRPr="007D6676">
              <w:rPr>
                <w:i/>
              </w:rPr>
              <w:t>MET</w:t>
            </w:r>
            <w:r w:rsidRPr="00214216">
              <w:t>ex</w:t>
            </w:r>
            <w:r>
              <w:t>14sk testing to the MBS ($337.75</w:t>
            </w:r>
            <w:r w:rsidRPr="00214216">
              <w:t xml:space="preserve"> per service)</w:t>
            </w:r>
            <w:r>
              <w:rPr>
                <w:vertAlign w:val="superscript"/>
              </w:rPr>
              <w:t>c</w:t>
            </w:r>
          </w:p>
        </w:tc>
        <w:tc>
          <w:tcPr>
            <w:tcW w:w="585" w:type="pct"/>
            <w:noWrap/>
          </w:tcPr>
          <w:p w14:paraId="46741D44" w14:textId="3083ECE4" w:rsidR="007B4D43" w:rsidRPr="00CE7EDE" w:rsidRDefault="007B4D43" w:rsidP="007B4D43">
            <w:pPr>
              <w:pStyle w:val="TableText"/>
              <w:keepNext/>
              <w:jc w:val="right"/>
            </w:pPr>
            <w:r w:rsidRPr="00707186">
              <w:t>$1,202,121</w:t>
            </w:r>
          </w:p>
        </w:tc>
        <w:tc>
          <w:tcPr>
            <w:tcW w:w="585" w:type="pct"/>
            <w:noWrap/>
          </w:tcPr>
          <w:p w14:paraId="6F938BD2" w14:textId="5023ADC9" w:rsidR="007B4D43" w:rsidRPr="00CE7EDE" w:rsidRDefault="007B4D43" w:rsidP="007B4D43">
            <w:pPr>
              <w:pStyle w:val="TableText"/>
              <w:keepNext/>
              <w:jc w:val="right"/>
            </w:pPr>
            <w:r w:rsidRPr="00707186">
              <w:t>$1,262,424</w:t>
            </w:r>
          </w:p>
        </w:tc>
        <w:tc>
          <w:tcPr>
            <w:tcW w:w="585" w:type="pct"/>
            <w:noWrap/>
          </w:tcPr>
          <w:p w14:paraId="0A67FA7E" w14:textId="03CED263" w:rsidR="007B4D43" w:rsidRPr="00CE7EDE" w:rsidRDefault="007B4D43" w:rsidP="007B4D43">
            <w:pPr>
              <w:pStyle w:val="TableText"/>
              <w:keepNext/>
              <w:jc w:val="right"/>
            </w:pPr>
            <w:r w:rsidRPr="00707186">
              <w:t>$1,322,727</w:t>
            </w:r>
          </w:p>
        </w:tc>
        <w:tc>
          <w:tcPr>
            <w:tcW w:w="585" w:type="pct"/>
            <w:noWrap/>
          </w:tcPr>
          <w:p w14:paraId="52016959" w14:textId="3069D5B1" w:rsidR="007B4D43" w:rsidRPr="00CE7EDE" w:rsidRDefault="007B4D43" w:rsidP="007B4D43">
            <w:pPr>
              <w:pStyle w:val="TableText"/>
              <w:keepNext/>
              <w:jc w:val="right"/>
            </w:pPr>
            <w:r w:rsidRPr="00707186">
              <w:t>$1,383,030</w:t>
            </w:r>
          </w:p>
        </w:tc>
        <w:tc>
          <w:tcPr>
            <w:tcW w:w="585" w:type="pct"/>
            <w:noWrap/>
          </w:tcPr>
          <w:p w14:paraId="1B33504E" w14:textId="6737A3D7" w:rsidR="007B4D43" w:rsidRPr="00CE7EDE" w:rsidRDefault="007B4D43" w:rsidP="007B4D43">
            <w:pPr>
              <w:pStyle w:val="TableText"/>
              <w:keepNext/>
              <w:jc w:val="right"/>
            </w:pPr>
            <w:r w:rsidRPr="00707186">
              <w:t>$1,443,333</w:t>
            </w:r>
          </w:p>
        </w:tc>
        <w:tc>
          <w:tcPr>
            <w:tcW w:w="584" w:type="pct"/>
            <w:noWrap/>
          </w:tcPr>
          <w:p w14:paraId="1A9C7311" w14:textId="5C956651" w:rsidR="007B4D43" w:rsidRPr="00CE7EDE" w:rsidRDefault="007B4D43" w:rsidP="007B4D43">
            <w:pPr>
              <w:pStyle w:val="TableText"/>
              <w:keepNext/>
              <w:jc w:val="right"/>
            </w:pPr>
            <w:r w:rsidRPr="00707186">
              <w:t>$1,503,635</w:t>
            </w:r>
          </w:p>
        </w:tc>
      </w:tr>
    </w:tbl>
    <w:p w14:paraId="659BE847" w14:textId="77777777" w:rsidR="004E63D6" w:rsidRDefault="004E63D6" w:rsidP="004E63D6">
      <w:pPr>
        <w:pStyle w:val="TableFooter"/>
      </w:pPr>
      <w:r>
        <w:t>Source: ‘Section 4.3’ worksheet of the ‘1721 financial impact.xlsx’ workbook accompanying the DCAR.</w:t>
      </w:r>
    </w:p>
    <w:p w14:paraId="292ADCB6" w14:textId="77777777" w:rsidR="004E63D6" w:rsidRDefault="004E63D6" w:rsidP="004E63D6">
      <w:pPr>
        <w:pStyle w:val="TableFooter"/>
      </w:pPr>
      <w:r w:rsidRPr="00A81F01">
        <w:rPr>
          <w:i/>
        </w:rPr>
        <w:t>EGFR</w:t>
      </w:r>
      <w:r>
        <w:t xml:space="preserve"> = </w:t>
      </w:r>
      <w:r w:rsidRPr="00A81F01">
        <w:t>epidermal growth factor receptor</w:t>
      </w:r>
      <w:r>
        <w:t xml:space="preserve">; </w:t>
      </w:r>
      <w:r w:rsidRPr="00336456">
        <w:rPr>
          <w:i/>
        </w:rPr>
        <w:t>MET</w:t>
      </w:r>
      <w:r>
        <w:t>ex14sk = MET proto-oncogene, receptor tyrosine kinase exon 14 skipping alterations.</w:t>
      </w:r>
    </w:p>
    <w:p w14:paraId="6C6201B0" w14:textId="77777777" w:rsidR="004E63D6" w:rsidRDefault="004E63D6" w:rsidP="004E63D6">
      <w:pPr>
        <w:pStyle w:val="TableFooter"/>
      </w:pPr>
      <w:r w:rsidRPr="00D457EE">
        <w:rPr>
          <w:vertAlign w:val="superscript"/>
        </w:rPr>
        <w:t>a</w:t>
      </w:r>
      <w:r>
        <w:t xml:space="preserve"> Yield of common </w:t>
      </w:r>
      <w:r w:rsidRPr="008B0672">
        <w:rPr>
          <w:i/>
        </w:rPr>
        <w:t>EGFR</w:t>
      </w:r>
      <w:r>
        <w:t xml:space="preserve"> variants identified through single gene testing</w:t>
      </w:r>
    </w:p>
    <w:p w14:paraId="06E7B966" w14:textId="6A830AE3" w:rsidR="004E63D6" w:rsidRDefault="004E63D6" w:rsidP="004E63D6">
      <w:pPr>
        <w:pStyle w:val="TableFooter"/>
      </w:pPr>
      <w:r w:rsidRPr="00387DC4">
        <w:rPr>
          <w:vertAlign w:val="superscript"/>
        </w:rPr>
        <w:t>b</w:t>
      </w:r>
      <w:r>
        <w:t xml:space="preserve"> </w:t>
      </w:r>
      <w:r w:rsidRPr="00387DC4">
        <w:t xml:space="preserve">Proportion early stage at diagnosis (34.5%) × proportion that progress (30%) × proportion in whom </w:t>
      </w:r>
      <w:r w:rsidRPr="007D6676">
        <w:rPr>
          <w:i/>
        </w:rPr>
        <w:t>EGFR</w:t>
      </w:r>
      <w:r w:rsidRPr="00387DC4">
        <w:t xml:space="preserve"> variants were not identified (</w:t>
      </w:r>
      <w:r w:rsidR="007B4D43" w:rsidRPr="00754C03">
        <w:t>8</w:t>
      </w:r>
      <w:r w:rsidR="007B4D43">
        <w:t>5</w:t>
      </w:r>
      <w:r w:rsidRPr="00387DC4">
        <w:t>%)</w:t>
      </w:r>
    </w:p>
    <w:p w14:paraId="02C0264C" w14:textId="77777777" w:rsidR="004E63D6" w:rsidRDefault="004E63D6" w:rsidP="004E63D6">
      <w:pPr>
        <w:pStyle w:val="TableFooter"/>
      </w:pPr>
      <w:r w:rsidRPr="008B0672">
        <w:rPr>
          <w:vertAlign w:val="superscript"/>
        </w:rPr>
        <w:t>c</w:t>
      </w:r>
      <w:r>
        <w:t xml:space="preserve"> 100</w:t>
      </w:r>
      <w:r w:rsidRPr="00B47786">
        <w:t>% × $337.75 [85% MBS benefit]</w:t>
      </w:r>
    </w:p>
    <w:p w14:paraId="2089D37B" w14:textId="77777777" w:rsidR="004E63D6" w:rsidRDefault="004E63D6" w:rsidP="004E63D6">
      <w:pPr>
        <w:pStyle w:val="Heading3"/>
      </w:pPr>
      <w:bookmarkStart w:id="229" w:name="_Toc109054502"/>
      <w:bookmarkStart w:id="230" w:name="_Toc148531187"/>
      <w:r>
        <w:t>Changes in the use and cost of other MBS services</w:t>
      </w:r>
      <w:bookmarkEnd w:id="229"/>
      <w:bookmarkEnd w:id="230"/>
    </w:p>
    <w:p w14:paraId="6282CD0E" w14:textId="77777777" w:rsidR="004E63D6" w:rsidRDefault="004E63D6" w:rsidP="004E63D6">
      <w:pPr>
        <w:pStyle w:val="NormalBeforeBullet"/>
      </w:pPr>
      <w:r>
        <w:t xml:space="preserve">In addition to changes in substituted biomarker testing services, a change in use of related services may also occur with the introduction of small gene panel testing. A reduction in the use of block retrieval services is expected with each </w:t>
      </w:r>
      <w:r w:rsidRPr="005475C5">
        <w:rPr>
          <w:i/>
        </w:rPr>
        <w:t>MET</w:t>
      </w:r>
      <w:r>
        <w:t>ex14sk test, as testing is not proposed to be listed as a pathologist determinable service.</w:t>
      </w:r>
    </w:p>
    <w:p w14:paraId="4F018BD8" w14:textId="402EFF04" w:rsidR="004E63D6" w:rsidRDefault="004E63D6" w:rsidP="004E63D6">
      <w:pPr>
        <w:pStyle w:val="NormalBeforeBullet"/>
      </w:pPr>
      <w:r>
        <w:t>Patients who have early stage disease at diagnosis would have tissue samples archived. On progression to Stage IIIB/IV disease, a service is required to retrieve</w:t>
      </w:r>
      <w:r w:rsidRPr="00A20BEF">
        <w:t xml:space="preserve"> and review archived </w:t>
      </w:r>
      <w:r>
        <w:t>FFPE</w:t>
      </w:r>
      <w:r w:rsidRPr="00A20BEF">
        <w:t xml:space="preserve"> blocks for the purpose of conducting genetic testing</w:t>
      </w:r>
      <w:r>
        <w:t xml:space="preserve"> (MBS item 72860) (including </w:t>
      </w:r>
      <w:r w:rsidRPr="005475C5">
        <w:rPr>
          <w:i/>
        </w:rPr>
        <w:t>MET</w:t>
      </w:r>
      <w:r>
        <w:t xml:space="preserve">ex14sk testing and </w:t>
      </w:r>
      <w:r w:rsidRPr="005475C5">
        <w:rPr>
          <w:i/>
        </w:rPr>
        <w:t>ALK</w:t>
      </w:r>
      <w:r>
        <w:t xml:space="preserve"> or </w:t>
      </w:r>
      <w:r w:rsidRPr="005475C5">
        <w:rPr>
          <w:i/>
        </w:rPr>
        <w:t>ROS1</w:t>
      </w:r>
      <w:r>
        <w:t xml:space="preserve"> FISH testing, if required). This is assumed to occur in all patients who progress and in whom an </w:t>
      </w:r>
      <w:r w:rsidRPr="001F1789">
        <w:rPr>
          <w:i/>
        </w:rPr>
        <w:t>EGFR</w:t>
      </w:r>
      <w:r>
        <w:t xml:space="preserve"> variant had not previously been identified (i.e. Row W, </w:t>
      </w:r>
      <w:r>
        <w:fldChar w:fldCharType="begin"/>
      </w:r>
      <w:r>
        <w:instrText xml:space="preserve"> REF _Ref108605784 \h </w:instrText>
      </w:r>
      <w:r>
        <w:fldChar w:fldCharType="separate"/>
      </w:r>
      <w:r w:rsidR="00C857F3" w:rsidRPr="00CE28E3">
        <w:t>Table</w:t>
      </w:r>
      <w:r w:rsidR="00C857F3">
        <w:t> </w:t>
      </w:r>
      <w:r w:rsidR="00C857F3">
        <w:rPr>
          <w:noProof/>
        </w:rPr>
        <w:t>67</w:t>
      </w:r>
      <w:r>
        <w:fldChar w:fldCharType="end"/>
      </w:r>
      <w:r>
        <w:t xml:space="preserve">). </w:t>
      </w:r>
    </w:p>
    <w:p w14:paraId="095EBDAE" w14:textId="6872C7EE" w:rsidR="004E63D6" w:rsidRPr="008554DF" w:rsidRDefault="004E63D6" w:rsidP="004E63D6">
      <w:pPr>
        <w:pStyle w:val="Caption"/>
      </w:pPr>
      <w:r w:rsidRPr="00CE28E3">
        <w:t>Table</w:t>
      </w:r>
      <w:r>
        <w:t> </w:t>
      </w:r>
      <w:fldSimple w:instr=" SEQ Table \* ARABIC ">
        <w:r w:rsidR="00C857F3">
          <w:rPr>
            <w:noProof/>
          </w:rPr>
          <w:t>68</w:t>
        </w:r>
      </w:fldSimple>
      <w:r w:rsidRPr="00CE28E3">
        <w:tab/>
      </w:r>
      <w:r>
        <w:t xml:space="preserve">Reduction in use and cost </w:t>
      </w:r>
      <w:r w:rsidRPr="008554DF">
        <w:t xml:space="preserve">of block retrieval </w:t>
      </w:r>
      <w:r>
        <w:t>services</w:t>
      </w:r>
    </w:p>
    <w:tbl>
      <w:tblPr>
        <w:tblStyle w:val="TableGrid1"/>
        <w:tblW w:w="5000" w:type="pct"/>
        <w:tblLayout w:type="fixed"/>
        <w:tblLook w:val="04A0" w:firstRow="1" w:lastRow="0" w:firstColumn="1" w:lastColumn="0" w:noHBand="0" w:noVBand="1"/>
        <w:tblCaption w:val="Reduction in use and cost of block retrieval services"/>
        <w:tblDescription w:val="Reduction in use and cost of block retrieval services"/>
      </w:tblPr>
      <w:tblGrid>
        <w:gridCol w:w="2688"/>
        <w:gridCol w:w="1055"/>
        <w:gridCol w:w="1055"/>
        <w:gridCol w:w="1055"/>
        <w:gridCol w:w="1055"/>
        <w:gridCol w:w="1055"/>
        <w:gridCol w:w="1053"/>
      </w:tblGrid>
      <w:tr w:rsidR="004E63D6" w:rsidRPr="0085115F" w14:paraId="1F9601ED" w14:textId="77777777" w:rsidTr="00EC7F4B">
        <w:trPr>
          <w:cnfStyle w:val="100000000000" w:firstRow="1" w:lastRow="0" w:firstColumn="0" w:lastColumn="0" w:oddVBand="0" w:evenVBand="0" w:oddHBand="0" w:evenHBand="0" w:firstRowFirstColumn="0" w:firstRowLastColumn="0" w:lastRowFirstColumn="0" w:lastRowLastColumn="0"/>
          <w:trHeight w:val="300"/>
          <w:tblHeader/>
        </w:trPr>
        <w:tc>
          <w:tcPr>
            <w:tcW w:w="1491" w:type="pct"/>
            <w:noWrap/>
            <w:hideMark/>
          </w:tcPr>
          <w:p w14:paraId="129F7862" w14:textId="77777777" w:rsidR="004E63D6" w:rsidRPr="0085115F" w:rsidRDefault="004E63D6" w:rsidP="00CA410A">
            <w:pPr>
              <w:pStyle w:val="TableHeading"/>
            </w:pPr>
          </w:p>
        </w:tc>
        <w:tc>
          <w:tcPr>
            <w:tcW w:w="585" w:type="pct"/>
            <w:noWrap/>
            <w:hideMark/>
          </w:tcPr>
          <w:p w14:paraId="0AD9F59C" w14:textId="77777777" w:rsidR="004E63D6" w:rsidRPr="0085115F" w:rsidRDefault="004E63D6" w:rsidP="00CA410A">
            <w:pPr>
              <w:pStyle w:val="TableHeading"/>
              <w:jc w:val="center"/>
            </w:pPr>
            <w:r w:rsidRPr="0085115F">
              <w:t>2023</w:t>
            </w:r>
          </w:p>
        </w:tc>
        <w:tc>
          <w:tcPr>
            <w:tcW w:w="585" w:type="pct"/>
            <w:noWrap/>
            <w:hideMark/>
          </w:tcPr>
          <w:p w14:paraId="66B02960" w14:textId="77777777" w:rsidR="004E63D6" w:rsidRPr="0085115F" w:rsidRDefault="004E63D6" w:rsidP="00CA410A">
            <w:pPr>
              <w:pStyle w:val="TableHeading"/>
              <w:jc w:val="center"/>
            </w:pPr>
            <w:r w:rsidRPr="0085115F">
              <w:t>2024</w:t>
            </w:r>
          </w:p>
        </w:tc>
        <w:tc>
          <w:tcPr>
            <w:tcW w:w="585" w:type="pct"/>
            <w:noWrap/>
            <w:hideMark/>
          </w:tcPr>
          <w:p w14:paraId="0F304190" w14:textId="77777777" w:rsidR="004E63D6" w:rsidRPr="0085115F" w:rsidRDefault="004E63D6" w:rsidP="00CA410A">
            <w:pPr>
              <w:pStyle w:val="TableHeading"/>
              <w:jc w:val="center"/>
            </w:pPr>
            <w:r w:rsidRPr="0085115F">
              <w:t>2025</w:t>
            </w:r>
          </w:p>
        </w:tc>
        <w:tc>
          <w:tcPr>
            <w:tcW w:w="585" w:type="pct"/>
            <w:noWrap/>
            <w:hideMark/>
          </w:tcPr>
          <w:p w14:paraId="494FE430" w14:textId="77777777" w:rsidR="004E63D6" w:rsidRPr="0085115F" w:rsidRDefault="004E63D6" w:rsidP="00CA410A">
            <w:pPr>
              <w:pStyle w:val="TableHeading"/>
              <w:jc w:val="center"/>
            </w:pPr>
            <w:r w:rsidRPr="0085115F">
              <w:t>2026</w:t>
            </w:r>
          </w:p>
        </w:tc>
        <w:tc>
          <w:tcPr>
            <w:tcW w:w="585" w:type="pct"/>
            <w:noWrap/>
            <w:hideMark/>
          </w:tcPr>
          <w:p w14:paraId="18F1EC18" w14:textId="77777777" w:rsidR="004E63D6" w:rsidRPr="0085115F" w:rsidRDefault="004E63D6" w:rsidP="00CA410A">
            <w:pPr>
              <w:pStyle w:val="TableHeading"/>
              <w:jc w:val="center"/>
            </w:pPr>
            <w:r w:rsidRPr="0085115F">
              <w:t>2027</w:t>
            </w:r>
          </w:p>
        </w:tc>
        <w:tc>
          <w:tcPr>
            <w:tcW w:w="584" w:type="pct"/>
            <w:noWrap/>
            <w:hideMark/>
          </w:tcPr>
          <w:p w14:paraId="13FB025A" w14:textId="77777777" w:rsidR="004E63D6" w:rsidRPr="0085115F" w:rsidRDefault="004E63D6" w:rsidP="00CA410A">
            <w:pPr>
              <w:pStyle w:val="TableHeading"/>
              <w:jc w:val="center"/>
            </w:pPr>
            <w:r w:rsidRPr="0085115F">
              <w:t>2028</w:t>
            </w:r>
          </w:p>
        </w:tc>
      </w:tr>
      <w:tr w:rsidR="007B4D43" w:rsidRPr="0085115F" w14:paraId="37DD8F61" w14:textId="77777777" w:rsidTr="00CA410A">
        <w:trPr>
          <w:trHeight w:val="300"/>
        </w:trPr>
        <w:tc>
          <w:tcPr>
            <w:tcW w:w="1491" w:type="pct"/>
            <w:noWrap/>
            <w:hideMark/>
          </w:tcPr>
          <w:p w14:paraId="58D4A2A9" w14:textId="338BEAB5" w:rsidR="007B4D43" w:rsidRPr="0085115F" w:rsidRDefault="007B4D43" w:rsidP="007B4D43">
            <w:pPr>
              <w:pStyle w:val="TableText"/>
            </w:pPr>
            <w:r>
              <w:t xml:space="preserve">Estimated </w:t>
            </w:r>
            <w:r w:rsidRPr="008554DF">
              <w:t xml:space="preserve">reduction in block retrieval services </w:t>
            </w:r>
            <w:r>
              <w:br/>
            </w:r>
            <w:r w:rsidRPr="008554DF">
              <w:t xml:space="preserve">[Row </w:t>
            </w:r>
            <w:r>
              <w:t>X</w:t>
            </w:r>
            <w:r w:rsidRPr="008554DF">
              <w:t xml:space="preserve">, </w:t>
            </w:r>
            <w:r>
              <w:fldChar w:fldCharType="begin"/>
            </w:r>
            <w:r>
              <w:instrText xml:space="preserve"> REF _Ref108605784 \h </w:instrText>
            </w:r>
            <w:r>
              <w:fldChar w:fldCharType="separate"/>
            </w:r>
            <w:r w:rsidR="00C857F3" w:rsidRPr="00CE28E3">
              <w:t>Table</w:t>
            </w:r>
            <w:r w:rsidR="00C857F3">
              <w:t> </w:t>
            </w:r>
            <w:r w:rsidR="00C857F3">
              <w:rPr>
                <w:noProof/>
              </w:rPr>
              <w:t>67</w:t>
            </w:r>
            <w:r>
              <w:fldChar w:fldCharType="end"/>
            </w:r>
            <w:r w:rsidRPr="008554DF">
              <w:t>]</w:t>
            </w:r>
          </w:p>
        </w:tc>
        <w:tc>
          <w:tcPr>
            <w:tcW w:w="585" w:type="pct"/>
            <w:noWrap/>
            <w:hideMark/>
          </w:tcPr>
          <w:p w14:paraId="707104C2" w14:textId="5E6C3680" w:rsidR="007B4D43" w:rsidRPr="0085115F" w:rsidRDefault="007B4D43" w:rsidP="007B4D43">
            <w:pPr>
              <w:pStyle w:val="TableText"/>
              <w:jc w:val="right"/>
            </w:pPr>
            <w:r w:rsidRPr="00FA0229">
              <w:t>3,559</w:t>
            </w:r>
          </w:p>
        </w:tc>
        <w:tc>
          <w:tcPr>
            <w:tcW w:w="585" w:type="pct"/>
            <w:noWrap/>
            <w:hideMark/>
          </w:tcPr>
          <w:p w14:paraId="3AD07EBD" w14:textId="7873B8B1" w:rsidR="007B4D43" w:rsidRPr="0085115F" w:rsidRDefault="007B4D43" w:rsidP="007B4D43">
            <w:pPr>
              <w:pStyle w:val="TableText"/>
              <w:jc w:val="right"/>
            </w:pPr>
            <w:r w:rsidRPr="00FA0229">
              <w:t>3,738</w:t>
            </w:r>
          </w:p>
        </w:tc>
        <w:tc>
          <w:tcPr>
            <w:tcW w:w="585" w:type="pct"/>
            <w:noWrap/>
            <w:hideMark/>
          </w:tcPr>
          <w:p w14:paraId="6B9AE0AA" w14:textId="0A816999" w:rsidR="007B4D43" w:rsidRPr="0085115F" w:rsidRDefault="007B4D43" w:rsidP="007B4D43">
            <w:pPr>
              <w:pStyle w:val="TableText"/>
              <w:jc w:val="right"/>
            </w:pPr>
            <w:r w:rsidRPr="00FA0229">
              <w:t>3,916</w:t>
            </w:r>
          </w:p>
        </w:tc>
        <w:tc>
          <w:tcPr>
            <w:tcW w:w="585" w:type="pct"/>
            <w:noWrap/>
            <w:hideMark/>
          </w:tcPr>
          <w:p w14:paraId="2FA9C8F4" w14:textId="21BCB979" w:rsidR="007B4D43" w:rsidRPr="0085115F" w:rsidRDefault="007B4D43" w:rsidP="007B4D43">
            <w:pPr>
              <w:pStyle w:val="TableText"/>
              <w:jc w:val="right"/>
            </w:pPr>
            <w:r w:rsidRPr="00FA0229">
              <w:t>4,095</w:t>
            </w:r>
          </w:p>
        </w:tc>
        <w:tc>
          <w:tcPr>
            <w:tcW w:w="585" w:type="pct"/>
            <w:noWrap/>
            <w:hideMark/>
          </w:tcPr>
          <w:p w14:paraId="1F8F0166" w14:textId="602414D9" w:rsidR="007B4D43" w:rsidRPr="0085115F" w:rsidRDefault="007B4D43" w:rsidP="007B4D43">
            <w:pPr>
              <w:pStyle w:val="TableText"/>
              <w:jc w:val="right"/>
            </w:pPr>
            <w:r w:rsidRPr="00FA0229">
              <w:t>4,273</w:t>
            </w:r>
          </w:p>
        </w:tc>
        <w:tc>
          <w:tcPr>
            <w:tcW w:w="584" w:type="pct"/>
            <w:noWrap/>
            <w:hideMark/>
          </w:tcPr>
          <w:p w14:paraId="4C3567D7" w14:textId="6340A405" w:rsidR="007B4D43" w:rsidRPr="0085115F" w:rsidRDefault="007B4D43" w:rsidP="007B4D43">
            <w:pPr>
              <w:pStyle w:val="TableText"/>
              <w:jc w:val="right"/>
            </w:pPr>
            <w:r w:rsidRPr="00FA0229">
              <w:t>4,452</w:t>
            </w:r>
          </w:p>
        </w:tc>
      </w:tr>
      <w:tr w:rsidR="007B4D43" w:rsidRPr="0085115F" w14:paraId="0ABC14FC" w14:textId="77777777" w:rsidTr="00CA410A">
        <w:trPr>
          <w:trHeight w:val="300"/>
        </w:trPr>
        <w:tc>
          <w:tcPr>
            <w:tcW w:w="1491" w:type="pct"/>
            <w:noWrap/>
            <w:hideMark/>
          </w:tcPr>
          <w:p w14:paraId="49D241C5" w14:textId="77777777" w:rsidR="007B4D43" w:rsidRPr="0085115F" w:rsidRDefault="007B4D43" w:rsidP="007B4D43">
            <w:pPr>
              <w:pStyle w:val="TableText"/>
            </w:pPr>
            <w:r w:rsidRPr="008554DF">
              <w:t xml:space="preserve">Reduction in cost of block retrieval to the MBS </w:t>
            </w:r>
            <w:r>
              <w:br/>
              <w:t xml:space="preserve">($72.25 </w:t>
            </w:r>
            <w:r w:rsidRPr="008554DF">
              <w:t>per service)</w:t>
            </w:r>
            <w:r w:rsidRPr="008554DF">
              <w:rPr>
                <w:vertAlign w:val="superscript"/>
              </w:rPr>
              <w:t>a</w:t>
            </w:r>
          </w:p>
        </w:tc>
        <w:tc>
          <w:tcPr>
            <w:tcW w:w="585" w:type="pct"/>
            <w:noWrap/>
            <w:hideMark/>
          </w:tcPr>
          <w:p w14:paraId="223211FD" w14:textId="41E12FD4" w:rsidR="007B4D43" w:rsidRPr="0085115F" w:rsidRDefault="007B4D43" w:rsidP="007B4D43">
            <w:pPr>
              <w:pStyle w:val="TableText"/>
              <w:jc w:val="right"/>
            </w:pPr>
            <w:r w:rsidRPr="009454BB">
              <w:t>$257,153</w:t>
            </w:r>
          </w:p>
        </w:tc>
        <w:tc>
          <w:tcPr>
            <w:tcW w:w="585" w:type="pct"/>
            <w:noWrap/>
            <w:hideMark/>
          </w:tcPr>
          <w:p w14:paraId="75E8CE34" w14:textId="76F4B3F3" w:rsidR="007B4D43" w:rsidRPr="0085115F" w:rsidRDefault="007B4D43" w:rsidP="007B4D43">
            <w:pPr>
              <w:pStyle w:val="TableText"/>
              <w:jc w:val="right"/>
            </w:pPr>
            <w:r w:rsidRPr="009454BB">
              <w:t>$270,052</w:t>
            </w:r>
          </w:p>
        </w:tc>
        <w:tc>
          <w:tcPr>
            <w:tcW w:w="585" w:type="pct"/>
            <w:noWrap/>
            <w:hideMark/>
          </w:tcPr>
          <w:p w14:paraId="7F3BA30A" w14:textId="24A86C9C" w:rsidR="007B4D43" w:rsidRPr="0085115F" w:rsidRDefault="007B4D43" w:rsidP="007B4D43">
            <w:pPr>
              <w:pStyle w:val="TableText"/>
              <w:jc w:val="right"/>
            </w:pPr>
            <w:r w:rsidRPr="009454BB">
              <w:t>$282,952</w:t>
            </w:r>
          </w:p>
        </w:tc>
        <w:tc>
          <w:tcPr>
            <w:tcW w:w="585" w:type="pct"/>
            <w:noWrap/>
            <w:hideMark/>
          </w:tcPr>
          <w:p w14:paraId="2DEAA41B" w14:textId="6C5B75E9" w:rsidR="007B4D43" w:rsidRPr="0085115F" w:rsidRDefault="007B4D43" w:rsidP="007B4D43">
            <w:pPr>
              <w:pStyle w:val="TableText"/>
              <w:jc w:val="right"/>
            </w:pPr>
            <w:r w:rsidRPr="009454BB">
              <w:t>$295,852</w:t>
            </w:r>
          </w:p>
        </w:tc>
        <w:tc>
          <w:tcPr>
            <w:tcW w:w="585" w:type="pct"/>
            <w:noWrap/>
            <w:hideMark/>
          </w:tcPr>
          <w:p w14:paraId="1DA661D3" w14:textId="0BC7524D" w:rsidR="007B4D43" w:rsidRPr="0085115F" w:rsidRDefault="007B4D43" w:rsidP="007B4D43">
            <w:pPr>
              <w:pStyle w:val="TableText"/>
              <w:jc w:val="right"/>
            </w:pPr>
            <w:r w:rsidRPr="009454BB">
              <w:t>$308,751</w:t>
            </w:r>
          </w:p>
        </w:tc>
        <w:tc>
          <w:tcPr>
            <w:tcW w:w="584" w:type="pct"/>
            <w:noWrap/>
            <w:hideMark/>
          </w:tcPr>
          <w:p w14:paraId="1303901B" w14:textId="78AD01C0" w:rsidR="007B4D43" w:rsidRPr="0085115F" w:rsidRDefault="007B4D43" w:rsidP="007B4D43">
            <w:pPr>
              <w:pStyle w:val="TableText"/>
              <w:jc w:val="right"/>
            </w:pPr>
            <w:r w:rsidRPr="009454BB">
              <w:t>$321,651</w:t>
            </w:r>
          </w:p>
        </w:tc>
      </w:tr>
    </w:tbl>
    <w:p w14:paraId="6C7DAB5C" w14:textId="77777777" w:rsidR="004E63D6" w:rsidRDefault="004E63D6" w:rsidP="004E63D6">
      <w:pPr>
        <w:pStyle w:val="TableFooter"/>
      </w:pPr>
      <w:r>
        <w:t>Source: ‘Section 4.3’ worksheet of the ‘1721 financial impact.xlsx’ workbook accompanying the DCAR.</w:t>
      </w:r>
    </w:p>
    <w:p w14:paraId="2C23E1E2" w14:textId="77777777" w:rsidR="004E63D6" w:rsidRDefault="004E63D6" w:rsidP="004E63D6">
      <w:pPr>
        <w:pStyle w:val="TableFooter"/>
      </w:pPr>
      <w:r w:rsidRPr="00A81F01">
        <w:rPr>
          <w:i/>
        </w:rPr>
        <w:t>EGFR</w:t>
      </w:r>
      <w:r>
        <w:t xml:space="preserve"> = </w:t>
      </w:r>
      <w:r w:rsidRPr="00A81F01">
        <w:t>epidermal growth factor receptor</w:t>
      </w:r>
      <w:r>
        <w:t>.</w:t>
      </w:r>
    </w:p>
    <w:p w14:paraId="779D5F82" w14:textId="77777777" w:rsidR="004E63D6" w:rsidRDefault="004E63D6" w:rsidP="004E63D6">
      <w:pPr>
        <w:pStyle w:val="TableFooter"/>
      </w:pPr>
      <w:r w:rsidRPr="00D457EE">
        <w:rPr>
          <w:vertAlign w:val="superscript"/>
        </w:rPr>
        <w:lastRenderedPageBreak/>
        <w:t>a</w:t>
      </w:r>
      <w:r>
        <w:t xml:space="preserve"> 100</w:t>
      </w:r>
      <w:r w:rsidRPr="00B47786">
        <w:t>% × $</w:t>
      </w:r>
      <w:r>
        <w:t>72.25</w:t>
      </w:r>
      <w:r w:rsidRPr="00B47786">
        <w:t xml:space="preserve"> [85% MBS benefit]</w:t>
      </w:r>
    </w:p>
    <w:p w14:paraId="6B65F835" w14:textId="77777777" w:rsidR="004E63D6" w:rsidRPr="00CE28E3" w:rsidRDefault="004E63D6" w:rsidP="004E63D6">
      <w:pPr>
        <w:pStyle w:val="Heading2"/>
        <w:numPr>
          <w:ilvl w:val="0"/>
          <w:numId w:val="0"/>
        </w:numPr>
        <w:ind w:left="720" w:hanging="720"/>
      </w:pPr>
      <w:bookmarkStart w:id="231" w:name="_Toc109054503"/>
      <w:bookmarkStart w:id="232" w:name="_Toc148531188"/>
      <w:r w:rsidRPr="00CE28E3">
        <w:t>4.4</w:t>
      </w:r>
      <w:r>
        <w:tab/>
      </w:r>
      <w:r w:rsidRPr="00CE28E3">
        <w:t xml:space="preserve">Net financial impact to the </w:t>
      </w:r>
      <w:r>
        <w:t>MBS</w:t>
      </w:r>
      <w:bookmarkEnd w:id="231"/>
      <w:bookmarkEnd w:id="232"/>
    </w:p>
    <w:p w14:paraId="41EFFE5E" w14:textId="013E13D5" w:rsidR="004E63D6" w:rsidRPr="003251C2" w:rsidRDefault="004E63D6" w:rsidP="004E63D6">
      <w:pPr>
        <w:pStyle w:val="NormalBeforeBullet"/>
      </w:pPr>
      <w:r>
        <w:t xml:space="preserve">The estimated net financial impact to the MBS is presented in </w:t>
      </w:r>
      <w:r>
        <w:fldChar w:fldCharType="begin"/>
      </w:r>
      <w:r>
        <w:instrText xml:space="preserve"> REF _Ref69728483 \h </w:instrText>
      </w:r>
      <w:r>
        <w:fldChar w:fldCharType="separate"/>
      </w:r>
      <w:r w:rsidR="00C857F3" w:rsidRPr="00CE28E3">
        <w:t>Table</w:t>
      </w:r>
      <w:r w:rsidR="00C857F3">
        <w:t> </w:t>
      </w:r>
      <w:r w:rsidR="00C857F3">
        <w:rPr>
          <w:noProof/>
        </w:rPr>
        <w:t>69</w:t>
      </w:r>
      <w:r>
        <w:fldChar w:fldCharType="end"/>
      </w:r>
      <w:r>
        <w:t>.</w:t>
      </w:r>
    </w:p>
    <w:p w14:paraId="2EFE3264" w14:textId="1447FDDE" w:rsidR="004E63D6" w:rsidRPr="00CE28E3" w:rsidRDefault="004E63D6" w:rsidP="004E63D6">
      <w:pPr>
        <w:pStyle w:val="TableHeading"/>
      </w:pPr>
      <w:bookmarkStart w:id="233" w:name="_Ref69728483"/>
      <w:r w:rsidRPr="00CE28E3">
        <w:t>Table</w:t>
      </w:r>
      <w:r>
        <w:t> </w:t>
      </w:r>
      <w:fldSimple w:instr=" SEQ Table \* ARABIC ">
        <w:r w:rsidR="00C857F3">
          <w:rPr>
            <w:noProof/>
          </w:rPr>
          <w:t>69</w:t>
        </w:r>
      </w:fldSimple>
      <w:bookmarkEnd w:id="233"/>
      <w:r w:rsidRPr="00CE28E3">
        <w:tab/>
        <w:t xml:space="preserve">Net financial implications of </w:t>
      </w:r>
      <w:r>
        <w:t xml:space="preserve">small gene panel testing </w:t>
      </w:r>
      <w:r w:rsidRPr="00CE28E3">
        <w:t xml:space="preserve">to the </w:t>
      </w:r>
      <w:r>
        <w:t>MBS</w:t>
      </w:r>
    </w:p>
    <w:tbl>
      <w:tblPr>
        <w:tblStyle w:val="TableGrid1"/>
        <w:tblW w:w="0" w:type="auto"/>
        <w:tblLayout w:type="fixed"/>
        <w:tblCellMar>
          <w:left w:w="0" w:type="dxa"/>
          <w:right w:w="0" w:type="dxa"/>
        </w:tblCellMar>
        <w:tblLook w:val="04A0" w:firstRow="1" w:lastRow="0" w:firstColumn="1" w:lastColumn="0" w:noHBand="0" w:noVBand="1"/>
        <w:tblCaption w:val="Net financial implications of small gene panel testing to the MBS"/>
        <w:tblDescription w:val="Net financial implications of small gene panel testing to the MBS"/>
      </w:tblPr>
      <w:tblGrid>
        <w:gridCol w:w="2784"/>
        <w:gridCol w:w="1037"/>
        <w:gridCol w:w="1037"/>
        <w:gridCol w:w="1037"/>
        <w:gridCol w:w="1037"/>
        <w:gridCol w:w="1037"/>
        <w:gridCol w:w="1037"/>
      </w:tblGrid>
      <w:tr w:rsidR="004E63D6" w:rsidRPr="00CE28E3" w14:paraId="2C8EEE06" w14:textId="77777777" w:rsidTr="00CA410A">
        <w:trPr>
          <w:cnfStyle w:val="100000000000" w:firstRow="1" w:lastRow="0" w:firstColumn="0" w:lastColumn="0" w:oddVBand="0" w:evenVBand="0" w:oddHBand="0" w:evenHBand="0" w:firstRowFirstColumn="0" w:firstRowLastColumn="0" w:lastRowFirstColumn="0" w:lastRowLastColumn="0"/>
          <w:tblHeader/>
        </w:trPr>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E002CA" w14:textId="77777777" w:rsidR="004E63D6" w:rsidRPr="00CE28E3" w:rsidRDefault="004E63D6" w:rsidP="00CA410A">
            <w:pPr>
              <w:pStyle w:val="TableHeading"/>
            </w:pPr>
            <w:bookmarkStart w:id="234" w:name="Title_Table40" w:colFirst="0" w:colLast="0"/>
            <w:r>
              <w:t xml:space="preserve">Parameter </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D7DEC3" w14:textId="77777777" w:rsidR="004E63D6" w:rsidRPr="002A0A63" w:rsidRDefault="004E63D6" w:rsidP="00CA410A">
            <w:pPr>
              <w:pStyle w:val="TableHeading"/>
              <w:jc w:val="center"/>
            </w:pPr>
            <w:r w:rsidRPr="002A0A63">
              <w:t>2023</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89E7D0" w14:textId="77777777" w:rsidR="004E63D6" w:rsidRPr="002A0A63" w:rsidRDefault="004E63D6" w:rsidP="00CA410A">
            <w:pPr>
              <w:pStyle w:val="TableHeading"/>
              <w:jc w:val="center"/>
            </w:pPr>
            <w:r w:rsidRPr="002A0A63">
              <w:t>2024</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8ECB89" w14:textId="77777777" w:rsidR="004E63D6" w:rsidRPr="002A0A63" w:rsidRDefault="004E63D6" w:rsidP="00CA410A">
            <w:pPr>
              <w:pStyle w:val="TableHeading"/>
              <w:jc w:val="center"/>
            </w:pPr>
            <w:r w:rsidRPr="002A0A63">
              <w:t>2025</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2330B7" w14:textId="77777777" w:rsidR="004E63D6" w:rsidRPr="002A0A63" w:rsidRDefault="004E63D6" w:rsidP="00CA410A">
            <w:pPr>
              <w:pStyle w:val="TableHeading"/>
              <w:jc w:val="center"/>
            </w:pPr>
            <w:r w:rsidRPr="002A0A63">
              <w:t>2026</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10D6B0" w14:textId="77777777" w:rsidR="004E63D6" w:rsidRPr="002A0A63" w:rsidRDefault="004E63D6" w:rsidP="00CA410A">
            <w:pPr>
              <w:pStyle w:val="TableHeading"/>
              <w:jc w:val="center"/>
            </w:pPr>
            <w:r w:rsidRPr="002A0A63">
              <w:t>2027</w:t>
            </w:r>
          </w:p>
        </w:tc>
        <w:tc>
          <w:tcPr>
            <w:tcW w:w="10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090198" w14:textId="77777777" w:rsidR="004E63D6" w:rsidRPr="002A0A63" w:rsidRDefault="004E63D6" w:rsidP="00CA410A">
            <w:pPr>
              <w:pStyle w:val="TableHeading"/>
              <w:jc w:val="center"/>
            </w:pPr>
            <w:r w:rsidRPr="002A0A63">
              <w:t>2028</w:t>
            </w:r>
          </w:p>
        </w:tc>
      </w:tr>
      <w:bookmarkEnd w:id="234"/>
      <w:tr w:rsidR="004E63D6" w:rsidRPr="00CE28E3" w14:paraId="0CFF950D" w14:textId="77777777" w:rsidTr="00CA410A">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4E32CD" w14:textId="77777777" w:rsidR="004E63D6" w:rsidRPr="00CE28E3" w:rsidRDefault="004E63D6" w:rsidP="00CA410A">
            <w:pPr>
              <w:pStyle w:val="TableText"/>
              <w:rPr>
                <w:b/>
                <w:bCs/>
              </w:rPr>
            </w:pPr>
            <w:r w:rsidRPr="00CE28E3">
              <w:rPr>
                <w:b/>
                <w:bCs/>
              </w:rPr>
              <w:t>Estimated use and cost of the proposed health technology</w:t>
            </w:r>
          </w:p>
        </w:tc>
      </w:tr>
      <w:tr w:rsidR="004E63D6" w:rsidRPr="00CE28E3" w14:paraId="690D3CE0"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5DE81" w14:textId="77777777" w:rsidR="004E63D6" w:rsidRPr="00CE28E3" w:rsidRDefault="004E63D6" w:rsidP="00CA410A">
            <w:pPr>
              <w:pStyle w:val="TableText"/>
            </w:pPr>
            <w:r>
              <w:t xml:space="preserve">Size of the </w:t>
            </w:r>
            <w:r w:rsidRPr="002A0A63">
              <w:rPr>
                <w:i/>
              </w:rPr>
              <w:t>EGFR</w:t>
            </w:r>
            <w:r>
              <w:t xml:space="preserve"> testing market</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035CFF9" w14:textId="77777777" w:rsidR="004E63D6" w:rsidRPr="00CE28E3" w:rsidRDefault="004E63D6" w:rsidP="00CA410A">
            <w:pPr>
              <w:pStyle w:val="TableText"/>
              <w:jc w:val="right"/>
            </w:pPr>
            <w:r w:rsidRPr="00770A2E">
              <w:t>5,521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B785B33" w14:textId="77777777" w:rsidR="004E63D6" w:rsidRPr="00CE28E3" w:rsidRDefault="004E63D6" w:rsidP="00CA410A">
            <w:pPr>
              <w:pStyle w:val="TableText"/>
              <w:jc w:val="right"/>
            </w:pPr>
            <w:r w:rsidRPr="00770A2E">
              <w:t>5,797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34F81E6" w14:textId="77777777" w:rsidR="004E63D6" w:rsidRPr="00CE28E3" w:rsidRDefault="004E63D6" w:rsidP="00CA410A">
            <w:pPr>
              <w:pStyle w:val="TableText"/>
              <w:jc w:val="right"/>
            </w:pPr>
            <w:r w:rsidRPr="00770A2E">
              <w:t>6,074</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C37549B" w14:textId="77777777" w:rsidR="004E63D6" w:rsidRPr="00CE28E3" w:rsidRDefault="004E63D6" w:rsidP="00CA410A">
            <w:pPr>
              <w:pStyle w:val="TableText"/>
              <w:jc w:val="right"/>
            </w:pPr>
            <w:r w:rsidRPr="00770A2E">
              <w:t>6,351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01B5A87C" w14:textId="77777777" w:rsidR="004E63D6" w:rsidRPr="00CE28E3" w:rsidRDefault="004E63D6" w:rsidP="00CA410A">
            <w:pPr>
              <w:pStyle w:val="TableText"/>
              <w:jc w:val="right"/>
            </w:pPr>
            <w:r w:rsidRPr="00770A2E">
              <w:t>6,628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10D5F49" w14:textId="77777777" w:rsidR="004E63D6" w:rsidRPr="00CE28E3" w:rsidRDefault="004E63D6" w:rsidP="00CA410A">
            <w:pPr>
              <w:pStyle w:val="TableText"/>
              <w:jc w:val="right"/>
            </w:pPr>
            <w:r w:rsidRPr="00770A2E">
              <w:t>6,905</w:t>
            </w:r>
          </w:p>
        </w:tc>
      </w:tr>
      <w:tr w:rsidR="004E63D6" w:rsidRPr="00CE28E3" w14:paraId="43E7590B"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5478D" w14:textId="77777777" w:rsidR="004E63D6" w:rsidRPr="00CE28E3" w:rsidRDefault="004E63D6" w:rsidP="00CA410A">
            <w:pPr>
              <w:pStyle w:val="TableText"/>
            </w:pPr>
            <w:r>
              <w:t xml:space="preserve">Share of the </w:t>
            </w:r>
            <w:r w:rsidRPr="007527E6">
              <w:rPr>
                <w:i/>
              </w:rPr>
              <w:t>EGFR</w:t>
            </w:r>
            <w:r>
              <w:t xml:space="preserve"> testing market (100%)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5F6AE75" w14:textId="77777777" w:rsidR="004E63D6" w:rsidRPr="00CE28E3" w:rsidRDefault="004E63D6" w:rsidP="00CA410A">
            <w:pPr>
              <w:pStyle w:val="TableText"/>
              <w:jc w:val="right"/>
            </w:pPr>
            <w:r w:rsidRPr="00770A2E">
              <w:t>5,521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38FAE39" w14:textId="77777777" w:rsidR="004E63D6" w:rsidRPr="00CE28E3" w:rsidRDefault="004E63D6" w:rsidP="00CA410A">
            <w:pPr>
              <w:pStyle w:val="TableText"/>
              <w:jc w:val="right"/>
            </w:pPr>
            <w:r w:rsidRPr="00770A2E">
              <w:t>5,797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A1B93E0" w14:textId="77777777" w:rsidR="004E63D6" w:rsidRPr="00CE28E3" w:rsidRDefault="004E63D6" w:rsidP="00CA410A">
            <w:pPr>
              <w:pStyle w:val="TableText"/>
              <w:jc w:val="right"/>
            </w:pPr>
            <w:r w:rsidRPr="00770A2E">
              <w:t>6,074</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0F04EA0B" w14:textId="77777777" w:rsidR="004E63D6" w:rsidRPr="00CE28E3" w:rsidRDefault="004E63D6" w:rsidP="00CA410A">
            <w:pPr>
              <w:pStyle w:val="TableText"/>
              <w:jc w:val="right"/>
            </w:pPr>
            <w:r w:rsidRPr="00770A2E">
              <w:t>6,351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A93709A" w14:textId="77777777" w:rsidR="004E63D6" w:rsidRPr="00CE28E3" w:rsidRDefault="004E63D6" w:rsidP="00CA410A">
            <w:pPr>
              <w:pStyle w:val="TableText"/>
              <w:jc w:val="right"/>
            </w:pPr>
            <w:r w:rsidRPr="00770A2E">
              <w:t>6,628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5539E29" w14:textId="77777777" w:rsidR="004E63D6" w:rsidRPr="00CE28E3" w:rsidRDefault="004E63D6" w:rsidP="00CA410A">
            <w:pPr>
              <w:pStyle w:val="TableText"/>
              <w:jc w:val="right"/>
            </w:pPr>
            <w:r w:rsidRPr="00770A2E">
              <w:t>6,905</w:t>
            </w:r>
          </w:p>
        </w:tc>
      </w:tr>
      <w:tr w:rsidR="004E63D6" w:rsidRPr="00CE28E3" w14:paraId="504FB632"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4FE625" w14:textId="77777777" w:rsidR="004E63D6" w:rsidRPr="00CE28E3" w:rsidRDefault="004E63D6" w:rsidP="00CA410A">
            <w:pPr>
              <w:pStyle w:val="TableText"/>
            </w:pPr>
            <w:r w:rsidRPr="00CE28E3">
              <w:t xml:space="preserve">Number of services of </w:t>
            </w:r>
            <w:r>
              <w:t>small gene panel testing</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D3CE98B" w14:textId="77777777" w:rsidR="004E63D6" w:rsidRPr="00CE28E3" w:rsidRDefault="004E63D6" w:rsidP="00CA410A">
            <w:pPr>
              <w:pStyle w:val="TableText"/>
              <w:jc w:val="right"/>
            </w:pPr>
            <w:r w:rsidRPr="00770A2E">
              <w:t>7,425</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4D833A4" w14:textId="77777777" w:rsidR="004E63D6" w:rsidRPr="00CE28E3" w:rsidRDefault="004E63D6" w:rsidP="00CA410A">
            <w:pPr>
              <w:pStyle w:val="TableText"/>
              <w:jc w:val="right"/>
            </w:pPr>
            <w:r w:rsidRPr="00770A2E">
              <w:t>7,798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541F29F" w14:textId="77777777" w:rsidR="004E63D6" w:rsidRPr="00CE28E3" w:rsidRDefault="004E63D6" w:rsidP="00CA410A">
            <w:pPr>
              <w:pStyle w:val="TableText"/>
              <w:jc w:val="right"/>
            </w:pPr>
            <w:r w:rsidRPr="00770A2E">
              <w:t>8,030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E0581A6" w14:textId="77777777" w:rsidR="004E63D6" w:rsidRPr="00CE28E3" w:rsidRDefault="004E63D6" w:rsidP="00CA410A">
            <w:pPr>
              <w:pStyle w:val="TableText"/>
              <w:jc w:val="right"/>
            </w:pPr>
            <w:r w:rsidRPr="00770A2E">
              <w:t>8,250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44B8682" w14:textId="77777777" w:rsidR="004E63D6" w:rsidRPr="00CE28E3" w:rsidRDefault="004E63D6" w:rsidP="00CA410A">
            <w:pPr>
              <w:pStyle w:val="TableText"/>
              <w:jc w:val="right"/>
            </w:pPr>
            <w:r w:rsidRPr="00770A2E">
              <w:t>8,458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07414D4" w14:textId="77777777" w:rsidR="004E63D6" w:rsidRPr="00CE28E3" w:rsidRDefault="004E63D6" w:rsidP="00CA410A">
            <w:pPr>
              <w:pStyle w:val="TableText"/>
              <w:jc w:val="right"/>
            </w:pPr>
            <w:r w:rsidRPr="00770A2E">
              <w:t>8,493</w:t>
            </w:r>
          </w:p>
        </w:tc>
      </w:tr>
      <w:tr w:rsidR="004E63D6" w:rsidRPr="00CE28E3" w14:paraId="028D38A7" w14:textId="77777777" w:rsidTr="00CA410A">
        <w:tc>
          <w:tcPr>
            <w:tcW w:w="2784" w:type="dxa"/>
            <w:tcBorders>
              <w:top w:val="single" w:sz="8" w:space="0" w:color="auto"/>
              <w:left w:val="single" w:sz="8" w:space="0" w:color="auto"/>
              <w:right w:val="single" w:sz="8" w:space="0" w:color="auto"/>
            </w:tcBorders>
            <w:tcMar>
              <w:top w:w="0" w:type="dxa"/>
              <w:left w:w="108" w:type="dxa"/>
              <w:bottom w:w="0" w:type="dxa"/>
              <w:right w:w="108" w:type="dxa"/>
            </w:tcMar>
          </w:tcPr>
          <w:p w14:paraId="1D0D8A50" w14:textId="5975E20C" w:rsidR="004E63D6" w:rsidRPr="00CE28E3" w:rsidRDefault="004E63D6" w:rsidP="007A7348">
            <w:pPr>
              <w:pStyle w:val="TableText"/>
              <w:keepNext/>
              <w:numPr>
                <w:ilvl w:val="0"/>
                <w:numId w:val="28"/>
              </w:numPr>
              <w:ind w:left="166" w:hanging="129"/>
            </w:pPr>
            <w:r>
              <w:t>Combined DNA/RNA</w:t>
            </w:r>
            <w:r w:rsidR="007A7348">
              <w:br/>
              <w:t>(MBS benefit: $1,087.92)</w:t>
            </w:r>
            <w:r w:rsidR="007A7348" w:rsidRPr="006244EA">
              <w:rPr>
                <w:vertAlign w:val="superscript"/>
              </w:rPr>
              <w:t>a</w:t>
            </w:r>
          </w:p>
        </w:tc>
        <w:tc>
          <w:tcPr>
            <w:tcW w:w="1037" w:type="dxa"/>
            <w:tcBorders>
              <w:top w:val="single" w:sz="8" w:space="0" w:color="auto"/>
              <w:left w:val="nil"/>
              <w:right w:val="single" w:sz="8" w:space="0" w:color="auto"/>
            </w:tcBorders>
            <w:tcMar>
              <w:top w:w="0" w:type="dxa"/>
              <w:left w:w="108" w:type="dxa"/>
              <w:bottom w:w="0" w:type="dxa"/>
              <w:right w:w="108" w:type="dxa"/>
            </w:tcMar>
          </w:tcPr>
          <w:p w14:paraId="2B7FD2FD" w14:textId="77777777" w:rsidR="004E63D6" w:rsidRPr="00AE0C9A" w:rsidRDefault="004E63D6" w:rsidP="00CA410A">
            <w:pPr>
              <w:pStyle w:val="TableText"/>
              <w:jc w:val="right"/>
            </w:pPr>
            <w:r w:rsidRPr="0059251C">
              <w:t>1,380</w:t>
            </w:r>
          </w:p>
        </w:tc>
        <w:tc>
          <w:tcPr>
            <w:tcW w:w="1037" w:type="dxa"/>
            <w:tcBorders>
              <w:top w:val="single" w:sz="8" w:space="0" w:color="auto"/>
              <w:left w:val="nil"/>
              <w:right w:val="single" w:sz="8" w:space="0" w:color="auto"/>
            </w:tcBorders>
            <w:tcMar>
              <w:top w:w="0" w:type="dxa"/>
              <w:left w:w="108" w:type="dxa"/>
              <w:bottom w:w="0" w:type="dxa"/>
              <w:right w:w="108" w:type="dxa"/>
            </w:tcMar>
          </w:tcPr>
          <w:p w14:paraId="61CE0907" w14:textId="77777777" w:rsidR="004E63D6" w:rsidRPr="00AE0C9A" w:rsidRDefault="004E63D6" w:rsidP="00CA410A">
            <w:pPr>
              <w:pStyle w:val="TableText"/>
              <w:jc w:val="right"/>
            </w:pPr>
            <w:r w:rsidRPr="0059251C">
              <w:t>1,449</w:t>
            </w:r>
          </w:p>
        </w:tc>
        <w:tc>
          <w:tcPr>
            <w:tcW w:w="1037" w:type="dxa"/>
            <w:tcBorders>
              <w:top w:val="single" w:sz="8" w:space="0" w:color="auto"/>
              <w:left w:val="nil"/>
              <w:right w:val="single" w:sz="8" w:space="0" w:color="auto"/>
            </w:tcBorders>
            <w:tcMar>
              <w:top w:w="0" w:type="dxa"/>
              <w:left w:w="108" w:type="dxa"/>
              <w:bottom w:w="0" w:type="dxa"/>
              <w:right w:w="108" w:type="dxa"/>
            </w:tcMar>
          </w:tcPr>
          <w:p w14:paraId="383D3892" w14:textId="77777777" w:rsidR="004E63D6" w:rsidRPr="00AE0C9A" w:rsidRDefault="004E63D6" w:rsidP="00CA410A">
            <w:pPr>
              <w:pStyle w:val="TableText"/>
              <w:jc w:val="right"/>
            </w:pPr>
            <w:r w:rsidRPr="0059251C">
              <w:t>1,822</w:t>
            </w:r>
          </w:p>
        </w:tc>
        <w:tc>
          <w:tcPr>
            <w:tcW w:w="1037" w:type="dxa"/>
            <w:tcBorders>
              <w:top w:val="single" w:sz="8" w:space="0" w:color="auto"/>
              <w:left w:val="nil"/>
              <w:right w:val="single" w:sz="8" w:space="0" w:color="auto"/>
            </w:tcBorders>
            <w:tcMar>
              <w:top w:w="0" w:type="dxa"/>
              <w:left w:w="108" w:type="dxa"/>
              <w:bottom w:w="0" w:type="dxa"/>
              <w:right w:w="108" w:type="dxa"/>
            </w:tcMar>
          </w:tcPr>
          <w:p w14:paraId="1FB00984" w14:textId="77777777" w:rsidR="004E63D6" w:rsidRPr="00AE0C9A" w:rsidRDefault="004E63D6" w:rsidP="00CA410A">
            <w:pPr>
              <w:pStyle w:val="TableText"/>
              <w:jc w:val="right"/>
            </w:pPr>
            <w:r w:rsidRPr="0059251C">
              <w:t>2,223</w:t>
            </w:r>
          </w:p>
        </w:tc>
        <w:tc>
          <w:tcPr>
            <w:tcW w:w="1037" w:type="dxa"/>
            <w:tcBorders>
              <w:top w:val="single" w:sz="8" w:space="0" w:color="auto"/>
              <w:left w:val="nil"/>
              <w:right w:val="single" w:sz="8" w:space="0" w:color="auto"/>
            </w:tcBorders>
            <w:tcMar>
              <w:top w:w="0" w:type="dxa"/>
              <w:left w:w="108" w:type="dxa"/>
              <w:bottom w:w="0" w:type="dxa"/>
              <w:right w:w="108" w:type="dxa"/>
            </w:tcMar>
          </w:tcPr>
          <w:p w14:paraId="3F69C394" w14:textId="77777777" w:rsidR="004E63D6" w:rsidRPr="00AE0C9A" w:rsidRDefault="004E63D6" w:rsidP="00CA410A">
            <w:pPr>
              <w:pStyle w:val="TableText"/>
              <w:jc w:val="right"/>
            </w:pPr>
            <w:r w:rsidRPr="0059251C">
              <w:t>2,651</w:t>
            </w:r>
          </w:p>
        </w:tc>
        <w:tc>
          <w:tcPr>
            <w:tcW w:w="1037" w:type="dxa"/>
            <w:tcBorders>
              <w:top w:val="single" w:sz="8" w:space="0" w:color="auto"/>
              <w:left w:val="nil"/>
              <w:right w:val="single" w:sz="8" w:space="0" w:color="auto"/>
            </w:tcBorders>
            <w:tcMar>
              <w:top w:w="0" w:type="dxa"/>
              <w:left w:w="108" w:type="dxa"/>
              <w:bottom w:w="0" w:type="dxa"/>
              <w:right w:w="108" w:type="dxa"/>
            </w:tcMar>
          </w:tcPr>
          <w:p w14:paraId="5780C833" w14:textId="77777777" w:rsidR="004E63D6" w:rsidRPr="00AE0C9A" w:rsidRDefault="004E63D6" w:rsidP="00CA410A">
            <w:pPr>
              <w:pStyle w:val="TableText"/>
              <w:jc w:val="right"/>
            </w:pPr>
            <w:r w:rsidRPr="0059251C">
              <w:t>3,453</w:t>
            </w:r>
          </w:p>
        </w:tc>
      </w:tr>
      <w:tr w:rsidR="004E63D6" w:rsidRPr="00CE28E3" w14:paraId="650A787D" w14:textId="77777777" w:rsidTr="00CA410A">
        <w:tc>
          <w:tcPr>
            <w:tcW w:w="2784" w:type="dxa"/>
            <w:tcBorders>
              <w:left w:val="single" w:sz="8" w:space="0" w:color="auto"/>
              <w:right w:val="single" w:sz="8" w:space="0" w:color="auto"/>
            </w:tcBorders>
            <w:tcMar>
              <w:top w:w="0" w:type="dxa"/>
              <w:left w:w="108" w:type="dxa"/>
              <w:bottom w:w="0" w:type="dxa"/>
              <w:right w:w="108" w:type="dxa"/>
            </w:tcMar>
          </w:tcPr>
          <w:p w14:paraId="7EC31643" w14:textId="3D440ADB" w:rsidR="004E63D6" w:rsidRPr="00CE28E3" w:rsidRDefault="004E63D6" w:rsidP="007A7348">
            <w:pPr>
              <w:pStyle w:val="TableText"/>
              <w:keepNext/>
              <w:numPr>
                <w:ilvl w:val="0"/>
                <w:numId w:val="28"/>
              </w:numPr>
              <w:ind w:left="166" w:hanging="129"/>
            </w:pPr>
            <w:r>
              <w:t>DNA only</w:t>
            </w:r>
            <w:r w:rsidR="007A7348">
              <w:t xml:space="preserve"> </w:t>
            </w:r>
            <w:r w:rsidR="007A7348">
              <w:br/>
              <w:t>(MBS benefit: $568.17)</w:t>
            </w:r>
            <w:r w:rsidR="007A7348" w:rsidRPr="00B325DD">
              <w:rPr>
                <w:vertAlign w:val="superscript"/>
              </w:rPr>
              <w:t>b</w:t>
            </w:r>
          </w:p>
        </w:tc>
        <w:tc>
          <w:tcPr>
            <w:tcW w:w="1037" w:type="dxa"/>
            <w:tcBorders>
              <w:left w:val="nil"/>
              <w:right w:val="single" w:sz="8" w:space="0" w:color="auto"/>
            </w:tcBorders>
            <w:tcMar>
              <w:top w:w="0" w:type="dxa"/>
              <w:left w:w="108" w:type="dxa"/>
              <w:bottom w:w="0" w:type="dxa"/>
              <w:right w:w="108" w:type="dxa"/>
            </w:tcMar>
          </w:tcPr>
          <w:p w14:paraId="1D3A0001" w14:textId="77777777" w:rsidR="004E63D6" w:rsidRPr="00AE0C9A" w:rsidRDefault="004E63D6" w:rsidP="00CA410A">
            <w:pPr>
              <w:pStyle w:val="TableText"/>
              <w:jc w:val="right"/>
            </w:pPr>
            <w:r w:rsidRPr="00FA3EED">
              <w:t>4,140</w:t>
            </w:r>
          </w:p>
        </w:tc>
        <w:tc>
          <w:tcPr>
            <w:tcW w:w="1037" w:type="dxa"/>
            <w:tcBorders>
              <w:left w:val="nil"/>
              <w:right w:val="single" w:sz="8" w:space="0" w:color="auto"/>
            </w:tcBorders>
            <w:tcMar>
              <w:top w:w="0" w:type="dxa"/>
              <w:left w:w="108" w:type="dxa"/>
              <w:bottom w:w="0" w:type="dxa"/>
              <w:right w:w="108" w:type="dxa"/>
            </w:tcMar>
          </w:tcPr>
          <w:p w14:paraId="551EF3EA" w14:textId="77777777" w:rsidR="004E63D6" w:rsidRPr="00AE0C9A" w:rsidRDefault="004E63D6" w:rsidP="00CA410A">
            <w:pPr>
              <w:pStyle w:val="TableText"/>
              <w:jc w:val="right"/>
            </w:pPr>
            <w:r w:rsidRPr="00FA3EED">
              <w:t>4,348</w:t>
            </w:r>
          </w:p>
        </w:tc>
        <w:tc>
          <w:tcPr>
            <w:tcW w:w="1037" w:type="dxa"/>
            <w:tcBorders>
              <w:left w:val="nil"/>
              <w:right w:val="single" w:sz="8" w:space="0" w:color="auto"/>
            </w:tcBorders>
            <w:tcMar>
              <w:top w:w="0" w:type="dxa"/>
              <w:left w:w="108" w:type="dxa"/>
              <w:bottom w:w="0" w:type="dxa"/>
              <w:right w:w="108" w:type="dxa"/>
            </w:tcMar>
          </w:tcPr>
          <w:p w14:paraId="1F8031C6" w14:textId="77777777" w:rsidR="004E63D6" w:rsidRPr="00AE0C9A" w:rsidRDefault="004E63D6" w:rsidP="00CA410A">
            <w:pPr>
              <w:pStyle w:val="TableText"/>
              <w:jc w:val="right"/>
            </w:pPr>
            <w:r w:rsidRPr="00FA3EED">
              <w:t>4,252</w:t>
            </w:r>
          </w:p>
        </w:tc>
        <w:tc>
          <w:tcPr>
            <w:tcW w:w="1037" w:type="dxa"/>
            <w:tcBorders>
              <w:left w:val="nil"/>
              <w:right w:val="single" w:sz="8" w:space="0" w:color="auto"/>
            </w:tcBorders>
            <w:tcMar>
              <w:top w:w="0" w:type="dxa"/>
              <w:left w:w="108" w:type="dxa"/>
              <w:bottom w:w="0" w:type="dxa"/>
              <w:right w:w="108" w:type="dxa"/>
            </w:tcMar>
          </w:tcPr>
          <w:p w14:paraId="140243A3" w14:textId="77777777" w:rsidR="004E63D6" w:rsidRPr="00AE0C9A" w:rsidRDefault="004E63D6" w:rsidP="00CA410A">
            <w:pPr>
              <w:pStyle w:val="TableText"/>
              <w:jc w:val="right"/>
            </w:pPr>
            <w:r w:rsidRPr="00FA3EED">
              <w:t>4,128</w:t>
            </w:r>
          </w:p>
        </w:tc>
        <w:tc>
          <w:tcPr>
            <w:tcW w:w="1037" w:type="dxa"/>
            <w:tcBorders>
              <w:left w:val="nil"/>
              <w:right w:val="single" w:sz="8" w:space="0" w:color="auto"/>
            </w:tcBorders>
            <w:tcMar>
              <w:top w:w="0" w:type="dxa"/>
              <w:left w:w="108" w:type="dxa"/>
              <w:bottom w:w="0" w:type="dxa"/>
              <w:right w:w="108" w:type="dxa"/>
            </w:tcMar>
          </w:tcPr>
          <w:p w14:paraId="35E97B5D" w14:textId="77777777" w:rsidR="004E63D6" w:rsidRPr="00AE0C9A" w:rsidRDefault="004E63D6" w:rsidP="00CA410A">
            <w:pPr>
              <w:pStyle w:val="TableText"/>
              <w:jc w:val="right"/>
            </w:pPr>
            <w:r w:rsidRPr="00FA3EED">
              <w:t>3,977</w:t>
            </w:r>
          </w:p>
        </w:tc>
        <w:tc>
          <w:tcPr>
            <w:tcW w:w="1037" w:type="dxa"/>
            <w:tcBorders>
              <w:left w:val="nil"/>
              <w:right w:val="single" w:sz="8" w:space="0" w:color="auto"/>
            </w:tcBorders>
            <w:tcMar>
              <w:top w:w="0" w:type="dxa"/>
              <w:left w:w="108" w:type="dxa"/>
              <w:bottom w:w="0" w:type="dxa"/>
              <w:right w:w="108" w:type="dxa"/>
            </w:tcMar>
          </w:tcPr>
          <w:p w14:paraId="592E6CA2" w14:textId="77777777" w:rsidR="004E63D6" w:rsidRPr="00AE0C9A" w:rsidRDefault="004E63D6" w:rsidP="00CA410A">
            <w:pPr>
              <w:pStyle w:val="TableText"/>
              <w:jc w:val="right"/>
            </w:pPr>
            <w:r w:rsidRPr="00FA3EED">
              <w:t>3,453</w:t>
            </w:r>
          </w:p>
        </w:tc>
      </w:tr>
      <w:tr w:rsidR="004E63D6" w:rsidRPr="00CE28E3" w14:paraId="1D34D8A1" w14:textId="77777777" w:rsidTr="00CA410A">
        <w:tc>
          <w:tcPr>
            <w:tcW w:w="2784" w:type="dxa"/>
            <w:tcBorders>
              <w:left w:val="single" w:sz="8" w:space="0" w:color="auto"/>
              <w:bottom w:val="single" w:sz="8" w:space="0" w:color="auto"/>
              <w:right w:val="single" w:sz="8" w:space="0" w:color="auto"/>
            </w:tcBorders>
            <w:tcMar>
              <w:top w:w="0" w:type="dxa"/>
              <w:left w:w="108" w:type="dxa"/>
              <w:bottom w:w="0" w:type="dxa"/>
              <w:right w:w="108" w:type="dxa"/>
            </w:tcMar>
          </w:tcPr>
          <w:p w14:paraId="5DBD33FE" w14:textId="35800C4A" w:rsidR="004E63D6" w:rsidRPr="00CE28E3" w:rsidRDefault="004E63D6" w:rsidP="007A7348">
            <w:pPr>
              <w:pStyle w:val="TableText"/>
              <w:keepNext/>
              <w:numPr>
                <w:ilvl w:val="0"/>
                <w:numId w:val="28"/>
              </w:numPr>
              <w:ind w:left="166" w:hanging="129"/>
            </w:pPr>
            <w:r>
              <w:t>RNA only</w:t>
            </w:r>
            <w:r w:rsidR="007A7348">
              <w:t xml:space="preserve"> </w:t>
            </w:r>
            <w:r w:rsidR="007A7348">
              <w:br/>
              <w:t>(MBS benefit: $568.17)</w:t>
            </w:r>
            <w:r w:rsidR="007A7348" w:rsidRPr="00B325DD">
              <w:rPr>
                <w:vertAlign w:val="superscript"/>
              </w:rPr>
              <w:t>b</w:t>
            </w:r>
          </w:p>
        </w:tc>
        <w:tc>
          <w:tcPr>
            <w:tcW w:w="1037" w:type="dxa"/>
            <w:tcBorders>
              <w:left w:val="nil"/>
              <w:bottom w:val="single" w:sz="8" w:space="0" w:color="auto"/>
              <w:right w:val="single" w:sz="8" w:space="0" w:color="auto"/>
            </w:tcBorders>
            <w:tcMar>
              <w:top w:w="0" w:type="dxa"/>
              <w:left w:w="108" w:type="dxa"/>
              <w:bottom w:w="0" w:type="dxa"/>
              <w:right w:w="108" w:type="dxa"/>
            </w:tcMar>
          </w:tcPr>
          <w:p w14:paraId="3E807648" w14:textId="77777777" w:rsidR="004E63D6" w:rsidRPr="00AE0C9A" w:rsidRDefault="004E63D6" w:rsidP="00CA410A">
            <w:pPr>
              <w:pStyle w:val="TableText"/>
              <w:jc w:val="right"/>
            </w:pPr>
            <w:r w:rsidRPr="0003008B">
              <w:t>1,905</w:t>
            </w:r>
          </w:p>
        </w:tc>
        <w:tc>
          <w:tcPr>
            <w:tcW w:w="1037" w:type="dxa"/>
            <w:tcBorders>
              <w:left w:val="nil"/>
              <w:bottom w:val="single" w:sz="8" w:space="0" w:color="auto"/>
              <w:right w:val="single" w:sz="8" w:space="0" w:color="auto"/>
            </w:tcBorders>
            <w:tcMar>
              <w:top w:w="0" w:type="dxa"/>
              <w:left w:w="108" w:type="dxa"/>
              <w:bottom w:w="0" w:type="dxa"/>
              <w:right w:w="108" w:type="dxa"/>
            </w:tcMar>
          </w:tcPr>
          <w:p w14:paraId="61468E48" w14:textId="77777777" w:rsidR="004E63D6" w:rsidRPr="00AE0C9A" w:rsidRDefault="004E63D6" w:rsidP="00CA410A">
            <w:pPr>
              <w:pStyle w:val="TableText"/>
              <w:jc w:val="right"/>
            </w:pPr>
            <w:r w:rsidRPr="0003008B">
              <w:t>2,000</w:t>
            </w:r>
          </w:p>
        </w:tc>
        <w:tc>
          <w:tcPr>
            <w:tcW w:w="1037" w:type="dxa"/>
            <w:tcBorders>
              <w:left w:val="nil"/>
              <w:bottom w:val="single" w:sz="8" w:space="0" w:color="auto"/>
              <w:right w:val="single" w:sz="8" w:space="0" w:color="auto"/>
            </w:tcBorders>
            <w:tcMar>
              <w:top w:w="0" w:type="dxa"/>
              <w:left w:w="108" w:type="dxa"/>
              <w:bottom w:w="0" w:type="dxa"/>
              <w:right w:w="108" w:type="dxa"/>
            </w:tcMar>
          </w:tcPr>
          <w:p w14:paraId="6ACD5019" w14:textId="77777777" w:rsidR="004E63D6" w:rsidRPr="00AE0C9A" w:rsidRDefault="004E63D6" w:rsidP="00CA410A">
            <w:pPr>
              <w:pStyle w:val="TableText"/>
              <w:jc w:val="right"/>
            </w:pPr>
            <w:r w:rsidRPr="0003008B">
              <w:t>1,956</w:t>
            </w:r>
          </w:p>
        </w:tc>
        <w:tc>
          <w:tcPr>
            <w:tcW w:w="1037" w:type="dxa"/>
            <w:tcBorders>
              <w:left w:val="nil"/>
              <w:bottom w:val="single" w:sz="8" w:space="0" w:color="auto"/>
              <w:right w:val="single" w:sz="8" w:space="0" w:color="auto"/>
            </w:tcBorders>
            <w:tcMar>
              <w:top w:w="0" w:type="dxa"/>
              <w:left w:w="108" w:type="dxa"/>
              <w:bottom w:w="0" w:type="dxa"/>
              <w:right w:w="108" w:type="dxa"/>
            </w:tcMar>
          </w:tcPr>
          <w:p w14:paraId="6186B728" w14:textId="77777777" w:rsidR="004E63D6" w:rsidRPr="00AE0C9A" w:rsidRDefault="004E63D6" w:rsidP="00CA410A">
            <w:pPr>
              <w:pStyle w:val="TableText"/>
              <w:jc w:val="right"/>
            </w:pPr>
            <w:r w:rsidRPr="0003008B">
              <w:t>1,899</w:t>
            </w:r>
          </w:p>
        </w:tc>
        <w:tc>
          <w:tcPr>
            <w:tcW w:w="1037" w:type="dxa"/>
            <w:tcBorders>
              <w:left w:val="nil"/>
              <w:bottom w:val="single" w:sz="8" w:space="0" w:color="auto"/>
              <w:right w:val="single" w:sz="8" w:space="0" w:color="auto"/>
            </w:tcBorders>
            <w:tcMar>
              <w:top w:w="0" w:type="dxa"/>
              <w:left w:w="108" w:type="dxa"/>
              <w:bottom w:w="0" w:type="dxa"/>
              <w:right w:w="108" w:type="dxa"/>
            </w:tcMar>
          </w:tcPr>
          <w:p w14:paraId="082D5EEA" w14:textId="77777777" w:rsidR="004E63D6" w:rsidRPr="00AE0C9A" w:rsidRDefault="004E63D6" w:rsidP="00CA410A">
            <w:pPr>
              <w:pStyle w:val="TableText"/>
              <w:jc w:val="right"/>
            </w:pPr>
            <w:r w:rsidRPr="0003008B">
              <w:t>1,829</w:t>
            </w:r>
          </w:p>
        </w:tc>
        <w:tc>
          <w:tcPr>
            <w:tcW w:w="1037" w:type="dxa"/>
            <w:tcBorders>
              <w:left w:val="nil"/>
              <w:bottom w:val="single" w:sz="8" w:space="0" w:color="auto"/>
              <w:right w:val="single" w:sz="8" w:space="0" w:color="auto"/>
            </w:tcBorders>
            <w:tcMar>
              <w:top w:w="0" w:type="dxa"/>
              <w:left w:w="108" w:type="dxa"/>
              <w:bottom w:w="0" w:type="dxa"/>
              <w:right w:w="108" w:type="dxa"/>
            </w:tcMar>
          </w:tcPr>
          <w:p w14:paraId="4F9EE144" w14:textId="77777777" w:rsidR="004E63D6" w:rsidRPr="00AE0C9A" w:rsidRDefault="004E63D6" w:rsidP="00CA410A">
            <w:pPr>
              <w:pStyle w:val="TableText"/>
              <w:jc w:val="right"/>
            </w:pPr>
            <w:r w:rsidRPr="0003008B">
              <w:t>1,588</w:t>
            </w:r>
          </w:p>
        </w:tc>
      </w:tr>
      <w:tr w:rsidR="004E63D6" w:rsidRPr="00CE28E3" w14:paraId="3BA934BF"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6753AF" w14:textId="51B7BCEA" w:rsidR="004E63D6" w:rsidRPr="00CE28E3" w:rsidRDefault="004E63D6" w:rsidP="007A7348">
            <w:pPr>
              <w:pStyle w:val="TableText"/>
            </w:pPr>
            <w:r w:rsidRPr="00CE28E3">
              <w:t xml:space="preserve">Cost to the </w:t>
            </w:r>
            <w:r>
              <w:t>MBS</w:t>
            </w:r>
            <w:r w:rsidRPr="00CE28E3">
              <w:t xml:space="preserve"> </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0A022716" w14:textId="77777777" w:rsidR="004E63D6" w:rsidRPr="00CE28E3" w:rsidRDefault="004E63D6" w:rsidP="00CA410A">
            <w:pPr>
              <w:pStyle w:val="TableText"/>
              <w:jc w:val="right"/>
            </w:pPr>
            <w:r w:rsidRPr="00AD77A7">
              <w:t>$4,936,022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0FA2278D" w14:textId="77777777" w:rsidR="004E63D6" w:rsidRPr="00CE28E3" w:rsidRDefault="004E63D6" w:rsidP="00CA410A">
            <w:pPr>
              <w:pStyle w:val="TableText"/>
              <w:jc w:val="right"/>
            </w:pPr>
            <w:r w:rsidRPr="00AD77A7">
              <w:t>$5,183,631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AD3F44F" w14:textId="77777777" w:rsidR="004E63D6" w:rsidRPr="00CE28E3" w:rsidRDefault="004E63D6" w:rsidP="00CA410A">
            <w:pPr>
              <w:pStyle w:val="TableText"/>
              <w:jc w:val="right"/>
            </w:pPr>
            <w:r w:rsidRPr="00AD77A7">
              <w:t>$5,509,717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0505B5C" w14:textId="77777777" w:rsidR="004E63D6" w:rsidRPr="00CE28E3" w:rsidRDefault="004E63D6" w:rsidP="00CA410A">
            <w:pPr>
              <w:pStyle w:val="TableText"/>
              <w:jc w:val="right"/>
            </w:pPr>
            <w:r w:rsidRPr="00AD77A7">
              <w:t>$5,842,958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5CD9808" w14:textId="77777777" w:rsidR="004E63D6" w:rsidRPr="00CE28E3" w:rsidRDefault="004E63D6" w:rsidP="00CA410A">
            <w:pPr>
              <w:pStyle w:val="TableText"/>
              <w:jc w:val="right"/>
            </w:pPr>
            <w:r w:rsidRPr="00AD77A7">
              <w:t>$6,183,354</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B4E7346" w14:textId="77777777" w:rsidR="004E63D6" w:rsidRPr="00CE28E3" w:rsidRDefault="004E63D6" w:rsidP="00CA410A">
            <w:pPr>
              <w:pStyle w:val="TableText"/>
              <w:jc w:val="right"/>
            </w:pPr>
            <w:r w:rsidRPr="00AD77A7">
              <w:t>$6,620,116</w:t>
            </w:r>
          </w:p>
        </w:tc>
      </w:tr>
      <w:tr w:rsidR="004E63D6" w:rsidRPr="00CE28E3" w14:paraId="31F8391F" w14:textId="77777777" w:rsidTr="00CA410A">
        <w:tc>
          <w:tcPr>
            <w:tcW w:w="9006"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596803" w14:textId="77777777" w:rsidR="004E63D6" w:rsidRPr="00CE28E3" w:rsidRDefault="004E63D6" w:rsidP="00CA410A">
            <w:pPr>
              <w:pStyle w:val="TableText"/>
              <w:rPr>
                <w:b/>
                <w:bCs/>
              </w:rPr>
            </w:pPr>
            <w:r w:rsidRPr="00CE28E3">
              <w:rPr>
                <w:b/>
                <w:bCs/>
              </w:rPr>
              <w:t>Change in use and cost of other health technologies</w:t>
            </w:r>
          </w:p>
        </w:tc>
      </w:tr>
      <w:tr w:rsidR="004E63D6" w:rsidRPr="00CE28E3" w14:paraId="0B7C7AEF" w14:textId="77777777" w:rsidTr="00CA410A">
        <w:tc>
          <w:tcPr>
            <w:tcW w:w="9006" w:type="dxa"/>
            <w:gridSpan w:val="7"/>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AB421AC" w14:textId="77777777" w:rsidR="004E63D6" w:rsidRPr="00FF0573" w:rsidRDefault="004E63D6" w:rsidP="00CA410A">
            <w:pPr>
              <w:pStyle w:val="TableText"/>
            </w:pPr>
            <w:r>
              <w:t>Reduction in use of comparator testing services</w:t>
            </w:r>
          </w:p>
        </w:tc>
      </w:tr>
      <w:tr w:rsidR="004E63D6" w:rsidRPr="00CE28E3" w14:paraId="5C72B86B" w14:textId="77777777" w:rsidTr="00CA410A">
        <w:tc>
          <w:tcPr>
            <w:tcW w:w="2784" w:type="dxa"/>
            <w:tcBorders>
              <w:top w:val="single" w:sz="4" w:space="0" w:color="auto"/>
              <w:left w:val="single" w:sz="8" w:space="0" w:color="auto"/>
              <w:right w:val="single" w:sz="8" w:space="0" w:color="auto"/>
            </w:tcBorders>
            <w:tcMar>
              <w:top w:w="0" w:type="dxa"/>
              <w:left w:w="108" w:type="dxa"/>
              <w:bottom w:w="0" w:type="dxa"/>
              <w:right w:w="108" w:type="dxa"/>
            </w:tcMar>
            <w:hideMark/>
          </w:tcPr>
          <w:p w14:paraId="4184E62F" w14:textId="10D73269" w:rsidR="004E63D6" w:rsidRPr="00CE28E3" w:rsidRDefault="004E63D6" w:rsidP="007A7348">
            <w:pPr>
              <w:pStyle w:val="TableText"/>
              <w:keepNext/>
              <w:numPr>
                <w:ilvl w:val="0"/>
                <w:numId w:val="28"/>
              </w:numPr>
              <w:ind w:left="166" w:hanging="129"/>
            </w:pPr>
            <w:r w:rsidRPr="002A0A63">
              <w:rPr>
                <w:i/>
              </w:rPr>
              <w:t>EGFR</w:t>
            </w:r>
            <w:r w:rsidR="007A7348">
              <w:t xml:space="preserve"> (MBS benefit: $325.13)</w:t>
            </w:r>
            <w:r w:rsidR="007A7348">
              <w:rPr>
                <w:vertAlign w:val="superscript"/>
              </w:rPr>
              <w:t>c</w:t>
            </w:r>
          </w:p>
        </w:tc>
        <w:tc>
          <w:tcPr>
            <w:tcW w:w="1037" w:type="dxa"/>
            <w:tcBorders>
              <w:top w:val="single" w:sz="4" w:space="0" w:color="auto"/>
              <w:left w:val="nil"/>
              <w:right w:val="single" w:sz="8" w:space="0" w:color="auto"/>
            </w:tcBorders>
            <w:tcMar>
              <w:top w:w="0" w:type="dxa"/>
              <w:left w:w="108" w:type="dxa"/>
              <w:bottom w:w="0" w:type="dxa"/>
              <w:right w:w="108" w:type="dxa"/>
            </w:tcMar>
          </w:tcPr>
          <w:p w14:paraId="227F7E3B" w14:textId="77777777" w:rsidR="004E63D6" w:rsidRPr="00CE28E3" w:rsidRDefault="004E63D6" w:rsidP="00CA410A">
            <w:pPr>
              <w:pStyle w:val="TableText"/>
              <w:jc w:val="right"/>
            </w:pPr>
            <w:r w:rsidRPr="001B44CB">
              <w:t>5,521</w:t>
            </w:r>
          </w:p>
        </w:tc>
        <w:tc>
          <w:tcPr>
            <w:tcW w:w="1037" w:type="dxa"/>
            <w:tcBorders>
              <w:top w:val="single" w:sz="4" w:space="0" w:color="auto"/>
              <w:left w:val="nil"/>
              <w:right w:val="single" w:sz="8" w:space="0" w:color="auto"/>
            </w:tcBorders>
            <w:tcMar>
              <w:top w:w="0" w:type="dxa"/>
              <w:left w:w="108" w:type="dxa"/>
              <w:bottom w:w="0" w:type="dxa"/>
              <w:right w:w="108" w:type="dxa"/>
            </w:tcMar>
          </w:tcPr>
          <w:p w14:paraId="101A5928" w14:textId="77777777" w:rsidR="004E63D6" w:rsidRPr="00CE28E3" w:rsidRDefault="004E63D6" w:rsidP="00CA410A">
            <w:pPr>
              <w:pStyle w:val="TableText"/>
              <w:jc w:val="right"/>
            </w:pPr>
            <w:r w:rsidRPr="001B44CB">
              <w:t>5,797</w:t>
            </w:r>
          </w:p>
        </w:tc>
        <w:tc>
          <w:tcPr>
            <w:tcW w:w="1037" w:type="dxa"/>
            <w:tcBorders>
              <w:top w:val="single" w:sz="4" w:space="0" w:color="auto"/>
              <w:left w:val="nil"/>
              <w:right w:val="single" w:sz="8" w:space="0" w:color="auto"/>
            </w:tcBorders>
            <w:tcMar>
              <w:top w:w="0" w:type="dxa"/>
              <w:left w:w="108" w:type="dxa"/>
              <w:bottom w:w="0" w:type="dxa"/>
              <w:right w:w="108" w:type="dxa"/>
            </w:tcMar>
          </w:tcPr>
          <w:p w14:paraId="5DDAFE17" w14:textId="77777777" w:rsidR="004E63D6" w:rsidRPr="00CE28E3" w:rsidRDefault="004E63D6" w:rsidP="00CA410A">
            <w:pPr>
              <w:pStyle w:val="TableText"/>
              <w:jc w:val="right"/>
            </w:pPr>
            <w:r w:rsidRPr="001B44CB">
              <w:t>6,074</w:t>
            </w:r>
          </w:p>
        </w:tc>
        <w:tc>
          <w:tcPr>
            <w:tcW w:w="1037" w:type="dxa"/>
            <w:tcBorders>
              <w:top w:val="single" w:sz="4" w:space="0" w:color="auto"/>
              <w:left w:val="nil"/>
              <w:right w:val="single" w:sz="8" w:space="0" w:color="auto"/>
            </w:tcBorders>
            <w:tcMar>
              <w:top w:w="0" w:type="dxa"/>
              <w:left w:w="108" w:type="dxa"/>
              <w:bottom w:w="0" w:type="dxa"/>
              <w:right w:w="108" w:type="dxa"/>
            </w:tcMar>
          </w:tcPr>
          <w:p w14:paraId="355298CA" w14:textId="77777777" w:rsidR="004E63D6" w:rsidRPr="00CE28E3" w:rsidRDefault="004E63D6" w:rsidP="00CA410A">
            <w:pPr>
              <w:pStyle w:val="TableText"/>
              <w:jc w:val="right"/>
            </w:pPr>
            <w:r w:rsidRPr="001B44CB">
              <w:t>6,351</w:t>
            </w:r>
          </w:p>
        </w:tc>
        <w:tc>
          <w:tcPr>
            <w:tcW w:w="1037" w:type="dxa"/>
            <w:tcBorders>
              <w:top w:val="single" w:sz="4" w:space="0" w:color="auto"/>
              <w:left w:val="nil"/>
              <w:right w:val="single" w:sz="8" w:space="0" w:color="auto"/>
            </w:tcBorders>
            <w:tcMar>
              <w:top w:w="0" w:type="dxa"/>
              <w:left w:w="108" w:type="dxa"/>
              <w:bottom w:w="0" w:type="dxa"/>
              <w:right w:w="108" w:type="dxa"/>
            </w:tcMar>
          </w:tcPr>
          <w:p w14:paraId="3CBC4E75" w14:textId="77777777" w:rsidR="004E63D6" w:rsidRPr="00CE28E3" w:rsidRDefault="004E63D6" w:rsidP="00CA410A">
            <w:pPr>
              <w:pStyle w:val="TableText"/>
              <w:jc w:val="right"/>
            </w:pPr>
            <w:r w:rsidRPr="001B44CB">
              <w:t>6,628</w:t>
            </w:r>
          </w:p>
        </w:tc>
        <w:tc>
          <w:tcPr>
            <w:tcW w:w="1037" w:type="dxa"/>
            <w:tcBorders>
              <w:top w:val="single" w:sz="4" w:space="0" w:color="auto"/>
              <w:left w:val="nil"/>
              <w:right w:val="single" w:sz="8" w:space="0" w:color="auto"/>
            </w:tcBorders>
            <w:tcMar>
              <w:top w:w="0" w:type="dxa"/>
              <w:left w:w="108" w:type="dxa"/>
              <w:bottom w:w="0" w:type="dxa"/>
              <w:right w:w="108" w:type="dxa"/>
            </w:tcMar>
          </w:tcPr>
          <w:p w14:paraId="1F1AA683" w14:textId="77777777" w:rsidR="004E63D6" w:rsidRPr="00CE28E3" w:rsidRDefault="004E63D6" w:rsidP="00CA410A">
            <w:pPr>
              <w:pStyle w:val="TableText"/>
              <w:jc w:val="right"/>
            </w:pPr>
            <w:r w:rsidRPr="001B44CB">
              <w:t>6,905</w:t>
            </w:r>
          </w:p>
        </w:tc>
      </w:tr>
      <w:tr w:rsidR="004E63D6" w:rsidRPr="00CE28E3" w14:paraId="2B0E7E80" w14:textId="77777777" w:rsidTr="00CA410A">
        <w:tc>
          <w:tcPr>
            <w:tcW w:w="2784" w:type="dxa"/>
            <w:tcBorders>
              <w:left w:val="single" w:sz="8" w:space="0" w:color="auto"/>
              <w:right w:val="single" w:sz="8" w:space="0" w:color="auto"/>
            </w:tcBorders>
            <w:tcMar>
              <w:top w:w="0" w:type="dxa"/>
              <w:left w:w="108" w:type="dxa"/>
              <w:bottom w:w="0" w:type="dxa"/>
              <w:right w:w="108" w:type="dxa"/>
            </w:tcMar>
          </w:tcPr>
          <w:p w14:paraId="3819CFFE" w14:textId="13479B6B" w:rsidR="004E63D6" w:rsidRPr="00CE28E3" w:rsidRDefault="004E63D6" w:rsidP="007A7348">
            <w:pPr>
              <w:pStyle w:val="TableText"/>
              <w:keepNext/>
              <w:numPr>
                <w:ilvl w:val="0"/>
                <w:numId w:val="28"/>
              </w:numPr>
              <w:ind w:left="166" w:hanging="129"/>
            </w:pPr>
            <w:r w:rsidRPr="002A0A63">
              <w:rPr>
                <w:i/>
              </w:rPr>
              <w:t xml:space="preserve">ALK </w:t>
            </w:r>
            <w:r>
              <w:t>FISH</w:t>
            </w:r>
            <w:r w:rsidR="007A7348">
              <w:t xml:space="preserve"> </w:t>
            </w:r>
            <w:r w:rsidR="007A7348">
              <w:br/>
              <w:t>(MBS benefit: $325.80)</w:t>
            </w:r>
            <w:r w:rsidR="007A7348">
              <w:rPr>
                <w:vertAlign w:val="superscript"/>
              </w:rPr>
              <w:t>d</w:t>
            </w:r>
          </w:p>
        </w:tc>
        <w:tc>
          <w:tcPr>
            <w:tcW w:w="1037" w:type="dxa"/>
            <w:tcBorders>
              <w:left w:val="nil"/>
              <w:right w:val="single" w:sz="8" w:space="0" w:color="auto"/>
            </w:tcBorders>
            <w:tcMar>
              <w:top w:w="0" w:type="dxa"/>
              <w:left w:w="108" w:type="dxa"/>
              <w:bottom w:w="0" w:type="dxa"/>
              <w:right w:w="108" w:type="dxa"/>
            </w:tcMar>
          </w:tcPr>
          <w:p w14:paraId="514D050F" w14:textId="77777777" w:rsidR="004E63D6" w:rsidRPr="00CE28E3" w:rsidRDefault="004E63D6" w:rsidP="00CA410A">
            <w:pPr>
              <w:pStyle w:val="TableText"/>
              <w:jc w:val="right"/>
            </w:pPr>
            <w:r w:rsidRPr="001B44CB">
              <w:t>245</w:t>
            </w:r>
          </w:p>
        </w:tc>
        <w:tc>
          <w:tcPr>
            <w:tcW w:w="1037" w:type="dxa"/>
            <w:tcBorders>
              <w:left w:val="nil"/>
              <w:right w:val="single" w:sz="8" w:space="0" w:color="auto"/>
            </w:tcBorders>
            <w:tcMar>
              <w:top w:w="0" w:type="dxa"/>
              <w:left w:w="108" w:type="dxa"/>
              <w:bottom w:w="0" w:type="dxa"/>
              <w:right w:w="108" w:type="dxa"/>
            </w:tcMar>
          </w:tcPr>
          <w:p w14:paraId="12C7FCB9" w14:textId="77777777" w:rsidR="004E63D6" w:rsidRPr="00CE28E3" w:rsidRDefault="004E63D6" w:rsidP="00CA410A">
            <w:pPr>
              <w:pStyle w:val="TableText"/>
              <w:jc w:val="right"/>
            </w:pPr>
            <w:r w:rsidRPr="001B44CB">
              <w:t>257</w:t>
            </w:r>
          </w:p>
        </w:tc>
        <w:tc>
          <w:tcPr>
            <w:tcW w:w="1037" w:type="dxa"/>
            <w:tcBorders>
              <w:left w:val="nil"/>
              <w:right w:val="single" w:sz="8" w:space="0" w:color="auto"/>
            </w:tcBorders>
            <w:tcMar>
              <w:top w:w="0" w:type="dxa"/>
              <w:left w:w="108" w:type="dxa"/>
              <w:bottom w:w="0" w:type="dxa"/>
              <w:right w:w="108" w:type="dxa"/>
            </w:tcMar>
          </w:tcPr>
          <w:p w14:paraId="1D370ABE" w14:textId="77777777" w:rsidR="004E63D6" w:rsidRPr="00CE28E3" w:rsidRDefault="004E63D6" w:rsidP="00CA410A">
            <w:pPr>
              <w:pStyle w:val="TableText"/>
              <w:jc w:val="right"/>
            </w:pPr>
            <w:r w:rsidRPr="001B44CB">
              <w:t>270</w:t>
            </w:r>
          </w:p>
        </w:tc>
        <w:tc>
          <w:tcPr>
            <w:tcW w:w="1037" w:type="dxa"/>
            <w:tcBorders>
              <w:left w:val="nil"/>
              <w:right w:val="single" w:sz="8" w:space="0" w:color="auto"/>
            </w:tcBorders>
            <w:tcMar>
              <w:top w:w="0" w:type="dxa"/>
              <w:left w:w="108" w:type="dxa"/>
              <w:bottom w:w="0" w:type="dxa"/>
              <w:right w:w="108" w:type="dxa"/>
            </w:tcMar>
          </w:tcPr>
          <w:p w14:paraId="63A3E414" w14:textId="77777777" w:rsidR="004E63D6" w:rsidRPr="00CE28E3" w:rsidRDefault="004E63D6" w:rsidP="00CA410A">
            <w:pPr>
              <w:pStyle w:val="TableText"/>
              <w:jc w:val="right"/>
            </w:pPr>
            <w:r w:rsidRPr="001B44CB">
              <w:t>282</w:t>
            </w:r>
          </w:p>
        </w:tc>
        <w:tc>
          <w:tcPr>
            <w:tcW w:w="1037" w:type="dxa"/>
            <w:tcBorders>
              <w:left w:val="nil"/>
              <w:right w:val="single" w:sz="8" w:space="0" w:color="auto"/>
            </w:tcBorders>
            <w:tcMar>
              <w:top w:w="0" w:type="dxa"/>
              <w:left w:w="108" w:type="dxa"/>
              <w:bottom w:w="0" w:type="dxa"/>
              <w:right w:w="108" w:type="dxa"/>
            </w:tcMar>
          </w:tcPr>
          <w:p w14:paraId="2171B0EE" w14:textId="77777777" w:rsidR="004E63D6" w:rsidRPr="00CE28E3" w:rsidRDefault="004E63D6" w:rsidP="00CA410A">
            <w:pPr>
              <w:pStyle w:val="TableText"/>
              <w:jc w:val="right"/>
            </w:pPr>
            <w:r w:rsidRPr="001B44CB">
              <w:t>295</w:t>
            </w:r>
          </w:p>
        </w:tc>
        <w:tc>
          <w:tcPr>
            <w:tcW w:w="1037" w:type="dxa"/>
            <w:tcBorders>
              <w:left w:val="nil"/>
              <w:right w:val="single" w:sz="8" w:space="0" w:color="auto"/>
            </w:tcBorders>
            <w:tcMar>
              <w:top w:w="0" w:type="dxa"/>
              <w:left w:w="108" w:type="dxa"/>
              <w:bottom w:w="0" w:type="dxa"/>
              <w:right w:w="108" w:type="dxa"/>
            </w:tcMar>
          </w:tcPr>
          <w:p w14:paraId="219D4FE3" w14:textId="77777777" w:rsidR="004E63D6" w:rsidRPr="00CE28E3" w:rsidRDefault="004E63D6" w:rsidP="00CA410A">
            <w:pPr>
              <w:pStyle w:val="TableText"/>
              <w:jc w:val="right"/>
            </w:pPr>
            <w:r w:rsidRPr="001B44CB">
              <w:t>308</w:t>
            </w:r>
          </w:p>
        </w:tc>
      </w:tr>
      <w:tr w:rsidR="004E63D6" w:rsidRPr="00CE28E3" w14:paraId="5FD6B2B9" w14:textId="77777777" w:rsidTr="00CA410A">
        <w:tc>
          <w:tcPr>
            <w:tcW w:w="2784" w:type="dxa"/>
            <w:tcBorders>
              <w:left w:val="single" w:sz="8" w:space="0" w:color="auto"/>
              <w:right w:val="single" w:sz="8" w:space="0" w:color="auto"/>
            </w:tcBorders>
            <w:tcMar>
              <w:top w:w="0" w:type="dxa"/>
              <w:left w:w="108" w:type="dxa"/>
              <w:bottom w:w="0" w:type="dxa"/>
              <w:right w:w="108" w:type="dxa"/>
            </w:tcMar>
          </w:tcPr>
          <w:p w14:paraId="6617AF77" w14:textId="2AB5A430" w:rsidR="004E63D6" w:rsidRPr="00CE28E3" w:rsidRDefault="004E63D6" w:rsidP="007A7348">
            <w:pPr>
              <w:pStyle w:val="TableText"/>
              <w:keepNext/>
              <w:numPr>
                <w:ilvl w:val="0"/>
                <w:numId w:val="28"/>
              </w:numPr>
              <w:ind w:left="166" w:hanging="129"/>
            </w:pPr>
            <w:r w:rsidRPr="002A0A63">
              <w:rPr>
                <w:i/>
              </w:rPr>
              <w:t>ROS</w:t>
            </w:r>
            <w:r>
              <w:t>1 FISH</w:t>
            </w:r>
            <w:r w:rsidR="007A7348">
              <w:t xml:space="preserve"> </w:t>
            </w:r>
            <w:r w:rsidR="007A7348">
              <w:br/>
              <w:t>(MBS benefit: $325.80)</w:t>
            </w:r>
            <w:r w:rsidR="007A7348">
              <w:rPr>
                <w:vertAlign w:val="superscript"/>
              </w:rPr>
              <w:t>d</w:t>
            </w:r>
          </w:p>
        </w:tc>
        <w:tc>
          <w:tcPr>
            <w:tcW w:w="1037" w:type="dxa"/>
            <w:tcBorders>
              <w:left w:val="nil"/>
              <w:right w:val="single" w:sz="8" w:space="0" w:color="auto"/>
            </w:tcBorders>
            <w:tcMar>
              <w:top w:w="0" w:type="dxa"/>
              <w:left w:w="108" w:type="dxa"/>
              <w:bottom w:w="0" w:type="dxa"/>
              <w:right w:w="108" w:type="dxa"/>
            </w:tcMar>
          </w:tcPr>
          <w:p w14:paraId="35B3668F" w14:textId="77777777" w:rsidR="004E63D6" w:rsidRPr="00CE28E3" w:rsidRDefault="004E63D6" w:rsidP="00CA410A">
            <w:pPr>
              <w:pStyle w:val="TableText"/>
              <w:jc w:val="right"/>
            </w:pPr>
            <w:r w:rsidRPr="001B44CB">
              <w:t>408</w:t>
            </w:r>
          </w:p>
        </w:tc>
        <w:tc>
          <w:tcPr>
            <w:tcW w:w="1037" w:type="dxa"/>
            <w:tcBorders>
              <w:left w:val="nil"/>
              <w:right w:val="single" w:sz="8" w:space="0" w:color="auto"/>
            </w:tcBorders>
            <w:tcMar>
              <w:top w:w="0" w:type="dxa"/>
              <w:left w:w="108" w:type="dxa"/>
              <w:bottom w:w="0" w:type="dxa"/>
              <w:right w:w="108" w:type="dxa"/>
            </w:tcMar>
          </w:tcPr>
          <w:p w14:paraId="3E725F3B" w14:textId="77777777" w:rsidR="004E63D6" w:rsidRPr="00CE28E3" w:rsidRDefault="004E63D6" w:rsidP="00CA410A">
            <w:pPr>
              <w:pStyle w:val="TableText"/>
              <w:jc w:val="right"/>
            </w:pPr>
            <w:r w:rsidRPr="001B44CB">
              <w:t>428</w:t>
            </w:r>
          </w:p>
        </w:tc>
        <w:tc>
          <w:tcPr>
            <w:tcW w:w="1037" w:type="dxa"/>
            <w:tcBorders>
              <w:left w:val="nil"/>
              <w:right w:val="single" w:sz="8" w:space="0" w:color="auto"/>
            </w:tcBorders>
            <w:tcMar>
              <w:top w:w="0" w:type="dxa"/>
              <w:left w:w="108" w:type="dxa"/>
              <w:bottom w:w="0" w:type="dxa"/>
              <w:right w:w="108" w:type="dxa"/>
            </w:tcMar>
          </w:tcPr>
          <w:p w14:paraId="44BC27C2" w14:textId="77777777" w:rsidR="004E63D6" w:rsidRPr="00CE28E3" w:rsidRDefault="004E63D6" w:rsidP="00CA410A">
            <w:pPr>
              <w:pStyle w:val="TableText"/>
              <w:jc w:val="right"/>
            </w:pPr>
            <w:r w:rsidRPr="001B44CB">
              <w:t>449</w:t>
            </w:r>
          </w:p>
        </w:tc>
        <w:tc>
          <w:tcPr>
            <w:tcW w:w="1037" w:type="dxa"/>
            <w:tcBorders>
              <w:left w:val="nil"/>
              <w:right w:val="single" w:sz="8" w:space="0" w:color="auto"/>
            </w:tcBorders>
            <w:tcMar>
              <w:top w:w="0" w:type="dxa"/>
              <w:left w:w="108" w:type="dxa"/>
              <w:bottom w:w="0" w:type="dxa"/>
              <w:right w:w="108" w:type="dxa"/>
            </w:tcMar>
          </w:tcPr>
          <w:p w14:paraId="014E28B4" w14:textId="77777777" w:rsidR="004E63D6" w:rsidRPr="00CE28E3" w:rsidRDefault="004E63D6" w:rsidP="00CA410A">
            <w:pPr>
              <w:pStyle w:val="TableText"/>
              <w:jc w:val="right"/>
            </w:pPr>
            <w:r w:rsidRPr="001B44CB">
              <w:t>470</w:t>
            </w:r>
          </w:p>
        </w:tc>
        <w:tc>
          <w:tcPr>
            <w:tcW w:w="1037" w:type="dxa"/>
            <w:tcBorders>
              <w:left w:val="nil"/>
              <w:right w:val="single" w:sz="8" w:space="0" w:color="auto"/>
            </w:tcBorders>
            <w:tcMar>
              <w:top w:w="0" w:type="dxa"/>
              <w:left w:w="108" w:type="dxa"/>
              <w:bottom w:w="0" w:type="dxa"/>
              <w:right w:w="108" w:type="dxa"/>
            </w:tcMar>
          </w:tcPr>
          <w:p w14:paraId="2E7C3218" w14:textId="77777777" w:rsidR="004E63D6" w:rsidRPr="00CE28E3" w:rsidRDefault="004E63D6" w:rsidP="00CA410A">
            <w:pPr>
              <w:pStyle w:val="TableText"/>
              <w:jc w:val="right"/>
            </w:pPr>
            <w:r w:rsidRPr="001B44CB">
              <w:t>491</w:t>
            </w:r>
          </w:p>
        </w:tc>
        <w:tc>
          <w:tcPr>
            <w:tcW w:w="1037" w:type="dxa"/>
            <w:tcBorders>
              <w:left w:val="nil"/>
              <w:right w:val="single" w:sz="8" w:space="0" w:color="auto"/>
            </w:tcBorders>
            <w:tcMar>
              <w:top w:w="0" w:type="dxa"/>
              <w:left w:w="108" w:type="dxa"/>
              <w:bottom w:w="0" w:type="dxa"/>
              <w:right w:w="108" w:type="dxa"/>
            </w:tcMar>
          </w:tcPr>
          <w:p w14:paraId="6D9A9F1B" w14:textId="77777777" w:rsidR="004E63D6" w:rsidRPr="00CE28E3" w:rsidRDefault="004E63D6" w:rsidP="00CA410A">
            <w:pPr>
              <w:pStyle w:val="TableText"/>
              <w:jc w:val="right"/>
            </w:pPr>
            <w:r w:rsidRPr="001B44CB">
              <w:t>513</w:t>
            </w:r>
          </w:p>
        </w:tc>
      </w:tr>
      <w:tr w:rsidR="007B4D43" w:rsidRPr="00CE28E3" w14:paraId="2EA9E0FC" w14:textId="77777777" w:rsidTr="00CA410A">
        <w:tc>
          <w:tcPr>
            <w:tcW w:w="2784" w:type="dxa"/>
            <w:tcBorders>
              <w:left w:val="single" w:sz="8" w:space="0" w:color="auto"/>
              <w:bottom w:val="single" w:sz="8" w:space="0" w:color="auto"/>
              <w:right w:val="single" w:sz="8" w:space="0" w:color="auto"/>
            </w:tcBorders>
            <w:tcMar>
              <w:top w:w="0" w:type="dxa"/>
              <w:left w:w="108" w:type="dxa"/>
              <w:bottom w:w="0" w:type="dxa"/>
              <w:right w:w="108" w:type="dxa"/>
            </w:tcMar>
          </w:tcPr>
          <w:p w14:paraId="4A93589F" w14:textId="15688834" w:rsidR="007B4D43" w:rsidRPr="00CE28E3" w:rsidRDefault="007B4D43" w:rsidP="007B4D43">
            <w:pPr>
              <w:pStyle w:val="TableText"/>
              <w:keepNext/>
              <w:numPr>
                <w:ilvl w:val="0"/>
                <w:numId w:val="28"/>
              </w:numPr>
              <w:ind w:left="166" w:hanging="129"/>
            </w:pPr>
            <w:r w:rsidRPr="002A0A63">
              <w:rPr>
                <w:i/>
              </w:rPr>
              <w:t>MET</w:t>
            </w:r>
            <w:r>
              <w:t xml:space="preserve">ex14sk </w:t>
            </w:r>
            <w:r>
              <w:br/>
              <w:t>(MBS benefit: $337.75)</w:t>
            </w:r>
            <w:r>
              <w:rPr>
                <w:vertAlign w:val="superscript"/>
              </w:rPr>
              <w:t>e</w:t>
            </w:r>
          </w:p>
        </w:tc>
        <w:tc>
          <w:tcPr>
            <w:tcW w:w="1037" w:type="dxa"/>
            <w:tcBorders>
              <w:left w:val="nil"/>
              <w:bottom w:val="single" w:sz="8" w:space="0" w:color="auto"/>
              <w:right w:val="single" w:sz="8" w:space="0" w:color="auto"/>
            </w:tcBorders>
            <w:tcMar>
              <w:top w:w="0" w:type="dxa"/>
              <w:left w:w="108" w:type="dxa"/>
              <w:bottom w:w="0" w:type="dxa"/>
              <w:right w:w="108" w:type="dxa"/>
            </w:tcMar>
          </w:tcPr>
          <w:p w14:paraId="11BB9771" w14:textId="663DE04C" w:rsidR="007B4D43" w:rsidRPr="00CE28E3" w:rsidRDefault="007B4D43" w:rsidP="007B4D43">
            <w:pPr>
              <w:pStyle w:val="TableText"/>
              <w:jc w:val="right"/>
            </w:pPr>
            <w:r w:rsidRPr="00634C8B">
              <w:t>3,559</w:t>
            </w:r>
          </w:p>
        </w:tc>
        <w:tc>
          <w:tcPr>
            <w:tcW w:w="1037" w:type="dxa"/>
            <w:tcBorders>
              <w:left w:val="nil"/>
              <w:bottom w:val="single" w:sz="8" w:space="0" w:color="auto"/>
              <w:right w:val="single" w:sz="8" w:space="0" w:color="auto"/>
            </w:tcBorders>
            <w:tcMar>
              <w:top w:w="0" w:type="dxa"/>
              <w:left w:w="108" w:type="dxa"/>
              <w:bottom w:w="0" w:type="dxa"/>
              <w:right w:w="108" w:type="dxa"/>
            </w:tcMar>
          </w:tcPr>
          <w:p w14:paraId="64AD8F0F" w14:textId="6ED2A04B" w:rsidR="007B4D43" w:rsidRPr="00CE28E3" w:rsidRDefault="007B4D43" w:rsidP="007B4D43">
            <w:pPr>
              <w:pStyle w:val="TableText"/>
              <w:jc w:val="right"/>
            </w:pPr>
            <w:r w:rsidRPr="00634C8B">
              <w:t>3,738</w:t>
            </w:r>
          </w:p>
        </w:tc>
        <w:tc>
          <w:tcPr>
            <w:tcW w:w="1037" w:type="dxa"/>
            <w:tcBorders>
              <w:left w:val="nil"/>
              <w:bottom w:val="single" w:sz="8" w:space="0" w:color="auto"/>
              <w:right w:val="single" w:sz="8" w:space="0" w:color="auto"/>
            </w:tcBorders>
            <w:tcMar>
              <w:top w:w="0" w:type="dxa"/>
              <w:left w:w="108" w:type="dxa"/>
              <w:bottom w:w="0" w:type="dxa"/>
              <w:right w:w="108" w:type="dxa"/>
            </w:tcMar>
          </w:tcPr>
          <w:p w14:paraId="71561773" w14:textId="215C5189" w:rsidR="007B4D43" w:rsidRPr="00CE28E3" w:rsidRDefault="007B4D43" w:rsidP="007B4D43">
            <w:pPr>
              <w:pStyle w:val="TableText"/>
              <w:jc w:val="right"/>
            </w:pPr>
            <w:r w:rsidRPr="00634C8B">
              <w:t>3,916</w:t>
            </w:r>
          </w:p>
        </w:tc>
        <w:tc>
          <w:tcPr>
            <w:tcW w:w="1037" w:type="dxa"/>
            <w:tcBorders>
              <w:left w:val="nil"/>
              <w:bottom w:val="single" w:sz="8" w:space="0" w:color="auto"/>
              <w:right w:val="single" w:sz="8" w:space="0" w:color="auto"/>
            </w:tcBorders>
            <w:tcMar>
              <w:top w:w="0" w:type="dxa"/>
              <w:left w:w="108" w:type="dxa"/>
              <w:bottom w:w="0" w:type="dxa"/>
              <w:right w:w="108" w:type="dxa"/>
            </w:tcMar>
          </w:tcPr>
          <w:p w14:paraId="0ECE914A" w14:textId="6DB0CB02" w:rsidR="007B4D43" w:rsidRPr="00CE28E3" w:rsidRDefault="007B4D43" w:rsidP="007B4D43">
            <w:pPr>
              <w:pStyle w:val="TableText"/>
              <w:jc w:val="right"/>
            </w:pPr>
            <w:r w:rsidRPr="00634C8B">
              <w:t>4,095</w:t>
            </w:r>
          </w:p>
        </w:tc>
        <w:tc>
          <w:tcPr>
            <w:tcW w:w="1037" w:type="dxa"/>
            <w:tcBorders>
              <w:left w:val="nil"/>
              <w:bottom w:val="single" w:sz="8" w:space="0" w:color="auto"/>
              <w:right w:val="single" w:sz="8" w:space="0" w:color="auto"/>
            </w:tcBorders>
            <w:tcMar>
              <w:top w:w="0" w:type="dxa"/>
              <w:left w:w="108" w:type="dxa"/>
              <w:bottom w:w="0" w:type="dxa"/>
              <w:right w:w="108" w:type="dxa"/>
            </w:tcMar>
          </w:tcPr>
          <w:p w14:paraId="25A876C3" w14:textId="32690E8D" w:rsidR="007B4D43" w:rsidRPr="00CE28E3" w:rsidRDefault="007B4D43" w:rsidP="007B4D43">
            <w:pPr>
              <w:pStyle w:val="TableText"/>
              <w:jc w:val="right"/>
            </w:pPr>
            <w:r w:rsidRPr="00634C8B">
              <w:t>4,273</w:t>
            </w:r>
          </w:p>
        </w:tc>
        <w:tc>
          <w:tcPr>
            <w:tcW w:w="1037" w:type="dxa"/>
            <w:tcBorders>
              <w:left w:val="nil"/>
              <w:bottom w:val="single" w:sz="8" w:space="0" w:color="auto"/>
              <w:right w:val="single" w:sz="8" w:space="0" w:color="auto"/>
            </w:tcBorders>
            <w:tcMar>
              <w:top w:w="0" w:type="dxa"/>
              <w:left w:w="108" w:type="dxa"/>
              <w:bottom w:w="0" w:type="dxa"/>
              <w:right w:w="108" w:type="dxa"/>
            </w:tcMar>
          </w:tcPr>
          <w:p w14:paraId="4AE0D721" w14:textId="036016C3" w:rsidR="007B4D43" w:rsidRPr="00CE28E3" w:rsidRDefault="007B4D43" w:rsidP="007B4D43">
            <w:pPr>
              <w:pStyle w:val="TableText"/>
              <w:jc w:val="right"/>
            </w:pPr>
            <w:r w:rsidRPr="00634C8B">
              <w:t>4,452</w:t>
            </w:r>
          </w:p>
        </w:tc>
      </w:tr>
      <w:tr w:rsidR="007B4D43" w:rsidRPr="00CE28E3" w14:paraId="2110AB65"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8EEC6" w14:textId="713BDD9E" w:rsidR="007B4D43" w:rsidRPr="00CE28E3" w:rsidRDefault="007B4D43" w:rsidP="007B4D43">
            <w:pPr>
              <w:pStyle w:val="TableText"/>
            </w:pPr>
            <w:r>
              <w:t>Reduction in use of block retrieval services (MBS benefit: $72.25)</w:t>
            </w:r>
            <w:r w:rsidRPr="006244EA">
              <w:rPr>
                <w:vertAlign w:val="superscript"/>
              </w:rPr>
              <w:t>f</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2B5D09DB" w14:textId="1855DAA9" w:rsidR="007B4D43" w:rsidRPr="00CE28E3" w:rsidRDefault="007B4D43" w:rsidP="007B4D43">
            <w:pPr>
              <w:pStyle w:val="TableText"/>
              <w:jc w:val="right"/>
            </w:pPr>
            <w:r w:rsidRPr="006E2B34">
              <w:t>3,559</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2B4FEDED" w14:textId="30B23221" w:rsidR="007B4D43" w:rsidRPr="00CE28E3" w:rsidRDefault="007B4D43" w:rsidP="007B4D43">
            <w:pPr>
              <w:pStyle w:val="TableText"/>
              <w:jc w:val="right"/>
            </w:pPr>
            <w:r w:rsidRPr="006E2B34">
              <w:t>3,738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4676EFF" w14:textId="3F39E053" w:rsidR="007B4D43" w:rsidRPr="00CE28E3" w:rsidRDefault="007B4D43" w:rsidP="007B4D43">
            <w:pPr>
              <w:pStyle w:val="TableText"/>
              <w:jc w:val="right"/>
            </w:pPr>
            <w:r w:rsidRPr="006E2B34">
              <w:t>3,916</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F19F490" w14:textId="2A5F9CCE" w:rsidR="007B4D43" w:rsidRPr="00CE28E3" w:rsidRDefault="007B4D43" w:rsidP="007B4D43">
            <w:pPr>
              <w:pStyle w:val="TableText"/>
              <w:jc w:val="right"/>
            </w:pPr>
            <w:r w:rsidRPr="006E2B34">
              <w:t>4,095</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21C846E7" w14:textId="310F5DB5" w:rsidR="007B4D43" w:rsidRPr="00CE28E3" w:rsidRDefault="007B4D43" w:rsidP="007B4D43">
            <w:pPr>
              <w:pStyle w:val="TableText"/>
              <w:jc w:val="right"/>
            </w:pPr>
            <w:r w:rsidRPr="006E2B34">
              <w:t>4,273</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B54D8DF" w14:textId="358ABE8C" w:rsidR="007B4D43" w:rsidRPr="00CE28E3" w:rsidRDefault="007B4D43" w:rsidP="007B4D43">
            <w:pPr>
              <w:pStyle w:val="TableText"/>
              <w:jc w:val="right"/>
            </w:pPr>
            <w:r w:rsidRPr="006E2B34">
              <w:t>4,452</w:t>
            </w:r>
          </w:p>
        </w:tc>
      </w:tr>
      <w:tr w:rsidR="007B4D43" w:rsidRPr="00CE28E3" w14:paraId="44137A34"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C0701" w14:textId="23FAE6DE" w:rsidR="007B4D43" w:rsidRPr="00CE28E3" w:rsidRDefault="007B4D43" w:rsidP="007B4D43">
            <w:pPr>
              <w:pStyle w:val="TableText"/>
            </w:pPr>
            <w:r w:rsidRPr="00CE28E3">
              <w:t>Net change in costs to the</w:t>
            </w:r>
            <w:r>
              <w:t xml:space="preserve"> MBS</w:t>
            </w:r>
            <w:r w:rsidRPr="00CE28E3">
              <w:t xml:space="preserve"> </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71F56583" w14:textId="6B779EC6" w:rsidR="007B4D43" w:rsidRPr="00CE28E3" w:rsidRDefault="007B4D43" w:rsidP="007B4D43">
            <w:pPr>
              <w:pStyle w:val="TableText"/>
              <w:jc w:val="right"/>
            </w:pPr>
            <w:r w:rsidRPr="003643A8">
              <w:t>$3,466,662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E443C9C" w14:textId="671300BF" w:rsidR="007B4D43" w:rsidRPr="00CE28E3" w:rsidRDefault="007B4D43" w:rsidP="007B4D43">
            <w:pPr>
              <w:pStyle w:val="TableText"/>
              <w:jc w:val="right"/>
            </w:pPr>
            <w:r w:rsidRPr="003643A8">
              <w:t>$3,640,562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AD62DC6" w14:textId="5F10921A" w:rsidR="007B4D43" w:rsidRPr="00CE28E3" w:rsidRDefault="007B4D43" w:rsidP="007B4D43">
            <w:pPr>
              <w:pStyle w:val="TableText"/>
              <w:jc w:val="right"/>
            </w:pPr>
            <w:r w:rsidRPr="003643A8">
              <w:t>$3,814,751</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5A6DD93" w14:textId="19C1CCCF" w:rsidR="007B4D43" w:rsidRPr="00CE28E3" w:rsidRDefault="007B4D43" w:rsidP="007B4D43">
            <w:pPr>
              <w:pStyle w:val="TableText"/>
              <w:jc w:val="right"/>
            </w:pPr>
            <w:r w:rsidRPr="003643A8">
              <w:t>$3,988,966</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D8EFF4F" w14:textId="3ADAE11D" w:rsidR="007B4D43" w:rsidRPr="00CE28E3" w:rsidRDefault="007B4D43" w:rsidP="007B4D43">
            <w:pPr>
              <w:pStyle w:val="TableText"/>
              <w:jc w:val="right"/>
            </w:pPr>
            <w:r w:rsidRPr="003643A8">
              <w:t>$4,163,208</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31E5484D" w14:textId="79FAED0C" w:rsidR="007B4D43" w:rsidRPr="00CE28E3" w:rsidRDefault="007B4D43" w:rsidP="007B4D43">
            <w:pPr>
              <w:pStyle w:val="TableText"/>
              <w:jc w:val="right"/>
            </w:pPr>
            <w:r w:rsidRPr="003643A8">
              <w:t>$4,337,803</w:t>
            </w:r>
          </w:p>
        </w:tc>
      </w:tr>
      <w:tr w:rsidR="007B4D43" w:rsidRPr="00CE28E3" w14:paraId="2A563FC0" w14:textId="77777777" w:rsidTr="00CA410A">
        <w:tc>
          <w:tcPr>
            <w:tcW w:w="27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43FAA0" w14:textId="77777777" w:rsidR="007B4D43" w:rsidRPr="00CE28E3" w:rsidRDefault="007B4D43" w:rsidP="007B4D43">
            <w:pPr>
              <w:pStyle w:val="TableText"/>
              <w:rPr>
                <w:b/>
                <w:bCs/>
              </w:rPr>
            </w:pPr>
            <w:r w:rsidRPr="00CE28E3">
              <w:rPr>
                <w:b/>
                <w:bCs/>
              </w:rPr>
              <w:t xml:space="preserve">Net financial impact to the </w:t>
            </w:r>
            <w:r>
              <w:rPr>
                <w:b/>
                <w:bCs/>
              </w:rPr>
              <w:t>MBS</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CF2AEE1" w14:textId="2A64EB8F" w:rsidR="007B4D43" w:rsidRPr="007B4D43" w:rsidRDefault="007B4D43" w:rsidP="007B4D43">
            <w:pPr>
              <w:pStyle w:val="TableText"/>
              <w:jc w:val="right"/>
              <w:rPr>
                <w:b/>
                <w:bCs/>
              </w:rPr>
            </w:pPr>
            <w:r w:rsidRPr="007B4D43">
              <w:rPr>
                <w:b/>
              </w:rPr>
              <w:t>$1,469,360</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652BD703" w14:textId="7CAD8CB6" w:rsidR="007B4D43" w:rsidRPr="007B4D43" w:rsidRDefault="007B4D43" w:rsidP="007B4D43">
            <w:pPr>
              <w:pStyle w:val="TableText"/>
              <w:jc w:val="right"/>
              <w:rPr>
                <w:b/>
                <w:bCs/>
              </w:rPr>
            </w:pPr>
            <w:r w:rsidRPr="007B4D43">
              <w:rPr>
                <w:b/>
              </w:rPr>
              <w:t>$1,543,069</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5DE46FCB" w14:textId="28FC1210" w:rsidR="007B4D43" w:rsidRPr="007B4D43" w:rsidRDefault="007B4D43" w:rsidP="007B4D43">
            <w:pPr>
              <w:pStyle w:val="TableText"/>
              <w:jc w:val="right"/>
              <w:rPr>
                <w:b/>
                <w:bCs/>
              </w:rPr>
            </w:pPr>
            <w:r w:rsidRPr="007B4D43">
              <w:rPr>
                <w:b/>
              </w:rPr>
              <w:t>$1,694,966</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FA1B98E" w14:textId="694DB1AC" w:rsidR="007B4D43" w:rsidRPr="007B4D43" w:rsidRDefault="007B4D43" w:rsidP="007B4D43">
            <w:pPr>
              <w:pStyle w:val="TableText"/>
              <w:jc w:val="right"/>
              <w:rPr>
                <w:b/>
                <w:bCs/>
              </w:rPr>
            </w:pPr>
            <w:r w:rsidRPr="007B4D43">
              <w:rPr>
                <w:b/>
              </w:rPr>
              <w:t>$1,853,992</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1A584B43" w14:textId="64A606B9" w:rsidR="007B4D43" w:rsidRPr="007B4D43" w:rsidRDefault="007B4D43" w:rsidP="007B4D43">
            <w:pPr>
              <w:pStyle w:val="TableText"/>
              <w:jc w:val="right"/>
              <w:rPr>
                <w:b/>
                <w:bCs/>
              </w:rPr>
            </w:pPr>
            <w:r w:rsidRPr="007B4D43">
              <w:rPr>
                <w:b/>
              </w:rPr>
              <w:t>$2,020,147</w:t>
            </w:r>
          </w:p>
        </w:tc>
        <w:tc>
          <w:tcPr>
            <w:tcW w:w="1037" w:type="dxa"/>
            <w:tcBorders>
              <w:top w:val="nil"/>
              <w:left w:val="nil"/>
              <w:bottom w:val="single" w:sz="8" w:space="0" w:color="auto"/>
              <w:right w:val="single" w:sz="8" w:space="0" w:color="auto"/>
            </w:tcBorders>
            <w:tcMar>
              <w:top w:w="0" w:type="dxa"/>
              <w:left w:w="108" w:type="dxa"/>
              <w:bottom w:w="0" w:type="dxa"/>
              <w:right w:w="108" w:type="dxa"/>
            </w:tcMar>
          </w:tcPr>
          <w:p w14:paraId="484C188A" w14:textId="505CCEFB" w:rsidR="007B4D43" w:rsidRPr="007B4D43" w:rsidRDefault="007B4D43" w:rsidP="007B4D43">
            <w:pPr>
              <w:pStyle w:val="TableText"/>
              <w:jc w:val="right"/>
              <w:rPr>
                <w:b/>
                <w:bCs/>
              </w:rPr>
            </w:pPr>
            <w:r w:rsidRPr="007B4D43">
              <w:rPr>
                <w:b/>
              </w:rPr>
              <w:t>$2,282,313</w:t>
            </w:r>
          </w:p>
        </w:tc>
      </w:tr>
    </w:tbl>
    <w:p w14:paraId="49D86584" w14:textId="77777777" w:rsidR="004E63D6" w:rsidRDefault="004E63D6" w:rsidP="004E63D6">
      <w:pPr>
        <w:pStyle w:val="TableFooter"/>
      </w:pPr>
      <w:r>
        <w:t>Source: ‘Section 4.4’ worksheet of the ‘1721 financial impact.xlsx’ workbook accompanying the DCAR.</w:t>
      </w:r>
    </w:p>
    <w:p w14:paraId="0DBB5EB6" w14:textId="77777777" w:rsidR="004E63D6" w:rsidRDefault="004E63D6" w:rsidP="004E63D6">
      <w:pPr>
        <w:pStyle w:val="TableFooter"/>
      </w:pPr>
      <w:r>
        <w:rPr>
          <w:i/>
        </w:rPr>
        <w:t>ALK</w:t>
      </w:r>
      <w:r>
        <w:t xml:space="preserve"> = </w:t>
      </w:r>
      <w:r w:rsidRPr="003316EF">
        <w:t>anaplastic lymphoma kinase</w:t>
      </w:r>
      <w:r>
        <w:t xml:space="preserve">; DNA = deoxyribose nucleic acid;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w:t>
      </w:r>
      <w:r w:rsidRPr="00336456">
        <w:rPr>
          <w:i/>
        </w:rPr>
        <w:t>MET</w:t>
      </w:r>
      <w:r>
        <w:t>ex14sk = MET proto-oncogene, receptor tyrosine kinase exon 14 skipping alterations; RNA = ribonucleic acid;</w:t>
      </w:r>
      <w:r w:rsidRPr="00B52D8D">
        <w:t xml:space="preserve"> </w:t>
      </w:r>
      <w:r w:rsidRPr="00743D1B">
        <w:rPr>
          <w:i/>
        </w:rPr>
        <w:t>ROS1</w:t>
      </w:r>
      <w:r>
        <w:t xml:space="preserve"> = ROS proto-oncogene 1.</w:t>
      </w:r>
    </w:p>
    <w:p w14:paraId="424389CD" w14:textId="77777777" w:rsidR="007A7348" w:rsidRDefault="007A7348" w:rsidP="007A7348">
      <w:pPr>
        <w:pStyle w:val="TableFooter"/>
      </w:pPr>
      <w:bookmarkStart w:id="235" w:name="_Toc109054504"/>
      <w:r w:rsidRPr="00D457EE">
        <w:rPr>
          <w:vertAlign w:val="superscript"/>
        </w:rPr>
        <w:t>a</w:t>
      </w:r>
      <w:r>
        <w:t xml:space="preserve"> 31.8% </w:t>
      </w:r>
      <w:r>
        <w:rPr>
          <w:rFonts w:cstheme="minorHAnsi"/>
        </w:rPr>
        <w:t>×</w:t>
      </w:r>
      <w:r>
        <w:t xml:space="preserve"> $935.25 [75% MBS benefit] + 68.2% </w:t>
      </w:r>
      <w:r>
        <w:rPr>
          <w:rFonts w:cstheme="minorHAnsi"/>
        </w:rPr>
        <w:t>×</w:t>
      </w:r>
      <w:r>
        <w:t xml:space="preserve"> $1,159.10 [85% MBS benefit]. Split of use based on MBS data for use of </w:t>
      </w:r>
      <w:r w:rsidRPr="006244EA">
        <w:rPr>
          <w:i/>
        </w:rPr>
        <w:t>EGFR</w:t>
      </w:r>
      <w:r>
        <w:t xml:space="preserve"> services.</w:t>
      </w:r>
    </w:p>
    <w:p w14:paraId="340A65B3" w14:textId="77777777" w:rsidR="007A7348" w:rsidRDefault="007A7348" w:rsidP="007A7348">
      <w:pPr>
        <w:pStyle w:val="TableFooter"/>
      </w:pPr>
      <w:r w:rsidRPr="00D457EE">
        <w:rPr>
          <w:vertAlign w:val="superscript"/>
        </w:rPr>
        <w:t>b</w:t>
      </w:r>
      <w:r>
        <w:t xml:space="preserve"> 31.8% </w:t>
      </w:r>
      <w:r>
        <w:rPr>
          <w:rFonts w:cstheme="minorHAnsi"/>
        </w:rPr>
        <w:t>×</w:t>
      </w:r>
      <w:r>
        <w:t xml:space="preserve"> $511.80 [75% MBS benefit] + 68.2% </w:t>
      </w:r>
      <w:r>
        <w:rPr>
          <w:rFonts w:cstheme="minorHAnsi"/>
        </w:rPr>
        <w:t>×</w:t>
      </w:r>
      <w:r>
        <w:t xml:space="preserve"> $594.45 [85% MBS benefit]. Split of use based on MBS data for use of </w:t>
      </w:r>
      <w:r w:rsidRPr="006244EA">
        <w:rPr>
          <w:i/>
        </w:rPr>
        <w:t>EGFR</w:t>
      </w:r>
      <w:r>
        <w:t xml:space="preserve"> services.</w:t>
      </w:r>
    </w:p>
    <w:p w14:paraId="0DEC50E8" w14:textId="77777777" w:rsidR="007A7348" w:rsidRDefault="007A7348" w:rsidP="007A7348">
      <w:pPr>
        <w:pStyle w:val="TableFooter"/>
      </w:pPr>
      <w:r>
        <w:rPr>
          <w:vertAlign w:val="superscript"/>
        </w:rPr>
        <w:t>c</w:t>
      </w:r>
      <w:r>
        <w:t xml:space="preserve"> 31.8</w:t>
      </w:r>
      <w:r w:rsidRPr="00B47786">
        <w:t>% × $298.05 [75% MBS benefit] +</w:t>
      </w:r>
      <w:r>
        <w:t xml:space="preserve"> 68.2</w:t>
      </w:r>
      <w:r w:rsidRPr="00B47786">
        <w:t>% × $337.75 [85% MBS benefit]</w:t>
      </w:r>
      <w:r>
        <w:t xml:space="preserve">. Split of use based on MBS data for use of </w:t>
      </w:r>
      <w:r w:rsidRPr="006244EA">
        <w:rPr>
          <w:i/>
        </w:rPr>
        <w:t>EGFR</w:t>
      </w:r>
      <w:r>
        <w:t xml:space="preserve"> services.</w:t>
      </w:r>
    </w:p>
    <w:p w14:paraId="3DE895B2" w14:textId="77777777" w:rsidR="007A7348" w:rsidRDefault="007A7348" w:rsidP="007A7348">
      <w:pPr>
        <w:pStyle w:val="TableFooter"/>
      </w:pPr>
      <w:r>
        <w:rPr>
          <w:vertAlign w:val="superscript"/>
        </w:rPr>
        <w:t>d</w:t>
      </w:r>
      <w:r>
        <w:t xml:space="preserve"> 35.5% × $300.00</w:t>
      </w:r>
      <w:r w:rsidRPr="00B47786">
        <w:t xml:space="preserve"> </w:t>
      </w:r>
      <w:r>
        <w:t>[75% MBS benefit] +64.5% × $340.00</w:t>
      </w:r>
      <w:r w:rsidRPr="00B47786">
        <w:t xml:space="preserve"> [85% MBS benefit]</w:t>
      </w:r>
      <w:r>
        <w:t xml:space="preserve">. Split of use based on MBS data for use of </w:t>
      </w:r>
      <w:r w:rsidRPr="006244EA">
        <w:rPr>
          <w:i/>
        </w:rPr>
        <w:t>ALK</w:t>
      </w:r>
      <w:r>
        <w:t xml:space="preserve"> or </w:t>
      </w:r>
      <w:r w:rsidRPr="006244EA">
        <w:rPr>
          <w:i/>
        </w:rPr>
        <w:t>ROS1</w:t>
      </w:r>
      <w:r>
        <w:t xml:space="preserve"> FISH services.</w:t>
      </w:r>
    </w:p>
    <w:p w14:paraId="1EC39719" w14:textId="77777777" w:rsidR="007A7348" w:rsidRDefault="007A7348" w:rsidP="007A7348">
      <w:pPr>
        <w:pStyle w:val="TableFooter"/>
      </w:pPr>
      <w:r>
        <w:rPr>
          <w:vertAlign w:val="superscript"/>
        </w:rPr>
        <w:t>e</w:t>
      </w:r>
      <w:r>
        <w:t xml:space="preserve"> 100</w:t>
      </w:r>
      <w:r w:rsidRPr="00B47786">
        <w:t>% × $337.75 [85% MBS benefit]</w:t>
      </w:r>
      <w:r>
        <w:t xml:space="preserve">. As proposed </w:t>
      </w:r>
      <w:r w:rsidRPr="006244EA">
        <w:rPr>
          <w:i/>
        </w:rPr>
        <w:t>MET</w:t>
      </w:r>
      <w:r>
        <w:t>ex14sk testing has not been proposed to be a pathologist determinable test, all services have been assumed to be requested in the outpatient setting.</w:t>
      </w:r>
      <w:r>
        <w:rPr>
          <w:vertAlign w:val="superscript"/>
        </w:rPr>
        <w:t>f</w:t>
      </w:r>
      <w:r>
        <w:t xml:space="preserve"> 100</w:t>
      </w:r>
      <w:r w:rsidRPr="00B47786">
        <w:t>% × $</w:t>
      </w:r>
      <w:r>
        <w:t>72.25</w:t>
      </w:r>
      <w:r w:rsidRPr="00B47786">
        <w:t xml:space="preserve"> [85% MBS benefit]</w:t>
      </w:r>
      <w:r>
        <w:t xml:space="preserve">. Assumed for each </w:t>
      </w:r>
      <w:r w:rsidRPr="006244EA">
        <w:rPr>
          <w:i/>
        </w:rPr>
        <w:t>MET</w:t>
      </w:r>
      <w:r>
        <w:t>ex14sk test which has been assumed to be requested in the outpatient setting.</w:t>
      </w:r>
    </w:p>
    <w:p w14:paraId="682D12DA" w14:textId="15B2F72C" w:rsidR="004E63D6" w:rsidRPr="00CE28E3" w:rsidRDefault="004E63D6" w:rsidP="004E63D6">
      <w:pPr>
        <w:pStyle w:val="Heading2"/>
        <w:numPr>
          <w:ilvl w:val="0"/>
          <w:numId w:val="0"/>
        </w:numPr>
        <w:ind w:left="720" w:hanging="720"/>
      </w:pPr>
      <w:bookmarkStart w:id="236" w:name="_Toc148531189"/>
      <w:r w:rsidRPr="00CE28E3">
        <w:lastRenderedPageBreak/>
        <w:t>4.5</w:t>
      </w:r>
      <w:r>
        <w:tab/>
      </w:r>
      <w:r w:rsidRPr="00CE28E3">
        <w:t xml:space="preserve">Net financial impact to </w:t>
      </w:r>
      <w:r>
        <w:t xml:space="preserve">other </w:t>
      </w:r>
      <w:r w:rsidRPr="00CE28E3">
        <w:t>health budget</w:t>
      </w:r>
      <w:r>
        <w:t>s</w:t>
      </w:r>
      <w:bookmarkEnd w:id="235"/>
      <w:bookmarkEnd w:id="236"/>
    </w:p>
    <w:p w14:paraId="243931E1" w14:textId="53B36574" w:rsidR="004E63D6" w:rsidRDefault="004E63D6" w:rsidP="004E63D6">
      <w:pPr>
        <w:pStyle w:val="NormalBeforeBullet"/>
      </w:pPr>
      <w:r>
        <w:t xml:space="preserve">The net financial impact of listing small gene panel testing to the Commonwealth budget is estimated as presented in Section 4.4. While small gene panel testing may lead to an increase in use (and therefore cost) of targeted therapies attributed to the PBS, the changes in cost are difficult to quantify due to existing special pricing arrangements that exist for both targeted therapy and SoC. As described in Sections 2 and 3, it </w:t>
      </w:r>
      <w:r w:rsidRPr="000415BB">
        <w:t xml:space="preserve">is unclear whether </w:t>
      </w:r>
      <w:r>
        <w:t xml:space="preserve">patients found with </w:t>
      </w:r>
      <w:r w:rsidR="00C62643">
        <w:t>incremental</w:t>
      </w:r>
      <w:r>
        <w:t xml:space="preserve"> actionable variants would</w:t>
      </w:r>
      <w:r w:rsidRPr="000415BB">
        <w:t xml:space="preserve"> benefit from targeted therapies relative to </w:t>
      </w:r>
      <w:r>
        <w:t>SoC, and whether these would result in a change in treatment.</w:t>
      </w:r>
    </w:p>
    <w:p w14:paraId="5F5ADF03" w14:textId="62C6A564" w:rsidR="00977F0F" w:rsidRDefault="00977F0F" w:rsidP="004E63D6">
      <w:pPr>
        <w:pStyle w:val="NormalBeforeBullet"/>
      </w:pPr>
      <w:r>
        <w:t xml:space="preserve">An estimate of the change in patients eligible for targeted therapies is presented in </w:t>
      </w:r>
      <w:r w:rsidR="00A413A3">
        <w:fldChar w:fldCharType="begin"/>
      </w:r>
      <w:r w:rsidR="00A413A3">
        <w:instrText xml:space="preserve"> REF _Ref112190103 \h </w:instrText>
      </w:r>
      <w:r w:rsidR="00A413A3">
        <w:fldChar w:fldCharType="separate"/>
      </w:r>
      <w:r w:rsidR="00C857F3" w:rsidRPr="00CE28E3">
        <w:t>Table</w:t>
      </w:r>
      <w:r w:rsidR="00C857F3">
        <w:t> </w:t>
      </w:r>
      <w:r w:rsidR="00C857F3">
        <w:rPr>
          <w:noProof/>
        </w:rPr>
        <w:t>70</w:t>
      </w:r>
      <w:r w:rsidR="00A413A3">
        <w:fldChar w:fldCharType="end"/>
      </w:r>
      <w:r>
        <w:t>.</w:t>
      </w:r>
      <w:r w:rsidR="00A413A3">
        <w:t xml:space="preserve"> This </w:t>
      </w:r>
      <w:r w:rsidR="00A413A3" w:rsidRPr="00A413A3">
        <w:t>includ</w:t>
      </w:r>
      <w:r w:rsidR="00A413A3">
        <w:t>es both</w:t>
      </w:r>
      <w:r w:rsidR="00A413A3" w:rsidRPr="00A413A3">
        <w:t xml:space="preserve"> “in scope” variants</w:t>
      </w:r>
      <w:r w:rsidR="00A413A3">
        <w:t>,</w:t>
      </w:r>
      <w:r w:rsidR="00A413A3" w:rsidRPr="00A413A3">
        <w:t xml:space="preserve"> due to detection of lower variant allelic frequency</w:t>
      </w:r>
      <w:r w:rsidR="00A413A3">
        <w:t>,</w:t>
      </w:r>
      <w:r w:rsidR="00A413A3" w:rsidRPr="00A413A3">
        <w:t xml:space="preserve"> and</w:t>
      </w:r>
      <w:r w:rsidR="00A413A3">
        <w:t xml:space="preserve"> “beyond restriction” variants. These were </w:t>
      </w:r>
      <w:r w:rsidR="00A413A3" w:rsidRPr="00A413A3">
        <w:t>unable to be distinguished from one another in the analysis.</w:t>
      </w:r>
    </w:p>
    <w:p w14:paraId="0DFB3100" w14:textId="2FE492FE" w:rsidR="00977F0F" w:rsidRDefault="00977F0F" w:rsidP="00977F0F">
      <w:pPr>
        <w:pStyle w:val="Caption"/>
      </w:pPr>
      <w:bookmarkStart w:id="237" w:name="_Ref112190103"/>
      <w:r w:rsidRPr="00CE28E3">
        <w:t>Table</w:t>
      </w:r>
      <w:r>
        <w:t> </w:t>
      </w:r>
      <w:fldSimple w:instr=" SEQ Table \* ARABIC ">
        <w:r w:rsidR="00C857F3">
          <w:rPr>
            <w:noProof/>
          </w:rPr>
          <w:t>70</w:t>
        </w:r>
      </w:fldSimple>
      <w:bookmarkEnd w:id="237"/>
      <w:r w:rsidRPr="00CE28E3">
        <w:tab/>
      </w:r>
      <w:r w:rsidR="00A413A3">
        <w:t>Change in patients eligible for targeted therapies</w:t>
      </w:r>
    </w:p>
    <w:tbl>
      <w:tblPr>
        <w:tblStyle w:val="TableGrid1"/>
        <w:tblW w:w="5000" w:type="pct"/>
        <w:tblLayout w:type="fixed"/>
        <w:tblLook w:val="04A0" w:firstRow="1" w:lastRow="0" w:firstColumn="1" w:lastColumn="0" w:noHBand="0" w:noVBand="1"/>
        <w:tblCaption w:val="Change in patients eligible for targeted therapies"/>
        <w:tblDescription w:val="Change in patients eligible for targeted therapies"/>
      </w:tblPr>
      <w:tblGrid>
        <w:gridCol w:w="3962"/>
        <w:gridCol w:w="842"/>
        <w:gridCol w:w="842"/>
        <w:gridCol w:w="844"/>
        <w:gridCol w:w="842"/>
        <w:gridCol w:w="842"/>
        <w:gridCol w:w="842"/>
      </w:tblGrid>
      <w:tr w:rsidR="00977F0F" w:rsidRPr="00977F0F" w14:paraId="5BE495D5" w14:textId="77777777" w:rsidTr="00956452">
        <w:trPr>
          <w:cnfStyle w:val="100000000000" w:firstRow="1" w:lastRow="0" w:firstColumn="0" w:lastColumn="0" w:oddVBand="0" w:evenVBand="0" w:oddHBand="0" w:evenHBand="0" w:firstRowFirstColumn="0" w:firstRowLastColumn="0" w:lastRowFirstColumn="0" w:lastRowLastColumn="0"/>
          <w:trHeight w:val="300"/>
          <w:tblHeader/>
        </w:trPr>
        <w:tc>
          <w:tcPr>
            <w:tcW w:w="2197" w:type="pct"/>
            <w:noWrap/>
          </w:tcPr>
          <w:p w14:paraId="4EF8DFD1" w14:textId="77777777" w:rsidR="00977F0F" w:rsidRPr="00977F0F" w:rsidRDefault="00977F0F" w:rsidP="00977F0F">
            <w:pPr>
              <w:pStyle w:val="TableHeading"/>
              <w:jc w:val="center"/>
            </w:pPr>
          </w:p>
        </w:tc>
        <w:tc>
          <w:tcPr>
            <w:tcW w:w="467" w:type="pct"/>
            <w:noWrap/>
          </w:tcPr>
          <w:p w14:paraId="3CAF2D0B" w14:textId="15E53019" w:rsidR="00977F0F" w:rsidRPr="00977F0F" w:rsidRDefault="00977F0F" w:rsidP="00977F0F">
            <w:pPr>
              <w:pStyle w:val="TableHeading"/>
              <w:jc w:val="center"/>
            </w:pPr>
            <w:r w:rsidRPr="00B0078B">
              <w:t>2023</w:t>
            </w:r>
          </w:p>
        </w:tc>
        <w:tc>
          <w:tcPr>
            <w:tcW w:w="467" w:type="pct"/>
            <w:noWrap/>
          </w:tcPr>
          <w:p w14:paraId="275FC9DA" w14:textId="1472E75B" w:rsidR="00977F0F" w:rsidRPr="00977F0F" w:rsidRDefault="00977F0F" w:rsidP="00977F0F">
            <w:pPr>
              <w:pStyle w:val="TableHeading"/>
              <w:jc w:val="center"/>
            </w:pPr>
            <w:r w:rsidRPr="00B0078B">
              <w:t>2024</w:t>
            </w:r>
          </w:p>
        </w:tc>
        <w:tc>
          <w:tcPr>
            <w:tcW w:w="468" w:type="pct"/>
            <w:noWrap/>
          </w:tcPr>
          <w:p w14:paraId="20CF7548" w14:textId="17225159" w:rsidR="00977F0F" w:rsidRPr="00977F0F" w:rsidRDefault="00977F0F" w:rsidP="00977F0F">
            <w:pPr>
              <w:pStyle w:val="TableHeading"/>
              <w:jc w:val="center"/>
            </w:pPr>
            <w:r w:rsidRPr="00B0078B">
              <w:t>2025</w:t>
            </w:r>
          </w:p>
        </w:tc>
        <w:tc>
          <w:tcPr>
            <w:tcW w:w="467" w:type="pct"/>
            <w:noWrap/>
          </w:tcPr>
          <w:p w14:paraId="51D310C4" w14:textId="1A977B28" w:rsidR="00977F0F" w:rsidRPr="00977F0F" w:rsidRDefault="00977F0F" w:rsidP="00977F0F">
            <w:pPr>
              <w:pStyle w:val="TableHeading"/>
              <w:jc w:val="center"/>
            </w:pPr>
            <w:r w:rsidRPr="00B0078B">
              <w:t>2026</w:t>
            </w:r>
          </w:p>
        </w:tc>
        <w:tc>
          <w:tcPr>
            <w:tcW w:w="467" w:type="pct"/>
            <w:noWrap/>
          </w:tcPr>
          <w:p w14:paraId="2936FF3A" w14:textId="405C6D5F" w:rsidR="00977F0F" w:rsidRPr="00977F0F" w:rsidRDefault="00977F0F" w:rsidP="00977F0F">
            <w:pPr>
              <w:pStyle w:val="TableHeading"/>
              <w:jc w:val="center"/>
            </w:pPr>
            <w:r w:rsidRPr="00B0078B">
              <w:t>2027</w:t>
            </w:r>
          </w:p>
        </w:tc>
        <w:tc>
          <w:tcPr>
            <w:tcW w:w="467" w:type="pct"/>
            <w:noWrap/>
          </w:tcPr>
          <w:p w14:paraId="3DEA2D9C" w14:textId="34DCA610" w:rsidR="00977F0F" w:rsidRPr="00977F0F" w:rsidRDefault="00977F0F" w:rsidP="00977F0F">
            <w:pPr>
              <w:pStyle w:val="TableHeading"/>
              <w:jc w:val="center"/>
            </w:pPr>
            <w:r w:rsidRPr="00B0078B">
              <w:t>2028</w:t>
            </w:r>
          </w:p>
        </w:tc>
      </w:tr>
      <w:tr w:rsidR="00977F0F" w:rsidRPr="00977F0F" w14:paraId="5CC2CA04" w14:textId="77777777" w:rsidTr="00977F0F">
        <w:trPr>
          <w:trHeight w:val="300"/>
        </w:trPr>
        <w:tc>
          <w:tcPr>
            <w:tcW w:w="2197" w:type="pct"/>
            <w:noWrap/>
            <w:hideMark/>
          </w:tcPr>
          <w:p w14:paraId="5B2B6C8D" w14:textId="77777777" w:rsidR="00977F0F" w:rsidRPr="00977F0F" w:rsidRDefault="00977F0F" w:rsidP="00977F0F">
            <w:pPr>
              <w:pStyle w:val="TableText"/>
            </w:pPr>
            <w:r w:rsidRPr="00977F0F">
              <w:t>Patients tested</w:t>
            </w:r>
          </w:p>
        </w:tc>
        <w:tc>
          <w:tcPr>
            <w:tcW w:w="467" w:type="pct"/>
            <w:noWrap/>
            <w:hideMark/>
          </w:tcPr>
          <w:p w14:paraId="2BF0472C" w14:textId="77777777" w:rsidR="00977F0F" w:rsidRPr="00977F0F" w:rsidRDefault="00977F0F" w:rsidP="00977F0F">
            <w:pPr>
              <w:pStyle w:val="TableText"/>
              <w:jc w:val="right"/>
            </w:pPr>
            <w:r w:rsidRPr="00977F0F">
              <w:t>5,521</w:t>
            </w:r>
          </w:p>
        </w:tc>
        <w:tc>
          <w:tcPr>
            <w:tcW w:w="467" w:type="pct"/>
            <w:noWrap/>
            <w:hideMark/>
          </w:tcPr>
          <w:p w14:paraId="3BE736AE" w14:textId="77777777" w:rsidR="00977F0F" w:rsidRPr="00977F0F" w:rsidRDefault="00977F0F" w:rsidP="00977F0F">
            <w:pPr>
              <w:pStyle w:val="TableText"/>
              <w:jc w:val="right"/>
            </w:pPr>
            <w:r w:rsidRPr="00977F0F">
              <w:t>5,797</w:t>
            </w:r>
          </w:p>
        </w:tc>
        <w:tc>
          <w:tcPr>
            <w:tcW w:w="468" w:type="pct"/>
            <w:noWrap/>
            <w:hideMark/>
          </w:tcPr>
          <w:p w14:paraId="302986EE" w14:textId="77777777" w:rsidR="00977F0F" w:rsidRPr="00977F0F" w:rsidRDefault="00977F0F" w:rsidP="00977F0F">
            <w:pPr>
              <w:pStyle w:val="TableText"/>
              <w:jc w:val="right"/>
            </w:pPr>
            <w:r w:rsidRPr="00977F0F">
              <w:t>6,074</w:t>
            </w:r>
          </w:p>
        </w:tc>
        <w:tc>
          <w:tcPr>
            <w:tcW w:w="467" w:type="pct"/>
            <w:noWrap/>
            <w:hideMark/>
          </w:tcPr>
          <w:p w14:paraId="442A2A82" w14:textId="77777777" w:rsidR="00977F0F" w:rsidRPr="00977F0F" w:rsidRDefault="00977F0F" w:rsidP="00977F0F">
            <w:pPr>
              <w:pStyle w:val="TableText"/>
              <w:jc w:val="right"/>
            </w:pPr>
            <w:r w:rsidRPr="00977F0F">
              <w:t>6,351</w:t>
            </w:r>
          </w:p>
        </w:tc>
        <w:tc>
          <w:tcPr>
            <w:tcW w:w="467" w:type="pct"/>
            <w:noWrap/>
            <w:hideMark/>
          </w:tcPr>
          <w:p w14:paraId="20AD9319" w14:textId="77777777" w:rsidR="00977F0F" w:rsidRPr="00977F0F" w:rsidRDefault="00977F0F" w:rsidP="00977F0F">
            <w:pPr>
              <w:pStyle w:val="TableText"/>
              <w:jc w:val="right"/>
            </w:pPr>
            <w:r w:rsidRPr="00977F0F">
              <w:t>6,628</w:t>
            </w:r>
          </w:p>
        </w:tc>
        <w:tc>
          <w:tcPr>
            <w:tcW w:w="467" w:type="pct"/>
            <w:noWrap/>
            <w:hideMark/>
          </w:tcPr>
          <w:p w14:paraId="3DF0DFB4" w14:textId="77777777" w:rsidR="00977F0F" w:rsidRPr="00977F0F" w:rsidRDefault="00977F0F" w:rsidP="00977F0F">
            <w:pPr>
              <w:pStyle w:val="TableText"/>
              <w:jc w:val="right"/>
            </w:pPr>
            <w:r w:rsidRPr="00977F0F">
              <w:t>6,905</w:t>
            </w:r>
          </w:p>
        </w:tc>
      </w:tr>
      <w:tr w:rsidR="00977F0F" w:rsidRPr="00977F0F" w14:paraId="33F86086" w14:textId="77777777" w:rsidTr="00977F0F">
        <w:trPr>
          <w:trHeight w:val="300"/>
        </w:trPr>
        <w:tc>
          <w:tcPr>
            <w:tcW w:w="2197" w:type="pct"/>
            <w:noWrap/>
            <w:hideMark/>
          </w:tcPr>
          <w:p w14:paraId="37CCDC30" w14:textId="6211F0FB" w:rsidR="00977F0F" w:rsidRPr="00977F0F" w:rsidRDefault="00977F0F" w:rsidP="00977F0F">
            <w:pPr>
              <w:pStyle w:val="TableText"/>
            </w:pPr>
            <w:r w:rsidRPr="00977F0F">
              <w:t>Proportion with advanced disease (75.9%)</w:t>
            </w:r>
            <w:r w:rsidRPr="00977F0F">
              <w:rPr>
                <w:vertAlign w:val="superscript"/>
              </w:rPr>
              <w:t>a</w:t>
            </w:r>
          </w:p>
        </w:tc>
        <w:tc>
          <w:tcPr>
            <w:tcW w:w="467" w:type="pct"/>
            <w:noWrap/>
            <w:hideMark/>
          </w:tcPr>
          <w:p w14:paraId="4927E405" w14:textId="77777777" w:rsidR="00977F0F" w:rsidRPr="00977F0F" w:rsidRDefault="00977F0F" w:rsidP="00977F0F">
            <w:pPr>
              <w:pStyle w:val="TableText"/>
              <w:jc w:val="right"/>
            </w:pPr>
            <w:r w:rsidRPr="00977F0F">
              <w:t>4,187</w:t>
            </w:r>
          </w:p>
        </w:tc>
        <w:tc>
          <w:tcPr>
            <w:tcW w:w="467" w:type="pct"/>
            <w:noWrap/>
            <w:hideMark/>
          </w:tcPr>
          <w:p w14:paraId="1A6371B4" w14:textId="77777777" w:rsidR="00977F0F" w:rsidRPr="00977F0F" w:rsidRDefault="00977F0F" w:rsidP="00977F0F">
            <w:pPr>
              <w:pStyle w:val="TableText"/>
              <w:jc w:val="right"/>
            </w:pPr>
            <w:r w:rsidRPr="00977F0F">
              <w:t>4,397</w:t>
            </w:r>
          </w:p>
        </w:tc>
        <w:tc>
          <w:tcPr>
            <w:tcW w:w="468" w:type="pct"/>
            <w:noWrap/>
            <w:hideMark/>
          </w:tcPr>
          <w:p w14:paraId="740DD0B7" w14:textId="77777777" w:rsidR="00977F0F" w:rsidRPr="00977F0F" w:rsidRDefault="00977F0F" w:rsidP="00977F0F">
            <w:pPr>
              <w:pStyle w:val="TableText"/>
              <w:jc w:val="right"/>
            </w:pPr>
            <w:r w:rsidRPr="00977F0F">
              <w:t>4,607</w:t>
            </w:r>
          </w:p>
        </w:tc>
        <w:tc>
          <w:tcPr>
            <w:tcW w:w="467" w:type="pct"/>
            <w:noWrap/>
            <w:hideMark/>
          </w:tcPr>
          <w:p w14:paraId="510D03E0" w14:textId="77777777" w:rsidR="00977F0F" w:rsidRPr="00977F0F" w:rsidRDefault="00977F0F" w:rsidP="00977F0F">
            <w:pPr>
              <w:pStyle w:val="TableText"/>
              <w:jc w:val="right"/>
            </w:pPr>
            <w:r w:rsidRPr="00977F0F">
              <w:t>4,817</w:t>
            </w:r>
          </w:p>
        </w:tc>
        <w:tc>
          <w:tcPr>
            <w:tcW w:w="467" w:type="pct"/>
            <w:noWrap/>
            <w:hideMark/>
          </w:tcPr>
          <w:p w14:paraId="7B5A8AE7" w14:textId="77777777" w:rsidR="00977F0F" w:rsidRPr="00977F0F" w:rsidRDefault="00977F0F" w:rsidP="00977F0F">
            <w:pPr>
              <w:pStyle w:val="TableText"/>
              <w:jc w:val="right"/>
            </w:pPr>
            <w:r w:rsidRPr="00977F0F">
              <w:t>5,028</w:t>
            </w:r>
          </w:p>
        </w:tc>
        <w:tc>
          <w:tcPr>
            <w:tcW w:w="467" w:type="pct"/>
            <w:noWrap/>
            <w:hideMark/>
          </w:tcPr>
          <w:p w14:paraId="5B8FBAA6" w14:textId="77777777" w:rsidR="00977F0F" w:rsidRPr="00977F0F" w:rsidRDefault="00977F0F" w:rsidP="00977F0F">
            <w:pPr>
              <w:pStyle w:val="TableText"/>
              <w:jc w:val="right"/>
            </w:pPr>
            <w:r w:rsidRPr="00977F0F">
              <w:t>5,238</w:t>
            </w:r>
          </w:p>
        </w:tc>
      </w:tr>
      <w:tr w:rsidR="00977F0F" w:rsidRPr="00977F0F" w14:paraId="740308B3" w14:textId="77777777" w:rsidTr="00977F0F">
        <w:trPr>
          <w:trHeight w:val="300"/>
        </w:trPr>
        <w:tc>
          <w:tcPr>
            <w:tcW w:w="5000" w:type="pct"/>
            <w:gridSpan w:val="7"/>
            <w:tcBorders>
              <w:bottom w:val="single" w:sz="4" w:space="0" w:color="auto"/>
            </w:tcBorders>
            <w:noWrap/>
            <w:hideMark/>
          </w:tcPr>
          <w:p w14:paraId="7CF59286" w14:textId="4228FA8B" w:rsidR="00977F0F" w:rsidRPr="00977F0F" w:rsidRDefault="00977F0F" w:rsidP="00977F0F">
            <w:pPr>
              <w:pStyle w:val="TableText"/>
            </w:pPr>
            <w:r w:rsidRPr="00977F0F">
              <w:t xml:space="preserve">Patients with advanced disease identified with </w:t>
            </w:r>
            <w:r w:rsidRPr="00956452">
              <w:rPr>
                <w:i/>
              </w:rPr>
              <w:t>EGFR</w:t>
            </w:r>
          </w:p>
        </w:tc>
      </w:tr>
      <w:tr w:rsidR="00977F0F" w:rsidRPr="00977F0F" w14:paraId="3B5C997A" w14:textId="77777777" w:rsidTr="00977F0F">
        <w:trPr>
          <w:trHeight w:val="300"/>
        </w:trPr>
        <w:tc>
          <w:tcPr>
            <w:tcW w:w="2197" w:type="pct"/>
            <w:tcBorders>
              <w:bottom w:val="nil"/>
            </w:tcBorders>
            <w:noWrap/>
            <w:hideMark/>
          </w:tcPr>
          <w:p w14:paraId="3371BC21" w14:textId="6E61E534" w:rsidR="00977F0F" w:rsidRPr="00977F0F" w:rsidRDefault="00977F0F" w:rsidP="00977F0F">
            <w:pPr>
              <w:pStyle w:val="TableText"/>
            </w:pPr>
            <w:r w:rsidRPr="00977F0F">
              <w:t>Proposed (</w:t>
            </w:r>
            <w:r w:rsidRPr="00956452">
              <w:rPr>
                <w:i/>
              </w:rPr>
              <w:t>EGFR</w:t>
            </w:r>
            <w:r w:rsidRPr="00977F0F">
              <w:t xml:space="preserve"> yield: 17.3%)</w:t>
            </w:r>
            <w:r w:rsidRPr="00977F0F">
              <w:rPr>
                <w:vertAlign w:val="superscript"/>
              </w:rPr>
              <w:t>b</w:t>
            </w:r>
          </w:p>
        </w:tc>
        <w:tc>
          <w:tcPr>
            <w:tcW w:w="467" w:type="pct"/>
            <w:tcBorders>
              <w:bottom w:val="nil"/>
            </w:tcBorders>
            <w:noWrap/>
            <w:hideMark/>
          </w:tcPr>
          <w:p w14:paraId="2D4B16A1" w14:textId="77777777" w:rsidR="00977F0F" w:rsidRPr="00977F0F" w:rsidRDefault="00977F0F" w:rsidP="00977F0F">
            <w:pPr>
              <w:pStyle w:val="TableText"/>
              <w:jc w:val="right"/>
            </w:pPr>
            <w:r w:rsidRPr="00977F0F">
              <w:t>722</w:t>
            </w:r>
          </w:p>
        </w:tc>
        <w:tc>
          <w:tcPr>
            <w:tcW w:w="467" w:type="pct"/>
            <w:tcBorders>
              <w:bottom w:val="nil"/>
            </w:tcBorders>
            <w:noWrap/>
            <w:hideMark/>
          </w:tcPr>
          <w:p w14:paraId="34AFF3C2" w14:textId="77777777" w:rsidR="00977F0F" w:rsidRPr="00977F0F" w:rsidRDefault="00977F0F" w:rsidP="00977F0F">
            <w:pPr>
              <w:pStyle w:val="TableText"/>
              <w:jc w:val="right"/>
            </w:pPr>
            <w:r w:rsidRPr="00977F0F">
              <w:t>759</w:t>
            </w:r>
          </w:p>
        </w:tc>
        <w:tc>
          <w:tcPr>
            <w:tcW w:w="468" w:type="pct"/>
            <w:tcBorders>
              <w:bottom w:val="nil"/>
            </w:tcBorders>
            <w:noWrap/>
            <w:hideMark/>
          </w:tcPr>
          <w:p w14:paraId="5D272813" w14:textId="77777777" w:rsidR="00977F0F" w:rsidRPr="00977F0F" w:rsidRDefault="00977F0F" w:rsidP="00977F0F">
            <w:pPr>
              <w:pStyle w:val="TableText"/>
              <w:jc w:val="right"/>
            </w:pPr>
            <w:r w:rsidRPr="00977F0F">
              <w:t>795</w:t>
            </w:r>
          </w:p>
        </w:tc>
        <w:tc>
          <w:tcPr>
            <w:tcW w:w="467" w:type="pct"/>
            <w:tcBorders>
              <w:bottom w:val="nil"/>
            </w:tcBorders>
            <w:noWrap/>
            <w:hideMark/>
          </w:tcPr>
          <w:p w14:paraId="42394F7F" w14:textId="77777777" w:rsidR="00977F0F" w:rsidRPr="00977F0F" w:rsidRDefault="00977F0F" w:rsidP="00977F0F">
            <w:pPr>
              <w:pStyle w:val="TableText"/>
              <w:jc w:val="right"/>
            </w:pPr>
            <w:r w:rsidRPr="00977F0F">
              <w:t>831</w:t>
            </w:r>
          </w:p>
        </w:tc>
        <w:tc>
          <w:tcPr>
            <w:tcW w:w="467" w:type="pct"/>
            <w:tcBorders>
              <w:bottom w:val="nil"/>
            </w:tcBorders>
            <w:noWrap/>
            <w:hideMark/>
          </w:tcPr>
          <w:p w14:paraId="2BAB98E0" w14:textId="77777777" w:rsidR="00977F0F" w:rsidRPr="00977F0F" w:rsidRDefault="00977F0F" w:rsidP="00977F0F">
            <w:pPr>
              <w:pStyle w:val="TableText"/>
              <w:jc w:val="right"/>
            </w:pPr>
            <w:r w:rsidRPr="00977F0F">
              <w:t>867</w:t>
            </w:r>
          </w:p>
        </w:tc>
        <w:tc>
          <w:tcPr>
            <w:tcW w:w="467" w:type="pct"/>
            <w:tcBorders>
              <w:bottom w:val="nil"/>
            </w:tcBorders>
            <w:noWrap/>
            <w:hideMark/>
          </w:tcPr>
          <w:p w14:paraId="711485C4" w14:textId="77777777" w:rsidR="00977F0F" w:rsidRPr="00977F0F" w:rsidRDefault="00977F0F" w:rsidP="00977F0F">
            <w:pPr>
              <w:pStyle w:val="TableText"/>
              <w:jc w:val="right"/>
            </w:pPr>
            <w:r w:rsidRPr="00977F0F">
              <w:t>903</w:t>
            </w:r>
          </w:p>
        </w:tc>
      </w:tr>
      <w:tr w:rsidR="00977F0F" w:rsidRPr="00977F0F" w14:paraId="7EA0DE81" w14:textId="77777777" w:rsidTr="00977F0F">
        <w:trPr>
          <w:trHeight w:val="300"/>
        </w:trPr>
        <w:tc>
          <w:tcPr>
            <w:tcW w:w="2197" w:type="pct"/>
            <w:tcBorders>
              <w:top w:val="nil"/>
              <w:bottom w:val="nil"/>
            </w:tcBorders>
            <w:noWrap/>
            <w:hideMark/>
          </w:tcPr>
          <w:p w14:paraId="6A78BF19" w14:textId="58D93F1F" w:rsidR="00977F0F" w:rsidRPr="00977F0F" w:rsidRDefault="00977F0F" w:rsidP="00977F0F">
            <w:pPr>
              <w:pStyle w:val="TableText"/>
            </w:pPr>
            <w:r w:rsidRPr="00977F0F">
              <w:t>Current (</w:t>
            </w:r>
            <w:r w:rsidRPr="00956452">
              <w:rPr>
                <w:i/>
              </w:rPr>
              <w:t>EGFR</w:t>
            </w:r>
            <w:r w:rsidRPr="00977F0F">
              <w:t xml:space="preserve"> yield: 15.0%)</w:t>
            </w:r>
            <w:r w:rsidR="00B62F5D" w:rsidRPr="00B62F5D">
              <w:rPr>
                <w:vertAlign w:val="superscript"/>
              </w:rPr>
              <w:t>c</w:t>
            </w:r>
          </w:p>
        </w:tc>
        <w:tc>
          <w:tcPr>
            <w:tcW w:w="467" w:type="pct"/>
            <w:tcBorders>
              <w:top w:val="nil"/>
              <w:bottom w:val="nil"/>
            </w:tcBorders>
            <w:noWrap/>
            <w:hideMark/>
          </w:tcPr>
          <w:p w14:paraId="354823DC" w14:textId="77777777" w:rsidR="00977F0F" w:rsidRPr="00977F0F" w:rsidRDefault="00977F0F" w:rsidP="00977F0F">
            <w:pPr>
              <w:pStyle w:val="TableText"/>
              <w:jc w:val="right"/>
            </w:pPr>
            <w:r w:rsidRPr="00977F0F">
              <w:t>628</w:t>
            </w:r>
          </w:p>
        </w:tc>
        <w:tc>
          <w:tcPr>
            <w:tcW w:w="467" w:type="pct"/>
            <w:tcBorders>
              <w:top w:val="nil"/>
              <w:bottom w:val="nil"/>
            </w:tcBorders>
            <w:noWrap/>
            <w:hideMark/>
          </w:tcPr>
          <w:p w14:paraId="2B94797A" w14:textId="77777777" w:rsidR="00977F0F" w:rsidRPr="00977F0F" w:rsidRDefault="00977F0F" w:rsidP="00977F0F">
            <w:pPr>
              <w:pStyle w:val="TableText"/>
              <w:jc w:val="right"/>
            </w:pPr>
            <w:r w:rsidRPr="00977F0F">
              <w:t>660</w:t>
            </w:r>
          </w:p>
        </w:tc>
        <w:tc>
          <w:tcPr>
            <w:tcW w:w="468" w:type="pct"/>
            <w:tcBorders>
              <w:top w:val="nil"/>
              <w:bottom w:val="nil"/>
            </w:tcBorders>
            <w:noWrap/>
            <w:hideMark/>
          </w:tcPr>
          <w:p w14:paraId="7A050CE4" w14:textId="77777777" w:rsidR="00977F0F" w:rsidRPr="00977F0F" w:rsidRDefault="00977F0F" w:rsidP="00977F0F">
            <w:pPr>
              <w:pStyle w:val="TableText"/>
              <w:jc w:val="right"/>
            </w:pPr>
            <w:r w:rsidRPr="00977F0F">
              <w:t>691</w:t>
            </w:r>
          </w:p>
        </w:tc>
        <w:tc>
          <w:tcPr>
            <w:tcW w:w="467" w:type="pct"/>
            <w:tcBorders>
              <w:top w:val="nil"/>
              <w:bottom w:val="nil"/>
            </w:tcBorders>
            <w:noWrap/>
            <w:hideMark/>
          </w:tcPr>
          <w:p w14:paraId="2ECC8349" w14:textId="77777777" w:rsidR="00977F0F" w:rsidRPr="00977F0F" w:rsidRDefault="00977F0F" w:rsidP="00977F0F">
            <w:pPr>
              <w:pStyle w:val="TableText"/>
              <w:jc w:val="right"/>
            </w:pPr>
            <w:r w:rsidRPr="00977F0F">
              <w:t>723</w:t>
            </w:r>
          </w:p>
        </w:tc>
        <w:tc>
          <w:tcPr>
            <w:tcW w:w="467" w:type="pct"/>
            <w:tcBorders>
              <w:top w:val="nil"/>
              <w:bottom w:val="nil"/>
            </w:tcBorders>
            <w:noWrap/>
            <w:hideMark/>
          </w:tcPr>
          <w:p w14:paraId="76D5561E" w14:textId="77777777" w:rsidR="00977F0F" w:rsidRPr="00977F0F" w:rsidRDefault="00977F0F" w:rsidP="00977F0F">
            <w:pPr>
              <w:pStyle w:val="TableText"/>
              <w:jc w:val="right"/>
            </w:pPr>
            <w:r w:rsidRPr="00977F0F">
              <w:t>754</w:t>
            </w:r>
          </w:p>
        </w:tc>
        <w:tc>
          <w:tcPr>
            <w:tcW w:w="467" w:type="pct"/>
            <w:tcBorders>
              <w:top w:val="nil"/>
              <w:bottom w:val="nil"/>
            </w:tcBorders>
            <w:noWrap/>
            <w:hideMark/>
          </w:tcPr>
          <w:p w14:paraId="7155AB7D" w14:textId="77777777" w:rsidR="00977F0F" w:rsidRPr="00977F0F" w:rsidRDefault="00977F0F" w:rsidP="00977F0F">
            <w:pPr>
              <w:pStyle w:val="TableText"/>
              <w:jc w:val="right"/>
            </w:pPr>
            <w:r w:rsidRPr="00977F0F">
              <w:t>786</w:t>
            </w:r>
          </w:p>
        </w:tc>
      </w:tr>
      <w:tr w:rsidR="00977F0F" w:rsidRPr="00977F0F" w14:paraId="4EA716A2" w14:textId="77777777" w:rsidTr="00977F0F">
        <w:trPr>
          <w:trHeight w:val="300"/>
        </w:trPr>
        <w:tc>
          <w:tcPr>
            <w:tcW w:w="2197" w:type="pct"/>
            <w:tcBorders>
              <w:top w:val="nil"/>
            </w:tcBorders>
            <w:noWrap/>
            <w:hideMark/>
          </w:tcPr>
          <w:p w14:paraId="7C85040E" w14:textId="06B59A2D" w:rsidR="00977F0F" w:rsidRPr="00977F0F" w:rsidRDefault="004A1B58" w:rsidP="00977F0F">
            <w:pPr>
              <w:pStyle w:val="TableText"/>
            </w:pPr>
            <w:r>
              <w:t>Change in</w:t>
            </w:r>
            <w:r w:rsidRPr="00977F0F">
              <w:t xml:space="preserve"> </w:t>
            </w:r>
            <w:r w:rsidR="00977F0F" w:rsidRPr="00977F0F">
              <w:t xml:space="preserve">patients eligible for </w:t>
            </w:r>
            <w:r w:rsidR="00977F0F" w:rsidRPr="00956452">
              <w:rPr>
                <w:i/>
              </w:rPr>
              <w:t>EGFR</w:t>
            </w:r>
            <w:r w:rsidR="00977F0F" w:rsidRPr="00977F0F">
              <w:t xml:space="preserve"> TKI</w:t>
            </w:r>
          </w:p>
        </w:tc>
        <w:tc>
          <w:tcPr>
            <w:tcW w:w="467" w:type="pct"/>
            <w:tcBorders>
              <w:top w:val="nil"/>
            </w:tcBorders>
            <w:noWrap/>
            <w:hideMark/>
          </w:tcPr>
          <w:p w14:paraId="15F97D68" w14:textId="77777777" w:rsidR="00977F0F" w:rsidRPr="00977F0F" w:rsidRDefault="00977F0F" w:rsidP="00977F0F">
            <w:pPr>
              <w:pStyle w:val="TableText"/>
              <w:jc w:val="right"/>
            </w:pPr>
            <w:r w:rsidRPr="00977F0F">
              <w:t>94</w:t>
            </w:r>
          </w:p>
        </w:tc>
        <w:tc>
          <w:tcPr>
            <w:tcW w:w="467" w:type="pct"/>
            <w:tcBorders>
              <w:top w:val="nil"/>
            </w:tcBorders>
            <w:noWrap/>
            <w:hideMark/>
          </w:tcPr>
          <w:p w14:paraId="1F4CBD0D" w14:textId="77777777" w:rsidR="00977F0F" w:rsidRPr="00977F0F" w:rsidRDefault="00977F0F" w:rsidP="00977F0F">
            <w:pPr>
              <w:pStyle w:val="TableText"/>
              <w:jc w:val="right"/>
            </w:pPr>
            <w:r w:rsidRPr="00977F0F">
              <w:t>99</w:t>
            </w:r>
          </w:p>
        </w:tc>
        <w:tc>
          <w:tcPr>
            <w:tcW w:w="468" w:type="pct"/>
            <w:tcBorders>
              <w:top w:val="nil"/>
            </w:tcBorders>
            <w:noWrap/>
            <w:hideMark/>
          </w:tcPr>
          <w:p w14:paraId="5DFD4D06" w14:textId="77777777" w:rsidR="00977F0F" w:rsidRPr="00977F0F" w:rsidRDefault="00977F0F" w:rsidP="00977F0F">
            <w:pPr>
              <w:pStyle w:val="TableText"/>
              <w:jc w:val="right"/>
            </w:pPr>
            <w:r w:rsidRPr="00977F0F">
              <w:t>104</w:t>
            </w:r>
          </w:p>
        </w:tc>
        <w:tc>
          <w:tcPr>
            <w:tcW w:w="467" w:type="pct"/>
            <w:tcBorders>
              <w:top w:val="nil"/>
            </w:tcBorders>
            <w:noWrap/>
            <w:hideMark/>
          </w:tcPr>
          <w:p w14:paraId="5980CCF3" w14:textId="77777777" w:rsidR="00977F0F" w:rsidRPr="00977F0F" w:rsidRDefault="00977F0F" w:rsidP="00977F0F">
            <w:pPr>
              <w:pStyle w:val="TableText"/>
              <w:jc w:val="right"/>
            </w:pPr>
            <w:r w:rsidRPr="00977F0F">
              <w:t>108</w:t>
            </w:r>
          </w:p>
        </w:tc>
        <w:tc>
          <w:tcPr>
            <w:tcW w:w="467" w:type="pct"/>
            <w:tcBorders>
              <w:top w:val="nil"/>
            </w:tcBorders>
            <w:noWrap/>
            <w:hideMark/>
          </w:tcPr>
          <w:p w14:paraId="3D436417" w14:textId="77777777" w:rsidR="00977F0F" w:rsidRPr="00977F0F" w:rsidRDefault="00977F0F" w:rsidP="00977F0F">
            <w:pPr>
              <w:pStyle w:val="TableText"/>
              <w:jc w:val="right"/>
            </w:pPr>
            <w:r w:rsidRPr="00977F0F">
              <w:t>113</w:t>
            </w:r>
          </w:p>
        </w:tc>
        <w:tc>
          <w:tcPr>
            <w:tcW w:w="467" w:type="pct"/>
            <w:tcBorders>
              <w:top w:val="nil"/>
            </w:tcBorders>
            <w:noWrap/>
            <w:hideMark/>
          </w:tcPr>
          <w:p w14:paraId="5D6389B7" w14:textId="77777777" w:rsidR="00977F0F" w:rsidRPr="00977F0F" w:rsidRDefault="00977F0F" w:rsidP="00977F0F">
            <w:pPr>
              <w:pStyle w:val="TableText"/>
              <w:jc w:val="right"/>
            </w:pPr>
            <w:r w:rsidRPr="00977F0F">
              <w:t>118</w:t>
            </w:r>
          </w:p>
        </w:tc>
      </w:tr>
      <w:tr w:rsidR="00977F0F" w:rsidRPr="00977F0F" w14:paraId="0AC41CEC" w14:textId="77777777" w:rsidTr="00977F0F">
        <w:trPr>
          <w:trHeight w:val="300"/>
        </w:trPr>
        <w:tc>
          <w:tcPr>
            <w:tcW w:w="5000" w:type="pct"/>
            <w:gridSpan w:val="7"/>
            <w:tcBorders>
              <w:bottom w:val="single" w:sz="4" w:space="0" w:color="auto"/>
            </w:tcBorders>
            <w:noWrap/>
            <w:hideMark/>
          </w:tcPr>
          <w:p w14:paraId="1818CED9" w14:textId="5808D997" w:rsidR="00977F0F" w:rsidRPr="00977F0F" w:rsidRDefault="00977F0F" w:rsidP="00977F0F">
            <w:pPr>
              <w:pStyle w:val="TableText"/>
            </w:pPr>
            <w:r w:rsidRPr="00977F0F">
              <w:t xml:space="preserve">Patients with advanced disease identified with </w:t>
            </w:r>
            <w:r w:rsidRPr="00956452">
              <w:rPr>
                <w:i/>
              </w:rPr>
              <w:t>ALK</w:t>
            </w:r>
          </w:p>
        </w:tc>
      </w:tr>
      <w:tr w:rsidR="00977F0F" w:rsidRPr="00977F0F" w14:paraId="38A476AF" w14:textId="77777777" w:rsidTr="00977F0F">
        <w:trPr>
          <w:trHeight w:val="300"/>
        </w:trPr>
        <w:tc>
          <w:tcPr>
            <w:tcW w:w="2197" w:type="pct"/>
            <w:tcBorders>
              <w:bottom w:val="nil"/>
            </w:tcBorders>
            <w:noWrap/>
            <w:hideMark/>
          </w:tcPr>
          <w:p w14:paraId="20964528" w14:textId="6AFA2AE4" w:rsidR="00977F0F" w:rsidRPr="00977F0F" w:rsidRDefault="00977F0F" w:rsidP="00977F0F">
            <w:pPr>
              <w:pStyle w:val="TableText"/>
            </w:pPr>
            <w:r w:rsidRPr="00977F0F">
              <w:t>Proposed (</w:t>
            </w:r>
            <w:r w:rsidRPr="00956452">
              <w:rPr>
                <w:i/>
              </w:rPr>
              <w:t>ALK</w:t>
            </w:r>
            <w:r w:rsidRPr="00977F0F">
              <w:t xml:space="preserve"> yield: 3.8%)</w:t>
            </w:r>
            <w:r w:rsidR="00B62F5D" w:rsidRPr="00977F0F">
              <w:rPr>
                <w:vertAlign w:val="superscript"/>
              </w:rPr>
              <w:t>b</w:t>
            </w:r>
          </w:p>
        </w:tc>
        <w:tc>
          <w:tcPr>
            <w:tcW w:w="467" w:type="pct"/>
            <w:tcBorders>
              <w:bottom w:val="nil"/>
            </w:tcBorders>
            <w:noWrap/>
            <w:hideMark/>
          </w:tcPr>
          <w:p w14:paraId="3FE7C495" w14:textId="77777777" w:rsidR="00977F0F" w:rsidRPr="00977F0F" w:rsidRDefault="00977F0F" w:rsidP="00977F0F">
            <w:pPr>
              <w:pStyle w:val="TableText"/>
              <w:jc w:val="right"/>
            </w:pPr>
            <w:r w:rsidRPr="00977F0F">
              <w:t>160</w:t>
            </w:r>
          </w:p>
        </w:tc>
        <w:tc>
          <w:tcPr>
            <w:tcW w:w="467" w:type="pct"/>
            <w:tcBorders>
              <w:bottom w:val="nil"/>
            </w:tcBorders>
            <w:noWrap/>
            <w:hideMark/>
          </w:tcPr>
          <w:p w14:paraId="396D52AF" w14:textId="77777777" w:rsidR="00977F0F" w:rsidRPr="00977F0F" w:rsidRDefault="00977F0F" w:rsidP="00977F0F">
            <w:pPr>
              <w:pStyle w:val="TableText"/>
              <w:jc w:val="right"/>
            </w:pPr>
            <w:r w:rsidRPr="00977F0F">
              <w:t>168</w:t>
            </w:r>
          </w:p>
        </w:tc>
        <w:tc>
          <w:tcPr>
            <w:tcW w:w="468" w:type="pct"/>
            <w:tcBorders>
              <w:bottom w:val="nil"/>
            </w:tcBorders>
            <w:noWrap/>
            <w:hideMark/>
          </w:tcPr>
          <w:p w14:paraId="3209D326" w14:textId="77777777" w:rsidR="00977F0F" w:rsidRPr="00977F0F" w:rsidRDefault="00977F0F" w:rsidP="00977F0F">
            <w:pPr>
              <w:pStyle w:val="TableText"/>
              <w:jc w:val="right"/>
            </w:pPr>
            <w:r w:rsidRPr="00977F0F">
              <w:t>176</w:t>
            </w:r>
          </w:p>
        </w:tc>
        <w:tc>
          <w:tcPr>
            <w:tcW w:w="467" w:type="pct"/>
            <w:tcBorders>
              <w:bottom w:val="nil"/>
            </w:tcBorders>
            <w:noWrap/>
            <w:hideMark/>
          </w:tcPr>
          <w:p w14:paraId="3DF62EE6" w14:textId="77777777" w:rsidR="00977F0F" w:rsidRPr="00977F0F" w:rsidRDefault="00977F0F" w:rsidP="00977F0F">
            <w:pPr>
              <w:pStyle w:val="TableText"/>
              <w:jc w:val="right"/>
            </w:pPr>
            <w:r w:rsidRPr="00977F0F">
              <w:t>184</w:t>
            </w:r>
          </w:p>
        </w:tc>
        <w:tc>
          <w:tcPr>
            <w:tcW w:w="467" w:type="pct"/>
            <w:tcBorders>
              <w:bottom w:val="nil"/>
            </w:tcBorders>
            <w:noWrap/>
            <w:hideMark/>
          </w:tcPr>
          <w:p w14:paraId="2871FC15" w14:textId="77777777" w:rsidR="00977F0F" w:rsidRPr="00977F0F" w:rsidRDefault="00977F0F" w:rsidP="00977F0F">
            <w:pPr>
              <w:pStyle w:val="TableText"/>
              <w:jc w:val="right"/>
            </w:pPr>
            <w:r w:rsidRPr="00977F0F">
              <w:t>192</w:t>
            </w:r>
          </w:p>
        </w:tc>
        <w:tc>
          <w:tcPr>
            <w:tcW w:w="467" w:type="pct"/>
            <w:tcBorders>
              <w:bottom w:val="nil"/>
            </w:tcBorders>
            <w:noWrap/>
            <w:hideMark/>
          </w:tcPr>
          <w:p w14:paraId="37E072E4" w14:textId="77777777" w:rsidR="00977F0F" w:rsidRPr="00977F0F" w:rsidRDefault="00977F0F" w:rsidP="00977F0F">
            <w:pPr>
              <w:pStyle w:val="TableText"/>
              <w:jc w:val="right"/>
            </w:pPr>
            <w:r w:rsidRPr="00977F0F">
              <w:t>200</w:t>
            </w:r>
          </w:p>
        </w:tc>
      </w:tr>
      <w:tr w:rsidR="00977F0F" w:rsidRPr="00977F0F" w14:paraId="1664FC1A" w14:textId="77777777" w:rsidTr="00977F0F">
        <w:trPr>
          <w:trHeight w:val="300"/>
        </w:trPr>
        <w:tc>
          <w:tcPr>
            <w:tcW w:w="2197" w:type="pct"/>
            <w:tcBorders>
              <w:top w:val="nil"/>
              <w:bottom w:val="nil"/>
            </w:tcBorders>
            <w:noWrap/>
            <w:hideMark/>
          </w:tcPr>
          <w:p w14:paraId="1869F9F5" w14:textId="6B5B4B33" w:rsidR="00977F0F" w:rsidRPr="00977F0F" w:rsidRDefault="00977F0F" w:rsidP="00977F0F">
            <w:pPr>
              <w:pStyle w:val="TableText"/>
            </w:pPr>
            <w:r w:rsidRPr="00977F0F">
              <w:t>Current (</w:t>
            </w:r>
            <w:r w:rsidRPr="00956452">
              <w:rPr>
                <w:i/>
              </w:rPr>
              <w:t>ALK</w:t>
            </w:r>
            <w:r w:rsidRPr="00977F0F">
              <w:t xml:space="preserve"> yield: 3.0%)</w:t>
            </w:r>
            <w:r w:rsidR="00B62F5D" w:rsidRPr="00B62F5D">
              <w:rPr>
                <w:vertAlign w:val="superscript"/>
              </w:rPr>
              <w:t>c</w:t>
            </w:r>
          </w:p>
        </w:tc>
        <w:tc>
          <w:tcPr>
            <w:tcW w:w="467" w:type="pct"/>
            <w:tcBorders>
              <w:top w:val="nil"/>
              <w:bottom w:val="nil"/>
            </w:tcBorders>
            <w:noWrap/>
            <w:hideMark/>
          </w:tcPr>
          <w:p w14:paraId="34A6F270" w14:textId="77777777" w:rsidR="00977F0F" w:rsidRPr="00977F0F" w:rsidRDefault="00977F0F" w:rsidP="00977F0F">
            <w:pPr>
              <w:pStyle w:val="TableText"/>
              <w:jc w:val="right"/>
            </w:pPr>
            <w:r w:rsidRPr="00977F0F">
              <w:t>124</w:t>
            </w:r>
          </w:p>
        </w:tc>
        <w:tc>
          <w:tcPr>
            <w:tcW w:w="467" w:type="pct"/>
            <w:tcBorders>
              <w:top w:val="nil"/>
              <w:bottom w:val="nil"/>
            </w:tcBorders>
            <w:noWrap/>
            <w:hideMark/>
          </w:tcPr>
          <w:p w14:paraId="03AF82A4" w14:textId="77777777" w:rsidR="00977F0F" w:rsidRPr="00977F0F" w:rsidRDefault="00977F0F" w:rsidP="00977F0F">
            <w:pPr>
              <w:pStyle w:val="TableText"/>
              <w:jc w:val="right"/>
            </w:pPr>
            <w:r w:rsidRPr="00977F0F">
              <w:t>130</w:t>
            </w:r>
          </w:p>
        </w:tc>
        <w:tc>
          <w:tcPr>
            <w:tcW w:w="468" w:type="pct"/>
            <w:tcBorders>
              <w:top w:val="nil"/>
              <w:bottom w:val="nil"/>
            </w:tcBorders>
            <w:noWrap/>
            <w:hideMark/>
          </w:tcPr>
          <w:p w14:paraId="7F3379C8" w14:textId="77777777" w:rsidR="00977F0F" w:rsidRPr="00977F0F" w:rsidRDefault="00977F0F" w:rsidP="00977F0F">
            <w:pPr>
              <w:pStyle w:val="TableText"/>
              <w:jc w:val="right"/>
            </w:pPr>
            <w:r w:rsidRPr="00977F0F">
              <w:t>136</w:t>
            </w:r>
          </w:p>
        </w:tc>
        <w:tc>
          <w:tcPr>
            <w:tcW w:w="467" w:type="pct"/>
            <w:tcBorders>
              <w:top w:val="nil"/>
              <w:bottom w:val="nil"/>
            </w:tcBorders>
            <w:noWrap/>
            <w:hideMark/>
          </w:tcPr>
          <w:p w14:paraId="74D3F44D" w14:textId="77777777" w:rsidR="00977F0F" w:rsidRPr="00977F0F" w:rsidRDefault="00977F0F" w:rsidP="00977F0F">
            <w:pPr>
              <w:pStyle w:val="TableText"/>
              <w:jc w:val="right"/>
            </w:pPr>
            <w:r w:rsidRPr="00977F0F">
              <w:t>142</w:t>
            </w:r>
          </w:p>
        </w:tc>
        <w:tc>
          <w:tcPr>
            <w:tcW w:w="467" w:type="pct"/>
            <w:tcBorders>
              <w:top w:val="nil"/>
              <w:bottom w:val="nil"/>
            </w:tcBorders>
            <w:noWrap/>
            <w:hideMark/>
          </w:tcPr>
          <w:p w14:paraId="0250178D" w14:textId="77777777" w:rsidR="00977F0F" w:rsidRPr="00977F0F" w:rsidRDefault="00977F0F" w:rsidP="00977F0F">
            <w:pPr>
              <w:pStyle w:val="TableText"/>
              <w:jc w:val="right"/>
            </w:pPr>
            <w:r w:rsidRPr="00977F0F">
              <w:t>148</w:t>
            </w:r>
          </w:p>
        </w:tc>
        <w:tc>
          <w:tcPr>
            <w:tcW w:w="467" w:type="pct"/>
            <w:tcBorders>
              <w:top w:val="nil"/>
              <w:bottom w:val="nil"/>
            </w:tcBorders>
            <w:noWrap/>
            <w:hideMark/>
          </w:tcPr>
          <w:p w14:paraId="55A42D26" w14:textId="77777777" w:rsidR="00977F0F" w:rsidRPr="00977F0F" w:rsidRDefault="00977F0F" w:rsidP="00977F0F">
            <w:pPr>
              <w:pStyle w:val="TableText"/>
              <w:jc w:val="right"/>
            </w:pPr>
            <w:r w:rsidRPr="00977F0F">
              <w:t>155</w:t>
            </w:r>
          </w:p>
        </w:tc>
      </w:tr>
      <w:tr w:rsidR="00977F0F" w:rsidRPr="00977F0F" w14:paraId="46B7D1F5" w14:textId="77777777" w:rsidTr="00977F0F">
        <w:trPr>
          <w:trHeight w:val="300"/>
        </w:trPr>
        <w:tc>
          <w:tcPr>
            <w:tcW w:w="2197" w:type="pct"/>
            <w:tcBorders>
              <w:top w:val="nil"/>
            </w:tcBorders>
            <w:noWrap/>
            <w:hideMark/>
          </w:tcPr>
          <w:p w14:paraId="3B282E23" w14:textId="6D520A9C" w:rsidR="00977F0F" w:rsidRPr="00977F0F" w:rsidRDefault="004A1B58" w:rsidP="00977F0F">
            <w:pPr>
              <w:pStyle w:val="TableText"/>
            </w:pPr>
            <w:r>
              <w:t>Change in</w:t>
            </w:r>
            <w:r w:rsidRPr="00977F0F">
              <w:t xml:space="preserve"> </w:t>
            </w:r>
            <w:r w:rsidR="00977F0F" w:rsidRPr="00977F0F">
              <w:t xml:space="preserve">patients eligible for </w:t>
            </w:r>
            <w:r w:rsidR="00977F0F" w:rsidRPr="00956452">
              <w:rPr>
                <w:i/>
              </w:rPr>
              <w:t>ALK</w:t>
            </w:r>
            <w:r w:rsidR="00977F0F" w:rsidRPr="00977F0F">
              <w:t xml:space="preserve"> TKI</w:t>
            </w:r>
          </w:p>
        </w:tc>
        <w:tc>
          <w:tcPr>
            <w:tcW w:w="467" w:type="pct"/>
            <w:tcBorders>
              <w:top w:val="nil"/>
            </w:tcBorders>
            <w:noWrap/>
            <w:hideMark/>
          </w:tcPr>
          <w:p w14:paraId="0F7ED381" w14:textId="77777777" w:rsidR="00977F0F" w:rsidRPr="00977F0F" w:rsidRDefault="00977F0F" w:rsidP="00977F0F">
            <w:pPr>
              <w:pStyle w:val="TableText"/>
              <w:jc w:val="right"/>
            </w:pPr>
            <w:r w:rsidRPr="00977F0F">
              <w:t>37</w:t>
            </w:r>
          </w:p>
        </w:tc>
        <w:tc>
          <w:tcPr>
            <w:tcW w:w="467" w:type="pct"/>
            <w:tcBorders>
              <w:top w:val="nil"/>
            </w:tcBorders>
            <w:noWrap/>
            <w:hideMark/>
          </w:tcPr>
          <w:p w14:paraId="0F84A6BA" w14:textId="77777777" w:rsidR="00977F0F" w:rsidRPr="00977F0F" w:rsidRDefault="00977F0F" w:rsidP="00977F0F">
            <w:pPr>
              <w:pStyle w:val="TableText"/>
              <w:jc w:val="right"/>
            </w:pPr>
            <w:r w:rsidRPr="00977F0F">
              <w:t>38</w:t>
            </w:r>
          </w:p>
        </w:tc>
        <w:tc>
          <w:tcPr>
            <w:tcW w:w="468" w:type="pct"/>
            <w:tcBorders>
              <w:top w:val="nil"/>
            </w:tcBorders>
            <w:noWrap/>
            <w:hideMark/>
          </w:tcPr>
          <w:p w14:paraId="6EFCDD26" w14:textId="77777777" w:rsidR="00977F0F" w:rsidRPr="00977F0F" w:rsidRDefault="00977F0F" w:rsidP="00977F0F">
            <w:pPr>
              <w:pStyle w:val="TableText"/>
              <w:jc w:val="right"/>
            </w:pPr>
            <w:r w:rsidRPr="00977F0F">
              <w:t>40</w:t>
            </w:r>
          </w:p>
        </w:tc>
        <w:tc>
          <w:tcPr>
            <w:tcW w:w="467" w:type="pct"/>
            <w:tcBorders>
              <w:top w:val="nil"/>
            </w:tcBorders>
            <w:noWrap/>
            <w:hideMark/>
          </w:tcPr>
          <w:p w14:paraId="75BCE1C1" w14:textId="77777777" w:rsidR="00977F0F" w:rsidRPr="00977F0F" w:rsidRDefault="00977F0F" w:rsidP="00977F0F">
            <w:pPr>
              <w:pStyle w:val="TableText"/>
              <w:jc w:val="right"/>
            </w:pPr>
            <w:r w:rsidRPr="00977F0F">
              <w:t>42</w:t>
            </w:r>
          </w:p>
        </w:tc>
        <w:tc>
          <w:tcPr>
            <w:tcW w:w="467" w:type="pct"/>
            <w:tcBorders>
              <w:top w:val="nil"/>
            </w:tcBorders>
            <w:noWrap/>
            <w:hideMark/>
          </w:tcPr>
          <w:p w14:paraId="6A2D9921" w14:textId="77777777" w:rsidR="00977F0F" w:rsidRPr="00977F0F" w:rsidRDefault="00977F0F" w:rsidP="00977F0F">
            <w:pPr>
              <w:pStyle w:val="TableText"/>
              <w:jc w:val="right"/>
            </w:pPr>
            <w:r w:rsidRPr="00977F0F">
              <w:t>44</w:t>
            </w:r>
          </w:p>
        </w:tc>
        <w:tc>
          <w:tcPr>
            <w:tcW w:w="467" w:type="pct"/>
            <w:tcBorders>
              <w:top w:val="nil"/>
            </w:tcBorders>
            <w:noWrap/>
            <w:hideMark/>
          </w:tcPr>
          <w:p w14:paraId="7258761B" w14:textId="77777777" w:rsidR="00977F0F" w:rsidRPr="00977F0F" w:rsidRDefault="00977F0F" w:rsidP="00977F0F">
            <w:pPr>
              <w:pStyle w:val="TableText"/>
              <w:jc w:val="right"/>
            </w:pPr>
            <w:r w:rsidRPr="00977F0F">
              <w:t>46</w:t>
            </w:r>
          </w:p>
        </w:tc>
      </w:tr>
      <w:tr w:rsidR="00977F0F" w:rsidRPr="00977F0F" w14:paraId="56DB6CCB" w14:textId="77777777" w:rsidTr="00977F0F">
        <w:trPr>
          <w:trHeight w:val="300"/>
        </w:trPr>
        <w:tc>
          <w:tcPr>
            <w:tcW w:w="5000" w:type="pct"/>
            <w:gridSpan w:val="7"/>
            <w:tcBorders>
              <w:bottom w:val="single" w:sz="4" w:space="0" w:color="auto"/>
            </w:tcBorders>
            <w:noWrap/>
            <w:hideMark/>
          </w:tcPr>
          <w:p w14:paraId="3C3EF8CC" w14:textId="5F82B88A" w:rsidR="00977F0F" w:rsidRPr="00977F0F" w:rsidRDefault="00977F0F" w:rsidP="00977F0F">
            <w:pPr>
              <w:pStyle w:val="TableText"/>
            </w:pPr>
            <w:r w:rsidRPr="00977F0F">
              <w:t xml:space="preserve">Patients with advanced disease identified with </w:t>
            </w:r>
            <w:r w:rsidRPr="00956452">
              <w:rPr>
                <w:i/>
              </w:rPr>
              <w:t>ROS1</w:t>
            </w:r>
          </w:p>
        </w:tc>
      </w:tr>
      <w:tr w:rsidR="00977F0F" w:rsidRPr="00977F0F" w14:paraId="29C768B9" w14:textId="77777777" w:rsidTr="00977F0F">
        <w:trPr>
          <w:trHeight w:val="300"/>
        </w:trPr>
        <w:tc>
          <w:tcPr>
            <w:tcW w:w="2197" w:type="pct"/>
            <w:tcBorders>
              <w:bottom w:val="nil"/>
            </w:tcBorders>
            <w:noWrap/>
            <w:hideMark/>
          </w:tcPr>
          <w:p w14:paraId="3AE99AE9" w14:textId="7A62C5E6" w:rsidR="00977F0F" w:rsidRPr="00977F0F" w:rsidRDefault="00977F0F" w:rsidP="00977F0F">
            <w:pPr>
              <w:pStyle w:val="TableText"/>
            </w:pPr>
            <w:r w:rsidRPr="00977F0F">
              <w:t>Proposed (</w:t>
            </w:r>
            <w:r w:rsidRPr="00956452">
              <w:rPr>
                <w:i/>
              </w:rPr>
              <w:t>ROS1</w:t>
            </w:r>
            <w:r w:rsidRPr="00977F0F">
              <w:t xml:space="preserve"> yield: 1.4%)</w:t>
            </w:r>
            <w:r w:rsidR="00B62F5D" w:rsidRPr="00977F0F">
              <w:rPr>
                <w:vertAlign w:val="superscript"/>
              </w:rPr>
              <w:t>b</w:t>
            </w:r>
          </w:p>
        </w:tc>
        <w:tc>
          <w:tcPr>
            <w:tcW w:w="467" w:type="pct"/>
            <w:tcBorders>
              <w:bottom w:val="nil"/>
            </w:tcBorders>
            <w:noWrap/>
            <w:hideMark/>
          </w:tcPr>
          <w:p w14:paraId="2EE8BD74" w14:textId="77777777" w:rsidR="00977F0F" w:rsidRPr="00977F0F" w:rsidRDefault="00977F0F" w:rsidP="00977F0F">
            <w:pPr>
              <w:pStyle w:val="TableText"/>
              <w:jc w:val="right"/>
            </w:pPr>
            <w:r w:rsidRPr="00977F0F">
              <w:t>58</w:t>
            </w:r>
          </w:p>
        </w:tc>
        <w:tc>
          <w:tcPr>
            <w:tcW w:w="467" w:type="pct"/>
            <w:tcBorders>
              <w:bottom w:val="nil"/>
            </w:tcBorders>
            <w:noWrap/>
            <w:hideMark/>
          </w:tcPr>
          <w:p w14:paraId="31B8D8B1" w14:textId="77777777" w:rsidR="00977F0F" w:rsidRPr="00977F0F" w:rsidRDefault="00977F0F" w:rsidP="00977F0F">
            <w:pPr>
              <w:pStyle w:val="TableText"/>
              <w:jc w:val="right"/>
            </w:pPr>
            <w:r w:rsidRPr="00977F0F">
              <w:t>61</w:t>
            </w:r>
          </w:p>
        </w:tc>
        <w:tc>
          <w:tcPr>
            <w:tcW w:w="468" w:type="pct"/>
            <w:tcBorders>
              <w:bottom w:val="nil"/>
            </w:tcBorders>
            <w:noWrap/>
            <w:hideMark/>
          </w:tcPr>
          <w:p w14:paraId="1B5DD811" w14:textId="77777777" w:rsidR="00977F0F" w:rsidRPr="00977F0F" w:rsidRDefault="00977F0F" w:rsidP="00977F0F">
            <w:pPr>
              <w:pStyle w:val="TableText"/>
              <w:jc w:val="right"/>
            </w:pPr>
            <w:r w:rsidRPr="00977F0F">
              <w:t>64</w:t>
            </w:r>
          </w:p>
        </w:tc>
        <w:tc>
          <w:tcPr>
            <w:tcW w:w="467" w:type="pct"/>
            <w:tcBorders>
              <w:bottom w:val="nil"/>
            </w:tcBorders>
            <w:noWrap/>
            <w:hideMark/>
          </w:tcPr>
          <w:p w14:paraId="7A36CEE0" w14:textId="77777777" w:rsidR="00977F0F" w:rsidRPr="00977F0F" w:rsidRDefault="00977F0F" w:rsidP="00977F0F">
            <w:pPr>
              <w:pStyle w:val="TableText"/>
              <w:jc w:val="right"/>
            </w:pPr>
            <w:r w:rsidRPr="00977F0F">
              <w:t>67</w:t>
            </w:r>
          </w:p>
        </w:tc>
        <w:tc>
          <w:tcPr>
            <w:tcW w:w="467" w:type="pct"/>
            <w:tcBorders>
              <w:bottom w:val="nil"/>
            </w:tcBorders>
            <w:noWrap/>
            <w:hideMark/>
          </w:tcPr>
          <w:p w14:paraId="23AB6B40" w14:textId="77777777" w:rsidR="00977F0F" w:rsidRPr="00977F0F" w:rsidRDefault="00977F0F" w:rsidP="00977F0F">
            <w:pPr>
              <w:pStyle w:val="TableText"/>
              <w:jc w:val="right"/>
            </w:pPr>
            <w:r w:rsidRPr="00977F0F">
              <w:t>70</w:t>
            </w:r>
          </w:p>
        </w:tc>
        <w:tc>
          <w:tcPr>
            <w:tcW w:w="467" w:type="pct"/>
            <w:tcBorders>
              <w:bottom w:val="nil"/>
            </w:tcBorders>
            <w:noWrap/>
            <w:hideMark/>
          </w:tcPr>
          <w:p w14:paraId="023E441B" w14:textId="77777777" w:rsidR="00977F0F" w:rsidRPr="00977F0F" w:rsidRDefault="00977F0F" w:rsidP="00977F0F">
            <w:pPr>
              <w:pStyle w:val="TableText"/>
              <w:jc w:val="right"/>
            </w:pPr>
            <w:r w:rsidRPr="00977F0F">
              <w:t>73</w:t>
            </w:r>
          </w:p>
        </w:tc>
      </w:tr>
      <w:tr w:rsidR="00977F0F" w:rsidRPr="00977F0F" w14:paraId="17DB9B22" w14:textId="77777777" w:rsidTr="00977F0F">
        <w:trPr>
          <w:trHeight w:val="300"/>
        </w:trPr>
        <w:tc>
          <w:tcPr>
            <w:tcW w:w="2197" w:type="pct"/>
            <w:tcBorders>
              <w:top w:val="nil"/>
              <w:bottom w:val="nil"/>
            </w:tcBorders>
            <w:noWrap/>
            <w:hideMark/>
          </w:tcPr>
          <w:p w14:paraId="62093B6D" w14:textId="10F5A336" w:rsidR="00977F0F" w:rsidRPr="00977F0F" w:rsidRDefault="00977F0F" w:rsidP="00B62F5D">
            <w:pPr>
              <w:pStyle w:val="TableText"/>
            </w:pPr>
            <w:r w:rsidRPr="00977F0F">
              <w:t>Current (</w:t>
            </w:r>
            <w:r w:rsidRPr="00956452">
              <w:rPr>
                <w:i/>
              </w:rPr>
              <w:t>ROS1</w:t>
            </w:r>
            <w:r w:rsidRPr="00977F0F">
              <w:t xml:space="preserve"> yield: 1.5%)</w:t>
            </w:r>
            <w:r w:rsidR="00B62F5D" w:rsidRPr="00B62F5D">
              <w:rPr>
                <w:vertAlign w:val="superscript"/>
              </w:rPr>
              <w:t>c</w:t>
            </w:r>
          </w:p>
        </w:tc>
        <w:tc>
          <w:tcPr>
            <w:tcW w:w="467" w:type="pct"/>
            <w:tcBorders>
              <w:top w:val="nil"/>
              <w:bottom w:val="nil"/>
            </w:tcBorders>
            <w:noWrap/>
            <w:hideMark/>
          </w:tcPr>
          <w:p w14:paraId="1739BA9D" w14:textId="77777777" w:rsidR="00977F0F" w:rsidRPr="00977F0F" w:rsidRDefault="00977F0F" w:rsidP="00977F0F">
            <w:pPr>
              <w:pStyle w:val="TableText"/>
              <w:jc w:val="right"/>
            </w:pPr>
            <w:r w:rsidRPr="00977F0F">
              <w:t>64</w:t>
            </w:r>
          </w:p>
        </w:tc>
        <w:tc>
          <w:tcPr>
            <w:tcW w:w="467" w:type="pct"/>
            <w:tcBorders>
              <w:top w:val="nil"/>
              <w:bottom w:val="nil"/>
            </w:tcBorders>
            <w:noWrap/>
            <w:hideMark/>
          </w:tcPr>
          <w:p w14:paraId="1CB8CFBC" w14:textId="77777777" w:rsidR="00977F0F" w:rsidRPr="00977F0F" w:rsidRDefault="00977F0F" w:rsidP="00977F0F">
            <w:pPr>
              <w:pStyle w:val="TableText"/>
              <w:jc w:val="right"/>
            </w:pPr>
            <w:r w:rsidRPr="00977F0F">
              <w:t>67</w:t>
            </w:r>
          </w:p>
        </w:tc>
        <w:tc>
          <w:tcPr>
            <w:tcW w:w="468" w:type="pct"/>
            <w:tcBorders>
              <w:top w:val="nil"/>
              <w:bottom w:val="nil"/>
            </w:tcBorders>
            <w:noWrap/>
            <w:hideMark/>
          </w:tcPr>
          <w:p w14:paraId="790629B3" w14:textId="77777777" w:rsidR="00977F0F" w:rsidRPr="00977F0F" w:rsidRDefault="00977F0F" w:rsidP="00977F0F">
            <w:pPr>
              <w:pStyle w:val="TableText"/>
              <w:jc w:val="right"/>
            </w:pPr>
            <w:r w:rsidRPr="00977F0F">
              <w:t>71</w:t>
            </w:r>
          </w:p>
        </w:tc>
        <w:tc>
          <w:tcPr>
            <w:tcW w:w="467" w:type="pct"/>
            <w:tcBorders>
              <w:top w:val="nil"/>
              <w:bottom w:val="nil"/>
            </w:tcBorders>
            <w:noWrap/>
            <w:hideMark/>
          </w:tcPr>
          <w:p w14:paraId="7C7AA006" w14:textId="77777777" w:rsidR="00977F0F" w:rsidRPr="00977F0F" w:rsidRDefault="00977F0F" w:rsidP="00977F0F">
            <w:pPr>
              <w:pStyle w:val="TableText"/>
              <w:jc w:val="right"/>
            </w:pPr>
            <w:r w:rsidRPr="00977F0F">
              <w:t>74</w:t>
            </w:r>
          </w:p>
        </w:tc>
        <w:tc>
          <w:tcPr>
            <w:tcW w:w="467" w:type="pct"/>
            <w:tcBorders>
              <w:top w:val="nil"/>
              <w:bottom w:val="nil"/>
            </w:tcBorders>
            <w:noWrap/>
            <w:hideMark/>
          </w:tcPr>
          <w:p w14:paraId="075A0AE2" w14:textId="77777777" w:rsidR="00977F0F" w:rsidRPr="00977F0F" w:rsidRDefault="00977F0F" w:rsidP="00977F0F">
            <w:pPr>
              <w:pStyle w:val="TableText"/>
              <w:jc w:val="right"/>
            </w:pPr>
            <w:r w:rsidRPr="00977F0F">
              <w:t>77</w:t>
            </w:r>
          </w:p>
        </w:tc>
        <w:tc>
          <w:tcPr>
            <w:tcW w:w="467" w:type="pct"/>
            <w:tcBorders>
              <w:top w:val="nil"/>
              <w:bottom w:val="nil"/>
            </w:tcBorders>
            <w:noWrap/>
            <w:hideMark/>
          </w:tcPr>
          <w:p w14:paraId="24602797" w14:textId="77777777" w:rsidR="00977F0F" w:rsidRPr="00977F0F" w:rsidRDefault="00977F0F" w:rsidP="00977F0F">
            <w:pPr>
              <w:pStyle w:val="TableText"/>
              <w:jc w:val="right"/>
            </w:pPr>
            <w:r w:rsidRPr="00977F0F">
              <w:t>80</w:t>
            </w:r>
          </w:p>
        </w:tc>
      </w:tr>
      <w:tr w:rsidR="00977F0F" w:rsidRPr="00977F0F" w14:paraId="074C3849" w14:textId="77777777" w:rsidTr="00977F0F">
        <w:trPr>
          <w:trHeight w:val="300"/>
        </w:trPr>
        <w:tc>
          <w:tcPr>
            <w:tcW w:w="2197" w:type="pct"/>
            <w:tcBorders>
              <w:top w:val="nil"/>
            </w:tcBorders>
            <w:noWrap/>
            <w:hideMark/>
          </w:tcPr>
          <w:p w14:paraId="5EDB2192" w14:textId="354BD588" w:rsidR="00977F0F" w:rsidRPr="00977F0F" w:rsidRDefault="004A1B58" w:rsidP="00977F0F">
            <w:pPr>
              <w:pStyle w:val="TableText"/>
            </w:pPr>
            <w:r>
              <w:t>Change in</w:t>
            </w:r>
            <w:r w:rsidRPr="00977F0F">
              <w:t xml:space="preserve"> </w:t>
            </w:r>
            <w:r w:rsidR="00977F0F" w:rsidRPr="00977F0F">
              <w:t xml:space="preserve">patients eligible for </w:t>
            </w:r>
            <w:r w:rsidR="00977F0F" w:rsidRPr="00956452">
              <w:rPr>
                <w:i/>
              </w:rPr>
              <w:t>ROS1</w:t>
            </w:r>
            <w:r w:rsidR="00977F0F" w:rsidRPr="00977F0F">
              <w:t xml:space="preserve"> TKI</w:t>
            </w:r>
          </w:p>
        </w:tc>
        <w:tc>
          <w:tcPr>
            <w:tcW w:w="467" w:type="pct"/>
            <w:tcBorders>
              <w:top w:val="nil"/>
            </w:tcBorders>
            <w:noWrap/>
            <w:hideMark/>
          </w:tcPr>
          <w:p w14:paraId="17A3BD0D" w14:textId="77777777" w:rsidR="00977F0F" w:rsidRPr="00977F0F" w:rsidRDefault="00977F0F" w:rsidP="00977F0F">
            <w:pPr>
              <w:pStyle w:val="TableText"/>
              <w:jc w:val="right"/>
            </w:pPr>
            <w:r w:rsidRPr="00977F0F">
              <w:t>-6</w:t>
            </w:r>
          </w:p>
        </w:tc>
        <w:tc>
          <w:tcPr>
            <w:tcW w:w="467" w:type="pct"/>
            <w:tcBorders>
              <w:top w:val="nil"/>
            </w:tcBorders>
            <w:noWrap/>
            <w:hideMark/>
          </w:tcPr>
          <w:p w14:paraId="7F985B7C" w14:textId="77777777" w:rsidR="00977F0F" w:rsidRPr="00977F0F" w:rsidRDefault="00977F0F" w:rsidP="00977F0F">
            <w:pPr>
              <w:pStyle w:val="TableText"/>
              <w:jc w:val="right"/>
            </w:pPr>
            <w:r w:rsidRPr="00977F0F">
              <w:t>-6</w:t>
            </w:r>
          </w:p>
        </w:tc>
        <w:tc>
          <w:tcPr>
            <w:tcW w:w="468" w:type="pct"/>
            <w:tcBorders>
              <w:top w:val="nil"/>
            </w:tcBorders>
            <w:noWrap/>
            <w:hideMark/>
          </w:tcPr>
          <w:p w14:paraId="12FA93FE" w14:textId="77777777" w:rsidR="00977F0F" w:rsidRPr="00977F0F" w:rsidRDefault="00977F0F" w:rsidP="00977F0F">
            <w:pPr>
              <w:pStyle w:val="TableText"/>
              <w:jc w:val="right"/>
            </w:pPr>
            <w:r w:rsidRPr="00977F0F">
              <w:t>-7</w:t>
            </w:r>
          </w:p>
        </w:tc>
        <w:tc>
          <w:tcPr>
            <w:tcW w:w="467" w:type="pct"/>
            <w:tcBorders>
              <w:top w:val="nil"/>
            </w:tcBorders>
            <w:noWrap/>
            <w:hideMark/>
          </w:tcPr>
          <w:p w14:paraId="320C3923" w14:textId="77777777" w:rsidR="00977F0F" w:rsidRPr="00977F0F" w:rsidRDefault="00977F0F" w:rsidP="00977F0F">
            <w:pPr>
              <w:pStyle w:val="TableText"/>
              <w:jc w:val="right"/>
            </w:pPr>
            <w:r w:rsidRPr="00977F0F">
              <w:t>-7</w:t>
            </w:r>
          </w:p>
        </w:tc>
        <w:tc>
          <w:tcPr>
            <w:tcW w:w="467" w:type="pct"/>
            <w:tcBorders>
              <w:top w:val="nil"/>
            </w:tcBorders>
            <w:noWrap/>
            <w:hideMark/>
          </w:tcPr>
          <w:p w14:paraId="19F8C098" w14:textId="77777777" w:rsidR="00977F0F" w:rsidRPr="00977F0F" w:rsidRDefault="00977F0F" w:rsidP="00977F0F">
            <w:pPr>
              <w:pStyle w:val="TableText"/>
              <w:jc w:val="right"/>
            </w:pPr>
            <w:r w:rsidRPr="00977F0F">
              <w:t>-7</w:t>
            </w:r>
          </w:p>
        </w:tc>
        <w:tc>
          <w:tcPr>
            <w:tcW w:w="467" w:type="pct"/>
            <w:tcBorders>
              <w:top w:val="nil"/>
            </w:tcBorders>
            <w:noWrap/>
            <w:hideMark/>
          </w:tcPr>
          <w:p w14:paraId="770148A1" w14:textId="77777777" w:rsidR="00977F0F" w:rsidRPr="00977F0F" w:rsidRDefault="00977F0F" w:rsidP="00977F0F">
            <w:pPr>
              <w:pStyle w:val="TableText"/>
              <w:jc w:val="right"/>
            </w:pPr>
            <w:r w:rsidRPr="00977F0F">
              <w:t>-8</w:t>
            </w:r>
          </w:p>
        </w:tc>
      </w:tr>
      <w:tr w:rsidR="00977F0F" w:rsidRPr="00977F0F" w14:paraId="3F6A3E04" w14:textId="77777777" w:rsidTr="00977F0F">
        <w:trPr>
          <w:trHeight w:val="300"/>
        </w:trPr>
        <w:tc>
          <w:tcPr>
            <w:tcW w:w="5000" w:type="pct"/>
            <w:gridSpan w:val="7"/>
            <w:tcBorders>
              <w:bottom w:val="single" w:sz="4" w:space="0" w:color="auto"/>
            </w:tcBorders>
            <w:noWrap/>
            <w:hideMark/>
          </w:tcPr>
          <w:p w14:paraId="78B7D4C3" w14:textId="167B2599" w:rsidR="00977F0F" w:rsidRPr="00977F0F" w:rsidRDefault="00977F0F" w:rsidP="00977F0F">
            <w:pPr>
              <w:pStyle w:val="TableText"/>
            </w:pPr>
            <w:r w:rsidRPr="00977F0F">
              <w:t xml:space="preserve">Patients with advanced disease identified with </w:t>
            </w:r>
            <w:r w:rsidRPr="00956452">
              <w:rPr>
                <w:i/>
              </w:rPr>
              <w:t>MET</w:t>
            </w:r>
            <w:r w:rsidRPr="00977F0F">
              <w:t>ex14sk</w:t>
            </w:r>
          </w:p>
        </w:tc>
      </w:tr>
      <w:tr w:rsidR="00977F0F" w:rsidRPr="00977F0F" w14:paraId="4487F315" w14:textId="77777777" w:rsidTr="00977F0F">
        <w:trPr>
          <w:trHeight w:val="300"/>
        </w:trPr>
        <w:tc>
          <w:tcPr>
            <w:tcW w:w="2197" w:type="pct"/>
            <w:tcBorders>
              <w:bottom w:val="nil"/>
            </w:tcBorders>
            <w:noWrap/>
            <w:hideMark/>
          </w:tcPr>
          <w:p w14:paraId="69D9FEFC" w14:textId="333CAB51" w:rsidR="00977F0F" w:rsidRPr="00977F0F" w:rsidRDefault="00977F0F" w:rsidP="00977F0F">
            <w:pPr>
              <w:pStyle w:val="TableText"/>
            </w:pPr>
            <w:r w:rsidRPr="00977F0F">
              <w:t>Proposed (</w:t>
            </w:r>
            <w:r w:rsidRPr="00956452">
              <w:rPr>
                <w:i/>
              </w:rPr>
              <w:t>MET</w:t>
            </w:r>
            <w:r w:rsidRPr="00977F0F">
              <w:t>ex14sk yield: 3.5%)</w:t>
            </w:r>
            <w:r w:rsidR="00B62F5D" w:rsidRPr="00977F0F">
              <w:rPr>
                <w:vertAlign w:val="superscript"/>
              </w:rPr>
              <w:t>b</w:t>
            </w:r>
          </w:p>
        </w:tc>
        <w:tc>
          <w:tcPr>
            <w:tcW w:w="467" w:type="pct"/>
            <w:tcBorders>
              <w:bottom w:val="nil"/>
            </w:tcBorders>
            <w:noWrap/>
            <w:hideMark/>
          </w:tcPr>
          <w:p w14:paraId="6B17FA16" w14:textId="77777777" w:rsidR="00977F0F" w:rsidRPr="00977F0F" w:rsidRDefault="00977F0F" w:rsidP="00977F0F">
            <w:pPr>
              <w:pStyle w:val="TableText"/>
              <w:jc w:val="right"/>
            </w:pPr>
            <w:r w:rsidRPr="00977F0F">
              <w:t>148</w:t>
            </w:r>
          </w:p>
        </w:tc>
        <w:tc>
          <w:tcPr>
            <w:tcW w:w="467" w:type="pct"/>
            <w:tcBorders>
              <w:bottom w:val="nil"/>
            </w:tcBorders>
            <w:noWrap/>
            <w:hideMark/>
          </w:tcPr>
          <w:p w14:paraId="11E21774" w14:textId="77777777" w:rsidR="00977F0F" w:rsidRPr="00977F0F" w:rsidRDefault="00977F0F" w:rsidP="00977F0F">
            <w:pPr>
              <w:pStyle w:val="TableText"/>
              <w:jc w:val="right"/>
            </w:pPr>
            <w:r w:rsidRPr="00977F0F">
              <w:t>155</w:t>
            </w:r>
          </w:p>
        </w:tc>
        <w:tc>
          <w:tcPr>
            <w:tcW w:w="468" w:type="pct"/>
            <w:tcBorders>
              <w:bottom w:val="nil"/>
            </w:tcBorders>
            <w:noWrap/>
            <w:hideMark/>
          </w:tcPr>
          <w:p w14:paraId="29AA818D" w14:textId="77777777" w:rsidR="00977F0F" w:rsidRPr="00977F0F" w:rsidRDefault="00977F0F" w:rsidP="00977F0F">
            <w:pPr>
              <w:pStyle w:val="TableText"/>
              <w:jc w:val="right"/>
            </w:pPr>
            <w:r w:rsidRPr="00977F0F">
              <w:t>163</w:t>
            </w:r>
          </w:p>
        </w:tc>
        <w:tc>
          <w:tcPr>
            <w:tcW w:w="467" w:type="pct"/>
            <w:tcBorders>
              <w:bottom w:val="nil"/>
            </w:tcBorders>
            <w:noWrap/>
            <w:hideMark/>
          </w:tcPr>
          <w:p w14:paraId="0D38D1D9" w14:textId="77777777" w:rsidR="00977F0F" w:rsidRPr="00977F0F" w:rsidRDefault="00977F0F" w:rsidP="00977F0F">
            <w:pPr>
              <w:pStyle w:val="TableText"/>
              <w:jc w:val="right"/>
            </w:pPr>
            <w:r w:rsidRPr="00977F0F">
              <w:t>170</w:t>
            </w:r>
          </w:p>
        </w:tc>
        <w:tc>
          <w:tcPr>
            <w:tcW w:w="467" w:type="pct"/>
            <w:tcBorders>
              <w:bottom w:val="nil"/>
            </w:tcBorders>
            <w:noWrap/>
            <w:hideMark/>
          </w:tcPr>
          <w:p w14:paraId="57D71A38" w14:textId="77777777" w:rsidR="00977F0F" w:rsidRPr="00977F0F" w:rsidRDefault="00977F0F" w:rsidP="00977F0F">
            <w:pPr>
              <w:pStyle w:val="TableText"/>
              <w:jc w:val="right"/>
            </w:pPr>
            <w:r w:rsidRPr="00977F0F">
              <w:t>177</w:t>
            </w:r>
          </w:p>
        </w:tc>
        <w:tc>
          <w:tcPr>
            <w:tcW w:w="467" w:type="pct"/>
            <w:tcBorders>
              <w:bottom w:val="nil"/>
            </w:tcBorders>
            <w:noWrap/>
            <w:hideMark/>
          </w:tcPr>
          <w:p w14:paraId="7215AC82" w14:textId="77777777" w:rsidR="00977F0F" w:rsidRPr="00977F0F" w:rsidRDefault="00977F0F" w:rsidP="00977F0F">
            <w:pPr>
              <w:pStyle w:val="TableText"/>
              <w:jc w:val="right"/>
            </w:pPr>
            <w:r w:rsidRPr="00977F0F">
              <w:t>185</w:t>
            </w:r>
          </w:p>
        </w:tc>
      </w:tr>
      <w:tr w:rsidR="00977F0F" w:rsidRPr="00977F0F" w14:paraId="5D93CD54" w14:textId="77777777" w:rsidTr="00977F0F">
        <w:trPr>
          <w:trHeight w:val="300"/>
        </w:trPr>
        <w:tc>
          <w:tcPr>
            <w:tcW w:w="2197" w:type="pct"/>
            <w:tcBorders>
              <w:top w:val="nil"/>
              <w:bottom w:val="nil"/>
            </w:tcBorders>
            <w:noWrap/>
            <w:hideMark/>
          </w:tcPr>
          <w:p w14:paraId="2E855036" w14:textId="224FCD3A" w:rsidR="00977F0F" w:rsidRPr="00977F0F" w:rsidRDefault="00977F0F" w:rsidP="00977F0F">
            <w:pPr>
              <w:pStyle w:val="TableText"/>
            </w:pPr>
            <w:r w:rsidRPr="00977F0F">
              <w:t>Current (</w:t>
            </w:r>
            <w:r w:rsidRPr="00956452">
              <w:rPr>
                <w:i/>
              </w:rPr>
              <w:t>MET</w:t>
            </w:r>
            <w:r w:rsidRPr="00977F0F">
              <w:t>ex14sk yield: 3.6%)</w:t>
            </w:r>
            <w:r w:rsidR="00B62F5D" w:rsidRPr="00B62F5D">
              <w:rPr>
                <w:vertAlign w:val="superscript"/>
              </w:rPr>
              <w:t>c</w:t>
            </w:r>
          </w:p>
        </w:tc>
        <w:tc>
          <w:tcPr>
            <w:tcW w:w="467" w:type="pct"/>
            <w:tcBorders>
              <w:top w:val="nil"/>
              <w:bottom w:val="nil"/>
            </w:tcBorders>
            <w:noWrap/>
            <w:hideMark/>
          </w:tcPr>
          <w:p w14:paraId="4B62EA74" w14:textId="77777777" w:rsidR="00977F0F" w:rsidRPr="00977F0F" w:rsidRDefault="00977F0F" w:rsidP="00977F0F">
            <w:pPr>
              <w:pStyle w:val="TableText"/>
              <w:jc w:val="right"/>
            </w:pPr>
            <w:r w:rsidRPr="00977F0F">
              <w:t>151</w:t>
            </w:r>
          </w:p>
        </w:tc>
        <w:tc>
          <w:tcPr>
            <w:tcW w:w="467" w:type="pct"/>
            <w:tcBorders>
              <w:top w:val="nil"/>
              <w:bottom w:val="nil"/>
            </w:tcBorders>
            <w:noWrap/>
            <w:hideMark/>
          </w:tcPr>
          <w:p w14:paraId="2CC93EE1" w14:textId="77777777" w:rsidR="00977F0F" w:rsidRPr="00977F0F" w:rsidRDefault="00977F0F" w:rsidP="00977F0F">
            <w:pPr>
              <w:pStyle w:val="TableText"/>
              <w:jc w:val="right"/>
            </w:pPr>
            <w:r w:rsidRPr="00977F0F">
              <w:t>158</w:t>
            </w:r>
          </w:p>
        </w:tc>
        <w:tc>
          <w:tcPr>
            <w:tcW w:w="468" w:type="pct"/>
            <w:tcBorders>
              <w:top w:val="nil"/>
              <w:bottom w:val="nil"/>
            </w:tcBorders>
            <w:noWrap/>
            <w:hideMark/>
          </w:tcPr>
          <w:p w14:paraId="3F7E164E" w14:textId="77777777" w:rsidR="00977F0F" w:rsidRPr="00977F0F" w:rsidRDefault="00977F0F" w:rsidP="00977F0F">
            <w:pPr>
              <w:pStyle w:val="TableText"/>
              <w:jc w:val="right"/>
            </w:pPr>
            <w:r w:rsidRPr="00977F0F">
              <w:t>166</w:t>
            </w:r>
          </w:p>
        </w:tc>
        <w:tc>
          <w:tcPr>
            <w:tcW w:w="467" w:type="pct"/>
            <w:tcBorders>
              <w:top w:val="nil"/>
              <w:bottom w:val="nil"/>
            </w:tcBorders>
            <w:noWrap/>
            <w:hideMark/>
          </w:tcPr>
          <w:p w14:paraId="632A7CA2" w14:textId="77777777" w:rsidR="00977F0F" w:rsidRPr="00977F0F" w:rsidRDefault="00977F0F" w:rsidP="00977F0F">
            <w:pPr>
              <w:pStyle w:val="TableText"/>
              <w:jc w:val="right"/>
            </w:pPr>
            <w:r w:rsidRPr="00977F0F">
              <w:t>173</w:t>
            </w:r>
          </w:p>
        </w:tc>
        <w:tc>
          <w:tcPr>
            <w:tcW w:w="467" w:type="pct"/>
            <w:tcBorders>
              <w:top w:val="nil"/>
              <w:bottom w:val="nil"/>
            </w:tcBorders>
            <w:noWrap/>
            <w:hideMark/>
          </w:tcPr>
          <w:p w14:paraId="6FFC4BEF" w14:textId="77777777" w:rsidR="00977F0F" w:rsidRPr="00977F0F" w:rsidRDefault="00977F0F" w:rsidP="00977F0F">
            <w:pPr>
              <w:pStyle w:val="TableText"/>
              <w:jc w:val="right"/>
            </w:pPr>
            <w:r w:rsidRPr="00977F0F">
              <w:t>181</w:t>
            </w:r>
          </w:p>
        </w:tc>
        <w:tc>
          <w:tcPr>
            <w:tcW w:w="467" w:type="pct"/>
            <w:tcBorders>
              <w:top w:val="nil"/>
              <w:bottom w:val="nil"/>
            </w:tcBorders>
            <w:noWrap/>
            <w:hideMark/>
          </w:tcPr>
          <w:p w14:paraId="3CF9FE0B" w14:textId="77777777" w:rsidR="00977F0F" w:rsidRPr="00977F0F" w:rsidRDefault="00977F0F" w:rsidP="00977F0F">
            <w:pPr>
              <w:pStyle w:val="TableText"/>
              <w:jc w:val="right"/>
            </w:pPr>
            <w:r w:rsidRPr="00977F0F">
              <w:t>189</w:t>
            </w:r>
          </w:p>
        </w:tc>
      </w:tr>
      <w:tr w:rsidR="00977F0F" w:rsidRPr="00977F0F" w14:paraId="2FE2D3FF" w14:textId="77777777" w:rsidTr="00977F0F">
        <w:trPr>
          <w:trHeight w:val="300"/>
        </w:trPr>
        <w:tc>
          <w:tcPr>
            <w:tcW w:w="2197" w:type="pct"/>
            <w:tcBorders>
              <w:top w:val="nil"/>
            </w:tcBorders>
            <w:noWrap/>
            <w:hideMark/>
          </w:tcPr>
          <w:p w14:paraId="0A38E77C" w14:textId="31F08D8D" w:rsidR="00977F0F" w:rsidRPr="00977F0F" w:rsidRDefault="004A1B58" w:rsidP="00977F0F">
            <w:pPr>
              <w:pStyle w:val="TableText"/>
            </w:pPr>
            <w:r>
              <w:t>Change in</w:t>
            </w:r>
            <w:r w:rsidRPr="00977F0F">
              <w:t xml:space="preserve"> </w:t>
            </w:r>
            <w:r w:rsidR="00977F0F" w:rsidRPr="00977F0F">
              <w:t xml:space="preserve">patients eligible for </w:t>
            </w:r>
            <w:r w:rsidR="00977F0F" w:rsidRPr="00956452">
              <w:rPr>
                <w:i/>
              </w:rPr>
              <w:t>MET</w:t>
            </w:r>
            <w:r w:rsidR="00977F0F" w:rsidRPr="00977F0F">
              <w:t xml:space="preserve">ex14sk </w:t>
            </w:r>
            <w:r w:rsidR="00977F0F">
              <w:t>TKI</w:t>
            </w:r>
          </w:p>
        </w:tc>
        <w:tc>
          <w:tcPr>
            <w:tcW w:w="467" w:type="pct"/>
            <w:tcBorders>
              <w:top w:val="nil"/>
            </w:tcBorders>
            <w:noWrap/>
            <w:hideMark/>
          </w:tcPr>
          <w:p w14:paraId="44153CF7" w14:textId="77777777" w:rsidR="00977F0F" w:rsidRPr="00977F0F" w:rsidRDefault="00977F0F" w:rsidP="00977F0F">
            <w:pPr>
              <w:pStyle w:val="TableText"/>
              <w:jc w:val="right"/>
            </w:pPr>
            <w:r w:rsidRPr="00977F0F">
              <w:t>-3</w:t>
            </w:r>
          </w:p>
        </w:tc>
        <w:tc>
          <w:tcPr>
            <w:tcW w:w="467" w:type="pct"/>
            <w:tcBorders>
              <w:top w:val="nil"/>
            </w:tcBorders>
            <w:noWrap/>
            <w:hideMark/>
          </w:tcPr>
          <w:p w14:paraId="7DD09D0E" w14:textId="77777777" w:rsidR="00977F0F" w:rsidRPr="00977F0F" w:rsidRDefault="00977F0F" w:rsidP="00977F0F">
            <w:pPr>
              <w:pStyle w:val="TableText"/>
              <w:jc w:val="right"/>
            </w:pPr>
            <w:r w:rsidRPr="00977F0F">
              <w:t>-3</w:t>
            </w:r>
          </w:p>
        </w:tc>
        <w:tc>
          <w:tcPr>
            <w:tcW w:w="468" w:type="pct"/>
            <w:tcBorders>
              <w:top w:val="nil"/>
            </w:tcBorders>
            <w:noWrap/>
            <w:hideMark/>
          </w:tcPr>
          <w:p w14:paraId="47260D4F" w14:textId="77777777" w:rsidR="00977F0F" w:rsidRPr="00977F0F" w:rsidRDefault="00977F0F" w:rsidP="00977F0F">
            <w:pPr>
              <w:pStyle w:val="TableText"/>
              <w:jc w:val="right"/>
            </w:pPr>
            <w:r w:rsidRPr="00977F0F">
              <w:t>-3</w:t>
            </w:r>
          </w:p>
        </w:tc>
        <w:tc>
          <w:tcPr>
            <w:tcW w:w="467" w:type="pct"/>
            <w:tcBorders>
              <w:top w:val="nil"/>
            </w:tcBorders>
            <w:noWrap/>
            <w:hideMark/>
          </w:tcPr>
          <w:p w14:paraId="19D966D8" w14:textId="77777777" w:rsidR="00977F0F" w:rsidRPr="00977F0F" w:rsidRDefault="00977F0F" w:rsidP="00977F0F">
            <w:pPr>
              <w:pStyle w:val="TableText"/>
              <w:jc w:val="right"/>
            </w:pPr>
            <w:r w:rsidRPr="00977F0F">
              <w:t>-3</w:t>
            </w:r>
          </w:p>
        </w:tc>
        <w:tc>
          <w:tcPr>
            <w:tcW w:w="467" w:type="pct"/>
            <w:tcBorders>
              <w:top w:val="nil"/>
            </w:tcBorders>
            <w:noWrap/>
            <w:hideMark/>
          </w:tcPr>
          <w:p w14:paraId="444B2976" w14:textId="77777777" w:rsidR="00977F0F" w:rsidRPr="00977F0F" w:rsidRDefault="00977F0F" w:rsidP="00977F0F">
            <w:pPr>
              <w:pStyle w:val="TableText"/>
              <w:jc w:val="right"/>
            </w:pPr>
            <w:r w:rsidRPr="00977F0F">
              <w:t>-4</w:t>
            </w:r>
          </w:p>
        </w:tc>
        <w:tc>
          <w:tcPr>
            <w:tcW w:w="467" w:type="pct"/>
            <w:tcBorders>
              <w:top w:val="nil"/>
            </w:tcBorders>
            <w:noWrap/>
            <w:hideMark/>
          </w:tcPr>
          <w:p w14:paraId="1282682A" w14:textId="77777777" w:rsidR="00977F0F" w:rsidRPr="00977F0F" w:rsidRDefault="00977F0F" w:rsidP="00977F0F">
            <w:pPr>
              <w:pStyle w:val="TableText"/>
              <w:jc w:val="right"/>
            </w:pPr>
            <w:r w:rsidRPr="00977F0F">
              <w:t>-4</w:t>
            </w:r>
          </w:p>
        </w:tc>
      </w:tr>
      <w:tr w:rsidR="00977F0F" w:rsidRPr="00977F0F" w14:paraId="16EF42E1" w14:textId="77777777" w:rsidTr="00977F0F">
        <w:trPr>
          <w:trHeight w:val="300"/>
        </w:trPr>
        <w:tc>
          <w:tcPr>
            <w:tcW w:w="2197" w:type="pct"/>
            <w:noWrap/>
            <w:hideMark/>
          </w:tcPr>
          <w:p w14:paraId="2BEBB514" w14:textId="77777777" w:rsidR="00977F0F" w:rsidRPr="00977F0F" w:rsidRDefault="00977F0F" w:rsidP="00977F0F">
            <w:pPr>
              <w:pStyle w:val="TableText"/>
              <w:rPr>
                <w:b/>
              </w:rPr>
            </w:pPr>
            <w:r w:rsidRPr="00977F0F">
              <w:rPr>
                <w:b/>
              </w:rPr>
              <w:t>Change in patients eligible for targeted therapy</w:t>
            </w:r>
          </w:p>
        </w:tc>
        <w:tc>
          <w:tcPr>
            <w:tcW w:w="467" w:type="pct"/>
            <w:noWrap/>
            <w:hideMark/>
          </w:tcPr>
          <w:p w14:paraId="0C8E9922" w14:textId="77777777" w:rsidR="00977F0F" w:rsidRPr="00977F0F" w:rsidRDefault="00977F0F" w:rsidP="00977F0F">
            <w:pPr>
              <w:pStyle w:val="TableText"/>
              <w:jc w:val="right"/>
              <w:rPr>
                <w:b/>
              </w:rPr>
            </w:pPr>
            <w:r w:rsidRPr="00977F0F">
              <w:rPr>
                <w:b/>
              </w:rPr>
              <w:t>122</w:t>
            </w:r>
          </w:p>
        </w:tc>
        <w:tc>
          <w:tcPr>
            <w:tcW w:w="467" w:type="pct"/>
            <w:noWrap/>
            <w:hideMark/>
          </w:tcPr>
          <w:p w14:paraId="55957129" w14:textId="77777777" w:rsidR="00977F0F" w:rsidRPr="00977F0F" w:rsidRDefault="00977F0F" w:rsidP="00977F0F">
            <w:pPr>
              <w:pStyle w:val="TableText"/>
              <w:jc w:val="right"/>
              <w:rPr>
                <w:b/>
              </w:rPr>
            </w:pPr>
            <w:r w:rsidRPr="00977F0F">
              <w:rPr>
                <w:b/>
              </w:rPr>
              <w:t>128</w:t>
            </w:r>
          </w:p>
        </w:tc>
        <w:tc>
          <w:tcPr>
            <w:tcW w:w="468" w:type="pct"/>
            <w:noWrap/>
            <w:hideMark/>
          </w:tcPr>
          <w:p w14:paraId="61231A7E" w14:textId="77777777" w:rsidR="00977F0F" w:rsidRPr="00977F0F" w:rsidRDefault="00977F0F" w:rsidP="00977F0F">
            <w:pPr>
              <w:pStyle w:val="TableText"/>
              <w:jc w:val="right"/>
              <w:rPr>
                <w:b/>
              </w:rPr>
            </w:pPr>
            <w:r w:rsidRPr="00977F0F">
              <w:rPr>
                <w:b/>
              </w:rPr>
              <w:t>134</w:t>
            </w:r>
          </w:p>
        </w:tc>
        <w:tc>
          <w:tcPr>
            <w:tcW w:w="467" w:type="pct"/>
            <w:noWrap/>
            <w:hideMark/>
          </w:tcPr>
          <w:p w14:paraId="1ABC437E" w14:textId="77777777" w:rsidR="00977F0F" w:rsidRPr="00977F0F" w:rsidRDefault="00977F0F" w:rsidP="00977F0F">
            <w:pPr>
              <w:pStyle w:val="TableText"/>
              <w:jc w:val="right"/>
              <w:rPr>
                <w:b/>
              </w:rPr>
            </w:pPr>
            <w:r w:rsidRPr="00977F0F">
              <w:rPr>
                <w:b/>
              </w:rPr>
              <w:t>140</w:t>
            </w:r>
          </w:p>
        </w:tc>
        <w:tc>
          <w:tcPr>
            <w:tcW w:w="467" w:type="pct"/>
            <w:noWrap/>
            <w:hideMark/>
          </w:tcPr>
          <w:p w14:paraId="43760BF2" w14:textId="77777777" w:rsidR="00977F0F" w:rsidRPr="00977F0F" w:rsidRDefault="00977F0F" w:rsidP="00977F0F">
            <w:pPr>
              <w:pStyle w:val="TableText"/>
              <w:jc w:val="right"/>
              <w:rPr>
                <w:b/>
              </w:rPr>
            </w:pPr>
            <w:r w:rsidRPr="00977F0F">
              <w:rPr>
                <w:b/>
              </w:rPr>
              <w:t>146</w:t>
            </w:r>
          </w:p>
        </w:tc>
        <w:tc>
          <w:tcPr>
            <w:tcW w:w="467" w:type="pct"/>
            <w:noWrap/>
            <w:hideMark/>
          </w:tcPr>
          <w:p w14:paraId="22B50E38" w14:textId="77777777" w:rsidR="00977F0F" w:rsidRPr="00977F0F" w:rsidRDefault="00977F0F" w:rsidP="00977F0F">
            <w:pPr>
              <w:pStyle w:val="TableText"/>
              <w:jc w:val="right"/>
              <w:rPr>
                <w:b/>
              </w:rPr>
            </w:pPr>
            <w:r w:rsidRPr="00977F0F">
              <w:rPr>
                <w:b/>
              </w:rPr>
              <w:t>152</w:t>
            </w:r>
          </w:p>
        </w:tc>
      </w:tr>
    </w:tbl>
    <w:p w14:paraId="09890386" w14:textId="57EAFF62" w:rsidR="00977F0F" w:rsidRDefault="00977F0F" w:rsidP="00977F0F">
      <w:pPr>
        <w:pStyle w:val="TableFooter"/>
      </w:pPr>
      <w:r>
        <w:t>Source: ‘Section 4.</w:t>
      </w:r>
      <w:r w:rsidR="00216C00">
        <w:t>3</w:t>
      </w:r>
      <w:r>
        <w:t>’ worksheet of the ‘1721 financial impact.xlsx’ workbook accompanying the DCAR.</w:t>
      </w:r>
    </w:p>
    <w:p w14:paraId="0921CA22" w14:textId="21BA796B" w:rsidR="00977F0F" w:rsidRDefault="00977F0F" w:rsidP="00977F0F">
      <w:pPr>
        <w:pStyle w:val="TableFooter"/>
      </w:pPr>
      <w:r w:rsidRPr="00977F0F">
        <w:rPr>
          <w:vertAlign w:val="superscript"/>
        </w:rPr>
        <w:t>a</w:t>
      </w:r>
      <w:r>
        <w:t xml:space="preserve"> Based on Mitchell et al. (2013) which reported that 65.5% of </w:t>
      </w:r>
      <w:r w:rsidRPr="00977F0F">
        <w:t>patients had Stage IIIB/IV disease at diagnosis</w:t>
      </w:r>
      <w:r>
        <w:t xml:space="preserve">. Of the remaining 34.5% of patients, </w:t>
      </w:r>
      <w:r w:rsidRPr="00977F0F">
        <w:t>30% are assumed to experience progression to Stage IIIB/IV disease, as per a DUSC report published in 2017 on erlotinib and gefitinib use</w:t>
      </w:r>
      <w:r>
        <w:t>.</w:t>
      </w:r>
    </w:p>
    <w:p w14:paraId="09D0BA31" w14:textId="11D88C10" w:rsidR="00977F0F" w:rsidRDefault="00977F0F" w:rsidP="00977F0F">
      <w:pPr>
        <w:pStyle w:val="TableFooter"/>
      </w:pPr>
      <w:r w:rsidRPr="00B62F5D">
        <w:rPr>
          <w:vertAlign w:val="superscript"/>
        </w:rPr>
        <w:t>b</w:t>
      </w:r>
      <w:r>
        <w:t xml:space="preserve"> </w:t>
      </w:r>
      <w:r w:rsidR="00B62F5D">
        <w:t>Clinical utility standard yield × PPA of small gene panel testing + (1 – clinical utility standard yield) × (1 – NPA of small gene panel testing), where clinical utility standard yield and PPA and NPA of small gene panel testing are as used in the economic analysis (</w:t>
      </w:r>
      <w:r w:rsidR="00B62F5D">
        <w:fldChar w:fldCharType="begin"/>
      </w:r>
      <w:r w:rsidR="00B62F5D">
        <w:instrText xml:space="preserve"> REF _Ref108347594 \h </w:instrText>
      </w:r>
      <w:r w:rsidR="00B62F5D">
        <w:fldChar w:fldCharType="separate"/>
      </w:r>
      <w:r w:rsidR="00C857F3" w:rsidRPr="00CE28E3">
        <w:t>Table</w:t>
      </w:r>
      <w:r w:rsidR="00C857F3">
        <w:t> </w:t>
      </w:r>
      <w:r w:rsidR="00C857F3">
        <w:rPr>
          <w:noProof/>
        </w:rPr>
        <w:t>46</w:t>
      </w:r>
      <w:r w:rsidR="00B62F5D">
        <w:fldChar w:fldCharType="end"/>
      </w:r>
      <w:r w:rsidR="00B62F5D">
        <w:t>, Section 3.2.4).</w:t>
      </w:r>
    </w:p>
    <w:p w14:paraId="529318E2" w14:textId="79646D3C" w:rsidR="00B62F5D" w:rsidRDefault="00B62F5D" w:rsidP="00977F0F">
      <w:pPr>
        <w:pStyle w:val="TableFooter"/>
      </w:pPr>
      <w:r w:rsidRPr="00B62F5D">
        <w:rPr>
          <w:vertAlign w:val="superscript"/>
        </w:rPr>
        <w:t>c</w:t>
      </w:r>
      <w:r>
        <w:t xml:space="preserve"> Clinical utility standard yield as used in the economic analysis (</w:t>
      </w:r>
      <w:r>
        <w:fldChar w:fldCharType="begin"/>
      </w:r>
      <w:r>
        <w:instrText xml:space="preserve"> REF _Ref108347594 \h </w:instrText>
      </w:r>
      <w:r>
        <w:fldChar w:fldCharType="separate"/>
      </w:r>
      <w:r w:rsidR="00C857F3" w:rsidRPr="00CE28E3">
        <w:t>Table</w:t>
      </w:r>
      <w:r w:rsidR="00C857F3">
        <w:t> </w:t>
      </w:r>
      <w:r w:rsidR="00C857F3">
        <w:rPr>
          <w:noProof/>
        </w:rPr>
        <w:t>46</w:t>
      </w:r>
      <w:r>
        <w:fldChar w:fldCharType="end"/>
      </w:r>
      <w:r>
        <w:t>, Section 3.2.4).</w:t>
      </w:r>
    </w:p>
    <w:p w14:paraId="02575668" w14:textId="77777777" w:rsidR="00CB2AE7" w:rsidRDefault="00CB2AE7" w:rsidP="00CB2AE7">
      <w:pPr>
        <w:pStyle w:val="TableFooter"/>
      </w:pPr>
      <w:r>
        <w:rPr>
          <w:i/>
        </w:rPr>
        <w:t>ALK</w:t>
      </w:r>
      <w:r>
        <w:t xml:space="preserve"> = </w:t>
      </w:r>
      <w:r w:rsidRPr="003316EF">
        <w:t>anaplastic lymphoma kinase</w:t>
      </w:r>
      <w:r>
        <w:t xml:space="preserve">; </w:t>
      </w:r>
      <w:r w:rsidRPr="00A81F01">
        <w:rPr>
          <w:i/>
        </w:rPr>
        <w:t>EGFR</w:t>
      </w:r>
      <w:r>
        <w:t xml:space="preserve"> = </w:t>
      </w:r>
      <w:r w:rsidRPr="00A81F01">
        <w:t>epidermal growth factor receptor</w:t>
      </w:r>
      <w:r>
        <w:t xml:space="preserve">; </w:t>
      </w:r>
      <w:r w:rsidRPr="00336456">
        <w:rPr>
          <w:i/>
        </w:rPr>
        <w:t>MET</w:t>
      </w:r>
      <w:r>
        <w:t xml:space="preserve">ex14sk = MET proto-oncogene, receptor tyrosine kinase exon 14 skipping alterations; NPA = negative percent agreement; PPA = positive percent agreement; </w:t>
      </w:r>
      <w:r w:rsidRPr="00743D1B">
        <w:rPr>
          <w:i/>
        </w:rPr>
        <w:t>ROS1</w:t>
      </w:r>
      <w:r>
        <w:t xml:space="preserve"> = ROS proto-oncogene 1; TKI = tyrosine kinase inhibitor.</w:t>
      </w:r>
    </w:p>
    <w:p w14:paraId="4F4FD512" w14:textId="77777777" w:rsidR="00977F0F" w:rsidRDefault="00977F0F" w:rsidP="004E63D6">
      <w:pPr>
        <w:pStyle w:val="NormalBeforeBullet"/>
      </w:pPr>
    </w:p>
    <w:p w14:paraId="413B41CE" w14:textId="77777777" w:rsidR="004E63D6" w:rsidRPr="00CE28E3" w:rsidRDefault="004E63D6" w:rsidP="004E63D6">
      <w:pPr>
        <w:pStyle w:val="Heading2"/>
        <w:numPr>
          <w:ilvl w:val="0"/>
          <w:numId w:val="0"/>
        </w:numPr>
        <w:ind w:left="720" w:hanging="720"/>
      </w:pPr>
      <w:bookmarkStart w:id="238" w:name="_Toc109054505"/>
      <w:bookmarkStart w:id="239" w:name="_Toc148531190"/>
      <w:r w:rsidRPr="00CE28E3">
        <w:lastRenderedPageBreak/>
        <w:t>4.6</w:t>
      </w:r>
      <w:r>
        <w:tab/>
      </w:r>
      <w:r w:rsidRPr="00CE28E3">
        <w:t>Identification, estimation and reduction of uncertainty in the financial estimates</w:t>
      </w:r>
      <w:bookmarkEnd w:id="238"/>
      <w:bookmarkEnd w:id="239"/>
    </w:p>
    <w:p w14:paraId="1958571A" w14:textId="6B8C7104" w:rsidR="004E63D6" w:rsidRDefault="004E63D6" w:rsidP="004E63D6">
      <w:pPr>
        <w:pStyle w:val="NormalBeforeBullet"/>
      </w:pPr>
      <w:r>
        <w:t xml:space="preserve">Analyses that explore areas of uncertainty identified in the estimation of the net financial impact to the MBS of listing small gene panel testing is presented in </w:t>
      </w:r>
      <w:r>
        <w:fldChar w:fldCharType="begin"/>
      </w:r>
      <w:r>
        <w:instrText xml:space="preserve"> REF _Ref109146941 \h </w:instrText>
      </w:r>
      <w:r>
        <w:fldChar w:fldCharType="separate"/>
      </w:r>
      <w:r w:rsidR="00C857F3" w:rsidRPr="00CE28E3">
        <w:t>Table</w:t>
      </w:r>
      <w:r w:rsidR="00C857F3">
        <w:t> </w:t>
      </w:r>
      <w:r w:rsidR="00C857F3">
        <w:rPr>
          <w:noProof/>
        </w:rPr>
        <w:t>71</w:t>
      </w:r>
      <w:r>
        <w:fldChar w:fldCharType="end"/>
      </w:r>
      <w:r>
        <w:t>.</w:t>
      </w:r>
    </w:p>
    <w:p w14:paraId="6D123D0F" w14:textId="562E7676" w:rsidR="004E63D6" w:rsidRDefault="004E63D6" w:rsidP="004E63D6">
      <w:pPr>
        <w:pStyle w:val="Caption"/>
      </w:pPr>
      <w:bookmarkStart w:id="240" w:name="_Ref109146941"/>
      <w:r w:rsidRPr="00CE28E3">
        <w:t>Table</w:t>
      </w:r>
      <w:r>
        <w:t> </w:t>
      </w:r>
      <w:fldSimple w:instr=" SEQ Table \* ARABIC ">
        <w:r w:rsidR="00C857F3">
          <w:rPr>
            <w:noProof/>
          </w:rPr>
          <w:t>71</w:t>
        </w:r>
      </w:fldSimple>
      <w:bookmarkEnd w:id="240"/>
      <w:r w:rsidRPr="00CE28E3">
        <w:tab/>
      </w:r>
      <w:r>
        <w:t>Sensitivity analyses around the net financial implications of small gene panel testing to the MBS</w:t>
      </w:r>
    </w:p>
    <w:tbl>
      <w:tblPr>
        <w:tblStyle w:val="TableGrid1"/>
        <w:tblW w:w="5000" w:type="pct"/>
        <w:tblLayout w:type="fixed"/>
        <w:tblLook w:val="04A0" w:firstRow="1" w:lastRow="0" w:firstColumn="1" w:lastColumn="0" w:noHBand="0" w:noVBand="1"/>
        <w:tblCaption w:val="Sensitivity analyses around the net financial implications of small gene panel testing to the MBS"/>
        <w:tblDescription w:val="Sensitivity analyses around the net financial implications of small gene panel testing to the MBS"/>
      </w:tblPr>
      <w:tblGrid>
        <w:gridCol w:w="2690"/>
        <w:gridCol w:w="1055"/>
        <w:gridCol w:w="1055"/>
        <w:gridCol w:w="1055"/>
        <w:gridCol w:w="1055"/>
        <w:gridCol w:w="1055"/>
        <w:gridCol w:w="1051"/>
      </w:tblGrid>
      <w:tr w:rsidR="004E63D6" w:rsidRPr="00B0078B" w14:paraId="68045216" w14:textId="77777777" w:rsidTr="00941722">
        <w:trPr>
          <w:cnfStyle w:val="100000000000" w:firstRow="1" w:lastRow="0" w:firstColumn="0" w:lastColumn="0" w:oddVBand="0" w:evenVBand="0" w:oddHBand="0" w:evenHBand="0" w:firstRowFirstColumn="0" w:firstRowLastColumn="0" w:lastRowFirstColumn="0" w:lastRowLastColumn="0"/>
          <w:cantSplit/>
          <w:trHeight w:val="300"/>
          <w:tblHeader/>
        </w:trPr>
        <w:tc>
          <w:tcPr>
            <w:tcW w:w="1492" w:type="pct"/>
            <w:noWrap/>
            <w:hideMark/>
          </w:tcPr>
          <w:p w14:paraId="6FBD66A0" w14:textId="77777777" w:rsidR="004E63D6" w:rsidRPr="00B0078B" w:rsidRDefault="004E63D6" w:rsidP="00CA410A">
            <w:pPr>
              <w:pStyle w:val="TableHeading"/>
              <w:jc w:val="center"/>
            </w:pPr>
          </w:p>
        </w:tc>
        <w:tc>
          <w:tcPr>
            <w:tcW w:w="585" w:type="pct"/>
            <w:noWrap/>
            <w:hideMark/>
          </w:tcPr>
          <w:p w14:paraId="501703D5" w14:textId="77777777" w:rsidR="004E63D6" w:rsidRPr="00B0078B" w:rsidRDefault="004E63D6" w:rsidP="00CA410A">
            <w:pPr>
              <w:pStyle w:val="TableHeading"/>
              <w:jc w:val="center"/>
            </w:pPr>
            <w:r w:rsidRPr="00B0078B">
              <w:t>2023</w:t>
            </w:r>
          </w:p>
        </w:tc>
        <w:tc>
          <w:tcPr>
            <w:tcW w:w="585" w:type="pct"/>
            <w:noWrap/>
            <w:hideMark/>
          </w:tcPr>
          <w:p w14:paraId="1DFAD806" w14:textId="77777777" w:rsidR="004E63D6" w:rsidRPr="00B0078B" w:rsidRDefault="004E63D6" w:rsidP="00CA410A">
            <w:pPr>
              <w:pStyle w:val="TableHeading"/>
              <w:jc w:val="center"/>
            </w:pPr>
            <w:r w:rsidRPr="00B0078B">
              <w:t>2024</w:t>
            </w:r>
          </w:p>
        </w:tc>
        <w:tc>
          <w:tcPr>
            <w:tcW w:w="585" w:type="pct"/>
            <w:noWrap/>
            <w:hideMark/>
          </w:tcPr>
          <w:p w14:paraId="3B3E2942" w14:textId="77777777" w:rsidR="004E63D6" w:rsidRPr="00B0078B" w:rsidRDefault="004E63D6" w:rsidP="00CA410A">
            <w:pPr>
              <w:pStyle w:val="TableHeading"/>
              <w:jc w:val="center"/>
            </w:pPr>
            <w:r w:rsidRPr="00B0078B">
              <w:t>2025</w:t>
            </w:r>
          </w:p>
        </w:tc>
        <w:tc>
          <w:tcPr>
            <w:tcW w:w="585" w:type="pct"/>
            <w:noWrap/>
            <w:hideMark/>
          </w:tcPr>
          <w:p w14:paraId="5AC1A2F7" w14:textId="77777777" w:rsidR="004E63D6" w:rsidRPr="00B0078B" w:rsidRDefault="004E63D6" w:rsidP="00CA410A">
            <w:pPr>
              <w:pStyle w:val="TableHeading"/>
              <w:jc w:val="center"/>
            </w:pPr>
            <w:r w:rsidRPr="00B0078B">
              <w:t>2026</w:t>
            </w:r>
          </w:p>
        </w:tc>
        <w:tc>
          <w:tcPr>
            <w:tcW w:w="585" w:type="pct"/>
            <w:noWrap/>
            <w:hideMark/>
          </w:tcPr>
          <w:p w14:paraId="5195BD57" w14:textId="77777777" w:rsidR="004E63D6" w:rsidRPr="00B0078B" w:rsidRDefault="004E63D6" w:rsidP="00CA410A">
            <w:pPr>
              <w:pStyle w:val="TableHeading"/>
              <w:jc w:val="center"/>
            </w:pPr>
            <w:r w:rsidRPr="00B0078B">
              <w:t>2027</w:t>
            </w:r>
          </w:p>
        </w:tc>
        <w:tc>
          <w:tcPr>
            <w:tcW w:w="583" w:type="pct"/>
            <w:noWrap/>
            <w:hideMark/>
          </w:tcPr>
          <w:p w14:paraId="788D83C0" w14:textId="77777777" w:rsidR="004E63D6" w:rsidRPr="00B0078B" w:rsidRDefault="004E63D6" w:rsidP="00CA410A">
            <w:pPr>
              <w:pStyle w:val="TableHeading"/>
              <w:jc w:val="center"/>
            </w:pPr>
            <w:r w:rsidRPr="00B0078B">
              <w:t>2028</w:t>
            </w:r>
          </w:p>
        </w:tc>
      </w:tr>
      <w:tr w:rsidR="006D62CB" w:rsidRPr="00E64F78" w14:paraId="2D8C4B1D" w14:textId="77777777" w:rsidTr="00941722">
        <w:trPr>
          <w:cantSplit/>
          <w:trHeight w:val="300"/>
        </w:trPr>
        <w:tc>
          <w:tcPr>
            <w:tcW w:w="1492" w:type="pct"/>
            <w:noWrap/>
          </w:tcPr>
          <w:p w14:paraId="08CE0138" w14:textId="77777777" w:rsidR="006D62CB" w:rsidRPr="00E64F78" w:rsidRDefault="006D62CB" w:rsidP="006D62CB">
            <w:pPr>
              <w:pStyle w:val="TableText"/>
              <w:rPr>
                <w:b/>
              </w:rPr>
            </w:pPr>
            <w:r w:rsidRPr="00E64F78">
              <w:rPr>
                <w:b/>
              </w:rPr>
              <w:t>Base case</w:t>
            </w:r>
          </w:p>
        </w:tc>
        <w:tc>
          <w:tcPr>
            <w:tcW w:w="585" w:type="pct"/>
            <w:noWrap/>
          </w:tcPr>
          <w:p w14:paraId="6211720C" w14:textId="17BFDA97" w:rsidR="006D62CB" w:rsidRPr="006D62CB" w:rsidRDefault="006D62CB" w:rsidP="006D62CB">
            <w:pPr>
              <w:pStyle w:val="TableText"/>
              <w:jc w:val="right"/>
              <w:rPr>
                <w:b/>
              </w:rPr>
            </w:pPr>
            <w:r w:rsidRPr="006D62CB">
              <w:rPr>
                <w:b/>
              </w:rPr>
              <w:t>$1,469,360</w:t>
            </w:r>
          </w:p>
        </w:tc>
        <w:tc>
          <w:tcPr>
            <w:tcW w:w="585" w:type="pct"/>
            <w:noWrap/>
          </w:tcPr>
          <w:p w14:paraId="525112BF" w14:textId="36318B81" w:rsidR="006D62CB" w:rsidRPr="006D62CB" w:rsidRDefault="006D62CB" w:rsidP="006D62CB">
            <w:pPr>
              <w:pStyle w:val="TableText"/>
              <w:jc w:val="right"/>
              <w:rPr>
                <w:b/>
              </w:rPr>
            </w:pPr>
            <w:r w:rsidRPr="006D62CB">
              <w:rPr>
                <w:b/>
              </w:rPr>
              <w:t>$1,543,069</w:t>
            </w:r>
          </w:p>
        </w:tc>
        <w:tc>
          <w:tcPr>
            <w:tcW w:w="585" w:type="pct"/>
            <w:noWrap/>
          </w:tcPr>
          <w:p w14:paraId="0B4901CE" w14:textId="25C193A1" w:rsidR="006D62CB" w:rsidRPr="006D62CB" w:rsidRDefault="006D62CB" w:rsidP="006D62CB">
            <w:pPr>
              <w:pStyle w:val="TableText"/>
              <w:jc w:val="right"/>
              <w:rPr>
                <w:b/>
              </w:rPr>
            </w:pPr>
            <w:r w:rsidRPr="006D62CB">
              <w:rPr>
                <w:b/>
              </w:rPr>
              <w:t>$1,694,966</w:t>
            </w:r>
          </w:p>
        </w:tc>
        <w:tc>
          <w:tcPr>
            <w:tcW w:w="585" w:type="pct"/>
            <w:noWrap/>
          </w:tcPr>
          <w:p w14:paraId="0AD6FC34" w14:textId="0E495112" w:rsidR="006D62CB" w:rsidRPr="006D62CB" w:rsidRDefault="006D62CB" w:rsidP="006D62CB">
            <w:pPr>
              <w:pStyle w:val="TableText"/>
              <w:jc w:val="right"/>
              <w:rPr>
                <w:b/>
              </w:rPr>
            </w:pPr>
            <w:r w:rsidRPr="006D62CB">
              <w:rPr>
                <w:b/>
              </w:rPr>
              <w:t>$1,853,992</w:t>
            </w:r>
          </w:p>
        </w:tc>
        <w:tc>
          <w:tcPr>
            <w:tcW w:w="585" w:type="pct"/>
            <w:noWrap/>
          </w:tcPr>
          <w:p w14:paraId="74960B7D" w14:textId="2DB7E141" w:rsidR="006D62CB" w:rsidRPr="006D62CB" w:rsidRDefault="006D62CB" w:rsidP="006D62CB">
            <w:pPr>
              <w:pStyle w:val="TableText"/>
              <w:jc w:val="right"/>
              <w:rPr>
                <w:b/>
              </w:rPr>
            </w:pPr>
            <w:r w:rsidRPr="006D62CB">
              <w:rPr>
                <w:b/>
              </w:rPr>
              <w:t>$2,020,147</w:t>
            </w:r>
          </w:p>
        </w:tc>
        <w:tc>
          <w:tcPr>
            <w:tcW w:w="583" w:type="pct"/>
            <w:noWrap/>
          </w:tcPr>
          <w:p w14:paraId="3B43A7E2" w14:textId="0249398F" w:rsidR="006D62CB" w:rsidRPr="006D62CB" w:rsidRDefault="006D62CB" w:rsidP="006D62CB">
            <w:pPr>
              <w:pStyle w:val="TableText"/>
              <w:jc w:val="right"/>
              <w:rPr>
                <w:b/>
              </w:rPr>
            </w:pPr>
            <w:r w:rsidRPr="006D62CB">
              <w:rPr>
                <w:b/>
              </w:rPr>
              <w:t>$2,282,313</w:t>
            </w:r>
          </w:p>
        </w:tc>
      </w:tr>
      <w:tr w:rsidR="006D62CB" w:rsidRPr="00B0078B" w14:paraId="0EE08F15" w14:textId="77777777" w:rsidTr="00941722">
        <w:trPr>
          <w:cantSplit/>
          <w:trHeight w:val="300"/>
        </w:trPr>
        <w:tc>
          <w:tcPr>
            <w:tcW w:w="1492" w:type="pct"/>
            <w:tcBorders>
              <w:bottom w:val="single" w:sz="4" w:space="0" w:color="auto"/>
            </w:tcBorders>
            <w:noWrap/>
          </w:tcPr>
          <w:p w14:paraId="7A2A7258" w14:textId="77777777" w:rsidR="006D62CB" w:rsidRPr="00E64F78" w:rsidRDefault="006D62CB" w:rsidP="006D62CB">
            <w:pPr>
              <w:pStyle w:val="TableText"/>
            </w:pPr>
            <w:r w:rsidRPr="00AA01CC">
              <w:t xml:space="preserve">Assume small panel listing increases market for </w:t>
            </w:r>
            <w:r w:rsidRPr="00E64F78">
              <w:rPr>
                <w:i/>
              </w:rPr>
              <w:t>EGFR</w:t>
            </w:r>
            <w:r w:rsidRPr="00AA01CC">
              <w:t xml:space="preserve"> testing by 20%</w:t>
            </w:r>
            <w:r>
              <w:t xml:space="preserve"> </w:t>
            </w:r>
            <w:r>
              <w:br/>
              <w:t>(base case: no market growth)</w:t>
            </w:r>
          </w:p>
        </w:tc>
        <w:tc>
          <w:tcPr>
            <w:tcW w:w="585" w:type="pct"/>
            <w:tcBorders>
              <w:bottom w:val="single" w:sz="4" w:space="0" w:color="auto"/>
            </w:tcBorders>
            <w:noWrap/>
          </w:tcPr>
          <w:p w14:paraId="49719FDE" w14:textId="4E31C63D" w:rsidR="006D62CB" w:rsidRPr="00E64F78" w:rsidRDefault="006D62CB" w:rsidP="006D62CB">
            <w:pPr>
              <w:pStyle w:val="TableText"/>
              <w:jc w:val="right"/>
            </w:pPr>
            <w:r w:rsidRPr="00921564">
              <w:t>$2,457,351</w:t>
            </w:r>
          </w:p>
        </w:tc>
        <w:tc>
          <w:tcPr>
            <w:tcW w:w="585" w:type="pct"/>
            <w:tcBorders>
              <w:bottom w:val="single" w:sz="4" w:space="0" w:color="auto"/>
            </w:tcBorders>
            <w:noWrap/>
          </w:tcPr>
          <w:p w14:paraId="270ED1E7" w14:textId="668F0134" w:rsidR="006D62CB" w:rsidRPr="00E64F78" w:rsidRDefault="006D62CB" w:rsidP="006D62CB">
            <w:pPr>
              <w:pStyle w:val="TableText"/>
              <w:jc w:val="right"/>
            </w:pPr>
            <w:r w:rsidRPr="00921564">
              <w:t>$2,580,621</w:t>
            </w:r>
          </w:p>
        </w:tc>
        <w:tc>
          <w:tcPr>
            <w:tcW w:w="585" w:type="pct"/>
            <w:tcBorders>
              <w:bottom w:val="single" w:sz="4" w:space="0" w:color="auto"/>
            </w:tcBorders>
            <w:noWrap/>
          </w:tcPr>
          <w:p w14:paraId="7E9764FA" w14:textId="172E2014" w:rsidR="006D62CB" w:rsidRPr="00E64F78" w:rsidRDefault="006D62CB" w:rsidP="006D62CB">
            <w:pPr>
              <w:pStyle w:val="TableText"/>
              <w:jc w:val="right"/>
            </w:pPr>
            <w:r w:rsidRPr="00921564">
              <w:t>$2,797,716</w:t>
            </w:r>
          </w:p>
        </w:tc>
        <w:tc>
          <w:tcPr>
            <w:tcW w:w="585" w:type="pct"/>
            <w:tcBorders>
              <w:bottom w:val="single" w:sz="4" w:space="0" w:color="auto"/>
            </w:tcBorders>
            <w:noWrap/>
          </w:tcPr>
          <w:p w14:paraId="1109D7C3" w14:textId="5F91603A" w:rsidR="006D62CB" w:rsidRPr="00E64F78" w:rsidRDefault="006D62CB" w:rsidP="006D62CB">
            <w:pPr>
              <w:pStyle w:val="TableText"/>
              <w:jc w:val="right"/>
            </w:pPr>
            <w:r w:rsidRPr="00921564">
              <w:t>$3,023,367</w:t>
            </w:r>
          </w:p>
        </w:tc>
        <w:tc>
          <w:tcPr>
            <w:tcW w:w="585" w:type="pct"/>
            <w:tcBorders>
              <w:bottom w:val="single" w:sz="4" w:space="0" w:color="auto"/>
            </w:tcBorders>
            <w:noWrap/>
          </w:tcPr>
          <w:p w14:paraId="41A720F1" w14:textId="67257D6A" w:rsidR="006D62CB" w:rsidRPr="00E64F78" w:rsidRDefault="006D62CB" w:rsidP="006D62CB">
            <w:pPr>
              <w:pStyle w:val="TableText"/>
              <w:jc w:val="right"/>
            </w:pPr>
            <w:r w:rsidRPr="00921564">
              <w:t>$3,257,573</w:t>
            </w:r>
          </w:p>
        </w:tc>
        <w:tc>
          <w:tcPr>
            <w:tcW w:w="583" w:type="pct"/>
            <w:tcBorders>
              <w:bottom w:val="single" w:sz="4" w:space="0" w:color="auto"/>
            </w:tcBorders>
            <w:noWrap/>
          </w:tcPr>
          <w:p w14:paraId="43A793DE" w14:textId="24493E60" w:rsidR="006D62CB" w:rsidRPr="00E64F78" w:rsidRDefault="006D62CB" w:rsidP="006D62CB">
            <w:pPr>
              <w:pStyle w:val="TableText"/>
              <w:jc w:val="right"/>
            </w:pPr>
            <w:r w:rsidRPr="00921564">
              <w:t>$3,606,992</w:t>
            </w:r>
          </w:p>
        </w:tc>
      </w:tr>
      <w:tr w:rsidR="004E63D6" w:rsidRPr="00B0078B" w14:paraId="73C81628" w14:textId="77777777" w:rsidTr="00941722">
        <w:trPr>
          <w:cantSplit/>
          <w:trHeight w:val="300"/>
        </w:trPr>
        <w:tc>
          <w:tcPr>
            <w:tcW w:w="1492" w:type="pct"/>
            <w:tcBorders>
              <w:bottom w:val="single" w:sz="4" w:space="0" w:color="auto"/>
              <w:right w:val="nil"/>
            </w:tcBorders>
            <w:noWrap/>
          </w:tcPr>
          <w:p w14:paraId="57DDCD87" w14:textId="77777777" w:rsidR="004E63D6" w:rsidRPr="00AA01CC" w:rsidRDefault="004E63D6" w:rsidP="00CA410A">
            <w:pPr>
              <w:pStyle w:val="TableText"/>
            </w:pPr>
            <w:r w:rsidRPr="00E64F78">
              <w:t>Small gene panel testing strategy (base case: mixed)</w:t>
            </w:r>
          </w:p>
        </w:tc>
        <w:tc>
          <w:tcPr>
            <w:tcW w:w="585" w:type="pct"/>
            <w:tcBorders>
              <w:left w:val="nil"/>
              <w:bottom w:val="single" w:sz="4" w:space="0" w:color="auto"/>
              <w:right w:val="nil"/>
            </w:tcBorders>
            <w:noWrap/>
          </w:tcPr>
          <w:p w14:paraId="73229705" w14:textId="77777777" w:rsidR="004E63D6" w:rsidRPr="00AA01CC" w:rsidRDefault="004E63D6" w:rsidP="00CA410A">
            <w:pPr>
              <w:pStyle w:val="TableText"/>
              <w:jc w:val="right"/>
            </w:pPr>
          </w:p>
        </w:tc>
        <w:tc>
          <w:tcPr>
            <w:tcW w:w="585" w:type="pct"/>
            <w:tcBorders>
              <w:left w:val="nil"/>
              <w:bottom w:val="single" w:sz="4" w:space="0" w:color="auto"/>
              <w:right w:val="nil"/>
            </w:tcBorders>
            <w:noWrap/>
          </w:tcPr>
          <w:p w14:paraId="11089900" w14:textId="77777777" w:rsidR="004E63D6" w:rsidRPr="00AA01CC" w:rsidRDefault="004E63D6" w:rsidP="00CA410A">
            <w:pPr>
              <w:pStyle w:val="TableText"/>
              <w:jc w:val="right"/>
            </w:pPr>
          </w:p>
        </w:tc>
        <w:tc>
          <w:tcPr>
            <w:tcW w:w="585" w:type="pct"/>
            <w:tcBorders>
              <w:left w:val="nil"/>
              <w:bottom w:val="single" w:sz="4" w:space="0" w:color="auto"/>
              <w:right w:val="nil"/>
            </w:tcBorders>
            <w:noWrap/>
          </w:tcPr>
          <w:p w14:paraId="11E243FC" w14:textId="77777777" w:rsidR="004E63D6" w:rsidRPr="00AA01CC" w:rsidRDefault="004E63D6" w:rsidP="00CA410A">
            <w:pPr>
              <w:pStyle w:val="TableText"/>
              <w:jc w:val="right"/>
            </w:pPr>
          </w:p>
        </w:tc>
        <w:tc>
          <w:tcPr>
            <w:tcW w:w="585" w:type="pct"/>
            <w:tcBorders>
              <w:left w:val="nil"/>
              <w:bottom w:val="single" w:sz="4" w:space="0" w:color="auto"/>
              <w:right w:val="nil"/>
            </w:tcBorders>
            <w:noWrap/>
          </w:tcPr>
          <w:p w14:paraId="3056C9C1" w14:textId="77777777" w:rsidR="004E63D6" w:rsidRPr="00AA01CC" w:rsidRDefault="004E63D6" w:rsidP="00CA410A">
            <w:pPr>
              <w:pStyle w:val="TableText"/>
              <w:jc w:val="right"/>
            </w:pPr>
          </w:p>
        </w:tc>
        <w:tc>
          <w:tcPr>
            <w:tcW w:w="585" w:type="pct"/>
            <w:tcBorders>
              <w:left w:val="nil"/>
              <w:bottom w:val="single" w:sz="4" w:space="0" w:color="auto"/>
              <w:right w:val="nil"/>
            </w:tcBorders>
            <w:noWrap/>
          </w:tcPr>
          <w:p w14:paraId="0C86B53A" w14:textId="77777777" w:rsidR="004E63D6" w:rsidRPr="00AA01CC" w:rsidRDefault="004E63D6" w:rsidP="00CA410A">
            <w:pPr>
              <w:pStyle w:val="TableText"/>
              <w:jc w:val="right"/>
            </w:pPr>
          </w:p>
        </w:tc>
        <w:tc>
          <w:tcPr>
            <w:tcW w:w="583" w:type="pct"/>
            <w:tcBorders>
              <w:left w:val="nil"/>
              <w:bottom w:val="single" w:sz="4" w:space="0" w:color="auto"/>
            </w:tcBorders>
            <w:noWrap/>
          </w:tcPr>
          <w:p w14:paraId="26E329D2" w14:textId="77777777" w:rsidR="004E63D6" w:rsidRPr="00AA01CC" w:rsidRDefault="004E63D6" w:rsidP="00CA410A">
            <w:pPr>
              <w:pStyle w:val="TableText"/>
              <w:jc w:val="right"/>
            </w:pPr>
          </w:p>
        </w:tc>
      </w:tr>
      <w:tr w:rsidR="006D62CB" w:rsidRPr="00B0078B" w14:paraId="6D70D171" w14:textId="77777777" w:rsidTr="00941722">
        <w:trPr>
          <w:cantSplit/>
          <w:trHeight w:val="300"/>
        </w:trPr>
        <w:tc>
          <w:tcPr>
            <w:tcW w:w="1492" w:type="pct"/>
            <w:tcBorders>
              <w:bottom w:val="nil"/>
            </w:tcBorders>
            <w:noWrap/>
          </w:tcPr>
          <w:p w14:paraId="5E06F790" w14:textId="77777777" w:rsidR="006D62CB" w:rsidRPr="00E64F78" w:rsidRDefault="006D62CB" w:rsidP="006D62CB">
            <w:pPr>
              <w:pStyle w:val="TableText"/>
            </w:pPr>
            <w:r w:rsidRPr="00AA01CC">
              <w:t>All combined panels</w:t>
            </w:r>
          </w:p>
        </w:tc>
        <w:tc>
          <w:tcPr>
            <w:tcW w:w="585" w:type="pct"/>
            <w:tcBorders>
              <w:bottom w:val="nil"/>
            </w:tcBorders>
            <w:noWrap/>
          </w:tcPr>
          <w:p w14:paraId="4C54330B" w14:textId="28EAADD0" w:rsidR="006D62CB" w:rsidRPr="00E64F78" w:rsidRDefault="006D62CB" w:rsidP="006D62CB">
            <w:pPr>
              <w:pStyle w:val="TableText"/>
              <w:jc w:val="right"/>
            </w:pPr>
            <w:r w:rsidRPr="002836DA">
              <w:t>$2,535,246</w:t>
            </w:r>
          </w:p>
        </w:tc>
        <w:tc>
          <w:tcPr>
            <w:tcW w:w="585" w:type="pct"/>
            <w:tcBorders>
              <w:bottom w:val="nil"/>
            </w:tcBorders>
            <w:noWrap/>
          </w:tcPr>
          <w:p w14:paraId="5536FDC5" w14:textId="4E1ABC3C" w:rsidR="006D62CB" w:rsidRPr="00E64F78" w:rsidRDefault="006D62CB" w:rsidP="006D62CB">
            <w:pPr>
              <w:pStyle w:val="TableText"/>
              <w:jc w:val="right"/>
            </w:pPr>
            <w:r w:rsidRPr="002836DA">
              <w:t>$2,662,423</w:t>
            </w:r>
          </w:p>
        </w:tc>
        <w:tc>
          <w:tcPr>
            <w:tcW w:w="585" w:type="pct"/>
            <w:tcBorders>
              <w:bottom w:val="nil"/>
            </w:tcBorders>
            <w:noWrap/>
          </w:tcPr>
          <w:p w14:paraId="39B24110" w14:textId="72B4220F" w:rsidR="006D62CB" w:rsidRPr="00E64F78" w:rsidRDefault="006D62CB" w:rsidP="006D62CB">
            <w:pPr>
              <w:pStyle w:val="TableText"/>
              <w:jc w:val="right"/>
            </w:pPr>
            <w:r w:rsidRPr="002836DA">
              <w:t>$2,789,601</w:t>
            </w:r>
          </w:p>
        </w:tc>
        <w:tc>
          <w:tcPr>
            <w:tcW w:w="585" w:type="pct"/>
            <w:tcBorders>
              <w:bottom w:val="nil"/>
            </w:tcBorders>
            <w:noWrap/>
          </w:tcPr>
          <w:p w14:paraId="0676DC22" w14:textId="038B989B" w:rsidR="006D62CB" w:rsidRPr="00E64F78" w:rsidRDefault="006D62CB" w:rsidP="006D62CB">
            <w:pPr>
              <w:pStyle w:val="TableText"/>
              <w:jc w:val="right"/>
            </w:pPr>
            <w:r w:rsidRPr="002836DA">
              <w:t>$2,916,778</w:t>
            </w:r>
          </w:p>
        </w:tc>
        <w:tc>
          <w:tcPr>
            <w:tcW w:w="585" w:type="pct"/>
            <w:tcBorders>
              <w:bottom w:val="nil"/>
            </w:tcBorders>
            <w:noWrap/>
          </w:tcPr>
          <w:p w14:paraId="18E7A53F" w14:textId="1D6A2F3A" w:rsidR="006D62CB" w:rsidRPr="00E64F78" w:rsidRDefault="006D62CB" w:rsidP="006D62CB">
            <w:pPr>
              <w:pStyle w:val="TableText"/>
              <w:jc w:val="right"/>
            </w:pPr>
            <w:r w:rsidRPr="002836DA">
              <w:t>$3,043,955</w:t>
            </w:r>
          </w:p>
        </w:tc>
        <w:tc>
          <w:tcPr>
            <w:tcW w:w="583" w:type="pct"/>
            <w:tcBorders>
              <w:bottom w:val="nil"/>
            </w:tcBorders>
            <w:noWrap/>
          </w:tcPr>
          <w:p w14:paraId="09BB31C4" w14:textId="0DA29166" w:rsidR="006D62CB" w:rsidRPr="00E64F78" w:rsidRDefault="006D62CB" w:rsidP="006D62CB">
            <w:pPr>
              <w:pStyle w:val="TableText"/>
              <w:jc w:val="right"/>
            </w:pPr>
            <w:r w:rsidRPr="002836DA">
              <w:t>$3,171,132</w:t>
            </w:r>
          </w:p>
        </w:tc>
      </w:tr>
      <w:tr w:rsidR="006D62CB" w:rsidRPr="00B0078B" w14:paraId="3F4DB344" w14:textId="77777777" w:rsidTr="00941722">
        <w:trPr>
          <w:cantSplit/>
          <w:trHeight w:val="300"/>
        </w:trPr>
        <w:tc>
          <w:tcPr>
            <w:tcW w:w="1492" w:type="pct"/>
            <w:tcBorders>
              <w:top w:val="nil"/>
              <w:bottom w:val="nil"/>
            </w:tcBorders>
            <w:noWrap/>
          </w:tcPr>
          <w:p w14:paraId="1C1FC075" w14:textId="77777777" w:rsidR="006D62CB" w:rsidRPr="00E64F78" w:rsidRDefault="006D62CB" w:rsidP="006D62CB">
            <w:pPr>
              <w:pStyle w:val="TableText"/>
            </w:pPr>
            <w:r w:rsidRPr="00AA01CC">
              <w:t>All sequential DNA then RNA</w:t>
            </w:r>
          </w:p>
        </w:tc>
        <w:tc>
          <w:tcPr>
            <w:tcW w:w="585" w:type="pct"/>
            <w:tcBorders>
              <w:top w:val="nil"/>
              <w:bottom w:val="nil"/>
            </w:tcBorders>
            <w:noWrap/>
          </w:tcPr>
          <w:p w14:paraId="09270B45" w14:textId="30B0BAEA" w:rsidR="006D62CB" w:rsidRPr="00E64F78" w:rsidRDefault="006D62CB" w:rsidP="006D62CB">
            <w:pPr>
              <w:pStyle w:val="TableText"/>
              <w:jc w:val="right"/>
            </w:pPr>
            <w:r w:rsidRPr="002836DA">
              <w:t>$1,114,065</w:t>
            </w:r>
          </w:p>
        </w:tc>
        <w:tc>
          <w:tcPr>
            <w:tcW w:w="585" w:type="pct"/>
            <w:tcBorders>
              <w:top w:val="nil"/>
              <w:bottom w:val="nil"/>
            </w:tcBorders>
            <w:noWrap/>
          </w:tcPr>
          <w:p w14:paraId="39E80379" w14:textId="06FF7A14" w:rsidR="006D62CB" w:rsidRPr="00E64F78" w:rsidRDefault="006D62CB" w:rsidP="006D62CB">
            <w:pPr>
              <w:pStyle w:val="TableText"/>
              <w:jc w:val="right"/>
            </w:pPr>
            <w:r w:rsidRPr="002836DA">
              <w:t>$1,169,951</w:t>
            </w:r>
          </w:p>
        </w:tc>
        <w:tc>
          <w:tcPr>
            <w:tcW w:w="585" w:type="pct"/>
            <w:tcBorders>
              <w:top w:val="nil"/>
              <w:bottom w:val="nil"/>
            </w:tcBorders>
            <w:noWrap/>
          </w:tcPr>
          <w:p w14:paraId="14DA15A5" w14:textId="11FB074B" w:rsidR="006D62CB" w:rsidRPr="00E64F78" w:rsidRDefault="006D62CB" w:rsidP="006D62CB">
            <w:pPr>
              <w:pStyle w:val="TableText"/>
              <w:jc w:val="right"/>
            </w:pPr>
            <w:r w:rsidRPr="002836DA">
              <w:t>$1,225,836</w:t>
            </w:r>
          </w:p>
        </w:tc>
        <w:tc>
          <w:tcPr>
            <w:tcW w:w="585" w:type="pct"/>
            <w:tcBorders>
              <w:top w:val="nil"/>
              <w:bottom w:val="nil"/>
            </w:tcBorders>
            <w:noWrap/>
          </w:tcPr>
          <w:p w14:paraId="0D7D28DF" w14:textId="66537A4C" w:rsidR="006D62CB" w:rsidRPr="00E64F78" w:rsidRDefault="006D62CB" w:rsidP="006D62CB">
            <w:pPr>
              <w:pStyle w:val="TableText"/>
              <w:jc w:val="right"/>
            </w:pPr>
            <w:r w:rsidRPr="002836DA">
              <w:t>$1,281,722</w:t>
            </w:r>
          </w:p>
        </w:tc>
        <w:tc>
          <w:tcPr>
            <w:tcW w:w="585" w:type="pct"/>
            <w:tcBorders>
              <w:top w:val="nil"/>
              <w:bottom w:val="nil"/>
            </w:tcBorders>
            <w:noWrap/>
          </w:tcPr>
          <w:p w14:paraId="1595A2E5" w14:textId="2B879C56" w:rsidR="006D62CB" w:rsidRPr="00E64F78" w:rsidRDefault="006D62CB" w:rsidP="006D62CB">
            <w:pPr>
              <w:pStyle w:val="TableText"/>
              <w:jc w:val="right"/>
            </w:pPr>
            <w:r w:rsidRPr="002836DA">
              <w:t>$1,337,608</w:t>
            </w:r>
          </w:p>
        </w:tc>
        <w:tc>
          <w:tcPr>
            <w:tcW w:w="583" w:type="pct"/>
            <w:tcBorders>
              <w:top w:val="nil"/>
              <w:bottom w:val="nil"/>
            </w:tcBorders>
            <w:noWrap/>
          </w:tcPr>
          <w:p w14:paraId="2896E14B" w14:textId="0C856A35" w:rsidR="006D62CB" w:rsidRPr="00E64F78" w:rsidRDefault="006D62CB" w:rsidP="006D62CB">
            <w:pPr>
              <w:pStyle w:val="TableText"/>
              <w:jc w:val="right"/>
            </w:pPr>
            <w:r w:rsidRPr="002836DA">
              <w:t>$1,393,493</w:t>
            </w:r>
          </w:p>
        </w:tc>
      </w:tr>
      <w:tr w:rsidR="006D62CB" w:rsidRPr="00B0078B" w14:paraId="2CE9196C" w14:textId="77777777" w:rsidTr="00941722">
        <w:trPr>
          <w:cantSplit/>
          <w:trHeight w:val="300"/>
        </w:trPr>
        <w:tc>
          <w:tcPr>
            <w:tcW w:w="1492" w:type="pct"/>
            <w:tcBorders>
              <w:top w:val="nil"/>
            </w:tcBorders>
            <w:noWrap/>
          </w:tcPr>
          <w:p w14:paraId="22E31A50" w14:textId="77777777" w:rsidR="006D62CB" w:rsidRPr="00E64F78" w:rsidRDefault="006D62CB" w:rsidP="006D62CB">
            <w:pPr>
              <w:pStyle w:val="TableText"/>
            </w:pPr>
            <w:r w:rsidRPr="00AA01CC">
              <w:t>All DNA followed by IHC/FISH</w:t>
            </w:r>
          </w:p>
        </w:tc>
        <w:tc>
          <w:tcPr>
            <w:tcW w:w="585" w:type="pct"/>
            <w:tcBorders>
              <w:top w:val="nil"/>
            </w:tcBorders>
            <w:noWrap/>
          </w:tcPr>
          <w:p w14:paraId="7D752409" w14:textId="6EF3C3B8" w:rsidR="006D62CB" w:rsidRPr="00E64F78" w:rsidRDefault="006D62CB" w:rsidP="006D62CB">
            <w:pPr>
              <w:pStyle w:val="TableText"/>
              <w:jc w:val="right"/>
            </w:pPr>
            <w:r w:rsidRPr="002836DA">
              <w:t>-$229,209</w:t>
            </w:r>
          </w:p>
        </w:tc>
        <w:tc>
          <w:tcPr>
            <w:tcW w:w="585" w:type="pct"/>
            <w:tcBorders>
              <w:top w:val="nil"/>
            </w:tcBorders>
            <w:noWrap/>
          </w:tcPr>
          <w:p w14:paraId="11F45739" w14:textId="0F132A75" w:rsidR="006D62CB" w:rsidRPr="00E64F78" w:rsidRDefault="006D62CB" w:rsidP="006D62CB">
            <w:pPr>
              <w:pStyle w:val="TableText"/>
              <w:jc w:val="right"/>
            </w:pPr>
            <w:r w:rsidRPr="002836DA">
              <w:t>-$240,707</w:t>
            </w:r>
          </w:p>
        </w:tc>
        <w:tc>
          <w:tcPr>
            <w:tcW w:w="585" w:type="pct"/>
            <w:tcBorders>
              <w:top w:val="nil"/>
            </w:tcBorders>
            <w:noWrap/>
          </w:tcPr>
          <w:p w14:paraId="65C2D330" w14:textId="42A20781" w:rsidR="006D62CB" w:rsidRPr="00E64F78" w:rsidRDefault="006D62CB" w:rsidP="006D62CB">
            <w:pPr>
              <w:pStyle w:val="TableText"/>
              <w:jc w:val="right"/>
            </w:pPr>
            <w:r w:rsidRPr="002836DA">
              <w:t>-$252,205</w:t>
            </w:r>
          </w:p>
        </w:tc>
        <w:tc>
          <w:tcPr>
            <w:tcW w:w="585" w:type="pct"/>
            <w:tcBorders>
              <w:top w:val="nil"/>
            </w:tcBorders>
            <w:noWrap/>
          </w:tcPr>
          <w:p w14:paraId="7E2CBC17" w14:textId="65FDC0D6" w:rsidR="006D62CB" w:rsidRPr="00E64F78" w:rsidRDefault="006D62CB" w:rsidP="006D62CB">
            <w:pPr>
              <w:pStyle w:val="TableText"/>
              <w:jc w:val="right"/>
            </w:pPr>
            <w:r w:rsidRPr="002836DA">
              <w:t>-$263,703</w:t>
            </w:r>
          </w:p>
        </w:tc>
        <w:tc>
          <w:tcPr>
            <w:tcW w:w="585" w:type="pct"/>
            <w:tcBorders>
              <w:top w:val="nil"/>
            </w:tcBorders>
            <w:noWrap/>
          </w:tcPr>
          <w:p w14:paraId="1538AE87" w14:textId="53F59AE6" w:rsidR="006D62CB" w:rsidRPr="00E64F78" w:rsidRDefault="006D62CB" w:rsidP="006D62CB">
            <w:pPr>
              <w:pStyle w:val="TableText"/>
              <w:jc w:val="right"/>
            </w:pPr>
            <w:r w:rsidRPr="002836DA">
              <w:t>-$275,201</w:t>
            </w:r>
          </w:p>
        </w:tc>
        <w:tc>
          <w:tcPr>
            <w:tcW w:w="583" w:type="pct"/>
            <w:tcBorders>
              <w:top w:val="nil"/>
            </w:tcBorders>
            <w:noWrap/>
          </w:tcPr>
          <w:p w14:paraId="3A8C215F" w14:textId="26E87F35" w:rsidR="006D62CB" w:rsidRPr="00E64F78" w:rsidRDefault="006D62CB" w:rsidP="006D62CB">
            <w:pPr>
              <w:pStyle w:val="TableText"/>
              <w:jc w:val="right"/>
            </w:pPr>
            <w:r w:rsidRPr="002836DA">
              <w:t>-$286,699</w:t>
            </w:r>
          </w:p>
        </w:tc>
      </w:tr>
      <w:tr w:rsidR="006D62CB" w:rsidRPr="00B0078B" w14:paraId="2AA295A7" w14:textId="77777777" w:rsidTr="00941722">
        <w:trPr>
          <w:cantSplit/>
          <w:trHeight w:val="300"/>
        </w:trPr>
        <w:tc>
          <w:tcPr>
            <w:tcW w:w="1492" w:type="pct"/>
            <w:noWrap/>
          </w:tcPr>
          <w:p w14:paraId="05810AE5" w14:textId="77777777" w:rsidR="006D62CB" w:rsidRPr="00E64F78" w:rsidRDefault="006D62CB" w:rsidP="006D62CB">
            <w:pPr>
              <w:pStyle w:val="TableText"/>
            </w:pPr>
            <w:r w:rsidRPr="00AA01CC">
              <w:t>Proportion requiring IHC/FISH, 10%</w:t>
            </w:r>
            <w:r>
              <w:t xml:space="preserve"> (base case: 5%)</w:t>
            </w:r>
          </w:p>
        </w:tc>
        <w:tc>
          <w:tcPr>
            <w:tcW w:w="585" w:type="pct"/>
            <w:noWrap/>
          </w:tcPr>
          <w:p w14:paraId="428BB1AF" w14:textId="4064E9E6" w:rsidR="006D62CB" w:rsidRPr="00E64F78" w:rsidRDefault="006D62CB" w:rsidP="006D62CB">
            <w:pPr>
              <w:pStyle w:val="TableText"/>
              <w:jc w:val="right"/>
            </w:pPr>
            <w:r w:rsidRPr="002836DA">
              <w:t>$1,416,336</w:t>
            </w:r>
          </w:p>
        </w:tc>
        <w:tc>
          <w:tcPr>
            <w:tcW w:w="585" w:type="pct"/>
            <w:noWrap/>
          </w:tcPr>
          <w:p w14:paraId="042C4CC9" w14:textId="7A6DE7A1" w:rsidR="006D62CB" w:rsidRPr="00E64F78" w:rsidRDefault="006D62CB" w:rsidP="006D62CB">
            <w:pPr>
              <w:pStyle w:val="TableText"/>
              <w:jc w:val="right"/>
            </w:pPr>
            <w:r w:rsidRPr="002836DA">
              <w:t>$1,487,385</w:t>
            </w:r>
          </w:p>
        </w:tc>
        <w:tc>
          <w:tcPr>
            <w:tcW w:w="585" w:type="pct"/>
            <w:noWrap/>
          </w:tcPr>
          <w:p w14:paraId="328A7610" w14:textId="655C0BD7" w:rsidR="006D62CB" w:rsidRPr="00E64F78" w:rsidRDefault="006D62CB" w:rsidP="006D62CB">
            <w:pPr>
              <w:pStyle w:val="TableText"/>
              <w:jc w:val="right"/>
            </w:pPr>
            <w:r w:rsidRPr="002836DA">
              <w:t>$1,640,512</w:t>
            </w:r>
          </w:p>
        </w:tc>
        <w:tc>
          <w:tcPr>
            <w:tcW w:w="585" w:type="pct"/>
            <w:noWrap/>
          </w:tcPr>
          <w:p w14:paraId="04E022C0" w14:textId="173F16CB" w:rsidR="006D62CB" w:rsidRPr="00E64F78" w:rsidRDefault="006D62CB" w:rsidP="006D62CB">
            <w:pPr>
              <w:pStyle w:val="TableText"/>
              <w:jc w:val="right"/>
            </w:pPr>
            <w:r w:rsidRPr="002836DA">
              <w:t>$1,801,122</w:t>
            </w:r>
          </w:p>
        </w:tc>
        <w:tc>
          <w:tcPr>
            <w:tcW w:w="585" w:type="pct"/>
            <w:noWrap/>
          </w:tcPr>
          <w:p w14:paraId="25A1D88C" w14:textId="6A5A1B7F" w:rsidR="006D62CB" w:rsidRPr="00E64F78" w:rsidRDefault="006D62CB" w:rsidP="006D62CB">
            <w:pPr>
              <w:pStyle w:val="TableText"/>
              <w:jc w:val="right"/>
            </w:pPr>
            <w:r w:rsidRPr="002836DA">
              <w:t>$1,969,216</w:t>
            </w:r>
          </w:p>
        </w:tc>
        <w:tc>
          <w:tcPr>
            <w:tcW w:w="583" w:type="pct"/>
            <w:noWrap/>
          </w:tcPr>
          <w:p w14:paraId="4CFD408F" w14:textId="1DDDC85B" w:rsidR="006D62CB" w:rsidRPr="00E64F78" w:rsidRDefault="006D62CB" w:rsidP="006D62CB">
            <w:pPr>
              <w:pStyle w:val="TableText"/>
              <w:jc w:val="right"/>
            </w:pPr>
            <w:r w:rsidRPr="002836DA">
              <w:t>$2,238,097</w:t>
            </w:r>
          </w:p>
        </w:tc>
      </w:tr>
      <w:tr w:rsidR="006D62CB" w:rsidRPr="00B0078B" w14:paraId="157714F5" w14:textId="77777777" w:rsidTr="00941722">
        <w:trPr>
          <w:cantSplit/>
          <w:trHeight w:val="300"/>
        </w:trPr>
        <w:tc>
          <w:tcPr>
            <w:tcW w:w="1492" w:type="pct"/>
            <w:noWrap/>
          </w:tcPr>
          <w:p w14:paraId="3A53EA21" w14:textId="77777777" w:rsidR="006D62CB" w:rsidRPr="00E64F78" w:rsidRDefault="006D62CB" w:rsidP="006D62CB">
            <w:pPr>
              <w:pStyle w:val="TableText"/>
            </w:pPr>
            <w:r w:rsidRPr="00AA01CC">
              <w:t xml:space="preserve">Allowing RNA panel testing in </w:t>
            </w:r>
            <w:r w:rsidRPr="00E64F78">
              <w:rPr>
                <w:i/>
              </w:rPr>
              <w:t>KRAS</w:t>
            </w:r>
            <w:r w:rsidRPr="00AA01CC">
              <w:t xml:space="preserve"> and </w:t>
            </w:r>
            <w:r w:rsidRPr="00E64F78">
              <w:rPr>
                <w:i/>
              </w:rPr>
              <w:t>BRAF</w:t>
            </w:r>
            <w:r>
              <w:t xml:space="preserve"> </w:t>
            </w:r>
            <w:r>
              <w:br/>
              <w:t>(base case: not allowed)</w:t>
            </w:r>
          </w:p>
        </w:tc>
        <w:tc>
          <w:tcPr>
            <w:tcW w:w="585" w:type="pct"/>
            <w:noWrap/>
          </w:tcPr>
          <w:p w14:paraId="4049D240" w14:textId="605C1024" w:rsidR="006D62CB" w:rsidRPr="00E64F78" w:rsidRDefault="006D62CB" w:rsidP="006D62CB">
            <w:pPr>
              <w:pStyle w:val="TableText"/>
              <w:jc w:val="right"/>
            </w:pPr>
            <w:r w:rsidRPr="002836DA">
              <w:t>$2,160,180</w:t>
            </w:r>
          </w:p>
        </w:tc>
        <w:tc>
          <w:tcPr>
            <w:tcW w:w="585" w:type="pct"/>
            <w:noWrap/>
          </w:tcPr>
          <w:p w14:paraId="6B13A80E" w14:textId="46E4210D" w:rsidR="006D62CB" w:rsidRPr="00E64F78" w:rsidRDefault="006D62CB" w:rsidP="006D62CB">
            <w:pPr>
              <w:pStyle w:val="TableText"/>
              <w:jc w:val="right"/>
            </w:pPr>
            <w:r w:rsidRPr="002836DA">
              <w:t>$2,268,543</w:t>
            </w:r>
          </w:p>
        </w:tc>
        <w:tc>
          <w:tcPr>
            <w:tcW w:w="585" w:type="pct"/>
            <w:noWrap/>
          </w:tcPr>
          <w:p w14:paraId="6C2313E0" w14:textId="38D4BFBF" w:rsidR="006D62CB" w:rsidRPr="00E64F78" w:rsidRDefault="006D62CB" w:rsidP="006D62CB">
            <w:pPr>
              <w:pStyle w:val="TableText"/>
              <w:jc w:val="right"/>
            </w:pPr>
            <w:r w:rsidRPr="002836DA">
              <w:t>$2,404,419</w:t>
            </w:r>
          </w:p>
        </w:tc>
        <w:tc>
          <w:tcPr>
            <w:tcW w:w="585" w:type="pct"/>
            <w:noWrap/>
          </w:tcPr>
          <w:p w14:paraId="18BE5CB5" w14:textId="54CCDBED" w:rsidR="006D62CB" w:rsidRPr="00E64F78" w:rsidRDefault="006D62CB" w:rsidP="006D62CB">
            <w:pPr>
              <w:pStyle w:val="TableText"/>
              <w:jc w:val="right"/>
            </w:pPr>
            <w:r w:rsidRPr="002836DA">
              <w:t>$2,542,803</w:t>
            </w:r>
          </w:p>
        </w:tc>
        <w:tc>
          <w:tcPr>
            <w:tcW w:w="585" w:type="pct"/>
            <w:noWrap/>
          </w:tcPr>
          <w:p w14:paraId="59F7479F" w14:textId="521DEF42" w:rsidR="006D62CB" w:rsidRPr="00E64F78" w:rsidRDefault="006D62CB" w:rsidP="006D62CB">
            <w:pPr>
              <w:pStyle w:val="TableText"/>
              <w:jc w:val="right"/>
            </w:pPr>
            <w:r w:rsidRPr="002836DA">
              <w:t>$2,683,696</w:t>
            </w:r>
          </w:p>
        </w:tc>
        <w:tc>
          <w:tcPr>
            <w:tcW w:w="583" w:type="pct"/>
            <w:noWrap/>
          </w:tcPr>
          <w:p w14:paraId="7E837D9E" w14:textId="6170A0D9" w:rsidR="006D62CB" w:rsidRPr="00E64F78" w:rsidRDefault="006D62CB" w:rsidP="006D62CB">
            <w:pPr>
              <w:pStyle w:val="TableText"/>
              <w:jc w:val="right"/>
            </w:pPr>
            <w:r w:rsidRPr="002836DA">
              <w:t>$2,858,373</w:t>
            </w:r>
          </w:p>
        </w:tc>
      </w:tr>
      <w:tr w:rsidR="006D62CB" w:rsidRPr="00B0078B" w14:paraId="163EA78B" w14:textId="77777777" w:rsidTr="00941722">
        <w:trPr>
          <w:cantSplit/>
          <w:trHeight w:val="300"/>
        </w:trPr>
        <w:tc>
          <w:tcPr>
            <w:tcW w:w="1492" w:type="pct"/>
            <w:noWrap/>
          </w:tcPr>
          <w:p w14:paraId="146BA68A" w14:textId="77777777" w:rsidR="006D62CB" w:rsidRPr="00E64F78" w:rsidRDefault="006D62CB" w:rsidP="006D62CB">
            <w:pPr>
              <w:pStyle w:val="TableText"/>
            </w:pPr>
            <w:r w:rsidRPr="00E64F78">
              <w:rPr>
                <w:i/>
              </w:rPr>
              <w:t>ALK</w:t>
            </w:r>
            <w:r w:rsidRPr="00AA01CC">
              <w:t xml:space="preserve"> projection approach</w:t>
            </w:r>
            <w:r>
              <w:t xml:space="preserve"> </w:t>
            </w:r>
            <w:r>
              <w:br/>
              <w:t xml:space="preserve">(base case: relative use of </w:t>
            </w:r>
            <w:r w:rsidRPr="00E64F78">
              <w:rPr>
                <w:i/>
              </w:rPr>
              <w:t>EGFR</w:t>
            </w:r>
            <w:r>
              <w:t>:</w:t>
            </w:r>
            <w:r w:rsidRPr="00E64F78">
              <w:rPr>
                <w:i/>
              </w:rPr>
              <w:t>ALK</w:t>
            </w:r>
            <w:r>
              <w:t xml:space="preserve"> FISH)</w:t>
            </w:r>
          </w:p>
        </w:tc>
        <w:tc>
          <w:tcPr>
            <w:tcW w:w="585" w:type="pct"/>
            <w:noWrap/>
          </w:tcPr>
          <w:p w14:paraId="00E0C411" w14:textId="38D797EC" w:rsidR="006D62CB" w:rsidRPr="00E64F78" w:rsidRDefault="006D62CB" w:rsidP="006D62CB">
            <w:pPr>
              <w:pStyle w:val="TableText"/>
              <w:jc w:val="right"/>
            </w:pPr>
            <w:r w:rsidRPr="002836DA">
              <w:t>$1,473,829</w:t>
            </w:r>
          </w:p>
        </w:tc>
        <w:tc>
          <w:tcPr>
            <w:tcW w:w="585" w:type="pct"/>
            <w:noWrap/>
          </w:tcPr>
          <w:p w14:paraId="49CE820A" w14:textId="41EC1293" w:rsidR="006D62CB" w:rsidRPr="00E64F78" w:rsidRDefault="006D62CB" w:rsidP="006D62CB">
            <w:pPr>
              <w:pStyle w:val="TableText"/>
              <w:jc w:val="right"/>
            </w:pPr>
            <w:r w:rsidRPr="002836DA">
              <w:t>$1,549,167</w:t>
            </w:r>
          </w:p>
        </w:tc>
        <w:tc>
          <w:tcPr>
            <w:tcW w:w="585" w:type="pct"/>
            <w:noWrap/>
          </w:tcPr>
          <w:p w14:paraId="125F8683" w14:textId="18916314" w:rsidR="006D62CB" w:rsidRPr="00E64F78" w:rsidRDefault="006D62CB" w:rsidP="006D62CB">
            <w:pPr>
              <w:pStyle w:val="TableText"/>
              <w:jc w:val="right"/>
            </w:pPr>
            <w:r w:rsidRPr="002836DA">
              <w:t>$1,702,693</w:t>
            </w:r>
          </w:p>
        </w:tc>
        <w:tc>
          <w:tcPr>
            <w:tcW w:w="585" w:type="pct"/>
            <w:noWrap/>
          </w:tcPr>
          <w:p w14:paraId="75B81C77" w14:textId="1C92A94B" w:rsidR="006D62CB" w:rsidRPr="00E64F78" w:rsidRDefault="006D62CB" w:rsidP="006D62CB">
            <w:pPr>
              <w:pStyle w:val="TableText"/>
              <w:jc w:val="right"/>
            </w:pPr>
            <w:r w:rsidRPr="002836DA">
              <w:t>$1,863,348</w:t>
            </w:r>
          </w:p>
        </w:tc>
        <w:tc>
          <w:tcPr>
            <w:tcW w:w="585" w:type="pct"/>
            <w:noWrap/>
          </w:tcPr>
          <w:p w14:paraId="3328E902" w14:textId="41757079" w:rsidR="006D62CB" w:rsidRPr="00E64F78" w:rsidRDefault="006D62CB" w:rsidP="006D62CB">
            <w:pPr>
              <w:pStyle w:val="TableText"/>
              <w:jc w:val="right"/>
            </w:pPr>
            <w:r w:rsidRPr="002836DA">
              <w:t>$2,031,133</w:t>
            </w:r>
          </w:p>
        </w:tc>
        <w:tc>
          <w:tcPr>
            <w:tcW w:w="583" w:type="pct"/>
            <w:noWrap/>
          </w:tcPr>
          <w:p w14:paraId="437FBB3B" w14:textId="51689DB5" w:rsidR="006D62CB" w:rsidRPr="00E64F78" w:rsidRDefault="006D62CB" w:rsidP="006D62CB">
            <w:pPr>
              <w:pStyle w:val="TableText"/>
              <w:jc w:val="right"/>
            </w:pPr>
            <w:r w:rsidRPr="002836DA">
              <w:t>$2,294,929</w:t>
            </w:r>
          </w:p>
        </w:tc>
      </w:tr>
      <w:tr w:rsidR="006D62CB" w:rsidRPr="00B0078B" w14:paraId="40FE38BA" w14:textId="77777777" w:rsidTr="00941722">
        <w:trPr>
          <w:cantSplit/>
          <w:trHeight w:val="300"/>
        </w:trPr>
        <w:tc>
          <w:tcPr>
            <w:tcW w:w="1492" w:type="pct"/>
            <w:noWrap/>
          </w:tcPr>
          <w:p w14:paraId="7CAE428E" w14:textId="77777777" w:rsidR="006D62CB" w:rsidRPr="00E64F78" w:rsidRDefault="006D62CB" w:rsidP="006D62CB">
            <w:pPr>
              <w:pStyle w:val="TableText"/>
            </w:pPr>
            <w:r w:rsidRPr="00E64F78">
              <w:rPr>
                <w:i/>
              </w:rPr>
              <w:t>ROS1</w:t>
            </w:r>
            <w:r w:rsidRPr="00AA01CC">
              <w:t xml:space="preserve"> projections assuming </w:t>
            </w:r>
            <w:r w:rsidRPr="00E64F78">
              <w:rPr>
                <w:i/>
              </w:rPr>
              <w:t>ALK</w:t>
            </w:r>
            <w:r w:rsidRPr="00AA01CC">
              <w:t xml:space="preserve"> growth rate</w:t>
            </w:r>
            <w:r>
              <w:br/>
              <w:t xml:space="preserve">(base case: relative use of </w:t>
            </w:r>
            <w:r w:rsidRPr="00E64F78">
              <w:rPr>
                <w:i/>
              </w:rPr>
              <w:t>EGFR</w:t>
            </w:r>
            <w:r>
              <w:t>:</w:t>
            </w:r>
            <w:r>
              <w:rPr>
                <w:i/>
              </w:rPr>
              <w:t>ROS1</w:t>
            </w:r>
            <w:r>
              <w:t xml:space="preserve"> FISH)</w:t>
            </w:r>
          </w:p>
        </w:tc>
        <w:tc>
          <w:tcPr>
            <w:tcW w:w="585" w:type="pct"/>
            <w:noWrap/>
          </w:tcPr>
          <w:p w14:paraId="443C313B" w14:textId="35771B18" w:rsidR="006D62CB" w:rsidRPr="00E64F78" w:rsidRDefault="006D62CB" w:rsidP="006D62CB">
            <w:pPr>
              <w:pStyle w:val="TableText"/>
              <w:jc w:val="right"/>
            </w:pPr>
            <w:r w:rsidRPr="002836DA">
              <w:t>$1,467,518</w:t>
            </w:r>
          </w:p>
        </w:tc>
        <w:tc>
          <w:tcPr>
            <w:tcW w:w="585" w:type="pct"/>
            <w:noWrap/>
          </w:tcPr>
          <w:p w14:paraId="543970C9" w14:textId="3557489A" w:rsidR="006D62CB" w:rsidRPr="00E64F78" w:rsidRDefault="006D62CB" w:rsidP="006D62CB">
            <w:pPr>
              <w:pStyle w:val="TableText"/>
              <w:jc w:val="right"/>
            </w:pPr>
            <w:r w:rsidRPr="002836DA">
              <w:t>$1,543,646</w:t>
            </w:r>
          </w:p>
        </w:tc>
        <w:tc>
          <w:tcPr>
            <w:tcW w:w="585" w:type="pct"/>
            <w:noWrap/>
          </w:tcPr>
          <w:p w14:paraId="3AA8AC61" w14:textId="70891076" w:rsidR="006D62CB" w:rsidRPr="00E64F78" w:rsidRDefault="006D62CB" w:rsidP="006D62CB">
            <w:pPr>
              <w:pStyle w:val="TableText"/>
              <w:jc w:val="right"/>
            </w:pPr>
            <w:r w:rsidRPr="002836DA">
              <w:t>$1,697,961</w:t>
            </w:r>
          </w:p>
        </w:tc>
        <w:tc>
          <w:tcPr>
            <w:tcW w:w="585" w:type="pct"/>
            <w:noWrap/>
          </w:tcPr>
          <w:p w14:paraId="73E9EB83" w14:textId="55497ADF" w:rsidR="006D62CB" w:rsidRPr="00E64F78" w:rsidRDefault="006D62CB" w:rsidP="006D62CB">
            <w:pPr>
              <w:pStyle w:val="TableText"/>
              <w:jc w:val="right"/>
            </w:pPr>
            <w:r w:rsidRPr="002836DA">
              <w:t>$1,859,406</w:t>
            </w:r>
          </w:p>
        </w:tc>
        <w:tc>
          <w:tcPr>
            <w:tcW w:w="585" w:type="pct"/>
            <w:noWrap/>
          </w:tcPr>
          <w:p w14:paraId="6FFCFE77" w14:textId="7EFBAE86" w:rsidR="006D62CB" w:rsidRPr="00E64F78" w:rsidRDefault="006D62CB" w:rsidP="006D62CB">
            <w:pPr>
              <w:pStyle w:val="TableText"/>
              <w:jc w:val="right"/>
            </w:pPr>
            <w:r w:rsidRPr="002836DA">
              <w:t>$2,027,980</w:t>
            </w:r>
          </w:p>
        </w:tc>
        <w:tc>
          <w:tcPr>
            <w:tcW w:w="583" w:type="pct"/>
            <w:noWrap/>
          </w:tcPr>
          <w:p w14:paraId="57BB216D" w14:textId="18635201" w:rsidR="006D62CB" w:rsidRPr="00E64F78" w:rsidRDefault="006D62CB" w:rsidP="006D62CB">
            <w:pPr>
              <w:pStyle w:val="TableText"/>
              <w:jc w:val="right"/>
            </w:pPr>
            <w:r w:rsidRPr="002836DA">
              <w:t>$2,292,565</w:t>
            </w:r>
          </w:p>
        </w:tc>
      </w:tr>
      <w:tr w:rsidR="006D62CB" w:rsidRPr="00B0078B" w14:paraId="09E86694" w14:textId="77777777" w:rsidTr="00941722">
        <w:trPr>
          <w:cantSplit/>
          <w:trHeight w:val="300"/>
        </w:trPr>
        <w:tc>
          <w:tcPr>
            <w:tcW w:w="1492" w:type="pct"/>
            <w:noWrap/>
          </w:tcPr>
          <w:p w14:paraId="73D30126" w14:textId="77777777" w:rsidR="006D62CB" w:rsidRPr="00E64F78" w:rsidRDefault="006D62CB" w:rsidP="006D62CB">
            <w:pPr>
              <w:pStyle w:val="TableText"/>
            </w:pPr>
            <w:r w:rsidRPr="00AA01CC">
              <w:t xml:space="preserve">Exclude block retrieval with </w:t>
            </w:r>
            <w:r w:rsidRPr="00E64F78">
              <w:rPr>
                <w:i/>
              </w:rPr>
              <w:t>MET</w:t>
            </w:r>
            <w:r w:rsidRPr="00AA01CC">
              <w:t>ex14sk testing</w:t>
            </w:r>
            <w:r>
              <w:t xml:space="preserve"> </w:t>
            </w:r>
            <w:r>
              <w:br/>
              <w:t>(base case: included with each service)</w:t>
            </w:r>
          </w:p>
        </w:tc>
        <w:tc>
          <w:tcPr>
            <w:tcW w:w="585" w:type="pct"/>
            <w:noWrap/>
          </w:tcPr>
          <w:p w14:paraId="00DFF6E2" w14:textId="354DA5A3" w:rsidR="006D62CB" w:rsidRPr="00E64F78" w:rsidRDefault="006D62CB" w:rsidP="006D62CB">
            <w:pPr>
              <w:pStyle w:val="TableText"/>
              <w:jc w:val="right"/>
            </w:pPr>
            <w:r w:rsidRPr="002836DA">
              <w:t>$1,726,513</w:t>
            </w:r>
          </w:p>
        </w:tc>
        <w:tc>
          <w:tcPr>
            <w:tcW w:w="585" w:type="pct"/>
            <w:noWrap/>
          </w:tcPr>
          <w:p w14:paraId="2B0EFB1E" w14:textId="7ED83DAC" w:rsidR="006D62CB" w:rsidRPr="00E64F78" w:rsidRDefault="006D62CB" w:rsidP="006D62CB">
            <w:pPr>
              <w:pStyle w:val="TableText"/>
              <w:jc w:val="right"/>
            </w:pPr>
            <w:r w:rsidRPr="002836DA">
              <w:t>$1,813,121</w:t>
            </w:r>
          </w:p>
        </w:tc>
        <w:tc>
          <w:tcPr>
            <w:tcW w:w="585" w:type="pct"/>
            <w:noWrap/>
          </w:tcPr>
          <w:p w14:paraId="78C47E85" w14:textId="48C2D90F" w:rsidR="006D62CB" w:rsidRPr="00E64F78" w:rsidRDefault="006D62CB" w:rsidP="006D62CB">
            <w:pPr>
              <w:pStyle w:val="TableText"/>
              <w:jc w:val="right"/>
            </w:pPr>
            <w:r w:rsidRPr="002836DA">
              <w:t>$1,977,918</w:t>
            </w:r>
          </w:p>
        </w:tc>
        <w:tc>
          <w:tcPr>
            <w:tcW w:w="585" w:type="pct"/>
            <w:noWrap/>
          </w:tcPr>
          <w:p w14:paraId="2536AABE" w14:textId="760DEBBD" w:rsidR="006D62CB" w:rsidRPr="00E64F78" w:rsidRDefault="006D62CB" w:rsidP="006D62CB">
            <w:pPr>
              <w:pStyle w:val="TableText"/>
              <w:jc w:val="right"/>
            </w:pPr>
            <w:r w:rsidRPr="002836DA">
              <w:t>$2,149,843</w:t>
            </w:r>
          </w:p>
        </w:tc>
        <w:tc>
          <w:tcPr>
            <w:tcW w:w="585" w:type="pct"/>
            <w:noWrap/>
          </w:tcPr>
          <w:p w14:paraId="3D4104FA" w14:textId="0F19A2F4" w:rsidR="006D62CB" w:rsidRPr="00E64F78" w:rsidRDefault="006D62CB" w:rsidP="006D62CB">
            <w:pPr>
              <w:pStyle w:val="TableText"/>
              <w:jc w:val="right"/>
            </w:pPr>
            <w:r w:rsidRPr="002836DA">
              <w:t>$2,328,898</w:t>
            </w:r>
          </w:p>
        </w:tc>
        <w:tc>
          <w:tcPr>
            <w:tcW w:w="583" w:type="pct"/>
            <w:noWrap/>
          </w:tcPr>
          <w:p w14:paraId="0268CF61" w14:textId="658D36B1" w:rsidR="006D62CB" w:rsidRPr="00E64F78" w:rsidRDefault="006D62CB" w:rsidP="006D62CB">
            <w:pPr>
              <w:pStyle w:val="TableText"/>
              <w:jc w:val="right"/>
            </w:pPr>
            <w:r w:rsidRPr="002836DA">
              <w:t>$2,603,964</w:t>
            </w:r>
          </w:p>
        </w:tc>
      </w:tr>
      <w:tr w:rsidR="006D62CB" w:rsidRPr="00B0078B" w14:paraId="6007B30B" w14:textId="77777777" w:rsidTr="00941722">
        <w:trPr>
          <w:cantSplit/>
          <w:trHeight w:val="300"/>
        </w:trPr>
        <w:tc>
          <w:tcPr>
            <w:tcW w:w="1492" w:type="pct"/>
            <w:noWrap/>
          </w:tcPr>
          <w:p w14:paraId="33B3E0EF" w14:textId="77777777" w:rsidR="006D62CB" w:rsidRPr="00E64F78" w:rsidRDefault="006D62CB" w:rsidP="006D62CB">
            <w:pPr>
              <w:pStyle w:val="TableText"/>
            </w:pPr>
            <w:r w:rsidRPr="00E64F78">
              <w:rPr>
                <w:i/>
              </w:rPr>
              <w:t>MET</w:t>
            </w:r>
            <w:r w:rsidRPr="00AA01CC">
              <w:t>ex14sk testing at the same time as EGFR</w:t>
            </w:r>
            <w:r>
              <w:br/>
              <w:t>(base case: after in advanced patients only)</w:t>
            </w:r>
          </w:p>
        </w:tc>
        <w:tc>
          <w:tcPr>
            <w:tcW w:w="585" w:type="pct"/>
            <w:noWrap/>
          </w:tcPr>
          <w:p w14:paraId="16C8FEE5" w14:textId="75780C26" w:rsidR="006D62CB" w:rsidRPr="00E64F78" w:rsidRDefault="006D62CB" w:rsidP="006D62CB">
            <w:pPr>
              <w:pStyle w:val="TableText"/>
              <w:jc w:val="right"/>
            </w:pPr>
            <w:r w:rsidRPr="002836DA">
              <w:t>$665,229</w:t>
            </w:r>
          </w:p>
        </w:tc>
        <w:tc>
          <w:tcPr>
            <w:tcW w:w="585" w:type="pct"/>
            <w:noWrap/>
          </w:tcPr>
          <w:p w14:paraId="37E745C3" w14:textId="19770492" w:rsidR="006D62CB" w:rsidRPr="00E64F78" w:rsidRDefault="006D62CB" w:rsidP="006D62CB">
            <w:pPr>
              <w:pStyle w:val="TableText"/>
              <w:jc w:val="right"/>
            </w:pPr>
            <w:r w:rsidRPr="002836DA">
              <w:t>$698,600</w:t>
            </w:r>
          </w:p>
        </w:tc>
        <w:tc>
          <w:tcPr>
            <w:tcW w:w="585" w:type="pct"/>
            <w:noWrap/>
          </w:tcPr>
          <w:p w14:paraId="3E6C0C44" w14:textId="05F704C6" w:rsidR="006D62CB" w:rsidRPr="00E64F78" w:rsidRDefault="006D62CB" w:rsidP="006D62CB">
            <w:pPr>
              <w:pStyle w:val="TableText"/>
              <w:jc w:val="right"/>
            </w:pPr>
            <w:r w:rsidRPr="002836DA">
              <w:t>$810,158</w:t>
            </w:r>
          </w:p>
        </w:tc>
        <w:tc>
          <w:tcPr>
            <w:tcW w:w="585" w:type="pct"/>
            <w:noWrap/>
          </w:tcPr>
          <w:p w14:paraId="521F5455" w14:textId="707EC817" w:rsidR="006D62CB" w:rsidRPr="00E64F78" w:rsidRDefault="006D62CB" w:rsidP="006D62CB">
            <w:pPr>
              <w:pStyle w:val="TableText"/>
              <w:jc w:val="right"/>
            </w:pPr>
            <w:r w:rsidRPr="002836DA">
              <w:t>$928,846</w:t>
            </w:r>
          </w:p>
        </w:tc>
        <w:tc>
          <w:tcPr>
            <w:tcW w:w="585" w:type="pct"/>
            <w:noWrap/>
          </w:tcPr>
          <w:p w14:paraId="16F33399" w14:textId="4ACF01FB" w:rsidR="006D62CB" w:rsidRPr="00E64F78" w:rsidRDefault="006D62CB" w:rsidP="006D62CB">
            <w:pPr>
              <w:pStyle w:val="TableText"/>
              <w:jc w:val="right"/>
            </w:pPr>
            <w:r w:rsidRPr="002836DA">
              <w:t>$1,054,663</w:t>
            </w:r>
          </w:p>
        </w:tc>
        <w:tc>
          <w:tcPr>
            <w:tcW w:w="583" w:type="pct"/>
            <w:noWrap/>
          </w:tcPr>
          <w:p w14:paraId="0B0F2B95" w14:textId="028BDC1E" w:rsidR="006D62CB" w:rsidRPr="00E64F78" w:rsidRDefault="006D62CB" w:rsidP="006D62CB">
            <w:pPr>
              <w:pStyle w:val="TableText"/>
              <w:jc w:val="right"/>
            </w:pPr>
            <w:r w:rsidRPr="002836DA">
              <w:t>$1,276,491</w:t>
            </w:r>
          </w:p>
        </w:tc>
      </w:tr>
      <w:tr w:rsidR="006D62CB" w:rsidRPr="00B0078B" w14:paraId="3C119F43" w14:textId="77777777" w:rsidTr="00941722">
        <w:trPr>
          <w:cantSplit/>
          <w:trHeight w:val="300"/>
        </w:trPr>
        <w:tc>
          <w:tcPr>
            <w:tcW w:w="1492" w:type="pct"/>
            <w:noWrap/>
          </w:tcPr>
          <w:p w14:paraId="6F178AC5" w14:textId="5B9AD01A" w:rsidR="006D62CB" w:rsidRPr="00E64F78" w:rsidRDefault="006D62CB" w:rsidP="006D62CB">
            <w:pPr>
              <w:pStyle w:val="TableText"/>
              <w:rPr>
                <w:i/>
              </w:rPr>
            </w:pPr>
            <w:r w:rsidRPr="00F2305B">
              <w:t xml:space="preserve">Assume IHC item </w:t>
            </w:r>
            <w:r>
              <w:t xml:space="preserve">changed </w:t>
            </w:r>
            <w:r w:rsidRPr="00F2305B">
              <w:t>from 72849 to 72847</w:t>
            </w:r>
            <w:r>
              <w:t xml:space="preserve"> in all patients</w:t>
            </w:r>
            <w:r w:rsidRPr="00F2305B">
              <w:t>, cost to MBS difference $12.70</w:t>
            </w:r>
            <w:r>
              <w:br/>
              <w:t>(base case: no change)</w:t>
            </w:r>
          </w:p>
        </w:tc>
        <w:tc>
          <w:tcPr>
            <w:tcW w:w="585" w:type="pct"/>
            <w:noWrap/>
          </w:tcPr>
          <w:p w14:paraId="7533ACDC" w14:textId="4014BD3B" w:rsidR="006D62CB" w:rsidRPr="00AA01CC" w:rsidRDefault="006D62CB" w:rsidP="006D62CB">
            <w:pPr>
              <w:pStyle w:val="TableText"/>
              <w:jc w:val="right"/>
            </w:pPr>
            <w:r w:rsidRPr="000A7F1E">
              <w:t>$1,399,250</w:t>
            </w:r>
          </w:p>
        </w:tc>
        <w:tc>
          <w:tcPr>
            <w:tcW w:w="585" w:type="pct"/>
            <w:noWrap/>
          </w:tcPr>
          <w:p w14:paraId="5A7B7985" w14:textId="4BFC0D84" w:rsidR="006D62CB" w:rsidRPr="00AA01CC" w:rsidRDefault="006D62CB" w:rsidP="006D62CB">
            <w:pPr>
              <w:pStyle w:val="TableText"/>
              <w:jc w:val="right"/>
            </w:pPr>
            <w:r w:rsidRPr="000A7F1E">
              <w:t>$1,469,442</w:t>
            </w:r>
          </w:p>
        </w:tc>
        <w:tc>
          <w:tcPr>
            <w:tcW w:w="585" w:type="pct"/>
            <w:noWrap/>
          </w:tcPr>
          <w:p w14:paraId="4DF1B80F" w14:textId="412B5B3E" w:rsidR="006D62CB" w:rsidRPr="00AA01CC" w:rsidRDefault="006D62CB" w:rsidP="006D62CB">
            <w:pPr>
              <w:pStyle w:val="TableText"/>
              <w:jc w:val="right"/>
            </w:pPr>
            <w:r w:rsidRPr="000A7F1E">
              <w:t>$1,617,821</w:t>
            </w:r>
          </w:p>
        </w:tc>
        <w:tc>
          <w:tcPr>
            <w:tcW w:w="585" w:type="pct"/>
            <w:noWrap/>
          </w:tcPr>
          <w:p w14:paraId="4D2F01FF" w14:textId="4F0A7932" w:rsidR="006D62CB" w:rsidRPr="00AA01CC" w:rsidRDefault="006D62CB" w:rsidP="006D62CB">
            <w:pPr>
              <w:pStyle w:val="TableText"/>
              <w:jc w:val="right"/>
            </w:pPr>
            <w:r w:rsidRPr="000A7F1E">
              <w:t>$1,773,330</w:t>
            </w:r>
          </w:p>
        </w:tc>
        <w:tc>
          <w:tcPr>
            <w:tcW w:w="585" w:type="pct"/>
            <w:noWrap/>
          </w:tcPr>
          <w:p w14:paraId="1F6C78B8" w14:textId="2C43EE2B" w:rsidR="006D62CB" w:rsidRPr="00AA01CC" w:rsidRDefault="006D62CB" w:rsidP="006D62CB">
            <w:pPr>
              <w:pStyle w:val="TableText"/>
              <w:jc w:val="right"/>
            </w:pPr>
            <w:r w:rsidRPr="000A7F1E">
              <w:t>$1,935,968</w:t>
            </w:r>
          </w:p>
        </w:tc>
        <w:tc>
          <w:tcPr>
            <w:tcW w:w="583" w:type="pct"/>
            <w:noWrap/>
          </w:tcPr>
          <w:p w14:paraId="1F5FDF98" w14:textId="440D2E8E" w:rsidR="006D62CB" w:rsidRPr="00AA01CC" w:rsidRDefault="006D62CB" w:rsidP="006D62CB">
            <w:pPr>
              <w:pStyle w:val="TableText"/>
              <w:jc w:val="right"/>
            </w:pPr>
            <w:r w:rsidRPr="000A7F1E">
              <w:t>$2,194,618</w:t>
            </w:r>
          </w:p>
        </w:tc>
      </w:tr>
    </w:tbl>
    <w:p w14:paraId="226C8484" w14:textId="77777777" w:rsidR="004E63D6" w:rsidRDefault="004E63D6" w:rsidP="004E63D6">
      <w:pPr>
        <w:pStyle w:val="TableFooter"/>
      </w:pPr>
      <w:r>
        <w:t>Source: ‘Section 4.4’ worksheet of the ‘1721 financial impact.xlsx’ workbook accompanying the DCAR.</w:t>
      </w:r>
    </w:p>
    <w:p w14:paraId="11AF0126" w14:textId="77777777" w:rsidR="00CB2AE7" w:rsidRDefault="00CB2AE7" w:rsidP="00CB2AE7">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DNA = deoxyribose nucleic acid; </w:t>
      </w:r>
      <w:r w:rsidRPr="00A81F01">
        <w:rPr>
          <w:i/>
        </w:rPr>
        <w:t>EGFR</w:t>
      </w:r>
      <w:r>
        <w:t xml:space="preserve"> = </w:t>
      </w:r>
      <w:r w:rsidRPr="00A81F01">
        <w:t>epidermal growth factor receptor</w:t>
      </w:r>
      <w:r>
        <w:t>; FISH = f</w:t>
      </w:r>
      <w:r w:rsidRPr="003316EF">
        <w:t xml:space="preserve">luorescence </w:t>
      </w:r>
      <w:r w:rsidRPr="00956452">
        <w:rPr>
          <w:i/>
        </w:rPr>
        <w:t>in situ</w:t>
      </w:r>
      <w:r w:rsidRPr="003316EF">
        <w:t xml:space="preserve"> hybridisation</w:t>
      </w:r>
      <w:r>
        <w:t xml:space="preserve">; IHC = immunohistochemistry; </w:t>
      </w:r>
      <w:r w:rsidRPr="000B3989">
        <w:rPr>
          <w:i/>
          <w:iCs/>
        </w:rPr>
        <w:t>KRAS</w:t>
      </w:r>
      <w:r w:rsidRPr="00B52D8D">
        <w:t xml:space="preserve"> = Kirsten rat sarcoma viral oncogene homologue</w:t>
      </w:r>
      <w:r>
        <w:t xml:space="preserve">; </w:t>
      </w:r>
      <w:r w:rsidRPr="00336456">
        <w:rPr>
          <w:i/>
        </w:rPr>
        <w:t>MET</w:t>
      </w:r>
      <w:r>
        <w:t xml:space="preserve">ex14sk = MET proto-oncogene, receptor tyrosine kinase exon 14 skipping alterations; RNA = ribonucleic acid; </w:t>
      </w:r>
      <w:r w:rsidRPr="00743D1B">
        <w:rPr>
          <w:i/>
        </w:rPr>
        <w:t>ROS1</w:t>
      </w:r>
      <w:r>
        <w:t xml:space="preserve"> = ROS proto-oncogene 1.</w:t>
      </w:r>
    </w:p>
    <w:p w14:paraId="69B99649" w14:textId="77777777" w:rsidR="004E63D6" w:rsidRDefault="004E63D6" w:rsidP="004E63D6">
      <w:pPr>
        <w:pStyle w:val="TableFooter"/>
      </w:pPr>
      <w:r w:rsidRPr="00D457EE">
        <w:rPr>
          <w:vertAlign w:val="superscript"/>
        </w:rPr>
        <w:t>a</w:t>
      </w:r>
      <w:r>
        <w:t xml:space="preserve"> 31.8% </w:t>
      </w:r>
      <w:r>
        <w:rPr>
          <w:rFonts w:cstheme="minorHAnsi"/>
        </w:rPr>
        <w:t>×</w:t>
      </w:r>
      <w:r>
        <w:t xml:space="preserve"> $935.25 [75% MBS benefit] +68.2% </w:t>
      </w:r>
      <w:r>
        <w:rPr>
          <w:rFonts w:cstheme="minorHAnsi"/>
        </w:rPr>
        <w:t>×</w:t>
      </w:r>
      <w:r>
        <w:t xml:space="preserve"> $1,159.10 [85% MBS benefit]</w:t>
      </w:r>
    </w:p>
    <w:p w14:paraId="0FC7577F" w14:textId="77777777" w:rsidR="004E63D6" w:rsidRDefault="004E63D6" w:rsidP="004E63D6">
      <w:pPr>
        <w:pStyle w:val="TableFooter"/>
      </w:pPr>
      <w:r w:rsidRPr="00D457EE">
        <w:rPr>
          <w:vertAlign w:val="superscript"/>
        </w:rPr>
        <w:t>b</w:t>
      </w:r>
      <w:r>
        <w:t xml:space="preserve"> 31.8% </w:t>
      </w:r>
      <w:r>
        <w:rPr>
          <w:rFonts w:cstheme="minorHAnsi"/>
        </w:rPr>
        <w:t>×</w:t>
      </w:r>
      <w:r>
        <w:t xml:space="preserve"> $511.80 [75% MBS benefit] +68.2% </w:t>
      </w:r>
      <w:r>
        <w:rPr>
          <w:rFonts w:cstheme="minorHAnsi"/>
        </w:rPr>
        <w:t>×</w:t>
      </w:r>
      <w:r>
        <w:t xml:space="preserve"> $594.45 [85% MBS benefit]</w:t>
      </w:r>
    </w:p>
    <w:p w14:paraId="6D7468F8" w14:textId="00ED4B0A" w:rsidR="004E63D6" w:rsidRPr="003251C2" w:rsidRDefault="004E63D6" w:rsidP="004E63D6">
      <w:pPr>
        <w:pStyle w:val="NormalBeforeBullet"/>
      </w:pPr>
      <w:r>
        <w:t xml:space="preserve">The net financial impact estimates were most sensitive to the distribution of use of combined or sequential small gene panels and whether separate RNA panels are allowed in those found to have </w:t>
      </w:r>
      <w:r w:rsidRPr="00E64F78">
        <w:rPr>
          <w:i/>
        </w:rPr>
        <w:t>KRAS</w:t>
      </w:r>
      <w:r>
        <w:t xml:space="preserve"> or </w:t>
      </w:r>
      <w:r w:rsidRPr="00E64F78">
        <w:rPr>
          <w:i/>
        </w:rPr>
        <w:t>BRAF</w:t>
      </w:r>
      <w:r w:rsidR="00A20449">
        <w:t xml:space="preserve"> activating variants. If there is substantial growth in the market due to the </w:t>
      </w:r>
      <w:r w:rsidR="00A20449">
        <w:lastRenderedPageBreak/>
        <w:t>listing of small gene panels (e.g. if some testing currently is being funded through the state system, and this shifts to the MBS), then the net impact to the MBS may be higher. However the extent of this shift is unknown.</w:t>
      </w:r>
    </w:p>
    <w:p w14:paraId="4B8DB370" w14:textId="77777777" w:rsidR="006144F6" w:rsidRPr="00CE28E3" w:rsidRDefault="006144F6" w:rsidP="000E678B">
      <w:r w:rsidRPr="00CE28E3">
        <w:br w:type="page"/>
      </w:r>
    </w:p>
    <w:p w14:paraId="3C15A5ED" w14:textId="47E8799E" w:rsidR="009B6B23" w:rsidRDefault="00505E19" w:rsidP="00505E19">
      <w:pPr>
        <w:pStyle w:val="Heading1"/>
        <w:numPr>
          <w:ilvl w:val="0"/>
          <w:numId w:val="0"/>
        </w:numPr>
        <w:ind w:left="786" w:hanging="786"/>
      </w:pPr>
      <w:bookmarkStart w:id="241" w:name="_Ref106802859"/>
      <w:bookmarkStart w:id="242" w:name="_Toc148531191"/>
      <w:r w:rsidRPr="00CE28E3">
        <w:lastRenderedPageBreak/>
        <w:t>Section 5</w:t>
      </w:r>
      <w:r w:rsidRPr="00CE28E3">
        <w:tab/>
      </w:r>
      <w:r w:rsidR="009B6B23" w:rsidRPr="00CE28E3">
        <w:t>Other relevant information</w:t>
      </w:r>
      <w:bookmarkEnd w:id="241"/>
      <w:bookmarkEnd w:id="242"/>
    </w:p>
    <w:p w14:paraId="5148EF25" w14:textId="45380B51" w:rsidR="004C76C5" w:rsidRPr="00152957" w:rsidRDefault="00152957" w:rsidP="00152957">
      <w:pPr>
        <w:pStyle w:val="NormalBeforeBullet"/>
      </w:pPr>
      <w:r w:rsidRPr="00152957">
        <w:t>Redacted</w:t>
      </w:r>
      <w:r>
        <w:t>.</w:t>
      </w:r>
    </w:p>
    <w:p w14:paraId="38B2E957" w14:textId="2CE110A9" w:rsidR="00505E19" w:rsidRPr="003251C2" w:rsidRDefault="00505E19" w:rsidP="003251C2">
      <w:pPr>
        <w:rPr>
          <w:color w:val="538135" w:themeColor="accent6" w:themeShade="BF"/>
        </w:rPr>
      </w:pPr>
      <w:r w:rsidRPr="003251C2">
        <w:rPr>
          <w:color w:val="538135" w:themeColor="accent6" w:themeShade="BF"/>
        </w:rPr>
        <w:br w:type="page"/>
      </w:r>
    </w:p>
    <w:p w14:paraId="36306CFF" w14:textId="5E1E514B" w:rsidR="00505E19" w:rsidRPr="00CE28E3" w:rsidRDefault="00505E19" w:rsidP="00505E19">
      <w:pPr>
        <w:pStyle w:val="Heading1"/>
        <w:numPr>
          <w:ilvl w:val="0"/>
          <w:numId w:val="0"/>
        </w:numPr>
        <w:ind w:left="786" w:hanging="786"/>
      </w:pPr>
      <w:bookmarkStart w:id="243" w:name="_Toc148531192"/>
      <w:r w:rsidRPr="00CE28E3">
        <w:lastRenderedPageBreak/>
        <w:t>References</w:t>
      </w:r>
      <w:bookmarkEnd w:id="243"/>
    </w:p>
    <w:p w14:paraId="15C2FFC8" w14:textId="419E6FC2" w:rsidR="006D4612" w:rsidRPr="006D4612" w:rsidRDefault="00442488" w:rsidP="00956452">
      <w:pPr>
        <w:pStyle w:val="EndNoteBibliography"/>
      </w:pPr>
      <w:r>
        <w:fldChar w:fldCharType="begin"/>
      </w:r>
      <w:r>
        <w:instrText xml:space="preserve"> ADDIN EN.REFLIST </w:instrText>
      </w:r>
      <w:r>
        <w:fldChar w:fldCharType="separate"/>
      </w:r>
      <w:r w:rsidR="006D4612" w:rsidRPr="006D4612">
        <w:t xml:space="preserve">AIHW 2021, </w:t>
      </w:r>
      <w:r w:rsidR="006D4612" w:rsidRPr="006D4612">
        <w:rPr>
          <w:i/>
        </w:rPr>
        <w:t xml:space="preserve">Cancer summary data visualisation </w:t>
      </w:r>
      <w:r w:rsidR="006D4612" w:rsidRPr="006D4612">
        <w:t>viewed 17th July 2022, &lt;https://www.aihw.gov.au/reports/cancer/cancer-data-in-australia/contents/cancer-summary-data-visualisation&gt;.</w:t>
      </w:r>
    </w:p>
    <w:p w14:paraId="5F4E08C9" w14:textId="763231D3" w:rsidR="006D4612" w:rsidRPr="006D4612" w:rsidRDefault="006D4612" w:rsidP="00956452">
      <w:pPr>
        <w:pStyle w:val="EndNoteBibliography"/>
      </w:pPr>
      <w:r w:rsidRPr="006D4612">
        <w:t xml:space="preserve">Ali, SM, Hensing, T, Schrock, AB, Allen, J, Sanford, E, Gowen, K, Kulkarni, A, He, J, Suh, JH, Lipson, D, Elvin, JA, Yelensky, R, Chalmers, Z, Chmielecki, J, Peled, N, Klempner, SJ, Firozvi, K, Frampton, GM, Molina, JR, Menon, S, Brahmer, JR, MacMahon, H, Nowak, J, Ou, SH, Zauderer, M, Ladanyi, M, Zakowski, M, Fischbach, N, Ross, JS, Stephens, PJ, Miller, VA, Wakelee, H, Ganesan, S &amp; Salgia, R 2016, 'Comprehensive Genomic Profiling Identifies a Subset of Crizotinib-Responsive ALK-Rearranged Non-Small Cell Lung Cancer Not Detected by Fluorescence In Situ Hybridization', </w:t>
      </w:r>
      <w:r w:rsidRPr="006D4612">
        <w:rPr>
          <w:i/>
        </w:rPr>
        <w:t>Oncologist</w:t>
      </w:r>
      <w:r w:rsidRPr="006D4612">
        <w:t>, vol. 21, no. 6, Jun, pp. 762-770.</w:t>
      </w:r>
    </w:p>
    <w:p w14:paraId="2C467EFC" w14:textId="7EAE6F5F" w:rsidR="006D4612" w:rsidRPr="006D4612" w:rsidRDefault="006D4612" w:rsidP="00956452">
      <w:pPr>
        <w:pStyle w:val="EndNoteBibliography"/>
      </w:pPr>
      <w:r w:rsidRPr="006D4612">
        <w:t xml:space="preserve">Ariyasu, R, Uchibori, K, Ninomiya, H, Ogusu, S, Tsugitomi, R, Manabe, R, Sakamaoto, H, Tozuka, T, Yoshida, H, Amino, Y, Kitazono, S, Yanagitani, N, Takeuchi, K &amp; Nishio, M 2021, 'Feasibility of next-generation sequencing test for patients with advanced NSCLC in clinical practice', </w:t>
      </w:r>
      <w:r w:rsidRPr="006D4612">
        <w:rPr>
          <w:i/>
        </w:rPr>
        <w:t>Thoracic Cancer</w:t>
      </w:r>
      <w:r w:rsidRPr="006D4612">
        <w:t>, vol. 12(4), February, pp. 504-511.</w:t>
      </w:r>
    </w:p>
    <w:p w14:paraId="324EA7C1" w14:textId="04F39C4E" w:rsidR="006D4612" w:rsidRPr="006D4612" w:rsidRDefault="006D4612" w:rsidP="00956452">
      <w:pPr>
        <w:pStyle w:val="EndNoteBibliography"/>
      </w:pPr>
      <w:r w:rsidRPr="006D4612">
        <w:t xml:space="preserve">Batra, U, Nathany, S, Sharma, M, Pasricha, S, Bansal, A, Jain, P &amp; Mehta, A 2021, 'IHC versus FISH versus NGS to detect ALK gene rearrangement in NSCLC: All questions answered?', </w:t>
      </w:r>
      <w:r w:rsidRPr="006D4612">
        <w:rPr>
          <w:i/>
        </w:rPr>
        <w:t>Journal of Clinical Pathology</w:t>
      </w:r>
      <w:r w:rsidRPr="006D4612">
        <w:t>, vol. (no pagination), no. jclinpath-2021-207408.</w:t>
      </w:r>
    </w:p>
    <w:p w14:paraId="04F70F22" w14:textId="10C01B81" w:rsidR="006D4612" w:rsidRPr="006D4612" w:rsidRDefault="006D4612" w:rsidP="00956452">
      <w:pPr>
        <w:pStyle w:val="EndNoteBibliography"/>
      </w:pPr>
      <w:r w:rsidRPr="006D4612">
        <w:t xml:space="preserve">Canterbury, CR, Fernandes, H, Crapanzano, JP, Murty, VV, Mansukhani, MM, Shu, CA, Szabolcs, M &amp; Saqi, A 2021, 'ALK Gene Rearrangements in Lung Adenocarcinomas: Concordance of Immunohistochemistry, Fluorescence In Situ Hybridization, RNA In Situ Hybridization, and RNA Next-Generation Sequencing Testing', </w:t>
      </w:r>
      <w:r w:rsidRPr="006D4612">
        <w:rPr>
          <w:i/>
        </w:rPr>
        <w:t>JTO Clin Res Rep</w:t>
      </w:r>
      <w:r w:rsidRPr="006D4612">
        <w:t>, vol. 2, no. 10, pp. 100223-100223.</w:t>
      </w:r>
    </w:p>
    <w:p w14:paraId="3AA83BC5" w14:textId="34EBDC0F" w:rsidR="006D4612" w:rsidRPr="006D4612" w:rsidRDefault="006D4612" w:rsidP="00956452">
      <w:pPr>
        <w:pStyle w:val="EndNoteBibliography"/>
      </w:pPr>
      <w:r w:rsidRPr="006D4612">
        <w:t>Chang, WC, Kim, HK &amp; Shin, BK 2020, 'Clinicopathological features and diagnostic methods of ALK fusion</w:t>
      </w:r>
      <w:r w:rsidRPr="006D4612">
        <w:rPr>
          <w:rFonts w:ascii="Cambria Math" w:hAnsi="Cambria Math" w:cs="Cambria Math"/>
        </w:rPr>
        <w:t>‑</w:t>
      </w:r>
      <w:r w:rsidRPr="006D4612">
        <w:t>positive non</w:t>
      </w:r>
      <w:r w:rsidRPr="006D4612">
        <w:rPr>
          <w:rFonts w:ascii="Cambria Math" w:hAnsi="Cambria Math" w:cs="Cambria Math"/>
        </w:rPr>
        <w:t>‑</w:t>
      </w:r>
      <w:r w:rsidRPr="006D4612">
        <w:t xml:space="preserve">small cell lung cancer in Korea', </w:t>
      </w:r>
      <w:r w:rsidRPr="006D4612">
        <w:rPr>
          <w:i/>
        </w:rPr>
        <w:t>Oncol Rep</w:t>
      </w:r>
      <w:r w:rsidRPr="006D4612">
        <w:t>, vol. 43, no. 1, Jan, pp. 218-228.</w:t>
      </w:r>
    </w:p>
    <w:p w14:paraId="31E194B2" w14:textId="57660E21" w:rsidR="006D4612" w:rsidRPr="006D4612" w:rsidRDefault="006D4612" w:rsidP="00956452">
      <w:pPr>
        <w:pStyle w:val="EndNoteBibliography"/>
      </w:pPr>
      <w:r w:rsidRPr="006D4612">
        <w:t xml:space="preserve">Choi, YJ, Choi, JY, Kim, JW, Lim, AR, Lee, Y, Chang, WJ, Lee, S, Sung, JS, Chung, HJ, Lee, JW, Kang, EJ, Kim, JS, Lim, T, Kim, HS, Kim, YJ, Ahn, MS, Kim, YS, Park, JH, Lim, S, Cho, SS, Cho, JH, Shin, SW, Park, KH &amp; Kim, YH 2022, 'Comparison of the Data of a Next-Generation Sequencing Panel from K-MASTER Project with That of Orthogonal Methods for Detecting Targetable Genetic Alterations', </w:t>
      </w:r>
      <w:r w:rsidRPr="006D4612">
        <w:rPr>
          <w:i/>
        </w:rPr>
        <w:t>Cancer Res Treat</w:t>
      </w:r>
      <w:r w:rsidRPr="006D4612">
        <w:t>, vol. 54, no. 1, Jan, pp. 30-39.</w:t>
      </w:r>
    </w:p>
    <w:p w14:paraId="6D5E183A" w14:textId="0138EA4C" w:rsidR="006D4612" w:rsidRPr="006D4612" w:rsidRDefault="006D4612" w:rsidP="00956452">
      <w:pPr>
        <w:pStyle w:val="EndNoteBibliography"/>
      </w:pPr>
      <w:r w:rsidRPr="006D4612">
        <w:t xml:space="preserve">Cui, W, Franchini, F, Alexander, M, Officer, A, Wong, HL, M, IJ, Desai, J &amp; Solomon, BJ 2020, 'Real world outcomes in KRAS G12C mutation positive non-small cell lung cancer', </w:t>
      </w:r>
      <w:r w:rsidRPr="006D4612">
        <w:rPr>
          <w:i/>
        </w:rPr>
        <w:t>Lung Cancer</w:t>
      </w:r>
      <w:r w:rsidRPr="006D4612">
        <w:t>, vol. 146, Aug, pp. 310-317.</w:t>
      </w:r>
    </w:p>
    <w:p w14:paraId="2359F3E3" w14:textId="7F812512" w:rsidR="006D4612" w:rsidRPr="006D4612" w:rsidRDefault="006D4612" w:rsidP="00956452">
      <w:pPr>
        <w:pStyle w:val="EndNoteBibliography"/>
      </w:pPr>
      <w:r w:rsidRPr="006D4612">
        <w:t xml:space="preserve">D'Haene, N, Le Mercier, M, De Neve, N, Blanchard, O, Delaunoy, M, El Housni, H, Dessars, B, Heimann, P, Remmelink, M, Demetter, P, Tejpar, S &amp; Salmon, I 2015, 'Clinical validation of targeted next generation sequencing for colon and lung cancers', </w:t>
      </w:r>
      <w:r w:rsidRPr="006D4612">
        <w:rPr>
          <w:i/>
        </w:rPr>
        <w:t>PLoS One</w:t>
      </w:r>
      <w:r w:rsidRPr="006D4612">
        <w:t>, vol. 10, 2015.</w:t>
      </w:r>
    </w:p>
    <w:p w14:paraId="00310301" w14:textId="18781DFA" w:rsidR="006D4612" w:rsidRPr="006D4612" w:rsidRDefault="006D4612" w:rsidP="00956452">
      <w:pPr>
        <w:pStyle w:val="EndNoteBibliography"/>
      </w:pPr>
      <w:r w:rsidRPr="006D4612">
        <w:t xml:space="preserve">Dall'Olio, FG, Conci, N, Rossi, G, Fiorentino, M, De Giglio, A, Grilli, G, Altimari, A, Gruppioni, E, Filippini, DM, Di Federico, A, Nuvola, G &amp; Ardizzoni, A 2020, 'Comparison of Sequential Testing and Next Generation Sequencing in advanced Lung Adenocarcinoma patients - A single centre experience', </w:t>
      </w:r>
      <w:r w:rsidRPr="006D4612">
        <w:rPr>
          <w:i/>
        </w:rPr>
        <w:t>Lung Cancer</w:t>
      </w:r>
      <w:r w:rsidRPr="006D4612">
        <w:t>, vol. 149, Nov, pp. 5-9.</w:t>
      </w:r>
    </w:p>
    <w:p w14:paraId="7A07D419" w14:textId="5322B731" w:rsidR="006D4612" w:rsidRPr="006D4612" w:rsidRDefault="006D4612" w:rsidP="00956452">
      <w:pPr>
        <w:pStyle w:val="EndNoteBibliography"/>
      </w:pPr>
      <w:r w:rsidRPr="006D4612">
        <w:t xml:space="preserve">de Alava, E, Pareja, MJ, Carcedo, D, Arrabal, N, García, JF &amp; Bernabé-Caro, R 2022, 'Cost-effectiveness analysis of molecular diagnosis by next-generation sequencing versus sequential single testing in metastatic non-small cell lung cancer patients from a south Spanish hospital perspective', </w:t>
      </w:r>
      <w:r w:rsidRPr="006D4612">
        <w:rPr>
          <w:i/>
        </w:rPr>
        <w:t>Expert Rev Pharmacoecon Outcomes Res</w:t>
      </w:r>
      <w:r w:rsidRPr="006D4612">
        <w:t>, May 25, pp. 1-10.</w:t>
      </w:r>
    </w:p>
    <w:p w14:paraId="5306A555" w14:textId="75DAB58E" w:rsidR="006D4612" w:rsidRPr="006D4612" w:rsidRDefault="006D4612" w:rsidP="00956452">
      <w:pPr>
        <w:pStyle w:val="EndNoteBibliography"/>
      </w:pPr>
      <w:r w:rsidRPr="006D4612">
        <w:lastRenderedPageBreak/>
        <w:t xml:space="preserve">de Biase, D, Visani, M, Malapelle, U, Simonato, F, Cesari, V, Bellevicine, C, Pession, A, Troncone, G, Fassina, A &amp; Tallini, G 2013, 'Next-Generation Sequencing of Lung Cancer EGFR Exons 18-21 Allows Effective Molecular Diagnosis of Small Routine Samples (Cytology and Biopsy)', </w:t>
      </w:r>
      <w:r w:rsidRPr="006D4612">
        <w:rPr>
          <w:i/>
        </w:rPr>
        <w:t>PLoS One</w:t>
      </w:r>
      <w:r w:rsidRPr="006D4612">
        <w:t>, vol. 8, no. 12, pp. e83607-NA.</w:t>
      </w:r>
    </w:p>
    <w:p w14:paraId="448E9E56" w14:textId="6273F1DC" w:rsidR="006D4612" w:rsidRPr="006D4612" w:rsidRDefault="006D4612" w:rsidP="00956452">
      <w:pPr>
        <w:pStyle w:val="EndNoteBibliography"/>
      </w:pPr>
      <w:r w:rsidRPr="006D4612">
        <w:t xml:space="preserve">DiBardino, DM, Rawson, DW, Saqi, A, Heymann, JJ, Pagan, CA &amp; Bulman, WA 2017, 'Next-generation sequencing of non-small cell lung cancer using a customized, targeted sequencing panel: Emphasis on small biopsy and cytology', </w:t>
      </w:r>
      <w:r w:rsidRPr="006D4612">
        <w:rPr>
          <w:i/>
        </w:rPr>
        <w:t>CytoJournal</w:t>
      </w:r>
      <w:r w:rsidRPr="006D4612">
        <w:t>, vol. 14, p. 7.</w:t>
      </w:r>
    </w:p>
    <w:p w14:paraId="1FC1794C" w14:textId="151266B5" w:rsidR="006D4612" w:rsidRPr="006D4612" w:rsidRDefault="006D4612" w:rsidP="00956452">
      <w:pPr>
        <w:pStyle w:val="EndNoteBibliography"/>
      </w:pPr>
      <w:r w:rsidRPr="006D4612">
        <w:t xml:space="preserve">DiBardino, DM, Saqi, A, Elvin, JA, Greenbowe, J, Suh, JH, Miller, VA, Ali, SM, Stoopler, M &amp; Bulman, WA 2016, 'Yield and Clinical Utility of Next-Generation Sequencing in Selected Patients With Lung Adenocarcinoma', </w:t>
      </w:r>
      <w:r w:rsidRPr="006D4612">
        <w:rPr>
          <w:i/>
        </w:rPr>
        <w:t>Clinical Lung Cancer</w:t>
      </w:r>
      <w:r w:rsidRPr="006D4612">
        <w:t>, vol. 17, no. 6, Nov, pp. 517-+.</w:t>
      </w:r>
    </w:p>
    <w:p w14:paraId="285468DE" w14:textId="7DFAE2CD" w:rsidR="006D4612" w:rsidRPr="006D4612" w:rsidRDefault="006D4612" w:rsidP="00956452">
      <w:pPr>
        <w:pStyle w:val="EndNoteBibliography"/>
      </w:pPr>
      <w:r w:rsidRPr="006D4612">
        <w:t xml:space="preserve">Dong, OM, Poonnen, PJ, Winski, D, Reed, SD, Vashistha, V, Bates, J, Kelley, MJ &amp; Voora, D 2022, 'Cost-Effectiveness of Tumor Genomic Profiling to Guide First-Line Targeted Therapy Selection in Patients With Metastatic Lung Adenocarcinoma', </w:t>
      </w:r>
      <w:r w:rsidRPr="006D4612">
        <w:rPr>
          <w:i/>
        </w:rPr>
        <w:t>Value in Health</w:t>
      </w:r>
      <w:r w:rsidRPr="006D4612">
        <w:t>, vol. 25(4), April, pp. 582-594.</w:t>
      </w:r>
    </w:p>
    <w:p w14:paraId="3578CEF7" w14:textId="1CDBC364" w:rsidR="006D4612" w:rsidRPr="006D4612" w:rsidRDefault="006D4612" w:rsidP="00956452">
      <w:pPr>
        <w:pStyle w:val="EndNoteBibliography"/>
      </w:pPr>
      <w:r w:rsidRPr="006D4612">
        <w:t xml:space="preserve">Ettinger, DS, Wood, DE, Aisner, DL, Akerley, W, Bauman, JR, Bharat, A, Bruno, DS, Chang, JY, Chirieac, LR, D'Amico, TA, Dilling, TJ, Dowell, J, Gettinger, S, Gubens, MA, Hegde, A, Hennon, M, Lackner, RP, Lanuti, M, Leal, TA, Lin, J, Loo, BW, Jr., Lovly, CM, Martins, RG, Massarelli, E, Morgensztern, D, Ng, T, Otterson, GA, Patel, SP, Riely, GJ, Schild, SE, Shapiro, TA, Singh, AP, Stevenson, J, Tam, A, Yanagawa, J, Yang, SC, Gregory, KM &amp; Hughes, M 2021, 'NCCN Guidelines Insights: Non-Small Cell Lung Cancer, Version 2.2021', </w:t>
      </w:r>
      <w:r w:rsidRPr="006D4612">
        <w:rPr>
          <w:i/>
        </w:rPr>
        <w:t>J Natl Compr Canc Netw</w:t>
      </w:r>
      <w:r w:rsidRPr="006D4612">
        <w:t>, vol. 19, no. 3, Mar 2, pp. 254-266.</w:t>
      </w:r>
    </w:p>
    <w:p w14:paraId="2A510FAD" w14:textId="35E3A2FA" w:rsidR="006D4612" w:rsidRPr="006D4612" w:rsidRDefault="006D4612" w:rsidP="00956452">
      <w:pPr>
        <w:pStyle w:val="EndNoteBibliography"/>
      </w:pPr>
      <w:r w:rsidRPr="006D4612">
        <w:t xml:space="preserve">Fernandes, MGO, Jacob, M, Martins, N, Moura, CS, Guimarães, S, Reis, JP, Justino, A, Pina, MJ, Cirnes, L, Sousa, C, Pinto, J, Marques, JA, Machado, JC, Hespanhol, V &amp; Costa, JL 2019, 'Targeted Gene Next-Generation Sequencing Panel in Patients with Advanced Lung Adenocarcinoma: Paving the Way for Clinical Implementation', </w:t>
      </w:r>
      <w:r w:rsidRPr="006D4612">
        <w:rPr>
          <w:i/>
        </w:rPr>
        <w:t>Cancers</w:t>
      </w:r>
      <w:r w:rsidRPr="006D4612">
        <w:t>, vol. 11, no. 9, pp. 1229-NA.</w:t>
      </w:r>
    </w:p>
    <w:p w14:paraId="265D0A95" w14:textId="78F02DE1" w:rsidR="006D4612" w:rsidRPr="006D4612" w:rsidRDefault="006D4612" w:rsidP="00956452">
      <w:pPr>
        <w:pStyle w:val="EndNoteBibliography"/>
      </w:pPr>
      <w:r w:rsidRPr="006D4612">
        <w:t xml:space="preserve">Friedlaender, A, Tsantoulis, P, Chevallier, M, De Vito, C &amp; Addeo, A 2021, 'The Impact of Variant Allele Frequency in EGFR Mutated NSCLC Patients on Targeted Therapy', </w:t>
      </w:r>
      <w:r w:rsidRPr="006D4612">
        <w:rPr>
          <w:i/>
        </w:rPr>
        <w:t>Front Oncol</w:t>
      </w:r>
      <w:r w:rsidRPr="006D4612">
        <w:t>, vol. 11, p. 644472.</w:t>
      </w:r>
    </w:p>
    <w:p w14:paraId="0A2589AA" w14:textId="311D0182" w:rsidR="006D4612" w:rsidRPr="006D4612" w:rsidRDefault="006D4612" w:rsidP="00956452">
      <w:pPr>
        <w:pStyle w:val="EndNoteBibliography"/>
      </w:pPr>
      <w:r w:rsidRPr="006D4612">
        <w:t xml:space="preserve">Giardina, T, Robinson, C, Grieu-Iacopetta, F, Millward, M, Iacopetta, B, Spagnolo, DV &amp; Amanuel, B 2018, 'Implementation of next generation sequencing technology for somatic mutation detection in routine laboratory practice', </w:t>
      </w:r>
      <w:r w:rsidRPr="006D4612">
        <w:rPr>
          <w:i/>
        </w:rPr>
        <w:t>Pathology</w:t>
      </w:r>
      <w:r w:rsidRPr="006D4612">
        <w:t>, vol. 50, no. 4, pp. 389-401.</w:t>
      </w:r>
    </w:p>
    <w:p w14:paraId="65390591" w14:textId="40CF99F0" w:rsidR="006D4612" w:rsidRPr="006D4612" w:rsidRDefault="006D4612" w:rsidP="00956452">
      <w:pPr>
        <w:pStyle w:val="EndNoteBibliography"/>
      </w:pPr>
      <w:r w:rsidRPr="006D4612">
        <w:t xml:space="preserve">Gieszer, B, Megyesfalvi, Z, Dulai, V, Papay, J, Kovalszky, I, Timar, J, Fillinger, J, Harko, T, Pipek, O, Teglasi, V, Regos, E, Papp, G, Szallasi, Z, Laszlo, V, Renyi-Vamos, F, Galffy, G, Bodor, C, Dome, B &amp; Moldvay, J 2021, 'EGFR variant allele frequency predicts EGFR-TKI efficacy in lung adenocarcinoma: a multicenter study', </w:t>
      </w:r>
      <w:r w:rsidRPr="006D4612">
        <w:rPr>
          <w:i/>
        </w:rPr>
        <w:t>Transl Lung Cancer Res</w:t>
      </w:r>
      <w:r w:rsidRPr="006D4612">
        <w:t>, vol. 10, no. 2, Feb, pp. 662-674.</w:t>
      </w:r>
    </w:p>
    <w:p w14:paraId="69FBF775" w14:textId="7751717D" w:rsidR="006D4612" w:rsidRPr="006D4612" w:rsidRDefault="006D4612" w:rsidP="00956452">
      <w:pPr>
        <w:pStyle w:val="EndNoteBibliography"/>
      </w:pPr>
      <w:r w:rsidRPr="006D4612">
        <w:t xml:space="preserve">Griesinger, F, Eberhardt, W, Nusch, A, Reiser, M, Zahn, MO, Maintz, C, Bernhardt, C, Losem, C, Stenzinger, A, Heukamp, LC, Buttner, R, Marschner, N, Janicke, M, Fleitz, A, Spring, L, Sahlmann, J, Karatas, A, Hipper, A, Weichert, W, Heilmann, M, Sadjadian, P, Gleiber, W, Grah, C, Waller, CF, Reck, M, Rittmeyer, A, Christopoulos, P, Sebastian, M, Thomas, M &amp; Group, CR 2021, 'Biomarker testing in non-small cell lung cancer in routine care: Analysis of the first 3,717 patients in the German prospective, observational, nation-wide CRISP Registry (AIO-TRK-0315)', </w:t>
      </w:r>
      <w:r w:rsidRPr="006D4612">
        <w:rPr>
          <w:i/>
        </w:rPr>
        <w:t>Lung Cancer</w:t>
      </w:r>
      <w:r w:rsidRPr="006D4612">
        <w:t>, vol. 152, Feb, pp. 174-184.</w:t>
      </w:r>
    </w:p>
    <w:p w14:paraId="398310AE" w14:textId="0A7BB86E" w:rsidR="006D4612" w:rsidRPr="006D4612" w:rsidRDefault="006D4612" w:rsidP="00956452">
      <w:pPr>
        <w:pStyle w:val="EndNoteBibliography"/>
      </w:pPr>
      <w:r w:rsidRPr="006D4612">
        <w:t xml:space="preserve">Gutierrez, ME, Choi, K, Lanman, RB, Licitra, EJ, Skrzypczak, SM, Pe Benito, R, Wu, T, Arunajadai, S, Kaur, S, Harper, H, Pecora, AL, Schultz, EV &amp; Goldberg, SL 2017, 'Genomic Profiling of Advanced Non-Small Cell Lung Cancer in Community Settings: Gaps and Opportunities', </w:t>
      </w:r>
      <w:r w:rsidRPr="006D4612">
        <w:rPr>
          <w:i/>
        </w:rPr>
        <w:t>Clin Lung Cancer</w:t>
      </w:r>
      <w:r w:rsidRPr="006D4612">
        <w:t>, vol. 18, no. 6, Nov, pp. 651-659.</w:t>
      </w:r>
    </w:p>
    <w:p w14:paraId="2DB04288" w14:textId="475F1CB7" w:rsidR="006D4612" w:rsidRPr="006D4612" w:rsidRDefault="006D4612" w:rsidP="00956452">
      <w:pPr>
        <w:pStyle w:val="EndNoteBibliography"/>
      </w:pPr>
      <w:r w:rsidRPr="006D4612">
        <w:t xml:space="preserve">Haddaway, NR, Grainger, MJ &amp; Gray, CT, 2021, </w:t>
      </w:r>
      <w:r w:rsidRPr="006D4612">
        <w:rPr>
          <w:i/>
        </w:rPr>
        <w:t>citationchaser: an R package for forward and backward citations chasing in academic searching</w:t>
      </w:r>
      <w:r w:rsidRPr="006D4612">
        <w:t>, ver. 0.0.3, &lt;https://github.com/nealhaddaway/citationchaser&gt;.</w:t>
      </w:r>
    </w:p>
    <w:p w14:paraId="03C8E650" w14:textId="26DD80A2" w:rsidR="006D4612" w:rsidRPr="006D4612" w:rsidRDefault="006D4612" w:rsidP="00956452">
      <w:pPr>
        <w:pStyle w:val="EndNoteBibliography"/>
      </w:pPr>
      <w:r w:rsidRPr="006D4612">
        <w:lastRenderedPageBreak/>
        <w:t xml:space="preserve">Hall, H, Tocock, A, Burdett, S, Fisher, D, Ricketts, WM, Robson, J, Round, T, Gorolay, S, MacArthur, E, Chung, D, Janes, SM, Peake, MD &amp; Navani, N 2021, 'Association between time-to-treatment and outcomes in non-small cell lung cancer: a systematic review', </w:t>
      </w:r>
      <w:r w:rsidRPr="006D4612">
        <w:rPr>
          <w:i/>
        </w:rPr>
        <w:t>Thorax</w:t>
      </w:r>
      <w:r w:rsidRPr="006D4612">
        <w:t>, Aug 17.</w:t>
      </w:r>
    </w:p>
    <w:p w14:paraId="1013A34B" w14:textId="1A9C8CC3" w:rsidR="006D4612" w:rsidRPr="006D4612" w:rsidRDefault="006D4612" w:rsidP="00956452">
      <w:pPr>
        <w:pStyle w:val="EndNoteBibliography"/>
      </w:pPr>
      <w:r w:rsidRPr="006D4612">
        <w:t xml:space="preserve">Hamblin, A, Wordsworth, S, Fermont, JM, Page, S, Kaur, K, Camps, C, Kaisaki, PJ, Gupta, A, Talbot, D, Middleton, MR, Henderson, S, Cutts, A, Vavoulis, DV, Housby, N, Tomlinson, I, Taylor, JC &amp; Schuh, A 2017, 'Clinical applicability and cost of a 46-gene panel for genomic analysis of solid tumours: Retrospective validation and prospective audit in the UK National Health Service', </w:t>
      </w:r>
      <w:r w:rsidRPr="006D4612">
        <w:rPr>
          <w:i/>
        </w:rPr>
        <w:t>PLoS medicine</w:t>
      </w:r>
      <w:r w:rsidRPr="006D4612">
        <w:t>, vol. 14, no. 2, pp. e1002230-NA.</w:t>
      </w:r>
    </w:p>
    <w:p w14:paraId="1B58B9EC" w14:textId="02D0DA61" w:rsidR="006D4612" w:rsidRPr="006D4612" w:rsidRDefault="006D4612" w:rsidP="00956452">
      <w:pPr>
        <w:pStyle w:val="EndNoteBibliography"/>
      </w:pPr>
      <w:r w:rsidRPr="006D4612">
        <w:t xml:space="preserve">Hinrichs, JWJ, van Blokland, WTM, Moons, MJ, Radersma, RD, Loon, JHR-v, de Voijs, CMA, Rappel, SB, Koudijs, MJ, Besselink, N, Willems, SM &amp; de Weger, RA 2015, 'Comparison of Next-Generation Sequencing and Mutation-Specific Platforms in Clinical Practice', </w:t>
      </w:r>
      <w:r w:rsidRPr="006D4612">
        <w:rPr>
          <w:i/>
        </w:rPr>
        <w:t>American journal of clinical pathology</w:t>
      </w:r>
      <w:r w:rsidRPr="006D4612">
        <w:t>, vol. 143, no. 4, pp. 573-578.</w:t>
      </w:r>
    </w:p>
    <w:p w14:paraId="139AF555" w14:textId="21565DEF" w:rsidR="006D4612" w:rsidRPr="006D4612" w:rsidRDefault="006D4612" w:rsidP="00956452">
      <w:pPr>
        <w:pStyle w:val="EndNoteBibliography"/>
      </w:pPr>
      <w:r w:rsidRPr="006D4612">
        <w:t xml:space="preserve">Ilie, M, Hofman, V, Bontoux, C, Heeke, S, Lespinet-Fabre, V, Bordone, O, Lassalle, S, Lalvee, S, Tanga, V, Allegra, M, Salah, M, Bohly, D, Benzaquen, J, Marquette, CH, Long-Mira, E &amp; Hofman, P 2022, 'Setting Up an Ultra-Fast Next-Generation Sequencing Approach as Reflex Testing at Diagnosis of Non-Squamous Non-Small Cell Lung Cancer; Experience of a Single Center (LPCE, Nice, France)', </w:t>
      </w:r>
      <w:r w:rsidRPr="006D4612">
        <w:rPr>
          <w:i/>
        </w:rPr>
        <w:t>Cancers</w:t>
      </w:r>
      <w:r w:rsidRPr="006D4612">
        <w:t>, vol. 14(9) (no pagination), no. 2258, May-1.</w:t>
      </w:r>
    </w:p>
    <w:p w14:paraId="34D0D536" w14:textId="095E5121" w:rsidR="006D4612" w:rsidRPr="006D4612" w:rsidRDefault="006D4612" w:rsidP="00956452">
      <w:pPr>
        <w:pStyle w:val="EndNoteBibliography"/>
      </w:pPr>
      <w:r w:rsidRPr="006D4612">
        <w:t xml:space="preserve">Ji, X, Che, N, Lin, R, Chen, J &amp; Wu, X 2019, 'Efficient ten-gene analysis of NSCLC tissue samples by next-generation sequencing', </w:t>
      </w:r>
      <w:r w:rsidRPr="006D4612">
        <w:rPr>
          <w:i/>
        </w:rPr>
        <w:t>Pathol Res Pract</w:t>
      </w:r>
      <w:r w:rsidRPr="006D4612">
        <w:t>, vol. 215, no. 5, May, pp. 1066-1070.</w:t>
      </w:r>
    </w:p>
    <w:p w14:paraId="741E2424" w14:textId="025B050E" w:rsidR="006D4612" w:rsidRPr="006D4612" w:rsidRDefault="006D4612" w:rsidP="00956452">
      <w:pPr>
        <w:pStyle w:val="EndNoteBibliography"/>
      </w:pPr>
      <w:r w:rsidRPr="006D4612">
        <w:t xml:space="preserve">Jiang, R, Zhang, B, Teng, X, Hu, P, Xu, S, Zheng, Z, Liu, R, Tang, T &amp; Ye, F 2020, 'Validating a targeted next-generation sequencing assay and profiling somatic variants in Chinese non-small cell lung cancer patients', </w:t>
      </w:r>
      <w:r w:rsidRPr="006D4612">
        <w:rPr>
          <w:i/>
        </w:rPr>
        <w:t>Scientific reports</w:t>
      </w:r>
      <w:r w:rsidRPr="006D4612">
        <w:t>, vol. 10(1), 07 Feb, p. 2070.</w:t>
      </w:r>
    </w:p>
    <w:p w14:paraId="554F0CD8" w14:textId="78DDA80C" w:rsidR="006D4612" w:rsidRPr="006D4612" w:rsidRDefault="006D4612" w:rsidP="00956452">
      <w:pPr>
        <w:pStyle w:val="EndNoteBibliography"/>
      </w:pPr>
      <w:r w:rsidRPr="006D4612">
        <w:t>Jing, C, Mao, X, Wang, Z, Sun, K, Ma, R, Wu, J &amp; Cao, H 2018, 'Next</w:t>
      </w:r>
      <w:r w:rsidRPr="006D4612">
        <w:rPr>
          <w:rFonts w:ascii="Cambria Math" w:hAnsi="Cambria Math" w:cs="Cambria Math"/>
        </w:rPr>
        <w:t>‑</w:t>
      </w:r>
      <w:r w:rsidRPr="006D4612">
        <w:t>generation sequencing</w:t>
      </w:r>
      <w:r w:rsidRPr="006D4612">
        <w:rPr>
          <w:rFonts w:ascii="Cambria Math" w:hAnsi="Cambria Math" w:cs="Cambria Math"/>
        </w:rPr>
        <w:t>‑</w:t>
      </w:r>
      <w:r w:rsidRPr="006D4612">
        <w:t>based detection of EGFR, KRAS, BRAF, NRAS, PIK3CA, Her</w:t>
      </w:r>
      <w:r w:rsidRPr="006D4612">
        <w:rPr>
          <w:rFonts w:ascii="Cambria Math" w:hAnsi="Cambria Math" w:cs="Cambria Math"/>
        </w:rPr>
        <w:t>‑</w:t>
      </w:r>
      <w:r w:rsidRPr="006D4612">
        <w:t>2 and TP53 mutations in patients with non</w:t>
      </w:r>
      <w:r w:rsidRPr="006D4612">
        <w:rPr>
          <w:rFonts w:ascii="Cambria Math" w:hAnsi="Cambria Math" w:cs="Cambria Math"/>
        </w:rPr>
        <w:t>‑</w:t>
      </w:r>
      <w:r w:rsidRPr="006D4612">
        <w:t xml:space="preserve">small cell lung cancer', </w:t>
      </w:r>
      <w:r w:rsidRPr="006D4612">
        <w:rPr>
          <w:i/>
        </w:rPr>
        <w:t>Mol Med Rep</w:t>
      </w:r>
      <w:r w:rsidRPr="006D4612">
        <w:t>, vol. 18, no. 2, Aug, pp. 2191-2197.</w:t>
      </w:r>
    </w:p>
    <w:p w14:paraId="19615918" w14:textId="6A84DCE1" w:rsidR="006D4612" w:rsidRPr="006D4612" w:rsidRDefault="006D4612" w:rsidP="00956452">
      <w:pPr>
        <w:pStyle w:val="EndNoteBibliography"/>
      </w:pPr>
      <w:r w:rsidRPr="006D4612">
        <w:t xml:space="preserve">John, T, Taylor, A, Wang, H, Eichinger, C, Freeman, C &amp; Ahn, MJ 2022, 'Uncommon EGFR mutations in non-small-cell lung cancer: A systematic literature review of prevalence and clinical outcomes', </w:t>
      </w:r>
      <w:r w:rsidRPr="006D4612">
        <w:rPr>
          <w:i/>
        </w:rPr>
        <w:t>Cancer Epidemiol</w:t>
      </w:r>
      <w:r w:rsidRPr="006D4612">
        <w:t>, vol. 76, Feb, p. 102080.</w:t>
      </w:r>
    </w:p>
    <w:p w14:paraId="2FF0CAE1" w14:textId="061A92B6" w:rsidR="006D4612" w:rsidRPr="006D4612" w:rsidRDefault="006D4612" w:rsidP="00956452">
      <w:pPr>
        <w:pStyle w:val="EndNoteBibliography"/>
      </w:pPr>
      <w:r w:rsidRPr="006D4612">
        <w:t xml:space="preserve">Jurmeister, P, Vollbrecht, C, Jöhrens, K, Aust, D, Behnke, A, Stenzinger, A, Penzel, R, Endris, V, Schirmacher, P, Fisseler-Eckhoff, A, Neumann, J, Kirchner, T, Büttner, R, Merkelbach-Bruse, S, Kreipe, H, Jonigk, D, Jochum, W, Rodriguez, R, Dietel, M, Horst, D, Hummel, M &amp; von Laffert, M 2021, 'Status quo of ALK testing in lung cancer: results of an EQA scheme based on in-situ hybridization, immunohistochemistry, and RNA/DNA sequencing', </w:t>
      </w:r>
      <w:r w:rsidRPr="006D4612">
        <w:rPr>
          <w:i/>
        </w:rPr>
        <w:t>Virchows Arch</w:t>
      </w:r>
      <w:r w:rsidRPr="006D4612">
        <w:t>, vol. 479, no. 2, Aug, pp. 247-255.</w:t>
      </w:r>
    </w:p>
    <w:p w14:paraId="49EB4918" w14:textId="447B03F8" w:rsidR="006D4612" w:rsidRPr="006D4612" w:rsidRDefault="006D4612" w:rsidP="00956452">
      <w:pPr>
        <w:pStyle w:val="EndNoteBibliography"/>
      </w:pPr>
      <w:r w:rsidRPr="006D4612">
        <w:t xml:space="preserve">Kato, K, Okami, J, Nakamura, H, Honma, K, Sato, Y, Nakamura, S, Kukita, Y, Nakatsuka, S &amp; Higashiyama, M 2021, 'Analytical performance of a highly sensitive system to detect gene variants using next-generation sequencing for lung cancer companion diagnostics', </w:t>
      </w:r>
      <w:r w:rsidRPr="006D4612">
        <w:rPr>
          <w:i/>
        </w:rPr>
        <w:t>NA</w:t>
      </w:r>
      <w:r w:rsidRPr="006D4612">
        <w:t>, vol. NA, no. NA, pp. NA-NA.</w:t>
      </w:r>
    </w:p>
    <w:p w14:paraId="3DF9A62C" w14:textId="3E540F3F" w:rsidR="006D4612" w:rsidRPr="006D4612" w:rsidRDefault="006D4612" w:rsidP="00956452">
      <w:pPr>
        <w:pStyle w:val="EndNoteBibliography"/>
      </w:pPr>
      <w:r w:rsidRPr="006D4612">
        <w:t xml:space="preserve">Kelly, RJ, Turner, R, Chen, YW, Rigas, JR, Fernandes, AW &amp; Karve, S 2019, 'Complications and Economic Burden Associated With Obtaining Tissue for Diagnosis and Molecular Analysis in Patients With Non-Small-Cell Lung Cancer in the United States', </w:t>
      </w:r>
      <w:r w:rsidRPr="006D4612">
        <w:rPr>
          <w:i/>
        </w:rPr>
        <w:t>J Oncol Pract</w:t>
      </w:r>
      <w:r w:rsidRPr="006D4612">
        <w:t>, vol. 15, no. 8, Aug, pp. e717-e727.</w:t>
      </w:r>
    </w:p>
    <w:p w14:paraId="75C3896A" w14:textId="39D9A8AC" w:rsidR="006D4612" w:rsidRPr="006D4612" w:rsidRDefault="006D4612" w:rsidP="00956452">
      <w:pPr>
        <w:pStyle w:val="EndNoteBibliography"/>
      </w:pPr>
      <w:r w:rsidRPr="006D4612">
        <w:t xml:space="preserve">Kim, JH, Yoon, S, Lee, DH, Jang, J, Chun, S-M &amp; Kim, S-W 2021, 'Real-world utility of next-generation sequencing for targeted gene analysis and its application to treatment in lung adenocarcinoma', </w:t>
      </w:r>
      <w:r w:rsidRPr="006D4612">
        <w:rPr>
          <w:i/>
        </w:rPr>
        <w:t>Cancer Medicine</w:t>
      </w:r>
      <w:r w:rsidRPr="006D4612">
        <w:t>, vol. 10, no. 10, pp. 3197-3204.</w:t>
      </w:r>
    </w:p>
    <w:p w14:paraId="134C51A9" w14:textId="6E289E95" w:rsidR="006D4612" w:rsidRPr="006D4612" w:rsidRDefault="006D4612" w:rsidP="00956452">
      <w:pPr>
        <w:pStyle w:val="EndNoteBibliography"/>
      </w:pPr>
      <w:r w:rsidRPr="006D4612">
        <w:t xml:space="preserve">Lassalle, S, Hofman, V, Heeke, S, Benzaquen, J, Long, E, Poudenx, M, Lantéri, E, Boutros, J, Tanga, V, Zahaf, K, Lalvée, S, Lespinet, V, Bordone, O, Félix, J-M, Bonnetaud, C, Marquette, CH, Ilie, M &amp; Hofman, P 2020, 'Targeted Assessment of the EGFR Status as Reflex Testing in </w:t>
      </w:r>
      <w:r w:rsidRPr="006D4612">
        <w:lastRenderedPageBreak/>
        <w:t xml:space="preserve">Treatment-Naive Non-Squamous Cell Lung Carcinoma Patients: A Single Laboratory Experience (LPCE, Nice, France)', </w:t>
      </w:r>
      <w:r w:rsidRPr="006D4612">
        <w:rPr>
          <w:i/>
        </w:rPr>
        <w:t>Cancers</w:t>
      </w:r>
      <w:r w:rsidRPr="006D4612">
        <w:t>, vol. 12, no. 4, pp. 955-NA.</w:t>
      </w:r>
    </w:p>
    <w:p w14:paraId="2F89BDEE" w14:textId="27589AA3" w:rsidR="006D4612" w:rsidRPr="006D4612" w:rsidRDefault="006D4612" w:rsidP="00956452">
      <w:pPr>
        <w:pStyle w:val="EndNoteBibliography"/>
      </w:pPr>
      <w:r w:rsidRPr="006D4612">
        <w:t xml:space="preserve">Legras, A, Barritault, M, Tallet, A, Fabre, E, Guyard, A, Rance, B, Digan, W, Pécuchet, N, Giroux-Leprieur, E, Julié, C, Jouveshomme, S, Duchatelle, V, Giraudet, V, Gibault, L, Cazier, A, Pastre, J, Le Pimpec-Barthes, F, Laurent-Puig, P &amp; Blons, H 2018, 'Validity of Targeted Next-Generation Sequencing in Routine Care for Identifying Clinically Relevant Molecular Profiles in Non–Small-Cell Lung Cancer: Results of a 2-Year Experience on 1343 Samples', </w:t>
      </w:r>
      <w:r w:rsidRPr="006D4612">
        <w:rPr>
          <w:i/>
        </w:rPr>
        <w:t>J Mol Diagn</w:t>
      </w:r>
      <w:r w:rsidRPr="006D4612">
        <w:t>, vol. 20, no. 4, pp. 550-564.</w:t>
      </w:r>
    </w:p>
    <w:p w14:paraId="67DB5584" w14:textId="0D313742" w:rsidR="006D4612" w:rsidRPr="006D4612" w:rsidRDefault="006D4612" w:rsidP="00956452">
      <w:pPr>
        <w:pStyle w:val="EndNoteBibliography"/>
      </w:pPr>
      <w:r w:rsidRPr="006D4612">
        <w:t xml:space="preserve">Li, T, Wang, S, Ying, J, Wang, Y, Hu, X, Hao, X, Xu, Z, Xing, P &amp; Li, J 2021, 'Afatinib treatment response in advanced lung adenocarcinomas harboring uncommon mutations', </w:t>
      </w:r>
      <w:r w:rsidRPr="006D4612">
        <w:rPr>
          <w:i/>
        </w:rPr>
        <w:t>Thorac Cancer</w:t>
      </w:r>
      <w:r w:rsidRPr="006D4612">
        <w:t>, vol. 12, no. 21, Nov, pp. 2924-2932.</w:t>
      </w:r>
    </w:p>
    <w:p w14:paraId="22107725" w14:textId="3421A2DD" w:rsidR="006D4612" w:rsidRPr="006D4612" w:rsidRDefault="006D4612" w:rsidP="00956452">
      <w:pPr>
        <w:pStyle w:val="EndNoteBibliography"/>
      </w:pPr>
      <w:r w:rsidRPr="006D4612">
        <w:t xml:space="preserve">Li, W, Guo, L, Liu, Y, Dong, L, Yang, L, Chen, L, Liu, K, Shao, Y &amp; Ying, J 2021, 'Potential Unreliability of Uncommon ALK, ROS1, and RET Genomic Breakpoints in Predicting the Efficacy of Targeted Therapy in NSCLC', </w:t>
      </w:r>
      <w:r w:rsidRPr="006D4612">
        <w:rPr>
          <w:i/>
        </w:rPr>
        <w:t>Journal of Thoracic Oncology</w:t>
      </w:r>
      <w:r w:rsidRPr="006D4612">
        <w:t>, vol. 16(3), March, pp. 404-418.</w:t>
      </w:r>
    </w:p>
    <w:p w14:paraId="634EF009" w14:textId="0971C17E" w:rsidR="006D4612" w:rsidRPr="006D4612" w:rsidRDefault="006D4612" w:rsidP="00956452">
      <w:pPr>
        <w:pStyle w:val="EndNoteBibliography"/>
      </w:pPr>
      <w:r w:rsidRPr="006D4612">
        <w:t xml:space="preserve">Li, W, Li, Y, Guo, L, Liu, Y, Yang, L &amp; Ying, J 2021, 'Metastatic NSCLCs With Limited Tissues: How to Effectively Identify Driver Alterations to Guide Targeted Therapy in Chinese Patients', </w:t>
      </w:r>
      <w:r w:rsidRPr="006D4612">
        <w:rPr>
          <w:i/>
        </w:rPr>
        <w:t>JTO Clin Res Rep</w:t>
      </w:r>
      <w:r w:rsidRPr="006D4612">
        <w:t>, vol. 2, no. 5, May, p. 100167.</w:t>
      </w:r>
    </w:p>
    <w:p w14:paraId="0C0544F6" w14:textId="6C18C401" w:rsidR="006D4612" w:rsidRPr="006D4612" w:rsidRDefault="006D4612" w:rsidP="00956452">
      <w:pPr>
        <w:pStyle w:val="EndNoteBibliography"/>
      </w:pPr>
      <w:r w:rsidRPr="006D4612">
        <w:t xml:space="preserve">Li, W, Zhang, J, Guo, L, Chuai, S, Shan, L &amp; Ying, J 2016, 'Combinational Analysis of FISH and Immunohistochemistry Reveals Rare Genomic Events in ALK Fusion Patterns in NSCLC that Responds to Crizotinib Treatment', </w:t>
      </w:r>
      <w:r w:rsidRPr="006D4612">
        <w:rPr>
          <w:i/>
        </w:rPr>
        <w:t>Journal of thoracic oncology : official publication of the International Association for the Study of Lung Cancer</w:t>
      </w:r>
      <w:r w:rsidRPr="006D4612">
        <w:t>, vol. 12, no. 1, pp. 94-101.</w:t>
      </w:r>
    </w:p>
    <w:p w14:paraId="544421C2" w14:textId="0D245446" w:rsidR="006D4612" w:rsidRPr="006D4612" w:rsidRDefault="006D4612" w:rsidP="00956452">
      <w:pPr>
        <w:pStyle w:val="EndNoteBibliography"/>
      </w:pPr>
      <w:r w:rsidRPr="006D4612">
        <w:t xml:space="preserve">Lin, C, Shi, X, Yang, S, Zhao, J, He, Q, Jin, Y &amp; Yu, X 2019, 'Comparison of ALK detection by FISH, IHC and NGS to predict benefit from crizotinib in advanced non-small-cell lung cancer', </w:t>
      </w:r>
      <w:r w:rsidRPr="006D4612">
        <w:rPr>
          <w:i/>
        </w:rPr>
        <w:t>Lung Cancer</w:t>
      </w:r>
      <w:r w:rsidRPr="006D4612">
        <w:t>, vol. 131, May, pp. 62-68.</w:t>
      </w:r>
    </w:p>
    <w:p w14:paraId="1966711B" w14:textId="45C1C949" w:rsidR="006D4612" w:rsidRPr="006D4612" w:rsidRDefault="006D4612" w:rsidP="00956452">
      <w:pPr>
        <w:pStyle w:val="EndNoteBibliography"/>
      </w:pPr>
      <w:r w:rsidRPr="006D4612">
        <w:t xml:space="preserve">Lin, HM, Yin, Y, Crossland, V, Wu, Y &amp; Ou, SI 2022, 'EGFR Testing Patterns and Detection of EGFR Exon 20 Insertions in the United States', </w:t>
      </w:r>
      <w:r w:rsidRPr="006D4612">
        <w:rPr>
          <w:i/>
        </w:rPr>
        <w:t>JTO Clin Res Rep</w:t>
      </w:r>
      <w:r w:rsidRPr="006D4612">
        <w:t>, vol. 3, no. 3, Mar, p. 100285.</w:t>
      </w:r>
    </w:p>
    <w:p w14:paraId="6CF31B22" w14:textId="3653D6C7" w:rsidR="006D4612" w:rsidRPr="006D4612" w:rsidRDefault="006D4612" w:rsidP="00956452">
      <w:pPr>
        <w:pStyle w:val="EndNoteBibliography"/>
      </w:pPr>
      <w:r w:rsidRPr="006D4612">
        <w:t xml:space="preserve">Lindeman, NI, Cagle, PT, Aisner, DL, Arcila, ME, Beasley, MB, Bernicker, EH, Colasacco, C, Dacic, S, Hirsch, FR, Kerr, K, Kwiatkowski, DJ, Ladanyi, M, Nowak, JA, Sholl, L, Temple-Smolkin, R, Solomon, B, Souter, LH, Thunnissen, E, Tsao, MS, Ventura, CB, Wynes, MW &amp; Yatabe, Y 2018a, 'Updated Molecular Testing Guideline for the Selection of Lung Cancer Patients for Treatment With Targeted Tyrosine Kinase Inhibitors: Guideline From the College of American Pathologists, the International Association for the Study of Lung Cancer, and the Association for Molecular Pathology', </w:t>
      </w:r>
      <w:r w:rsidRPr="006D4612">
        <w:rPr>
          <w:i/>
        </w:rPr>
        <w:t>J Mol Diagn</w:t>
      </w:r>
      <w:r w:rsidRPr="006D4612">
        <w:t>, vol. 20, no. 2, Mar, pp. 129-159.</w:t>
      </w:r>
    </w:p>
    <w:p w14:paraId="3F8B8A08" w14:textId="4963614A" w:rsidR="006D4612" w:rsidRPr="006D4612" w:rsidRDefault="006D4612" w:rsidP="00956452">
      <w:pPr>
        <w:pStyle w:val="EndNoteBibliography"/>
      </w:pPr>
      <w:r w:rsidRPr="006D4612">
        <w:t xml:space="preserve">Lindeman, NI, Cagle, PT, Aisner, DL, Arcila, ME, Beasley, MB, Bernicker, EH, Colasacco, C, Dacic, S, Hirsch, FR, Kerr, K, Kwiatkowski, DJ, Ladanyi, M, Nowak, JA, Sholl, L, Temple-Smolkin, R, Solomon, B, Souter, LH, Thunnissen, E, Tsao, MS, Ventura, CB, Wynes, MW &amp; Yatabe, Y 2018b, 'Updated Molecular Testing Guideline for the Selection of Lung Cancer Patients for Treatment With Targeted Tyrosine Kinase Inhibitors: Guideline From the College of American Pathologists, the International Association for the Study of Lung Cancer, and the Association for Molecular Pathology', </w:t>
      </w:r>
      <w:r w:rsidRPr="006D4612">
        <w:rPr>
          <w:i/>
        </w:rPr>
        <w:t>Arch Pathol Lab Med</w:t>
      </w:r>
      <w:r w:rsidRPr="006D4612">
        <w:t>, vol. 142, no. 3, Mar, pp. 321-346.</w:t>
      </w:r>
    </w:p>
    <w:p w14:paraId="236CCF45" w14:textId="04983B4A" w:rsidR="006D4612" w:rsidRPr="006D4612" w:rsidRDefault="006D4612" w:rsidP="00956452">
      <w:pPr>
        <w:pStyle w:val="EndNoteBibliography"/>
      </w:pPr>
      <w:r w:rsidRPr="006D4612">
        <w:t xml:space="preserve">Loong, HH, Wong, CKH, Chan, CPK, Chang, A, Zhou, ZY, Tang, W &amp; Gibbs, M 2022, 'Clinical and Economic Impact of Upfront Next-Generation Sequencing for Metastatic NSCLC in East Asia', </w:t>
      </w:r>
      <w:r w:rsidRPr="006D4612">
        <w:rPr>
          <w:i/>
        </w:rPr>
        <w:t>JTO Clin Res Rep</w:t>
      </w:r>
      <w:r w:rsidRPr="006D4612">
        <w:t>, vol. 3, no. 3, Mar, p. 100290.</w:t>
      </w:r>
    </w:p>
    <w:p w14:paraId="77843A35" w14:textId="5F272C78" w:rsidR="006D4612" w:rsidRPr="006D4612" w:rsidRDefault="006D4612" w:rsidP="00956452">
      <w:pPr>
        <w:pStyle w:val="EndNoteBibliography"/>
      </w:pPr>
      <w:r w:rsidRPr="006D4612">
        <w:t xml:space="preserve">Mehrad, M, Roy, S, Bittar, HT &amp; Dacic, S 2018, 'Next-Generation Sequencing Approach to Non-Small Cell Lung Carcinoma Yields More Actionable Alterations', </w:t>
      </w:r>
      <w:r w:rsidRPr="006D4612">
        <w:rPr>
          <w:i/>
        </w:rPr>
        <w:t>Archives of Pathology &amp; Laboratory Medicine</w:t>
      </w:r>
      <w:r w:rsidRPr="006D4612">
        <w:t>, vol. 142, no. 3, Mar, pp. 353-357.</w:t>
      </w:r>
    </w:p>
    <w:p w14:paraId="2BF454DF" w14:textId="7CE1E656" w:rsidR="006D4612" w:rsidRPr="006D4612" w:rsidRDefault="006D4612" w:rsidP="00956452">
      <w:pPr>
        <w:pStyle w:val="EndNoteBibliography"/>
      </w:pPr>
      <w:r w:rsidRPr="006D4612">
        <w:t xml:space="preserve">Mehta, A, Vasudevan, S, Sharma, SK, Panigrahi, M, Suryavanshi, M, Saifi, M &amp; Batra, U 2020, 'Biomarker testing for advanced lung cancer by next-generation sequencing; A valid method to </w:t>
      </w:r>
      <w:r w:rsidRPr="006D4612">
        <w:lastRenderedPageBreak/>
        <w:t xml:space="preserve">achieve a comprehensive glimpse at mutational landscape', </w:t>
      </w:r>
      <w:r w:rsidRPr="006D4612">
        <w:rPr>
          <w:i/>
        </w:rPr>
        <w:t>Applied Cancer Research</w:t>
      </w:r>
      <w:r w:rsidRPr="006D4612">
        <w:t>, vol. 40(1) (no pagination), no. 4, 01 Jun.</w:t>
      </w:r>
    </w:p>
    <w:p w14:paraId="028B0A66" w14:textId="014E5CEB" w:rsidR="006D4612" w:rsidRPr="006D4612" w:rsidRDefault="006D4612" w:rsidP="00956452">
      <w:pPr>
        <w:pStyle w:val="EndNoteBibliography"/>
      </w:pPr>
      <w:r w:rsidRPr="006D4612">
        <w:t xml:space="preserve">Miller, TE, Yang, M, Bajor, D, Friedman, JD, Chang, RYC, Dowlati, A, Willis, JE &amp; Sadri, N 2018, 'Clinical utility of reflex testing using focused nextgeneration sequencing for management of patients with advanced lung adenocarcinoma', </w:t>
      </w:r>
      <w:r w:rsidRPr="006D4612">
        <w:rPr>
          <w:i/>
        </w:rPr>
        <w:t>Journal of Clinical Pathology</w:t>
      </w:r>
      <w:r w:rsidRPr="006D4612">
        <w:t>, vol. 71(12), 01 Dec, pp. 1108-1115.</w:t>
      </w:r>
    </w:p>
    <w:p w14:paraId="51D0FA82" w14:textId="364F5799" w:rsidR="006D4612" w:rsidRPr="006D4612" w:rsidRDefault="006D4612" w:rsidP="00956452">
      <w:pPr>
        <w:pStyle w:val="EndNoteBibliography"/>
      </w:pPr>
      <w:r w:rsidRPr="006D4612">
        <w:t xml:space="preserve">Mino-Kenudson, M 2016, 'Cons: Can liquid biopsy replace tissue biopsy?-the US experience', </w:t>
      </w:r>
      <w:r w:rsidRPr="006D4612">
        <w:rPr>
          <w:i/>
        </w:rPr>
        <w:t>Transl Lung Cancer Res</w:t>
      </w:r>
      <w:r w:rsidRPr="006D4612">
        <w:t>, vol. 5, no. 4, Aug, pp. 424-427.</w:t>
      </w:r>
    </w:p>
    <w:p w14:paraId="1C480620" w14:textId="1CE05337" w:rsidR="006D4612" w:rsidRPr="006D4612" w:rsidRDefault="006D4612" w:rsidP="00956452">
      <w:pPr>
        <w:pStyle w:val="EndNoteBibliography"/>
      </w:pPr>
      <w:r w:rsidRPr="006D4612">
        <w:t xml:space="preserve">Mitchell, PL, Thursfield, VJ, Ball, DL, Richardson, GE, Irving, LB, Torn-Broers, Y, Giles, GG &amp; Wright, GM 2013, 'Lung cancer in Victoria: are we making progress?', </w:t>
      </w:r>
      <w:r w:rsidRPr="006D4612">
        <w:rPr>
          <w:i/>
        </w:rPr>
        <w:t>Med J Aust</w:t>
      </w:r>
      <w:r w:rsidRPr="006D4612">
        <w:t>, vol. 199, no. 10, Nov 18, pp. 674-679.</w:t>
      </w:r>
    </w:p>
    <w:p w14:paraId="297A4E14" w14:textId="64E5209F" w:rsidR="006D4612" w:rsidRPr="006D4612" w:rsidRDefault="006D4612" w:rsidP="00956452">
      <w:pPr>
        <w:pStyle w:val="EndNoteBibliography"/>
      </w:pPr>
      <w:r w:rsidRPr="006D4612">
        <w:t xml:space="preserve">Mosele, F, Remon, J, Mateo, J, Westphalen, CB, Barlesi, F, Lolkema, MP, Normanno, N, Scarpa, A, Robson, M, Meric-Bernstam, F, Wagle, N, Stenzinger, A, Bonastre, J, Bayle, A, Michiels, S, Bieche, I, Rouleau, E, Jezdic, S, Douillard, JY, Reis-Filho, JS, Dienstmann, R &amp; Andre, F 2020, 'Recommendations for the use of next-generation sequencing (NGS) for patients with metastatic cancers: a report from the ESMO Precision Medicine Working Group', </w:t>
      </w:r>
      <w:r w:rsidRPr="006D4612">
        <w:rPr>
          <w:i/>
        </w:rPr>
        <w:t>Ann Oncol</w:t>
      </w:r>
      <w:r w:rsidRPr="006D4612">
        <w:t>, vol. 31, no. 11, Nov, pp. 1491-1505.</w:t>
      </w:r>
    </w:p>
    <w:p w14:paraId="352A261C" w14:textId="45216414" w:rsidR="006D4612" w:rsidRPr="006D4612" w:rsidRDefault="006D4612" w:rsidP="00956452">
      <w:pPr>
        <w:pStyle w:val="EndNoteBibliography"/>
      </w:pPr>
      <w:r w:rsidRPr="006D4612">
        <w:t xml:space="preserve">Nam, BD, Yoon, SH, Hong, H, Hwang, JH, Goo, JM &amp; Park, S 2021, 'Tissue Adequacy and Safety of Percutaneous Transthoracic Needle Biopsy for Molecular Analysis in Non-Small Cell Lung Cancer: A Systematic Review and Meta-analysis', </w:t>
      </w:r>
      <w:r w:rsidRPr="006D4612">
        <w:rPr>
          <w:i/>
        </w:rPr>
        <w:t>Korean J Radiol</w:t>
      </w:r>
      <w:r w:rsidRPr="006D4612">
        <w:t>, vol. 22, no. 12, Dec, pp. 2082-2093.</w:t>
      </w:r>
    </w:p>
    <w:p w14:paraId="5DFFE958" w14:textId="6A22F70E" w:rsidR="006D4612" w:rsidRDefault="006D4612" w:rsidP="00956452">
      <w:pPr>
        <w:pStyle w:val="EndNoteBibliography"/>
      </w:pPr>
      <w:r w:rsidRPr="006D4612">
        <w:t xml:space="preserve">NPAAC 2017, </w:t>
      </w:r>
      <w:r w:rsidRPr="006D4612">
        <w:rPr>
          <w:i/>
        </w:rPr>
        <w:t>Requirements for human medical genome testing utilising massively parallel sequencing technologies</w:t>
      </w:r>
      <w:r w:rsidRPr="006D4612">
        <w:t>, Commonwealth of Australia, Canberra, &lt;https://www.google.com/url?sa=t&amp;rct=j&amp;q=&amp;esrc=s&amp;source=web&amp;cd=&amp;cad=rja&amp;uact=8&amp;ved=2ahUKEwi_pqPxzYP5AhX0TmwGHZUaBVUQFnoECA0QAQ&amp;url=https%3A%2F%2Fwww1.health.gov.au%2Finternet%2Fmain%2Fpublishing.nsf%2FContent%2Fnpaac-pub-mps&amp;usg=AOvVaw2NWncwXqsPKHxqqcVaMxDS&gt;.</w:t>
      </w:r>
    </w:p>
    <w:p w14:paraId="5A6CB0EC" w14:textId="3CCDA96F" w:rsidR="00161831" w:rsidRPr="006D4612" w:rsidRDefault="00161831" w:rsidP="00956452">
      <w:pPr>
        <w:pStyle w:val="EndNoteBibliography"/>
      </w:pPr>
      <w:r>
        <w:t xml:space="preserve">NPAAC 2018, </w:t>
      </w:r>
      <w:r w:rsidRPr="00161831">
        <w:t>Requirements for the Development and Use of In-House In Vitro Diagnostic Medical Devices (IVDs) (Fourth Edition 2018)</w:t>
      </w:r>
      <w:r>
        <w:t>, Commonwealth of Australia, Canberra, &lt;</w:t>
      </w:r>
      <w:r w:rsidRPr="00161831">
        <w:t xml:space="preserve"> https://www1.health.gov.au/internet/main/publishing.nsf/Content/8838AD5DB81477D5CA257BF00019166E/$File/20180608%20-%20Final%20-%20Reqs%20for%20in-house%20IVDs.pdf</w:t>
      </w:r>
      <w:r>
        <w:t>&gt;</w:t>
      </w:r>
    </w:p>
    <w:p w14:paraId="49992F46" w14:textId="55AF43FC" w:rsidR="006D4612" w:rsidRPr="006D4612" w:rsidRDefault="006D4612" w:rsidP="00956452">
      <w:pPr>
        <w:pStyle w:val="EndNoteBibliography"/>
      </w:pPr>
      <w:r w:rsidRPr="006D4612">
        <w:t xml:space="preserve">Park, E &amp; Shim, HS 2020, 'Detection of targetable genetic alterations in Korean lung cancer patients: A comparison study of single-gene assays and targeted next-generation sequencing', </w:t>
      </w:r>
      <w:r w:rsidRPr="006D4612">
        <w:rPr>
          <w:i/>
        </w:rPr>
        <w:t>Cancer Research and Treatment</w:t>
      </w:r>
      <w:r w:rsidRPr="006D4612">
        <w:t>, vol. 52(2), pp. 1-9.</w:t>
      </w:r>
    </w:p>
    <w:p w14:paraId="27032273" w14:textId="3FD00C70" w:rsidR="006D4612" w:rsidRPr="006D4612" w:rsidRDefault="006D4612" w:rsidP="00956452">
      <w:pPr>
        <w:pStyle w:val="EndNoteBibliography"/>
      </w:pPr>
      <w:r w:rsidRPr="006D4612">
        <w:t xml:space="preserve">Pennell, NA, Mutebi, A, Zhou, ZY, Ricculli, ML, Tang, W, Wang, H, Guerin, A, Arnhart, T, Dalal, A, Sasane, M, Wu, KY, Culver, KW &amp; Otterson, GA 2019, 'Economic Impact of Next-Generation Sequencing Versus Single-Gene Testing to Detect Genomic Alterations in Metastatic Non-Small-Cell Lung Cancer Using a Decision Analytic Model', </w:t>
      </w:r>
      <w:r w:rsidRPr="006D4612">
        <w:rPr>
          <w:i/>
        </w:rPr>
        <w:t>JCO Precis Oncol</w:t>
      </w:r>
      <w:r w:rsidRPr="006D4612">
        <w:t>, vol. 3, Dec, pp. 1-9.</w:t>
      </w:r>
    </w:p>
    <w:p w14:paraId="2C6E9585" w14:textId="2B7A0220" w:rsidR="006D4612" w:rsidRPr="006D4612" w:rsidRDefault="006D4612" w:rsidP="00956452">
      <w:pPr>
        <w:pStyle w:val="EndNoteBibliography"/>
      </w:pPr>
      <w:r w:rsidRPr="006D4612">
        <w:t xml:space="preserve">Pisapia, P, Pepe, F, Baggi, A, Barberis, M, Galvano, A, Gristina, V, Mastrilli, F, Novello, S, Pagni, F, Pasini, S, Perrone, G, Righi, D, Russo, A, Troncone, G &amp; Malapelle, U 2022, 'Next generation diagnostic algorithm in non-small cell lung cancer predictive molecular pathology: The KWAY Italian multicenter cost evaluation study', </w:t>
      </w:r>
      <w:r w:rsidRPr="006D4612">
        <w:rPr>
          <w:i/>
        </w:rPr>
        <w:t>Critical Reviews in Oncology/Hematology</w:t>
      </w:r>
      <w:r w:rsidRPr="006D4612">
        <w:t>, vol. 169 (no pagination), no. 103525, January.</w:t>
      </w:r>
    </w:p>
    <w:p w14:paraId="01BC693E" w14:textId="02B04C83" w:rsidR="006D4612" w:rsidRPr="006D4612" w:rsidRDefault="006D4612" w:rsidP="00956452">
      <w:pPr>
        <w:pStyle w:val="EndNoteBibliography"/>
      </w:pPr>
      <w:r w:rsidRPr="006D4612">
        <w:t xml:space="preserve">Robert, NJ, Espirito, JL, Chen, L, Nwokeji, E, Karhade, M, Evangelist, M, Spira, A, Neubauer, M, Bullock, S, Walberg, J, Cheng, SK &amp; Coleman, RL 2022, 'Biomarker testing and tissue journey among patients with metastatic non-small cell lung cancer receiving first-line therapy in the US Oncology Network biomarker testing in metastatic NSCLC with first-line therapy', </w:t>
      </w:r>
      <w:r w:rsidRPr="006D4612">
        <w:rPr>
          <w:i/>
        </w:rPr>
        <w:t>Lung Cancer</w:t>
      </w:r>
      <w:r w:rsidRPr="006D4612">
        <w:t>, vol. 166, April, pp. 197-204.</w:t>
      </w:r>
    </w:p>
    <w:p w14:paraId="7A08EF25" w14:textId="4073EA9F" w:rsidR="006D4612" w:rsidRPr="006D4612" w:rsidRDefault="006D4612" w:rsidP="00956452">
      <w:pPr>
        <w:pStyle w:val="EndNoteBibliography"/>
      </w:pPr>
      <w:r w:rsidRPr="006D4612">
        <w:lastRenderedPageBreak/>
        <w:t xml:space="preserve">Sakaguchi, T, Iketani, A, Furuhashi, K, Nakamura, Y, Suzuki, Y, Ito, K, Fujiwara, K, Nishii, Y, Katsuta, K, Taguchi, O &amp; Hataji, O 2021, 'Comparison of the analytical performance between the Oncomine Dx Target Test and a conventional single gene test for epidermal growth factor receptor mutation in non-small cell lung cancer', </w:t>
      </w:r>
      <w:r w:rsidRPr="006D4612">
        <w:rPr>
          <w:i/>
        </w:rPr>
        <w:t>Thoracic Cancer</w:t>
      </w:r>
      <w:r w:rsidRPr="006D4612">
        <w:t>, vol. 12(4), February, pp. 462-467.</w:t>
      </w:r>
    </w:p>
    <w:p w14:paraId="408B01CB" w14:textId="39FCB5F9" w:rsidR="006D4612" w:rsidRPr="006D4612" w:rsidRDefault="006D4612" w:rsidP="00956452">
      <w:pPr>
        <w:pStyle w:val="EndNoteBibliography"/>
      </w:pPr>
      <w:r w:rsidRPr="006D4612">
        <w:t>Scells, H &amp; Zuccon, G 2018, 'searchrefiner: A query visualisation and understanding tool for systematic reviews. ', paper presented at 27th ACM International Conference on Information and Knowledge Management, &lt;https://sr-accelerator.com/#/searchrefinery &gt;.</w:t>
      </w:r>
    </w:p>
    <w:p w14:paraId="2975341B" w14:textId="2EDDE4A1" w:rsidR="006D4612" w:rsidRPr="006D4612" w:rsidRDefault="006D4612" w:rsidP="00956452">
      <w:pPr>
        <w:pStyle w:val="EndNoteBibliography"/>
      </w:pPr>
      <w:r w:rsidRPr="006D4612">
        <w:t xml:space="preserve">Schluckebier, L, Caetano, R, Garay, OU, Montenegro, GT, Custodio, M, Aran, V &amp; Gil Ferreira, C 2020, 'Cost-effectiveness analysis comparing companion diagnostic tests for EGFR, ALK, and ROS1 versus next-generation sequencing (NGS) in advanced adenocarcinoma lung cancer patients', </w:t>
      </w:r>
      <w:r w:rsidRPr="006D4612">
        <w:rPr>
          <w:i/>
        </w:rPr>
        <w:t>BMC Cancer</w:t>
      </w:r>
      <w:r w:rsidRPr="006D4612">
        <w:t>, vol. 20(1) (no pagination), no. 875, 14 Sep.</w:t>
      </w:r>
    </w:p>
    <w:p w14:paraId="398FDB26" w14:textId="1198BFCB" w:rsidR="006D4612" w:rsidRPr="006D4612" w:rsidRDefault="006D4612" w:rsidP="00956452">
      <w:pPr>
        <w:pStyle w:val="EndNoteBibliography"/>
      </w:pPr>
      <w:r w:rsidRPr="006D4612">
        <w:t xml:space="preserve">Schrock, AB, Frampton, GM, Herndon, D, Greenbowe, JR, Wang, K, Lipson, D, Yelensky, R, Chalmers, ZR, Chmielecki, J, Elvin, JA, Wollner, M, Dvir, A, Gutman, LS, Bordoni, R, Peled, N, Braiteh, F, Raez, L, Erlich, R, Ou, SH, Mohamed, M, Ross, JS, Stephens, PJ, Ali, SM &amp; Miller, VA 2016, 'Comprehensive Genomic Profiling Identifies Frequent Drug-Sensitive EGFR Exon 19 Deletions in NSCLC not Identified by Prior Molecular Testing', </w:t>
      </w:r>
      <w:r w:rsidRPr="006D4612">
        <w:rPr>
          <w:i/>
        </w:rPr>
        <w:t>Clin Cancer Res</w:t>
      </w:r>
      <w:r w:rsidRPr="006D4612">
        <w:t>, vol. 22, no. 13, Jul 1, pp. 3281-3285.</w:t>
      </w:r>
    </w:p>
    <w:p w14:paraId="1F9A93DF" w14:textId="77777777" w:rsidR="006D4612" w:rsidRPr="006D4612" w:rsidRDefault="006D4612" w:rsidP="006D4612">
      <w:pPr>
        <w:pStyle w:val="EndNoteBibliography"/>
      </w:pPr>
      <w:r w:rsidRPr="006D4612">
        <w:t xml:space="preserve">Simarro, J, Murria, R, Perez-Simo, G, Llop, M, Mancheno, N, Ramos, D, De Juan, I, Barragan, E, Laiz, B, Cases, E, Ansotegui, E, Gomez-Codina, J, Aparicio, J, Salvador, C, Juan, O &amp; Palanca, S 2019, 'Development, implementation and assessment of molecular diagnostics by next generation sequencing in personalized treatment of cancer: Experience of a public reference healthcare hospital', </w:t>
      </w:r>
      <w:r w:rsidRPr="006D4612">
        <w:rPr>
          <w:i/>
        </w:rPr>
        <w:t>Cancers</w:t>
      </w:r>
      <w:r w:rsidRPr="006D4612">
        <w:t>, vol. 11(8) (no pagination), no. 1196, August.</w:t>
      </w:r>
    </w:p>
    <w:p w14:paraId="6EB4A407" w14:textId="77777777" w:rsidR="006D4612" w:rsidRPr="006D4612" w:rsidRDefault="006D4612" w:rsidP="006D4612">
      <w:pPr>
        <w:pStyle w:val="EndNoteBibliography"/>
        <w:spacing w:after="0"/>
      </w:pPr>
    </w:p>
    <w:p w14:paraId="6FA76A8C" w14:textId="2C029747" w:rsidR="006D4612" w:rsidRPr="006D4612" w:rsidRDefault="006D4612" w:rsidP="00956452">
      <w:pPr>
        <w:pStyle w:val="EndNoteBibliography"/>
      </w:pPr>
      <w:r w:rsidRPr="006D4612">
        <w:t xml:space="preserve">Steeghs, EMP, Groen, HJM, Schuuring, E, Aarts, MJ, Damhuis, RAM, Voorham, QJM, Ligtenberg, MJL &amp; Grunberg, K 2022, 'Mutation-tailored treatment selection in non-small cell lung cancer patients in daily clinical practice', </w:t>
      </w:r>
      <w:r w:rsidRPr="006D4612">
        <w:rPr>
          <w:i/>
        </w:rPr>
        <w:t>Lung Cancer</w:t>
      </w:r>
      <w:r w:rsidRPr="006D4612">
        <w:t>, vol. 167, May, pp. 87-97.</w:t>
      </w:r>
    </w:p>
    <w:p w14:paraId="2E84AED3" w14:textId="7A725209" w:rsidR="006D4612" w:rsidRPr="006D4612" w:rsidRDefault="006D4612" w:rsidP="00956452">
      <w:pPr>
        <w:pStyle w:val="EndNoteBibliography"/>
      </w:pPr>
      <w:r w:rsidRPr="006D4612">
        <w:t xml:space="preserve">Steinfort, DP, Liew, D &amp; Irving, LB 2013, 'Radial probe EBUS versus CT-guided needle biopsy for evaluation of peripheral pulmonary lesions: an economic analysis', </w:t>
      </w:r>
      <w:r w:rsidRPr="006D4612">
        <w:rPr>
          <w:i/>
        </w:rPr>
        <w:t>Eur Respir J</w:t>
      </w:r>
      <w:r w:rsidRPr="006D4612">
        <w:t>, vol. 41, no. 3, Mar, pp. 539-547.</w:t>
      </w:r>
    </w:p>
    <w:p w14:paraId="1698DEC4" w14:textId="0EC21BE8" w:rsidR="006D4612" w:rsidRPr="006D4612" w:rsidRDefault="006D4612" w:rsidP="00956452">
      <w:pPr>
        <w:pStyle w:val="EndNoteBibliography"/>
      </w:pPr>
      <w:r w:rsidRPr="006D4612">
        <w:t xml:space="preserve">Steuten, L, Goulart, B, Meropol, NJ, Pritchard, D &amp; Ramsey, SD 2019, 'Cost effectiveness of multigene panel sequencing for patients with advanced non-small-cell lung cancer', </w:t>
      </w:r>
      <w:r w:rsidRPr="006D4612">
        <w:rPr>
          <w:i/>
        </w:rPr>
        <w:t>JCO Clinical Cancer Informatics</w:t>
      </w:r>
      <w:r w:rsidRPr="006D4612">
        <w:t>, vol. 3, pp. 1-10.</w:t>
      </w:r>
    </w:p>
    <w:p w14:paraId="12A51461" w14:textId="47B557D7" w:rsidR="006D4612" w:rsidRPr="006D4612" w:rsidRDefault="006D4612" w:rsidP="00956452">
      <w:pPr>
        <w:pStyle w:val="EndNoteBibliography"/>
      </w:pPr>
      <w:r w:rsidRPr="006D4612">
        <w:t xml:space="preserve">Tachon, G, Cortes, U, Richard, S, Martin, S, Milin, S, Evrard, C, Lamour, C &amp; Karayan-Tapon, L 2019, 'Targeted RNA-sequencing assays: a step forward compared to FISH and IHC techniques?', </w:t>
      </w:r>
      <w:r w:rsidRPr="006D4612">
        <w:rPr>
          <w:i/>
        </w:rPr>
        <w:t>Cancer Medicine</w:t>
      </w:r>
      <w:r w:rsidRPr="006D4612">
        <w:t>, vol. 8(18), 01 Dec, pp. 7556-7566.</w:t>
      </w:r>
    </w:p>
    <w:p w14:paraId="6BCB74DF" w14:textId="12F7B4AA" w:rsidR="006D4612" w:rsidRPr="006D4612" w:rsidRDefault="006D4612" w:rsidP="00956452">
      <w:pPr>
        <w:pStyle w:val="EndNoteBibliography"/>
      </w:pPr>
      <w:r w:rsidRPr="006D4612">
        <w:t xml:space="preserve">Tan, AC, Lai, GGY, Tan, GS, Poon, SY, Doble, B, Lim, TH, Aung, ZW, Takano, A, Tan, WL, Ang, MK, Tan, BS, Devanand, A, Too, CW, Gogna, A, Ong, BH, Koh, TPT, Kanesvaran, R, Ng, QS, Jain, A, Rajasekaran, T, Lim, AST, Lim, WT, Toh, CK, Tan, EH, Lim, TKH &amp; Tan, DSW 2020, 'Utility of incorporating next-generation sequencing (NGS) in an Asian non-small cell lung cancer (NSCLC) population: Incremental yield of actionable alterations and cost-effectiveness analysis', </w:t>
      </w:r>
      <w:r w:rsidRPr="006D4612">
        <w:rPr>
          <w:i/>
        </w:rPr>
        <w:t>Lung Cancer</w:t>
      </w:r>
      <w:r w:rsidRPr="006D4612">
        <w:t>, vol. 139, January, pp. 207-215.</w:t>
      </w:r>
    </w:p>
    <w:p w14:paraId="18B6D028" w14:textId="43DAA444" w:rsidR="006D4612" w:rsidRPr="006D4612" w:rsidRDefault="006D4612" w:rsidP="00956452">
      <w:pPr>
        <w:pStyle w:val="EndNoteBibliography"/>
      </w:pPr>
      <w:r w:rsidRPr="006D4612">
        <w:t xml:space="preserve">Vanderpoel, J, Stevens, AL, Emond, B, Lafeuille, MH, Hilts, A, Lefebvre, P &amp; Morrison, L 2022, 'Total cost of testing for genomic alterations associated with next-generation sequencing versus polymerase chain reaction testing strategies among patients with metastatic non-small cell lung cancer', </w:t>
      </w:r>
      <w:r w:rsidRPr="006D4612">
        <w:rPr>
          <w:i/>
        </w:rPr>
        <w:t>J Med Econ</w:t>
      </w:r>
      <w:r w:rsidRPr="006D4612">
        <w:t>, vol. 25, no. 1, Jan-Dec, pp. 457-468.</w:t>
      </w:r>
    </w:p>
    <w:p w14:paraId="556BE8F1" w14:textId="35DC9B9F" w:rsidR="006D4612" w:rsidRPr="006D4612" w:rsidRDefault="006D4612" w:rsidP="00956452">
      <w:pPr>
        <w:pStyle w:val="EndNoteBibliography"/>
      </w:pPr>
      <w:r w:rsidRPr="006D4612">
        <w:t>Vendrell, JA, Taviaux, S, Béganton, B</w:t>
      </w:r>
      <w:r w:rsidRPr="006D4612">
        <w:rPr>
          <w:rFonts w:ascii="Cambria Math" w:hAnsi="Cambria Math" w:cs="Cambria Math"/>
        </w:rPr>
        <w:t>ⁱ</w:t>
      </w:r>
      <w:r w:rsidRPr="006D4612">
        <w:t xml:space="preserve">, Godreuil, S, Audran, P, Grand, D, Clermont, E, Serre, I, Szablewski, V, Coopman, P, Mazieres, J, Costes, V, Pujol, J-L, Brousset, P, Rouquette, I &amp; Solassol, </w:t>
      </w:r>
      <w:r w:rsidRPr="006D4612">
        <w:lastRenderedPageBreak/>
        <w:t xml:space="preserve">J 2017, 'Detection of known and novel ALK fusion transcripts in lung cancer patients using next-generation sequencing approaches', </w:t>
      </w:r>
      <w:r w:rsidRPr="006D4612">
        <w:rPr>
          <w:i/>
        </w:rPr>
        <w:t>Scientific reports</w:t>
      </w:r>
      <w:r w:rsidRPr="006D4612">
        <w:t>, vol. 7, no. 1, pp. 12510-12510.</w:t>
      </w:r>
    </w:p>
    <w:p w14:paraId="1EB3CA75" w14:textId="6B4AF136" w:rsidR="006D4612" w:rsidRPr="006D4612" w:rsidRDefault="006D4612" w:rsidP="00956452">
      <w:pPr>
        <w:pStyle w:val="EndNoteBibliography"/>
      </w:pPr>
      <w:r w:rsidRPr="006D4612">
        <w:t xml:space="preserve">Vollbrecht, C, Lenze, D, Hummel, M, Lehmann, A, Moebs, M, Frost, N, Jurmeister, P, Schweizer, L, Kellner, U, Dietel, M &amp; von Laffert, M 2018, 'RNA-based analysis of ALK fusions in non-small cell lung cancer cases showing IHC/FISH discordance', </w:t>
      </w:r>
      <w:r w:rsidRPr="006D4612">
        <w:rPr>
          <w:i/>
        </w:rPr>
        <w:t>BMC Cancer</w:t>
      </w:r>
      <w:r w:rsidRPr="006D4612">
        <w:t>, vol. 18, no. 1, pp. 1158-1158.</w:t>
      </w:r>
    </w:p>
    <w:p w14:paraId="30528246" w14:textId="35148547" w:rsidR="006D4612" w:rsidRPr="006D4612" w:rsidRDefault="006D4612" w:rsidP="00956452">
      <w:pPr>
        <w:pStyle w:val="EndNoteBibliography"/>
      </w:pPr>
      <w:r w:rsidRPr="006D4612">
        <w:t xml:space="preserve">Wei, J, Meng, P, Terpstra, MM, van Rijk, A, Tamminga, M, Scherpen, F, ter Elst, A, Alimohamed, MZ, Johansson, LF, Stigt, J, Gijtenbeek, RPG, van Putten, J, Hiltermann, TJN, Groen, HJM, Kok, K, van der Wekken, AJ &amp; van den Berg, A 2021, 'Clinical Value of EGFR Copy Number Gain Determined by Amplicon-Based Targeted Next Generation Sequencing in Patients with EGFR-Mutated NSCLC', </w:t>
      </w:r>
      <w:r w:rsidRPr="006D4612">
        <w:rPr>
          <w:i/>
        </w:rPr>
        <w:t>Targeted Oncology</w:t>
      </w:r>
      <w:r w:rsidRPr="006D4612">
        <w:t>, vol. 16(2), March, pp. 215-226.</w:t>
      </w:r>
    </w:p>
    <w:p w14:paraId="4BC343D9" w14:textId="6F49B48E" w:rsidR="006D4612" w:rsidRPr="006D4612" w:rsidRDefault="006D4612" w:rsidP="00956452">
      <w:pPr>
        <w:pStyle w:val="EndNoteBibliography"/>
      </w:pPr>
      <w:r w:rsidRPr="006D4612">
        <w:t xml:space="preserve">Xie, F, Zheng, X, Mao, X, Zhao, R, Ye, J, Zhang, Y &amp; Sun, J 2019, 'Next-Generation Sequencing for Genotyping of Endobronchial Ultrasound-Guided Transbronchial Needle Aspiration Samples in Lung Cancer', </w:t>
      </w:r>
      <w:r w:rsidRPr="006D4612">
        <w:rPr>
          <w:i/>
        </w:rPr>
        <w:t>Annals of Thoracic Surgery</w:t>
      </w:r>
      <w:r w:rsidRPr="006D4612">
        <w:t>, vol. 108(1), July, pp. 219-226.</w:t>
      </w:r>
    </w:p>
    <w:p w14:paraId="25D725E1" w14:textId="79A09B87" w:rsidR="006D4612" w:rsidRPr="006D4612" w:rsidRDefault="006D4612" w:rsidP="00956452">
      <w:pPr>
        <w:pStyle w:val="EndNoteBibliography"/>
      </w:pPr>
      <w:r w:rsidRPr="006D4612">
        <w:t xml:space="preserve">Xu, X, Yang, Y, Li, H, Chen, Z, Jiang, G &amp; Fei, K 2016, 'Assessment of the clinical application of detecting EGFR, KRAS, PIK3CA and BRAF mutations in patients with non-small cell lung cancer using next-generation sequencing', </w:t>
      </w:r>
      <w:r w:rsidRPr="006D4612">
        <w:rPr>
          <w:i/>
        </w:rPr>
        <w:t>Scand J Clin Lab Invest</w:t>
      </w:r>
      <w:r w:rsidRPr="006D4612">
        <w:t>, vol. 76, no. 5, Sep, pp. 386-392.</w:t>
      </w:r>
    </w:p>
    <w:p w14:paraId="5406349C" w14:textId="217B7245" w:rsidR="006D4612" w:rsidRPr="006D4612" w:rsidRDefault="006D4612" w:rsidP="00956452">
      <w:pPr>
        <w:pStyle w:val="EndNoteBibliography"/>
      </w:pPr>
      <w:r w:rsidRPr="006D4612">
        <w:t xml:space="preserve">Xu, X, Yang, Y, Li, H, Chen, Z, Jiang, G &amp; Fei, K 2016, 'Assessment of the clinical application of detecting EGFR, KRAS, PIK3CA and BRAF mutations in patients with non-small cell lung cancer using next-generation sequencing', </w:t>
      </w:r>
      <w:r w:rsidRPr="006D4612">
        <w:rPr>
          <w:i/>
        </w:rPr>
        <w:t>Scandinavian journal of clinical and laboratory investigation</w:t>
      </w:r>
      <w:r w:rsidRPr="006D4612">
        <w:t>, vol. 76, no. 5, pp. 386-392.</w:t>
      </w:r>
    </w:p>
    <w:p w14:paraId="25BBB091" w14:textId="17DB8E05" w:rsidR="006D4612" w:rsidRPr="006D4612" w:rsidRDefault="006D4612" w:rsidP="00956452">
      <w:pPr>
        <w:pStyle w:val="EndNoteBibliography"/>
      </w:pPr>
      <w:r w:rsidRPr="006D4612">
        <w:t xml:space="preserve">Ye, L, Mesbah Ardakani, N, Thomas, C, Spilsbury, K, Leslie, C, Amanuel, B &amp; Millward, M 2020, 'Detection of Low-level EGFR c.2369 C &gt; T (p.Thr790Met) Resistance Mutation in Pre-treatment Non-small Cell Lung Carcinomas Harboring Activating EGFR Mutations and Correlation with Clinical Outcomes', </w:t>
      </w:r>
      <w:r w:rsidRPr="006D4612">
        <w:rPr>
          <w:i/>
        </w:rPr>
        <w:t>Pathol Oncol Res</w:t>
      </w:r>
      <w:r w:rsidRPr="006D4612">
        <w:t>, vol. 26, no. 4, Oct, pp. 2371-2379.</w:t>
      </w:r>
    </w:p>
    <w:p w14:paraId="6B4099D6" w14:textId="5CE41E32" w:rsidR="006D4612" w:rsidRPr="006D4612" w:rsidRDefault="006D4612" w:rsidP="00956452">
      <w:pPr>
        <w:pStyle w:val="EndNoteBibliography"/>
      </w:pPr>
      <w:r w:rsidRPr="006D4612">
        <w:t xml:space="preserve">Yu, TM, Morrison, C, Gold, EJ, Tradonsky, A &amp; Layton, AJ 2019, 'Multiple Biomarker Testing Tissue Consumption and Completion Rates With Single-gene Tests and Investigational Use of Oncomine Dx Target Test for Advanced Non-Small-cell Lung Cancer: A Single-center Analysis', </w:t>
      </w:r>
      <w:r w:rsidRPr="006D4612">
        <w:rPr>
          <w:i/>
        </w:rPr>
        <w:t>Clinical Lung Cancer</w:t>
      </w:r>
      <w:r w:rsidRPr="006D4612">
        <w:t>, vol. 20(1), January, pp. 20-29.e28.</w:t>
      </w:r>
    </w:p>
    <w:p w14:paraId="0A47DD4E" w14:textId="36674FD6" w:rsidR="006D4612" w:rsidRPr="006D4612" w:rsidRDefault="006D4612" w:rsidP="00956452">
      <w:pPr>
        <w:pStyle w:val="EndNoteBibliography"/>
      </w:pPr>
      <w:r w:rsidRPr="006D4612">
        <w:t xml:space="preserve">Zeng, L, Li, Y, Xiao, L, Xiong, Y, Liu, L, Jiang, W, Heng, J, Qu, J, Yang, N &amp; Zhang, Y 2018, 'Crizotinib presented with promising efficacy but for concomitant mutation in next-generation sequencing-identified ROS1-rearranged non-small-cell lung cancer', </w:t>
      </w:r>
      <w:r w:rsidRPr="006D4612">
        <w:rPr>
          <w:i/>
        </w:rPr>
        <w:t>OncoTargets and therapy</w:t>
      </w:r>
      <w:r w:rsidRPr="006D4612">
        <w:t>, vol. 11, no. NA, pp. 6937-6945.</w:t>
      </w:r>
    </w:p>
    <w:p w14:paraId="024F6CFE" w14:textId="77777777" w:rsidR="006D4612" w:rsidRPr="006D4612" w:rsidRDefault="006D4612" w:rsidP="006D4612">
      <w:pPr>
        <w:pStyle w:val="EndNoteBibliography"/>
      </w:pPr>
      <w:r w:rsidRPr="006D4612">
        <w:t xml:space="preserve">Zugazagoitia, J, Rueda, D, Carrizo, N, Enguita, AB, Gómez-Sánchez, D, Díaz-Serrano, A, Jiménez, E, Mérida, A, Calero, R, Lujan, R, De Miguel, E, Gámez, P, Díaz-Hellín, V, Nuñez, JA, Iglesias, L, Ferrer, I, Paz-Ares, L &amp; Ponce-Aix, S 2018, 'Prospective Clinical Integration of an Amplicon-Based Next-Generation Sequencing Method to Select Advanced Non–Small-Cell Lung Cancer Patients for Genotype-Tailored Treatments', </w:t>
      </w:r>
      <w:r w:rsidRPr="006D4612">
        <w:rPr>
          <w:i/>
        </w:rPr>
        <w:t>Clinical Lung Cancer</w:t>
      </w:r>
      <w:r w:rsidRPr="006D4612">
        <w:t>, vol. 19, no. 1, pp. 65-73.e67.</w:t>
      </w:r>
    </w:p>
    <w:p w14:paraId="0C735CA0" w14:textId="77777777" w:rsidR="006D4612" w:rsidRPr="006D4612" w:rsidRDefault="006D4612" w:rsidP="006D4612">
      <w:pPr>
        <w:pStyle w:val="EndNoteBibliography"/>
      </w:pPr>
    </w:p>
    <w:p w14:paraId="4C218EF3" w14:textId="3C14FE7A" w:rsidR="00804632" w:rsidRPr="003251C2" w:rsidRDefault="00442488" w:rsidP="00442488">
      <w:r>
        <w:fldChar w:fldCharType="end"/>
      </w:r>
      <w:r w:rsidR="00804632" w:rsidRPr="003251C2">
        <w:br w:type="page"/>
      </w:r>
    </w:p>
    <w:p w14:paraId="62F82225" w14:textId="14FB5D56" w:rsidR="00804632" w:rsidRPr="00CE28E3" w:rsidRDefault="00804632" w:rsidP="000A10BF">
      <w:pPr>
        <w:pStyle w:val="Heading1"/>
        <w:numPr>
          <w:ilvl w:val="0"/>
          <w:numId w:val="0"/>
        </w:numPr>
        <w:tabs>
          <w:tab w:val="left" w:pos="2835"/>
        </w:tabs>
        <w:ind w:left="2835" w:hanging="2835"/>
      </w:pPr>
      <w:bookmarkStart w:id="244" w:name="_Ref56607849"/>
      <w:bookmarkStart w:id="245" w:name="_Toc54940865"/>
      <w:bookmarkStart w:id="246" w:name="_Toc148531193"/>
      <w:r w:rsidRPr="00CE28E3">
        <w:lastRenderedPageBreak/>
        <w:t xml:space="preserve">Appendix </w:t>
      </w:r>
      <w:fldSimple w:instr=" SEQ Appendix \* ALPHABETIC ">
        <w:r w:rsidR="00C857F3">
          <w:rPr>
            <w:noProof/>
          </w:rPr>
          <w:t>A</w:t>
        </w:r>
      </w:fldSimple>
      <w:bookmarkEnd w:id="244"/>
      <w:r w:rsidRPr="00CE28E3">
        <w:tab/>
      </w:r>
      <w:bookmarkEnd w:id="245"/>
      <w:r w:rsidRPr="00CE28E3">
        <w:t>Systematic review methods</w:t>
      </w:r>
      <w:bookmarkEnd w:id="246"/>
      <w:r w:rsidR="00C554B5">
        <w:t xml:space="preserve"> </w:t>
      </w:r>
    </w:p>
    <w:p w14:paraId="319984BE" w14:textId="02B1D5D0" w:rsidR="00804632" w:rsidRPr="00CE28E3" w:rsidRDefault="00804632" w:rsidP="00D00E36">
      <w:pPr>
        <w:pStyle w:val="Heading2"/>
        <w:numPr>
          <w:ilvl w:val="0"/>
          <w:numId w:val="0"/>
        </w:numPr>
        <w:ind w:left="357" w:hanging="357"/>
      </w:pPr>
      <w:bookmarkStart w:id="247" w:name="_Toc54940792"/>
      <w:bookmarkStart w:id="248" w:name="_Toc148531194"/>
      <w:r w:rsidRPr="00CE28E3">
        <w:t>Method of assessment and research questions</w:t>
      </w:r>
      <w:bookmarkEnd w:id="247"/>
      <w:bookmarkEnd w:id="248"/>
      <w:r w:rsidR="00E63DAA" w:rsidRPr="00CE28E3">
        <w:t xml:space="preserve"> </w:t>
      </w:r>
    </w:p>
    <w:p w14:paraId="7DB622F9" w14:textId="11B01579" w:rsidR="0046680B" w:rsidRPr="0046680B" w:rsidRDefault="0046680B" w:rsidP="008B5D7A">
      <w:pPr>
        <w:pStyle w:val="Instructionaltext"/>
        <w:rPr>
          <w:color w:val="auto"/>
        </w:rPr>
      </w:pPr>
      <w:r w:rsidRPr="0046680B">
        <w:rPr>
          <w:color w:val="auto"/>
        </w:rPr>
        <w:t xml:space="preserve">The assessment framework used to link the test population through to health outcomes is shown </w:t>
      </w:r>
      <w:r w:rsidRPr="00842E29">
        <w:rPr>
          <w:color w:val="auto"/>
        </w:rPr>
        <w:t xml:space="preserve">in </w:t>
      </w:r>
      <w:r w:rsidRPr="00956452">
        <w:rPr>
          <w:color w:val="auto"/>
        </w:rPr>
        <w:fldChar w:fldCharType="begin"/>
      </w:r>
      <w:r w:rsidRPr="00842E29">
        <w:rPr>
          <w:color w:val="auto"/>
        </w:rPr>
        <w:instrText xml:space="preserve"> REF _Ref108965575 \h </w:instrText>
      </w:r>
      <w:r w:rsidRPr="00956452">
        <w:rPr>
          <w:color w:val="auto"/>
        </w:rPr>
      </w:r>
      <w:r w:rsidRPr="00956452">
        <w:rPr>
          <w:color w:val="auto"/>
        </w:rPr>
        <w:fldChar w:fldCharType="separate"/>
      </w:r>
      <w:r w:rsidR="00C857F3" w:rsidRPr="000935B4">
        <w:t>Figure </w:t>
      </w:r>
      <w:r w:rsidR="00C857F3">
        <w:rPr>
          <w:noProof/>
        </w:rPr>
        <w:t>20</w:t>
      </w:r>
      <w:r w:rsidRPr="00956452">
        <w:rPr>
          <w:color w:val="auto"/>
        </w:rPr>
        <w:fldChar w:fldCharType="end"/>
      </w:r>
      <w:r w:rsidRPr="000935B4">
        <w:rPr>
          <w:color w:val="auto"/>
        </w:rPr>
        <w:t xml:space="preserve">. The </w:t>
      </w:r>
      <w:r w:rsidRPr="0046680B">
        <w:rPr>
          <w:color w:val="auto"/>
        </w:rPr>
        <w:t xml:space="preserve">assessment identified a very small amount of predictive evidence which linked testing through to health outcomes (component 1 in the figure below). The assessment also examined the claims regarding superiority of NGS based on turnaround time, the efficient use of tumour tissue, and the detection of concurrent variants. </w:t>
      </w:r>
    </w:p>
    <w:p w14:paraId="6590B22C" w14:textId="77777777" w:rsidR="0046680B" w:rsidRPr="00BA1FFB" w:rsidRDefault="0046680B" w:rsidP="0046680B">
      <w:pPr>
        <w:keepNext/>
      </w:pPr>
      <w:bookmarkStart w:id="249" w:name="_Toc54940793"/>
      <w:r w:rsidRPr="00392088">
        <w:rPr>
          <w:noProof/>
          <w:lang w:eastAsia="en-AU"/>
        </w:rPr>
        <w:drawing>
          <wp:inline distT="0" distB="0" distL="0" distR="0" wp14:anchorId="2162579D" wp14:editId="00000436">
            <wp:extent cx="5731510" cy="3688715"/>
            <wp:effectExtent l="0" t="0" r="2540" b="6985"/>
            <wp:docPr id="7" name="Picture 7" descr="Assessment framework for small DNA/RNA NGS panel for NSCLC" title="Assessment framework for small DNA/RNA NGS panel for NS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688715"/>
                    </a:xfrm>
                    <a:prstGeom prst="rect">
                      <a:avLst/>
                    </a:prstGeom>
                  </pic:spPr>
                </pic:pic>
              </a:graphicData>
            </a:graphic>
          </wp:inline>
        </w:drawing>
      </w:r>
    </w:p>
    <w:p w14:paraId="7B102E54" w14:textId="6DEC40AC" w:rsidR="0046680B" w:rsidRPr="00CE28E3" w:rsidRDefault="0046680B" w:rsidP="0046680B">
      <w:pPr>
        <w:pStyle w:val="Caption"/>
      </w:pPr>
      <w:bookmarkStart w:id="250" w:name="_Ref108965575"/>
      <w:r w:rsidRPr="000935B4">
        <w:t>Figure </w:t>
      </w:r>
      <w:fldSimple w:instr=" SEQ Figure \* ARABIC ">
        <w:r w:rsidR="00C857F3">
          <w:rPr>
            <w:noProof/>
          </w:rPr>
          <w:t>20</w:t>
        </w:r>
      </w:fldSimple>
      <w:bookmarkEnd w:id="250"/>
      <w:r w:rsidRPr="000935B4">
        <w:tab/>
      </w:r>
      <w:r w:rsidRPr="00CE28E3">
        <w:t xml:space="preserve">Assessment framework for </w:t>
      </w:r>
      <w:r>
        <w:t>small DNA/RNA NGS panel</w:t>
      </w:r>
      <w:r w:rsidRPr="00F1508C">
        <w:t xml:space="preserve"> for </w:t>
      </w:r>
      <w:r>
        <w:t>NSCLC</w:t>
      </w:r>
    </w:p>
    <w:p w14:paraId="36CE3F62" w14:textId="77777777" w:rsidR="0046680B" w:rsidRPr="00CE28E3" w:rsidRDefault="0046680B" w:rsidP="0046680B">
      <w:pPr>
        <w:pStyle w:val="TableFigureFooter"/>
      </w:pPr>
      <w:r w:rsidRPr="00CE28E3">
        <w:t xml:space="preserve">Figure notes: 1: direct from test to health outcomes evidence; 2: test </w:t>
      </w:r>
      <w:r>
        <w:t xml:space="preserve">performance; 3: change in </w:t>
      </w:r>
      <w:r w:rsidRPr="00CE28E3">
        <w:t>treatment/management; 4:</w:t>
      </w:r>
      <w:r>
        <w:t> </w:t>
      </w:r>
      <w:r w:rsidRPr="00CE28E3">
        <w:t>influence of the change in management on health outcomes</w:t>
      </w:r>
    </w:p>
    <w:p w14:paraId="66569064" w14:textId="77777777" w:rsidR="00804632" w:rsidRPr="00CE28E3" w:rsidRDefault="00804632" w:rsidP="008B5D7A">
      <w:pPr>
        <w:pStyle w:val="Heading3"/>
      </w:pPr>
      <w:bookmarkStart w:id="251" w:name="_Toc148531195"/>
      <w:r w:rsidRPr="00CE28E3">
        <w:t>Systematic review questions</w:t>
      </w:r>
      <w:bookmarkEnd w:id="249"/>
      <w:bookmarkEnd w:id="251"/>
    </w:p>
    <w:p w14:paraId="4C45E2BC" w14:textId="77777777" w:rsidR="00804632" w:rsidRPr="00D00E36" w:rsidRDefault="00804632" w:rsidP="00D00E36">
      <w:pPr>
        <w:spacing w:before="360" w:after="240" w:line="240" w:lineRule="auto"/>
        <w:rPr>
          <w:b/>
          <w:bCs/>
          <w:i/>
          <w:iCs/>
          <w:sz w:val="24"/>
          <w:szCs w:val="24"/>
        </w:rPr>
      </w:pPr>
      <w:r w:rsidRPr="00D00E36">
        <w:rPr>
          <w:b/>
          <w:bCs/>
          <w:i/>
          <w:iCs/>
          <w:sz w:val="24"/>
          <w:szCs w:val="24"/>
        </w:rPr>
        <w:t>DIRECT FROM TEST TO HEALTH OUTCOMES EVIDENCE</w:t>
      </w:r>
    </w:p>
    <w:p w14:paraId="30182C47" w14:textId="17DE1BF3" w:rsidR="00804632" w:rsidRDefault="00CA22E2" w:rsidP="00ED251B">
      <w:pPr>
        <w:pStyle w:val="ListParagraph"/>
        <w:numPr>
          <w:ilvl w:val="0"/>
          <w:numId w:val="7"/>
        </w:numPr>
        <w:spacing w:after="240" w:line="240" w:lineRule="auto"/>
      </w:pPr>
      <w:r>
        <w:t>Does the use of</w:t>
      </w:r>
      <w:r w:rsidR="00804632" w:rsidRPr="00CE28E3">
        <w:t xml:space="preserve"> </w:t>
      </w:r>
      <w:r>
        <w:t>a small NGS DNA/RNA panel</w:t>
      </w:r>
      <w:r w:rsidR="00804632" w:rsidRPr="00CE28E3">
        <w:t xml:space="preserve"> in place of </w:t>
      </w:r>
      <w:r>
        <w:t>sequential single gene testing</w:t>
      </w:r>
      <w:r w:rsidR="00804632" w:rsidRPr="00CE28E3">
        <w:t xml:space="preserve"> result in the claimed superior health outcomes? </w:t>
      </w:r>
    </w:p>
    <w:p w14:paraId="667CDE89" w14:textId="77777777" w:rsidR="001900BA" w:rsidRPr="00CE28E3" w:rsidRDefault="001900BA" w:rsidP="001900BA">
      <w:pPr>
        <w:pStyle w:val="ListParagraph"/>
        <w:numPr>
          <w:ilvl w:val="0"/>
          <w:numId w:val="7"/>
        </w:numPr>
        <w:spacing w:after="240" w:line="240" w:lineRule="auto"/>
      </w:pPr>
      <w:r w:rsidRPr="00CE28E3">
        <w:t xml:space="preserve">What are the adverse events associated with the </w:t>
      </w:r>
      <w:r>
        <w:t xml:space="preserve">small NGS DNA/RNA panel(s) </w:t>
      </w:r>
      <w:r w:rsidRPr="00CE28E3">
        <w:t xml:space="preserve">and the </w:t>
      </w:r>
      <w:r>
        <w:t>sequential single gene testing</w:t>
      </w:r>
      <w:r w:rsidRPr="00CE28E3">
        <w:t>?</w:t>
      </w:r>
    </w:p>
    <w:p w14:paraId="3EE307CD" w14:textId="77777777" w:rsidR="001900BA" w:rsidRPr="00CE28E3" w:rsidRDefault="001900BA" w:rsidP="001900BA">
      <w:pPr>
        <w:pStyle w:val="ListParagraph"/>
        <w:spacing w:after="240" w:line="240" w:lineRule="auto"/>
      </w:pPr>
    </w:p>
    <w:p w14:paraId="5A2BA1A4" w14:textId="77777777" w:rsidR="00804632" w:rsidRPr="003466F9" w:rsidRDefault="00804632" w:rsidP="003466F9">
      <w:pPr>
        <w:spacing w:before="360" w:after="240" w:line="240" w:lineRule="auto"/>
        <w:rPr>
          <w:b/>
          <w:bCs/>
          <w:i/>
          <w:iCs/>
          <w:sz w:val="24"/>
          <w:szCs w:val="24"/>
        </w:rPr>
      </w:pPr>
      <w:r w:rsidRPr="003466F9">
        <w:rPr>
          <w:b/>
          <w:bCs/>
          <w:i/>
          <w:iCs/>
          <w:sz w:val="24"/>
          <w:szCs w:val="24"/>
        </w:rPr>
        <w:t>LINKED EVIDENCE</w:t>
      </w:r>
    </w:p>
    <w:p w14:paraId="56E4F521" w14:textId="4E915416" w:rsidR="00804632" w:rsidRPr="00CE28E3" w:rsidRDefault="00804632" w:rsidP="00ED251B">
      <w:pPr>
        <w:pStyle w:val="ListParagraph"/>
        <w:numPr>
          <w:ilvl w:val="0"/>
          <w:numId w:val="7"/>
        </w:numPr>
        <w:spacing w:after="240" w:line="240" w:lineRule="auto"/>
      </w:pPr>
      <w:r w:rsidRPr="00CE28E3">
        <w:lastRenderedPageBreak/>
        <w:t xml:space="preserve">How does the information from the </w:t>
      </w:r>
      <w:r w:rsidR="00CA22E2">
        <w:t>NGS DNA/RNA panel differ from that of sequential single gene testing</w:t>
      </w:r>
      <w:r w:rsidRPr="00CE28E3">
        <w:t xml:space="preserve">? What is the concordance of the findings from </w:t>
      </w:r>
      <w:r w:rsidR="00CA22E2">
        <w:t>NGS DNA/RNA panel</w:t>
      </w:r>
      <w:r w:rsidRPr="00CE28E3">
        <w:t xml:space="preserve"> relative to </w:t>
      </w:r>
      <w:r w:rsidR="00CA22E2">
        <w:t>sequential single gene testing (in particular, the clinical utility standard)</w:t>
      </w:r>
      <w:r w:rsidRPr="00CE28E3">
        <w:t>?</w:t>
      </w:r>
    </w:p>
    <w:p w14:paraId="289CEA0D" w14:textId="77777777" w:rsidR="00804632" w:rsidRPr="00CE28E3" w:rsidRDefault="00804632" w:rsidP="00ED251B">
      <w:pPr>
        <w:pStyle w:val="ListParagraph"/>
        <w:numPr>
          <w:ilvl w:val="1"/>
          <w:numId w:val="7"/>
        </w:numPr>
        <w:spacing w:after="240" w:line="240" w:lineRule="auto"/>
      </w:pPr>
      <w:r w:rsidRPr="00CE28E3">
        <w:t xml:space="preserve">If there are multiple tests in clinical practice likely to be able to utilise the same funding arrangements, are these tests concordant with the proposed test and/or clinical utility standard? </w:t>
      </w:r>
    </w:p>
    <w:p w14:paraId="26CBC041" w14:textId="735C9467" w:rsidR="00804632" w:rsidRPr="00CE28E3" w:rsidRDefault="000F48C2" w:rsidP="00ED251B">
      <w:pPr>
        <w:pStyle w:val="ListParagraph"/>
        <w:numPr>
          <w:ilvl w:val="0"/>
          <w:numId w:val="7"/>
        </w:numPr>
        <w:spacing w:after="240" w:line="240" w:lineRule="auto"/>
      </w:pPr>
      <w:r>
        <w:t>How does use of small NGS DNA/RNA panel(s) alter the management of patients compared to sequential single gene testing</w:t>
      </w:r>
      <w:r w:rsidR="00804632" w:rsidRPr="00CE28E3">
        <w:t xml:space="preserve">? </w:t>
      </w:r>
    </w:p>
    <w:p w14:paraId="719B34AF" w14:textId="5F7DBDFF" w:rsidR="00804632" w:rsidRPr="00CE28E3" w:rsidRDefault="00804632" w:rsidP="00ED251B">
      <w:pPr>
        <w:pStyle w:val="ListParagraph"/>
        <w:numPr>
          <w:ilvl w:val="0"/>
          <w:numId w:val="7"/>
        </w:numPr>
        <w:spacing w:after="240" w:line="240" w:lineRule="auto"/>
      </w:pPr>
      <w:r w:rsidRPr="00CE28E3">
        <w:t xml:space="preserve">Do the differences in the management derived from </w:t>
      </w:r>
      <w:r w:rsidR="000F48C2">
        <w:t>small NGS DNA/RNA panel(s)</w:t>
      </w:r>
      <w:r w:rsidRPr="00CE28E3">
        <w:t xml:space="preserve">, relative to </w:t>
      </w:r>
      <w:r w:rsidR="000F48C2">
        <w:t>sequential single gene testing</w:t>
      </w:r>
      <w:r w:rsidRPr="00CE28E3">
        <w:t xml:space="preserve"> (e</w:t>
      </w:r>
      <w:r w:rsidR="00FE74DF">
        <w:t>.</w:t>
      </w:r>
      <w:r w:rsidRPr="00CE28E3">
        <w:t>g</w:t>
      </w:r>
      <w:r w:rsidR="00FE74DF">
        <w:t>.</w:t>
      </w:r>
      <w:r w:rsidRPr="00CE28E3">
        <w:t xml:space="preserve"> differences in </w:t>
      </w:r>
      <w:r w:rsidR="000F48C2">
        <w:t>rate of biopsies, type of treatment received, or timing of treatment</w:t>
      </w:r>
      <w:r w:rsidRPr="00CE28E3">
        <w:t>), result in the claimed health outcomes?</w:t>
      </w:r>
    </w:p>
    <w:p w14:paraId="09A975A7" w14:textId="77777777" w:rsidR="000F48C2" w:rsidRDefault="000F48C2" w:rsidP="000F48C2">
      <w:pPr>
        <w:pStyle w:val="ListParagraph"/>
        <w:spacing w:after="240" w:line="240" w:lineRule="auto"/>
        <w:ind w:left="1440"/>
      </w:pPr>
    </w:p>
    <w:p w14:paraId="5C48EDD5" w14:textId="6DF42AE8" w:rsidR="00804632" w:rsidRPr="00CE28E3" w:rsidRDefault="001900BA" w:rsidP="00ED251B">
      <w:pPr>
        <w:pStyle w:val="ListParagraph"/>
        <w:numPr>
          <w:ilvl w:val="1"/>
          <w:numId w:val="7"/>
        </w:numPr>
        <w:spacing w:after="240" w:line="240" w:lineRule="auto"/>
      </w:pPr>
      <w:r>
        <w:t>If</w:t>
      </w:r>
      <w:r w:rsidR="000F48C2">
        <w:t xml:space="preserve"> </w:t>
      </w:r>
      <w:r>
        <w:t xml:space="preserve">NGS DNA/RNA panel results in </w:t>
      </w:r>
      <w:r w:rsidR="000F48C2">
        <w:t>targeted treatment</w:t>
      </w:r>
      <w:r w:rsidR="00804632" w:rsidRPr="00CE28E3">
        <w:t xml:space="preserve"> </w:t>
      </w:r>
      <w:r>
        <w:t xml:space="preserve">being </w:t>
      </w:r>
      <w:r w:rsidR="00804632" w:rsidRPr="00CE28E3">
        <w:t xml:space="preserve">provided to a </w:t>
      </w:r>
      <w:r>
        <w:t xml:space="preserve">broader </w:t>
      </w:r>
      <w:r w:rsidR="00804632" w:rsidRPr="00CE28E3">
        <w:t xml:space="preserve">population </w:t>
      </w:r>
      <w:r>
        <w:t>than</w:t>
      </w:r>
      <w:r w:rsidR="00804632" w:rsidRPr="00CE28E3">
        <w:t xml:space="preserve"> the </w:t>
      </w:r>
      <w:r w:rsidR="000F48C2">
        <w:t>clinical utility standard i</w:t>
      </w:r>
      <w:r w:rsidR="00804632" w:rsidRPr="00CE28E3">
        <w:t>dentifies</w:t>
      </w:r>
      <w:r>
        <w:t>, what are the health outcomes associated with this treatment</w:t>
      </w:r>
      <w:r w:rsidR="00804632" w:rsidRPr="00CE28E3">
        <w:t xml:space="preserve">? Is it biologically plausible that the </w:t>
      </w:r>
      <w:r>
        <w:t xml:space="preserve">size of effect from the </w:t>
      </w:r>
      <w:r w:rsidR="000F48C2">
        <w:t xml:space="preserve">targeted </w:t>
      </w:r>
      <w:r w:rsidR="00804632" w:rsidRPr="00CE28E3">
        <w:t>treatment will be</w:t>
      </w:r>
      <w:r>
        <w:t xml:space="preserve"> as effective in this population as those identified from the clinical utility standard</w:t>
      </w:r>
      <w:r w:rsidR="00804632" w:rsidRPr="00CE28E3">
        <w:t xml:space="preserve">? </w:t>
      </w:r>
    </w:p>
    <w:p w14:paraId="507C7749" w14:textId="70BC910D" w:rsidR="00804632" w:rsidRPr="00CE28E3" w:rsidRDefault="00804632" w:rsidP="00ED251B">
      <w:pPr>
        <w:pStyle w:val="ListParagraph"/>
        <w:numPr>
          <w:ilvl w:val="0"/>
          <w:numId w:val="7"/>
        </w:numPr>
        <w:spacing w:after="240" w:line="240" w:lineRule="auto"/>
      </w:pPr>
      <w:r w:rsidRPr="00CE28E3">
        <w:t xml:space="preserve">What are the adverse events </w:t>
      </w:r>
      <w:r w:rsidR="001900BA">
        <w:t>associated with rebiopsies</w:t>
      </w:r>
      <w:r w:rsidRPr="00CE28E3">
        <w:t>?</w:t>
      </w:r>
    </w:p>
    <w:p w14:paraId="51F91983" w14:textId="77777777" w:rsidR="00804632" w:rsidRPr="00CE28E3" w:rsidRDefault="00804632" w:rsidP="007951D4">
      <w:pPr>
        <w:pStyle w:val="Heading2"/>
        <w:numPr>
          <w:ilvl w:val="0"/>
          <w:numId w:val="0"/>
        </w:numPr>
        <w:ind w:left="357" w:hanging="357"/>
      </w:pPr>
      <w:bookmarkStart w:id="252" w:name="_Toc54940794"/>
      <w:bookmarkStart w:id="253" w:name="_Toc148531196"/>
      <w:r w:rsidRPr="00CE28E3">
        <w:t>Development of a research protocol</w:t>
      </w:r>
      <w:bookmarkEnd w:id="252"/>
      <w:bookmarkEnd w:id="253"/>
    </w:p>
    <w:p w14:paraId="5C54A94E" w14:textId="11EF28F9" w:rsidR="00804632" w:rsidRPr="00CE28E3" w:rsidRDefault="00804632" w:rsidP="00804632">
      <w:pPr>
        <w:spacing w:line="276" w:lineRule="auto"/>
      </w:pPr>
      <w:r w:rsidRPr="00CE28E3">
        <w:t>Prior to the start of the systematic review, a research protocol was developed, based on the PICO confirmation ratified by the</w:t>
      </w:r>
      <w:r w:rsidR="00AC720A">
        <w:t xml:space="preserve"> </w:t>
      </w:r>
      <w:r w:rsidR="00D45750">
        <w:t>PICO</w:t>
      </w:r>
      <w:r w:rsidRPr="00CE28E3">
        <w:t xml:space="preserve"> Advisory Sub-Committee of MSAC</w:t>
      </w:r>
      <w:r w:rsidR="004A2878">
        <w:t xml:space="preserve"> for MSAC assessment 1634 (Comprehensive genomic profiling in NSCLC) and MSAC assessment 1495 (Somatic tumour panel testing in NSCLC)</w:t>
      </w:r>
      <w:r w:rsidRPr="00CE28E3">
        <w:t xml:space="preserve">. The research protocol was registered with the </w:t>
      </w:r>
      <w:r w:rsidR="00FE74DF">
        <w:t>i</w:t>
      </w:r>
      <w:r w:rsidRPr="00CE28E3">
        <w:t xml:space="preserve">nternational prospective register of systematic reviews (PROSPERO) with the registration number </w:t>
      </w:r>
      <w:r w:rsidR="007F73CD">
        <w:t>CRD42022334620.</w:t>
      </w:r>
    </w:p>
    <w:p w14:paraId="36EFF2B3" w14:textId="77777777" w:rsidR="00804632" w:rsidRPr="00CE28E3" w:rsidRDefault="00804632" w:rsidP="007951D4">
      <w:pPr>
        <w:pStyle w:val="Heading2"/>
        <w:numPr>
          <w:ilvl w:val="0"/>
          <w:numId w:val="0"/>
        </w:numPr>
        <w:ind w:left="357" w:hanging="357"/>
      </w:pPr>
      <w:bookmarkStart w:id="254" w:name="_Toc54940795"/>
      <w:bookmarkStart w:id="255" w:name="_Toc148531197"/>
      <w:r w:rsidRPr="00CE28E3">
        <w:t>PICO criteria</w:t>
      </w:r>
      <w:bookmarkEnd w:id="254"/>
      <w:bookmarkEnd w:id="255"/>
    </w:p>
    <w:p w14:paraId="2E3E7CF1" w14:textId="760DF548" w:rsidR="00804632" w:rsidRPr="00CE28E3" w:rsidRDefault="00804632" w:rsidP="00804632">
      <w:pPr>
        <w:spacing w:before="240"/>
      </w:pPr>
      <w:r w:rsidRPr="00CE28E3">
        <w:t xml:space="preserve">The Prior tests, Population, Investigation/Index test, Comparator and Outcomes (PPICO) that were prespecified to guide the systematic literature review </w:t>
      </w:r>
      <w:r w:rsidRPr="00FE4739">
        <w:t>for direct evidence</w:t>
      </w:r>
      <w:r w:rsidRPr="00CE28E3">
        <w:t xml:space="preserve"> are presented in</w:t>
      </w:r>
      <w:r w:rsidR="00E54221">
        <w:t xml:space="preserve"> </w:t>
      </w:r>
      <w:r w:rsidR="00E54221">
        <w:fldChar w:fldCharType="begin"/>
      </w:r>
      <w:r w:rsidR="00E54221">
        <w:instrText xml:space="preserve"> REF _Ref69728501 \h </w:instrText>
      </w:r>
      <w:r w:rsidR="00E54221">
        <w:fldChar w:fldCharType="separate"/>
      </w:r>
      <w:r w:rsidR="00C857F3" w:rsidRPr="00CE28E3">
        <w:t>Table</w:t>
      </w:r>
      <w:r w:rsidR="00C857F3">
        <w:t> </w:t>
      </w:r>
      <w:r w:rsidR="00C857F3">
        <w:rPr>
          <w:noProof/>
        </w:rPr>
        <w:t>72</w:t>
      </w:r>
      <w:r w:rsidR="00E54221">
        <w:fldChar w:fldCharType="end"/>
      </w:r>
      <w:r w:rsidRPr="00CE28E3">
        <w:t>.</w:t>
      </w:r>
    </w:p>
    <w:p w14:paraId="34D1C903" w14:textId="148DE502" w:rsidR="00804632" w:rsidRPr="00CE28E3" w:rsidRDefault="00804632" w:rsidP="00804632">
      <w:pPr>
        <w:pStyle w:val="Caption"/>
      </w:pPr>
      <w:bookmarkStart w:id="256" w:name="_Ref69728501"/>
      <w:r w:rsidRPr="00CE28E3">
        <w:t>Table</w:t>
      </w:r>
      <w:r w:rsidR="00E54221">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72</w:t>
      </w:r>
      <w:r w:rsidRPr="00CE28E3">
        <w:rPr>
          <w:noProof/>
        </w:rPr>
        <w:fldChar w:fldCharType="end"/>
      </w:r>
      <w:bookmarkEnd w:id="256"/>
      <w:r w:rsidRPr="00CE28E3">
        <w:tab/>
        <w:t xml:space="preserve">PPICO criteria for assessing </w:t>
      </w:r>
      <w:r w:rsidR="00BB34C8">
        <w:t>small DNA/RNA panel(s)</w:t>
      </w:r>
      <w:r w:rsidRPr="00CE28E3">
        <w:t xml:space="preserve"> </w:t>
      </w:r>
      <w:r w:rsidRPr="00BB34C8">
        <w:t xml:space="preserve">for </w:t>
      </w:r>
      <w:r w:rsidR="00BB34C8" w:rsidRPr="00BB34C8">
        <w:t>NSCLC</w:t>
      </w:r>
      <w:r w:rsidRPr="00BB34C8">
        <w:t xml:space="preserve"> (direct</w:t>
      </w:r>
      <w:r w:rsidRPr="00CE28E3">
        <w:t xml:space="preserve"> from test to health outcomes evidence)</w:t>
      </w:r>
    </w:p>
    <w:tbl>
      <w:tblPr>
        <w:tblStyle w:val="TableGrid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PPICO criteria for assessing small DNA/RNA panel(s) for NSCLC (direct from test to health outcomes evidence)"/>
        <w:tblDescription w:val="PPICO criteria for assessing small DNA/RNA panel(s) for NSCLC (direct from test to health outcomes evidence)"/>
      </w:tblPr>
      <w:tblGrid>
        <w:gridCol w:w="2002"/>
        <w:gridCol w:w="7070"/>
      </w:tblGrid>
      <w:tr w:rsidR="00804632" w:rsidRPr="00CE28E3" w14:paraId="32C63AFA" w14:textId="77777777" w:rsidTr="008A5C6B">
        <w:trPr>
          <w:cnfStyle w:val="100000000000" w:firstRow="1" w:lastRow="0" w:firstColumn="0" w:lastColumn="0" w:oddVBand="0" w:evenVBand="0" w:oddHBand="0" w:evenHBand="0" w:firstRowFirstColumn="0" w:firstRowLastColumn="0" w:lastRowFirstColumn="0" w:lastRowLastColumn="0"/>
          <w:tblHeader/>
        </w:trPr>
        <w:tc>
          <w:tcPr>
            <w:tcW w:w="2002" w:type="dxa"/>
            <w:shd w:val="clear" w:color="auto" w:fill="auto"/>
          </w:tcPr>
          <w:p w14:paraId="6F1937C7" w14:textId="77777777" w:rsidR="00804632" w:rsidRPr="00CE28E3" w:rsidRDefault="00804632" w:rsidP="00804632">
            <w:pPr>
              <w:pStyle w:val="TableHeading0"/>
            </w:pPr>
            <w:bookmarkStart w:id="257" w:name="Title_Table41" w:colFirst="0" w:colLast="0"/>
            <w:r w:rsidRPr="00CE28E3">
              <w:t>Component</w:t>
            </w:r>
          </w:p>
        </w:tc>
        <w:tc>
          <w:tcPr>
            <w:tcW w:w="7070" w:type="dxa"/>
            <w:shd w:val="clear" w:color="auto" w:fill="auto"/>
          </w:tcPr>
          <w:p w14:paraId="357DB645" w14:textId="77777777" w:rsidR="00804632" w:rsidRPr="00CE28E3" w:rsidRDefault="00804632" w:rsidP="00804632">
            <w:pPr>
              <w:pStyle w:val="TableHeading0"/>
            </w:pPr>
            <w:r w:rsidRPr="00CE28E3">
              <w:t>Description</w:t>
            </w:r>
          </w:p>
        </w:tc>
      </w:tr>
      <w:bookmarkEnd w:id="257"/>
      <w:tr w:rsidR="0029704A" w:rsidRPr="00CE28E3" w14:paraId="3D9EB045" w14:textId="77777777" w:rsidTr="008A5C6B">
        <w:tc>
          <w:tcPr>
            <w:tcW w:w="2002" w:type="dxa"/>
            <w:shd w:val="clear" w:color="auto" w:fill="auto"/>
          </w:tcPr>
          <w:p w14:paraId="79D14E5A" w14:textId="096ADCEA" w:rsidR="0029704A" w:rsidRPr="00CE28E3" w:rsidRDefault="0029704A" w:rsidP="0029704A">
            <w:pPr>
              <w:pStyle w:val="TableText"/>
            </w:pPr>
            <w:r w:rsidRPr="00084393">
              <w:rPr>
                <w:rFonts w:cs="Arial"/>
              </w:rPr>
              <w:t>Patients</w:t>
            </w:r>
          </w:p>
        </w:tc>
        <w:tc>
          <w:tcPr>
            <w:tcW w:w="7070" w:type="dxa"/>
            <w:shd w:val="clear" w:color="auto" w:fill="auto"/>
          </w:tcPr>
          <w:p w14:paraId="6DB7C21C" w14:textId="63A9B17E" w:rsidR="0029704A" w:rsidRPr="00CE28E3" w:rsidRDefault="0029704A" w:rsidP="0029704A">
            <w:pPr>
              <w:pStyle w:val="TableText"/>
            </w:pPr>
            <w:r w:rsidRPr="00882F76">
              <w:rPr>
                <w:rFonts w:cs="Arial"/>
              </w:rPr>
              <w:t xml:space="preserve">Patients with non-squamous (or </w:t>
            </w:r>
            <w:r>
              <w:rPr>
                <w:rFonts w:cs="Arial"/>
              </w:rPr>
              <w:t xml:space="preserve">histology </w:t>
            </w:r>
            <w:r w:rsidRPr="00882F76">
              <w:rPr>
                <w:rFonts w:cs="Arial"/>
              </w:rPr>
              <w:t>not otherwise specified) non-small cell lung cancer (NSCLC)</w:t>
            </w:r>
          </w:p>
        </w:tc>
      </w:tr>
      <w:tr w:rsidR="0029704A" w:rsidRPr="00CE28E3" w14:paraId="2DD84DE9" w14:textId="77777777" w:rsidTr="008A5C6B">
        <w:tc>
          <w:tcPr>
            <w:tcW w:w="2002" w:type="dxa"/>
            <w:shd w:val="clear" w:color="auto" w:fill="auto"/>
          </w:tcPr>
          <w:p w14:paraId="0BDD29E6" w14:textId="46963FB8" w:rsidR="0029704A" w:rsidRPr="00CE28E3" w:rsidRDefault="0029704A" w:rsidP="0029704A">
            <w:pPr>
              <w:pStyle w:val="TableText"/>
            </w:pPr>
            <w:r>
              <w:rPr>
                <w:rFonts w:cs="Arial"/>
              </w:rPr>
              <w:t>Prior tests</w:t>
            </w:r>
          </w:p>
        </w:tc>
        <w:tc>
          <w:tcPr>
            <w:tcW w:w="7070" w:type="dxa"/>
            <w:shd w:val="clear" w:color="auto" w:fill="auto"/>
          </w:tcPr>
          <w:p w14:paraId="3E9D266F" w14:textId="0D1758D4" w:rsidR="0029704A" w:rsidRPr="00CE28E3" w:rsidRDefault="0029704A" w:rsidP="0029704A">
            <w:pPr>
              <w:pStyle w:val="TableText"/>
            </w:pPr>
            <w:r>
              <w:rPr>
                <w:rFonts w:cs="Arial"/>
              </w:rPr>
              <w:t>D</w:t>
            </w:r>
            <w:r w:rsidRPr="00D95C1C">
              <w:rPr>
                <w:rFonts w:cs="Arial"/>
              </w:rPr>
              <w:t>isea</w:t>
            </w:r>
            <w:r>
              <w:rPr>
                <w:rFonts w:cs="Arial"/>
              </w:rPr>
              <w:t>se staging and histology workup. This is part of routine management and there would be no change between the intervention and comparator</w:t>
            </w:r>
          </w:p>
        </w:tc>
      </w:tr>
      <w:tr w:rsidR="001B1F19" w:rsidRPr="00CE28E3" w14:paraId="72DD288E" w14:textId="77777777" w:rsidTr="008A5C6B">
        <w:tc>
          <w:tcPr>
            <w:tcW w:w="2002" w:type="dxa"/>
            <w:shd w:val="clear" w:color="auto" w:fill="auto"/>
          </w:tcPr>
          <w:p w14:paraId="5E31B876" w14:textId="4120EF66" w:rsidR="001B1F19" w:rsidRPr="00CE28E3" w:rsidRDefault="001B1F19" w:rsidP="001B1F19">
            <w:pPr>
              <w:pStyle w:val="TableText"/>
            </w:pPr>
            <w:r w:rsidRPr="00084393">
              <w:rPr>
                <w:rFonts w:cs="Arial"/>
              </w:rPr>
              <w:t>Intervention</w:t>
            </w:r>
          </w:p>
        </w:tc>
        <w:tc>
          <w:tcPr>
            <w:tcW w:w="7070" w:type="dxa"/>
            <w:shd w:val="clear" w:color="auto" w:fill="auto"/>
          </w:tcPr>
          <w:p w14:paraId="3113DC8C" w14:textId="77777777" w:rsidR="001B1F19" w:rsidRDefault="001B1F19" w:rsidP="001B1F19">
            <w:pPr>
              <w:pStyle w:val="TableText"/>
              <w:rPr>
                <w:rFonts w:cs="Arial"/>
              </w:rPr>
            </w:pPr>
            <w:r>
              <w:rPr>
                <w:rFonts w:cs="Arial"/>
              </w:rPr>
              <w:t>1. Small NGS panel</w:t>
            </w:r>
            <w:r w:rsidRPr="009B6FAE">
              <w:rPr>
                <w:rFonts w:cs="Arial"/>
              </w:rPr>
              <w:t xml:space="preserve"> to </w:t>
            </w:r>
            <w:r>
              <w:rPr>
                <w:rFonts w:cs="Arial"/>
              </w:rPr>
              <w:t xml:space="preserve">simultaneously test DNA/RNA for relevant point </w:t>
            </w:r>
            <w:r w:rsidRPr="00263150">
              <w:rPr>
                <w:rFonts w:cs="Arial"/>
              </w:rPr>
              <w:t>variants</w:t>
            </w:r>
            <w:r>
              <w:rPr>
                <w:rFonts w:cs="Arial"/>
              </w:rPr>
              <w:t>/small indels or fusions</w:t>
            </w:r>
            <w:r w:rsidRPr="00263150">
              <w:rPr>
                <w:rFonts w:cs="Arial"/>
              </w:rPr>
              <w:t xml:space="preserve"> in the</w:t>
            </w:r>
            <w:r>
              <w:rPr>
                <w:rFonts w:cs="Arial"/>
              </w:rPr>
              <w:t xml:space="preserve"> following genes: </w:t>
            </w:r>
            <w:r w:rsidRPr="00F57034">
              <w:rPr>
                <w:rFonts w:cs="Arial"/>
                <w:i/>
              </w:rPr>
              <w:t>EGFR</w:t>
            </w:r>
            <w:r>
              <w:rPr>
                <w:rFonts w:cs="Arial"/>
              </w:rPr>
              <w:t xml:space="preserve">, </w:t>
            </w:r>
            <w:r w:rsidRPr="00F57034">
              <w:rPr>
                <w:rFonts w:cs="Arial"/>
                <w:i/>
              </w:rPr>
              <w:t>ALK</w:t>
            </w:r>
            <w:r>
              <w:rPr>
                <w:rFonts w:cs="Arial"/>
              </w:rPr>
              <w:t xml:space="preserve">, </w:t>
            </w:r>
            <w:r w:rsidRPr="00F57034">
              <w:rPr>
                <w:rFonts w:cs="Arial"/>
                <w:i/>
              </w:rPr>
              <w:t>ROS1</w:t>
            </w:r>
            <w:r>
              <w:rPr>
                <w:rFonts w:cs="Arial"/>
                <w:i/>
              </w:rPr>
              <w:t xml:space="preserve">, </w:t>
            </w:r>
            <w:r>
              <w:rPr>
                <w:rFonts w:cs="Arial"/>
              </w:rPr>
              <w:t xml:space="preserve">and </w:t>
            </w:r>
            <w:r>
              <w:rPr>
                <w:rFonts w:cs="Arial"/>
                <w:i/>
              </w:rPr>
              <w:t>MET</w:t>
            </w:r>
            <w:r>
              <w:rPr>
                <w:rFonts w:cs="Arial"/>
              </w:rPr>
              <w:t>ex14sk; or</w:t>
            </w:r>
          </w:p>
          <w:p w14:paraId="65E9F840" w14:textId="77777777" w:rsidR="001B1F19" w:rsidRDefault="001B1F19" w:rsidP="001B1F19">
            <w:pPr>
              <w:pStyle w:val="TableText"/>
              <w:rPr>
                <w:rFonts w:cs="Arial"/>
                <w:i/>
              </w:rPr>
            </w:pPr>
            <w:r>
              <w:t xml:space="preserve">2. NGS DNA panel </w:t>
            </w:r>
            <w:r>
              <w:rPr>
                <w:rFonts w:cs="Arial"/>
              </w:rPr>
              <w:t xml:space="preserve">for relevant point </w:t>
            </w:r>
            <w:r w:rsidRPr="00263150">
              <w:rPr>
                <w:rFonts w:cs="Arial"/>
              </w:rPr>
              <w:t>variants</w:t>
            </w:r>
            <w:r>
              <w:rPr>
                <w:rFonts w:cs="Arial"/>
              </w:rPr>
              <w:t xml:space="preserve">/small indels </w:t>
            </w:r>
            <w:r w:rsidRPr="00263150">
              <w:rPr>
                <w:rFonts w:cs="Arial"/>
              </w:rPr>
              <w:t>in the</w:t>
            </w:r>
            <w:r>
              <w:rPr>
                <w:rFonts w:cs="Arial"/>
              </w:rPr>
              <w:t xml:space="preserve"> following genes: </w:t>
            </w:r>
            <w:r w:rsidRPr="00F57034">
              <w:rPr>
                <w:rFonts w:cs="Arial"/>
                <w:i/>
              </w:rPr>
              <w:t>EGFR</w:t>
            </w:r>
            <w:r>
              <w:rPr>
                <w:rFonts w:cs="Arial"/>
              </w:rPr>
              <w:t xml:space="preserve"> and </w:t>
            </w:r>
            <w:r>
              <w:rPr>
                <w:rFonts w:cs="Arial"/>
                <w:i/>
              </w:rPr>
              <w:t>MET</w:t>
            </w:r>
            <w:r>
              <w:rPr>
                <w:rFonts w:cs="Arial"/>
              </w:rPr>
              <w:t>ex14sk</w:t>
            </w:r>
            <w:r>
              <w:rPr>
                <w:rFonts w:cs="Arial"/>
                <w:i/>
              </w:rPr>
              <w:t xml:space="preserve">. </w:t>
            </w:r>
            <w:r w:rsidRPr="00096486">
              <w:rPr>
                <w:rFonts w:cs="Arial"/>
              </w:rPr>
              <w:t>If negative,</w:t>
            </w:r>
            <w:r>
              <w:rPr>
                <w:rFonts w:cs="Arial"/>
                <w:i/>
              </w:rPr>
              <w:t xml:space="preserve"> </w:t>
            </w:r>
            <w:r>
              <w:rPr>
                <w:rFonts w:cs="Arial"/>
              </w:rPr>
              <w:t xml:space="preserve">then an RNA panel for fusions in the following genes: </w:t>
            </w:r>
            <w:r>
              <w:rPr>
                <w:rFonts w:cs="Arial"/>
                <w:i/>
              </w:rPr>
              <w:t>ALK</w:t>
            </w:r>
            <w:r>
              <w:rPr>
                <w:rFonts w:cs="Arial"/>
              </w:rPr>
              <w:t xml:space="preserve"> and </w:t>
            </w:r>
            <w:r>
              <w:rPr>
                <w:rFonts w:cs="Arial"/>
                <w:i/>
              </w:rPr>
              <w:t>ROS1.</w:t>
            </w:r>
          </w:p>
          <w:p w14:paraId="347E7862" w14:textId="0493BB8B" w:rsidR="000C3DF6" w:rsidRPr="000C3DF6" w:rsidRDefault="000C3DF6" w:rsidP="001B1F19">
            <w:pPr>
              <w:pStyle w:val="TableText"/>
            </w:pPr>
            <w:r>
              <w:rPr>
                <w:rFonts w:cs="Arial"/>
              </w:rPr>
              <w:t>Testing performed on tumour tissue or cytology (not liquid biopsy).</w:t>
            </w:r>
          </w:p>
        </w:tc>
      </w:tr>
      <w:tr w:rsidR="0064738A" w:rsidRPr="00CE28E3" w14:paraId="6C16CDF0" w14:textId="77777777" w:rsidTr="008A5C6B">
        <w:tc>
          <w:tcPr>
            <w:tcW w:w="2002" w:type="dxa"/>
            <w:shd w:val="clear" w:color="auto" w:fill="auto"/>
          </w:tcPr>
          <w:p w14:paraId="2969D170" w14:textId="697C3DC2" w:rsidR="0064738A" w:rsidRPr="00CE28E3" w:rsidRDefault="0064738A" w:rsidP="0064738A">
            <w:pPr>
              <w:pStyle w:val="TableText"/>
            </w:pPr>
            <w:r w:rsidRPr="00084393">
              <w:rPr>
                <w:rFonts w:cs="Arial"/>
              </w:rPr>
              <w:t>Comparator</w:t>
            </w:r>
          </w:p>
        </w:tc>
        <w:tc>
          <w:tcPr>
            <w:tcW w:w="7070" w:type="dxa"/>
            <w:shd w:val="clear" w:color="auto" w:fill="auto"/>
          </w:tcPr>
          <w:p w14:paraId="3BD392B5" w14:textId="77777777" w:rsidR="0064738A" w:rsidRDefault="00222C47" w:rsidP="00491F02">
            <w:pPr>
              <w:pStyle w:val="TableText"/>
            </w:pPr>
            <w:r>
              <w:t>Sequential single gene t</w:t>
            </w:r>
            <w:r w:rsidRPr="009B6FAE">
              <w:t xml:space="preserve">esting for </w:t>
            </w:r>
            <w:r>
              <w:t xml:space="preserve">activating mutations in the </w:t>
            </w:r>
            <w:r w:rsidRPr="00F57034">
              <w:rPr>
                <w:i/>
              </w:rPr>
              <w:t>EGFR</w:t>
            </w:r>
            <w:r w:rsidRPr="009B6FAE">
              <w:t xml:space="preserve"> </w:t>
            </w:r>
            <w:r>
              <w:t xml:space="preserve">gene, </w:t>
            </w:r>
            <w:r>
              <w:rPr>
                <w:i/>
              </w:rPr>
              <w:t>MET</w:t>
            </w:r>
            <w:r>
              <w:t xml:space="preserve">ex14sk, </w:t>
            </w:r>
            <w:r w:rsidRPr="00B60400">
              <w:t>ALK</w:t>
            </w:r>
            <w:r>
              <w:t xml:space="preserve"> IHC and ROS1 IHC, with subsequent </w:t>
            </w:r>
            <w:r>
              <w:rPr>
                <w:i/>
              </w:rPr>
              <w:t xml:space="preserve">ALK </w:t>
            </w:r>
            <w:r>
              <w:t xml:space="preserve">FISH and/or </w:t>
            </w:r>
            <w:r>
              <w:rPr>
                <w:i/>
              </w:rPr>
              <w:t>ROS1</w:t>
            </w:r>
            <w:r>
              <w:t xml:space="preserve"> FISH as appropriate</w:t>
            </w:r>
          </w:p>
          <w:p w14:paraId="5B948748" w14:textId="0DC170DB" w:rsidR="000C3DF6" w:rsidRPr="0029704A" w:rsidRDefault="000C3DF6" w:rsidP="00491F02">
            <w:pPr>
              <w:pStyle w:val="TableText"/>
            </w:pPr>
            <w:r>
              <w:rPr>
                <w:rFonts w:cs="Arial"/>
              </w:rPr>
              <w:t>Testing performed on tumour tissue or cytology (not liquid biopsy).</w:t>
            </w:r>
          </w:p>
        </w:tc>
      </w:tr>
      <w:tr w:rsidR="0064738A" w:rsidRPr="00CE28E3" w14:paraId="521941DC" w14:textId="77777777" w:rsidTr="008A5C6B">
        <w:tc>
          <w:tcPr>
            <w:tcW w:w="2002" w:type="dxa"/>
            <w:shd w:val="clear" w:color="auto" w:fill="auto"/>
          </w:tcPr>
          <w:p w14:paraId="3AA2ABA8" w14:textId="02D1DEA2" w:rsidR="0064738A" w:rsidRDefault="0064738A" w:rsidP="0064738A">
            <w:pPr>
              <w:pStyle w:val="TableText"/>
              <w:rPr>
                <w:rFonts w:cs="Arial"/>
              </w:rPr>
            </w:pPr>
            <w:r w:rsidRPr="00084393">
              <w:rPr>
                <w:rFonts w:cs="Arial"/>
              </w:rPr>
              <w:t>Outcomes</w:t>
            </w:r>
          </w:p>
        </w:tc>
        <w:tc>
          <w:tcPr>
            <w:tcW w:w="7070" w:type="dxa"/>
            <w:shd w:val="clear" w:color="auto" w:fill="auto"/>
          </w:tcPr>
          <w:p w14:paraId="3B5F7C69" w14:textId="51CC6E26" w:rsidR="0064738A" w:rsidRDefault="0064738A" w:rsidP="0064738A">
            <w:pPr>
              <w:pStyle w:val="TableText"/>
              <w:rPr>
                <w:b/>
              </w:rPr>
            </w:pPr>
            <w:r w:rsidRPr="008A5C6B">
              <w:rPr>
                <w:b/>
              </w:rPr>
              <w:t>Safety outcomes</w:t>
            </w:r>
          </w:p>
          <w:p w14:paraId="2AAA8970" w14:textId="49CBB0B0" w:rsidR="00D151A9" w:rsidRPr="00BB34C8" w:rsidRDefault="00BB34C8" w:rsidP="0064738A">
            <w:pPr>
              <w:pStyle w:val="TableText"/>
            </w:pPr>
            <w:r>
              <w:lastRenderedPageBreak/>
              <w:t xml:space="preserve">Any adverse events related </w:t>
            </w:r>
            <w:r w:rsidR="00CE285A">
              <w:t>to treatment, repeated biopsies, adverse effects of delayed treatment due to time taken to test</w:t>
            </w:r>
          </w:p>
          <w:p w14:paraId="556FCFE0" w14:textId="441BD9F7" w:rsidR="0064738A" w:rsidRPr="008A5C6B" w:rsidRDefault="00491F02" w:rsidP="0064738A">
            <w:pPr>
              <w:pStyle w:val="TableText"/>
              <w:rPr>
                <w:b/>
              </w:rPr>
            </w:pPr>
            <w:r>
              <w:rPr>
                <w:b/>
              </w:rPr>
              <w:t>Effectiveness outcomes</w:t>
            </w:r>
          </w:p>
          <w:p w14:paraId="3F4B96B7" w14:textId="1F19E5A4" w:rsidR="0064738A" w:rsidRPr="00963418" w:rsidRDefault="00CE285A" w:rsidP="0064738A">
            <w:pPr>
              <w:pStyle w:val="TableText"/>
            </w:pPr>
            <w:r>
              <w:t xml:space="preserve">Disease-free and/or overall survival, disease-related or and/or all-cause </w:t>
            </w:r>
            <w:r w:rsidR="0064738A">
              <w:t>mortality</w:t>
            </w:r>
            <w:r w:rsidR="00491F02">
              <w:t xml:space="preserve">, </w:t>
            </w:r>
            <w:r>
              <w:t xml:space="preserve">disease progression, tumour control (regression/remission), incidence of metastases, tumour recurrence, </w:t>
            </w:r>
            <w:r w:rsidR="00491F02">
              <w:t>quality of life</w:t>
            </w:r>
            <w:r>
              <w:t>, and other patient-relevant outcomes</w:t>
            </w:r>
          </w:p>
          <w:p w14:paraId="51E1D03B" w14:textId="77777777" w:rsidR="0064738A" w:rsidRPr="008A5C6B" w:rsidRDefault="0064738A" w:rsidP="0064738A">
            <w:pPr>
              <w:pStyle w:val="TableText"/>
              <w:rPr>
                <w:b/>
              </w:rPr>
            </w:pPr>
            <w:r w:rsidRPr="008A5C6B">
              <w:rPr>
                <w:b/>
              </w:rPr>
              <w:t>Healthcare resources</w:t>
            </w:r>
          </w:p>
          <w:p w14:paraId="5EFE5AE6" w14:textId="7825CECF" w:rsidR="0064738A" w:rsidRPr="002D3FEE" w:rsidRDefault="0064738A" w:rsidP="0064738A">
            <w:pPr>
              <w:pStyle w:val="TableText"/>
            </w:pPr>
            <w:r>
              <w:t>Cost</w:t>
            </w:r>
            <w:r w:rsidR="00CE285A">
              <w:t xml:space="preserve"> </w:t>
            </w:r>
          </w:p>
          <w:p w14:paraId="5EF1FFDF" w14:textId="77777777" w:rsidR="0064738A" w:rsidRPr="009B6FAE" w:rsidRDefault="0064738A" w:rsidP="0064738A">
            <w:pPr>
              <w:pStyle w:val="TableText"/>
            </w:pPr>
            <w:r w:rsidRPr="009B6FAE">
              <w:t>Cost-effectiveness</w:t>
            </w:r>
          </w:p>
          <w:p w14:paraId="0DA01A2F" w14:textId="04F1F172" w:rsidR="0064738A" w:rsidRDefault="0064738A" w:rsidP="0064738A">
            <w:pPr>
              <w:pStyle w:val="TableText"/>
              <w:rPr>
                <w:i/>
              </w:rPr>
            </w:pPr>
            <w:r>
              <w:t>Net</w:t>
            </w:r>
            <w:r w:rsidRPr="009B6FAE">
              <w:t xml:space="preserve"> Australian Government healthcare costs</w:t>
            </w:r>
          </w:p>
        </w:tc>
      </w:tr>
      <w:tr w:rsidR="00CE285A" w:rsidRPr="00CE28E3" w14:paraId="25CBA266" w14:textId="77777777" w:rsidTr="008A5C6B">
        <w:tc>
          <w:tcPr>
            <w:tcW w:w="2002" w:type="dxa"/>
            <w:shd w:val="clear" w:color="auto" w:fill="auto"/>
          </w:tcPr>
          <w:p w14:paraId="36122753" w14:textId="7CA10FF6" w:rsidR="00CE285A" w:rsidRPr="00084393" w:rsidRDefault="00CE285A" w:rsidP="0064738A">
            <w:pPr>
              <w:pStyle w:val="TableText"/>
              <w:rPr>
                <w:rFonts w:cs="Arial"/>
              </w:rPr>
            </w:pPr>
            <w:r>
              <w:rPr>
                <w:rFonts w:cs="Arial"/>
              </w:rPr>
              <w:lastRenderedPageBreak/>
              <w:t>Study design</w:t>
            </w:r>
          </w:p>
        </w:tc>
        <w:tc>
          <w:tcPr>
            <w:tcW w:w="7070" w:type="dxa"/>
            <w:shd w:val="clear" w:color="auto" w:fill="auto"/>
          </w:tcPr>
          <w:p w14:paraId="717B6481" w14:textId="700672B1" w:rsidR="00CE285A" w:rsidRPr="008A5C6B" w:rsidRDefault="00CE285A" w:rsidP="0064738A">
            <w:pPr>
              <w:pStyle w:val="TableText"/>
              <w:rPr>
                <w:b/>
              </w:rPr>
            </w:pPr>
            <w:r w:rsidRPr="006D6DA4">
              <w:rPr>
                <w:rFonts w:cs="Arial Narrow"/>
                <w:bCs/>
              </w:rPr>
              <w:t>Randomised or non-randomised controlled trials, c</w:t>
            </w:r>
            <w:r>
              <w:rPr>
                <w:rFonts w:cs="Arial Narrow"/>
                <w:bCs/>
              </w:rPr>
              <w:t>omparative</w:t>
            </w:r>
            <w:r w:rsidRPr="006D6DA4">
              <w:rPr>
                <w:rFonts w:cs="Arial Narrow"/>
                <w:bCs/>
              </w:rPr>
              <w:t xml:space="preserve"> studies</w:t>
            </w:r>
            <w:r>
              <w:rPr>
                <w:rFonts w:cs="Arial Narrow"/>
                <w:bCs/>
              </w:rPr>
              <w:t xml:space="preserve"> with or without concurrent controls</w:t>
            </w:r>
            <w:r w:rsidRPr="006D6DA4">
              <w:rPr>
                <w:rFonts w:cs="Arial Narrow"/>
                <w:bCs/>
              </w:rPr>
              <w:t>, or systematic reviews of these study designs</w:t>
            </w:r>
          </w:p>
        </w:tc>
      </w:tr>
      <w:tr w:rsidR="00CE285A" w:rsidRPr="00CE28E3" w14:paraId="0C0F1085" w14:textId="77777777" w:rsidTr="008A5C6B">
        <w:tc>
          <w:tcPr>
            <w:tcW w:w="2002" w:type="dxa"/>
            <w:shd w:val="clear" w:color="auto" w:fill="auto"/>
          </w:tcPr>
          <w:p w14:paraId="2C3907D0" w14:textId="6F4669F1" w:rsidR="00CE285A" w:rsidRDefault="00CE285A" w:rsidP="0064738A">
            <w:pPr>
              <w:pStyle w:val="TableText"/>
              <w:rPr>
                <w:rFonts w:cs="Arial"/>
              </w:rPr>
            </w:pPr>
            <w:r>
              <w:rPr>
                <w:rFonts w:cs="Arial"/>
              </w:rPr>
              <w:t>Language</w:t>
            </w:r>
          </w:p>
        </w:tc>
        <w:tc>
          <w:tcPr>
            <w:tcW w:w="7070" w:type="dxa"/>
            <w:shd w:val="clear" w:color="auto" w:fill="auto"/>
          </w:tcPr>
          <w:p w14:paraId="22ED7E32" w14:textId="52C6D8DF" w:rsidR="00CE285A" w:rsidRPr="006D6DA4" w:rsidRDefault="00CE285A" w:rsidP="0064738A">
            <w:pPr>
              <w:pStyle w:val="TableText"/>
              <w:rPr>
                <w:rFonts w:cs="Arial Narrow"/>
                <w:bCs/>
              </w:rPr>
            </w:pPr>
            <w:r w:rsidRPr="006D6DA4">
              <w:rPr>
                <w:rFonts w:cs="Arial Narrow"/>
                <w:bCs/>
              </w:rPr>
              <w:t>Studies in languages other than English will only be translated if they represent a higher level of evidence than that available in the English language evidence-base</w:t>
            </w:r>
          </w:p>
        </w:tc>
      </w:tr>
      <w:tr w:rsidR="00CE285A" w:rsidRPr="00CE28E3" w14:paraId="14197078" w14:textId="77777777" w:rsidTr="008A5C6B">
        <w:tc>
          <w:tcPr>
            <w:tcW w:w="2002" w:type="dxa"/>
            <w:shd w:val="clear" w:color="auto" w:fill="auto"/>
          </w:tcPr>
          <w:p w14:paraId="65C1C845" w14:textId="306704CE" w:rsidR="00CE285A" w:rsidRDefault="00CE285A" w:rsidP="0064738A">
            <w:pPr>
              <w:pStyle w:val="TableText"/>
              <w:rPr>
                <w:rFonts w:cs="Arial"/>
              </w:rPr>
            </w:pPr>
            <w:r>
              <w:rPr>
                <w:rFonts w:cs="Arial"/>
              </w:rPr>
              <w:t>Search period</w:t>
            </w:r>
          </w:p>
        </w:tc>
        <w:tc>
          <w:tcPr>
            <w:tcW w:w="7070" w:type="dxa"/>
            <w:shd w:val="clear" w:color="auto" w:fill="auto"/>
          </w:tcPr>
          <w:p w14:paraId="562CE9FD" w14:textId="737A86D6" w:rsidR="00CE285A" w:rsidRPr="006D6DA4" w:rsidRDefault="00704CE8" w:rsidP="0064738A">
            <w:pPr>
              <w:pStyle w:val="TableText"/>
              <w:rPr>
                <w:rFonts w:cs="Arial Narrow"/>
                <w:bCs/>
              </w:rPr>
            </w:pPr>
            <w:r>
              <w:rPr>
                <w:rFonts w:cs="Arial Narrow"/>
                <w:bCs/>
              </w:rPr>
              <w:t>Database inception – 9/5/22</w:t>
            </w:r>
          </w:p>
        </w:tc>
      </w:tr>
      <w:tr w:rsidR="0064738A" w:rsidRPr="00CE28E3" w14:paraId="1CF6BC88" w14:textId="77777777" w:rsidTr="00BB34C8">
        <w:trPr>
          <w:trHeight w:val="858"/>
        </w:trPr>
        <w:tc>
          <w:tcPr>
            <w:tcW w:w="9072" w:type="dxa"/>
            <w:gridSpan w:val="2"/>
            <w:shd w:val="clear" w:color="auto" w:fill="auto"/>
          </w:tcPr>
          <w:p w14:paraId="6EFD7578" w14:textId="22615F4D" w:rsidR="0064738A" w:rsidRPr="00CE28E3" w:rsidRDefault="0064738A" w:rsidP="0064738A">
            <w:pPr>
              <w:pStyle w:val="In-tableHeading"/>
            </w:pPr>
            <w:r w:rsidRPr="00CE28E3">
              <w:t>Systematic review question:</w:t>
            </w:r>
          </w:p>
          <w:p w14:paraId="0C907575" w14:textId="7C4FDFC6" w:rsidR="0064738A" w:rsidRPr="00CE28E3" w:rsidRDefault="00C257B5" w:rsidP="00BB34C8">
            <w:pPr>
              <w:pStyle w:val="TableText"/>
            </w:pPr>
            <w:r w:rsidRPr="00CE28E3">
              <w:t xml:space="preserve">What is the safety, effectiveness and cost-effectiveness of </w:t>
            </w:r>
            <w:r>
              <w:t>small NGS DNA/RNA panel(s)</w:t>
            </w:r>
            <w:r w:rsidRPr="00B83B62">
              <w:t xml:space="preserve"> compared to </w:t>
            </w:r>
            <w:r>
              <w:t xml:space="preserve">sequential single </w:t>
            </w:r>
            <w:r w:rsidR="00CA22E2">
              <w:t xml:space="preserve">gene </w:t>
            </w:r>
            <w:r>
              <w:t>testing</w:t>
            </w:r>
            <w:r w:rsidRPr="00B83B62">
              <w:t xml:space="preserve"> </w:t>
            </w:r>
            <w:r>
              <w:t>in patients with non-squamous (or histology not otherwise specified) non-small cell lung cancer</w:t>
            </w:r>
            <w:r w:rsidRPr="00EA0E54">
              <w:t>?</w:t>
            </w:r>
          </w:p>
        </w:tc>
      </w:tr>
    </w:tbl>
    <w:p w14:paraId="26B47C30" w14:textId="2C3AE480" w:rsidR="00ED3F33" w:rsidRDefault="00ED3F33" w:rsidP="00ED3F33">
      <w:pPr>
        <w:pStyle w:val="TableFooter"/>
      </w:pPr>
      <w:r w:rsidRPr="007C7AB1">
        <w:rPr>
          <w:i/>
        </w:rPr>
        <w:t>ALK</w:t>
      </w:r>
      <w:r>
        <w:t xml:space="preserve"> = </w:t>
      </w:r>
      <w:r w:rsidRPr="00561C5F">
        <w:t>anaplastic lymphoma kinase</w:t>
      </w:r>
      <w:r>
        <w:t xml:space="preserve">; </w:t>
      </w:r>
      <w:r w:rsidRPr="002412BE">
        <w:t>DNA = deoxyribonucleic acid;</w:t>
      </w:r>
      <w:r>
        <w:t xml:space="preserve"> </w:t>
      </w:r>
      <w:r w:rsidRPr="007C7AB1">
        <w:rPr>
          <w:i/>
        </w:rPr>
        <w:t>EGFR</w:t>
      </w:r>
      <w:r>
        <w:t xml:space="preserve"> = epidermal growth factor receptor; FISH = f</w:t>
      </w:r>
      <w:r w:rsidRPr="00561C5F">
        <w:t xml:space="preserve">luorescence </w:t>
      </w:r>
      <w:r w:rsidRPr="007C7AB1">
        <w:rPr>
          <w:i/>
        </w:rPr>
        <w:t>in situ</w:t>
      </w:r>
      <w:r w:rsidRPr="00561C5F">
        <w:t xml:space="preserve"> </w:t>
      </w:r>
      <w:r w:rsidR="00D86197" w:rsidRPr="00561C5F">
        <w:t>hybridi</w:t>
      </w:r>
      <w:r w:rsidR="00D86197">
        <w:t>s</w:t>
      </w:r>
      <w:r w:rsidR="00D86197" w:rsidRPr="00561C5F">
        <w:t>ation</w:t>
      </w:r>
      <w:r>
        <w:t xml:space="preserve">; IHC = </w:t>
      </w:r>
      <w:r w:rsidRPr="00CE4DC5">
        <w:t>immunohistochemistry;</w:t>
      </w:r>
      <w:r>
        <w:t xml:space="preserve"> </w:t>
      </w:r>
      <w:r w:rsidRPr="00152F12">
        <w:rPr>
          <w:i/>
        </w:rPr>
        <w:t>KRAS</w:t>
      </w:r>
      <w:r>
        <w:t xml:space="preserve"> = Kirsten rat sarcoma;</w:t>
      </w:r>
      <w:r w:rsidRPr="00CE4DC5">
        <w:t xml:space="preserve"> </w:t>
      </w:r>
      <w:r w:rsidRPr="00CE4DC5">
        <w:rPr>
          <w:i/>
        </w:rPr>
        <w:t>MET</w:t>
      </w:r>
      <w:r w:rsidRPr="00CE4DC5">
        <w:t xml:space="preserve"> =</w:t>
      </w:r>
      <w:r>
        <w:t xml:space="preserve"> </w:t>
      </w:r>
      <w:r w:rsidRPr="008F67AF">
        <w:rPr>
          <w:szCs w:val="18"/>
        </w:rPr>
        <w:t>mesenchymal-epithelial transition</w:t>
      </w:r>
      <w:r>
        <w:rPr>
          <w:szCs w:val="18"/>
        </w:rPr>
        <w:t xml:space="preserve">; </w:t>
      </w:r>
      <w:r>
        <w:t>NGS = next generation sequencing;</w:t>
      </w:r>
      <w:r w:rsidRPr="00403D0C">
        <w:t xml:space="preserve"> </w:t>
      </w:r>
      <w:r>
        <w:t xml:space="preserve">NTRK = neurotrophic tyrosine receptor kinase; </w:t>
      </w:r>
      <w:r w:rsidRPr="00152F12">
        <w:rPr>
          <w:i/>
        </w:rPr>
        <w:t>RET</w:t>
      </w:r>
      <w:r>
        <w:t xml:space="preserve"> = rearranged during transfection; RNA = ribonucleic acid; </w:t>
      </w:r>
      <w:r w:rsidRPr="007C7AB1">
        <w:rPr>
          <w:i/>
        </w:rPr>
        <w:t>ROS1</w:t>
      </w:r>
      <w:r>
        <w:t xml:space="preserve"> = </w:t>
      </w:r>
      <w:r w:rsidRPr="00561C5F">
        <w:t>ROS proto-oncogene 1</w:t>
      </w:r>
    </w:p>
    <w:p w14:paraId="3DD4329A" w14:textId="77777777" w:rsidR="00ED3F33" w:rsidRDefault="00ED3F33" w:rsidP="00ED3F33">
      <w:pPr>
        <w:pStyle w:val="TableFooter"/>
      </w:pPr>
    </w:p>
    <w:p w14:paraId="1DBA234A" w14:textId="13522A33" w:rsidR="00804632" w:rsidRPr="00CE28E3" w:rsidRDefault="00804632" w:rsidP="00E33E77">
      <w:r w:rsidRPr="00CE28E3">
        <w:t xml:space="preserve">The Population, Prior tests, Investigation/Index test, Comparator and Outcomes (PPICO) that were prespecified to guide the systematic literature review for a linked evidence approach are presented in </w:t>
      </w:r>
      <w:r w:rsidRPr="00CE28E3">
        <w:fldChar w:fldCharType="begin"/>
      </w:r>
      <w:r w:rsidRPr="00CE28E3">
        <w:instrText xml:space="preserve"> REF _Ref46477563 \h </w:instrText>
      </w:r>
      <w:r w:rsidR="00CE28E3">
        <w:instrText xml:space="preserve"> \* MERGEFORMAT </w:instrText>
      </w:r>
      <w:r w:rsidRPr="00CE28E3">
        <w:fldChar w:fldCharType="separate"/>
      </w:r>
      <w:r w:rsidR="00C857F3" w:rsidRPr="00CE28E3">
        <w:t>Table</w:t>
      </w:r>
      <w:r w:rsidR="00C857F3">
        <w:t> 73</w:t>
      </w:r>
      <w:r w:rsidRPr="00CE28E3">
        <w:fldChar w:fldCharType="end"/>
      </w:r>
      <w:r w:rsidR="005A5B9B">
        <w:t xml:space="preserve"> and </w:t>
      </w:r>
      <w:r w:rsidR="00E33E77">
        <w:fldChar w:fldCharType="begin"/>
      </w:r>
      <w:r w:rsidR="00E33E77">
        <w:instrText xml:space="preserve"> REF _Ref69728573 \h </w:instrText>
      </w:r>
      <w:r w:rsidR="00E33E77">
        <w:fldChar w:fldCharType="separate"/>
      </w:r>
      <w:r w:rsidR="00C857F3" w:rsidRPr="00CE28E3">
        <w:t>Table</w:t>
      </w:r>
      <w:r w:rsidR="00C857F3">
        <w:t> </w:t>
      </w:r>
      <w:r w:rsidR="00C857F3">
        <w:rPr>
          <w:noProof/>
        </w:rPr>
        <w:t>74</w:t>
      </w:r>
      <w:r w:rsidR="00E33E77">
        <w:fldChar w:fldCharType="end"/>
      </w:r>
      <w:r w:rsidRPr="00CE28E3">
        <w:t xml:space="preserve"> </w:t>
      </w:r>
    </w:p>
    <w:p w14:paraId="4CA11575" w14:textId="311709C7" w:rsidR="00804632" w:rsidRPr="00CE28E3" w:rsidRDefault="00804632" w:rsidP="00804632">
      <w:pPr>
        <w:pStyle w:val="Caption"/>
      </w:pPr>
      <w:bookmarkStart w:id="258" w:name="_Ref46477563"/>
      <w:bookmarkStart w:id="259" w:name="_Toc47540383"/>
      <w:r w:rsidRPr="00CE28E3">
        <w:t>Table</w:t>
      </w:r>
      <w:r w:rsidR="00E54221">
        <w:t> </w:t>
      </w:r>
      <w:fldSimple w:instr=" SEQ Table \* ARABIC ">
        <w:r w:rsidR="00C857F3">
          <w:rPr>
            <w:noProof/>
          </w:rPr>
          <w:t>73</w:t>
        </w:r>
      </w:fldSimple>
      <w:bookmarkEnd w:id="258"/>
      <w:r w:rsidRPr="00CE28E3">
        <w:tab/>
        <w:t>PPICO criteria for asses</w:t>
      </w:r>
      <w:r w:rsidRPr="00D151A9">
        <w:t xml:space="preserve">sing </w:t>
      </w:r>
      <w:bookmarkEnd w:id="259"/>
      <w:r w:rsidR="00D151A9" w:rsidRPr="00D151A9">
        <w:t>small DNA/RNA panel(s) versus sequential testing in patients with NSCLC</w:t>
      </w:r>
      <w:r w:rsidRPr="00CE28E3">
        <w:t xml:space="preserve"> (linked evidence for test </w:t>
      </w:r>
      <w:r w:rsidR="00F64745">
        <w:t>performance</w:t>
      </w:r>
      <w:r w:rsidRPr="00CE28E3">
        <w:t xml:space="preserve"> and change in management)</w:t>
      </w:r>
    </w:p>
    <w:tbl>
      <w:tblPr>
        <w:tblStyle w:val="TableGrid1"/>
        <w:tblW w:w="5000" w:type="pct"/>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Caption w:val="PPICO criteria for assessing small DNA/RNA panel(s) versus sequential testing in patients with NSCLC (linked evidence for test performance and change in management)"/>
        <w:tblDescription w:val="PPICO criteria for assessing small DNA/RNA panel(s) versus sequential testing in patients with NSCLC (linked evidence for test performance and change in management)"/>
      </w:tblPr>
      <w:tblGrid>
        <w:gridCol w:w="2258"/>
        <w:gridCol w:w="6753"/>
      </w:tblGrid>
      <w:tr w:rsidR="00804632" w:rsidRPr="00CE28E3" w14:paraId="2A0CF8C0" w14:textId="77777777" w:rsidTr="00804632">
        <w:trPr>
          <w:cnfStyle w:val="100000000000" w:firstRow="1" w:lastRow="0" w:firstColumn="0" w:lastColumn="0" w:oddVBand="0" w:evenVBand="0" w:oddHBand="0" w:evenHBand="0" w:firstRowFirstColumn="0" w:firstRowLastColumn="0" w:lastRowFirstColumn="0" w:lastRowLastColumn="0"/>
          <w:tblHeader/>
        </w:trPr>
        <w:tc>
          <w:tcPr>
            <w:tcW w:w="1253" w:type="pct"/>
            <w:tcBorders>
              <w:top w:val="single" w:sz="8" w:space="0" w:color="auto"/>
              <w:bottom w:val="single" w:sz="8" w:space="0" w:color="auto"/>
              <w:right w:val="single" w:sz="4" w:space="0" w:color="auto"/>
            </w:tcBorders>
            <w:shd w:val="clear" w:color="auto" w:fill="auto"/>
          </w:tcPr>
          <w:p w14:paraId="5AC1037E" w14:textId="77777777" w:rsidR="00804632" w:rsidRPr="00CE28E3" w:rsidRDefault="00804632" w:rsidP="00804632">
            <w:pPr>
              <w:pStyle w:val="TableHeading0"/>
            </w:pPr>
            <w:bookmarkStart w:id="260" w:name="Title_Table42" w:colFirst="0" w:colLast="0"/>
            <w:r w:rsidRPr="00CE28E3">
              <w:t>Component</w:t>
            </w:r>
          </w:p>
        </w:tc>
        <w:tc>
          <w:tcPr>
            <w:tcW w:w="3747" w:type="pct"/>
            <w:tcBorders>
              <w:top w:val="single" w:sz="4" w:space="0" w:color="auto"/>
              <w:left w:val="single" w:sz="4" w:space="0" w:color="auto"/>
              <w:bottom w:val="single" w:sz="4" w:space="0" w:color="auto"/>
              <w:right w:val="single" w:sz="4" w:space="0" w:color="auto"/>
            </w:tcBorders>
            <w:shd w:val="clear" w:color="auto" w:fill="auto"/>
          </w:tcPr>
          <w:p w14:paraId="39AFD862" w14:textId="77777777" w:rsidR="00804632" w:rsidRPr="00CE28E3" w:rsidRDefault="00804632" w:rsidP="00804632">
            <w:pPr>
              <w:pStyle w:val="TableHeading0"/>
            </w:pPr>
            <w:r w:rsidRPr="00CE28E3">
              <w:t>Description</w:t>
            </w:r>
          </w:p>
        </w:tc>
      </w:tr>
      <w:bookmarkEnd w:id="260"/>
      <w:tr w:rsidR="0064738A" w:rsidRPr="00CE28E3" w14:paraId="4F1D3349" w14:textId="77777777" w:rsidTr="00804632">
        <w:tc>
          <w:tcPr>
            <w:tcW w:w="1253" w:type="pct"/>
            <w:tcBorders>
              <w:top w:val="single" w:sz="8" w:space="0" w:color="auto"/>
              <w:right w:val="single" w:sz="4" w:space="0" w:color="auto"/>
            </w:tcBorders>
          </w:tcPr>
          <w:p w14:paraId="4EAFACB9" w14:textId="7451830D" w:rsidR="0064738A" w:rsidRPr="00CE28E3" w:rsidRDefault="0064738A" w:rsidP="0064738A">
            <w:pPr>
              <w:pStyle w:val="TableText"/>
              <w:rPr>
                <w:rFonts w:cs="Arial"/>
              </w:rPr>
            </w:pPr>
            <w:r w:rsidRPr="00084393">
              <w:rPr>
                <w:rFonts w:cs="Arial"/>
              </w:rPr>
              <w:t>Patients</w:t>
            </w:r>
          </w:p>
        </w:tc>
        <w:tc>
          <w:tcPr>
            <w:tcW w:w="3747" w:type="pct"/>
            <w:tcBorders>
              <w:top w:val="single" w:sz="4" w:space="0" w:color="auto"/>
              <w:left w:val="single" w:sz="4" w:space="0" w:color="auto"/>
              <w:bottom w:val="single" w:sz="4" w:space="0" w:color="auto"/>
              <w:right w:val="single" w:sz="4" w:space="0" w:color="auto"/>
            </w:tcBorders>
          </w:tcPr>
          <w:p w14:paraId="44822048" w14:textId="761D8BA5" w:rsidR="0064738A" w:rsidRPr="00CE28E3" w:rsidRDefault="0064738A" w:rsidP="0064738A">
            <w:pPr>
              <w:pStyle w:val="TableText"/>
              <w:spacing w:before="0" w:after="0"/>
              <w:contextualSpacing/>
            </w:pPr>
            <w:r w:rsidRPr="00882F76">
              <w:rPr>
                <w:rFonts w:cs="Arial"/>
              </w:rPr>
              <w:t xml:space="preserve">Patients with non-squamous (or </w:t>
            </w:r>
            <w:r>
              <w:rPr>
                <w:rFonts w:cs="Arial"/>
              </w:rPr>
              <w:t xml:space="preserve">histology </w:t>
            </w:r>
            <w:r w:rsidRPr="00882F76">
              <w:rPr>
                <w:rFonts w:cs="Arial"/>
              </w:rPr>
              <w:t>not otherwise specified) non-small cell lung cancer (NSCLC)</w:t>
            </w:r>
          </w:p>
        </w:tc>
      </w:tr>
      <w:tr w:rsidR="0064738A" w:rsidRPr="00CE28E3" w14:paraId="5E91EA5D" w14:textId="77777777" w:rsidTr="00804632">
        <w:tc>
          <w:tcPr>
            <w:tcW w:w="1253" w:type="pct"/>
            <w:tcBorders>
              <w:top w:val="single" w:sz="8" w:space="0" w:color="auto"/>
              <w:right w:val="single" w:sz="4" w:space="0" w:color="auto"/>
            </w:tcBorders>
          </w:tcPr>
          <w:p w14:paraId="2E455C26" w14:textId="53061442" w:rsidR="0064738A" w:rsidRPr="00CE28E3" w:rsidRDefault="0064738A" w:rsidP="0064738A">
            <w:pPr>
              <w:pStyle w:val="TableText"/>
              <w:rPr>
                <w:rFonts w:cs="Arial"/>
              </w:rPr>
            </w:pPr>
            <w:r>
              <w:rPr>
                <w:rFonts w:cs="Arial"/>
              </w:rPr>
              <w:t>Prior tests</w:t>
            </w:r>
          </w:p>
        </w:tc>
        <w:tc>
          <w:tcPr>
            <w:tcW w:w="3747" w:type="pct"/>
            <w:tcBorders>
              <w:top w:val="single" w:sz="4" w:space="0" w:color="auto"/>
              <w:left w:val="single" w:sz="4" w:space="0" w:color="auto"/>
              <w:bottom w:val="single" w:sz="4" w:space="0" w:color="auto"/>
              <w:right w:val="single" w:sz="4" w:space="0" w:color="auto"/>
            </w:tcBorders>
          </w:tcPr>
          <w:p w14:paraId="35ECF579" w14:textId="2B43FD8C" w:rsidR="0064738A" w:rsidRPr="00CE28E3" w:rsidRDefault="0064738A" w:rsidP="0064738A">
            <w:pPr>
              <w:pStyle w:val="TableText"/>
              <w:rPr>
                <w:rFonts w:cs="Arial"/>
                <w:u w:val="dotted"/>
              </w:rPr>
            </w:pPr>
            <w:r>
              <w:rPr>
                <w:rFonts w:cs="Arial"/>
              </w:rPr>
              <w:t>D</w:t>
            </w:r>
            <w:r w:rsidRPr="00D95C1C">
              <w:rPr>
                <w:rFonts w:cs="Arial"/>
              </w:rPr>
              <w:t>isea</w:t>
            </w:r>
            <w:r>
              <w:rPr>
                <w:rFonts w:cs="Arial"/>
              </w:rPr>
              <w:t>se staging and histology workup. This is part of routine management and there would be no change between the intervention and comparator</w:t>
            </w:r>
          </w:p>
        </w:tc>
      </w:tr>
      <w:tr w:rsidR="00704CE8" w:rsidRPr="00CE28E3" w14:paraId="7D5579B3" w14:textId="77777777" w:rsidTr="00804632">
        <w:tc>
          <w:tcPr>
            <w:tcW w:w="1253" w:type="pct"/>
            <w:tcBorders>
              <w:right w:val="single" w:sz="4" w:space="0" w:color="auto"/>
            </w:tcBorders>
          </w:tcPr>
          <w:p w14:paraId="1ED8CF99" w14:textId="65D2B334" w:rsidR="00704CE8" w:rsidRPr="00CE28E3" w:rsidRDefault="00704CE8" w:rsidP="00704CE8">
            <w:pPr>
              <w:pStyle w:val="TableText"/>
              <w:rPr>
                <w:rFonts w:cs="Arial"/>
              </w:rPr>
            </w:pPr>
            <w:r w:rsidRPr="00084393">
              <w:rPr>
                <w:rFonts w:cs="Arial"/>
              </w:rPr>
              <w:t>Intervention</w:t>
            </w:r>
          </w:p>
        </w:tc>
        <w:tc>
          <w:tcPr>
            <w:tcW w:w="3747" w:type="pct"/>
            <w:tcBorders>
              <w:top w:val="single" w:sz="4" w:space="0" w:color="auto"/>
              <w:left w:val="single" w:sz="4" w:space="0" w:color="auto"/>
              <w:bottom w:val="single" w:sz="4" w:space="0" w:color="auto"/>
              <w:right w:val="single" w:sz="4" w:space="0" w:color="auto"/>
            </w:tcBorders>
          </w:tcPr>
          <w:p w14:paraId="308263FD" w14:textId="77777777" w:rsidR="00704CE8" w:rsidRDefault="00704CE8" w:rsidP="00704CE8">
            <w:pPr>
              <w:pStyle w:val="TableText"/>
              <w:rPr>
                <w:rFonts w:cs="Arial"/>
              </w:rPr>
            </w:pPr>
            <w:r>
              <w:rPr>
                <w:rFonts w:cs="Arial"/>
              </w:rPr>
              <w:t>1. Small NGS panel</w:t>
            </w:r>
            <w:r w:rsidRPr="009B6FAE">
              <w:rPr>
                <w:rFonts w:cs="Arial"/>
              </w:rPr>
              <w:t xml:space="preserve"> to </w:t>
            </w:r>
            <w:r>
              <w:rPr>
                <w:rFonts w:cs="Arial"/>
              </w:rPr>
              <w:t xml:space="preserve">simultaneously test DNA/RNA for relevant point </w:t>
            </w:r>
            <w:r w:rsidRPr="00263150">
              <w:rPr>
                <w:rFonts w:cs="Arial"/>
              </w:rPr>
              <w:t>variants</w:t>
            </w:r>
            <w:r>
              <w:rPr>
                <w:rFonts w:cs="Arial"/>
              </w:rPr>
              <w:t>/small indels or fusions</w:t>
            </w:r>
            <w:r w:rsidRPr="00263150">
              <w:rPr>
                <w:rFonts w:cs="Arial"/>
              </w:rPr>
              <w:t xml:space="preserve"> in the</w:t>
            </w:r>
            <w:r>
              <w:rPr>
                <w:rFonts w:cs="Arial"/>
              </w:rPr>
              <w:t xml:space="preserve"> following genes: </w:t>
            </w:r>
            <w:r w:rsidRPr="00F57034">
              <w:rPr>
                <w:rFonts w:cs="Arial"/>
                <w:i/>
              </w:rPr>
              <w:t>EGFR</w:t>
            </w:r>
            <w:r>
              <w:rPr>
                <w:rFonts w:cs="Arial"/>
              </w:rPr>
              <w:t xml:space="preserve">, </w:t>
            </w:r>
            <w:r w:rsidRPr="00F57034">
              <w:rPr>
                <w:rFonts w:cs="Arial"/>
                <w:i/>
              </w:rPr>
              <w:t>ALK</w:t>
            </w:r>
            <w:r>
              <w:rPr>
                <w:rFonts w:cs="Arial"/>
              </w:rPr>
              <w:t xml:space="preserve">, </w:t>
            </w:r>
            <w:r w:rsidRPr="00F57034">
              <w:rPr>
                <w:rFonts w:cs="Arial"/>
                <w:i/>
              </w:rPr>
              <w:t>ROS1</w:t>
            </w:r>
            <w:r>
              <w:rPr>
                <w:rFonts w:cs="Arial"/>
                <w:i/>
              </w:rPr>
              <w:t xml:space="preserve">, </w:t>
            </w:r>
            <w:r>
              <w:rPr>
                <w:rFonts w:cs="Arial"/>
              </w:rPr>
              <w:t xml:space="preserve">and </w:t>
            </w:r>
            <w:r>
              <w:rPr>
                <w:rFonts w:cs="Arial"/>
                <w:i/>
              </w:rPr>
              <w:t>MET</w:t>
            </w:r>
            <w:r>
              <w:rPr>
                <w:rFonts w:cs="Arial"/>
              </w:rPr>
              <w:t>ex14sk; or</w:t>
            </w:r>
          </w:p>
          <w:p w14:paraId="3E351871" w14:textId="77777777" w:rsidR="00704CE8" w:rsidRDefault="00704CE8" w:rsidP="00704CE8">
            <w:pPr>
              <w:pStyle w:val="TableText"/>
              <w:spacing w:before="0" w:after="0"/>
              <w:contextualSpacing/>
              <w:rPr>
                <w:rFonts w:cs="Arial"/>
                <w:i/>
              </w:rPr>
            </w:pPr>
            <w:r>
              <w:t xml:space="preserve">2. NGS DNA panel </w:t>
            </w:r>
            <w:r>
              <w:rPr>
                <w:rFonts w:cs="Arial"/>
              </w:rPr>
              <w:t xml:space="preserve">for relevant point </w:t>
            </w:r>
            <w:r w:rsidRPr="00263150">
              <w:rPr>
                <w:rFonts w:cs="Arial"/>
              </w:rPr>
              <w:t>variants</w:t>
            </w:r>
            <w:r>
              <w:rPr>
                <w:rFonts w:cs="Arial"/>
              </w:rPr>
              <w:t xml:space="preserve">/small indels </w:t>
            </w:r>
            <w:r w:rsidRPr="00263150">
              <w:rPr>
                <w:rFonts w:cs="Arial"/>
              </w:rPr>
              <w:t>in the</w:t>
            </w:r>
            <w:r>
              <w:rPr>
                <w:rFonts w:cs="Arial"/>
              </w:rPr>
              <w:t xml:space="preserve"> following genes: </w:t>
            </w:r>
            <w:r w:rsidRPr="00F57034">
              <w:rPr>
                <w:rFonts w:cs="Arial"/>
                <w:i/>
              </w:rPr>
              <w:t>EGFR</w:t>
            </w:r>
            <w:r>
              <w:rPr>
                <w:rFonts w:cs="Arial"/>
              </w:rPr>
              <w:t xml:space="preserve"> and </w:t>
            </w:r>
            <w:r>
              <w:rPr>
                <w:rFonts w:cs="Arial"/>
                <w:i/>
              </w:rPr>
              <w:t>MET</w:t>
            </w:r>
            <w:r>
              <w:rPr>
                <w:rFonts w:cs="Arial"/>
              </w:rPr>
              <w:t>ex14sk</w:t>
            </w:r>
            <w:r>
              <w:rPr>
                <w:rFonts w:cs="Arial"/>
                <w:i/>
              </w:rPr>
              <w:t xml:space="preserve">. </w:t>
            </w:r>
            <w:r w:rsidRPr="00096486">
              <w:rPr>
                <w:rFonts w:cs="Arial"/>
              </w:rPr>
              <w:t>If negative,</w:t>
            </w:r>
            <w:r>
              <w:rPr>
                <w:rFonts w:cs="Arial"/>
                <w:i/>
              </w:rPr>
              <w:t xml:space="preserve"> </w:t>
            </w:r>
            <w:r>
              <w:rPr>
                <w:rFonts w:cs="Arial"/>
              </w:rPr>
              <w:t xml:space="preserve">then an RNA panel for fusions in the following genes: </w:t>
            </w:r>
            <w:r>
              <w:rPr>
                <w:rFonts w:cs="Arial"/>
                <w:i/>
              </w:rPr>
              <w:t>ALK</w:t>
            </w:r>
            <w:r>
              <w:rPr>
                <w:rFonts w:cs="Arial"/>
              </w:rPr>
              <w:t xml:space="preserve"> and </w:t>
            </w:r>
            <w:r>
              <w:rPr>
                <w:rFonts w:cs="Arial"/>
                <w:i/>
              </w:rPr>
              <w:t>ROS1.</w:t>
            </w:r>
          </w:p>
          <w:p w14:paraId="7EA0E3F0" w14:textId="00554216" w:rsidR="000C3DF6" w:rsidRPr="00CE28E3" w:rsidRDefault="000C3DF6" w:rsidP="00704CE8">
            <w:pPr>
              <w:pStyle w:val="TableText"/>
              <w:spacing w:before="0" w:after="0"/>
              <w:contextualSpacing/>
            </w:pPr>
            <w:r>
              <w:rPr>
                <w:rFonts w:cs="Arial"/>
              </w:rPr>
              <w:t>Testing performed on tumour tissue or cytology (not liquid biopsy).</w:t>
            </w:r>
          </w:p>
        </w:tc>
      </w:tr>
      <w:tr w:rsidR="00704CE8" w:rsidRPr="00CE28E3" w14:paraId="021585D4" w14:textId="77777777" w:rsidTr="00804632">
        <w:tc>
          <w:tcPr>
            <w:tcW w:w="1253" w:type="pct"/>
            <w:tcBorders>
              <w:right w:val="single" w:sz="4" w:space="0" w:color="auto"/>
            </w:tcBorders>
          </w:tcPr>
          <w:p w14:paraId="532AD09F" w14:textId="3CE73CDA" w:rsidR="00704CE8" w:rsidRPr="00CE28E3" w:rsidRDefault="00704CE8" w:rsidP="00704CE8">
            <w:pPr>
              <w:pStyle w:val="TableText"/>
              <w:rPr>
                <w:rFonts w:cs="Arial"/>
              </w:rPr>
            </w:pPr>
            <w:r w:rsidRPr="00084393">
              <w:rPr>
                <w:rFonts w:cs="Arial"/>
              </w:rPr>
              <w:t>Comparator</w:t>
            </w:r>
          </w:p>
        </w:tc>
        <w:tc>
          <w:tcPr>
            <w:tcW w:w="3747" w:type="pct"/>
            <w:tcBorders>
              <w:top w:val="single" w:sz="4" w:space="0" w:color="auto"/>
              <w:left w:val="single" w:sz="4" w:space="0" w:color="auto"/>
              <w:bottom w:val="single" w:sz="4" w:space="0" w:color="auto"/>
              <w:right w:val="single" w:sz="4" w:space="0" w:color="auto"/>
            </w:tcBorders>
          </w:tcPr>
          <w:p w14:paraId="52B01FDC" w14:textId="77777777" w:rsidR="00704CE8" w:rsidRDefault="00704CE8" w:rsidP="00704CE8">
            <w:pPr>
              <w:pStyle w:val="TableText"/>
            </w:pPr>
            <w:r>
              <w:t>Sequential single gene t</w:t>
            </w:r>
            <w:r w:rsidRPr="009B6FAE">
              <w:t xml:space="preserve">esting for </w:t>
            </w:r>
            <w:r>
              <w:t xml:space="preserve">activating mutations in the </w:t>
            </w:r>
            <w:r w:rsidRPr="00F57034">
              <w:rPr>
                <w:i/>
              </w:rPr>
              <w:t>EGFR</w:t>
            </w:r>
            <w:r w:rsidRPr="009B6FAE">
              <w:t xml:space="preserve"> </w:t>
            </w:r>
            <w:r>
              <w:t xml:space="preserve">gene, </w:t>
            </w:r>
            <w:r>
              <w:rPr>
                <w:i/>
              </w:rPr>
              <w:t>MET</w:t>
            </w:r>
            <w:r>
              <w:t xml:space="preserve">ex14sk, </w:t>
            </w:r>
            <w:r w:rsidRPr="00B60400">
              <w:t>ALK</w:t>
            </w:r>
            <w:r>
              <w:t xml:space="preserve"> IHC and ROS1 IHC, with subsequent </w:t>
            </w:r>
            <w:r>
              <w:rPr>
                <w:i/>
              </w:rPr>
              <w:t xml:space="preserve">ALK </w:t>
            </w:r>
            <w:r>
              <w:t xml:space="preserve">FISH and/or </w:t>
            </w:r>
            <w:r>
              <w:rPr>
                <w:i/>
              </w:rPr>
              <w:t>ROS1</w:t>
            </w:r>
            <w:r>
              <w:t xml:space="preserve"> FISH as appropriate</w:t>
            </w:r>
          </w:p>
          <w:p w14:paraId="2C9242B3" w14:textId="4CE328B4" w:rsidR="000C3DF6" w:rsidRPr="00CE28E3" w:rsidRDefault="000C3DF6" w:rsidP="00704CE8">
            <w:pPr>
              <w:pStyle w:val="TableText"/>
            </w:pPr>
            <w:r>
              <w:rPr>
                <w:rFonts w:cs="Arial"/>
              </w:rPr>
              <w:t>Testing performed on tumour tissue or cytology (not liquid biopsy).</w:t>
            </w:r>
          </w:p>
        </w:tc>
      </w:tr>
      <w:tr w:rsidR="0064738A" w:rsidRPr="00CE28E3" w14:paraId="7E9FDE0E" w14:textId="77777777" w:rsidTr="00804632">
        <w:tc>
          <w:tcPr>
            <w:tcW w:w="1253" w:type="pct"/>
            <w:tcBorders>
              <w:right w:val="single" w:sz="4" w:space="0" w:color="auto"/>
            </w:tcBorders>
          </w:tcPr>
          <w:p w14:paraId="3D445283" w14:textId="6F1AF425" w:rsidR="0064738A" w:rsidRPr="00CE28E3" w:rsidRDefault="00BB34C8" w:rsidP="0064738A">
            <w:pPr>
              <w:pStyle w:val="TableText"/>
              <w:rPr>
                <w:rFonts w:cs="Arial"/>
              </w:rPr>
            </w:pPr>
            <w:r>
              <w:rPr>
                <w:rFonts w:cs="Arial"/>
              </w:rPr>
              <w:t>Clinical utility standards</w:t>
            </w:r>
          </w:p>
        </w:tc>
        <w:tc>
          <w:tcPr>
            <w:tcW w:w="3747" w:type="pct"/>
            <w:tcBorders>
              <w:top w:val="single" w:sz="4" w:space="0" w:color="auto"/>
              <w:left w:val="single" w:sz="4" w:space="0" w:color="auto"/>
              <w:bottom w:val="single" w:sz="4" w:space="0" w:color="auto"/>
              <w:right w:val="single" w:sz="4" w:space="0" w:color="auto"/>
            </w:tcBorders>
          </w:tcPr>
          <w:p w14:paraId="69EA9B35" w14:textId="77777777" w:rsidR="0064738A" w:rsidRPr="002E6705" w:rsidRDefault="0064738A" w:rsidP="0064738A">
            <w:pPr>
              <w:pStyle w:val="TableText"/>
            </w:pPr>
            <w:r>
              <w:rPr>
                <w:i/>
              </w:rPr>
              <w:t xml:space="preserve">EGFR </w:t>
            </w:r>
            <w:r>
              <w:t>cobas® real time PCR test</w:t>
            </w:r>
          </w:p>
          <w:p w14:paraId="68512E79" w14:textId="77777777" w:rsidR="0064738A" w:rsidRDefault="0064738A" w:rsidP="0064738A">
            <w:pPr>
              <w:pStyle w:val="TableText"/>
            </w:pPr>
            <w:r w:rsidRPr="002E6705">
              <w:rPr>
                <w:i/>
              </w:rPr>
              <w:t>ALK</w:t>
            </w:r>
            <w:r>
              <w:t xml:space="preserve"> FISH</w:t>
            </w:r>
          </w:p>
          <w:p w14:paraId="0D70B938" w14:textId="77777777" w:rsidR="0064738A" w:rsidRPr="00E87862" w:rsidRDefault="0064738A" w:rsidP="0064738A">
            <w:pPr>
              <w:pStyle w:val="TableText"/>
              <w:rPr>
                <w:rFonts w:cs="Arial"/>
              </w:rPr>
            </w:pPr>
            <w:r w:rsidRPr="002E6705">
              <w:rPr>
                <w:rFonts w:cs="Arial"/>
                <w:i/>
              </w:rPr>
              <w:t>ROS1</w:t>
            </w:r>
            <w:r>
              <w:rPr>
                <w:rFonts w:cs="Arial"/>
              </w:rPr>
              <w:t xml:space="preserve"> FISH</w:t>
            </w:r>
            <w:r w:rsidRPr="00C81543">
              <w:rPr>
                <w:rFonts w:cs="Arial"/>
                <w:i/>
              </w:rPr>
              <w:t xml:space="preserve"> </w:t>
            </w:r>
          </w:p>
          <w:p w14:paraId="011E333A" w14:textId="387E43FB" w:rsidR="0064738A" w:rsidRPr="00CE28E3" w:rsidRDefault="0064738A" w:rsidP="0064738A">
            <w:pPr>
              <w:pStyle w:val="TableText"/>
            </w:pPr>
            <w:r w:rsidRPr="00E87862">
              <w:rPr>
                <w:rFonts w:cs="Arial"/>
                <w:i/>
              </w:rPr>
              <w:t xml:space="preserve">METex14sk </w:t>
            </w:r>
            <w:r w:rsidRPr="00E87862">
              <w:rPr>
                <w:rFonts w:cs="Arial"/>
              </w:rPr>
              <w:t>by RNA</w:t>
            </w:r>
            <w:r>
              <w:rPr>
                <w:rFonts w:cs="Arial"/>
              </w:rPr>
              <w:t xml:space="preserve"> or DNA testing on plasma or tumour tissue</w:t>
            </w:r>
          </w:p>
        </w:tc>
      </w:tr>
      <w:tr w:rsidR="0064738A" w:rsidRPr="00CE28E3" w14:paraId="5D6D34BC" w14:textId="77777777" w:rsidTr="00804632">
        <w:tc>
          <w:tcPr>
            <w:tcW w:w="1253" w:type="pct"/>
            <w:tcBorders>
              <w:right w:val="single" w:sz="4" w:space="0" w:color="auto"/>
            </w:tcBorders>
          </w:tcPr>
          <w:p w14:paraId="5616C2CF" w14:textId="05EF18AA" w:rsidR="0064738A" w:rsidRPr="00CE28E3" w:rsidRDefault="0064738A" w:rsidP="0064738A">
            <w:pPr>
              <w:pStyle w:val="TableText"/>
              <w:rPr>
                <w:rFonts w:cs="Arial"/>
              </w:rPr>
            </w:pPr>
            <w:r w:rsidRPr="00084393">
              <w:rPr>
                <w:rFonts w:cs="Arial"/>
              </w:rPr>
              <w:t>Outcomes</w:t>
            </w:r>
          </w:p>
        </w:tc>
        <w:tc>
          <w:tcPr>
            <w:tcW w:w="3747" w:type="pct"/>
            <w:tcBorders>
              <w:top w:val="single" w:sz="4" w:space="0" w:color="auto"/>
              <w:left w:val="single" w:sz="4" w:space="0" w:color="auto"/>
              <w:bottom w:val="single" w:sz="4" w:space="0" w:color="auto"/>
              <w:right w:val="single" w:sz="4" w:space="0" w:color="auto"/>
            </w:tcBorders>
          </w:tcPr>
          <w:p w14:paraId="35763E9A" w14:textId="1B866413" w:rsidR="0064738A" w:rsidRPr="008A5C6B" w:rsidRDefault="0064738A" w:rsidP="0064738A">
            <w:pPr>
              <w:pStyle w:val="TableText"/>
              <w:rPr>
                <w:b/>
              </w:rPr>
            </w:pPr>
            <w:r w:rsidRPr="008A5C6B">
              <w:rPr>
                <w:b/>
              </w:rPr>
              <w:t xml:space="preserve">Test </w:t>
            </w:r>
            <w:r>
              <w:rPr>
                <w:b/>
              </w:rPr>
              <w:t>performance</w:t>
            </w:r>
          </w:p>
          <w:p w14:paraId="144C7476" w14:textId="0EF71C98" w:rsidR="0064738A" w:rsidRDefault="0064738A" w:rsidP="0064738A">
            <w:pPr>
              <w:pStyle w:val="TableText"/>
            </w:pPr>
            <w:r>
              <w:t>Positive percent agreement and negative percent agreement of DNA/RNA assays against the</w:t>
            </w:r>
            <w:r w:rsidR="00BB34C8">
              <w:t xml:space="preserve"> clinical utility</w:t>
            </w:r>
            <w:r>
              <w:t xml:space="preserve"> standards</w:t>
            </w:r>
          </w:p>
          <w:p w14:paraId="541C9687" w14:textId="553D8E6E" w:rsidR="0064738A" w:rsidRDefault="0064738A" w:rsidP="0064738A">
            <w:pPr>
              <w:pStyle w:val="TableText"/>
            </w:pPr>
            <w:r>
              <w:lastRenderedPageBreak/>
              <w:t xml:space="preserve">Positive predictive value and negative predictive value of DNA/RNA assays against the </w:t>
            </w:r>
            <w:r w:rsidR="00BB34C8">
              <w:t>clinical utility</w:t>
            </w:r>
            <w:r>
              <w:t xml:space="preserve"> standards</w:t>
            </w:r>
          </w:p>
          <w:p w14:paraId="67C793B4" w14:textId="29977FC4" w:rsidR="0064738A" w:rsidRDefault="0064738A" w:rsidP="0064738A">
            <w:pPr>
              <w:pStyle w:val="TableText"/>
            </w:pPr>
            <w:r>
              <w:t>Concordance between DNA/RNA assays and comparator biomarker assays</w:t>
            </w:r>
          </w:p>
          <w:p w14:paraId="2D0084E0" w14:textId="740C2BE3" w:rsidR="00D151A9" w:rsidRDefault="00705EBF" w:rsidP="0064738A">
            <w:pPr>
              <w:pStyle w:val="TableText"/>
            </w:pPr>
            <w:r>
              <w:t>Test turnaround time</w:t>
            </w:r>
          </w:p>
          <w:p w14:paraId="7B1BC6BF" w14:textId="49E9280D" w:rsidR="00D151A9" w:rsidRDefault="00C257B5" w:rsidP="00D151A9">
            <w:pPr>
              <w:pStyle w:val="TableText"/>
            </w:pPr>
            <w:r>
              <w:t>T</w:t>
            </w:r>
            <w:r w:rsidR="00D151A9">
              <w:t>est failure rate / inadequate sample rate (e.g. from an inadequate cytological specimen)</w:t>
            </w:r>
          </w:p>
          <w:p w14:paraId="09311F9E" w14:textId="77777777" w:rsidR="00D151A9" w:rsidRDefault="00D151A9" w:rsidP="0064738A">
            <w:pPr>
              <w:pStyle w:val="TableText"/>
            </w:pPr>
          </w:p>
          <w:p w14:paraId="011CBF2A" w14:textId="18B6A9F7" w:rsidR="0064738A" w:rsidRDefault="0064738A" w:rsidP="0064738A">
            <w:pPr>
              <w:pStyle w:val="TableText"/>
              <w:rPr>
                <w:b/>
              </w:rPr>
            </w:pPr>
            <w:r>
              <w:rPr>
                <w:b/>
              </w:rPr>
              <w:t>Change in management</w:t>
            </w:r>
          </w:p>
          <w:p w14:paraId="23C87CEC" w14:textId="16B339E7" w:rsidR="0064738A" w:rsidRPr="00CE285A" w:rsidRDefault="00D151A9" w:rsidP="00D151A9">
            <w:pPr>
              <w:pStyle w:val="TableText"/>
            </w:pPr>
            <w:r>
              <w:t>Any changes in management between small DNA/RNA panel(s) and sequential testing</w:t>
            </w:r>
            <w:r w:rsidR="00C257B5">
              <w:t xml:space="preserve"> (e.g. rebiopsy rate, timing of treatment initiation</w:t>
            </w:r>
            <w:r w:rsidR="006E11F7">
              <w:t>, different treatments received due to FP, FN</w:t>
            </w:r>
            <w:r w:rsidR="00C257B5">
              <w:t>)</w:t>
            </w:r>
          </w:p>
        </w:tc>
      </w:tr>
      <w:tr w:rsidR="0064738A" w:rsidRPr="00CE28E3" w14:paraId="0F3D5D54" w14:textId="77777777" w:rsidTr="00804632">
        <w:tc>
          <w:tcPr>
            <w:tcW w:w="5000" w:type="pct"/>
            <w:gridSpan w:val="2"/>
            <w:tcBorders>
              <w:right w:val="single" w:sz="4" w:space="0" w:color="auto"/>
            </w:tcBorders>
          </w:tcPr>
          <w:p w14:paraId="418D09AE" w14:textId="77777777" w:rsidR="0064738A" w:rsidRPr="00CE28E3" w:rsidRDefault="0064738A" w:rsidP="0064738A">
            <w:pPr>
              <w:pStyle w:val="In-tableHeading"/>
            </w:pPr>
            <w:r w:rsidRPr="00CE28E3">
              <w:lastRenderedPageBreak/>
              <w:t>Systematic review questions:</w:t>
            </w:r>
          </w:p>
          <w:p w14:paraId="20F14F58" w14:textId="130DEA72" w:rsidR="0064738A" w:rsidRDefault="00C257B5" w:rsidP="00C257B5">
            <w:pPr>
              <w:pStyle w:val="TableText"/>
            </w:pPr>
            <w:r w:rsidRPr="00C257B5">
              <w:t xml:space="preserve">How </w:t>
            </w:r>
            <w:r w:rsidR="000F48C2">
              <w:t>does the information from the</w:t>
            </w:r>
            <w:r w:rsidRPr="00C257B5">
              <w:t xml:space="preserve"> sma</w:t>
            </w:r>
            <w:r w:rsidR="000F48C2">
              <w:t>ll NGS DNA/RNA panels(s) differ from that of</w:t>
            </w:r>
            <w:r w:rsidRPr="00C257B5">
              <w:t xml:space="preserve"> </w:t>
            </w:r>
            <w:r>
              <w:t>sequential single gene testing for patients with non-squamous (or histology not otherwise specified) NSCLC?</w:t>
            </w:r>
            <w:r w:rsidR="000F48C2">
              <w:t xml:space="preserve"> What is the concordance of findings from NGS DNA/RNA panel relative to the clinical utility standards?</w:t>
            </w:r>
          </w:p>
          <w:p w14:paraId="5AB93BF0" w14:textId="6548A415" w:rsidR="00C257B5" w:rsidRPr="00C257B5" w:rsidRDefault="00C257B5" w:rsidP="00C257B5">
            <w:pPr>
              <w:pStyle w:val="TableText"/>
            </w:pPr>
            <w:r>
              <w:t xml:space="preserve">How does use of small NGS DNA/RNA panel(s) alter the management of patients compared to </w:t>
            </w:r>
            <w:r w:rsidR="000F48C2">
              <w:t xml:space="preserve">sequential </w:t>
            </w:r>
            <w:r>
              <w:t>single gene testing for patients with non-squamous (or histology not otherwise specified) NSCLC?</w:t>
            </w:r>
          </w:p>
        </w:tc>
      </w:tr>
    </w:tbl>
    <w:p w14:paraId="1AA48A3B" w14:textId="10CDD873" w:rsidR="00ED3F33" w:rsidRDefault="00ED3F33" w:rsidP="00ED3F33">
      <w:pPr>
        <w:pStyle w:val="TableFooter"/>
      </w:pPr>
      <w:bookmarkStart w:id="261" w:name="_Ref54767131"/>
      <w:r w:rsidRPr="007C7AB1">
        <w:rPr>
          <w:i/>
        </w:rPr>
        <w:t>ALK</w:t>
      </w:r>
      <w:r>
        <w:t xml:space="preserve"> = </w:t>
      </w:r>
      <w:r w:rsidRPr="00561C5F">
        <w:t>anaplastic lymphoma kinase</w:t>
      </w:r>
      <w:r>
        <w:t xml:space="preserve">; </w:t>
      </w:r>
      <w:r w:rsidRPr="002412BE">
        <w:t>DNA = deoxyribonucleic acid;</w:t>
      </w:r>
      <w:r>
        <w:t xml:space="preserve"> </w:t>
      </w:r>
      <w:r w:rsidRPr="007C7AB1">
        <w:rPr>
          <w:i/>
        </w:rPr>
        <w:t>EGFR</w:t>
      </w:r>
      <w:r>
        <w:t xml:space="preserve"> = epidermal growth factor receptor; FISH = f</w:t>
      </w:r>
      <w:r w:rsidRPr="00561C5F">
        <w:t xml:space="preserve">luorescence </w:t>
      </w:r>
      <w:r w:rsidRPr="007C7AB1">
        <w:rPr>
          <w:i/>
        </w:rPr>
        <w:t>in situ</w:t>
      </w:r>
      <w:r w:rsidRPr="00561C5F">
        <w:t xml:space="preserve"> </w:t>
      </w:r>
      <w:r w:rsidR="00D86197" w:rsidRPr="00561C5F">
        <w:t>hybridi</w:t>
      </w:r>
      <w:r w:rsidR="00D86197">
        <w:t>s</w:t>
      </w:r>
      <w:r w:rsidR="00D86197" w:rsidRPr="00561C5F">
        <w:t>ation</w:t>
      </w:r>
      <w:r>
        <w:t>;</w:t>
      </w:r>
      <w:r w:rsidRPr="00ED3F33">
        <w:t xml:space="preserve"> </w:t>
      </w:r>
      <w:r>
        <w:t xml:space="preserve">FN = false negative (missed on NGS but detected on clinical utility standard); FP = false positive (identified by NGS but missed by clinical utility standard); IHC = </w:t>
      </w:r>
      <w:r w:rsidRPr="00CE4DC5">
        <w:t>immunohistochemistry;</w:t>
      </w:r>
      <w:r>
        <w:t xml:space="preserve"> </w:t>
      </w:r>
      <w:r w:rsidRPr="00152F12">
        <w:rPr>
          <w:i/>
        </w:rPr>
        <w:t>KRAS</w:t>
      </w:r>
      <w:r>
        <w:t xml:space="preserve"> = Kirsten rat sarcoma;</w:t>
      </w:r>
      <w:r w:rsidRPr="00CE4DC5">
        <w:t xml:space="preserve"> </w:t>
      </w:r>
      <w:r w:rsidRPr="00CE4DC5">
        <w:rPr>
          <w:i/>
        </w:rPr>
        <w:t>MET</w:t>
      </w:r>
      <w:r w:rsidRPr="00CE4DC5">
        <w:t xml:space="preserve"> =</w:t>
      </w:r>
      <w:r>
        <w:t xml:space="preserve"> </w:t>
      </w:r>
      <w:r w:rsidRPr="008F67AF">
        <w:rPr>
          <w:szCs w:val="18"/>
        </w:rPr>
        <w:t>mesenchymal-epithelial transition</w:t>
      </w:r>
      <w:r>
        <w:rPr>
          <w:szCs w:val="18"/>
        </w:rPr>
        <w:t xml:space="preserve">; </w:t>
      </w:r>
      <w:r>
        <w:t>NGS = next generation sequencing;</w:t>
      </w:r>
      <w:r w:rsidRPr="00403D0C">
        <w:t xml:space="preserve"> </w:t>
      </w:r>
      <w:r>
        <w:t xml:space="preserve">NTRK = neurotrophic tyrosine receptor kinase; </w:t>
      </w:r>
      <w:r w:rsidRPr="00152F12">
        <w:rPr>
          <w:i/>
        </w:rPr>
        <w:t>RET</w:t>
      </w:r>
      <w:r>
        <w:t xml:space="preserve"> = rearranged during transfection; RNA = ribonucleic acid; </w:t>
      </w:r>
      <w:r w:rsidRPr="007C7AB1">
        <w:rPr>
          <w:i/>
        </w:rPr>
        <w:t>ROS1</w:t>
      </w:r>
      <w:r>
        <w:t xml:space="preserve"> = </w:t>
      </w:r>
      <w:r w:rsidRPr="00561C5F">
        <w:t>ROS proto-oncogene 1</w:t>
      </w:r>
    </w:p>
    <w:p w14:paraId="46316CF6" w14:textId="77777777" w:rsidR="00ED3F33" w:rsidRDefault="00ED3F33" w:rsidP="006E11F7">
      <w:pPr>
        <w:pStyle w:val="TableFooter"/>
        <w:rPr>
          <w:i/>
        </w:rPr>
      </w:pPr>
    </w:p>
    <w:p w14:paraId="1F69BE88" w14:textId="563C9FC2" w:rsidR="006E11F7" w:rsidRDefault="006E11F7" w:rsidP="006E11F7">
      <w:r>
        <w:t xml:space="preserve">The changes in management expected to be identified due to the patients undergoing testing with a small NGS panel rather than single gene testing, is a reduction in the rate of rebiopsies, and </w:t>
      </w:r>
      <w:r w:rsidR="00072BF6">
        <w:t xml:space="preserve">slightly </w:t>
      </w:r>
      <w:r>
        <w:t xml:space="preserve">earlier treatment initiation. </w:t>
      </w:r>
    </w:p>
    <w:p w14:paraId="0E23D8D4" w14:textId="2385F380" w:rsidR="008D3C2A" w:rsidRDefault="008D3C2A" w:rsidP="006E11F7">
      <w:r>
        <w:t>For results which are discordant between the NGS panel and the clinical utility standards:</w:t>
      </w:r>
    </w:p>
    <w:p w14:paraId="64DB3723" w14:textId="7FFAE9E0" w:rsidR="008D3C2A" w:rsidRDefault="008D3C2A" w:rsidP="00B649D2">
      <w:pPr>
        <w:pStyle w:val="ListParagraph"/>
        <w:numPr>
          <w:ilvl w:val="0"/>
          <w:numId w:val="19"/>
        </w:numPr>
      </w:pPr>
      <w:r>
        <w:t>Those who are “false negatives” (</w:t>
      </w:r>
      <w:r w:rsidR="00E33E77">
        <w:t>i.e.,</w:t>
      </w:r>
      <w:r>
        <w:t xml:space="preserve"> biomarker identified by the clinical utility standard and not detected by NGS), these patients are assumed to </w:t>
      </w:r>
      <w:r w:rsidR="003C4492">
        <w:t>benefit from</w:t>
      </w:r>
      <w:r>
        <w:t xml:space="preserve"> targeted treatment</w:t>
      </w:r>
      <w:r w:rsidR="003C4492">
        <w:t>, as</w:t>
      </w:r>
      <w:r>
        <w:t xml:space="preserve"> established by co-dependent MSAC-PBAC submissions. </w:t>
      </w:r>
    </w:p>
    <w:p w14:paraId="78E4270B" w14:textId="1393C612" w:rsidR="008D3C2A" w:rsidRPr="006E11F7" w:rsidRDefault="008D3C2A" w:rsidP="00B649D2">
      <w:pPr>
        <w:pStyle w:val="ListParagraph"/>
        <w:numPr>
          <w:ilvl w:val="0"/>
          <w:numId w:val="19"/>
        </w:numPr>
      </w:pPr>
      <w:r>
        <w:t>Those who are “false positives” (</w:t>
      </w:r>
      <w:r w:rsidR="00E33E77">
        <w:t>i.e.,</w:t>
      </w:r>
      <w:r>
        <w:t xml:space="preserve"> biomarker not identified by the clinical utility standard, but is detected by NGS panel), the effectiveness of targeted treatment in this population will be sought. If no information is available on this population on the effectiveness of targeted versus non-targeted treatment, studies will be sought that compare health outcomes for those with variants/fusions identified by the clinical utility standard, and those with variants/fusions only identified by NGS. </w:t>
      </w:r>
    </w:p>
    <w:p w14:paraId="5AF5B89E" w14:textId="6FA7BB96" w:rsidR="00804632" w:rsidRPr="00CE28E3" w:rsidRDefault="00804632" w:rsidP="00804632">
      <w:pPr>
        <w:pStyle w:val="Caption"/>
      </w:pPr>
      <w:bookmarkStart w:id="262" w:name="_Ref69728573"/>
      <w:r w:rsidRPr="00CE28E3">
        <w:t>Table</w:t>
      </w:r>
      <w:r w:rsidR="00E54221">
        <w:t> </w:t>
      </w:r>
      <w:fldSimple w:instr=" SEQ Table \* ARABIC ">
        <w:r w:rsidR="00C857F3">
          <w:rPr>
            <w:noProof/>
          </w:rPr>
          <w:t>74</w:t>
        </w:r>
      </w:fldSimple>
      <w:bookmarkEnd w:id="261"/>
      <w:bookmarkEnd w:id="262"/>
      <w:r w:rsidR="002E5DD3">
        <w:tab/>
        <w:t>P</w:t>
      </w:r>
      <w:r w:rsidRPr="00CE28E3">
        <w:t xml:space="preserve">ICO criteria for assessing </w:t>
      </w:r>
      <w:r w:rsidR="00D151A9">
        <w:t xml:space="preserve">the health impact of changes in management associated with small DNA/RNA panel(s) </w:t>
      </w:r>
    </w:p>
    <w:tbl>
      <w:tblPr>
        <w:tblStyle w:val="TableGrid1"/>
        <w:tblW w:w="5000" w:type="pct"/>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Caption w:val="PICO criteria for assessing the health impact of changes in management associated with small DNA/RNA panel(s) "/>
        <w:tblDescription w:val="PICO criteria for assessing the health impact of changes in management associated with small DNA/RNA panel(s) "/>
      </w:tblPr>
      <w:tblGrid>
        <w:gridCol w:w="1127"/>
        <w:gridCol w:w="2827"/>
        <w:gridCol w:w="2415"/>
        <w:gridCol w:w="2642"/>
      </w:tblGrid>
      <w:tr w:rsidR="00EE7F93" w:rsidRPr="00CE28E3" w14:paraId="54078FE7" w14:textId="77777777" w:rsidTr="00EE7F93">
        <w:trPr>
          <w:cnfStyle w:val="100000000000" w:firstRow="1" w:lastRow="0" w:firstColumn="0" w:lastColumn="0" w:oddVBand="0" w:evenVBand="0" w:oddHBand="0" w:evenHBand="0" w:firstRowFirstColumn="0" w:firstRowLastColumn="0" w:lastRowFirstColumn="0" w:lastRowLastColumn="0"/>
          <w:tblHeader/>
        </w:trPr>
        <w:tc>
          <w:tcPr>
            <w:tcW w:w="625" w:type="pct"/>
            <w:tcBorders>
              <w:top w:val="single" w:sz="8" w:space="0" w:color="auto"/>
              <w:bottom w:val="single" w:sz="8" w:space="0" w:color="auto"/>
              <w:right w:val="single" w:sz="4" w:space="0" w:color="auto"/>
            </w:tcBorders>
            <w:shd w:val="clear" w:color="auto" w:fill="auto"/>
          </w:tcPr>
          <w:p w14:paraId="1FB87305" w14:textId="77777777" w:rsidR="00EE7F93" w:rsidRPr="00CE28E3" w:rsidRDefault="00EE7F93" w:rsidP="00804632">
            <w:pPr>
              <w:pStyle w:val="TableHeading0"/>
            </w:pPr>
            <w:bookmarkStart w:id="263" w:name="Title_Table43" w:colFirst="0" w:colLast="0"/>
            <w:r w:rsidRPr="00CE28E3">
              <w:t>Component</w:t>
            </w:r>
          </w:p>
        </w:tc>
        <w:tc>
          <w:tcPr>
            <w:tcW w:w="4375" w:type="pct"/>
            <w:gridSpan w:val="3"/>
            <w:tcBorders>
              <w:top w:val="single" w:sz="4" w:space="0" w:color="auto"/>
              <w:bottom w:val="single" w:sz="4" w:space="0" w:color="auto"/>
              <w:right w:val="single" w:sz="4" w:space="0" w:color="auto"/>
            </w:tcBorders>
          </w:tcPr>
          <w:p w14:paraId="022156B2" w14:textId="33AA55DF" w:rsidR="00EE7F93" w:rsidRPr="00CE28E3" w:rsidRDefault="00EE7F93" w:rsidP="00804632">
            <w:pPr>
              <w:pStyle w:val="TableHeading0"/>
            </w:pPr>
            <w:r w:rsidRPr="00CE28E3">
              <w:t>Description</w:t>
            </w:r>
          </w:p>
        </w:tc>
      </w:tr>
      <w:bookmarkEnd w:id="263"/>
      <w:tr w:rsidR="007B36C0" w:rsidRPr="00CE28E3" w14:paraId="065A6414" w14:textId="3219CEB3" w:rsidTr="00E73562">
        <w:tc>
          <w:tcPr>
            <w:tcW w:w="625" w:type="pct"/>
            <w:tcBorders>
              <w:top w:val="single" w:sz="8" w:space="0" w:color="auto"/>
              <w:right w:val="single" w:sz="4" w:space="0" w:color="auto"/>
            </w:tcBorders>
          </w:tcPr>
          <w:p w14:paraId="41287553" w14:textId="77777777" w:rsidR="007B36C0" w:rsidRPr="00CE28E3" w:rsidRDefault="007B36C0" w:rsidP="00E6247B">
            <w:pPr>
              <w:pStyle w:val="TableText"/>
              <w:rPr>
                <w:rFonts w:cs="Arial"/>
              </w:rPr>
            </w:pPr>
            <w:r w:rsidRPr="00CE28E3">
              <w:rPr>
                <w:rFonts w:cs="Arial"/>
              </w:rPr>
              <w:t>Population</w:t>
            </w:r>
          </w:p>
        </w:tc>
        <w:tc>
          <w:tcPr>
            <w:tcW w:w="1569" w:type="pct"/>
            <w:tcBorders>
              <w:top w:val="single" w:sz="4" w:space="0" w:color="auto"/>
              <w:right w:val="single" w:sz="4" w:space="0" w:color="auto"/>
            </w:tcBorders>
          </w:tcPr>
          <w:p w14:paraId="0799CEF6" w14:textId="1C860A8B" w:rsidR="007B36C0" w:rsidRPr="00E6247B" w:rsidRDefault="007B36C0" w:rsidP="003C4492">
            <w:pPr>
              <w:pStyle w:val="TableText"/>
              <w:spacing w:before="0" w:after="0"/>
              <w:contextualSpacing/>
            </w:pPr>
            <w:r w:rsidRPr="00882F76">
              <w:rPr>
                <w:rFonts w:cs="Arial"/>
              </w:rPr>
              <w:t xml:space="preserve">Patients with non-squamous (or </w:t>
            </w:r>
            <w:r>
              <w:rPr>
                <w:rFonts w:cs="Arial"/>
              </w:rPr>
              <w:t xml:space="preserve">histology </w:t>
            </w:r>
            <w:r w:rsidRPr="00882F76">
              <w:rPr>
                <w:rFonts w:cs="Arial"/>
              </w:rPr>
              <w:t>not otherwise specified) non-small cell lung cancer (NSCLC)</w:t>
            </w:r>
            <w:r>
              <w:rPr>
                <w:rFonts w:cs="Arial"/>
              </w:rPr>
              <w:t xml:space="preserve"> </w:t>
            </w:r>
            <w:r>
              <w:rPr>
                <w:rFonts w:cs="Arial"/>
                <w:i/>
              </w:rPr>
              <w:t xml:space="preserve">and </w:t>
            </w:r>
            <w:r>
              <w:rPr>
                <w:rFonts w:cs="Arial"/>
              </w:rPr>
              <w:t>with biomarkers identified by NGS but not by clinical utility standard</w:t>
            </w:r>
          </w:p>
        </w:tc>
        <w:tc>
          <w:tcPr>
            <w:tcW w:w="2806" w:type="pct"/>
            <w:gridSpan w:val="2"/>
            <w:tcBorders>
              <w:top w:val="single" w:sz="4" w:space="0" w:color="auto"/>
              <w:right w:val="single" w:sz="4" w:space="0" w:color="auto"/>
            </w:tcBorders>
          </w:tcPr>
          <w:p w14:paraId="231B6EA3" w14:textId="1C8E765D" w:rsidR="007B36C0" w:rsidRPr="00CE28E3" w:rsidRDefault="007B36C0" w:rsidP="00E6247B">
            <w:pPr>
              <w:pStyle w:val="TableText"/>
              <w:spacing w:before="0" w:after="0"/>
              <w:contextualSpacing/>
            </w:pPr>
            <w:r w:rsidRPr="00882F76">
              <w:rPr>
                <w:rFonts w:cs="Arial"/>
              </w:rPr>
              <w:t xml:space="preserve">Patients with non-squamous (or </w:t>
            </w:r>
            <w:r>
              <w:rPr>
                <w:rFonts w:cs="Arial"/>
              </w:rPr>
              <w:t xml:space="preserve">histology </w:t>
            </w:r>
            <w:r w:rsidRPr="00882F76">
              <w:rPr>
                <w:rFonts w:cs="Arial"/>
              </w:rPr>
              <w:t>not otherwise specified) non-small cell lung cancer (NSCLC)</w:t>
            </w:r>
          </w:p>
        </w:tc>
      </w:tr>
      <w:tr w:rsidR="00E73562" w:rsidRPr="00CE28E3" w14:paraId="0CF2A051" w14:textId="77777777" w:rsidTr="00072BF6">
        <w:tc>
          <w:tcPr>
            <w:tcW w:w="625" w:type="pct"/>
            <w:tcBorders>
              <w:right w:val="single" w:sz="4" w:space="0" w:color="auto"/>
            </w:tcBorders>
          </w:tcPr>
          <w:p w14:paraId="0B5D2740" w14:textId="77777777" w:rsidR="00E73562" w:rsidRPr="00CE28E3" w:rsidRDefault="00E73562" w:rsidP="00E6247B">
            <w:pPr>
              <w:pStyle w:val="TableText"/>
              <w:rPr>
                <w:rFonts w:cs="Arial"/>
              </w:rPr>
            </w:pPr>
            <w:r w:rsidRPr="00CE28E3">
              <w:rPr>
                <w:rFonts w:cs="Arial"/>
              </w:rPr>
              <w:t>Intervention</w:t>
            </w:r>
          </w:p>
        </w:tc>
        <w:tc>
          <w:tcPr>
            <w:tcW w:w="1569" w:type="pct"/>
          </w:tcPr>
          <w:p w14:paraId="54C9DD22" w14:textId="6F4BA855" w:rsidR="00E73562" w:rsidRDefault="00E73562" w:rsidP="003C4492">
            <w:pPr>
              <w:pStyle w:val="TableText"/>
              <w:spacing w:before="0" w:after="0"/>
              <w:contextualSpacing/>
            </w:pPr>
            <w:r>
              <w:t xml:space="preserve">Targeted treatment </w:t>
            </w:r>
          </w:p>
        </w:tc>
        <w:tc>
          <w:tcPr>
            <w:tcW w:w="1340" w:type="pct"/>
            <w:tcBorders>
              <w:right w:val="single" w:sz="4" w:space="0" w:color="auto"/>
            </w:tcBorders>
          </w:tcPr>
          <w:p w14:paraId="4002F6CE" w14:textId="71F1FEFF" w:rsidR="00E73562" w:rsidRDefault="00E73562" w:rsidP="00E6247B">
            <w:pPr>
              <w:pStyle w:val="TableText"/>
              <w:spacing w:before="0" w:after="0"/>
              <w:contextualSpacing/>
            </w:pPr>
            <w:r>
              <w:t>Early treatment</w:t>
            </w:r>
          </w:p>
        </w:tc>
        <w:tc>
          <w:tcPr>
            <w:tcW w:w="1466" w:type="pct"/>
            <w:tcBorders>
              <w:top w:val="single" w:sz="4" w:space="0" w:color="auto"/>
              <w:left w:val="single" w:sz="4" w:space="0" w:color="auto"/>
              <w:bottom w:val="single" w:sz="4" w:space="0" w:color="auto"/>
              <w:right w:val="single" w:sz="4" w:space="0" w:color="auto"/>
            </w:tcBorders>
          </w:tcPr>
          <w:p w14:paraId="0FB77AE7" w14:textId="48DC21A1" w:rsidR="00E73562" w:rsidRPr="00CE28E3" w:rsidRDefault="00E73562" w:rsidP="00E6247B">
            <w:pPr>
              <w:pStyle w:val="TableText"/>
              <w:spacing w:before="0" w:after="0"/>
              <w:contextualSpacing/>
            </w:pPr>
            <w:r>
              <w:t>Reduced rate of rebiopsy</w:t>
            </w:r>
          </w:p>
        </w:tc>
      </w:tr>
      <w:tr w:rsidR="00E73562" w:rsidRPr="00CE28E3" w14:paraId="44F6BF82" w14:textId="77777777" w:rsidTr="00072BF6">
        <w:tc>
          <w:tcPr>
            <w:tcW w:w="625" w:type="pct"/>
            <w:tcBorders>
              <w:right w:val="single" w:sz="4" w:space="0" w:color="auto"/>
            </w:tcBorders>
          </w:tcPr>
          <w:p w14:paraId="52FCF4B1" w14:textId="77777777" w:rsidR="00E73562" w:rsidRPr="00CE28E3" w:rsidRDefault="00E73562" w:rsidP="00E6247B">
            <w:pPr>
              <w:pStyle w:val="TableText"/>
              <w:rPr>
                <w:rFonts w:cs="Arial"/>
              </w:rPr>
            </w:pPr>
            <w:r w:rsidRPr="00CE28E3">
              <w:rPr>
                <w:rFonts w:cs="Arial"/>
              </w:rPr>
              <w:t>Comparator</w:t>
            </w:r>
          </w:p>
        </w:tc>
        <w:tc>
          <w:tcPr>
            <w:tcW w:w="1569" w:type="pct"/>
          </w:tcPr>
          <w:p w14:paraId="180A1A07" w14:textId="54654C48" w:rsidR="00E73562" w:rsidRDefault="00E73562" w:rsidP="00E6247B">
            <w:pPr>
              <w:pStyle w:val="TableText"/>
            </w:pPr>
            <w:r>
              <w:t>Non-targeted treatment</w:t>
            </w:r>
          </w:p>
        </w:tc>
        <w:tc>
          <w:tcPr>
            <w:tcW w:w="1340" w:type="pct"/>
            <w:tcBorders>
              <w:right w:val="single" w:sz="4" w:space="0" w:color="auto"/>
            </w:tcBorders>
          </w:tcPr>
          <w:p w14:paraId="7080DC97" w14:textId="70A6AA94" w:rsidR="00E73562" w:rsidRDefault="00E73562" w:rsidP="00E6247B">
            <w:pPr>
              <w:pStyle w:val="TableText"/>
            </w:pPr>
            <w:r>
              <w:t>Late treatment</w:t>
            </w:r>
          </w:p>
        </w:tc>
        <w:tc>
          <w:tcPr>
            <w:tcW w:w="1466" w:type="pct"/>
            <w:tcBorders>
              <w:top w:val="single" w:sz="4" w:space="0" w:color="auto"/>
              <w:left w:val="single" w:sz="4" w:space="0" w:color="auto"/>
              <w:bottom w:val="single" w:sz="4" w:space="0" w:color="auto"/>
              <w:right w:val="single" w:sz="4" w:space="0" w:color="auto"/>
            </w:tcBorders>
          </w:tcPr>
          <w:p w14:paraId="4D440168" w14:textId="4CC30418" w:rsidR="00E73562" w:rsidRPr="00CE28E3" w:rsidRDefault="00E73562" w:rsidP="00E6247B">
            <w:pPr>
              <w:pStyle w:val="TableText"/>
            </w:pPr>
            <w:r>
              <w:t>Increased rate of rebiopsy</w:t>
            </w:r>
          </w:p>
        </w:tc>
      </w:tr>
      <w:tr w:rsidR="00E73562" w:rsidRPr="00CE28E3" w14:paraId="58BD9F38" w14:textId="77777777" w:rsidTr="00072BF6">
        <w:tc>
          <w:tcPr>
            <w:tcW w:w="625" w:type="pct"/>
            <w:tcBorders>
              <w:right w:val="single" w:sz="4" w:space="0" w:color="auto"/>
            </w:tcBorders>
          </w:tcPr>
          <w:p w14:paraId="491DB811" w14:textId="77777777" w:rsidR="00E73562" w:rsidRPr="00CE28E3" w:rsidRDefault="00E73562" w:rsidP="00E6247B">
            <w:pPr>
              <w:pStyle w:val="TableText"/>
              <w:rPr>
                <w:rFonts w:cs="Arial"/>
              </w:rPr>
            </w:pPr>
            <w:r w:rsidRPr="00CE28E3">
              <w:rPr>
                <w:rFonts w:cs="Arial"/>
              </w:rPr>
              <w:t>Outcomes</w:t>
            </w:r>
          </w:p>
        </w:tc>
        <w:tc>
          <w:tcPr>
            <w:tcW w:w="1569" w:type="pct"/>
          </w:tcPr>
          <w:p w14:paraId="45604CF3" w14:textId="77777777" w:rsidR="00E73562" w:rsidRDefault="00E73562" w:rsidP="00E6247B">
            <w:pPr>
              <w:pStyle w:val="TableText"/>
            </w:pPr>
            <w:r w:rsidRPr="00CE28E3">
              <w:rPr>
                <w:b/>
              </w:rPr>
              <w:t>Health outcomes:</w:t>
            </w:r>
            <w:r w:rsidRPr="00CE28E3">
              <w:t xml:space="preserve"> </w:t>
            </w:r>
          </w:p>
          <w:p w14:paraId="21183B05" w14:textId="77777777" w:rsidR="00E73562" w:rsidRDefault="00E73562" w:rsidP="00E11A63">
            <w:pPr>
              <w:pStyle w:val="TableText"/>
            </w:pPr>
            <w:r w:rsidRPr="002E6705">
              <w:lastRenderedPageBreak/>
              <w:t xml:space="preserve">Health outcome changes based on increase in number of patients eligible for PBS-listed </w:t>
            </w:r>
            <w:r>
              <w:t xml:space="preserve">targeted therapies </w:t>
            </w:r>
          </w:p>
          <w:p w14:paraId="0562AE01" w14:textId="77777777" w:rsidR="00E73562" w:rsidRDefault="00E73562" w:rsidP="00E6247B">
            <w:pPr>
              <w:pStyle w:val="TableText"/>
            </w:pPr>
          </w:p>
          <w:p w14:paraId="0ECCC756" w14:textId="77777777" w:rsidR="00E73562" w:rsidRPr="00D151A9" w:rsidRDefault="00E73562" w:rsidP="00E6247B">
            <w:pPr>
              <w:pStyle w:val="TableText"/>
              <w:rPr>
                <w:b/>
              </w:rPr>
            </w:pPr>
            <w:r>
              <w:rPr>
                <w:b/>
              </w:rPr>
              <w:t>Safety</w:t>
            </w:r>
          </w:p>
          <w:p w14:paraId="3644E920" w14:textId="6107DDAC" w:rsidR="00E73562" w:rsidRPr="00CE28E3" w:rsidRDefault="00E73562" w:rsidP="00E6247B">
            <w:pPr>
              <w:pStyle w:val="TableText"/>
              <w:rPr>
                <w:b/>
              </w:rPr>
            </w:pPr>
            <w:r>
              <w:t>Adverse events from changes in management</w:t>
            </w:r>
          </w:p>
        </w:tc>
        <w:tc>
          <w:tcPr>
            <w:tcW w:w="1340" w:type="pct"/>
            <w:tcBorders>
              <w:right w:val="single" w:sz="4" w:space="0" w:color="auto"/>
            </w:tcBorders>
          </w:tcPr>
          <w:p w14:paraId="505EC878" w14:textId="0B154E5E" w:rsidR="00E73562" w:rsidRDefault="00E73562" w:rsidP="00E6247B">
            <w:pPr>
              <w:pStyle w:val="TableText"/>
            </w:pPr>
            <w:r w:rsidRPr="00CE28E3">
              <w:rPr>
                <w:b/>
              </w:rPr>
              <w:lastRenderedPageBreak/>
              <w:t>Health outcomes:</w:t>
            </w:r>
            <w:r w:rsidRPr="00CE28E3">
              <w:t xml:space="preserve"> </w:t>
            </w:r>
          </w:p>
          <w:p w14:paraId="02CE5CD0" w14:textId="745A89A1" w:rsidR="00E73562" w:rsidRDefault="00E73562" w:rsidP="00E6247B">
            <w:pPr>
              <w:pStyle w:val="TableText"/>
            </w:pPr>
            <w:r w:rsidRPr="002E6705">
              <w:lastRenderedPageBreak/>
              <w:t xml:space="preserve">Health outcome changes based on earlier commencement of </w:t>
            </w:r>
            <w:r>
              <w:t>treatment</w:t>
            </w:r>
          </w:p>
          <w:p w14:paraId="5A5D22C4" w14:textId="44EAE7E0" w:rsidR="00E73562" w:rsidRPr="00CE28E3" w:rsidRDefault="00E73562" w:rsidP="00E6247B">
            <w:pPr>
              <w:pStyle w:val="TableText"/>
              <w:rPr>
                <w:b/>
              </w:rPr>
            </w:pPr>
          </w:p>
        </w:tc>
        <w:tc>
          <w:tcPr>
            <w:tcW w:w="1466" w:type="pct"/>
            <w:tcBorders>
              <w:top w:val="single" w:sz="4" w:space="0" w:color="auto"/>
              <w:left w:val="single" w:sz="4" w:space="0" w:color="auto"/>
              <w:bottom w:val="single" w:sz="4" w:space="0" w:color="auto"/>
              <w:right w:val="single" w:sz="4" w:space="0" w:color="auto"/>
            </w:tcBorders>
          </w:tcPr>
          <w:p w14:paraId="7A52B24A" w14:textId="77777777" w:rsidR="00E73562" w:rsidRPr="00D151A9" w:rsidRDefault="00E73562" w:rsidP="00E6247B">
            <w:pPr>
              <w:pStyle w:val="TableText"/>
              <w:rPr>
                <w:b/>
              </w:rPr>
            </w:pPr>
            <w:r>
              <w:rPr>
                <w:b/>
              </w:rPr>
              <w:lastRenderedPageBreak/>
              <w:t>Safety</w:t>
            </w:r>
          </w:p>
          <w:p w14:paraId="589B6E05" w14:textId="77777777" w:rsidR="00E73562" w:rsidRDefault="00E73562" w:rsidP="00E11A63">
            <w:pPr>
              <w:pStyle w:val="TableText"/>
            </w:pPr>
            <w:r>
              <w:lastRenderedPageBreak/>
              <w:t>Harms (physical and/or psychological) due to rebiopsy</w:t>
            </w:r>
          </w:p>
          <w:p w14:paraId="142B35DA" w14:textId="1373B2B4" w:rsidR="00E73562" w:rsidRPr="00CE28E3" w:rsidRDefault="00E73562" w:rsidP="00E6247B">
            <w:pPr>
              <w:pStyle w:val="TableText"/>
              <w:rPr>
                <w:u w:val="single"/>
              </w:rPr>
            </w:pPr>
          </w:p>
        </w:tc>
      </w:tr>
      <w:tr w:rsidR="00E6247B" w:rsidRPr="00CE28E3" w14:paraId="4D99D8D1" w14:textId="77777777" w:rsidTr="00EE7F93">
        <w:tc>
          <w:tcPr>
            <w:tcW w:w="5000" w:type="pct"/>
            <w:gridSpan w:val="4"/>
            <w:tcBorders>
              <w:right w:val="single" w:sz="4" w:space="0" w:color="auto"/>
            </w:tcBorders>
          </w:tcPr>
          <w:p w14:paraId="7D921BEE" w14:textId="0CB04047" w:rsidR="00E6247B" w:rsidRPr="00CE28E3" w:rsidRDefault="00E6247B" w:rsidP="00E6247B">
            <w:pPr>
              <w:pStyle w:val="In-tableHeading"/>
            </w:pPr>
            <w:r>
              <w:lastRenderedPageBreak/>
              <w:t xml:space="preserve">Systematic review </w:t>
            </w:r>
            <w:r w:rsidRPr="00CE28E3">
              <w:t>questions:</w:t>
            </w:r>
          </w:p>
          <w:p w14:paraId="41CA1CA6" w14:textId="77777777" w:rsidR="00E6247B" w:rsidRDefault="00072BF6" w:rsidP="00E6247B">
            <w:pPr>
              <w:pStyle w:val="TableText"/>
            </w:pPr>
            <w:r>
              <w:t xml:space="preserve">What impact do the changes in management from small NGS DNA/RNA panel have on health outcomes? </w:t>
            </w:r>
          </w:p>
          <w:p w14:paraId="18DEC094" w14:textId="77777777" w:rsidR="001900BA" w:rsidRPr="00CE28E3" w:rsidRDefault="001900BA" w:rsidP="001900BA">
            <w:pPr>
              <w:pStyle w:val="TableText"/>
            </w:pPr>
            <w:r w:rsidRPr="00CE28E3">
              <w:t xml:space="preserve">Do the differences in the management derived from </w:t>
            </w:r>
            <w:r>
              <w:t>small NGS DNA/RNA panel(s)</w:t>
            </w:r>
            <w:r w:rsidRPr="00CE28E3">
              <w:t xml:space="preserve">, relative to </w:t>
            </w:r>
            <w:r>
              <w:t>sequential single gene testing</w:t>
            </w:r>
            <w:r w:rsidRPr="00CE28E3">
              <w:t xml:space="preserve"> (e</w:t>
            </w:r>
            <w:r>
              <w:t>.</w:t>
            </w:r>
            <w:r w:rsidRPr="00CE28E3">
              <w:t>g</w:t>
            </w:r>
            <w:r>
              <w:t>.</w:t>
            </w:r>
            <w:r w:rsidRPr="00CE28E3">
              <w:t xml:space="preserve"> differences in </w:t>
            </w:r>
            <w:r>
              <w:t>rate of biopsies, type of treatment received, or timing of treatment</w:t>
            </w:r>
            <w:r w:rsidRPr="00CE28E3">
              <w:t>), result in the claimed health outcomes?</w:t>
            </w:r>
          </w:p>
          <w:p w14:paraId="26608FCC" w14:textId="2222961A" w:rsidR="001900BA" w:rsidRDefault="001900BA" w:rsidP="001900BA">
            <w:pPr>
              <w:pStyle w:val="TableText"/>
            </w:pPr>
            <w:r>
              <w:t>If NGS DNA/RNA panel results in targeted treatment</w:t>
            </w:r>
            <w:r w:rsidRPr="00CE28E3">
              <w:t xml:space="preserve"> </w:t>
            </w:r>
            <w:r>
              <w:t xml:space="preserve">being </w:t>
            </w:r>
            <w:r w:rsidRPr="00CE28E3">
              <w:t xml:space="preserve">provided to a </w:t>
            </w:r>
            <w:r>
              <w:t xml:space="preserve">broader </w:t>
            </w:r>
            <w:r w:rsidRPr="00CE28E3">
              <w:t xml:space="preserve">population </w:t>
            </w:r>
            <w:r>
              <w:t>than</w:t>
            </w:r>
            <w:r w:rsidRPr="00CE28E3">
              <w:t xml:space="preserve"> the </w:t>
            </w:r>
            <w:r>
              <w:t>clinical utility standard i</w:t>
            </w:r>
            <w:r w:rsidRPr="00CE28E3">
              <w:t>dentifies</w:t>
            </w:r>
            <w:r>
              <w:t>, what are the health outcomes associated with this treatment</w:t>
            </w:r>
            <w:r w:rsidRPr="00CE28E3">
              <w:t xml:space="preserve">? Is it biologically plausible that the </w:t>
            </w:r>
            <w:r>
              <w:t xml:space="preserve">size of effect from the targeted </w:t>
            </w:r>
            <w:r w:rsidRPr="00CE28E3">
              <w:t>treatment will be</w:t>
            </w:r>
            <w:r>
              <w:t xml:space="preserve"> as effective in this population as those identified from the clinical utility standard</w:t>
            </w:r>
            <w:r w:rsidRPr="00CE28E3">
              <w:t xml:space="preserve">? </w:t>
            </w:r>
          </w:p>
          <w:p w14:paraId="23E52130" w14:textId="0DD6368F" w:rsidR="001900BA" w:rsidRPr="00CE28E3" w:rsidRDefault="001900BA" w:rsidP="001900BA">
            <w:pPr>
              <w:pStyle w:val="TableText"/>
            </w:pPr>
            <w:r w:rsidRPr="00CE28E3">
              <w:t xml:space="preserve">What are the adverse events </w:t>
            </w:r>
            <w:r>
              <w:t>associated with rebiopsies?</w:t>
            </w:r>
          </w:p>
          <w:p w14:paraId="69466B93" w14:textId="3C8B29A9" w:rsidR="001900BA" w:rsidRPr="00B459A4" w:rsidRDefault="001900BA" w:rsidP="00E6247B">
            <w:pPr>
              <w:pStyle w:val="TableText"/>
            </w:pPr>
          </w:p>
        </w:tc>
      </w:tr>
    </w:tbl>
    <w:p w14:paraId="760FAD8F" w14:textId="77777777" w:rsidR="00ED3F33" w:rsidRPr="00CE28E3" w:rsidRDefault="00ED3F33" w:rsidP="00ED3F33">
      <w:pPr>
        <w:pStyle w:val="TableFooter"/>
      </w:pPr>
      <w:bookmarkStart w:id="264" w:name="_Toc54940796"/>
      <w:r w:rsidRPr="00902EC2">
        <w:t>DNA = deoxyribonucleic acid;</w:t>
      </w:r>
      <w:r w:rsidRPr="00D01B49">
        <w:t xml:space="preserve"> </w:t>
      </w:r>
      <w:r w:rsidRPr="00902EC2">
        <w:t>NG</w:t>
      </w:r>
      <w:r>
        <w:t>S = next generation sequencing;</w:t>
      </w:r>
      <w:r w:rsidRPr="00902EC2">
        <w:t xml:space="preserve"> NSCLC = non-small cell lung cancer;</w:t>
      </w:r>
      <w:r>
        <w:t xml:space="preserve"> RNA = ribonucleic acid</w:t>
      </w:r>
    </w:p>
    <w:p w14:paraId="34F3EFB1" w14:textId="4416CACC" w:rsidR="00804632" w:rsidRPr="00CE28E3" w:rsidRDefault="00804632" w:rsidP="007951D4">
      <w:pPr>
        <w:pStyle w:val="Heading2"/>
        <w:numPr>
          <w:ilvl w:val="0"/>
          <w:numId w:val="0"/>
        </w:numPr>
        <w:ind w:left="357" w:hanging="357"/>
      </w:pPr>
      <w:bookmarkStart w:id="265" w:name="_Toc148531198"/>
      <w:r w:rsidRPr="00CE28E3">
        <w:t>Literature sources and search strategies</w:t>
      </w:r>
      <w:bookmarkEnd w:id="264"/>
      <w:bookmarkEnd w:id="265"/>
    </w:p>
    <w:p w14:paraId="6D106349" w14:textId="71DD8BF2" w:rsidR="00593A33" w:rsidRDefault="00804632" w:rsidP="003251C2">
      <w:r w:rsidRPr="00CE28E3">
        <w:t xml:space="preserve">The medical literature was searched on </w:t>
      </w:r>
      <w:r w:rsidR="00A36CA5">
        <w:t>9</w:t>
      </w:r>
      <w:r w:rsidR="00A36CA5" w:rsidRPr="00A36CA5">
        <w:rPr>
          <w:vertAlign w:val="superscript"/>
        </w:rPr>
        <w:t>th</w:t>
      </w:r>
      <w:r w:rsidR="00A36CA5">
        <w:t xml:space="preserve"> May 2022</w:t>
      </w:r>
      <w:r w:rsidRPr="00CE28E3">
        <w:t xml:space="preserve"> to identify </w:t>
      </w:r>
      <w:r w:rsidRPr="0038346D">
        <w:t xml:space="preserve">relevant studies and systematic reviews published during the period </w:t>
      </w:r>
      <w:r w:rsidR="00A36CA5" w:rsidRPr="0038346D">
        <w:t xml:space="preserve">database inception </w:t>
      </w:r>
      <w:r w:rsidRPr="0038346D">
        <w:t xml:space="preserve">to </w:t>
      </w:r>
      <w:r w:rsidR="00A36CA5" w:rsidRPr="0038346D">
        <w:t>May 2022</w:t>
      </w:r>
      <w:r w:rsidRPr="0038346D">
        <w:t>. Sea</w:t>
      </w:r>
      <w:r w:rsidRPr="00CE28E3">
        <w:t xml:space="preserve">rches were conducted of the databases and sources described in </w:t>
      </w:r>
      <w:r w:rsidR="00AC6F7D" w:rsidRPr="00CE28E3">
        <w:fldChar w:fldCharType="begin"/>
      </w:r>
      <w:r w:rsidR="00AC6F7D" w:rsidRPr="00CE28E3">
        <w:instrText xml:space="preserve"> REF _Ref56607565 \h </w:instrText>
      </w:r>
      <w:r w:rsidR="00CE28E3">
        <w:instrText xml:space="preserve"> \* MERGEFORMAT </w:instrText>
      </w:r>
      <w:r w:rsidR="00AC6F7D" w:rsidRPr="00CE28E3">
        <w:fldChar w:fldCharType="separate"/>
      </w:r>
      <w:r w:rsidR="00C857F3" w:rsidRPr="00CE28E3">
        <w:t>Table</w:t>
      </w:r>
      <w:r w:rsidR="00C857F3">
        <w:t> 76</w:t>
      </w:r>
      <w:r w:rsidR="00AC6F7D" w:rsidRPr="00CE28E3">
        <w:fldChar w:fldCharType="end"/>
      </w:r>
      <w:r w:rsidRPr="00CE28E3">
        <w:t xml:space="preserve">. Search terms are described in </w:t>
      </w:r>
      <w:r w:rsidRPr="00CE28E3">
        <w:fldChar w:fldCharType="begin"/>
      </w:r>
      <w:r w:rsidRPr="00CE28E3">
        <w:instrText xml:space="preserve"> REF _Ref379483486 \h  \* MERGEFORMAT </w:instrText>
      </w:r>
      <w:r w:rsidRPr="00CE28E3">
        <w:fldChar w:fldCharType="separate"/>
      </w:r>
      <w:r w:rsidR="00C857F3" w:rsidRPr="00CE28E3">
        <w:t>Table</w:t>
      </w:r>
      <w:r w:rsidR="00C857F3">
        <w:t> 75</w:t>
      </w:r>
      <w:r w:rsidRPr="00CE28E3">
        <w:fldChar w:fldCharType="end"/>
      </w:r>
      <w:r w:rsidR="00C66D8A">
        <w:t>.</w:t>
      </w:r>
      <w:r w:rsidR="002F755A">
        <w:t xml:space="preserve"> The search strategy was tested using the </w:t>
      </w:r>
      <w:r w:rsidR="00191BAD">
        <w:t xml:space="preserve">SearchRefinery tool </w:t>
      </w:r>
      <w:r w:rsidR="00B4668F">
        <w:fldChar w:fldCharType="begin"/>
      </w:r>
      <w:r w:rsidR="00B4668F">
        <w:instrText xml:space="preserve"> ADDIN EN.CITE &lt;EndNote&gt;&lt;Cite&gt;&lt;Author&gt;Scells&lt;/Author&gt;&lt;Year&gt;2018&lt;/Year&gt;&lt;RecNum&gt;85&lt;/RecNum&gt;&lt;IDText&gt;1939-1942&lt;/IDText&gt;&lt;DisplayText&gt;(Scells &amp;amp; Zuccon 2018)&lt;/DisplayText&gt;&lt;record&gt;&lt;rec-number&gt;85&lt;/rec-number&gt;&lt;foreign-keys&gt;&lt;key app="EN" db-id="0tprsse9cpp5r3ea5dz5p0xw2pfwvwxpa5a5" timestamp="1653018339"&gt;85&lt;/key&gt;&lt;/foreign-keys&gt;&lt;ref-type name="Conference Paper"&gt;47&lt;/ref-type&gt;&lt;contributors&gt;&lt;authors&gt;&lt;author&gt;Scells, H.&lt;/author&gt;&lt;author&gt;Zuccon, G.&lt;/author&gt;&lt;/authors&gt;&lt;/contributors&gt;&lt;titles&gt;&lt;title&gt;searchrefiner: A query visualisation and understanding tool for systematic reviews. &lt;/title&gt;&lt;secondary-title&gt;27th ACM International Conference on Information and Knowledge Management&lt;/secondary-title&gt;&lt;/titles&gt;&lt;pages&gt;1939-1942&lt;/pages&gt;&lt;dates&gt;&lt;year&gt;2018&lt;/year&gt;&lt;/dates&gt;&lt;urls&gt;&lt;related-urls&gt;&lt;url&gt;https://sr-accelerator.com/#/searchrefinery &lt;/url&gt;&lt;/related-urls&gt;&lt;/urls&gt;&lt;/record&gt;&lt;/Cite&gt;&lt;/EndNote&gt;</w:instrText>
      </w:r>
      <w:r w:rsidR="00B4668F">
        <w:fldChar w:fldCharType="separate"/>
      </w:r>
      <w:r w:rsidR="00B4668F">
        <w:rPr>
          <w:noProof/>
        </w:rPr>
        <w:t>(Scells &amp; Zuccon 2018)</w:t>
      </w:r>
      <w:r w:rsidR="00B4668F">
        <w:fldChar w:fldCharType="end"/>
      </w:r>
      <w:r w:rsidR="001020CB">
        <w:t xml:space="preserve">, using relevant articles from DCAR 1495 and application 1721 as the seed citations. </w:t>
      </w:r>
    </w:p>
    <w:p w14:paraId="26D560F7" w14:textId="51BD107A" w:rsidR="00804632" w:rsidRPr="00CE28E3" w:rsidRDefault="00804632" w:rsidP="00117F04">
      <w:pPr>
        <w:pStyle w:val="Caption"/>
        <w:tabs>
          <w:tab w:val="left" w:pos="851"/>
        </w:tabs>
      </w:pPr>
      <w:bookmarkStart w:id="266" w:name="_Ref363722464"/>
      <w:bookmarkStart w:id="267" w:name="_Ref379483486"/>
      <w:bookmarkStart w:id="268" w:name="_Toc381969863"/>
      <w:bookmarkStart w:id="269" w:name="_Toc432677279"/>
      <w:r w:rsidRPr="00CE28E3">
        <w:t>Table</w:t>
      </w:r>
      <w:r w:rsidR="00E54221">
        <w:t> </w:t>
      </w:r>
      <w:fldSimple w:instr=" SEQ Table \* ARABIC ">
        <w:r w:rsidR="00C857F3">
          <w:rPr>
            <w:noProof/>
          </w:rPr>
          <w:t>75</w:t>
        </w:r>
      </w:fldSimple>
      <w:bookmarkEnd w:id="266"/>
      <w:bookmarkEnd w:id="267"/>
      <w:r w:rsidRPr="00CE28E3">
        <w:tab/>
        <w:t>Search terms used</w:t>
      </w:r>
      <w:bookmarkEnd w:id="268"/>
      <w:r w:rsidRPr="00CE28E3">
        <w:t xml:space="preserve"> </w:t>
      </w:r>
      <w:bookmarkEnd w:id="269"/>
      <w:r w:rsidR="00851E14">
        <w:t>PubMed platform</w:t>
      </w:r>
    </w:p>
    <w:tbl>
      <w:tblPr>
        <w:tblStyle w:val="TableGrid1"/>
        <w:tblW w:w="0" w:type="auto"/>
        <w:tblLook w:val="04A0" w:firstRow="1" w:lastRow="0" w:firstColumn="1" w:lastColumn="0" w:noHBand="0" w:noVBand="1"/>
        <w:tblCaption w:val="Search terms used PubMed platform"/>
        <w:tblDescription w:val="Search terms used PubMed platform"/>
      </w:tblPr>
      <w:tblGrid>
        <w:gridCol w:w="1334"/>
        <w:gridCol w:w="1573"/>
        <w:gridCol w:w="6109"/>
      </w:tblGrid>
      <w:tr w:rsidR="00C66D8A" w:rsidRPr="00CE28E3" w14:paraId="52C80848" w14:textId="77777777" w:rsidTr="00804632">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auto"/>
          </w:tcPr>
          <w:p w14:paraId="62F5A345" w14:textId="77777777" w:rsidR="00804632" w:rsidRPr="00CE28E3" w:rsidRDefault="00804632" w:rsidP="00117F04">
            <w:pPr>
              <w:pStyle w:val="TableHeading0"/>
              <w:keepNext/>
            </w:pPr>
            <w:bookmarkStart w:id="270" w:name="Title_Table44" w:colFirst="0" w:colLast="0"/>
            <w:r w:rsidRPr="00CE28E3">
              <w:t>Category</w:t>
            </w:r>
          </w:p>
        </w:tc>
        <w:tc>
          <w:tcPr>
            <w:tcW w:w="0" w:type="auto"/>
            <w:shd w:val="clear" w:color="auto" w:fill="auto"/>
          </w:tcPr>
          <w:p w14:paraId="0485691C" w14:textId="77777777" w:rsidR="00804632" w:rsidRPr="00CE28E3" w:rsidRDefault="00804632" w:rsidP="00117F04">
            <w:pPr>
              <w:pStyle w:val="TableHeading0"/>
              <w:keepNext/>
            </w:pPr>
            <w:r w:rsidRPr="00CE28E3">
              <w:t>Description</w:t>
            </w:r>
          </w:p>
        </w:tc>
        <w:tc>
          <w:tcPr>
            <w:tcW w:w="0" w:type="auto"/>
            <w:shd w:val="clear" w:color="auto" w:fill="auto"/>
          </w:tcPr>
          <w:p w14:paraId="0D1DFEE3" w14:textId="77777777" w:rsidR="00804632" w:rsidRPr="00CE28E3" w:rsidRDefault="00804632" w:rsidP="00117F04">
            <w:pPr>
              <w:pStyle w:val="TableHeading0"/>
              <w:keepNext/>
            </w:pPr>
            <w:r w:rsidRPr="00CE28E3">
              <w:t>Search terms</w:t>
            </w:r>
          </w:p>
        </w:tc>
      </w:tr>
      <w:bookmarkEnd w:id="270"/>
      <w:tr w:rsidR="00C66D8A" w:rsidRPr="00CE28E3" w14:paraId="0E1AB060" w14:textId="77777777" w:rsidTr="00804632">
        <w:tc>
          <w:tcPr>
            <w:tcW w:w="0" w:type="auto"/>
          </w:tcPr>
          <w:p w14:paraId="5EF28660" w14:textId="77777777" w:rsidR="00804632" w:rsidRPr="00CE28E3" w:rsidRDefault="00804632" w:rsidP="00117F04">
            <w:pPr>
              <w:pStyle w:val="TableText"/>
              <w:keepNext/>
              <w:rPr>
                <w:szCs w:val="24"/>
              </w:rPr>
            </w:pPr>
            <w:r w:rsidRPr="00CE28E3">
              <w:rPr>
                <w:szCs w:val="24"/>
              </w:rPr>
              <w:t>Study design (if justified)</w:t>
            </w:r>
          </w:p>
        </w:tc>
        <w:tc>
          <w:tcPr>
            <w:tcW w:w="0" w:type="auto"/>
          </w:tcPr>
          <w:p w14:paraId="1919F103" w14:textId="03310DF7" w:rsidR="00804632" w:rsidRPr="00CE28E3" w:rsidRDefault="00851E14" w:rsidP="00117F04">
            <w:pPr>
              <w:pStyle w:val="TableText"/>
              <w:keepNext/>
              <w:rPr>
                <w:szCs w:val="24"/>
              </w:rPr>
            </w:pPr>
            <w:r>
              <w:rPr>
                <w:szCs w:val="24"/>
              </w:rPr>
              <w:t>not restricted</w:t>
            </w:r>
          </w:p>
        </w:tc>
        <w:tc>
          <w:tcPr>
            <w:tcW w:w="0" w:type="auto"/>
          </w:tcPr>
          <w:p w14:paraId="133FB54B" w14:textId="04468822" w:rsidR="00804632" w:rsidRPr="00CE28E3" w:rsidRDefault="00851E14" w:rsidP="00117F04">
            <w:pPr>
              <w:pStyle w:val="TableText"/>
              <w:keepNext/>
              <w:rPr>
                <w:szCs w:val="24"/>
              </w:rPr>
            </w:pPr>
            <w:r>
              <w:rPr>
                <w:szCs w:val="24"/>
              </w:rPr>
              <w:t>-</w:t>
            </w:r>
          </w:p>
        </w:tc>
      </w:tr>
      <w:tr w:rsidR="00C66D8A" w:rsidRPr="00CE28E3" w14:paraId="55F1B117" w14:textId="77777777" w:rsidTr="00804632">
        <w:tc>
          <w:tcPr>
            <w:tcW w:w="0" w:type="auto"/>
          </w:tcPr>
          <w:p w14:paraId="30ED1A35" w14:textId="77777777" w:rsidR="00851E14" w:rsidRPr="00CE28E3" w:rsidRDefault="00851E14" w:rsidP="00851E14">
            <w:pPr>
              <w:pStyle w:val="TableText"/>
              <w:rPr>
                <w:szCs w:val="24"/>
              </w:rPr>
            </w:pPr>
            <w:r w:rsidRPr="00CE28E3">
              <w:rPr>
                <w:szCs w:val="24"/>
              </w:rPr>
              <w:t>Population</w:t>
            </w:r>
          </w:p>
        </w:tc>
        <w:tc>
          <w:tcPr>
            <w:tcW w:w="0" w:type="auto"/>
          </w:tcPr>
          <w:p w14:paraId="13133A19" w14:textId="60DBFC4E" w:rsidR="00851E14" w:rsidRPr="00CE28E3" w:rsidRDefault="00851E14" w:rsidP="00851E14">
            <w:pPr>
              <w:pStyle w:val="TableText"/>
              <w:rPr>
                <w:szCs w:val="24"/>
              </w:rPr>
            </w:pPr>
            <w:r>
              <w:rPr>
                <w:szCs w:val="24"/>
              </w:rPr>
              <w:t>Non-squamous NSCLC</w:t>
            </w:r>
          </w:p>
        </w:tc>
        <w:tc>
          <w:tcPr>
            <w:tcW w:w="0" w:type="auto"/>
          </w:tcPr>
          <w:p w14:paraId="63A89890" w14:textId="128324B5" w:rsidR="00851E14" w:rsidRPr="00CE28E3" w:rsidRDefault="003D18CC" w:rsidP="00C66D8A">
            <w:pPr>
              <w:pStyle w:val="TableText"/>
              <w:rPr>
                <w:szCs w:val="24"/>
              </w:rPr>
            </w:pPr>
            <w:r>
              <w:t>(</w:t>
            </w:r>
            <w:r w:rsidR="00851E14" w:rsidRPr="000E3438">
              <w:t>NSCLC</w:t>
            </w:r>
            <w:r w:rsidR="00C66D8A">
              <w:t xml:space="preserve"> OR “nonsmall cell lung” OR “non small cell lung cancer” OR “non small cell lung carcinoma”</w:t>
            </w:r>
            <w:r>
              <w:t xml:space="preserve">) AND </w:t>
            </w:r>
          </w:p>
        </w:tc>
      </w:tr>
      <w:tr w:rsidR="00C66D8A" w:rsidRPr="00CE28E3" w14:paraId="4C917969" w14:textId="77777777" w:rsidTr="00804632">
        <w:tc>
          <w:tcPr>
            <w:tcW w:w="0" w:type="auto"/>
          </w:tcPr>
          <w:p w14:paraId="3423A4F6" w14:textId="77777777" w:rsidR="00851E14" w:rsidRPr="00CE28E3" w:rsidRDefault="00851E14" w:rsidP="00851E14">
            <w:pPr>
              <w:pStyle w:val="TableText"/>
              <w:rPr>
                <w:szCs w:val="24"/>
              </w:rPr>
            </w:pPr>
            <w:r w:rsidRPr="00CE28E3">
              <w:rPr>
                <w:szCs w:val="24"/>
              </w:rPr>
              <w:t>Intervention</w:t>
            </w:r>
          </w:p>
        </w:tc>
        <w:tc>
          <w:tcPr>
            <w:tcW w:w="0" w:type="auto"/>
          </w:tcPr>
          <w:p w14:paraId="567C3088" w14:textId="43FFCE2A" w:rsidR="00851E14" w:rsidRPr="00CE28E3" w:rsidRDefault="00851E14" w:rsidP="00851E14">
            <w:pPr>
              <w:pStyle w:val="TableText"/>
              <w:rPr>
                <w:szCs w:val="24"/>
              </w:rPr>
            </w:pPr>
            <w:r>
              <w:rPr>
                <w:szCs w:val="24"/>
              </w:rPr>
              <w:t>Small RNA/DNA panels using NGS</w:t>
            </w:r>
          </w:p>
        </w:tc>
        <w:tc>
          <w:tcPr>
            <w:tcW w:w="0" w:type="auto"/>
          </w:tcPr>
          <w:p w14:paraId="755EAFF6" w14:textId="3CB397E5" w:rsidR="00851E14" w:rsidRPr="00CE28E3" w:rsidRDefault="003D18CC" w:rsidP="00C66D8A">
            <w:pPr>
              <w:pStyle w:val="TableText"/>
              <w:rPr>
                <w:szCs w:val="24"/>
              </w:rPr>
            </w:pPr>
            <w:r>
              <w:rPr>
                <w:szCs w:val="18"/>
              </w:rPr>
              <w:t>(</w:t>
            </w:r>
            <w:r w:rsidR="00851E14" w:rsidRPr="000E3438">
              <w:rPr>
                <w:szCs w:val="18"/>
              </w:rPr>
              <w:t>(</w:t>
            </w:r>
            <w:r w:rsidR="00C35816">
              <w:rPr>
                <w:szCs w:val="18"/>
              </w:rPr>
              <w:t>“</w:t>
            </w:r>
            <w:r w:rsidR="00851E14" w:rsidRPr="000E3438">
              <w:rPr>
                <w:szCs w:val="18"/>
              </w:rPr>
              <w:t>next generation sequencing</w:t>
            </w:r>
            <w:r w:rsidR="00C35816">
              <w:rPr>
                <w:szCs w:val="18"/>
              </w:rPr>
              <w:t>”</w:t>
            </w:r>
            <w:r w:rsidR="00851E14" w:rsidRPr="000E3438">
              <w:rPr>
                <w:szCs w:val="18"/>
              </w:rPr>
              <w:t xml:space="preserve"> OR</w:t>
            </w:r>
            <w:r w:rsidR="00C35816">
              <w:rPr>
                <w:szCs w:val="18"/>
              </w:rPr>
              <w:t xml:space="preserve"> NGS</w:t>
            </w:r>
            <w:r w:rsidR="00851E14" w:rsidRPr="000E3438">
              <w:rPr>
                <w:szCs w:val="18"/>
              </w:rPr>
              <w:t xml:space="preserve"> OR (gene* </w:t>
            </w:r>
            <w:r w:rsidR="00C35816">
              <w:rPr>
                <w:szCs w:val="18"/>
              </w:rPr>
              <w:t xml:space="preserve">OR molecular OR DNA OR RNA OR comprehensive) AND (panel OR profile OR profiling OR sequencing OR test) OR transciptome) </w:t>
            </w:r>
            <w:r w:rsidR="00C66D8A">
              <w:rPr>
                <w:szCs w:val="18"/>
              </w:rPr>
              <w:t>AND</w:t>
            </w:r>
          </w:p>
        </w:tc>
      </w:tr>
      <w:tr w:rsidR="00C66D8A" w:rsidRPr="00CE28E3" w14:paraId="440B89B6" w14:textId="77777777" w:rsidTr="00804632">
        <w:tc>
          <w:tcPr>
            <w:tcW w:w="0" w:type="auto"/>
          </w:tcPr>
          <w:p w14:paraId="03EB9388" w14:textId="77777777" w:rsidR="00851E14" w:rsidRPr="00CE28E3" w:rsidRDefault="00851E14" w:rsidP="00851E14">
            <w:pPr>
              <w:pStyle w:val="TableText"/>
              <w:rPr>
                <w:szCs w:val="24"/>
              </w:rPr>
            </w:pPr>
            <w:r w:rsidRPr="00CE28E3">
              <w:rPr>
                <w:szCs w:val="24"/>
              </w:rPr>
              <w:t>Comparator</w:t>
            </w:r>
          </w:p>
        </w:tc>
        <w:tc>
          <w:tcPr>
            <w:tcW w:w="0" w:type="auto"/>
          </w:tcPr>
          <w:p w14:paraId="7F876879" w14:textId="075406BA" w:rsidR="00851E14" w:rsidRPr="00CE28E3" w:rsidRDefault="00851E14" w:rsidP="00851E14">
            <w:pPr>
              <w:pStyle w:val="TableText"/>
              <w:rPr>
                <w:szCs w:val="24"/>
              </w:rPr>
            </w:pPr>
          </w:p>
        </w:tc>
        <w:tc>
          <w:tcPr>
            <w:tcW w:w="0" w:type="auto"/>
          </w:tcPr>
          <w:p w14:paraId="08BFE046" w14:textId="6344D048" w:rsidR="00851E14" w:rsidRPr="00CE28E3" w:rsidRDefault="00C66D8A" w:rsidP="00851E14">
            <w:pPr>
              <w:pStyle w:val="TableText"/>
              <w:rPr>
                <w:szCs w:val="24"/>
              </w:rPr>
            </w:pPr>
            <w:r>
              <w:rPr>
                <w:szCs w:val="18"/>
              </w:rPr>
              <w:t>-</w:t>
            </w:r>
          </w:p>
        </w:tc>
      </w:tr>
      <w:tr w:rsidR="00C66D8A" w:rsidRPr="00CE28E3" w14:paraId="05001B02" w14:textId="77777777" w:rsidTr="00804632">
        <w:tc>
          <w:tcPr>
            <w:tcW w:w="0" w:type="auto"/>
          </w:tcPr>
          <w:p w14:paraId="6C7ED49C" w14:textId="72EBFDFC" w:rsidR="00851E14" w:rsidRPr="00CE28E3" w:rsidRDefault="00851E14" w:rsidP="00851E14">
            <w:pPr>
              <w:pStyle w:val="TableText"/>
              <w:rPr>
                <w:szCs w:val="24"/>
              </w:rPr>
            </w:pPr>
            <w:r>
              <w:rPr>
                <w:szCs w:val="24"/>
              </w:rPr>
              <w:t>Outcomes</w:t>
            </w:r>
          </w:p>
        </w:tc>
        <w:tc>
          <w:tcPr>
            <w:tcW w:w="0" w:type="auto"/>
          </w:tcPr>
          <w:p w14:paraId="58AF4EC5" w14:textId="77777777" w:rsidR="00851E14" w:rsidRPr="00CE28E3" w:rsidRDefault="00851E14" w:rsidP="00851E14">
            <w:pPr>
              <w:pStyle w:val="TableText"/>
              <w:rPr>
                <w:szCs w:val="24"/>
              </w:rPr>
            </w:pPr>
          </w:p>
        </w:tc>
        <w:tc>
          <w:tcPr>
            <w:tcW w:w="0" w:type="auto"/>
          </w:tcPr>
          <w:p w14:paraId="586DBD32" w14:textId="2C9148A0" w:rsidR="00851E14" w:rsidRPr="00CE28E3" w:rsidRDefault="00C66D8A" w:rsidP="00851E14">
            <w:pPr>
              <w:pStyle w:val="TableText"/>
              <w:rPr>
                <w:szCs w:val="24"/>
              </w:rPr>
            </w:pPr>
            <w:r w:rsidRPr="00C35816">
              <w:rPr>
                <w:szCs w:val="18"/>
              </w:rPr>
              <w:t>("treat</w:t>
            </w:r>
            <w:r>
              <w:rPr>
                <w:szCs w:val="18"/>
              </w:rPr>
              <w:t>ment selection" or actionable OR targets OR</w:t>
            </w:r>
            <w:r w:rsidRPr="00C35816">
              <w:rPr>
                <w:szCs w:val="18"/>
              </w:rPr>
              <w:t xml:space="preserve"> targeted OR personalised OR personalized OR precis</w:t>
            </w:r>
            <w:r>
              <w:rPr>
                <w:szCs w:val="18"/>
              </w:rPr>
              <w:t>ion OR biomarker OR companion OR tailored OR "therapeutic options" OR clinical utility OR comparative OR comparison OR cost OR yield OR time</w:t>
            </w:r>
            <w:r w:rsidRPr="00C35816">
              <w:rPr>
                <w:szCs w:val="18"/>
              </w:rPr>
              <w:t>)</w:t>
            </w:r>
          </w:p>
        </w:tc>
      </w:tr>
      <w:tr w:rsidR="00C66D8A" w:rsidRPr="00CE28E3" w14:paraId="0137A225" w14:textId="77777777" w:rsidTr="00804632">
        <w:tc>
          <w:tcPr>
            <w:tcW w:w="0" w:type="auto"/>
          </w:tcPr>
          <w:p w14:paraId="33CD6B6C" w14:textId="56EC20F5" w:rsidR="00851E14" w:rsidRPr="00CE28E3" w:rsidRDefault="00851E14" w:rsidP="00851E14">
            <w:pPr>
              <w:pStyle w:val="TableText"/>
              <w:rPr>
                <w:szCs w:val="24"/>
              </w:rPr>
            </w:pPr>
            <w:r>
              <w:rPr>
                <w:szCs w:val="24"/>
              </w:rPr>
              <w:t>Limits</w:t>
            </w:r>
          </w:p>
        </w:tc>
        <w:tc>
          <w:tcPr>
            <w:tcW w:w="0" w:type="auto"/>
          </w:tcPr>
          <w:p w14:paraId="6A9ED138" w14:textId="77777777" w:rsidR="00851E14" w:rsidRPr="00CE28E3" w:rsidRDefault="00851E14" w:rsidP="00851E14">
            <w:pPr>
              <w:pStyle w:val="TableText"/>
              <w:rPr>
                <w:szCs w:val="24"/>
              </w:rPr>
            </w:pPr>
          </w:p>
        </w:tc>
        <w:tc>
          <w:tcPr>
            <w:tcW w:w="0" w:type="auto"/>
          </w:tcPr>
          <w:p w14:paraId="69CD3A04" w14:textId="0C16DE9F" w:rsidR="00851E14" w:rsidRDefault="00851E14" w:rsidP="00851E14">
            <w:pPr>
              <w:pStyle w:val="TableText"/>
            </w:pPr>
            <w:r>
              <w:t>Humans; written in English unless the English written abstract indicates the article may be of higher level than other evidence identified.</w:t>
            </w:r>
          </w:p>
        </w:tc>
      </w:tr>
    </w:tbl>
    <w:p w14:paraId="09AEF25F" w14:textId="3365A88D" w:rsidR="00804632" w:rsidRPr="00CE28E3" w:rsidRDefault="00D01B49" w:rsidP="00ED3F33">
      <w:pPr>
        <w:pStyle w:val="TableFooter"/>
      </w:pPr>
      <w:r w:rsidRPr="00902EC2">
        <w:t>DNA = deoxyribonucleic acid;</w:t>
      </w:r>
      <w:r w:rsidRPr="00D01B49">
        <w:t xml:space="preserve"> </w:t>
      </w:r>
      <w:r w:rsidRPr="00902EC2">
        <w:t>NG</w:t>
      </w:r>
      <w:r>
        <w:t>S = next generation sequencing;</w:t>
      </w:r>
      <w:r w:rsidRPr="00902EC2">
        <w:t xml:space="preserve"> NSCLC = non-small cell lung cancer;</w:t>
      </w:r>
      <w:r>
        <w:t xml:space="preserve"> RNA = ribonucleic acid</w:t>
      </w:r>
    </w:p>
    <w:p w14:paraId="4358D7B3" w14:textId="0C50B714" w:rsidR="00AC6F7D" w:rsidRPr="00CE28E3" w:rsidRDefault="00AC6F7D" w:rsidP="00365447">
      <w:pPr>
        <w:pStyle w:val="Caption"/>
      </w:pPr>
      <w:bookmarkStart w:id="271" w:name="_Ref56607565"/>
      <w:r w:rsidRPr="00CE28E3">
        <w:lastRenderedPageBreak/>
        <w:t>Table</w:t>
      </w:r>
      <w:r w:rsidR="00E54221">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76</w:t>
      </w:r>
      <w:r w:rsidRPr="00CE28E3">
        <w:rPr>
          <w:noProof/>
        </w:rPr>
        <w:fldChar w:fldCharType="end"/>
      </w:r>
      <w:bookmarkEnd w:id="271"/>
      <w:r w:rsidRPr="00CE28E3">
        <w:tab/>
        <w:t>Record of search strategies</w:t>
      </w:r>
    </w:p>
    <w:tbl>
      <w:tblPr>
        <w:tblStyle w:val="TableGrid1"/>
        <w:tblW w:w="4997" w:type="pct"/>
        <w:tblLook w:val="04A0" w:firstRow="1" w:lastRow="0" w:firstColumn="1" w:lastColumn="0" w:noHBand="0" w:noVBand="1"/>
        <w:tblCaption w:val="Record of search strategies"/>
        <w:tblDescription w:val="Record of search strategies"/>
      </w:tblPr>
      <w:tblGrid>
        <w:gridCol w:w="5881"/>
        <w:gridCol w:w="3130"/>
      </w:tblGrid>
      <w:tr w:rsidR="00AC6F7D" w:rsidRPr="00CE28E3" w14:paraId="1806A974" w14:textId="77777777" w:rsidTr="00666A58">
        <w:trPr>
          <w:cnfStyle w:val="100000000000" w:firstRow="1" w:lastRow="0" w:firstColumn="0" w:lastColumn="0" w:oddVBand="0" w:evenVBand="0" w:oddHBand="0" w:evenHBand="0" w:firstRowFirstColumn="0" w:firstRowLastColumn="0" w:lastRowFirstColumn="0" w:lastRowLastColumn="0"/>
          <w:cantSplit/>
          <w:tblHeader/>
        </w:trPr>
        <w:tc>
          <w:tcPr>
            <w:tcW w:w="3263" w:type="pct"/>
            <w:shd w:val="clear" w:color="auto" w:fill="auto"/>
          </w:tcPr>
          <w:p w14:paraId="4257D355" w14:textId="77777777" w:rsidR="00AC6F7D" w:rsidRPr="00CE28E3" w:rsidRDefault="00AC6F7D" w:rsidP="00666A58">
            <w:pPr>
              <w:pStyle w:val="TableHeading0"/>
            </w:pPr>
            <w:bookmarkStart w:id="272" w:name="Title_Table45" w:colFirst="0" w:colLast="0"/>
            <w:r w:rsidRPr="00CE28E3">
              <w:t>Source</w:t>
            </w:r>
          </w:p>
        </w:tc>
        <w:tc>
          <w:tcPr>
            <w:tcW w:w="1737" w:type="pct"/>
            <w:shd w:val="clear" w:color="auto" w:fill="auto"/>
          </w:tcPr>
          <w:p w14:paraId="3E532D89" w14:textId="77777777" w:rsidR="00AC6F7D" w:rsidRPr="00CE28E3" w:rsidRDefault="00AC6F7D" w:rsidP="00666A58">
            <w:pPr>
              <w:pStyle w:val="TableHeading0"/>
            </w:pPr>
            <w:r w:rsidRPr="00CE28E3">
              <w:t>Date span of search</w:t>
            </w:r>
          </w:p>
        </w:tc>
      </w:tr>
      <w:bookmarkEnd w:id="272"/>
      <w:tr w:rsidR="00AC6F7D" w:rsidRPr="00CE28E3" w14:paraId="3B690237" w14:textId="77777777" w:rsidTr="00666A58">
        <w:trPr>
          <w:cantSplit/>
        </w:trPr>
        <w:tc>
          <w:tcPr>
            <w:tcW w:w="3263" w:type="pct"/>
          </w:tcPr>
          <w:p w14:paraId="529F81F5" w14:textId="77777777" w:rsidR="00AC6F7D" w:rsidRPr="00CE28E3" w:rsidRDefault="00AC6F7D" w:rsidP="00666A58">
            <w:pPr>
              <w:pStyle w:val="TableText"/>
            </w:pPr>
            <w:r w:rsidRPr="00CE28E3">
              <w:t>MEDLINE (via PubMed)</w:t>
            </w:r>
          </w:p>
        </w:tc>
        <w:tc>
          <w:tcPr>
            <w:tcW w:w="1737" w:type="pct"/>
          </w:tcPr>
          <w:p w14:paraId="4C498465" w14:textId="559BEF5D" w:rsidR="00AC6F7D" w:rsidRPr="00CE28E3" w:rsidRDefault="00C66D8A" w:rsidP="00666A58">
            <w:pPr>
              <w:pStyle w:val="TableText"/>
            </w:pPr>
            <w:r>
              <w:t>database inception – 9</w:t>
            </w:r>
            <w:r w:rsidRPr="00C66D8A">
              <w:rPr>
                <w:vertAlign w:val="superscript"/>
              </w:rPr>
              <w:t>th</w:t>
            </w:r>
            <w:r>
              <w:t xml:space="preserve"> May 2022</w:t>
            </w:r>
          </w:p>
        </w:tc>
      </w:tr>
      <w:tr w:rsidR="00AC6F7D" w:rsidRPr="00CE28E3" w14:paraId="25961E1C" w14:textId="77777777" w:rsidTr="00666A58">
        <w:trPr>
          <w:cantSplit/>
        </w:trPr>
        <w:tc>
          <w:tcPr>
            <w:tcW w:w="3263" w:type="pct"/>
          </w:tcPr>
          <w:p w14:paraId="4686C48F" w14:textId="77777777" w:rsidR="00AC6F7D" w:rsidRPr="00CE28E3" w:rsidRDefault="00AC6F7D" w:rsidP="00666A58">
            <w:pPr>
              <w:pStyle w:val="TableText"/>
            </w:pPr>
            <w:r w:rsidRPr="00CE28E3">
              <w:t>EMBASE (e.g. Embase.com)</w:t>
            </w:r>
          </w:p>
        </w:tc>
        <w:tc>
          <w:tcPr>
            <w:tcW w:w="1737" w:type="pct"/>
          </w:tcPr>
          <w:p w14:paraId="3B2F6DDA" w14:textId="13D37526" w:rsidR="00AC6F7D" w:rsidRPr="00CE28E3" w:rsidRDefault="00C66D8A" w:rsidP="00666A58">
            <w:pPr>
              <w:pStyle w:val="TableText"/>
            </w:pPr>
            <w:r>
              <w:t>database inception – 9</w:t>
            </w:r>
            <w:r w:rsidRPr="00C66D8A">
              <w:rPr>
                <w:vertAlign w:val="superscript"/>
              </w:rPr>
              <w:t>th</w:t>
            </w:r>
            <w:r>
              <w:t xml:space="preserve"> May 2022</w:t>
            </w:r>
          </w:p>
        </w:tc>
      </w:tr>
      <w:tr w:rsidR="00AC6F7D" w:rsidRPr="00CE28E3" w14:paraId="0A4A29FB" w14:textId="77777777" w:rsidTr="00666A58">
        <w:trPr>
          <w:cantSplit/>
        </w:trPr>
        <w:tc>
          <w:tcPr>
            <w:tcW w:w="3263" w:type="pct"/>
          </w:tcPr>
          <w:p w14:paraId="0B0DF0D1" w14:textId="77777777" w:rsidR="00AC6F7D" w:rsidRPr="00CE28E3" w:rsidRDefault="00AC6F7D" w:rsidP="00666A58">
            <w:pPr>
              <w:pStyle w:val="TableText"/>
            </w:pPr>
            <w:r w:rsidRPr="00CE28E3">
              <w:t>Cochrane Library</w:t>
            </w:r>
            <w:r w:rsidRPr="00CE28E3">
              <w:rPr>
                <w:vertAlign w:val="superscript"/>
              </w:rPr>
              <w:t>a</w:t>
            </w:r>
          </w:p>
        </w:tc>
        <w:tc>
          <w:tcPr>
            <w:tcW w:w="1737" w:type="pct"/>
          </w:tcPr>
          <w:p w14:paraId="30DC30D5" w14:textId="6AC47E26" w:rsidR="00AC6F7D" w:rsidRPr="00CE28E3" w:rsidRDefault="00C66D8A" w:rsidP="00666A58">
            <w:pPr>
              <w:pStyle w:val="TableText"/>
            </w:pPr>
            <w:r>
              <w:t>database inception – 9</w:t>
            </w:r>
            <w:r w:rsidRPr="00C66D8A">
              <w:rPr>
                <w:vertAlign w:val="superscript"/>
              </w:rPr>
              <w:t>th</w:t>
            </w:r>
            <w:r>
              <w:t xml:space="preserve"> May 2022</w:t>
            </w:r>
          </w:p>
        </w:tc>
      </w:tr>
      <w:tr w:rsidR="00AC6F7D" w:rsidRPr="00CE28E3" w14:paraId="11A50748" w14:textId="77777777" w:rsidTr="00666A58">
        <w:trPr>
          <w:cantSplit/>
        </w:trPr>
        <w:tc>
          <w:tcPr>
            <w:tcW w:w="3263" w:type="pct"/>
          </w:tcPr>
          <w:p w14:paraId="5A394A6A" w14:textId="77777777" w:rsidR="00AC6F7D" w:rsidRPr="00CE28E3" w:rsidRDefault="00AC6F7D" w:rsidP="00666A58">
            <w:pPr>
              <w:pStyle w:val="TableText"/>
            </w:pPr>
            <w:r w:rsidRPr="00CE28E3">
              <w:t>ClinicalTrials.gov</w:t>
            </w:r>
          </w:p>
        </w:tc>
        <w:tc>
          <w:tcPr>
            <w:tcW w:w="1737" w:type="pct"/>
          </w:tcPr>
          <w:p w14:paraId="62E8A23E" w14:textId="261FD6E8" w:rsidR="00AC6F7D" w:rsidRPr="00CE28E3" w:rsidRDefault="00425572" w:rsidP="00666A58">
            <w:pPr>
              <w:pStyle w:val="TableText"/>
            </w:pPr>
            <w:r>
              <w:t>1</w:t>
            </w:r>
            <w:r w:rsidRPr="00425572">
              <w:rPr>
                <w:vertAlign w:val="superscript"/>
              </w:rPr>
              <w:t>st</w:t>
            </w:r>
            <w:r>
              <w:t xml:space="preserve"> June 2022</w:t>
            </w:r>
          </w:p>
        </w:tc>
      </w:tr>
      <w:tr w:rsidR="00AC6F7D" w:rsidRPr="00CE28E3" w14:paraId="203F238D" w14:textId="77777777" w:rsidTr="00666A58">
        <w:trPr>
          <w:cantSplit/>
        </w:trPr>
        <w:tc>
          <w:tcPr>
            <w:tcW w:w="3263" w:type="pct"/>
          </w:tcPr>
          <w:p w14:paraId="03151812" w14:textId="77777777" w:rsidR="00AC6F7D" w:rsidRPr="00CE28E3" w:rsidRDefault="00AC6F7D" w:rsidP="00666A58">
            <w:pPr>
              <w:pStyle w:val="TableText"/>
            </w:pPr>
            <w:r w:rsidRPr="00CE28E3">
              <w:t>International Clinical Trials Registry Platform</w:t>
            </w:r>
            <w:r w:rsidRPr="00CE28E3">
              <w:rPr>
                <w:vertAlign w:val="superscript"/>
              </w:rPr>
              <w:t>b</w:t>
            </w:r>
          </w:p>
        </w:tc>
        <w:tc>
          <w:tcPr>
            <w:tcW w:w="1737" w:type="pct"/>
          </w:tcPr>
          <w:p w14:paraId="5B4925E2" w14:textId="35DF1C24" w:rsidR="00AC6F7D" w:rsidRPr="00CE28E3" w:rsidRDefault="00425572" w:rsidP="00666A58">
            <w:pPr>
              <w:pStyle w:val="TableText"/>
            </w:pPr>
            <w:r>
              <w:t>1</w:t>
            </w:r>
            <w:r w:rsidRPr="00425572">
              <w:rPr>
                <w:vertAlign w:val="superscript"/>
              </w:rPr>
              <w:t>st</w:t>
            </w:r>
            <w:r>
              <w:t xml:space="preserve"> June 2022</w:t>
            </w:r>
          </w:p>
        </w:tc>
      </w:tr>
      <w:tr w:rsidR="00AC6F7D" w:rsidRPr="00CE28E3" w14:paraId="2B02BE25" w14:textId="77777777" w:rsidTr="00666A58">
        <w:trPr>
          <w:cantSplit/>
        </w:trPr>
        <w:tc>
          <w:tcPr>
            <w:tcW w:w="3263" w:type="pct"/>
          </w:tcPr>
          <w:p w14:paraId="3143978A" w14:textId="77777777" w:rsidR="00AC6F7D" w:rsidRPr="00CE28E3" w:rsidRDefault="00AC6F7D" w:rsidP="00666A58">
            <w:pPr>
              <w:pStyle w:val="TableText"/>
            </w:pPr>
            <w:r w:rsidRPr="00CE28E3">
              <w:t>Australian Clinical Trials Registry</w:t>
            </w:r>
          </w:p>
        </w:tc>
        <w:tc>
          <w:tcPr>
            <w:tcW w:w="1737" w:type="pct"/>
          </w:tcPr>
          <w:p w14:paraId="09194F45" w14:textId="4BC944A1" w:rsidR="00AC6F7D" w:rsidRPr="00CE28E3" w:rsidRDefault="00425572" w:rsidP="00666A58">
            <w:pPr>
              <w:pStyle w:val="TableText"/>
            </w:pPr>
            <w:r>
              <w:t>1</w:t>
            </w:r>
            <w:r w:rsidRPr="00425572">
              <w:rPr>
                <w:vertAlign w:val="superscript"/>
              </w:rPr>
              <w:t>st</w:t>
            </w:r>
            <w:r>
              <w:t xml:space="preserve"> June 2022</w:t>
            </w:r>
          </w:p>
        </w:tc>
      </w:tr>
      <w:tr w:rsidR="00AC6F7D" w:rsidRPr="00CE28E3" w14:paraId="294308F0" w14:textId="77777777" w:rsidTr="00666A58">
        <w:trPr>
          <w:cantSplit/>
        </w:trPr>
        <w:tc>
          <w:tcPr>
            <w:tcW w:w="3263" w:type="pct"/>
          </w:tcPr>
          <w:p w14:paraId="23454E23" w14:textId="77777777" w:rsidR="00AC6F7D" w:rsidRPr="00CE28E3" w:rsidRDefault="00AC6F7D" w:rsidP="00666A58">
            <w:pPr>
              <w:pStyle w:val="TableText"/>
            </w:pPr>
            <w:r w:rsidRPr="00CE28E3">
              <w:t>INAHTA HTA database</w:t>
            </w:r>
          </w:p>
        </w:tc>
        <w:tc>
          <w:tcPr>
            <w:tcW w:w="1737" w:type="pct"/>
          </w:tcPr>
          <w:p w14:paraId="34D34D23" w14:textId="54AFA8AC" w:rsidR="00AC6F7D" w:rsidRPr="00CE28E3" w:rsidRDefault="00425572" w:rsidP="00666A58">
            <w:pPr>
              <w:pStyle w:val="TableText"/>
            </w:pPr>
            <w:r>
              <w:t>1</w:t>
            </w:r>
            <w:r w:rsidRPr="00425572">
              <w:rPr>
                <w:vertAlign w:val="superscript"/>
              </w:rPr>
              <w:t>st</w:t>
            </w:r>
            <w:r>
              <w:t xml:space="preserve"> June 2022</w:t>
            </w:r>
          </w:p>
        </w:tc>
      </w:tr>
      <w:tr w:rsidR="00AC6F7D" w:rsidRPr="00CE28E3" w14:paraId="2EF57C0F" w14:textId="77777777" w:rsidTr="00666A58">
        <w:trPr>
          <w:cantSplit/>
        </w:trPr>
        <w:tc>
          <w:tcPr>
            <w:tcW w:w="3263" w:type="pct"/>
          </w:tcPr>
          <w:p w14:paraId="0BBAB522" w14:textId="77777777" w:rsidR="00AC6F7D" w:rsidRPr="00CE28E3" w:rsidRDefault="00AC6F7D" w:rsidP="00666A58">
            <w:pPr>
              <w:pStyle w:val="TableText"/>
            </w:pPr>
            <w:r w:rsidRPr="00CE28E3">
              <w:t>Prospective Register of Systematic Reviews (PROSPERO)</w:t>
            </w:r>
          </w:p>
        </w:tc>
        <w:tc>
          <w:tcPr>
            <w:tcW w:w="1737" w:type="pct"/>
          </w:tcPr>
          <w:p w14:paraId="14C399F1" w14:textId="71AA8FA0" w:rsidR="00AC6F7D" w:rsidRPr="00CE28E3" w:rsidRDefault="002F755A" w:rsidP="00666A58">
            <w:pPr>
              <w:pStyle w:val="TableText"/>
            </w:pPr>
            <w:r>
              <w:t>20</w:t>
            </w:r>
            <w:r w:rsidRPr="002F755A">
              <w:rPr>
                <w:vertAlign w:val="superscript"/>
              </w:rPr>
              <w:t>th</w:t>
            </w:r>
            <w:r>
              <w:t xml:space="preserve"> May 2022</w:t>
            </w:r>
          </w:p>
        </w:tc>
      </w:tr>
      <w:tr w:rsidR="00A169ED" w:rsidRPr="00CE28E3" w14:paraId="16CE3534" w14:textId="77777777" w:rsidTr="00666A58">
        <w:trPr>
          <w:cantSplit/>
        </w:trPr>
        <w:tc>
          <w:tcPr>
            <w:tcW w:w="3263" w:type="pct"/>
          </w:tcPr>
          <w:p w14:paraId="1019DF49" w14:textId="2ADB1FDB" w:rsidR="00A169ED" w:rsidRPr="00CE28E3" w:rsidRDefault="00A169ED" w:rsidP="00666A58">
            <w:pPr>
              <w:pStyle w:val="TableText"/>
            </w:pPr>
            <w:r>
              <w:t>Backward and forward citation chasing</w:t>
            </w:r>
          </w:p>
        </w:tc>
        <w:tc>
          <w:tcPr>
            <w:tcW w:w="1737" w:type="pct"/>
          </w:tcPr>
          <w:p w14:paraId="4B97BA2D" w14:textId="36335E9C" w:rsidR="00A169ED" w:rsidRDefault="00A169ED" w:rsidP="00666A58">
            <w:pPr>
              <w:pStyle w:val="TableText"/>
            </w:pPr>
            <w:r>
              <w:t>1</w:t>
            </w:r>
            <w:r w:rsidRPr="00425572">
              <w:rPr>
                <w:vertAlign w:val="superscript"/>
              </w:rPr>
              <w:t>st</w:t>
            </w:r>
            <w:r>
              <w:t xml:space="preserve"> June 2022</w:t>
            </w:r>
          </w:p>
        </w:tc>
      </w:tr>
    </w:tbl>
    <w:p w14:paraId="450E4C5F" w14:textId="7AB32945" w:rsidR="00AC6F7D" w:rsidRPr="00CE28E3" w:rsidRDefault="00AC6F7D" w:rsidP="00ED3F33">
      <w:pPr>
        <w:pStyle w:val="TableFooter"/>
      </w:pPr>
      <w:r w:rsidRPr="00956452">
        <w:rPr>
          <w:vertAlign w:val="superscript"/>
        </w:rPr>
        <w:t>a</w:t>
      </w:r>
      <w:r w:rsidR="009803CB">
        <w:t xml:space="preserve"> </w:t>
      </w:r>
      <w:r w:rsidRPr="00CE28E3">
        <w:t xml:space="preserve">Includes the Cochrane Database of Systematic Reviews, the Cochrane Central Register of Controlled Trials </w:t>
      </w:r>
    </w:p>
    <w:p w14:paraId="5094BF63" w14:textId="78642431" w:rsidR="00AC6F7D" w:rsidRPr="00CE28E3" w:rsidRDefault="00AC6F7D" w:rsidP="00ED3F33">
      <w:pPr>
        <w:pStyle w:val="TableFooter"/>
      </w:pPr>
      <w:r w:rsidRPr="00956452">
        <w:rPr>
          <w:vertAlign w:val="superscript"/>
        </w:rPr>
        <w:t>b</w:t>
      </w:r>
      <w:r w:rsidR="009803CB">
        <w:rPr>
          <w:rStyle w:val="Strong"/>
        </w:rPr>
        <w:t xml:space="preserve"> </w:t>
      </w:r>
      <w:hyperlink r:id="rId53" w:history="1">
        <w:r w:rsidRPr="00CE28E3">
          <w:rPr>
            <w:rStyle w:val="Hyperlink"/>
          </w:rPr>
          <w:t>International Clinical Trials Registry Platform</w:t>
        </w:r>
      </w:hyperlink>
      <w:r w:rsidRPr="00CE28E3">
        <w:rPr>
          <w:rStyle w:val="FootnoteReference"/>
        </w:rPr>
        <w:footnoteReference w:id="24"/>
      </w:r>
    </w:p>
    <w:p w14:paraId="0502BF75" w14:textId="084D21EC" w:rsidR="000B1D18" w:rsidRPr="00CE28E3" w:rsidRDefault="000B1D18" w:rsidP="000B1D18">
      <w:r>
        <w:t>Citation Chaser was used to perform backwards and forwards citations</w:t>
      </w:r>
      <w:r w:rsidR="00A169ED">
        <w:t xml:space="preserve"> (pearling and snowballing of reference lists) </w:t>
      </w:r>
      <w:r w:rsidR="00B4668F">
        <w:fldChar w:fldCharType="begin"/>
      </w:r>
      <w:r w:rsidR="00B4668F">
        <w:instrText xml:space="preserve"> ADDIN EN.CITE &lt;EndNote&gt;&lt;Cite&gt;&lt;Author&gt;Haddaway&lt;/Author&gt;&lt;Year&gt;2021&lt;/Year&gt;&lt;RecNum&gt;155&lt;/RecNum&gt;&lt;DisplayText&gt;(Haddaway, Grainger &amp;amp; Gray 2021)&lt;/DisplayText&gt;&lt;record&gt;&lt;rec-number&gt;155&lt;/rec-number&gt;&lt;foreign-keys&gt;&lt;key app="EN" db-id="0tprsse9cpp5r3ea5dz5p0xw2pfwvwxpa5a5" timestamp="1654063527"&gt;155&lt;/key&gt;&lt;/foreign-keys&gt;&lt;ref-type name="Computer Program"&gt;9&lt;/ref-type&gt;&lt;contributors&gt;&lt;authors&gt;&lt;author&gt;Haddaway, N. R.&lt;/author&gt;&lt;author&gt;Grainger, M. J.&lt;/author&gt;&lt;author&gt;Gray, C. T.&lt;/author&gt;&lt;/authors&gt;&lt;/contributors&gt;&lt;titles&gt;&lt;title&gt;citationchaser: an R package for forward and backward citations chasing in academic searching&lt;/title&gt;&lt;short-title&gt;citationchaser: an R package for forward and backward citations chasing in academic searching&lt;/short-title&gt;&lt;/titles&gt;&lt;edition&gt;0.0.3&lt;/edition&gt;&lt;dates&gt;&lt;year&gt;2021&lt;/year&gt;&lt;/dates&gt;&lt;urls&gt;&lt;related-urls&gt;&lt;url&gt;https://github.com/nealhaddaway/citationchaser&lt;/url&gt;&lt;/related-urls&gt;&lt;/urls&gt;&lt;electronic-resource-num&gt;10.5281/zenodo.4543513&lt;/electronic-resource-num&gt;&lt;/record&gt;&lt;/Cite&gt;&lt;/EndNote&gt;</w:instrText>
      </w:r>
      <w:r w:rsidR="00B4668F">
        <w:fldChar w:fldCharType="separate"/>
      </w:r>
      <w:r w:rsidR="00B4668F">
        <w:rPr>
          <w:noProof/>
        </w:rPr>
        <w:t>(Haddaway, Grainger &amp; Gray 2021)</w:t>
      </w:r>
      <w:r w:rsidR="00B4668F">
        <w:fldChar w:fldCharType="end"/>
      </w:r>
      <w:r w:rsidR="00A169ED">
        <w:t xml:space="preserve">. </w:t>
      </w:r>
    </w:p>
    <w:p w14:paraId="46363CAA" w14:textId="77777777" w:rsidR="00804632" w:rsidRPr="00CE28E3" w:rsidRDefault="00804632" w:rsidP="007951D4">
      <w:pPr>
        <w:pStyle w:val="Heading2"/>
        <w:numPr>
          <w:ilvl w:val="0"/>
          <w:numId w:val="0"/>
        </w:numPr>
        <w:ind w:left="357" w:hanging="357"/>
      </w:pPr>
      <w:bookmarkStart w:id="273" w:name="_Toc54940797"/>
      <w:bookmarkStart w:id="274" w:name="_Toc148531199"/>
      <w:r w:rsidRPr="00CE28E3">
        <w:t>Study selection</w:t>
      </w:r>
      <w:bookmarkEnd w:id="273"/>
      <w:bookmarkEnd w:id="274"/>
    </w:p>
    <w:p w14:paraId="29C230AF" w14:textId="13C16FD8" w:rsidR="00804632" w:rsidRDefault="00804632" w:rsidP="003251C2">
      <w:r w:rsidRPr="00CE28E3">
        <w:t xml:space="preserve">Studies were </w:t>
      </w:r>
      <w:r w:rsidRPr="0038346D">
        <w:t xml:space="preserve">selected </w:t>
      </w:r>
      <w:r w:rsidR="00916867">
        <w:t xml:space="preserve">by two reviewers. A single reviewer assessed every citation using Endnote, and a second reviewer assessed the most relevant </w:t>
      </w:r>
      <w:r w:rsidR="00714D1F">
        <w:t>50</w:t>
      </w:r>
      <w:r w:rsidR="00916867">
        <w:t>% of citations, using Rayyan (relevance determined using Rayyan’s algorithms)</w:t>
      </w:r>
      <w:r w:rsidR="0038346D" w:rsidRPr="0038346D">
        <w:t>.</w:t>
      </w:r>
      <w:r w:rsidR="0038346D">
        <w:t xml:space="preserve"> </w:t>
      </w:r>
      <w:r w:rsidR="00916867">
        <w:t xml:space="preserve">Citations reviewed as potentially relevant by either reviewer, based on title and/or abstract, were retrieved for full text assessment. </w:t>
      </w:r>
    </w:p>
    <w:p w14:paraId="0F2EF713" w14:textId="1A560C3D" w:rsidR="00916867" w:rsidRPr="00CE28E3" w:rsidRDefault="00916867" w:rsidP="003251C2">
      <w:r>
        <w:t xml:space="preserve">A single reviewer assessed full text articles. </w:t>
      </w:r>
    </w:p>
    <w:p w14:paraId="76B9CFD1" w14:textId="361A8EC6" w:rsidR="00804632" w:rsidRPr="00CE28E3" w:rsidRDefault="00804632" w:rsidP="00804632">
      <w:r w:rsidRPr="00CE28E3">
        <w:t xml:space="preserve">Studies that </w:t>
      </w:r>
      <w:r w:rsidR="000B1D18">
        <w:t xml:space="preserve">may have </w:t>
      </w:r>
      <w:r w:rsidRPr="00CE28E3">
        <w:t xml:space="preserve">met the inclusion criteria but contained insufficient or inadequate data for inclusion </w:t>
      </w:r>
      <w:r w:rsidR="00916867">
        <w:t xml:space="preserve">(such as conference abstracts) </w:t>
      </w:r>
      <w:r w:rsidRPr="00CE28E3">
        <w:t xml:space="preserve">are listed as </w:t>
      </w:r>
      <w:r w:rsidR="0069474B">
        <w:t>e</w:t>
      </w:r>
      <w:r w:rsidRPr="00CE28E3">
        <w:t xml:space="preserve">xcluded </w:t>
      </w:r>
      <w:r w:rsidR="0069474B">
        <w:t>s</w:t>
      </w:r>
      <w:r w:rsidRPr="00CE28E3">
        <w:t xml:space="preserve">tudies in </w:t>
      </w:r>
      <w:r w:rsidRPr="00CE28E3">
        <w:rPr>
          <w:highlight w:val="cyan"/>
        </w:rPr>
        <w:fldChar w:fldCharType="begin"/>
      </w:r>
      <w:r w:rsidRPr="00CE28E3">
        <w:instrText xml:space="preserve"> REF _Ref54773109 \h </w:instrText>
      </w:r>
      <w:r w:rsidR="00CE28E3">
        <w:rPr>
          <w:highlight w:val="cyan"/>
        </w:rPr>
        <w:instrText xml:space="preserve"> \* MERGEFORMAT </w:instrText>
      </w:r>
      <w:r w:rsidRPr="00CE28E3">
        <w:rPr>
          <w:highlight w:val="cyan"/>
        </w:rPr>
      </w:r>
      <w:r w:rsidRPr="00CE28E3">
        <w:rPr>
          <w:highlight w:val="cyan"/>
        </w:rPr>
        <w:fldChar w:fldCharType="separate"/>
      </w:r>
      <w:r w:rsidR="00C857F3" w:rsidRPr="00CE28E3">
        <w:t xml:space="preserve">Appendix </w:t>
      </w:r>
      <w:r w:rsidR="00C857F3">
        <w:rPr>
          <w:noProof/>
        </w:rPr>
        <w:t>C</w:t>
      </w:r>
      <w:r w:rsidRPr="00CE28E3">
        <w:rPr>
          <w:highlight w:val="cyan"/>
        </w:rPr>
        <w:fldChar w:fldCharType="end"/>
      </w:r>
      <w:r w:rsidRPr="00CE28E3">
        <w:t xml:space="preserve">. All other studies that met the inclusion criteria are listed in </w:t>
      </w:r>
      <w:r w:rsidRPr="00CE28E3">
        <w:rPr>
          <w:highlight w:val="cyan"/>
        </w:rPr>
        <w:fldChar w:fldCharType="begin"/>
      </w:r>
      <w:r w:rsidRPr="00CE28E3">
        <w:instrText xml:space="preserve"> REF _Ref54782829 \h </w:instrText>
      </w:r>
      <w:r w:rsidR="00CE28E3">
        <w:rPr>
          <w:highlight w:val="cyan"/>
        </w:rPr>
        <w:instrText xml:space="preserve"> \* MERGEFORMAT </w:instrText>
      </w:r>
      <w:r w:rsidRPr="00CE28E3">
        <w:rPr>
          <w:highlight w:val="cyan"/>
        </w:rPr>
      </w:r>
      <w:r w:rsidRPr="00CE28E3">
        <w:rPr>
          <w:highlight w:val="cyan"/>
        </w:rPr>
        <w:fldChar w:fldCharType="separate"/>
      </w:r>
      <w:r w:rsidR="00C857F3" w:rsidRPr="00CE28E3">
        <w:t xml:space="preserve">Appendix </w:t>
      </w:r>
      <w:r w:rsidR="00C857F3">
        <w:rPr>
          <w:noProof/>
        </w:rPr>
        <w:t>B</w:t>
      </w:r>
      <w:r w:rsidRPr="00CE28E3">
        <w:rPr>
          <w:highlight w:val="cyan"/>
        </w:rPr>
        <w:fldChar w:fldCharType="end"/>
      </w:r>
      <w:r w:rsidRPr="00CE28E3">
        <w:t>.</w:t>
      </w:r>
      <w:r w:rsidR="00C554B5">
        <w:t xml:space="preserve"> </w:t>
      </w:r>
    </w:p>
    <w:p w14:paraId="63592864" w14:textId="77777777" w:rsidR="00804632" w:rsidRPr="00CE28E3" w:rsidRDefault="00804632" w:rsidP="007951D4">
      <w:pPr>
        <w:pStyle w:val="Heading2"/>
        <w:numPr>
          <w:ilvl w:val="0"/>
          <w:numId w:val="0"/>
        </w:numPr>
        <w:ind w:left="357" w:hanging="357"/>
      </w:pPr>
      <w:bookmarkStart w:id="275" w:name="_Toc54940798"/>
      <w:bookmarkStart w:id="276" w:name="_Toc148531200"/>
      <w:r w:rsidRPr="00CE28E3">
        <w:t>Appraisal of the evidence</w:t>
      </w:r>
      <w:bookmarkEnd w:id="275"/>
      <w:bookmarkEnd w:id="276"/>
    </w:p>
    <w:p w14:paraId="6E6F7145" w14:textId="77777777" w:rsidR="00804632" w:rsidRPr="00CE28E3" w:rsidRDefault="00804632" w:rsidP="00804632">
      <w:r w:rsidRPr="00CE28E3">
        <w:t>Appraisal of the evidence was conducted in 4 stages:</w:t>
      </w:r>
    </w:p>
    <w:p w14:paraId="6D1A73F9" w14:textId="77777777" w:rsidR="001D02D9" w:rsidRDefault="00804632" w:rsidP="00804632">
      <w:r w:rsidRPr="00CE28E3">
        <w:t xml:space="preserve">Stage 1: Appraisal of the risk of bias within individual studies (or systematic reviews) included in the review. &lt;Some risk of bias items were assessed for the study as a whole, while others were assessed at the outcome level&gt;. </w:t>
      </w:r>
    </w:p>
    <w:p w14:paraId="27DC170E" w14:textId="5440DFCE" w:rsidR="001D02D9" w:rsidRDefault="0038346D" w:rsidP="00B649D2">
      <w:pPr>
        <w:pStyle w:val="ListParagraph"/>
        <w:numPr>
          <w:ilvl w:val="0"/>
          <w:numId w:val="20"/>
        </w:numPr>
      </w:pPr>
      <w:r>
        <w:t xml:space="preserve">Systematic reviews </w:t>
      </w:r>
      <w:r w:rsidR="00504E35">
        <w:t>were</w:t>
      </w:r>
      <w:r>
        <w:t xml:space="preserve"> appraised using the AMSTAR-2 tool. </w:t>
      </w:r>
    </w:p>
    <w:p w14:paraId="481F4DA0" w14:textId="3E1BD950" w:rsidR="001D02D9" w:rsidRDefault="0038346D" w:rsidP="00B649D2">
      <w:pPr>
        <w:pStyle w:val="ListParagraph"/>
        <w:numPr>
          <w:ilvl w:val="0"/>
          <w:numId w:val="20"/>
        </w:numPr>
      </w:pPr>
      <w:r>
        <w:t xml:space="preserve">Studies reporting concordance were appraised using the QUADAS-2 tool. </w:t>
      </w:r>
    </w:p>
    <w:p w14:paraId="020D1C47" w14:textId="77777777" w:rsidR="001D02D9" w:rsidRDefault="001D02D9" w:rsidP="00B649D2">
      <w:pPr>
        <w:pStyle w:val="ListParagraph"/>
        <w:numPr>
          <w:ilvl w:val="0"/>
          <w:numId w:val="20"/>
        </w:numPr>
      </w:pPr>
      <w:r>
        <w:t>Had</w:t>
      </w:r>
      <w:r w:rsidR="0038346D">
        <w:t xml:space="preserve"> any randomised trial been available, they would have been appraised using the Cochrane Risk of Bias 2.0 tool. </w:t>
      </w:r>
    </w:p>
    <w:p w14:paraId="44596851" w14:textId="0244C322" w:rsidR="00804632" w:rsidRDefault="001D02D9" w:rsidP="00B649D2">
      <w:pPr>
        <w:pStyle w:val="ListParagraph"/>
        <w:numPr>
          <w:ilvl w:val="0"/>
          <w:numId w:val="20"/>
        </w:numPr>
      </w:pPr>
      <w:r>
        <w:t xml:space="preserve">Cohort studies comparing outcomes between testing strategies (i.e. comparing rate of rebiopsy or turnaround time) were evaluated using the SIGN methodology checklist for cohort studies. </w:t>
      </w:r>
    </w:p>
    <w:p w14:paraId="22FE98A4" w14:textId="65A098F3" w:rsidR="001D02D9" w:rsidRPr="00CE28E3" w:rsidRDefault="001D02D9" w:rsidP="00B649D2">
      <w:pPr>
        <w:pStyle w:val="ListParagraph"/>
        <w:numPr>
          <w:ilvl w:val="0"/>
          <w:numId w:val="20"/>
        </w:numPr>
      </w:pPr>
      <w:r>
        <w:t xml:space="preserve">Studies comparing health outcomes between subgroups receiving targeted treatment due to being identified with the biomarker with the comparator/clinical utility standard, vs </w:t>
      </w:r>
      <w:r>
        <w:lastRenderedPageBreak/>
        <w:t xml:space="preserve">those receiving targeted treatment due to being identified with the biomarker due to NGS </w:t>
      </w:r>
      <w:r w:rsidR="007551DC">
        <w:t xml:space="preserve">were evaluated using the QUIPS tool for prognosis. </w:t>
      </w:r>
    </w:p>
    <w:p w14:paraId="3503B5D5" w14:textId="661686D3" w:rsidR="00804632" w:rsidRPr="00CE28E3" w:rsidRDefault="00804632" w:rsidP="00804632">
      <w:r w:rsidRPr="00CE28E3">
        <w:t xml:space="preserve">Stage 2: Appraisal of the precision, size of effect and clinical importance of the results reported in the evidence base as they relate to the prespecified primary outcomes for this assessment &lt;and determining the assumed baseline risk&gt;. </w:t>
      </w:r>
    </w:p>
    <w:p w14:paraId="6A636E04" w14:textId="7C5B11AC" w:rsidR="00804632" w:rsidRPr="003251C2" w:rsidRDefault="00804632" w:rsidP="003251C2">
      <w:pPr>
        <w:rPr>
          <w:color w:val="538135" w:themeColor="accent6" w:themeShade="BF"/>
        </w:rPr>
      </w:pPr>
      <w:r w:rsidRPr="00CE28E3">
        <w:t>Stage 3: Rating the overall quality of the evidence per outcome, across studies, based on the study limitations (risk of bias), imprecision, inconsistency of results, indirectness of evidence and the likelihood of publication bias (</w:t>
      </w:r>
      <w:r w:rsidR="00E33E77">
        <w:fldChar w:fldCharType="begin"/>
      </w:r>
      <w:r w:rsidR="00E33E77">
        <w:instrText xml:space="preserve"> REF _Ref69490487 \h </w:instrText>
      </w:r>
      <w:r w:rsidR="00E33E77">
        <w:fldChar w:fldCharType="separate"/>
      </w:r>
      <w:r w:rsidR="00C857F3" w:rsidRPr="00CE28E3">
        <w:t xml:space="preserve">Appendix </w:t>
      </w:r>
      <w:r w:rsidR="00C857F3">
        <w:rPr>
          <w:noProof/>
        </w:rPr>
        <w:t>E</w:t>
      </w:r>
      <w:r w:rsidR="00C857F3" w:rsidRPr="00CE28E3">
        <w:tab/>
        <w:t>Evidence profile tables</w:t>
      </w:r>
      <w:r w:rsidR="00E33E77">
        <w:fldChar w:fldCharType="end"/>
      </w:r>
      <w:r w:rsidRPr="00CE28E3">
        <w:t xml:space="preserve">). </w:t>
      </w:r>
    </w:p>
    <w:p w14:paraId="64A241DE" w14:textId="1C212226" w:rsidR="00577145" w:rsidRPr="00CE28E3" w:rsidRDefault="00804632" w:rsidP="00577145">
      <w:r w:rsidRPr="00CE28E3">
        <w:t xml:space="preserve">Stage 4: Integration of this evidence (across outcomes) for conclusions about the net clinical benefit of the test and associated interventions in the context of Australian clinical practice. (Section </w:t>
      </w:r>
      <w:r w:rsidR="00F51EFB">
        <w:t xml:space="preserve">2A.5 or </w:t>
      </w:r>
      <w:r w:rsidR="00400BC7">
        <w:t>2</w:t>
      </w:r>
      <w:r w:rsidR="00F51EFB">
        <w:t>.5</w:t>
      </w:r>
      <w:r w:rsidRPr="00CE28E3">
        <w:t xml:space="preserve"> in the assessment report).</w:t>
      </w:r>
    </w:p>
    <w:p w14:paraId="089BD0FA" w14:textId="41078E9A" w:rsidR="00804632" w:rsidRPr="00CE28E3" w:rsidRDefault="00804632" w:rsidP="00804632"/>
    <w:p w14:paraId="59F693D1" w14:textId="77777777" w:rsidR="00577145" w:rsidRPr="00CE28E3" w:rsidRDefault="00577145" w:rsidP="00804632">
      <w:pPr>
        <w:sectPr w:rsidR="00577145" w:rsidRPr="00CE28E3" w:rsidSect="00BC6897">
          <w:pgSz w:w="11906" w:h="16838"/>
          <w:pgMar w:top="1440" w:right="1440" w:bottom="1440" w:left="1440" w:header="708" w:footer="708" w:gutter="0"/>
          <w:cols w:space="708"/>
          <w:docGrid w:linePitch="360"/>
        </w:sectPr>
      </w:pPr>
    </w:p>
    <w:p w14:paraId="5CACBCFE" w14:textId="7F60232E" w:rsidR="00804632" w:rsidRPr="00CE28E3" w:rsidRDefault="00804632" w:rsidP="000A10BF">
      <w:pPr>
        <w:pStyle w:val="Heading1"/>
        <w:numPr>
          <w:ilvl w:val="0"/>
          <w:numId w:val="0"/>
        </w:numPr>
        <w:tabs>
          <w:tab w:val="left" w:pos="2835"/>
        </w:tabs>
        <w:ind w:left="2835" w:hanging="2835"/>
      </w:pPr>
      <w:bookmarkStart w:id="277" w:name="_Ref54782829"/>
      <w:bookmarkStart w:id="278" w:name="_Toc54940866"/>
      <w:bookmarkStart w:id="279" w:name="_Ref69725708"/>
      <w:bookmarkStart w:id="280" w:name="_Ref69725715"/>
      <w:bookmarkStart w:id="281" w:name="_Toc148531201"/>
      <w:r w:rsidRPr="00CE28E3">
        <w:lastRenderedPageBreak/>
        <w:t xml:space="preserve">Appendix </w:t>
      </w:r>
      <w:fldSimple w:instr=" SEQ Appendix \* ALPHABETIC ">
        <w:r w:rsidR="00C857F3">
          <w:rPr>
            <w:noProof/>
          </w:rPr>
          <w:t>B</w:t>
        </w:r>
      </w:fldSimple>
      <w:bookmarkEnd w:id="277"/>
      <w:r w:rsidRPr="00CE28E3">
        <w:tab/>
        <w:t>Studies included in the systematic review</w:t>
      </w:r>
      <w:bookmarkEnd w:id="278"/>
      <w:bookmarkEnd w:id="279"/>
      <w:bookmarkEnd w:id="280"/>
      <w:bookmarkEnd w:id="281"/>
    </w:p>
    <w:p w14:paraId="5B5B23D4" w14:textId="6B6FC12B" w:rsidR="00E81A87" w:rsidRPr="00CE28E3" w:rsidRDefault="00E63DAA" w:rsidP="007951D4">
      <w:pPr>
        <w:pStyle w:val="Heading2"/>
        <w:numPr>
          <w:ilvl w:val="0"/>
          <w:numId w:val="0"/>
        </w:numPr>
        <w:ind w:left="357" w:hanging="357"/>
      </w:pPr>
      <w:bookmarkStart w:id="282" w:name="_Toc148531202"/>
      <w:r w:rsidRPr="00CE28E3">
        <w:t>PRISMA flowchart of included studies</w:t>
      </w:r>
      <w:bookmarkEnd w:id="282"/>
      <w:r w:rsidRPr="00CE28E3">
        <w:t xml:space="preserve"> </w:t>
      </w:r>
    </w:p>
    <w:p w14:paraId="670A5688" w14:textId="72F4DDA8" w:rsidR="00504E35" w:rsidRPr="00DB0881" w:rsidRDefault="00504E35" w:rsidP="00504E35">
      <w:r w:rsidRPr="00B718E1">
        <w:rPr>
          <w:rStyle w:val="InstructionaltextChar"/>
          <w:color w:val="auto"/>
        </w:rPr>
        <w:t>A PRISMA</w:t>
      </w:r>
      <w:r w:rsidRPr="00B4179C">
        <w:rPr>
          <w:rStyle w:val="InstructionaltextChar"/>
          <w:color w:val="auto"/>
        </w:rPr>
        <w:t xml:space="preserve"> flowchart (</w:t>
      </w:r>
      <w:r w:rsidRPr="00B718E1">
        <w:rPr>
          <w:rStyle w:val="InstructionaltextChar"/>
          <w:color w:val="auto"/>
        </w:rPr>
        <w:fldChar w:fldCharType="begin"/>
      </w:r>
      <w:r w:rsidRPr="00B4179C">
        <w:rPr>
          <w:rStyle w:val="InstructionaltextChar"/>
          <w:color w:val="auto"/>
        </w:rPr>
        <w:instrText xml:space="preserve"> REF _Ref69731485 \h  \* MERGEFORMAT </w:instrText>
      </w:r>
      <w:r w:rsidRPr="00B718E1">
        <w:rPr>
          <w:rStyle w:val="InstructionaltextChar"/>
          <w:color w:val="auto"/>
        </w:rPr>
      </w:r>
      <w:r w:rsidRPr="00B718E1">
        <w:rPr>
          <w:rStyle w:val="InstructionaltextChar"/>
          <w:color w:val="auto"/>
        </w:rPr>
        <w:fldChar w:fldCharType="separate"/>
      </w:r>
      <w:r w:rsidR="00C857F3" w:rsidRPr="00C857F3">
        <w:rPr>
          <w:rStyle w:val="InstructionaltextChar"/>
          <w:color w:val="auto"/>
        </w:rPr>
        <w:t>Figure 21</w:t>
      </w:r>
      <w:r w:rsidRPr="00B718E1">
        <w:rPr>
          <w:rStyle w:val="InstructionaltextChar"/>
          <w:color w:val="auto"/>
        </w:rPr>
        <w:fldChar w:fldCharType="end"/>
      </w:r>
      <w:r w:rsidRPr="00B4179C">
        <w:rPr>
          <w:rStyle w:val="InstructionaltextChar"/>
          <w:color w:val="auto"/>
        </w:rPr>
        <w:t xml:space="preserve">) provides a graphic depiction of the results of the literature search and the application of the study selection criteria (listed in </w:t>
      </w:r>
      <w:r w:rsidRPr="00B718E1">
        <w:rPr>
          <w:rStyle w:val="InstructionaltextChar"/>
          <w:color w:val="auto"/>
        </w:rPr>
        <w:fldChar w:fldCharType="begin"/>
      </w:r>
      <w:r w:rsidRPr="00B4179C">
        <w:rPr>
          <w:rStyle w:val="InstructionaltextChar"/>
          <w:color w:val="auto"/>
        </w:rPr>
        <w:instrText xml:space="preserve"> REF _Ref514075061 \h  \* MERGEFORMAT </w:instrText>
      </w:r>
      <w:r w:rsidRPr="00B718E1">
        <w:rPr>
          <w:rStyle w:val="InstructionaltextChar"/>
          <w:color w:val="auto"/>
        </w:rPr>
      </w:r>
      <w:r w:rsidRPr="00B718E1">
        <w:rPr>
          <w:rStyle w:val="InstructionaltextChar"/>
          <w:color w:val="auto"/>
        </w:rPr>
        <w:fldChar w:fldCharType="separate"/>
      </w:r>
      <w:r w:rsidR="00C857F3" w:rsidRPr="00C857F3">
        <w:rPr>
          <w:rStyle w:val="InstructionaltextChar"/>
          <w:color w:val="auto"/>
        </w:rPr>
        <w:t>Table 21</w:t>
      </w:r>
      <w:r w:rsidRPr="00B718E1">
        <w:rPr>
          <w:rStyle w:val="InstructionaltextChar"/>
          <w:color w:val="auto"/>
        </w:rPr>
        <w:fldChar w:fldCharType="end"/>
      </w:r>
      <w:r w:rsidRPr="00B4179C">
        <w:rPr>
          <w:rStyle w:val="InstructionaltextChar"/>
          <w:color w:val="auto"/>
        </w:rPr>
        <w:t>) (Liberati et al., 2009). </w:t>
      </w:r>
    </w:p>
    <w:p w14:paraId="12A69C04" w14:textId="77777777" w:rsidR="00504E35" w:rsidRDefault="00504E35" w:rsidP="00504E35">
      <w:pPr>
        <w:keepNext/>
        <w:rPr>
          <w:color w:val="258221"/>
        </w:rPr>
      </w:pPr>
    </w:p>
    <w:p w14:paraId="1CBBFB8E" w14:textId="77777777" w:rsidR="00504E35" w:rsidRPr="008801AE" w:rsidRDefault="00504E35" w:rsidP="00504E35">
      <w:pPr>
        <w:pStyle w:val="TableFigureFooter"/>
        <w:keepNext/>
        <w:spacing w:after="120"/>
        <w:rPr>
          <w:color w:val="258221"/>
        </w:rPr>
      </w:pPr>
      <w:r w:rsidRPr="00A85D10">
        <w:rPr>
          <w:noProof/>
          <w:color w:val="258221"/>
        </w:rPr>
        <w:drawing>
          <wp:inline distT="0" distB="0" distL="0" distR="0" wp14:anchorId="07EBFF59" wp14:editId="26CD32E8">
            <wp:extent cx="8863330" cy="4656455"/>
            <wp:effectExtent l="0" t="0" r="0" b="0"/>
            <wp:docPr id="25" name="Picture 25" descr="PRISMA flowchart for studies included in DCAR 1721 " title="PRISMA flowchart for studies included in DCAR 17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863330" cy="4656455"/>
                    </a:xfrm>
                    <a:prstGeom prst="rect">
                      <a:avLst/>
                    </a:prstGeom>
                  </pic:spPr>
                </pic:pic>
              </a:graphicData>
            </a:graphic>
          </wp:inline>
        </w:drawing>
      </w:r>
    </w:p>
    <w:p w14:paraId="72AE2F9B" w14:textId="678638E2" w:rsidR="00504E35" w:rsidRDefault="00504E35" w:rsidP="00504E35">
      <w:pPr>
        <w:pStyle w:val="Caption"/>
        <w:keepNext w:val="0"/>
      </w:pPr>
      <w:bookmarkStart w:id="283" w:name="_Ref69731485"/>
      <w:r w:rsidRPr="00CE28E3">
        <w:t>Figure</w:t>
      </w:r>
      <w:r>
        <w:t> </w:t>
      </w:r>
      <w:fldSimple w:instr=" SEQ Figure \* ARABIC ">
        <w:r w:rsidR="00C857F3">
          <w:rPr>
            <w:noProof/>
          </w:rPr>
          <w:t>21</w:t>
        </w:r>
      </w:fldSimple>
      <w:bookmarkEnd w:id="283"/>
      <w:r w:rsidRPr="00CE28E3">
        <w:tab/>
        <w:t xml:space="preserve">PRISMA flowchart for studies </w:t>
      </w:r>
      <w:r>
        <w:t xml:space="preserve">included in DCAR 1721 </w:t>
      </w:r>
    </w:p>
    <w:p w14:paraId="1F652FEB" w14:textId="77777777" w:rsidR="00504E35" w:rsidRPr="00DB0881" w:rsidRDefault="00504E35" w:rsidP="00504E35">
      <w:pPr>
        <w:pStyle w:val="TableFooter"/>
      </w:pPr>
      <w:r w:rsidRPr="00902EC2">
        <w:t xml:space="preserve">DCAR = Department Contracted Assessment Report; </w:t>
      </w:r>
      <w:r>
        <w:t xml:space="preserve">HTA = health technology assessment; </w:t>
      </w:r>
      <w:r w:rsidRPr="002D3261">
        <w:t>MSAC = Medi</w:t>
      </w:r>
      <w:r>
        <w:t>cal Services Advisory Committee</w:t>
      </w:r>
    </w:p>
    <w:p w14:paraId="330C0CA5" w14:textId="77777777" w:rsidR="00304BEE" w:rsidRDefault="00304BEE" w:rsidP="00304BEE">
      <w:pPr>
        <w:sectPr w:rsidR="00304BEE" w:rsidSect="00504E35">
          <w:pgSz w:w="16838" w:h="11906" w:orient="landscape"/>
          <w:pgMar w:top="1440" w:right="1440" w:bottom="1440" w:left="1440" w:header="708" w:footer="708" w:gutter="0"/>
          <w:cols w:space="708"/>
          <w:docGrid w:linePitch="360"/>
        </w:sectPr>
      </w:pPr>
    </w:p>
    <w:p w14:paraId="544762C2" w14:textId="18529432" w:rsidR="00304BEE" w:rsidRPr="00304BEE" w:rsidRDefault="00304BEE" w:rsidP="00304BEE"/>
    <w:p w14:paraId="7AE4CC35" w14:textId="2529A9A3" w:rsidR="008249F7" w:rsidRPr="00CE28E3" w:rsidRDefault="00E63DAA" w:rsidP="007951D4">
      <w:pPr>
        <w:pStyle w:val="Heading2"/>
        <w:numPr>
          <w:ilvl w:val="0"/>
          <w:numId w:val="0"/>
        </w:numPr>
        <w:ind w:left="357" w:hanging="357"/>
      </w:pPr>
      <w:bookmarkStart w:id="284" w:name="_Toc148531203"/>
      <w:r w:rsidRPr="00CE28E3">
        <w:t>Study profiles of included studies</w:t>
      </w:r>
      <w:bookmarkEnd w:id="284"/>
      <w:r w:rsidRPr="00CE28E3">
        <w:t xml:space="preserve"> </w:t>
      </w:r>
    </w:p>
    <w:p w14:paraId="6B5E214C" w14:textId="149542D2" w:rsidR="00304BEE" w:rsidRDefault="00304BEE" w:rsidP="00304BEE">
      <w:pPr>
        <w:pStyle w:val="TableHeading"/>
      </w:pPr>
      <w:bookmarkStart w:id="285" w:name="_Ref69728960"/>
      <w:r w:rsidRPr="00CE28E3">
        <w:t>Table</w:t>
      </w:r>
      <w:r>
        <w:t> </w:t>
      </w:r>
      <w:fldSimple w:instr=" SEQ Table \* ARABIC ">
        <w:r w:rsidR="00C857F3">
          <w:rPr>
            <w:noProof/>
          </w:rPr>
          <w:t>77</w:t>
        </w:r>
      </w:fldSimple>
      <w:bookmarkEnd w:id="285"/>
      <w:r w:rsidRPr="00CE28E3">
        <w:tab/>
        <w:t>Study profiles for studies included in the systematic review</w:t>
      </w:r>
    </w:p>
    <w:tbl>
      <w:tblPr>
        <w:tblStyle w:val="TableGrid1"/>
        <w:tblW w:w="12869" w:type="dxa"/>
        <w:tblLook w:val="04A0" w:firstRow="1" w:lastRow="0" w:firstColumn="1" w:lastColumn="0" w:noHBand="0" w:noVBand="1"/>
        <w:tblCaption w:val="Study profiles for studies included in the systematic review"/>
        <w:tblDescription w:val="Study profiles for studies included in the systematic review"/>
      </w:tblPr>
      <w:tblGrid>
        <w:gridCol w:w="1384"/>
        <w:gridCol w:w="1479"/>
        <w:gridCol w:w="1770"/>
        <w:gridCol w:w="2215"/>
        <w:gridCol w:w="1961"/>
        <w:gridCol w:w="2399"/>
        <w:gridCol w:w="1661"/>
      </w:tblGrid>
      <w:tr w:rsidR="00504E35" w:rsidRPr="00183E4D" w14:paraId="2ED13D92" w14:textId="77777777" w:rsidTr="006F7632">
        <w:trPr>
          <w:cnfStyle w:val="100000000000" w:firstRow="1" w:lastRow="0" w:firstColumn="0" w:lastColumn="0" w:oddVBand="0" w:evenVBand="0" w:oddHBand="0" w:evenHBand="0" w:firstRowFirstColumn="0" w:firstRowLastColumn="0" w:lastRowFirstColumn="0" w:lastRowLastColumn="0"/>
          <w:trHeight w:val="1386"/>
        </w:trPr>
        <w:tc>
          <w:tcPr>
            <w:tcW w:w="1384" w:type="dxa"/>
            <w:tcBorders>
              <w:top w:val="single" w:sz="4" w:space="0" w:color="auto"/>
              <w:left w:val="single" w:sz="4" w:space="0" w:color="auto"/>
              <w:bottom w:val="single" w:sz="4" w:space="0" w:color="auto"/>
              <w:right w:val="single" w:sz="4" w:space="0" w:color="auto"/>
            </w:tcBorders>
          </w:tcPr>
          <w:p w14:paraId="5DD74C3A" w14:textId="77777777" w:rsidR="00504E35" w:rsidRPr="00183E4D" w:rsidRDefault="00504E35" w:rsidP="006F7632">
            <w:pPr>
              <w:pStyle w:val="TableHeading"/>
            </w:pPr>
            <w:r w:rsidRPr="00183E4D">
              <w:t>Authors</w:t>
            </w:r>
          </w:p>
          <w:p w14:paraId="27943B97" w14:textId="77777777" w:rsidR="00504E35" w:rsidRPr="00183E4D" w:rsidRDefault="00504E35" w:rsidP="006F7632">
            <w:pPr>
              <w:pStyle w:val="TableHeading"/>
            </w:pPr>
            <w:r w:rsidRPr="00183E4D">
              <w:t>Publication Year</w:t>
            </w:r>
          </w:p>
        </w:tc>
        <w:tc>
          <w:tcPr>
            <w:tcW w:w="1479" w:type="dxa"/>
            <w:tcBorders>
              <w:top w:val="single" w:sz="4" w:space="0" w:color="auto"/>
              <w:left w:val="single" w:sz="4" w:space="0" w:color="auto"/>
              <w:bottom w:val="single" w:sz="4" w:space="0" w:color="auto"/>
              <w:right w:val="single" w:sz="4" w:space="0" w:color="auto"/>
            </w:tcBorders>
          </w:tcPr>
          <w:p w14:paraId="7CBEE69E" w14:textId="77777777" w:rsidR="00504E35" w:rsidRDefault="00504E35" w:rsidP="006F7632">
            <w:pPr>
              <w:pStyle w:val="TableHeading"/>
            </w:pPr>
            <w:r>
              <w:t>Study type</w:t>
            </w:r>
          </w:p>
          <w:p w14:paraId="42A248A3" w14:textId="77777777" w:rsidR="00504E35" w:rsidRDefault="00504E35" w:rsidP="006F7632">
            <w:pPr>
              <w:pStyle w:val="TableHeading"/>
            </w:pPr>
            <w:r w:rsidRPr="00183E4D">
              <w:t>Level of evidence</w:t>
            </w:r>
            <w:r w:rsidRPr="00183E4D">
              <w:rPr>
                <w:vertAlign w:val="superscript"/>
              </w:rPr>
              <w:t>a</w:t>
            </w:r>
            <w:r w:rsidRPr="00183E4D">
              <w:t xml:space="preserve"> </w:t>
            </w:r>
          </w:p>
          <w:p w14:paraId="66C97E30" w14:textId="77777777" w:rsidR="00504E35" w:rsidRPr="00FA3C68" w:rsidRDefault="00504E35" w:rsidP="006F7632">
            <w:pPr>
              <w:pStyle w:val="TableHeading"/>
              <w:rPr>
                <w:vertAlign w:val="superscript"/>
              </w:rPr>
            </w:pPr>
            <w:r w:rsidRPr="00183E4D">
              <w:t xml:space="preserve">risk of bias </w:t>
            </w:r>
            <w:r>
              <w:t>assessment</w:t>
            </w:r>
            <w:r>
              <w:rPr>
                <w:vertAlign w:val="superscript"/>
              </w:rPr>
              <w:t>b</w:t>
            </w:r>
          </w:p>
        </w:tc>
        <w:tc>
          <w:tcPr>
            <w:tcW w:w="1770" w:type="dxa"/>
            <w:tcBorders>
              <w:top w:val="single" w:sz="4" w:space="0" w:color="auto"/>
              <w:left w:val="single" w:sz="4" w:space="0" w:color="auto"/>
              <w:bottom w:val="single" w:sz="4" w:space="0" w:color="auto"/>
              <w:right w:val="single" w:sz="4" w:space="0" w:color="auto"/>
            </w:tcBorders>
          </w:tcPr>
          <w:p w14:paraId="5AFAE3A2" w14:textId="77777777" w:rsidR="00504E35" w:rsidRPr="00183E4D" w:rsidRDefault="00504E35" w:rsidP="006F7632">
            <w:pPr>
              <w:pStyle w:val="TableHeading"/>
            </w:pPr>
            <w:r w:rsidRPr="00183E4D">
              <w:t>Location</w:t>
            </w:r>
          </w:p>
          <w:p w14:paraId="65FBA2C7" w14:textId="77777777" w:rsidR="00504E35" w:rsidRPr="00183E4D" w:rsidRDefault="00504E35" w:rsidP="006F7632">
            <w:pPr>
              <w:pStyle w:val="TableHeading"/>
            </w:pPr>
            <w:r w:rsidRPr="00183E4D">
              <w:t>Setting</w:t>
            </w:r>
          </w:p>
          <w:p w14:paraId="01A09FD6" w14:textId="77777777" w:rsidR="00504E35" w:rsidRPr="00183E4D" w:rsidRDefault="00504E35" w:rsidP="006F7632">
            <w:pPr>
              <w:pStyle w:val="TableHeading"/>
            </w:pPr>
            <w:r w:rsidRPr="00183E4D">
              <w:t>Length of follow-up</w:t>
            </w:r>
          </w:p>
        </w:tc>
        <w:tc>
          <w:tcPr>
            <w:tcW w:w="2215" w:type="dxa"/>
            <w:tcBorders>
              <w:top w:val="single" w:sz="4" w:space="0" w:color="auto"/>
              <w:left w:val="single" w:sz="4" w:space="0" w:color="auto"/>
              <w:bottom w:val="single" w:sz="4" w:space="0" w:color="auto"/>
              <w:right w:val="single" w:sz="4" w:space="0" w:color="auto"/>
            </w:tcBorders>
          </w:tcPr>
          <w:p w14:paraId="0A208BAB" w14:textId="77777777" w:rsidR="00504E35" w:rsidRPr="00183E4D" w:rsidRDefault="00504E35" w:rsidP="006F7632">
            <w:pPr>
              <w:pStyle w:val="TableHeading"/>
              <w:rPr>
                <w:vanish/>
                <w:color w:val="C00000"/>
              </w:rPr>
            </w:pPr>
            <w:r w:rsidRPr="00183E4D">
              <w:t>Study population characteristics</w:t>
            </w:r>
          </w:p>
        </w:tc>
        <w:tc>
          <w:tcPr>
            <w:tcW w:w="1961" w:type="dxa"/>
            <w:tcBorders>
              <w:top w:val="single" w:sz="4" w:space="0" w:color="auto"/>
              <w:left w:val="single" w:sz="4" w:space="0" w:color="auto"/>
              <w:bottom w:val="single" w:sz="4" w:space="0" w:color="auto"/>
              <w:right w:val="single" w:sz="4" w:space="0" w:color="auto"/>
            </w:tcBorders>
          </w:tcPr>
          <w:p w14:paraId="1D9AD812" w14:textId="77777777" w:rsidR="00504E35" w:rsidRPr="00183E4D" w:rsidRDefault="00504E35" w:rsidP="006F7632">
            <w:pPr>
              <w:pStyle w:val="TableHeading"/>
            </w:pPr>
            <w:r w:rsidRPr="00183E4D">
              <w:t>Description of Intervention</w:t>
            </w:r>
          </w:p>
        </w:tc>
        <w:tc>
          <w:tcPr>
            <w:tcW w:w="2399" w:type="dxa"/>
            <w:tcBorders>
              <w:top w:val="single" w:sz="4" w:space="0" w:color="auto"/>
              <w:left w:val="single" w:sz="4" w:space="0" w:color="auto"/>
              <w:bottom w:val="single" w:sz="4" w:space="0" w:color="auto"/>
              <w:right w:val="single" w:sz="4" w:space="0" w:color="auto"/>
            </w:tcBorders>
          </w:tcPr>
          <w:p w14:paraId="585FEB50" w14:textId="77777777" w:rsidR="00504E35" w:rsidRPr="00183E4D" w:rsidRDefault="00504E35" w:rsidP="006F7632">
            <w:pPr>
              <w:pStyle w:val="TableHeading"/>
            </w:pPr>
            <w:r w:rsidRPr="00183E4D">
              <w:t>Description of Comparator</w:t>
            </w:r>
          </w:p>
        </w:tc>
        <w:tc>
          <w:tcPr>
            <w:tcW w:w="1661" w:type="dxa"/>
            <w:tcBorders>
              <w:top w:val="single" w:sz="4" w:space="0" w:color="auto"/>
              <w:left w:val="single" w:sz="4" w:space="0" w:color="auto"/>
              <w:bottom w:val="single" w:sz="4" w:space="0" w:color="auto"/>
              <w:right w:val="single" w:sz="4" w:space="0" w:color="auto"/>
            </w:tcBorders>
          </w:tcPr>
          <w:p w14:paraId="72D34A2B" w14:textId="77777777" w:rsidR="00504E35" w:rsidRPr="00183E4D" w:rsidRDefault="00504E35" w:rsidP="006F7632">
            <w:pPr>
              <w:pStyle w:val="TableHeading"/>
            </w:pPr>
            <w:r w:rsidRPr="00183E4D">
              <w:t xml:space="preserve">Relevant outcomes assessed </w:t>
            </w:r>
          </w:p>
        </w:tc>
      </w:tr>
      <w:tr w:rsidR="00504E35" w:rsidRPr="00183E4D" w14:paraId="169FFDAC"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2C33DDE3" w14:textId="5B8531F2" w:rsidR="00504E35" w:rsidRDefault="00B4668F" w:rsidP="00B4668F">
            <w:pPr>
              <w:pStyle w:val="Tabletext0"/>
              <w:spacing w:before="0" w:after="120"/>
              <w:jc w:val="left"/>
            </w:pP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 </w:instrText>
            </w: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EN.CITE.DATA </w:instrText>
            </w:r>
            <w:r>
              <w:fldChar w:fldCharType="end"/>
            </w:r>
            <w:r>
              <w:fldChar w:fldCharType="separate"/>
            </w:r>
            <w:r>
              <w:rPr>
                <w:noProof/>
              </w:rPr>
              <w:t>(Ali et al. 2016)</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5CD40AC1" w14:textId="77777777" w:rsidR="00504E35" w:rsidRDefault="00504E35" w:rsidP="006F7632">
            <w:pPr>
              <w:pStyle w:val="Tabletext0"/>
              <w:spacing w:before="0" w:after="120"/>
              <w:jc w:val="left"/>
            </w:pPr>
            <w:r>
              <w:t>Retrospective cohort study</w:t>
            </w:r>
          </w:p>
          <w:p w14:paraId="4DAD7E48" w14:textId="77777777" w:rsidR="00504E35" w:rsidRDefault="00504E35" w:rsidP="006F7632">
            <w:pPr>
              <w:pStyle w:val="Tabletext0"/>
              <w:spacing w:before="0" w:after="120"/>
              <w:jc w:val="left"/>
            </w:pPr>
            <w:r>
              <w:t xml:space="preserve">Level III-2 </w:t>
            </w:r>
          </w:p>
          <w:p w14:paraId="13D266C7" w14:textId="77777777" w:rsidR="00504E35" w:rsidRDefault="00504E35" w:rsidP="006F7632">
            <w:pPr>
              <w:pStyle w:val="Tabletext0"/>
              <w:spacing w:before="0" w:after="120"/>
              <w:jc w:val="left"/>
            </w:pPr>
            <w:r>
              <w:t>Moderate risk of bias (QUADAS 2)</w:t>
            </w:r>
          </w:p>
          <w:p w14:paraId="09BD92E0" w14:textId="77777777" w:rsidR="00504E35" w:rsidRDefault="00504E35" w:rsidP="006F7632">
            <w:pPr>
              <w:pStyle w:val="Tabletext0"/>
              <w:spacing w:before="0" w:after="120"/>
              <w:jc w:val="left"/>
            </w:pPr>
          </w:p>
        </w:tc>
        <w:tc>
          <w:tcPr>
            <w:tcW w:w="1770" w:type="dxa"/>
            <w:tcBorders>
              <w:top w:val="single" w:sz="4" w:space="0" w:color="auto"/>
              <w:left w:val="single" w:sz="4" w:space="0" w:color="auto"/>
              <w:bottom w:val="single" w:sz="4" w:space="0" w:color="auto"/>
              <w:right w:val="single" w:sz="4" w:space="0" w:color="auto"/>
            </w:tcBorders>
          </w:tcPr>
          <w:p w14:paraId="48B83FCA" w14:textId="77777777" w:rsidR="00504E35" w:rsidRDefault="00504E35" w:rsidP="006F7632">
            <w:pPr>
              <w:pStyle w:val="Tabletext0"/>
              <w:spacing w:before="0" w:after="120"/>
              <w:jc w:val="left"/>
            </w:pPr>
            <w:r>
              <w:t>USA</w:t>
            </w:r>
          </w:p>
          <w:p w14:paraId="5F740CDC" w14:textId="77777777" w:rsidR="00504E35" w:rsidRDefault="00504E35" w:rsidP="006F7632">
            <w:pPr>
              <w:pStyle w:val="Tabletext0"/>
              <w:spacing w:before="0" w:after="120"/>
              <w:jc w:val="left"/>
            </w:pPr>
            <w:r>
              <w:t>Samples submitted for comprehensive genetic profiling at multiple institutions</w:t>
            </w:r>
          </w:p>
          <w:p w14:paraId="021E4405" w14:textId="77777777" w:rsidR="00504E35" w:rsidRDefault="00504E35" w:rsidP="006F7632">
            <w:pPr>
              <w:pStyle w:val="Tabletext0"/>
              <w:spacing w:before="0" w:after="120"/>
              <w:jc w:val="left"/>
            </w:pPr>
            <w:r>
              <w:t>Follow up time unclear: response reported up to 28 months</w:t>
            </w:r>
          </w:p>
        </w:tc>
        <w:tc>
          <w:tcPr>
            <w:tcW w:w="2215" w:type="dxa"/>
            <w:tcBorders>
              <w:top w:val="single" w:sz="4" w:space="0" w:color="auto"/>
              <w:left w:val="single" w:sz="4" w:space="0" w:color="auto"/>
              <w:bottom w:val="single" w:sz="4" w:space="0" w:color="auto"/>
              <w:right w:val="single" w:sz="4" w:space="0" w:color="auto"/>
            </w:tcBorders>
          </w:tcPr>
          <w:p w14:paraId="5E241D1A" w14:textId="77777777" w:rsidR="00504E35" w:rsidRDefault="00504E35" w:rsidP="006F7632">
            <w:pPr>
              <w:pStyle w:val="Tabletext0"/>
              <w:spacing w:before="0" w:after="120"/>
              <w:jc w:val="left"/>
            </w:pPr>
            <w:r>
              <w:t>N=1070, n=45 with concordance data</w:t>
            </w:r>
          </w:p>
          <w:p w14:paraId="2A7D4B83" w14:textId="77777777" w:rsidR="00504E35" w:rsidRDefault="00504E35" w:rsidP="006F7632">
            <w:pPr>
              <w:pStyle w:val="Tabletext0"/>
              <w:spacing w:before="0" w:after="120"/>
              <w:jc w:val="left"/>
            </w:pPr>
            <w:r>
              <w:t>Patients with advanced lung carcinoma who were assayed during course of clinical care</w:t>
            </w:r>
          </w:p>
          <w:p w14:paraId="23C69BA3" w14:textId="77777777" w:rsidR="00504E35" w:rsidRDefault="00504E35" w:rsidP="006F7632">
            <w:pPr>
              <w:pStyle w:val="Tabletext0"/>
              <w:spacing w:before="0" w:after="120"/>
              <w:jc w:val="left"/>
            </w:pPr>
            <w:r>
              <w:t>724 adenocarcinoma</w:t>
            </w:r>
          </w:p>
          <w:p w14:paraId="154D74CA" w14:textId="77777777" w:rsidR="00504E35" w:rsidRDefault="00504E35" w:rsidP="006F7632">
            <w:pPr>
              <w:pStyle w:val="Tabletext0"/>
              <w:spacing w:before="0" w:after="120"/>
              <w:jc w:val="left"/>
            </w:pPr>
            <w:r>
              <w:t>12 Adenosquamous carcinoma</w:t>
            </w:r>
          </w:p>
          <w:p w14:paraId="5786222D" w14:textId="77777777" w:rsidR="00504E35" w:rsidRDefault="00504E35" w:rsidP="006F7632">
            <w:pPr>
              <w:pStyle w:val="Tabletext0"/>
              <w:spacing w:before="0" w:after="120"/>
              <w:jc w:val="left"/>
            </w:pPr>
            <w:r>
              <w:t>3 LCC</w:t>
            </w:r>
          </w:p>
          <w:p w14:paraId="4FDA0C69" w14:textId="77777777" w:rsidR="00504E35" w:rsidRDefault="00504E35" w:rsidP="006F7632">
            <w:pPr>
              <w:pStyle w:val="Tabletext0"/>
              <w:spacing w:before="0" w:after="120"/>
              <w:jc w:val="left"/>
            </w:pPr>
            <w:r>
              <w:t>23 Mucoepidermoid</w:t>
            </w:r>
          </w:p>
          <w:p w14:paraId="7B1AFFD8" w14:textId="77777777" w:rsidR="00504E35" w:rsidRDefault="00504E35" w:rsidP="006F7632">
            <w:pPr>
              <w:pStyle w:val="Tabletext0"/>
              <w:spacing w:before="0" w:after="120"/>
              <w:jc w:val="left"/>
            </w:pPr>
            <w:r>
              <w:t>146 Non-small cell carcinoma NOS</w:t>
            </w:r>
          </w:p>
        </w:tc>
        <w:tc>
          <w:tcPr>
            <w:tcW w:w="1961" w:type="dxa"/>
            <w:tcBorders>
              <w:top w:val="single" w:sz="4" w:space="0" w:color="auto"/>
              <w:left w:val="single" w:sz="4" w:space="0" w:color="auto"/>
              <w:bottom w:val="single" w:sz="4" w:space="0" w:color="auto"/>
              <w:right w:val="single" w:sz="4" w:space="0" w:color="auto"/>
            </w:tcBorders>
          </w:tcPr>
          <w:p w14:paraId="55D5EA4B" w14:textId="77777777" w:rsidR="00504E35" w:rsidRPr="00466470" w:rsidRDefault="00504E35" w:rsidP="006F7632">
            <w:pPr>
              <w:pStyle w:val="Tabletext0"/>
              <w:spacing w:before="0" w:after="120"/>
              <w:jc w:val="left"/>
            </w:pPr>
            <w:r>
              <w:t>Hybrid-capture based CGP using NGS, 236 cancer related genes, plus 47 introns from 19 genes frequently rearranged in cancer</w:t>
            </w:r>
          </w:p>
        </w:tc>
        <w:tc>
          <w:tcPr>
            <w:tcW w:w="2399" w:type="dxa"/>
            <w:tcBorders>
              <w:top w:val="single" w:sz="4" w:space="0" w:color="auto"/>
              <w:left w:val="single" w:sz="4" w:space="0" w:color="auto"/>
              <w:bottom w:val="single" w:sz="4" w:space="0" w:color="auto"/>
              <w:right w:val="single" w:sz="4" w:space="0" w:color="auto"/>
            </w:tcBorders>
          </w:tcPr>
          <w:p w14:paraId="0A8A1D96" w14:textId="77777777" w:rsidR="00504E35" w:rsidRDefault="00504E35" w:rsidP="006F7632">
            <w:pPr>
              <w:pStyle w:val="Tabletext0"/>
              <w:spacing w:before="0" w:after="120"/>
              <w:jc w:val="left"/>
            </w:pPr>
            <w:r w:rsidRPr="00195069">
              <w:rPr>
                <w:i/>
              </w:rPr>
              <w:t>ALK</w:t>
            </w:r>
            <w:r>
              <w:t xml:space="preserve"> FISH testing</w:t>
            </w:r>
          </w:p>
        </w:tc>
        <w:tc>
          <w:tcPr>
            <w:tcW w:w="1661" w:type="dxa"/>
            <w:tcBorders>
              <w:top w:val="single" w:sz="4" w:space="0" w:color="auto"/>
              <w:left w:val="single" w:sz="4" w:space="0" w:color="auto"/>
              <w:bottom w:val="single" w:sz="4" w:space="0" w:color="auto"/>
              <w:right w:val="single" w:sz="4" w:space="0" w:color="auto"/>
            </w:tcBorders>
          </w:tcPr>
          <w:p w14:paraId="6F9DAAE7" w14:textId="77777777" w:rsidR="00504E35" w:rsidRDefault="00504E35" w:rsidP="006F7632">
            <w:pPr>
              <w:pStyle w:val="Tabletext0"/>
              <w:spacing w:before="0" w:after="120"/>
              <w:jc w:val="left"/>
            </w:pPr>
            <w:r>
              <w:t>Concordance</w:t>
            </w:r>
          </w:p>
          <w:p w14:paraId="0EB24E97" w14:textId="77777777" w:rsidR="00504E35" w:rsidRDefault="00504E35" w:rsidP="006F7632">
            <w:pPr>
              <w:pStyle w:val="Tabletext0"/>
              <w:spacing w:before="0" w:after="120"/>
              <w:jc w:val="left"/>
            </w:pPr>
            <w:r>
              <w:t>Treatment received in discordant cases</w:t>
            </w:r>
          </w:p>
          <w:p w14:paraId="697DB545" w14:textId="77777777" w:rsidR="00504E35" w:rsidRDefault="00504E35" w:rsidP="006F7632">
            <w:pPr>
              <w:pStyle w:val="Tabletext0"/>
              <w:spacing w:before="0" w:after="120"/>
              <w:jc w:val="left"/>
            </w:pPr>
          </w:p>
        </w:tc>
      </w:tr>
      <w:tr w:rsidR="00504E35" w:rsidRPr="00183E4D" w14:paraId="65B566F6"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12D36EA7" w14:textId="396EDE90" w:rsidR="00504E35" w:rsidRDefault="00B4668F" w:rsidP="00B4668F">
            <w:pPr>
              <w:pStyle w:val="Tabletext0"/>
              <w:spacing w:before="0" w:after="120"/>
              <w:jc w:val="left"/>
            </w:pPr>
            <w:r>
              <w:fldChar w:fldCharType="begin">
                <w:fldData xml:space="preserve">PEVuZE5vdGU+PENpdGU+PEF1dGhvcj5Bcml5YXN1PC9BdXRob3I+PFllYXI+MjAyMTwvWWVhcj48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</w:fldData>
              </w:fldChar>
            </w:r>
            <w:r>
              <w:instrText xml:space="preserve"> ADDIN EN.CITE </w:instrText>
            </w:r>
            <w:r>
              <w:fldChar w:fldCharType="begin">
                <w:fldData xml:space="preserve">PEVuZE5vdGU+PENpdGU+PEF1dGhvcj5Bcml5YXN1PC9BdXRob3I+PFllYXI+MjAyMTwvWWVhcj48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</w:fldData>
              </w:fldChar>
            </w:r>
            <w:r>
              <w:instrText xml:space="preserve"> ADDIN EN.CITE.DATA </w:instrText>
            </w:r>
            <w:r>
              <w:fldChar w:fldCharType="end"/>
            </w:r>
            <w:r>
              <w:fldChar w:fldCharType="separate"/>
            </w:r>
            <w:r>
              <w:rPr>
                <w:noProof/>
              </w:rPr>
              <w:t>(Ariyasu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5448B4DD" w14:textId="77777777" w:rsidR="00504E35" w:rsidRDefault="00504E35" w:rsidP="006F7632">
            <w:pPr>
              <w:pStyle w:val="Tabletext0"/>
              <w:spacing w:before="0" w:after="120"/>
              <w:jc w:val="left"/>
            </w:pPr>
            <w:r>
              <w:t>Retrospective cohort study</w:t>
            </w:r>
          </w:p>
          <w:p w14:paraId="044F64F8" w14:textId="77777777" w:rsidR="00504E35" w:rsidRDefault="00504E35" w:rsidP="006F7632">
            <w:pPr>
              <w:pStyle w:val="Tabletext0"/>
              <w:spacing w:before="0" w:after="120"/>
              <w:jc w:val="left"/>
            </w:pPr>
            <w:r>
              <w:t xml:space="preserve">Level III-2 </w:t>
            </w:r>
          </w:p>
          <w:p w14:paraId="74E13A09" w14:textId="77777777" w:rsidR="00504E35" w:rsidRDefault="00504E35" w:rsidP="006F7632">
            <w:pPr>
              <w:pStyle w:val="Tabletext0"/>
              <w:spacing w:before="0" w:after="120"/>
              <w:jc w:val="left"/>
            </w:pPr>
            <w:r>
              <w:t>Low to moderate risk of bias (QUADAS 2)</w:t>
            </w:r>
          </w:p>
        </w:tc>
        <w:tc>
          <w:tcPr>
            <w:tcW w:w="1770" w:type="dxa"/>
            <w:tcBorders>
              <w:top w:val="single" w:sz="4" w:space="0" w:color="auto"/>
              <w:left w:val="single" w:sz="4" w:space="0" w:color="auto"/>
              <w:bottom w:val="single" w:sz="4" w:space="0" w:color="auto"/>
              <w:right w:val="single" w:sz="4" w:space="0" w:color="auto"/>
            </w:tcBorders>
          </w:tcPr>
          <w:p w14:paraId="7F7C5118" w14:textId="77777777" w:rsidR="00504E35" w:rsidRDefault="00504E35" w:rsidP="006F7632">
            <w:pPr>
              <w:pStyle w:val="Tabletext0"/>
              <w:spacing w:before="0" w:after="120"/>
              <w:jc w:val="left"/>
            </w:pPr>
            <w:r>
              <w:t>Japan</w:t>
            </w:r>
          </w:p>
          <w:p w14:paraId="5F40003A" w14:textId="77777777" w:rsidR="00504E35" w:rsidRDefault="00504E35" w:rsidP="006F7632">
            <w:pPr>
              <w:pStyle w:val="Tabletext0"/>
              <w:spacing w:before="0" w:after="120"/>
              <w:jc w:val="left"/>
            </w:pPr>
            <w:r>
              <w:t>Samples submitted for NGS at a single hospital</w:t>
            </w:r>
          </w:p>
          <w:p w14:paraId="35558A50" w14:textId="77777777" w:rsidR="00504E35" w:rsidRDefault="00504E35" w:rsidP="006F7632">
            <w:pPr>
              <w:pStyle w:val="Tabletext0"/>
              <w:spacing w:before="0" w:after="120"/>
              <w:jc w:val="left"/>
            </w:pPr>
            <w:r>
              <w:t xml:space="preserve">No follow up </w:t>
            </w:r>
          </w:p>
          <w:p w14:paraId="2DA7DF5A" w14:textId="77777777" w:rsidR="00504E35" w:rsidRDefault="00504E35" w:rsidP="006F7632">
            <w:pPr>
              <w:pStyle w:val="Tabletext0"/>
              <w:spacing w:before="0" w:after="120"/>
              <w:jc w:val="left"/>
            </w:pPr>
          </w:p>
        </w:tc>
        <w:tc>
          <w:tcPr>
            <w:tcW w:w="2215" w:type="dxa"/>
            <w:tcBorders>
              <w:top w:val="single" w:sz="4" w:space="0" w:color="auto"/>
              <w:left w:val="single" w:sz="4" w:space="0" w:color="auto"/>
              <w:bottom w:val="single" w:sz="4" w:space="0" w:color="auto"/>
              <w:right w:val="single" w:sz="4" w:space="0" w:color="auto"/>
            </w:tcBorders>
          </w:tcPr>
          <w:p w14:paraId="1C3053B1" w14:textId="77777777" w:rsidR="00504E35" w:rsidRDefault="00504E35" w:rsidP="006F7632">
            <w:pPr>
              <w:pStyle w:val="Tabletext0"/>
              <w:spacing w:before="0" w:after="120"/>
              <w:jc w:val="left"/>
            </w:pPr>
            <w:r>
              <w:t xml:space="preserve">N=167 </w:t>
            </w:r>
          </w:p>
          <w:p w14:paraId="05077888" w14:textId="77777777" w:rsidR="00504E35" w:rsidRDefault="00504E35" w:rsidP="006F7632">
            <w:pPr>
              <w:pStyle w:val="Tabletext0"/>
              <w:spacing w:before="0" w:after="120"/>
              <w:jc w:val="left"/>
            </w:pPr>
            <w:r>
              <w:t>Consecutive patients with advanced NSCLC</w:t>
            </w:r>
          </w:p>
          <w:p w14:paraId="0AA7BAF9" w14:textId="77777777" w:rsidR="00504E35" w:rsidRDefault="00504E35" w:rsidP="006F7632">
            <w:pPr>
              <w:pStyle w:val="Tabletext0"/>
              <w:spacing w:before="0" w:after="120"/>
              <w:jc w:val="left"/>
            </w:pPr>
            <w:r>
              <w:t>Samples obtained through biopsy, surgical resection or other</w:t>
            </w:r>
          </w:p>
          <w:p w14:paraId="5FBC9375" w14:textId="77777777" w:rsidR="00504E35" w:rsidRDefault="00504E35" w:rsidP="006F7632">
            <w:pPr>
              <w:pStyle w:val="Tabletext0"/>
              <w:spacing w:before="0" w:after="120"/>
              <w:jc w:val="left"/>
            </w:pPr>
            <w:r>
              <w:lastRenderedPageBreak/>
              <w:t>113 adenocarcinoma</w:t>
            </w:r>
          </w:p>
          <w:p w14:paraId="6071E7C3" w14:textId="77777777" w:rsidR="00504E35" w:rsidRDefault="00504E35" w:rsidP="006F7632">
            <w:pPr>
              <w:pStyle w:val="Tabletext0"/>
              <w:spacing w:before="0" w:after="120"/>
              <w:jc w:val="left"/>
            </w:pPr>
            <w:r>
              <w:t xml:space="preserve">39 squamous </w:t>
            </w:r>
          </w:p>
          <w:p w14:paraId="0CD51223" w14:textId="77777777" w:rsidR="00504E35" w:rsidRDefault="00504E35" w:rsidP="006F7632">
            <w:pPr>
              <w:pStyle w:val="Tabletext0"/>
              <w:spacing w:before="0" w:after="120"/>
              <w:jc w:val="left"/>
            </w:pPr>
            <w:r>
              <w:t>15 other</w:t>
            </w:r>
          </w:p>
        </w:tc>
        <w:tc>
          <w:tcPr>
            <w:tcW w:w="1961" w:type="dxa"/>
            <w:tcBorders>
              <w:top w:val="single" w:sz="4" w:space="0" w:color="auto"/>
              <w:left w:val="single" w:sz="4" w:space="0" w:color="auto"/>
              <w:bottom w:val="single" w:sz="4" w:space="0" w:color="auto"/>
              <w:right w:val="single" w:sz="4" w:space="0" w:color="auto"/>
            </w:tcBorders>
          </w:tcPr>
          <w:p w14:paraId="65258A93" w14:textId="77777777" w:rsidR="00504E35" w:rsidRPr="00466470" w:rsidRDefault="00504E35" w:rsidP="006F7632">
            <w:pPr>
              <w:pStyle w:val="Tabletext0"/>
              <w:spacing w:before="0" w:after="120"/>
              <w:jc w:val="left"/>
            </w:pPr>
            <w:r>
              <w:lastRenderedPageBreak/>
              <w:t>NGS based test for four driver genes and 42 other mutations for research use</w:t>
            </w:r>
          </w:p>
        </w:tc>
        <w:tc>
          <w:tcPr>
            <w:tcW w:w="2399" w:type="dxa"/>
            <w:tcBorders>
              <w:top w:val="single" w:sz="4" w:space="0" w:color="auto"/>
              <w:left w:val="single" w:sz="4" w:space="0" w:color="auto"/>
              <w:bottom w:val="single" w:sz="4" w:space="0" w:color="auto"/>
              <w:right w:val="single" w:sz="4" w:space="0" w:color="auto"/>
            </w:tcBorders>
          </w:tcPr>
          <w:p w14:paraId="6C421CA4" w14:textId="77777777" w:rsidR="00504E35" w:rsidRDefault="00504E35" w:rsidP="006F7632">
            <w:pPr>
              <w:pStyle w:val="Tabletext0"/>
              <w:spacing w:before="0" w:after="120"/>
              <w:jc w:val="left"/>
            </w:pPr>
            <w:r>
              <w:t>ALK IHC</w:t>
            </w:r>
          </w:p>
          <w:p w14:paraId="3F51A75B" w14:textId="77777777" w:rsidR="00504E35" w:rsidRDefault="00504E35" w:rsidP="006F7632">
            <w:pPr>
              <w:pStyle w:val="Tabletext0"/>
              <w:spacing w:before="0" w:after="120"/>
              <w:jc w:val="left"/>
            </w:pPr>
            <w:r>
              <w:t>Cobas</w:t>
            </w:r>
            <w:r w:rsidRPr="00195069">
              <w:rPr>
                <w:i/>
              </w:rPr>
              <w:t xml:space="preserve"> EGFR</w:t>
            </w:r>
          </w:p>
        </w:tc>
        <w:tc>
          <w:tcPr>
            <w:tcW w:w="1661" w:type="dxa"/>
            <w:tcBorders>
              <w:top w:val="single" w:sz="4" w:space="0" w:color="auto"/>
              <w:left w:val="single" w:sz="4" w:space="0" w:color="auto"/>
              <w:bottom w:val="single" w:sz="4" w:space="0" w:color="auto"/>
              <w:right w:val="single" w:sz="4" w:space="0" w:color="auto"/>
            </w:tcBorders>
          </w:tcPr>
          <w:p w14:paraId="3A8E1790" w14:textId="77777777" w:rsidR="00504E35" w:rsidRDefault="00504E35" w:rsidP="006F7632">
            <w:pPr>
              <w:pStyle w:val="Tabletext0"/>
              <w:spacing w:before="0" w:after="120"/>
              <w:jc w:val="left"/>
            </w:pPr>
            <w:r>
              <w:t xml:space="preserve">Concordance </w:t>
            </w:r>
          </w:p>
          <w:p w14:paraId="782AD06B" w14:textId="77777777" w:rsidR="00504E35" w:rsidRDefault="00504E35" w:rsidP="006F7632">
            <w:pPr>
              <w:pStyle w:val="Tabletext0"/>
              <w:spacing w:before="0" w:after="120"/>
              <w:jc w:val="left"/>
            </w:pPr>
            <w:r>
              <w:t>Turnaround time</w:t>
            </w:r>
          </w:p>
          <w:p w14:paraId="1D8A824C" w14:textId="77777777" w:rsidR="00504E35" w:rsidRDefault="00504E35" w:rsidP="006F7632">
            <w:pPr>
              <w:pStyle w:val="Tabletext0"/>
              <w:spacing w:before="0" w:after="120"/>
              <w:jc w:val="left"/>
            </w:pPr>
            <w:r>
              <w:t>Success rate</w:t>
            </w:r>
          </w:p>
        </w:tc>
      </w:tr>
      <w:tr w:rsidR="00504E35" w:rsidRPr="00183E4D" w14:paraId="100D8BDD"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B3BE4E6" w14:textId="3150752A" w:rsidR="00504E35" w:rsidRDefault="00B4668F" w:rsidP="00B4668F">
            <w:pPr>
              <w:pStyle w:val="Tabletext0"/>
              <w:spacing w:before="0" w:after="120"/>
              <w:jc w:val="left"/>
            </w:pPr>
            <w:r>
              <w:fldChar w:fldCharType="begin">
                <w:fldData xml:space="preserve">PEVuZE5vdGU+PENpdGU+PEF1dGhvcj5CYXRyYTwvQXV0aG9yPjxZZWFyPjIwMjE8L1llYXI+PFJl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</w:fldData>
              </w:fldChar>
            </w:r>
            <w:r>
              <w:instrText xml:space="preserve"> ADDIN EN.CITE </w:instrText>
            </w:r>
            <w:r>
              <w:fldChar w:fldCharType="begin">
                <w:fldData xml:space="preserve">PEVuZE5vdGU+PENpdGU+PEF1dGhvcj5CYXRyYTwvQXV0aG9yPjxZZWFyPjIwMjE8L1llYXI+PFJl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</w:fldData>
              </w:fldChar>
            </w:r>
            <w:r>
              <w:instrText xml:space="preserve"> ADDIN EN.CITE.DATA </w:instrText>
            </w:r>
            <w:r>
              <w:fldChar w:fldCharType="end"/>
            </w:r>
            <w:r>
              <w:fldChar w:fldCharType="separate"/>
            </w:r>
            <w:r>
              <w:rPr>
                <w:noProof/>
              </w:rPr>
              <w:t>(Batra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3C93D39" w14:textId="77777777" w:rsidR="00504E35" w:rsidRDefault="00504E35" w:rsidP="006F7632">
            <w:pPr>
              <w:pStyle w:val="Tabletext0"/>
              <w:spacing w:before="0" w:after="120"/>
              <w:jc w:val="left"/>
            </w:pPr>
            <w:r>
              <w:t>Prospective cohort study</w:t>
            </w:r>
          </w:p>
          <w:p w14:paraId="1A3E7C51" w14:textId="77777777" w:rsidR="00504E35" w:rsidRDefault="00504E35" w:rsidP="006F7632">
            <w:pPr>
              <w:pStyle w:val="Tabletext0"/>
              <w:spacing w:before="0" w:after="120"/>
              <w:jc w:val="left"/>
            </w:pPr>
            <w:r>
              <w:t>Level III-2</w:t>
            </w:r>
          </w:p>
          <w:p w14:paraId="6A33E346" w14:textId="77777777" w:rsidR="00504E35" w:rsidRDefault="00504E35" w:rsidP="006F7632">
            <w:pPr>
              <w:pStyle w:val="Tabletext0"/>
              <w:spacing w:before="0" w:after="120"/>
              <w:jc w:val="left"/>
            </w:pPr>
            <w:r w:rsidRPr="009D02E4">
              <w:rPr>
                <w:u w:val="single"/>
              </w:rPr>
              <w:t>Concordance</w:t>
            </w:r>
            <w:r>
              <w:t>:</w:t>
            </w:r>
          </w:p>
          <w:p w14:paraId="63A2E8F1" w14:textId="77777777" w:rsidR="00504E35" w:rsidRDefault="00504E35" w:rsidP="006F7632">
            <w:pPr>
              <w:pStyle w:val="Tabletext0"/>
              <w:spacing w:before="0" w:after="120"/>
              <w:jc w:val="left"/>
            </w:pPr>
            <w:r>
              <w:t>Moderate to high risk of bias (QUADAS 2)</w:t>
            </w:r>
          </w:p>
          <w:p w14:paraId="7BCF50B2" w14:textId="77777777" w:rsidR="00504E35" w:rsidRDefault="00504E35" w:rsidP="006F7632">
            <w:pPr>
              <w:pStyle w:val="Tabletext0"/>
              <w:spacing w:before="0" w:after="120"/>
              <w:ind w:right="-57"/>
              <w:jc w:val="left"/>
            </w:pPr>
            <w:r>
              <w:t>Health outcomes:</w:t>
            </w:r>
          </w:p>
          <w:p w14:paraId="5B57B320" w14:textId="77777777" w:rsidR="00504E35" w:rsidRDefault="00504E35" w:rsidP="006F7632">
            <w:pPr>
              <w:pStyle w:val="Tabletext0"/>
              <w:spacing w:before="0" w:after="120"/>
              <w:jc w:val="left"/>
            </w:pPr>
            <w:r>
              <w:t>Moderate to high risk of bias  (QUIPS)</w:t>
            </w:r>
          </w:p>
        </w:tc>
        <w:tc>
          <w:tcPr>
            <w:tcW w:w="1770" w:type="dxa"/>
            <w:tcBorders>
              <w:top w:val="single" w:sz="4" w:space="0" w:color="auto"/>
              <w:left w:val="single" w:sz="4" w:space="0" w:color="auto"/>
              <w:bottom w:val="single" w:sz="4" w:space="0" w:color="auto"/>
              <w:right w:val="single" w:sz="4" w:space="0" w:color="auto"/>
            </w:tcBorders>
          </w:tcPr>
          <w:p w14:paraId="4E7FB335" w14:textId="77777777" w:rsidR="00504E35" w:rsidRDefault="00504E35" w:rsidP="006F7632">
            <w:pPr>
              <w:pStyle w:val="Tabletext0"/>
              <w:spacing w:before="0" w:after="120"/>
              <w:jc w:val="left"/>
            </w:pPr>
            <w:r>
              <w:t>India</w:t>
            </w:r>
          </w:p>
          <w:p w14:paraId="140AD744" w14:textId="77777777" w:rsidR="00504E35" w:rsidRDefault="00504E35" w:rsidP="006F7632">
            <w:pPr>
              <w:pStyle w:val="Tabletext0"/>
              <w:spacing w:before="0" w:after="120"/>
              <w:jc w:val="left"/>
            </w:pPr>
            <w:r>
              <w:t>Samples submitted for NGS at a single centre</w:t>
            </w:r>
          </w:p>
          <w:p w14:paraId="7EF10B77" w14:textId="77777777" w:rsidR="00504E35" w:rsidRDefault="00504E35" w:rsidP="006F7632">
            <w:pPr>
              <w:pStyle w:val="Tabletext0"/>
              <w:spacing w:before="0" w:after="120"/>
              <w:jc w:val="left"/>
            </w:pPr>
            <w:r>
              <w:t>12.5 months (median) for health outcomes</w:t>
            </w:r>
          </w:p>
        </w:tc>
        <w:tc>
          <w:tcPr>
            <w:tcW w:w="2215" w:type="dxa"/>
            <w:tcBorders>
              <w:top w:val="single" w:sz="4" w:space="0" w:color="auto"/>
              <w:left w:val="single" w:sz="4" w:space="0" w:color="auto"/>
              <w:bottom w:val="single" w:sz="4" w:space="0" w:color="auto"/>
              <w:right w:val="single" w:sz="4" w:space="0" w:color="auto"/>
            </w:tcBorders>
          </w:tcPr>
          <w:p w14:paraId="0051C42D" w14:textId="77777777" w:rsidR="00504E35" w:rsidRDefault="00504E35" w:rsidP="006F7632">
            <w:pPr>
              <w:pStyle w:val="Tabletext0"/>
              <w:spacing w:before="0" w:after="120"/>
              <w:jc w:val="left"/>
            </w:pPr>
            <w:r>
              <w:t>N=58 (evaluated in 3 modalities)</w:t>
            </w:r>
          </w:p>
          <w:p w14:paraId="5BDFB435" w14:textId="77777777" w:rsidR="00504E35" w:rsidRDefault="00504E35" w:rsidP="006F7632">
            <w:pPr>
              <w:pStyle w:val="Tabletext0"/>
              <w:spacing w:before="0" w:after="120"/>
              <w:jc w:val="left"/>
            </w:pPr>
            <w:r>
              <w:t>Consecutive patients with biopsy proven NSCLC and positive for ALK on IHC; samples also had to be evaluable by FISH and HGS</w:t>
            </w:r>
          </w:p>
          <w:p w14:paraId="3011487F" w14:textId="77777777" w:rsidR="00504E35" w:rsidRDefault="00504E35" w:rsidP="006F7632">
            <w:pPr>
              <w:pStyle w:val="Tabletext0"/>
              <w:spacing w:before="0" w:after="120"/>
              <w:jc w:val="left"/>
            </w:pPr>
            <w:r>
              <w:t xml:space="preserve">Patients with adequate tumour blocks included (FFPE). Tissue source not reported </w:t>
            </w:r>
          </w:p>
          <w:p w14:paraId="2216FFF0" w14:textId="77777777" w:rsidR="00504E35" w:rsidRDefault="00504E35" w:rsidP="006F7632">
            <w:pPr>
              <w:pStyle w:val="Tabletext0"/>
              <w:spacing w:before="0" w:after="120"/>
              <w:jc w:val="left"/>
            </w:pPr>
            <w:r>
              <w:t>Health outcomes:</w:t>
            </w:r>
          </w:p>
          <w:p w14:paraId="67655ED2" w14:textId="77777777" w:rsidR="00504E35" w:rsidRDefault="00504E35" w:rsidP="006F7632">
            <w:pPr>
              <w:pStyle w:val="Tabletext0"/>
              <w:spacing w:before="0" w:after="120"/>
              <w:jc w:val="left"/>
            </w:pPr>
            <w:r>
              <w:t>n=28, excluding patients did not receive treatment or did not have first response evaluation</w:t>
            </w:r>
          </w:p>
          <w:p w14:paraId="36F386D1" w14:textId="77777777" w:rsidR="00504E35" w:rsidRDefault="00504E35" w:rsidP="006F7632">
            <w:pPr>
              <w:pStyle w:val="Tabletext0"/>
              <w:spacing w:before="0" w:after="120"/>
              <w:jc w:val="left"/>
            </w:pPr>
            <w:r>
              <w:t>68 adenocarcinoma</w:t>
            </w:r>
          </w:p>
          <w:p w14:paraId="3787C250" w14:textId="77777777" w:rsidR="00504E35" w:rsidRDefault="00504E35" w:rsidP="006F7632">
            <w:pPr>
              <w:pStyle w:val="Tabletext0"/>
              <w:spacing w:before="0" w:after="120"/>
              <w:jc w:val="left"/>
            </w:pPr>
            <w:r>
              <w:t>2 squamous cell carcinoma</w:t>
            </w:r>
          </w:p>
          <w:p w14:paraId="6E364E5A" w14:textId="77777777" w:rsidR="00504E35" w:rsidRDefault="00504E35" w:rsidP="006F7632">
            <w:pPr>
              <w:pStyle w:val="Tabletext0"/>
              <w:spacing w:before="0" w:after="120"/>
              <w:jc w:val="left"/>
            </w:pPr>
            <w:r>
              <w:t>1 sarcomatoid carcinoma</w:t>
            </w:r>
          </w:p>
        </w:tc>
        <w:tc>
          <w:tcPr>
            <w:tcW w:w="1961" w:type="dxa"/>
            <w:tcBorders>
              <w:top w:val="single" w:sz="4" w:space="0" w:color="auto"/>
              <w:left w:val="single" w:sz="4" w:space="0" w:color="auto"/>
              <w:bottom w:val="single" w:sz="4" w:space="0" w:color="auto"/>
              <w:right w:val="single" w:sz="4" w:space="0" w:color="auto"/>
            </w:tcBorders>
          </w:tcPr>
          <w:p w14:paraId="3468C3FD" w14:textId="77777777" w:rsidR="00504E35" w:rsidRPr="00466470" w:rsidRDefault="00504E35" w:rsidP="006F7632">
            <w:pPr>
              <w:pStyle w:val="Tabletext0"/>
              <w:spacing w:before="0" w:after="120"/>
              <w:jc w:val="left"/>
            </w:pPr>
            <w:r>
              <w:t xml:space="preserve">NGS using a custom assay of 71 </w:t>
            </w:r>
            <w:r w:rsidRPr="00195069">
              <w:t>ALK</w:t>
            </w:r>
            <w:r>
              <w:t xml:space="preserve"> variants and 12 assay expression controls</w:t>
            </w:r>
          </w:p>
        </w:tc>
        <w:tc>
          <w:tcPr>
            <w:tcW w:w="2399" w:type="dxa"/>
            <w:tcBorders>
              <w:top w:val="single" w:sz="4" w:space="0" w:color="auto"/>
              <w:left w:val="single" w:sz="4" w:space="0" w:color="auto"/>
              <w:bottom w:val="single" w:sz="4" w:space="0" w:color="auto"/>
              <w:right w:val="single" w:sz="4" w:space="0" w:color="auto"/>
            </w:tcBorders>
          </w:tcPr>
          <w:p w14:paraId="32338CF7" w14:textId="77777777" w:rsidR="00504E35" w:rsidRDefault="00504E35" w:rsidP="006F7632">
            <w:pPr>
              <w:pStyle w:val="Tabletext0"/>
              <w:spacing w:before="0" w:after="120"/>
              <w:jc w:val="left"/>
            </w:pPr>
            <w:r>
              <w:t>ALK IHC</w:t>
            </w:r>
          </w:p>
          <w:p w14:paraId="7EB3A137" w14:textId="77777777" w:rsidR="00504E35" w:rsidRDefault="00504E35" w:rsidP="006F7632">
            <w:pPr>
              <w:pStyle w:val="Tabletext0"/>
              <w:spacing w:before="0" w:after="120"/>
              <w:jc w:val="left"/>
            </w:pPr>
            <w:r w:rsidRPr="00195069">
              <w:rPr>
                <w:i/>
              </w:rPr>
              <w:t>ALK</w:t>
            </w:r>
            <w:r>
              <w:t xml:space="preserve"> FISH</w:t>
            </w:r>
          </w:p>
        </w:tc>
        <w:tc>
          <w:tcPr>
            <w:tcW w:w="1661" w:type="dxa"/>
            <w:tcBorders>
              <w:top w:val="single" w:sz="4" w:space="0" w:color="auto"/>
              <w:left w:val="single" w:sz="4" w:space="0" w:color="auto"/>
              <w:bottom w:val="single" w:sz="4" w:space="0" w:color="auto"/>
              <w:right w:val="single" w:sz="4" w:space="0" w:color="auto"/>
            </w:tcBorders>
          </w:tcPr>
          <w:p w14:paraId="4C3CB1BE" w14:textId="77777777" w:rsidR="00504E35" w:rsidRDefault="00504E35" w:rsidP="006F7632">
            <w:pPr>
              <w:pStyle w:val="Tabletext0"/>
              <w:spacing w:before="0" w:after="120"/>
              <w:jc w:val="left"/>
            </w:pPr>
            <w:r>
              <w:t>Concordance</w:t>
            </w:r>
          </w:p>
          <w:p w14:paraId="4F7B9C1E" w14:textId="77777777" w:rsidR="00504E35" w:rsidRDefault="00504E35" w:rsidP="006F7632">
            <w:pPr>
              <w:pStyle w:val="Tabletext0"/>
              <w:spacing w:before="0" w:after="120"/>
              <w:jc w:val="left"/>
            </w:pPr>
            <w:r>
              <w:t>Success rate</w:t>
            </w:r>
          </w:p>
          <w:p w14:paraId="5420F96C" w14:textId="77777777" w:rsidR="00504E35" w:rsidRDefault="00504E35" w:rsidP="006F7632">
            <w:pPr>
              <w:pStyle w:val="Tabletext0"/>
              <w:spacing w:before="0" w:after="120"/>
              <w:jc w:val="left"/>
            </w:pPr>
            <w:r>
              <w:t>Health outcomes (PFS and OS)</w:t>
            </w:r>
          </w:p>
        </w:tc>
      </w:tr>
      <w:tr w:rsidR="00504E35" w14:paraId="48CF3482"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2BB58C7" w14:textId="07434B83" w:rsidR="00504E35" w:rsidRDefault="00B4668F" w:rsidP="00B4668F">
            <w:pPr>
              <w:pStyle w:val="Tabletext0"/>
              <w:spacing w:before="0" w:after="120"/>
              <w:jc w:val="left"/>
            </w:pPr>
            <w:r>
              <w:fldChar w:fldCharType="begin"/>
            </w:r>
            <w:r>
              <w:instrText xml:space="preserve"> ADDIN EN.CITE &lt;EndNote&gt;&lt;Cite&gt;&lt;Author&gt;Canterbury&lt;/Author&gt;&lt;Year&gt;2021&lt;/Year&gt;&lt;RecNum&gt;157&lt;/RecNum&gt;&lt;IDText&gt;100223-100223&lt;/IDText&gt;&lt;DisplayText&gt;(Canterbury et al. 2021)&lt;/DisplayText&gt;&lt;record&gt;&lt;rec-number&gt;157&lt;/rec-number&gt;&lt;foreign-keys&gt;&lt;key app="EN" db-id="0tprsse9cpp5r3ea5dz5p0xw2pfwvwxpa5a5" timestamp="1655264277"&gt;157&lt;/key&gt;&lt;/foreign-keys&gt;&lt;ref-type name="Journal Article"&gt;17&lt;/ref-type&gt;&lt;contributors&gt;&lt;authors&gt;&lt;author&gt;Canterbury, Carleigh R.&lt;/author&gt;&lt;author&gt;Fernandes, Helen&lt;/author&gt;&lt;author&gt;Crapanzano, John P.&lt;/author&gt;&lt;author&gt;Murty, Vundavalli V.&lt;/author&gt;&lt;author&gt;Mansukhani, Mahesh M.&lt;/author&gt;&lt;author&gt;Shu, Catherine A.&lt;/author&gt;&lt;author&gt;Szabolcs, Matthias&lt;/author&gt;&lt;author&gt;Saqi, Anjali&lt;/author&gt;&lt;/authors&gt;&lt;/contributors&gt;&lt;titles&gt;&lt;title&gt;ALK Gene Rearrangements in Lung Adenocarcinomas: Concordance of Immunohistochemistry, Fluorescence In Situ Hybridization, RNA In Situ Hybridization, and RNA Next-Generation Sequencing Testing&lt;/title&gt;&lt;secondary-title&gt;JTO clinical and research reports&lt;/secondary-title&gt;&lt;/titles&gt;&lt;periodical&gt;&lt;full-title&gt;JTO Clin Res Rep&lt;/full-title&gt;&lt;abbr-1&gt;JTO clinical and research reports&lt;/abbr-1&gt;&lt;/periodical&gt;&lt;pages&gt;100223-100223&lt;/pages&gt;&lt;volume&gt;2&lt;/volume&gt;&lt;number&gt;10&lt;/number&gt;&lt;dates&gt;&lt;year&gt;2021&lt;/year&gt;&lt;/dates&gt;&lt;urls&gt;&lt;related-urls&gt;&lt;url&gt;https://www.ncbi.nlm.nih.gov/pmc/articles/PMC8552107/pdf/main.pdf&lt;/url&gt;&lt;/related-urls&gt;&lt;/urls&gt;&lt;electronic-resource-num&gt;10.1016/j.jtocrr.2021.100223&lt;/electronic-resource-num&gt;&lt;research-notes&gt; P - Include - concordance ALK&lt;/research-notes&gt;&lt;/record&gt;&lt;/Cite&gt;&lt;/EndNote&gt;</w:instrText>
            </w:r>
            <w:r>
              <w:fldChar w:fldCharType="separate"/>
            </w:r>
            <w:r>
              <w:rPr>
                <w:noProof/>
              </w:rPr>
              <w:t>(Canterbury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1849ACAD" w14:textId="77777777" w:rsidR="00504E35" w:rsidRDefault="00504E35" w:rsidP="006F7632">
            <w:pPr>
              <w:pStyle w:val="Tabletext0"/>
              <w:spacing w:before="0" w:after="120"/>
              <w:jc w:val="left"/>
            </w:pPr>
            <w:r>
              <w:t>Retrospective cohort study</w:t>
            </w:r>
          </w:p>
          <w:p w14:paraId="5D722F5B" w14:textId="77777777" w:rsidR="00504E35" w:rsidRDefault="00504E35" w:rsidP="006F7632">
            <w:pPr>
              <w:pStyle w:val="Tabletext0"/>
              <w:spacing w:before="0" w:after="120"/>
              <w:jc w:val="left"/>
            </w:pPr>
            <w:r>
              <w:t xml:space="preserve">Level III-2 </w:t>
            </w:r>
          </w:p>
          <w:p w14:paraId="008F8CFB" w14:textId="77777777" w:rsidR="00504E35" w:rsidRDefault="00504E35" w:rsidP="006F7632">
            <w:pPr>
              <w:pStyle w:val="Tabletext0"/>
              <w:spacing w:before="0" w:after="120"/>
              <w:jc w:val="left"/>
            </w:pPr>
            <w:r>
              <w:t>Low to moderate risk of bias (QUADAS 2)</w:t>
            </w:r>
          </w:p>
          <w:p w14:paraId="1E202146" w14:textId="77777777" w:rsidR="00504E35" w:rsidRDefault="00504E35" w:rsidP="006F7632">
            <w:pPr>
              <w:pStyle w:val="Tabletext0"/>
              <w:spacing w:before="0" w:after="120"/>
              <w:jc w:val="left"/>
            </w:pPr>
          </w:p>
        </w:tc>
        <w:tc>
          <w:tcPr>
            <w:tcW w:w="1770" w:type="dxa"/>
            <w:tcBorders>
              <w:top w:val="single" w:sz="4" w:space="0" w:color="auto"/>
              <w:left w:val="single" w:sz="4" w:space="0" w:color="auto"/>
              <w:bottom w:val="single" w:sz="4" w:space="0" w:color="auto"/>
              <w:right w:val="single" w:sz="4" w:space="0" w:color="auto"/>
            </w:tcBorders>
          </w:tcPr>
          <w:p w14:paraId="51A934B9" w14:textId="77777777" w:rsidR="00504E35" w:rsidRDefault="00504E35" w:rsidP="006F7632">
            <w:pPr>
              <w:pStyle w:val="Tabletext0"/>
              <w:spacing w:before="0" w:after="120"/>
            </w:pPr>
            <w:r>
              <w:t>USA</w:t>
            </w:r>
          </w:p>
          <w:p w14:paraId="63588EAF" w14:textId="77777777" w:rsidR="00504E35" w:rsidRPr="002A5E96" w:rsidRDefault="00504E35" w:rsidP="006F7632">
            <w:pPr>
              <w:pStyle w:val="Tabletext0"/>
              <w:spacing w:before="0" w:after="120"/>
            </w:pPr>
            <w:r>
              <w:t xml:space="preserve">Review of cases of lung carcinomas that had previously undergone testing for </w:t>
            </w:r>
            <w:r w:rsidRPr="0046294C">
              <w:rPr>
                <w:i/>
              </w:rPr>
              <w:t xml:space="preserve">ALK </w:t>
            </w:r>
          </w:p>
          <w:p w14:paraId="5766C044"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1BEAD1BD" w14:textId="77777777" w:rsidR="00504E35" w:rsidRDefault="00504E35" w:rsidP="006F7632">
            <w:pPr>
              <w:pStyle w:val="Tabletext0"/>
              <w:spacing w:before="0" w:after="120"/>
              <w:jc w:val="left"/>
            </w:pPr>
            <w:r>
              <w:t xml:space="preserve">N=90 patients with lung adenocarcinomas who underwent testing for an </w:t>
            </w:r>
            <w:r>
              <w:rPr>
                <w:i/>
              </w:rPr>
              <w:t xml:space="preserve">ALK </w:t>
            </w:r>
            <w:r>
              <w:t>gene rearrangement with ≥ 1 testing modality</w:t>
            </w:r>
          </w:p>
          <w:p w14:paraId="1A7CFBC1" w14:textId="77777777" w:rsidR="00504E35" w:rsidRDefault="00504E35" w:rsidP="006F7632">
            <w:pPr>
              <w:pStyle w:val="Tabletext0"/>
              <w:spacing w:before="0" w:after="120"/>
            </w:pPr>
            <w:r>
              <w:t>Specimens from resections,  biopsies and cytology (pleural effusion and fine-needle aspiration)</w:t>
            </w:r>
          </w:p>
        </w:tc>
        <w:tc>
          <w:tcPr>
            <w:tcW w:w="1961" w:type="dxa"/>
            <w:tcBorders>
              <w:top w:val="single" w:sz="4" w:space="0" w:color="auto"/>
              <w:left w:val="single" w:sz="4" w:space="0" w:color="auto"/>
              <w:bottom w:val="single" w:sz="4" w:space="0" w:color="auto"/>
              <w:right w:val="single" w:sz="4" w:space="0" w:color="auto"/>
            </w:tcBorders>
          </w:tcPr>
          <w:p w14:paraId="47D2E884" w14:textId="77777777" w:rsidR="00504E35" w:rsidRDefault="00504E35" w:rsidP="006F7632">
            <w:pPr>
              <w:pStyle w:val="Tabletext0"/>
              <w:spacing w:before="0" w:after="120"/>
            </w:pPr>
            <w:r>
              <w:t>RNA NGS, a custom NGS panel using AMP technology (Archer Dx) which targets 17 genes</w:t>
            </w:r>
          </w:p>
        </w:tc>
        <w:tc>
          <w:tcPr>
            <w:tcW w:w="2399" w:type="dxa"/>
            <w:tcBorders>
              <w:top w:val="single" w:sz="4" w:space="0" w:color="auto"/>
              <w:left w:val="single" w:sz="4" w:space="0" w:color="auto"/>
              <w:bottom w:val="single" w:sz="4" w:space="0" w:color="auto"/>
              <w:right w:val="single" w:sz="4" w:space="0" w:color="auto"/>
            </w:tcBorders>
          </w:tcPr>
          <w:p w14:paraId="012EDBC9" w14:textId="77777777" w:rsidR="00504E35" w:rsidRDefault="00504E35" w:rsidP="006F7632">
            <w:pPr>
              <w:pStyle w:val="Tabletext0"/>
              <w:spacing w:before="0" w:after="120"/>
            </w:pPr>
            <w:r>
              <w:rPr>
                <w:i/>
              </w:rPr>
              <w:t xml:space="preserve">ALK </w:t>
            </w:r>
            <w:r>
              <w:t xml:space="preserve">FISH using Vysis </w:t>
            </w:r>
            <w:r w:rsidRPr="004719E1">
              <w:rPr>
                <w:i/>
              </w:rPr>
              <w:t>ALK</w:t>
            </w:r>
            <w:r>
              <w:t xml:space="preserve"> break-apart probe kit (Abbott Molecular)</w:t>
            </w:r>
          </w:p>
          <w:p w14:paraId="7DB25A99" w14:textId="77777777" w:rsidR="00504E35" w:rsidRPr="004719E1" w:rsidRDefault="00504E35" w:rsidP="006F7632">
            <w:pPr>
              <w:pStyle w:val="Tabletext0"/>
              <w:spacing w:before="0" w:after="120"/>
              <w:rPr>
                <w:u w:val="single"/>
              </w:rPr>
            </w:pPr>
            <w:r>
              <w:rPr>
                <w:i/>
              </w:rPr>
              <w:t xml:space="preserve">ALK </w:t>
            </w:r>
            <w:r w:rsidRPr="004719E1">
              <w:rPr>
                <w:u w:val="single"/>
              </w:rPr>
              <w:t xml:space="preserve">IHC using </w:t>
            </w:r>
            <w:r w:rsidRPr="004719E1">
              <w:rPr>
                <w:i/>
                <w:u w:val="single"/>
              </w:rPr>
              <w:t>ALK</w:t>
            </w:r>
            <w:r w:rsidRPr="004719E1">
              <w:rPr>
                <w:u w:val="single"/>
              </w:rPr>
              <w:t xml:space="preserve"> (D5F3) rabbit monoclonal</w:t>
            </w:r>
            <w:r>
              <w:rPr>
                <w:u w:val="single"/>
              </w:rPr>
              <w:t xml:space="preserve"> </w:t>
            </w:r>
            <w:r w:rsidRPr="004719E1">
              <w:rPr>
                <w:u w:val="single"/>
              </w:rPr>
              <w:t>primary antibody (Ventana</w:t>
            </w:r>
            <w:r>
              <w:rPr>
                <w:u w:val="single"/>
              </w:rPr>
              <w:t>)</w:t>
            </w:r>
          </w:p>
          <w:p w14:paraId="3E4AA2B5" w14:textId="77777777" w:rsidR="00504E35" w:rsidRDefault="00504E35" w:rsidP="006F7632">
            <w:pPr>
              <w:pStyle w:val="Tabletext0"/>
              <w:spacing w:before="0" w:after="120"/>
            </w:pPr>
            <w:r>
              <w:lastRenderedPageBreak/>
              <w:t>RNA ISH using RNAScope 2.5 LS Probe-Hs-ALK (Advanced Cell Diagnostics</w:t>
            </w:r>
          </w:p>
        </w:tc>
        <w:tc>
          <w:tcPr>
            <w:tcW w:w="1661" w:type="dxa"/>
            <w:tcBorders>
              <w:top w:val="single" w:sz="4" w:space="0" w:color="auto"/>
              <w:left w:val="single" w:sz="4" w:space="0" w:color="auto"/>
              <w:bottom w:val="single" w:sz="4" w:space="0" w:color="auto"/>
              <w:right w:val="single" w:sz="4" w:space="0" w:color="auto"/>
            </w:tcBorders>
          </w:tcPr>
          <w:p w14:paraId="5050DA30" w14:textId="77777777" w:rsidR="00504E35" w:rsidRDefault="00504E35" w:rsidP="006F7632">
            <w:pPr>
              <w:pStyle w:val="Tabletext0"/>
              <w:spacing w:before="0" w:after="120"/>
              <w:jc w:val="left"/>
            </w:pPr>
            <w:r>
              <w:lastRenderedPageBreak/>
              <w:t>Concordance</w:t>
            </w:r>
          </w:p>
        </w:tc>
      </w:tr>
      <w:tr w:rsidR="00504E35" w:rsidRPr="00183E4D" w14:paraId="3FECD39C"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501E4D98" w14:textId="0AB804DD" w:rsidR="00504E35" w:rsidRDefault="00B4668F" w:rsidP="00B4668F">
            <w:pPr>
              <w:pStyle w:val="Tabletext0"/>
              <w:spacing w:before="0" w:after="120"/>
              <w:jc w:val="left"/>
            </w:pPr>
            <w:r>
              <w:fldChar w:fldCharType="begin">
                <w:fldData xml:space="preserve">PEVuZE5vdGU+PENpdGU+PEF1dGhvcj5DaGFuZzwvQXV0aG9yPjxZZWFyPjIwMjA8L1llYXI+PFJl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</w:fldData>
              </w:fldChar>
            </w:r>
            <w:r>
              <w:instrText xml:space="preserve"> ADDIN EN.CITE </w:instrText>
            </w:r>
            <w:r>
              <w:fldChar w:fldCharType="begin">
                <w:fldData xml:space="preserve">PEVuZE5vdGU+PENpdGU+PEF1dGhvcj5DaGFuZzwvQXV0aG9yPjxZZWFyPjIwMjA8L1llYXI+PFJl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</w:fldData>
              </w:fldChar>
            </w:r>
            <w:r>
              <w:instrText xml:space="preserve"> ADDIN EN.CITE.DATA </w:instrText>
            </w:r>
            <w:r>
              <w:fldChar w:fldCharType="end"/>
            </w:r>
            <w:r>
              <w:fldChar w:fldCharType="separate"/>
            </w:r>
            <w:r>
              <w:rPr>
                <w:noProof/>
              </w:rPr>
              <w:t>(Chang, Kim &amp; Shin 2020)</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3593AF6A" w14:textId="77777777" w:rsidR="00504E35" w:rsidRDefault="00504E35" w:rsidP="006F7632">
            <w:pPr>
              <w:pStyle w:val="Tabletext0"/>
              <w:spacing w:before="0" w:after="120"/>
              <w:jc w:val="left"/>
            </w:pPr>
            <w:r>
              <w:t>Diagnostic case-control study</w:t>
            </w:r>
          </w:p>
          <w:p w14:paraId="7DBD3E42" w14:textId="77777777" w:rsidR="00504E35" w:rsidRDefault="00504E35" w:rsidP="006F7632">
            <w:pPr>
              <w:pStyle w:val="Tabletext0"/>
              <w:spacing w:before="0" w:after="120"/>
              <w:jc w:val="left"/>
            </w:pPr>
            <w:r>
              <w:t>Level III-3</w:t>
            </w:r>
          </w:p>
          <w:p w14:paraId="600A787D" w14:textId="77777777" w:rsidR="00504E35" w:rsidRDefault="00504E35" w:rsidP="006F7632">
            <w:pPr>
              <w:pStyle w:val="Tabletext0"/>
              <w:spacing w:before="0" w:after="120"/>
              <w:jc w:val="left"/>
            </w:pPr>
            <w:r>
              <w:t>High risk of bias (QUADAS 2)</w:t>
            </w:r>
          </w:p>
        </w:tc>
        <w:tc>
          <w:tcPr>
            <w:tcW w:w="1770" w:type="dxa"/>
            <w:tcBorders>
              <w:top w:val="single" w:sz="4" w:space="0" w:color="auto"/>
              <w:left w:val="single" w:sz="4" w:space="0" w:color="auto"/>
              <w:bottom w:val="single" w:sz="4" w:space="0" w:color="auto"/>
              <w:right w:val="single" w:sz="4" w:space="0" w:color="auto"/>
            </w:tcBorders>
          </w:tcPr>
          <w:p w14:paraId="0CBD3FD6" w14:textId="77777777" w:rsidR="00504E35" w:rsidRDefault="00504E35" w:rsidP="006F7632">
            <w:pPr>
              <w:pStyle w:val="Tabletext0"/>
              <w:spacing w:before="0" w:after="120"/>
              <w:jc w:val="left"/>
            </w:pPr>
            <w:r>
              <w:t>Korea</w:t>
            </w:r>
          </w:p>
          <w:p w14:paraId="5346A1D9" w14:textId="77777777" w:rsidR="00504E35" w:rsidRDefault="00504E35" w:rsidP="006F7632">
            <w:pPr>
              <w:pStyle w:val="Tabletext0"/>
              <w:spacing w:before="0" w:after="120"/>
              <w:jc w:val="left"/>
            </w:pPr>
            <w:r>
              <w:t>Case series of patients at a single centre</w:t>
            </w:r>
          </w:p>
          <w:p w14:paraId="57BBE902" w14:textId="77777777" w:rsidR="00504E35" w:rsidRDefault="00504E35" w:rsidP="006F7632">
            <w:pPr>
              <w:pStyle w:val="Tabletext0"/>
              <w:spacing w:before="0" w:after="120"/>
              <w:jc w:val="left"/>
            </w:pPr>
            <w:r>
              <w:t xml:space="preserve">Cross sectional </w:t>
            </w:r>
          </w:p>
        </w:tc>
        <w:tc>
          <w:tcPr>
            <w:tcW w:w="2215" w:type="dxa"/>
            <w:tcBorders>
              <w:top w:val="single" w:sz="4" w:space="0" w:color="auto"/>
              <w:left w:val="single" w:sz="4" w:space="0" w:color="auto"/>
              <w:bottom w:val="single" w:sz="4" w:space="0" w:color="auto"/>
              <w:right w:val="single" w:sz="4" w:space="0" w:color="auto"/>
            </w:tcBorders>
          </w:tcPr>
          <w:p w14:paraId="5EE6D022" w14:textId="77777777" w:rsidR="00504E35" w:rsidRDefault="00504E35" w:rsidP="006F7632">
            <w:pPr>
              <w:pStyle w:val="Tabletext0"/>
              <w:spacing w:before="0" w:after="120"/>
              <w:jc w:val="left"/>
            </w:pPr>
            <w:r>
              <w:t>N=10</w:t>
            </w:r>
          </w:p>
          <w:p w14:paraId="57CBA375" w14:textId="77777777" w:rsidR="00504E35" w:rsidRDefault="00504E35" w:rsidP="006F7632">
            <w:pPr>
              <w:pStyle w:val="Tabletext0"/>
              <w:spacing w:before="0" w:after="120"/>
              <w:jc w:val="left"/>
            </w:pPr>
            <w:r>
              <w:t xml:space="preserve">Specimens of patients with NSCLC (all adenocarcinoma) in a tissue bank; with and without </w:t>
            </w:r>
            <w:r w:rsidRPr="00B718E1">
              <w:rPr>
                <w:i/>
              </w:rPr>
              <w:t>ALK</w:t>
            </w:r>
            <w:r>
              <w:t xml:space="preserve"> on FISH</w:t>
            </w:r>
          </w:p>
          <w:p w14:paraId="3A4AAA0D" w14:textId="77777777" w:rsidR="00504E35" w:rsidRDefault="00504E35" w:rsidP="006F7632">
            <w:pPr>
              <w:pStyle w:val="Tabletext0"/>
              <w:spacing w:before="0" w:after="120"/>
              <w:jc w:val="left"/>
            </w:pPr>
            <w:r>
              <w:t>Sourced from biopsy and surgically resected tumour</w:t>
            </w:r>
          </w:p>
        </w:tc>
        <w:tc>
          <w:tcPr>
            <w:tcW w:w="1961" w:type="dxa"/>
            <w:tcBorders>
              <w:top w:val="single" w:sz="4" w:space="0" w:color="auto"/>
              <w:left w:val="single" w:sz="4" w:space="0" w:color="auto"/>
              <w:bottom w:val="single" w:sz="4" w:space="0" w:color="auto"/>
              <w:right w:val="single" w:sz="4" w:space="0" w:color="auto"/>
            </w:tcBorders>
          </w:tcPr>
          <w:p w14:paraId="5D6A99CD" w14:textId="77777777" w:rsidR="00504E35" w:rsidRDefault="00504E35" w:rsidP="006F7632">
            <w:pPr>
              <w:pStyle w:val="Tabletext0"/>
              <w:spacing w:before="0" w:after="120"/>
              <w:jc w:val="left"/>
            </w:pPr>
            <w:r>
              <w:t>NGS sequencing of 80 genes</w:t>
            </w:r>
          </w:p>
          <w:p w14:paraId="5D9B2895" w14:textId="77777777" w:rsidR="00504E35" w:rsidRPr="00466470" w:rsidRDefault="00504E35" w:rsidP="006F7632">
            <w:pPr>
              <w:pStyle w:val="Tabletext0"/>
              <w:spacing w:before="0" w:after="120"/>
              <w:jc w:val="left"/>
            </w:pPr>
            <w:r>
              <w:t>Also RNA panel</w:t>
            </w:r>
          </w:p>
        </w:tc>
        <w:tc>
          <w:tcPr>
            <w:tcW w:w="2399" w:type="dxa"/>
            <w:tcBorders>
              <w:top w:val="single" w:sz="4" w:space="0" w:color="auto"/>
              <w:left w:val="single" w:sz="4" w:space="0" w:color="auto"/>
              <w:bottom w:val="single" w:sz="4" w:space="0" w:color="auto"/>
              <w:right w:val="single" w:sz="4" w:space="0" w:color="auto"/>
            </w:tcBorders>
          </w:tcPr>
          <w:p w14:paraId="2470D78A" w14:textId="77777777" w:rsidR="00504E35" w:rsidRDefault="00504E35" w:rsidP="006F7632">
            <w:pPr>
              <w:pStyle w:val="Tabletext0"/>
              <w:spacing w:before="0" w:after="120"/>
              <w:jc w:val="left"/>
            </w:pPr>
            <w:r w:rsidRPr="00B718E1">
              <w:rPr>
                <w:i/>
              </w:rPr>
              <w:t>ALK</w:t>
            </w:r>
            <w:r>
              <w:t xml:space="preserve"> FISH</w:t>
            </w:r>
          </w:p>
        </w:tc>
        <w:tc>
          <w:tcPr>
            <w:tcW w:w="1661" w:type="dxa"/>
            <w:tcBorders>
              <w:top w:val="single" w:sz="4" w:space="0" w:color="auto"/>
              <w:left w:val="single" w:sz="4" w:space="0" w:color="auto"/>
              <w:bottom w:val="single" w:sz="4" w:space="0" w:color="auto"/>
              <w:right w:val="single" w:sz="4" w:space="0" w:color="auto"/>
            </w:tcBorders>
          </w:tcPr>
          <w:p w14:paraId="180982D5" w14:textId="77777777" w:rsidR="00504E35" w:rsidRDefault="00504E35" w:rsidP="006F7632">
            <w:pPr>
              <w:pStyle w:val="Tabletext0"/>
              <w:spacing w:before="0" w:after="120"/>
              <w:jc w:val="left"/>
            </w:pPr>
            <w:r>
              <w:t>Concordance</w:t>
            </w:r>
          </w:p>
        </w:tc>
      </w:tr>
      <w:tr w:rsidR="00504E35" w:rsidRPr="00183E4D" w14:paraId="3187DFBC"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B7EE448" w14:textId="055EEFA4" w:rsidR="00504E35" w:rsidRDefault="00B4668F" w:rsidP="00B4668F">
            <w:pPr>
              <w:pStyle w:val="Tabletext0"/>
              <w:spacing w:before="0" w:after="120"/>
              <w:jc w:val="left"/>
            </w:pPr>
            <w:r>
              <w:fldChar w:fldCharType="begin">
                <w:fldData xml:space="preserve">PEVuZE5vdGU+PENpdGU+PEF1dGhvcj5DaG9pPC9BdXRob3I+PFllYXI+MjAyMjwvWWVhcj48UmVj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</w:fldData>
              </w:fldChar>
            </w:r>
            <w:r>
              <w:instrText xml:space="preserve"> ADDIN EN.CITE </w:instrText>
            </w:r>
            <w:r>
              <w:fldChar w:fldCharType="begin">
                <w:fldData xml:space="preserve">PEVuZE5vdGU+PENpdGU+PEF1dGhvcj5DaG9pPC9BdXRob3I+PFllYXI+MjAyMjwvWWVhcj48UmVj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</w:fldData>
              </w:fldChar>
            </w:r>
            <w:r>
              <w:instrText xml:space="preserve"> ADDIN EN.CITE.DATA </w:instrText>
            </w:r>
            <w:r>
              <w:fldChar w:fldCharType="end"/>
            </w:r>
            <w:r>
              <w:fldChar w:fldCharType="separate"/>
            </w:r>
            <w:r>
              <w:rPr>
                <w:noProof/>
              </w:rPr>
              <w:t>(Choi et al. 2022)</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E088B7A" w14:textId="77777777" w:rsidR="00504E35" w:rsidRDefault="00504E35" w:rsidP="006F7632">
            <w:pPr>
              <w:pStyle w:val="Tabletext0"/>
              <w:spacing w:before="0" w:after="120"/>
              <w:jc w:val="left"/>
            </w:pPr>
            <w:r>
              <w:t>Retrospective cohort study</w:t>
            </w:r>
          </w:p>
          <w:p w14:paraId="38DBA1C2" w14:textId="77777777" w:rsidR="00504E35" w:rsidRDefault="00504E35" w:rsidP="006F7632">
            <w:pPr>
              <w:pStyle w:val="Tabletext0"/>
              <w:spacing w:before="0" w:after="120"/>
              <w:jc w:val="left"/>
            </w:pPr>
            <w:r>
              <w:t>Level III-2</w:t>
            </w:r>
          </w:p>
          <w:p w14:paraId="5CD97288" w14:textId="77777777" w:rsidR="00504E35" w:rsidRDefault="00504E35" w:rsidP="006F7632">
            <w:pPr>
              <w:pStyle w:val="Tabletext0"/>
              <w:spacing w:before="0" w:after="120"/>
              <w:jc w:val="left"/>
            </w:pPr>
            <w:r>
              <w:t>High risk of bias (QUADAS 2)</w:t>
            </w:r>
          </w:p>
        </w:tc>
        <w:tc>
          <w:tcPr>
            <w:tcW w:w="1770" w:type="dxa"/>
            <w:tcBorders>
              <w:top w:val="single" w:sz="4" w:space="0" w:color="auto"/>
              <w:left w:val="single" w:sz="4" w:space="0" w:color="auto"/>
              <w:bottom w:val="single" w:sz="4" w:space="0" w:color="auto"/>
              <w:right w:val="single" w:sz="4" w:space="0" w:color="auto"/>
            </w:tcBorders>
          </w:tcPr>
          <w:p w14:paraId="1D0BAA31" w14:textId="77777777" w:rsidR="00504E35" w:rsidRDefault="00504E35" w:rsidP="006F7632">
            <w:pPr>
              <w:pStyle w:val="Tabletext0"/>
              <w:spacing w:before="0" w:after="120"/>
              <w:jc w:val="left"/>
            </w:pPr>
            <w:r>
              <w:t>Korea</w:t>
            </w:r>
          </w:p>
          <w:p w14:paraId="638CEB05" w14:textId="77777777" w:rsidR="00504E35" w:rsidRDefault="00504E35" w:rsidP="006F7632">
            <w:pPr>
              <w:pStyle w:val="Tabletext0"/>
              <w:spacing w:before="0" w:after="120"/>
              <w:jc w:val="left"/>
            </w:pPr>
            <w:r>
              <w:t>Patients enrolled into a precision medicine study; testing done at a single site but patients allocated to trials at different sites depending on results</w:t>
            </w:r>
          </w:p>
          <w:p w14:paraId="30211B20" w14:textId="77777777" w:rsidR="00504E35" w:rsidRDefault="00504E35" w:rsidP="006F7632">
            <w:pPr>
              <w:pStyle w:val="Tabletext0"/>
              <w:spacing w:before="0" w:after="120"/>
              <w:jc w:val="left"/>
            </w:pPr>
            <w:r>
              <w:t>Cross sectional</w:t>
            </w:r>
          </w:p>
        </w:tc>
        <w:tc>
          <w:tcPr>
            <w:tcW w:w="2215" w:type="dxa"/>
            <w:tcBorders>
              <w:top w:val="single" w:sz="4" w:space="0" w:color="auto"/>
              <w:left w:val="single" w:sz="4" w:space="0" w:color="auto"/>
              <w:bottom w:val="single" w:sz="4" w:space="0" w:color="auto"/>
              <w:right w:val="single" w:sz="4" w:space="0" w:color="auto"/>
            </w:tcBorders>
          </w:tcPr>
          <w:p w14:paraId="011A5B38" w14:textId="77777777" w:rsidR="00504E35" w:rsidRDefault="00504E35" w:rsidP="006F7632">
            <w:pPr>
              <w:pStyle w:val="Tabletext0"/>
              <w:spacing w:before="0" w:after="120"/>
              <w:jc w:val="left"/>
            </w:pPr>
            <w:r>
              <w:t xml:space="preserve">N=109 </w:t>
            </w:r>
            <w:r w:rsidRPr="00B718E1">
              <w:rPr>
                <w:i/>
              </w:rPr>
              <w:t>EFGR</w:t>
            </w:r>
          </w:p>
          <w:p w14:paraId="6B2A167C" w14:textId="77777777" w:rsidR="00504E35" w:rsidRDefault="00504E35" w:rsidP="006F7632">
            <w:pPr>
              <w:pStyle w:val="Tabletext0"/>
              <w:spacing w:before="0" w:after="120"/>
              <w:jc w:val="left"/>
            </w:pPr>
            <w:r>
              <w:t xml:space="preserve">N=95 </w:t>
            </w:r>
            <w:r w:rsidRPr="00B718E1">
              <w:rPr>
                <w:i/>
              </w:rPr>
              <w:t>ALK</w:t>
            </w:r>
          </w:p>
          <w:p w14:paraId="48AD7428" w14:textId="77777777" w:rsidR="00504E35" w:rsidRDefault="00504E35" w:rsidP="006F7632">
            <w:pPr>
              <w:pStyle w:val="Tabletext0"/>
              <w:spacing w:before="0" w:after="120"/>
              <w:jc w:val="left"/>
            </w:pPr>
            <w:r>
              <w:t>N=42</w:t>
            </w:r>
            <w:r w:rsidRPr="00B718E1">
              <w:rPr>
                <w:i/>
              </w:rPr>
              <w:t xml:space="preserve"> ROS1</w:t>
            </w:r>
          </w:p>
          <w:p w14:paraId="414DF122" w14:textId="77777777" w:rsidR="00504E35" w:rsidRDefault="00504E35" w:rsidP="006F7632">
            <w:pPr>
              <w:pStyle w:val="Tabletext0"/>
              <w:spacing w:before="0" w:after="120"/>
              <w:jc w:val="left"/>
            </w:pPr>
            <w:r>
              <w:t>Specimens of patients with refractory NSCLC who had been assessed for</w:t>
            </w:r>
            <w:r w:rsidRPr="00B718E1">
              <w:rPr>
                <w:i/>
              </w:rPr>
              <w:t xml:space="preserve"> ALK</w:t>
            </w:r>
            <w:r>
              <w:t xml:space="preserve">, </w:t>
            </w:r>
            <w:r w:rsidRPr="00B718E1">
              <w:rPr>
                <w:i/>
              </w:rPr>
              <w:t>EGFR</w:t>
            </w:r>
            <w:r>
              <w:t xml:space="preserve"> and </w:t>
            </w:r>
            <w:r w:rsidRPr="00B718E1">
              <w:rPr>
                <w:i/>
              </w:rPr>
              <w:t>ROS1</w:t>
            </w:r>
          </w:p>
          <w:p w14:paraId="66286D95" w14:textId="77777777" w:rsidR="00504E35" w:rsidRDefault="00504E35" w:rsidP="006F7632">
            <w:pPr>
              <w:pStyle w:val="Tabletext0"/>
              <w:spacing w:before="0" w:after="120"/>
              <w:jc w:val="left"/>
            </w:pPr>
            <w:r>
              <w:t>Note study included other cancer types</w:t>
            </w:r>
          </w:p>
        </w:tc>
        <w:tc>
          <w:tcPr>
            <w:tcW w:w="1961" w:type="dxa"/>
            <w:tcBorders>
              <w:top w:val="single" w:sz="4" w:space="0" w:color="auto"/>
              <w:left w:val="single" w:sz="4" w:space="0" w:color="auto"/>
              <w:bottom w:val="single" w:sz="4" w:space="0" w:color="auto"/>
              <w:right w:val="single" w:sz="4" w:space="0" w:color="auto"/>
            </w:tcBorders>
          </w:tcPr>
          <w:p w14:paraId="3800CADD" w14:textId="77777777" w:rsidR="00504E35" w:rsidRPr="00466470" w:rsidRDefault="00504E35" w:rsidP="006F7632">
            <w:pPr>
              <w:pStyle w:val="Tabletext0"/>
              <w:spacing w:before="0" w:after="120"/>
              <w:jc w:val="left"/>
            </w:pPr>
            <w:r>
              <w:t>NGS using one of two cancer panels: one with exons of 183 genes and one with whole exomes of 409 cancer related genes. Note study included other cancer types so panels not NSCLC specific</w:t>
            </w:r>
          </w:p>
        </w:tc>
        <w:tc>
          <w:tcPr>
            <w:tcW w:w="2399" w:type="dxa"/>
            <w:tcBorders>
              <w:top w:val="single" w:sz="4" w:space="0" w:color="auto"/>
              <w:left w:val="single" w:sz="4" w:space="0" w:color="auto"/>
              <w:bottom w:val="single" w:sz="4" w:space="0" w:color="auto"/>
              <w:right w:val="single" w:sz="4" w:space="0" w:color="auto"/>
            </w:tcBorders>
          </w:tcPr>
          <w:p w14:paraId="1173630B" w14:textId="77777777" w:rsidR="00504E35" w:rsidRDefault="00504E35" w:rsidP="006F7632">
            <w:pPr>
              <w:pStyle w:val="Tabletext0"/>
              <w:spacing w:before="0" w:after="120"/>
              <w:jc w:val="left"/>
            </w:pPr>
            <w:r>
              <w:t>EGFR pyrosequencing or PCR</w:t>
            </w:r>
          </w:p>
          <w:p w14:paraId="12AB5FE9" w14:textId="77777777" w:rsidR="00504E35" w:rsidRDefault="00504E35" w:rsidP="006F7632">
            <w:pPr>
              <w:pStyle w:val="Tabletext0"/>
              <w:spacing w:before="0" w:after="120"/>
              <w:jc w:val="left"/>
            </w:pPr>
            <w:r w:rsidRPr="00B718E1">
              <w:rPr>
                <w:i/>
              </w:rPr>
              <w:t>ALK</w:t>
            </w:r>
            <w:r>
              <w:t xml:space="preserve"> IHC or FISH</w:t>
            </w:r>
          </w:p>
          <w:p w14:paraId="538B28FD" w14:textId="77777777" w:rsidR="00504E35" w:rsidRDefault="00504E35" w:rsidP="006F7632">
            <w:pPr>
              <w:pStyle w:val="Tabletext0"/>
              <w:spacing w:before="0" w:after="120"/>
              <w:jc w:val="left"/>
            </w:pPr>
            <w:r>
              <w:t>ROS1 PCR</w:t>
            </w:r>
          </w:p>
        </w:tc>
        <w:tc>
          <w:tcPr>
            <w:tcW w:w="1661" w:type="dxa"/>
            <w:tcBorders>
              <w:top w:val="single" w:sz="4" w:space="0" w:color="auto"/>
              <w:left w:val="single" w:sz="4" w:space="0" w:color="auto"/>
              <w:bottom w:val="single" w:sz="4" w:space="0" w:color="auto"/>
              <w:right w:val="single" w:sz="4" w:space="0" w:color="auto"/>
            </w:tcBorders>
          </w:tcPr>
          <w:p w14:paraId="1CB0465B" w14:textId="77777777" w:rsidR="00504E35" w:rsidRDefault="00504E35" w:rsidP="006F7632">
            <w:pPr>
              <w:pStyle w:val="Tabletext0"/>
              <w:spacing w:before="0" w:after="120"/>
              <w:jc w:val="left"/>
            </w:pPr>
            <w:r>
              <w:t>Concordance</w:t>
            </w:r>
          </w:p>
        </w:tc>
      </w:tr>
      <w:tr w:rsidR="00504E35" w:rsidRPr="00183E4D" w14:paraId="31D407B1"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449EFE7F" w14:textId="22E761CF" w:rsidR="00504E35" w:rsidRDefault="00B4668F" w:rsidP="00B4668F">
            <w:pPr>
              <w:pStyle w:val="Tabletext0"/>
              <w:spacing w:before="0" w:after="120"/>
              <w:jc w:val="left"/>
            </w:pPr>
            <w:r>
              <w:fldChar w:fldCharType="begin">
                <w:fldData xml:space="preserve">PEVuZE5vdGU+PENpdGU+PEF1dGhvcj5EJmFwb3M7SGFlbmU8L0F1dGhvcj48WWVhcj4yMDE1PC9Z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</w:fldData>
              </w:fldChar>
            </w:r>
            <w:r>
              <w:instrText xml:space="preserve"> ADDIN EN.CITE </w:instrText>
            </w:r>
            <w:r>
              <w:fldChar w:fldCharType="begin">
                <w:fldData xml:space="preserve">PEVuZE5vdGU+PENpdGU+PEF1dGhvcj5EJmFwb3M7SGFlbmU8L0F1dGhvcj48WWVhcj4yMDE1PC9Z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</w:fldData>
              </w:fldChar>
            </w:r>
            <w:r>
              <w:instrText xml:space="preserve"> ADDIN EN.CITE.DATA </w:instrText>
            </w:r>
            <w:r>
              <w:fldChar w:fldCharType="end"/>
            </w:r>
            <w:r>
              <w:fldChar w:fldCharType="separate"/>
            </w:r>
            <w:r>
              <w:rPr>
                <w:noProof/>
              </w:rPr>
              <w:t>(D'Haene et al. 2015)</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229627C1" w14:textId="77777777" w:rsidR="00504E35" w:rsidRDefault="00504E35" w:rsidP="006F7632">
            <w:pPr>
              <w:pStyle w:val="Tabletext0"/>
              <w:spacing w:before="0" w:after="120"/>
              <w:jc w:val="left"/>
            </w:pPr>
            <w:r>
              <w:t>Retrospective cohort study</w:t>
            </w:r>
          </w:p>
          <w:p w14:paraId="757FD3E1" w14:textId="77777777" w:rsidR="00504E35" w:rsidRDefault="00504E35" w:rsidP="006F7632">
            <w:pPr>
              <w:pStyle w:val="Tabletext0"/>
              <w:spacing w:before="0" w:after="120"/>
              <w:jc w:val="left"/>
            </w:pPr>
            <w:r>
              <w:t>Level III-2</w:t>
            </w:r>
          </w:p>
          <w:p w14:paraId="43F0447E" w14:textId="77777777" w:rsidR="00504E35" w:rsidRDefault="00504E35" w:rsidP="006F7632">
            <w:pPr>
              <w:pStyle w:val="Tabletext0"/>
              <w:spacing w:before="0" w:after="120"/>
              <w:jc w:val="left"/>
            </w:pPr>
            <w:r>
              <w:t>Moderate risk of bias (QUADAS 2)</w:t>
            </w:r>
          </w:p>
        </w:tc>
        <w:tc>
          <w:tcPr>
            <w:tcW w:w="1770" w:type="dxa"/>
            <w:tcBorders>
              <w:top w:val="single" w:sz="4" w:space="0" w:color="auto"/>
              <w:left w:val="single" w:sz="4" w:space="0" w:color="auto"/>
              <w:bottom w:val="single" w:sz="4" w:space="0" w:color="auto"/>
              <w:right w:val="single" w:sz="4" w:space="0" w:color="auto"/>
            </w:tcBorders>
          </w:tcPr>
          <w:p w14:paraId="73806306" w14:textId="77777777" w:rsidR="00504E35" w:rsidRDefault="00504E35" w:rsidP="006F7632">
            <w:pPr>
              <w:pStyle w:val="Tabletext0"/>
              <w:spacing w:before="0" w:after="120"/>
              <w:jc w:val="left"/>
            </w:pPr>
            <w:r>
              <w:t>Belgium</w:t>
            </w:r>
          </w:p>
          <w:p w14:paraId="1F63C170" w14:textId="77777777" w:rsidR="00504E35" w:rsidRDefault="00504E35" w:rsidP="006F7632">
            <w:pPr>
              <w:pStyle w:val="Tabletext0"/>
              <w:spacing w:before="0" w:after="120"/>
              <w:jc w:val="left"/>
            </w:pPr>
            <w:r>
              <w:t>Tumour samples from patients at a single centre</w:t>
            </w:r>
          </w:p>
          <w:p w14:paraId="51009AA9" w14:textId="77777777" w:rsidR="00504E35" w:rsidRDefault="00504E35" w:rsidP="006F7632">
            <w:pPr>
              <w:pStyle w:val="Tabletext0"/>
              <w:spacing w:before="0" w:after="120"/>
              <w:jc w:val="left"/>
            </w:pPr>
            <w:r>
              <w:t>Cross sectional</w:t>
            </w:r>
          </w:p>
        </w:tc>
        <w:tc>
          <w:tcPr>
            <w:tcW w:w="2215" w:type="dxa"/>
            <w:tcBorders>
              <w:top w:val="single" w:sz="4" w:space="0" w:color="auto"/>
              <w:left w:val="single" w:sz="4" w:space="0" w:color="auto"/>
              <w:bottom w:val="single" w:sz="4" w:space="0" w:color="auto"/>
              <w:right w:val="single" w:sz="4" w:space="0" w:color="auto"/>
            </w:tcBorders>
          </w:tcPr>
          <w:p w14:paraId="1F3A2F58" w14:textId="77777777" w:rsidR="00504E35" w:rsidRDefault="00504E35" w:rsidP="006F7632">
            <w:pPr>
              <w:pStyle w:val="Tabletext0"/>
              <w:spacing w:before="0" w:after="120"/>
              <w:jc w:val="left"/>
            </w:pPr>
            <w:r>
              <w:t>N=39</w:t>
            </w:r>
          </w:p>
          <w:p w14:paraId="163716AB" w14:textId="77777777" w:rsidR="00504E35" w:rsidRDefault="00504E35" w:rsidP="006F7632">
            <w:pPr>
              <w:pStyle w:val="Tabletext0"/>
              <w:spacing w:before="0" w:after="120"/>
              <w:jc w:val="left"/>
            </w:pPr>
            <w:r>
              <w:t xml:space="preserve">Specimens from NSCLC patients already tested for </w:t>
            </w:r>
            <w:r w:rsidRPr="00B718E1">
              <w:rPr>
                <w:i/>
              </w:rPr>
              <w:t>EGFR</w:t>
            </w:r>
          </w:p>
          <w:p w14:paraId="5A6D4D79" w14:textId="77777777" w:rsidR="00504E35" w:rsidRDefault="00504E35" w:rsidP="006F7632">
            <w:pPr>
              <w:pStyle w:val="Tabletext0"/>
              <w:spacing w:before="0" w:after="120"/>
              <w:jc w:val="left"/>
            </w:pPr>
            <w:r>
              <w:t>Samples from biopsy, resection and cell blocks</w:t>
            </w:r>
          </w:p>
        </w:tc>
        <w:tc>
          <w:tcPr>
            <w:tcW w:w="1961" w:type="dxa"/>
            <w:tcBorders>
              <w:top w:val="single" w:sz="4" w:space="0" w:color="auto"/>
              <w:left w:val="single" w:sz="4" w:space="0" w:color="auto"/>
              <w:bottom w:val="single" w:sz="4" w:space="0" w:color="auto"/>
              <w:right w:val="single" w:sz="4" w:space="0" w:color="auto"/>
            </w:tcBorders>
          </w:tcPr>
          <w:p w14:paraId="2E42135E" w14:textId="77777777" w:rsidR="00504E35" w:rsidRPr="00466470" w:rsidRDefault="00504E35" w:rsidP="006F7632">
            <w:pPr>
              <w:pStyle w:val="Tabletext0"/>
              <w:spacing w:before="0" w:after="120"/>
              <w:jc w:val="left"/>
            </w:pPr>
            <w:r>
              <w:t>NGS colon and lung panel of 22 genes</w:t>
            </w:r>
          </w:p>
        </w:tc>
        <w:tc>
          <w:tcPr>
            <w:tcW w:w="2399" w:type="dxa"/>
            <w:tcBorders>
              <w:top w:val="single" w:sz="4" w:space="0" w:color="auto"/>
              <w:left w:val="single" w:sz="4" w:space="0" w:color="auto"/>
              <w:bottom w:val="single" w:sz="4" w:space="0" w:color="auto"/>
              <w:right w:val="single" w:sz="4" w:space="0" w:color="auto"/>
            </w:tcBorders>
          </w:tcPr>
          <w:p w14:paraId="37EDD304" w14:textId="77777777" w:rsidR="00504E35" w:rsidRDefault="00504E35" w:rsidP="006F7632">
            <w:pPr>
              <w:pStyle w:val="Tabletext0"/>
              <w:spacing w:before="0" w:after="120"/>
              <w:jc w:val="left"/>
            </w:pPr>
            <w:r w:rsidRPr="00B718E1">
              <w:rPr>
                <w:i/>
              </w:rPr>
              <w:t>E</w:t>
            </w:r>
            <w:r>
              <w:rPr>
                <w:i/>
              </w:rPr>
              <w:t>GF</w:t>
            </w:r>
            <w:r w:rsidRPr="00B718E1">
              <w:rPr>
                <w:i/>
              </w:rPr>
              <w:t xml:space="preserve">R </w:t>
            </w:r>
            <w:r>
              <w:t>PCR</w:t>
            </w:r>
          </w:p>
        </w:tc>
        <w:tc>
          <w:tcPr>
            <w:tcW w:w="1661" w:type="dxa"/>
            <w:tcBorders>
              <w:top w:val="single" w:sz="4" w:space="0" w:color="auto"/>
              <w:left w:val="single" w:sz="4" w:space="0" w:color="auto"/>
              <w:bottom w:val="single" w:sz="4" w:space="0" w:color="auto"/>
              <w:right w:val="single" w:sz="4" w:space="0" w:color="auto"/>
            </w:tcBorders>
          </w:tcPr>
          <w:p w14:paraId="39C52070" w14:textId="77777777" w:rsidR="00504E35" w:rsidRDefault="00504E35" w:rsidP="006F7632">
            <w:pPr>
              <w:pStyle w:val="Tabletext0"/>
              <w:spacing w:before="0" w:after="120"/>
              <w:jc w:val="left"/>
            </w:pPr>
            <w:r>
              <w:t>Concordance</w:t>
            </w:r>
          </w:p>
          <w:p w14:paraId="5A7A3650" w14:textId="77777777" w:rsidR="00504E35" w:rsidRDefault="00504E35" w:rsidP="006F7632">
            <w:pPr>
              <w:pStyle w:val="Tabletext0"/>
              <w:spacing w:before="0" w:after="120"/>
              <w:jc w:val="left"/>
            </w:pPr>
            <w:r>
              <w:t>Success rate</w:t>
            </w:r>
          </w:p>
          <w:p w14:paraId="1D827BCC" w14:textId="77777777" w:rsidR="00504E35" w:rsidRDefault="00504E35" w:rsidP="006F7632">
            <w:pPr>
              <w:pStyle w:val="Tabletext0"/>
              <w:spacing w:before="0" w:after="120"/>
              <w:jc w:val="left"/>
            </w:pPr>
          </w:p>
        </w:tc>
      </w:tr>
      <w:tr w:rsidR="00504E35" w14:paraId="09417956"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2E37EF30" w14:textId="3BE33DF2" w:rsidR="00504E35" w:rsidRDefault="00B4668F" w:rsidP="00B4668F">
            <w:pPr>
              <w:pStyle w:val="Tabletext0"/>
              <w:spacing w:before="0" w:after="120"/>
              <w:jc w:val="left"/>
              <w:rPr>
                <w:rFonts w:ascii="Franklin Gothic Book" w:eastAsia="Franklin Gothic Book" w:hAnsi="Franklin Gothic Book" w:cs="Franklin Gothic Book"/>
                <w:sz w:val="22"/>
                <w:szCs w:val="22"/>
              </w:rPr>
            </w:pP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 </w:instrText>
            </w: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EN.CITE.DATA </w:instrText>
            </w:r>
            <w:r>
              <w:fldChar w:fldCharType="end"/>
            </w:r>
            <w:r>
              <w:fldChar w:fldCharType="separate"/>
            </w:r>
            <w:r>
              <w:rPr>
                <w:noProof/>
              </w:rPr>
              <w:t>(Dall'Olio et al. 2020)</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32DFCEC4" w14:textId="77777777" w:rsidR="00504E35" w:rsidRDefault="00504E35" w:rsidP="006F7632">
            <w:pPr>
              <w:pStyle w:val="Tabletext0"/>
              <w:spacing w:before="0" w:after="120"/>
              <w:jc w:val="left"/>
            </w:pPr>
            <w:r w:rsidRPr="00F513D7">
              <w:t>Retrospective cohort study</w:t>
            </w:r>
          </w:p>
          <w:p w14:paraId="4F0C163C" w14:textId="77777777" w:rsidR="00504E35" w:rsidRDefault="00504E35" w:rsidP="006F7632">
            <w:pPr>
              <w:pStyle w:val="Tabletext0"/>
              <w:spacing w:before="0" w:after="120"/>
              <w:jc w:val="left"/>
            </w:pPr>
            <w:r>
              <w:t>Level III-2</w:t>
            </w:r>
          </w:p>
          <w:p w14:paraId="1DBDDE41" w14:textId="77777777" w:rsidR="00504E35" w:rsidRPr="00F513D7" w:rsidRDefault="00504E35" w:rsidP="006F7632">
            <w:pPr>
              <w:pStyle w:val="Tabletext0"/>
              <w:spacing w:before="0" w:after="120"/>
              <w:jc w:val="left"/>
            </w:pPr>
            <w:r>
              <w:t>Low risk of bias (QUADAS 2)</w:t>
            </w:r>
          </w:p>
        </w:tc>
        <w:tc>
          <w:tcPr>
            <w:tcW w:w="1770" w:type="dxa"/>
            <w:tcBorders>
              <w:top w:val="single" w:sz="4" w:space="0" w:color="auto"/>
              <w:left w:val="single" w:sz="4" w:space="0" w:color="auto"/>
              <w:bottom w:val="single" w:sz="4" w:space="0" w:color="auto"/>
              <w:right w:val="single" w:sz="4" w:space="0" w:color="auto"/>
            </w:tcBorders>
          </w:tcPr>
          <w:p w14:paraId="18043104" w14:textId="77777777" w:rsidR="00504E35" w:rsidRPr="00F513D7" w:rsidRDefault="00504E35" w:rsidP="006F7632">
            <w:pPr>
              <w:spacing w:before="0" w:after="120"/>
              <w:rPr>
                <w:rFonts w:ascii="Arial Narrow" w:hAnsi="Arial Narrow" w:cs="Tahoma"/>
              </w:rPr>
            </w:pPr>
            <w:r w:rsidRPr="7579F35B">
              <w:rPr>
                <w:rFonts w:ascii="Arial Narrow" w:eastAsia="Arial Narrow" w:hAnsi="Arial Narrow" w:cs="Arial Narrow"/>
              </w:rPr>
              <w:t>Italy</w:t>
            </w:r>
          </w:p>
          <w:p w14:paraId="73D93247" w14:textId="77777777" w:rsidR="00504E35" w:rsidRPr="00F513D7" w:rsidRDefault="00504E35" w:rsidP="006F7632">
            <w:pPr>
              <w:spacing w:before="0" w:after="120"/>
              <w:rPr>
                <w:rFonts w:ascii="Arial Narrow" w:hAnsi="Arial Narrow" w:cs="Tahoma"/>
              </w:rPr>
            </w:pPr>
            <w:r w:rsidRPr="7579F35B">
              <w:rPr>
                <w:rFonts w:ascii="Arial Narrow" w:eastAsia="Arial Narrow" w:hAnsi="Arial Narrow" w:cs="Arial Narrow"/>
              </w:rPr>
              <w:t>Samples from patients at a single centre</w:t>
            </w:r>
          </w:p>
          <w:p w14:paraId="6E6AC719" w14:textId="77777777" w:rsidR="00504E35" w:rsidRPr="00F513D7" w:rsidRDefault="00504E35" w:rsidP="006F7632">
            <w:pPr>
              <w:pStyle w:val="Tabletext0"/>
              <w:spacing w:before="0" w:after="120"/>
              <w:jc w:val="left"/>
            </w:pPr>
            <w:r w:rsidRPr="00F513D7">
              <w:t>Cross sectional</w:t>
            </w:r>
          </w:p>
        </w:tc>
        <w:tc>
          <w:tcPr>
            <w:tcW w:w="2215" w:type="dxa"/>
            <w:tcBorders>
              <w:top w:val="single" w:sz="4" w:space="0" w:color="auto"/>
              <w:left w:val="single" w:sz="4" w:space="0" w:color="auto"/>
              <w:bottom w:val="single" w:sz="4" w:space="0" w:color="auto"/>
              <w:right w:val="single" w:sz="4" w:space="0" w:color="auto"/>
            </w:tcBorders>
          </w:tcPr>
          <w:p w14:paraId="11650D49" w14:textId="77777777" w:rsidR="00504E35" w:rsidRDefault="00504E35" w:rsidP="006F7632">
            <w:pPr>
              <w:spacing w:before="0" w:after="120"/>
            </w:pPr>
            <w:r w:rsidRPr="7579F35B">
              <w:rPr>
                <w:rFonts w:ascii="Arial Narrow" w:eastAsia="Arial Narrow" w:hAnsi="Arial Narrow" w:cs="Arial Narrow"/>
              </w:rPr>
              <w:t xml:space="preserve">N=537 </w:t>
            </w:r>
          </w:p>
          <w:p w14:paraId="6CBB5F17" w14:textId="77777777" w:rsidR="00504E35" w:rsidRDefault="00504E35" w:rsidP="006F7632">
            <w:pPr>
              <w:spacing w:before="0" w:after="120"/>
            </w:pPr>
            <w:r w:rsidRPr="7579F35B">
              <w:rPr>
                <w:rFonts w:ascii="Arial Narrow" w:eastAsia="Arial Narrow" w:hAnsi="Arial Narrow" w:cs="Arial Narrow"/>
              </w:rPr>
              <w:t xml:space="preserve">Consecutive NSCLC (adenocarcinoma) patients </w:t>
            </w:r>
          </w:p>
          <w:p w14:paraId="6B3BF0AF" w14:textId="77777777" w:rsidR="00504E35" w:rsidRDefault="00504E35" w:rsidP="006F7632">
            <w:pPr>
              <w:pStyle w:val="Tabletext0"/>
              <w:spacing w:before="0" w:after="120"/>
              <w:jc w:val="left"/>
              <w:rPr>
                <w:rFonts w:ascii="Franklin Gothic Book" w:eastAsia="Franklin Gothic Book" w:hAnsi="Franklin Gothic Book" w:cs="Franklin Gothic Book"/>
                <w:sz w:val="22"/>
                <w:szCs w:val="22"/>
              </w:rPr>
            </w:pPr>
            <w:r w:rsidRPr="00F513D7">
              <w:t>Histology and cytology samples</w:t>
            </w:r>
          </w:p>
        </w:tc>
        <w:tc>
          <w:tcPr>
            <w:tcW w:w="1961" w:type="dxa"/>
            <w:tcBorders>
              <w:top w:val="single" w:sz="4" w:space="0" w:color="auto"/>
              <w:left w:val="single" w:sz="4" w:space="0" w:color="auto"/>
              <w:bottom w:val="single" w:sz="4" w:space="0" w:color="auto"/>
              <w:right w:val="single" w:sz="4" w:space="0" w:color="auto"/>
            </w:tcBorders>
          </w:tcPr>
          <w:p w14:paraId="758D692D" w14:textId="77777777" w:rsidR="00504E35" w:rsidRDefault="00504E35" w:rsidP="006F7632">
            <w:pPr>
              <w:pStyle w:val="Tabletext0"/>
              <w:spacing w:before="0" w:after="120"/>
              <w:jc w:val="left"/>
              <w:rPr>
                <w:rFonts w:ascii="Franklin Gothic Book" w:eastAsia="Franklin Gothic Book" w:hAnsi="Franklin Gothic Book" w:cs="Franklin Gothic Book"/>
                <w:sz w:val="22"/>
                <w:szCs w:val="22"/>
              </w:rPr>
            </w:pPr>
            <w:r w:rsidRPr="008C37C4">
              <w:t>NGS panel detecting hotspot mutations in 35 genes, 19 amplifications and 23 rearrangements</w:t>
            </w:r>
          </w:p>
        </w:tc>
        <w:tc>
          <w:tcPr>
            <w:tcW w:w="2399" w:type="dxa"/>
            <w:tcBorders>
              <w:top w:val="single" w:sz="4" w:space="0" w:color="auto"/>
              <w:left w:val="single" w:sz="4" w:space="0" w:color="auto"/>
              <w:bottom w:val="single" w:sz="4" w:space="0" w:color="auto"/>
              <w:right w:val="single" w:sz="4" w:space="0" w:color="auto"/>
            </w:tcBorders>
          </w:tcPr>
          <w:p w14:paraId="4D08CA13" w14:textId="77777777" w:rsidR="00504E35" w:rsidRDefault="00504E35" w:rsidP="006F7632">
            <w:pPr>
              <w:spacing w:before="0" w:after="120"/>
            </w:pPr>
            <w:r w:rsidRPr="7579F35B">
              <w:rPr>
                <w:rFonts w:ascii="Arial Narrow" w:eastAsia="Arial Narrow" w:hAnsi="Arial Narrow" w:cs="Arial Narrow"/>
              </w:rPr>
              <w:t xml:space="preserve">Sequential testing beginning with </w:t>
            </w:r>
            <w:r w:rsidRPr="00B718E1">
              <w:rPr>
                <w:rFonts w:ascii="Arial Narrow" w:eastAsia="Arial Narrow" w:hAnsi="Arial Narrow" w:cs="Arial Narrow"/>
                <w:i/>
              </w:rPr>
              <w:t>EGFR</w:t>
            </w:r>
            <w:r w:rsidRPr="7579F35B">
              <w:rPr>
                <w:rFonts w:ascii="Arial Narrow" w:eastAsia="Arial Narrow" w:hAnsi="Arial Narrow" w:cs="Arial Narrow"/>
              </w:rPr>
              <w:t xml:space="preserve"> and </w:t>
            </w:r>
            <w:r w:rsidRPr="00B718E1">
              <w:rPr>
                <w:rFonts w:ascii="Arial Narrow" w:eastAsia="Arial Narrow" w:hAnsi="Arial Narrow" w:cs="Arial Narrow"/>
                <w:i/>
              </w:rPr>
              <w:t>KRAS</w:t>
            </w:r>
          </w:p>
          <w:p w14:paraId="653D15F0" w14:textId="77777777" w:rsidR="00504E35" w:rsidRDefault="00504E35" w:rsidP="006F7632">
            <w:pPr>
              <w:spacing w:before="0" w:after="120"/>
            </w:pPr>
            <w:r w:rsidRPr="7579F35B">
              <w:rPr>
                <w:rFonts w:ascii="Arial Narrow" w:eastAsia="Arial Narrow" w:hAnsi="Arial Narrow" w:cs="Arial Narrow"/>
              </w:rPr>
              <w:t xml:space="preserve">Pyrosequencing for </w:t>
            </w:r>
            <w:r w:rsidRPr="00B718E1">
              <w:rPr>
                <w:rFonts w:ascii="Arial Narrow" w:eastAsia="Arial Narrow" w:hAnsi="Arial Narrow" w:cs="Arial Narrow"/>
                <w:i/>
              </w:rPr>
              <w:t>KRAS</w:t>
            </w:r>
            <w:r w:rsidRPr="7579F35B">
              <w:rPr>
                <w:rFonts w:ascii="Arial Narrow" w:eastAsia="Arial Narrow" w:hAnsi="Arial Narrow" w:cs="Arial Narrow"/>
              </w:rPr>
              <w:t xml:space="preserve"> and </w:t>
            </w:r>
            <w:r w:rsidRPr="00B718E1">
              <w:rPr>
                <w:rFonts w:ascii="Arial Narrow" w:eastAsia="Arial Narrow" w:hAnsi="Arial Narrow" w:cs="Arial Narrow"/>
                <w:i/>
              </w:rPr>
              <w:t>BRAF</w:t>
            </w:r>
          </w:p>
          <w:p w14:paraId="737F8CA0" w14:textId="77777777" w:rsidR="00504E35" w:rsidRDefault="00504E35" w:rsidP="006F7632">
            <w:pPr>
              <w:spacing w:before="0" w:after="120"/>
            </w:pPr>
            <w:r w:rsidRPr="7579F35B">
              <w:rPr>
                <w:rFonts w:ascii="Arial Narrow" w:eastAsia="Arial Narrow" w:hAnsi="Arial Narrow" w:cs="Arial Narrow"/>
              </w:rPr>
              <w:t xml:space="preserve">PCR for </w:t>
            </w:r>
            <w:r w:rsidRPr="00B718E1">
              <w:rPr>
                <w:rFonts w:ascii="Arial Narrow" w:eastAsia="Arial Narrow" w:hAnsi="Arial Narrow" w:cs="Arial Narrow"/>
                <w:i/>
              </w:rPr>
              <w:t>EGT</w:t>
            </w:r>
          </w:p>
          <w:p w14:paraId="7F42BA4D" w14:textId="77777777" w:rsidR="00504E35" w:rsidRDefault="00504E35" w:rsidP="006F7632">
            <w:pPr>
              <w:spacing w:before="0" w:after="120"/>
            </w:pPr>
            <w:r w:rsidRPr="7579F35B">
              <w:rPr>
                <w:rFonts w:ascii="Arial Narrow" w:eastAsia="Arial Narrow" w:hAnsi="Arial Narrow" w:cs="Arial Narrow"/>
              </w:rPr>
              <w:lastRenderedPageBreak/>
              <w:t xml:space="preserve">FISH and IHC for </w:t>
            </w:r>
            <w:r w:rsidRPr="00B718E1">
              <w:rPr>
                <w:rFonts w:ascii="Arial Narrow" w:eastAsia="Arial Narrow" w:hAnsi="Arial Narrow" w:cs="Arial Narrow"/>
                <w:i/>
              </w:rPr>
              <w:t>ALK</w:t>
            </w:r>
          </w:p>
          <w:p w14:paraId="3DF216A1" w14:textId="77777777" w:rsidR="00504E35" w:rsidRDefault="00504E35" w:rsidP="006F7632">
            <w:pPr>
              <w:spacing w:before="0" w:after="120"/>
            </w:pPr>
            <w:r w:rsidRPr="7579F35B">
              <w:rPr>
                <w:rFonts w:ascii="Arial Narrow" w:eastAsia="Arial Narrow" w:hAnsi="Arial Narrow" w:cs="Arial Narrow"/>
              </w:rPr>
              <w:t xml:space="preserve">FISH for </w:t>
            </w:r>
            <w:r w:rsidRPr="00B718E1">
              <w:rPr>
                <w:rFonts w:ascii="Arial Narrow" w:eastAsia="Arial Narrow" w:hAnsi="Arial Narrow" w:cs="Arial Narrow"/>
                <w:i/>
              </w:rPr>
              <w:t>ROS1,</w:t>
            </w:r>
            <w:r w:rsidRPr="7579F35B">
              <w:rPr>
                <w:rFonts w:ascii="Arial Narrow" w:eastAsia="Arial Narrow" w:hAnsi="Arial Narrow" w:cs="Arial Narrow"/>
              </w:rPr>
              <w:t xml:space="preserve"> </w:t>
            </w:r>
            <w:r w:rsidRPr="00B718E1">
              <w:rPr>
                <w:rFonts w:ascii="Arial Narrow" w:eastAsia="Arial Narrow" w:hAnsi="Arial Narrow" w:cs="Arial Narrow"/>
                <w:i/>
              </w:rPr>
              <w:t>MET</w:t>
            </w:r>
            <w:r w:rsidRPr="7579F35B">
              <w:rPr>
                <w:rFonts w:ascii="Arial Narrow" w:eastAsia="Arial Narrow" w:hAnsi="Arial Narrow" w:cs="Arial Narrow"/>
              </w:rPr>
              <w:t xml:space="preserve"> and </w:t>
            </w:r>
            <w:r w:rsidRPr="00B718E1">
              <w:rPr>
                <w:rFonts w:ascii="Arial Narrow" w:eastAsia="Arial Narrow" w:hAnsi="Arial Narrow" w:cs="Arial Narrow"/>
                <w:i/>
              </w:rPr>
              <w:t>RET</w:t>
            </w:r>
          </w:p>
          <w:p w14:paraId="0B5B05AB" w14:textId="77777777" w:rsidR="00504E35" w:rsidRDefault="00504E35" w:rsidP="006F7632">
            <w:pPr>
              <w:spacing w:before="0" w:after="120"/>
              <w:rPr>
                <w:rFonts w:eastAsia="Franklin Gothic Book" w:cs="Franklin Gothic Book"/>
              </w:rPr>
            </w:pPr>
            <w:r w:rsidRPr="00B718E1">
              <w:rPr>
                <w:rFonts w:ascii="Arial Narrow" w:eastAsia="Arial Narrow" w:hAnsi="Arial Narrow" w:cs="Arial Narrow"/>
              </w:rPr>
              <w:t xml:space="preserve">ISH and SISH for </w:t>
            </w:r>
            <w:r w:rsidRPr="00B718E1">
              <w:rPr>
                <w:rFonts w:ascii="Arial Narrow" w:eastAsia="Arial Narrow" w:hAnsi="Arial Narrow" w:cs="Arial Narrow"/>
                <w:i/>
              </w:rPr>
              <w:t>HER2</w:t>
            </w:r>
          </w:p>
        </w:tc>
        <w:tc>
          <w:tcPr>
            <w:tcW w:w="1661" w:type="dxa"/>
            <w:tcBorders>
              <w:top w:val="single" w:sz="4" w:space="0" w:color="auto"/>
              <w:left w:val="single" w:sz="4" w:space="0" w:color="auto"/>
              <w:bottom w:val="single" w:sz="4" w:space="0" w:color="auto"/>
              <w:right w:val="single" w:sz="4" w:space="0" w:color="auto"/>
            </w:tcBorders>
          </w:tcPr>
          <w:p w14:paraId="3DF5292B" w14:textId="77777777" w:rsidR="00504E35" w:rsidRDefault="00504E35" w:rsidP="006F7632">
            <w:pPr>
              <w:pStyle w:val="Tabletext0"/>
              <w:spacing w:before="0" w:after="120"/>
              <w:jc w:val="left"/>
            </w:pPr>
            <w:r w:rsidRPr="008C37C4">
              <w:lastRenderedPageBreak/>
              <w:t>Prevalence of mutations using each method</w:t>
            </w:r>
          </w:p>
          <w:p w14:paraId="01392B5F" w14:textId="77777777" w:rsidR="00504E35" w:rsidRDefault="00504E35" w:rsidP="006F7632">
            <w:pPr>
              <w:pStyle w:val="Tabletext0"/>
              <w:spacing w:before="0" w:after="120"/>
              <w:jc w:val="left"/>
              <w:rPr>
                <w:rFonts w:ascii="Franklin Gothic Book" w:eastAsia="Franklin Gothic Book" w:hAnsi="Franklin Gothic Book" w:cs="Franklin Gothic Book"/>
                <w:sz w:val="22"/>
                <w:szCs w:val="22"/>
              </w:rPr>
            </w:pPr>
            <w:r>
              <w:t>Turnaround time</w:t>
            </w:r>
          </w:p>
        </w:tc>
      </w:tr>
      <w:tr w:rsidR="00504E35" w14:paraId="562F056E"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2FD896F6" w14:textId="0F585E91" w:rsidR="00504E35" w:rsidRDefault="00B4668F" w:rsidP="00B4668F">
            <w:pPr>
              <w:pStyle w:val="Tabletext0"/>
              <w:spacing w:before="0" w:after="120"/>
              <w:jc w:val="left"/>
            </w:pPr>
            <w:r>
              <w:fldChar w:fldCharType="begin"/>
            </w:r>
            <w:r>
              <w:instrText xml:space="preserve"> ADDIN EN.CITE &lt;EndNote&gt;&lt;Cite&gt;&lt;Author&gt;de Biase&lt;/Author&gt;&lt;Year&gt;2013&lt;/Year&gt;&lt;RecNum&gt;158&lt;/RecNum&gt;&lt;IDText&gt;e83607-NA&lt;/IDText&gt;&lt;DisplayText&gt;(de Biase et al. 2013)&lt;/DisplayText&gt;&lt;record&gt;&lt;rec-number&gt;158&lt;/rec-number&gt;&lt;foreign-keys&gt;&lt;key app="EN" db-id="0tprsse9cpp5r3ea5dz5p0xw2pfwvwxpa5a5" timestamp="1655264277"&gt;158&lt;/key&gt;&lt;/foreign-keys&gt;&lt;ref-type name="Journal Article"&gt;17&lt;/ref-type&gt;&lt;contributors&gt;&lt;authors&gt;&lt;author&gt;de Biase, Dario&lt;/author&gt;&lt;author&gt;Visani, Michela&lt;/author&gt;&lt;author&gt;Malapelle, Umberto&lt;/author&gt;&lt;author&gt;Simonato, Francesca&lt;/author&gt;&lt;author&gt;Cesari, Valentina&lt;/author&gt;&lt;author&gt;Bellevicine, Claudio&lt;/author&gt;&lt;author&gt;Pession, Annalisa&lt;/author&gt;&lt;author&gt;Troncone, Giancarlo&lt;/author&gt;&lt;author&gt;Fassina, Ambrogio&lt;/author&gt;&lt;author&gt;Tallini, Giovanni&lt;/author&gt;&lt;/authors&gt;&lt;/contributors&gt;&lt;titles&gt;&lt;title&gt;Next-Generation Sequencing of Lung Cancer EGFR Exons 18-21 Allows Effective Molecular Diagnosis of Small Routine Samples (Cytology and Biopsy)&lt;/title&gt;&lt;secondary-title&gt;PloS one&lt;/secondary-title&gt;&lt;/titles&gt;&lt;periodical&gt;&lt;full-title&gt;PLoS One&lt;/full-title&gt;&lt;/periodical&gt;&lt;pages&gt;e83607-NA&lt;/pages&gt;&lt;volume&gt;8&lt;/volume&gt;&lt;number&gt;12&lt;/number&gt;&lt;dates&gt;&lt;year&gt;2013&lt;/year&gt;&lt;/dates&gt;&lt;urls&gt;&lt;/urls&gt;&lt;electronic-resource-num&gt;10.1371/journal.pone.0083607&lt;/electronic-resource-num&gt;&lt;research-notes&gt;P - Include. concordance in predictions of clinical relevance. &lt;/research-notes&gt;&lt;/record&gt;&lt;/Cite&gt;&lt;/EndNote&gt;</w:instrText>
            </w:r>
            <w:r>
              <w:fldChar w:fldCharType="separate"/>
            </w:r>
            <w:r>
              <w:rPr>
                <w:noProof/>
              </w:rPr>
              <w:t>(de Biase et al. 2013)</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23241B9F" w14:textId="77777777" w:rsidR="00504E35" w:rsidRDefault="00504E35" w:rsidP="006F7632">
            <w:pPr>
              <w:pStyle w:val="Tabletext0"/>
              <w:spacing w:before="0" w:after="120"/>
              <w:jc w:val="left"/>
            </w:pPr>
            <w:r>
              <w:t>Cohort study</w:t>
            </w:r>
          </w:p>
          <w:p w14:paraId="3B446017" w14:textId="77777777" w:rsidR="00504E35" w:rsidRDefault="00504E35" w:rsidP="006F7632">
            <w:pPr>
              <w:pStyle w:val="Tabletext0"/>
              <w:spacing w:before="0" w:after="120"/>
              <w:jc w:val="left"/>
            </w:pPr>
            <w:r>
              <w:t>Level III-2</w:t>
            </w:r>
          </w:p>
          <w:p w14:paraId="492732D3" w14:textId="77777777" w:rsidR="00504E35" w:rsidRDefault="00504E35" w:rsidP="006F7632">
            <w:pPr>
              <w:pStyle w:val="Tabletext0"/>
              <w:spacing w:before="0" w:after="120"/>
              <w:jc w:val="left"/>
            </w:pPr>
            <w:r>
              <w:t>Low risk of bias (QUADAS 2)</w:t>
            </w:r>
          </w:p>
        </w:tc>
        <w:tc>
          <w:tcPr>
            <w:tcW w:w="1770" w:type="dxa"/>
            <w:tcBorders>
              <w:top w:val="single" w:sz="4" w:space="0" w:color="auto"/>
              <w:left w:val="single" w:sz="4" w:space="0" w:color="auto"/>
              <w:bottom w:val="single" w:sz="4" w:space="0" w:color="auto"/>
              <w:right w:val="single" w:sz="4" w:space="0" w:color="auto"/>
            </w:tcBorders>
          </w:tcPr>
          <w:p w14:paraId="7FD5B059" w14:textId="77777777" w:rsidR="00504E35" w:rsidRDefault="00504E35" w:rsidP="006F7632">
            <w:pPr>
              <w:pStyle w:val="Tabletext0"/>
              <w:spacing w:before="0" w:after="120"/>
              <w:jc w:val="left"/>
            </w:pPr>
            <w:r>
              <w:t>Italy</w:t>
            </w:r>
          </w:p>
          <w:p w14:paraId="43DB5585" w14:textId="77777777" w:rsidR="00504E35" w:rsidRDefault="00504E35" w:rsidP="006F7632">
            <w:pPr>
              <w:pStyle w:val="Tabletext0"/>
              <w:spacing w:before="0" w:after="120"/>
              <w:jc w:val="left"/>
            </w:pPr>
            <w:r>
              <w:t>Multiple pathological laboratories</w:t>
            </w:r>
          </w:p>
        </w:tc>
        <w:tc>
          <w:tcPr>
            <w:tcW w:w="2215" w:type="dxa"/>
            <w:tcBorders>
              <w:top w:val="single" w:sz="4" w:space="0" w:color="auto"/>
              <w:left w:val="single" w:sz="4" w:space="0" w:color="auto"/>
              <w:bottom w:val="single" w:sz="4" w:space="0" w:color="auto"/>
              <w:right w:val="single" w:sz="4" w:space="0" w:color="auto"/>
            </w:tcBorders>
          </w:tcPr>
          <w:p w14:paraId="506CADA7" w14:textId="77777777" w:rsidR="00504E35" w:rsidRDefault="00504E35" w:rsidP="006F7632">
            <w:pPr>
              <w:pStyle w:val="Tabletext0"/>
              <w:spacing w:before="0" w:after="120"/>
              <w:jc w:val="left"/>
            </w:pPr>
            <w:r>
              <w:t>N=80 NSCLC samples randomly selected from patients underwent diagnostic workup</w:t>
            </w:r>
          </w:p>
          <w:p w14:paraId="744EAD71" w14:textId="77777777" w:rsidR="00504E35" w:rsidRDefault="00504E35" w:rsidP="006F7632">
            <w:pPr>
              <w:pStyle w:val="Tabletext0"/>
              <w:spacing w:before="0" w:after="120"/>
              <w:jc w:val="left"/>
            </w:pPr>
            <w:r>
              <w:t>Cytology and FFPE biopsy specimens</w:t>
            </w:r>
          </w:p>
          <w:p w14:paraId="0960B6B9" w14:textId="77777777" w:rsidR="00504E35" w:rsidRDefault="00504E35" w:rsidP="006F7632">
            <w:pPr>
              <w:pStyle w:val="Tabletext0"/>
              <w:spacing w:before="0" w:after="120"/>
              <w:jc w:val="left"/>
            </w:pPr>
            <w:r>
              <w:t>52 adenocarcinoma</w:t>
            </w:r>
          </w:p>
          <w:p w14:paraId="5E4E959F" w14:textId="77777777" w:rsidR="00504E35" w:rsidRDefault="00504E35" w:rsidP="006F7632">
            <w:pPr>
              <w:pStyle w:val="Tabletext0"/>
              <w:spacing w:before="0" w:after="120"/>
              <w:jc w:val="left"/>
            </w:pPr>
            <w:r>
              <w:t>28 NSCLC NOS</w:t>
            </w:r>
          </w:p>
        </w:tc>
        <w:tc>
          <w:tcPr>
            <w:tcW w:w="1961" w:type="dxa"/>
            <w:tcBorders>
              <w:top w:val="single" w:sz="4" w:space="0" w:color="auto"/>
              <w:left w:val="single" w:sz="4" w:space="0" w:color="auto"/>
              <w:bottom w:val="single" w:sz="4" w:space="0" w:color="auto"/>
              <w:right w:val="single" w:sz="4" w:space="0" w:color="auto"/>
            </w:tcBorders>
          </w:tcPr>
          <w:p w14:paraId="07CEDA5E" w14:textId="77777777" w:rsidR="00504E35" w:rsidRDefault="00504E35" w:rsidP="006F7632">
            <w:pPr>
              <w:pStyle w:val="Tabletext0"/>
              <w:spacing w:before="0" w:after="120"/>
            </w:pPr>
            <w:r>
              <w:t xml:space="preserve">NGS, targeting </w:t>
            </w:r>
            <w:r w:rsidRPr="00A45B53">
              <w:rPr>
                <w:i/>
              </w:rPr>
              <w:t>EGFR</w:t>
            </w:r>
            <w:r>
              <w:t xml:space="preserve"> exon 18-21, using a 454 GS-Junior Next Generation sequencer (Roche Diagnostics)</w:t>
            </w:r>
          </w:p>
        </w:tc>
        <w:tc>
          <w:tcPr>
            <w:tcW w:w="2399" w:type="dxa"/>
            <w:tcBorders>
              <w:top w:val="single" w:sz="4" w:space="0" w:color="auto"/>
              <w:left w:val="single" w:sz="4" w:space="0" w:color="auto"/>
              <w:bottom w:val="single" w:sz="4" w:space="0" w:color="auto"/>
              <w:right w:val="single" w:sz="4" w:space="0" w:color="auto"/>
            </w:tcBorders>
          </w:tcPr>
          <w:p w14:paraId="259C0751" w14:textId="77777777" w:rsidR="00504E35" w:rsidRDefault="00504E35" w:rsidP="006F7632">
            <w:pPr>
              <w:pStyle w:val="Tabletext0"/>
              <w:spacing w:before="0" w:after="120"/>
            </w:pPr>
            <w:r>
              <w:t>Sanger sequencing carried out using the GenomeLab DTCS Kit (Beckman Coulter, U.S.A.) and a CEQ2000 XL automatic DNA sequencer (Beckman Coulter)  and the BigDye Terminator kit (version 3.1; Life Technologies)</w:t>
            </w:r>
          </w:p>
        </w:tc>
        <w:tc>
          <w:tcPr>
            <w:tcW w:w="1661" w:type="dxa"/>
            <w:tcBorders>
              <w:top w:val="single" w:sz="4" w:space="0" w:color="auto"/>
              <w:left w:val="single" w:sz="4" w:space="0" w:color="auto"/>
              <w:bottom w:val="single" w:sz="4" w:space="0" w:color="auto"/>
              <w:right w:val="single" w:sz="4" w:space="0" w:color="auto"/>
            </w:tcBorders>
          </w:tcPr>
          <w:p w14:paraId="6DD1669F" w14:textId="77777777" w:rsidR="00504E35" w:rsidRDefault="00504E35" w:rsidP="006F7632">
            <w:pPr>
              <w:pStyle w:val="Tabletext0"/>
              <w:spacing w:before="0" w:after="120"/>
              <w:jc w:val="left"/>
            </w:pPr>
            <w:r>
              <w:t>Concordance</w:t>
            </w:r>
          </w:p>
          <w:p w14:paraId="155AC472" w14:textId="77777777" w:rsidR="00504E35" w:rsidRDefault="00504E35" w:rsidP="006F7632">
            <w:pPr>
              <w:pStyle w:val="Tabletext0"/>
              <w:spacing w:before="0" w:after="120"/>
              <w:jc w:val="left"/>
            </w:pPr>
            <w:r>
              <w:t>Predicted change in management</w:t>
            </w:r>
          </w:p>
        </w:tc>
      </w:tr>
      <w:tr w:rsidR="00504E35" w:rsidRPr="00183E4D" w14:paraId="639BB3B0"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4F039C1" w14:textId="100F0EAB" w:rsidR="00504E35" w:rsidRPr="00183E4D" w:rsidRDefault="00B4668F" w:rsidP="00B4668F">
            <w:pPr>
              <w:pStyle w:val="Tabletext0"/>
              <w:spacing w:before="0" w:after="120"/>
              <w:jc w:val="left"/>
            </w:pPr>
            <w: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(DiBardino et al. 2017)</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6EE4976C" w14:textId="77777777" w:rsidR="00504E35" w:rsidRDefault="00504E35" w:rsidP="006F7632">
            <w:pPr>
              <w:pStyle w:val="Tabletext0"/>
              <w:spacing w:before="0" w:after="120"/>
              <w:jc w:val="left"/>
            </w:pPr>
            <w:r>
              <w:t>Retrospective cohort study</w:t>
            </w:r>
          </w:p>
          <w:p w14:paraId="5292032B" w14:textId="77777777" w:rsidR="00504E35" w:rsidRDefault="00504E35" w:rsidP="006F7632">
            <w:pPr>
              <w:pStyle w:val="Tabletext0"/>
              <w:spacing w:before="0" w:after="120"/>
              <w:jc w:val="left"/>
            </w:pPr>
            <w:r>
              <w:t>Level III-2</w:t>
            </w:r>
          </w:p>
          <w:p w14:paraId="4690690E" w14:textId="77777777" w:rsidR="00504E35" w:rsidRPr="00183E4D" w:rsidRDefault="00504E35" w:rsidP="006F7632">
            <w:pPr>
              <w:pStyle w:val="Tabletext0"/>
              <w:spacing w:before="0" w:after="120"/>
              <w:jc w:val="left"/>
            </w:pPr>
            <w:r>
              <w:t>Low to moderate risk of bias (QUADAS 2)</w:t>
            </w:r>
          </w:p>
        </w:tc>
        <w:tc>
          <w:tcPr>
            <w:tcW w:w="1770" w:type="dxa"/>
            <w:tcBorders>
              <w:top w:val="single" w:sz="4" w:space="0" w:color="auto"/>
              <w:left w:val="single" w:sz="4" w:space="0" w:color="auto"/>
              <w:bottom w:val="single" w:sz="4" w:space="0" w:color="auto"/>
              <w:right w:val="single" w:sz="4" w:space="0" w:color="auto"/>
            </w:tcBorders>
          </w:tcPr>
          <w:p w14:paraId="2D1B0F29" w14:textId="77777777" w:rsidR="00504E35" w:rsidRDefault="00504E35" w:rsidP="006F7632">
            <w:pPr>
              <w:pStyle w:val="Tabletext0"/>
              <w:spacing w:before="0" w:after="120"/>
              <w:jc w:val="left"/>
            </w:pPr>
            <w:r>
              <w:t>USA</w:t>
            </w:r>
          </w:p>
          <w:p w14:paraId="02215FE8" w14:textId="77777777" w:rsidR="00504E35" w:rsidRDefault="00504E35" w:rsidP="006F7632">
            <w:pPr>
              <w:pStyle w:val="Tabletext0"/>
              <w:spacing w:before="0" w:after="120"/>
              <w:jc w:val="left"/>
            </w:pPr>
            <w:r>
              <w:t>Samples submitted for STGPT at a single centre</w:t>
            </w:r>
          </w:p>
          <w:p w14:paraId="5568E9BF" w14:textId="77777777" w:rsidR="00504E35" w:rsidRPr="00183E4D" w:rsidRDefault="00504E35" w:rsidP="006F7632">
            <w:pPr>
              <w:pStyle w:val="Tabletext0"/>
              <w:spacing w:before="0" w:after="120"/>
              <w:jc w:val="left"/>
            </w:pPr>
            <w:r>
              <w:t>2 years</w:t>
            </w:r>
          </w:p>
        </w:tc>
        <w:tc>
          <w:tcPr>
            <w:tcW w:w="2215" w:type="dxa"/>
            <w:tcBorders>
              <w:top w:val="single" w:sz="4" w:space="0" w:color="auto"/>
              <w:left w:val="single" w:sz="4" w:space="0" w:color="auto"/>
              <w:bottom w:val="single" w:sz="4" w:space="0" w:color="auto"/>
              <w:right w:val="single" w:sz="4" w:space="0" w:color="auto"/>
            </w:tcBorders>
          </w:tcPr>
          <w:p w14:paraId="34DC3382" w14:textId="77777777" w:rsidR="00504E35" w:rsidRDefault="00504E35" w:rsidP="006F7632">
            <w:pPr>
              <w:pStyle w:val="Tabletext0"/>
              <w:spacing w:before="0" w:after="120"/>
              <w:jc w:val="left"/>
            </w:pPr>
            <w:r>
              <w:t>N=22</w:t>
            </w:r>
          </w:p>
          <w:p w14:paraId="7EB0DB03" w14:textId="77777777" w:rsidR="00504E35" w:rsidRDefault="00504E35" w:rsidP="006F7632">
            <w:pPr>
              <w:pStyle w:val="Tabletext0"/>
              <w:spacing w:before="0" w:after="120"/>
              <w:jc w:val="left"/>
            </w:pPr>
            <w:r>
              <w:t>Consecutive NSCLC patients, 20 (91%) stage IV</w:t>
            </w:r>
          </w:p>
          <w:p w14:paraId="61CF0BA8" w14:textId="77777777" w:rsidR="00504E35" w:rsidRPr="00183E4D" w:rsidRDefault="00504E35" w:rsidP="006F7632">
            <w:pPr>
              <w:pStyle w:val="Tabletext0"/>
              <w:spacing w:before="0" w:after="120"/>
              <w:jc w:val="left"/>
            </w:pPr>
            <w:r>
              <w:t>FNA, surgical biopsy and other</w:t>
            </w:r>
          </w:p>
        </w:tc>
        <w:tc>
          <w:tcPr>
            <w:tcW w:w="1961" w:type="dxa"/>
            <w:tcBorders>
              <w:top w:val="single" w:sz="4" w:space="0" w:color="auto"/>
              <w:left w:val="single" w:sz="4" w:space="0" w:color="auto"/>
              <w:bottom w:val="single" w:sz="4" w:space="0" w:color="auto"/>
              <w:right w:val="single" w:sz="4" w:space="0" w:color="auto"/>
            </w:tcBorders>
          </w:tcPr>
          <w:p w14:paraId="5EFF18C0" w14:textId="77777777" w:rsidR="00504E35" w:rsidRPr="00183E4D" w:rsidRDefault="00504E35" w:rsidP="006F7632">
            <w:pPr>
              <w:pStyle w:val="Tabletext0"/>
              <w:spacing w:before="0" w:after="120"/>
              <w:jc w:val="left"/>
            </w:pPr>
            <w:r w:rsidRPr="00466470">
              <w:t>NGS using customised NSCLC panel of 467 genes</w:t>
            </w:r>
          </w:p>
        </w:tc>
        <w:tc>
          <w:tcPr>
            <w:tcW w:w="2399" w:type="dxa"/>
            <w:tcBorders>
              <w:top w:val="single" w:sz="4" w:space="0" w:color="auto"/>
              <w:left w:val="single" w:sz="4" w:space="0" w:color="auto"/>
              <w:bottom w:val="single" w:sz="4" w:space="0" w:color="auto"/>
              <w:right w:val="single" w:sz="4" w:space="0" w:color="auto"/>
            </w:tcBorders>
          </w:tcPr>
          <w:p w14:paraId="7B656D17" w14:textId="77777777" w:rsidR="00504E35" w:rsidRDefault="00504E35" w:rsidP="006F7632">
            <w:pPr>
              <w:pStyle w:val="Tabletext0"/>
              <w:spacing w:before="0" w:after="120"/>
              <w:jc w:val="left"/>
            </w:pPr>
            <w:r>
              <w:t xml:space="preserve">SS for </w:t>
            </w:r>
            <w:r w:rsidRPr="007F786A">
              <w:rPr>
                <w:i/>
              </w:rPr>
              <w:t>EGFR</w:t>
            </w:r>
            <w:r>
              <w:t>,</w:t>
            </w:r>
          </w:p>
          <w:p w14:paraId="7D170868" w14:textId="77777777" w:rsidR="00504E35" w:rsidRPr="00183E4D" w:rsidRDefault="00504E35" w:rsidP="006F7632">
            <w:pPr>
              <w:pStyle w:val="Tabletext0"/>
              <w:spacing w:before="0" w:after="120"/>
              <w:jc w:val="left"/>
            </w:pPr>
            <w:r>
              <w:t xml:space="preserve">FISH for </w:t>
            </w:r>
            <w:r w:rsidRPr="00547C61">
              <w:rPr>
                <w:i/>
              </w:rPr>
              <w:t>ALK</w:t>
            </w:r>
          </w:p>
        </w:tc>
        <w:tc>
          <w:tcPr>
            <w:tcW w:w="1661" w:type="dxa"/>
            <w:tcBorders>
              <w:top w:val="single" w:sz="4" w:space="0" w:color="auto"/>
              <w:left w:val="single" w:sz="4" w:space="0" w:color="auto"/>
              <w:bottom w:val="single" w:sz="4" w:space="0" w:color="auto"/>
              <w:right w:val="single" w:sz="4" w:space="0" w:color="auto"/>
            </w:tcBorders>
          </w:tcPr>
          <w:p w14:paraId="77AA8420" w14:textId="77777777" w:rsidR="00504E35" w:rsidRPr="00183E4D" w:rsidRDefault="00504E35" w:rsidP="006F7632">
            <w:pPr>
              <w:pStyle w:val="Tabletext0"/>
              <w:spacing w:before="0" w:after="120"/>
              <w:jc w:val="left"/>
            </w:pPr>
            <w:r>
              <w:t>Concordance</w:t>
            </w:r>
          </w:p>
        </w:tc>
      </w:tr>
      <w:tr w:rsidR="00504E35" w:rsidRPr="00183E4D" w14:paraId="19CA13CD"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7494EB6" w14:textId="02DB94D5" w:rsidR="00504E35" w:rsidRPr="00183E4D" w:rsidRDefault="00B4668F" w:rsidP="00B4668F">
            <w:pPr>
              <w:pStyle w:val="Tabletext0"/>
              <w:spacing w:before="0" w:after="120"/>
              <w:jc w:val="left"/>
            </w:pPr>
            <w:r>
              <w:fldChar w:fldCharType="begin"/>
            </w:r>
            <w:r>
              <w:instrText xml:space="preserve"> ADDIN EN.CITE &lt;EndNote&gt;&lt;Cite&gt;&lt;Author&gt;DiBardino&lt;/Author&gt;&lt;Year&gt;2016&lt;/Year&gt;&lt;RecNum&gt;66&lt;/RecNum&gt;&lt;IDText&gt;517-+&lt;/IDText&gt;&lt;DisplayText&gt;(DiBardino et al. 2016)&lt;/DisplayText&gt;&lt;record&gt;&lt;rec-number&gt;66&lt;/rec-number&gt;&lt;foreign-keys&gt;&lt;key app="EN" db-id="0tprsse9cpp5r3ea5dz5p0xw2pfwvwxpa5a5" timestamp="1651814838"&gt;66&lt;/key&gt;&lt;/foreign-keys&gt;&lt;ref-type name="Journal Article"&gt;17&lt;/ref-type&gt;&lt;contributors&gt;&lt;authors&gt;&lt;author&gt;DiBardino, D. M.&lt;/author&gt;&lt;author&gt;Saqi, A.&lt;/author&gt;&lt;author&gt;Elvin, J. A.&lt;/author&gt;&lt;author&gt;Greenbowe, J.&lt;/author&gt;&lt;author&gt;Suh, J. H.&lt;/author&gt;&lt;author&gt;Miller, V. A.&lt;/author&gt;&lt;author&gt;Ali, S. M.&lt;/author&gt;&lt;author&gt;Stoopler, M.&lt;/author&gt;&lt;author&gt;Bulman, W. A.&lt;/author&gt;&lt;/authors&gt;&lt;/contributors&gt;&lt;titles&gt;&lt;title&gt;Yield and Clinical Utility of Next-Generation Sequencing in Selected Patients With Lung Adenocarcinoma&lt;/title&gt;&lt;secondary-title&gt;Clinical Lung Cancer&lt;/secondary-title&gt;&lt;/titles&gt;&lt;periodical&gt;&lt;full-title&gt;Clinical Lung Cancer&lt;/full-title&gt;&lt;/periodical&gt;&lt;pages&gt;517-+&lt;/pages&gt;&lt;volume&gt;17&lt;/volume&gt;&lt;number&gt;6&lt;/number&gt;&lt;dates&gt;&lt;year&gt;2016&lt;/year&gt;&lt;pub-dates&gt;&lt;date&gt;Nov&lt;/date&gt;&lt;/pub-dates&gt;&lt;/dates&gt;&lt;isbn&gt;1525-7304&lt;/isbn&gt;&lt;accession-num&gt;WOS:000386329500006&lt;/accession-num&gt;&lt;urls&gt;&lt;related-urls&gt;&lt;url&gt;&lt;style face="underline" font="default" size="100%"&gt;&amp;lt;Go to ISI&amp;gt;://WOS:000386329500006&lt;/style&gt;&lt;/url&gt;&lt;url&gt;&lt;style face="underline" font="default" size="100%"&gt;https://ac.els-cdn.com/S1525730416301334/1-s2.0-S1525730416301334-main.pdf?_tid=88836b01-beeb-4440-9c4c-11e1353c1d27&amp;amp;acdnat=1548814245_225f28b86c26e094b8379606d5e03732&lt;/style&gt;&lt;/url&gt;&lt;/related-urls&gt;&lt;/urls&gt;&lt;electronic-resource-num&gt;10.1016/j.cllc.2016.05.017&lt;/electronic-resource-num&gt;&lt;research-notes&gt;management data. can&amp;apos;t extract 2x2 concordance. &lt;/research-notes&gt;&lt;/record&gt;&lt;/Cite&gt;&lt;/EndNote&gt;</w:instrText>
            </w:r>
            <w:r>
              <w:fldChar w:fldCharType="separate"/>
            </w:r>
            <w:r>
              <w:rPr>
                <w:noProof/>
              </w:rPr>
              <w:t>(DiBardino et al. 2016)</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25D8BEA" w14:textId="77777777" w:rsidR="00504E35" w:rsidRDefault="00504E35" w:rsidP="006F7632">
            <w:pPr>
              <w:pStyle w:val="Tabletext0"/>
              <w:spacing w:before="0" w:after="120"/>
              <w:jc w:val="left"/>
            </w:pPr>
            <w:r>
              <w:t>Retrospective cohort study</w:t>
            </w:r>
          </w:p>
          <w:p w14:paraId="59CD43C8" w14:textId="77777777" w:rsidR="00504E35" w:rsidRDefault="00504E35" w:rsidP="006F7632">
            <w:pPr>
              <w:pStyle w:val="Tabletext0"/>
              <w:spacing w:before="0" w:after="120"/>
              <w:jc w:val="left"/>
            </w:pPr>
            <w:r>
              <w:t>Level III-2</w:t>
            </w:r>
          </w:p>
          <w:p w14:paraId="32AE3D34" w14:textId="77777777" w:rsidR="00504E35" w:rsidRPr="00183E4D" w:rsidRDefault="00504E35" w:rsidP="006F7632">
            <w:pPr>
              <w:pStyle w:val="Tabletext0"/>
              <w:spacing w:before="0" w:after="120"/>
              <w:jc w:val="left"/>
            </w:pPr>
            <w:r>
              <w:t>Low to moderate risk of bias (QUADAS 2)</w:t>
            </w:r>
          </w:p>
        </w:tc>
        <w:tc>
          <w:tcPr>
            <w:tcW w:w="1770" w:type="dxa"/>
            <w:tcBorders>
              <w:top w:val="single" w:sz="4" w:space="0" w:color="auto"/>
              <w:left w:val="single" w:sz="4" w:space="0" w:color="auto"/>
              <w:bottom w:val="single" w:sz="4" w:space="0" w:color="auto"/>
              <w:right w:val="single" w:sz="4" w:space="0" w:color="auto"/>
            </w:tcBorders>
          </w:tcPr>
          <w:p w14:paraId="616ED3CC" w14:textId="77777777" w:rsidR="00504E35" w:rsidRDefault="00504E35" w:rsidP="006F7632">
            <w:pPr>
              <w:pStyle w:val="Tabletext0"/>
              <w:spacing w:before="0" w:after="120"/>
              <w:jc w:val="left"/>
            </w:pPr>
            <w:r>
              <w:t>USA</w:t>
            </w:r>
          </w:p>
          <w:p w14:paraId="73C02621" w14:textId="77777777" w:rsidR="00504E35" w:rsidRDefault="00504E35" w:rsidP="006F7632">
            <w:pPr>
              <w:pStyle w:val="Tabletext0"/>
              <w:spacing w:before="0" w:after="120"/>
              <w:jc w:val="left"/>
            </w:pPr>
            <w:r>
              <w:t>Samples submitted for STGPT at a single centre</w:t>
            </w:r>
          </w:p>
          <w:p w14:paraId="2D83A4D8" w14:textId="77777777" w:rsidR="00504E35" w:rsidRPr="00183E4D" w:rsidRDefault="00504E35" w:rsidP="006F7632">
            <w:pPr>
              <w:pStyle w:val="Tabletext0"/>
              <w:spacing w:before="0" w:after="120"/>
              <w:jc w:val="left"/>
            </w:pPr>
            <w:r>
              <w:t>12 months</w:t>
            </w:r>
          </w:p>
        </w:tc>
        <w:tc>
          <w:tcPr>
            <w:tcW w:w="2215" w:type="dxa"/>
            <w:tcBorders>
              <w:top w:val="single" w:sz="4" w:space="0" w:color="auto"/>
              <w:left w:val="single" w:sz="4" w:space="0" w:color="auto"/>
              <w:bottom w:val="single" w:sz="4" w:space="0" w:color="auto"/>
              <w:right w:val="single" w:sz="4" w:space="0" w:color="auto"/>
            </w:tcBorders>
          </w:tcPr>
          <w:p w14:paraId="2E57B8D4" w14:textId="77777777" w:rsidR="00504E35" w:rsidRDefault="00504E35" w:rsidP="006F7632">
            <w:pPr>
              <w:pStyle w:val="Tabletext0"/>
              <w:spacing w:before="0" w:after="120"/>
              <w:jc w:val="left"/>
            </w:pPr>
            <w:r>
              <w:t>N=49</w:t>
            </w:r>
          </w:p>
          <w:p w14:paraId="765A65FE" w14:textId="77777777" w:rsidR="00504E35" w:rsidRDefault="00504E35" w:rsidP="006F7632">
            <w:pPr>
              <w:pStyle w:val="TableText"/>
              <w:spacing w:before="0" w:after="120"/>
              <w:rPr>
                <w:snapToGrid w:val="0"/>
              </w:rPr>
            </w:pPr>
            <w:r>
              <w:rPr>
                <w:snapToGrid w:val="0"/>
              </w:rPr>
              <w:t>NSCLC patient case series, 30 (61%) metastatic</w:t>
            </w:r>
          </w:p>
          <w:p w14:paraId="0507BE55" w14:textId="77777777" w:rsidR="00504E35" w:rsidRDefault="00504E35" w:rsidP="006F7632">
            <w:pPr>
              <w:pStyle w:val="Tabletext0"/>
              <w:spacing w:before="0" w:after="120"/>
              <w:jc w:val="left"/>
              <w:rPr>
                <w:snapToGrid w:val="0"/>
              </w:rPr>
            </w:pPr>
            <w:r>
              <w:rPr>
                <w:snapToGrid w:val="0"/>
              </w:rPr>
              <w:t>Surgical lung, lymph node and metastatic tumour samples, cytological samples</w:t>
            </w:r>
          </w:p>
          <w:p w14:paraId="151D7C80" w14:textId="77777777" w:rsidR="00504E35" w:rsidRPr="00183E4D" w:rsidRDefault="00504E35" w:rsidP="006F7632">
            <w:pPr>
              <w:pStyle w:val="Tabletext0"/>
              <w:spacing w:before="0" w:after="120"/>
              <w:jc w:val="left"/>
            </w:pPr>
            <w:r>
              <w:rPr>
                <w:snapToGrid w:val="0"/>
              </w:rPr>
              <w:t>100% adenocarcinoma</w:t>
            </w:r>
          </w:p>
        </w:tc>
        <w:tc>
          <w:tcPr>
            <w:tcW w:w="1961" w:type="dxa"/>
            <w:tcBorders>
              <w:top w:val="single" w:sz="4" w:space="0" w:color="auto"/>
              <w:left w:val="single" w:sz="4" w:space="0" w:color="auto"/>
              <w:bottom w:val="single" w:sz="4" w:space="0" w:color="auto"/>
              <w:right w:val="single" w:sz="4" w:space="0" w:color="auto"/>
            </w:tcBorders>
          </w:tcPr>
          <w:p w14:paraId="273E0821" w14:textId="77777777" w:rsidR="00504E35" w:rsidRPr="00183E4D" w:rsidRDefault="00504E35" w:rsidP="006F7632">
            <w:pPr>
              <w:pStyle w:val="Tabletext0"/>
              <w:spacing w:before="0" w:after="120"/>
              <w:jc w:val="left"/>
            </w:pPr>
            <w:r w:rsidRPr="00762C49">
              <w:t>Hybridisation capture and sequencing of exons of 236 genes and 19 rearrangement</w:t>
            </w:r>
          </w:p>
        </w:tc>
        <w:tc>
          <w:tcPr>
            <w:tcW w:w="2399" w:type="dxa"/>
            <w:tcBorders>
              <w:top w:val="single" w:sz="4" w:space="0" w:color="auto"/>
              <w:left w:val="single" w:sz="4" w:space="0" w:color="auto"/>
              <w:bottom w:val="single" w:sz="4" w:space="0" w:color="auto"/>
              <w:right w:val="single" w:sz="4" w:space="0" w:color="auto"/>
            </w:tcBorders>
          </w:tcPr>
          <w:p w14:paraId="11CA945C" w14:textId="77777777" w:rsidR="00504E35" w:rsidRPr="00183E4D" w:rsidRDefault="00504E35" w:rsidP="006F7632">
            <w:pPr>
              <w:pStyle w:val="Tabletext0"/>
              <w:spacing w:before="0" w:after="120"/>
              <w:jc w:val="left"/>
            </w:pPr>
            <w:r w:rsidRPr="00762C49">
              <w:t xml:space="preserve">Single gene assay for </w:t>
            </w:r>
            <w:r w:rsidRPr="007F786A">
              <w:rPr>
                <w:i/>
              </w:rPr>
              <w:t>EGFR</w:t>
            </w:r>
            <w:r w:rsidRPr="00762C49">
              <w:t xml:space="preserve"> (n=25), FISH for </w:t>
            </w:r>
            <w:r w:rsidRPr="00547C61">
              <w:rPr>
                <w:i/>
              </w:rPr>
              <w:t>ALK</w:t>
            </w:r>
            <w:r w:rsidRPr="00762C49">
              <w:t xml:space="preserve"> (n=20)</w:t>
            </w:r>
          </w:p>
        </w:tc>
        <w:tc>
          <w:tcPr>
            <w:tcW w:w="1661" w:type="dxa"/>
            <w:tcBorders>
              <w:top w:val="single" w:sz="4" w:space="0" w:color="auto"/>
              <w:left w:val="single" w:sz="4" w:space="0" w:color="auto"/>
              <w:bottom w:val="single" w:sz="4" w:space="0" w:color="auto"/>
              <w:right w:val="single" w:sz="4" w:space="0" w:color="auto"/>
            </w:tcBorders>
          </w:tcPr>
          <w:p w14:paraId="23AA5402" w14:textId="77777777" w:rsidR="00504E35" w:rsidRDefault="00504E35" w:rsidP="006F7632">
            <w:pPr>
              <w:pStyle w:val="Tabletext0"/>
              <w:spacing w:before="0" w:after="120"/>
              <w:jc w:val="left"/>
            </w:pPr>
            <w:r>
              <w:t>Test failure rate</w:t>
            </w:r>
          </w:p>
          <w:p w14:paraId="5865883F" w14:textId="77777777" w:rsidR="00504E35" w:rsidRDefault="00504E35" w:rsidP="006F7632">
            <w:pPr>
              <w:pStyle w:val="Tabletext0"/>
              <w:spacing w:before="0" w:after="120"/>
              <w:jc w:val="left"/>
            </w:pPr>
            <w:r>
              <w:t>Inadequate sample rate</w:t>
            </w:r>
          </w:p>
          <w:p w14:paraId="4A28C994" w14:textId="77777777" w:rsidR="00504E35" w:rsidRPr="00183E4D" w:rsidRDefault="00504E35" w:rsidP="006F7632">
            <w:pPr>
              <w:pStyle w:val="Tabletext0"/>
              <w:spacing w:before="0" w:after="120"/>
              <w:jc w:val="left"/>
            </w:pPr>
            <w:r>
              <w:t>Concordance</w:t>
            </w:r>
          </w:p>
        </w:tc>
      </w:tr>
      <w:tr w:rsidR="00504E35" w14:paraId="2B22471E"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8665B90" w14:textId="4A301758" w:rsidR="00504E35" w:rsidRDefault="00B4668F" w:rsidP="00B4668F">
            <w:pPr>
              <w:pStyle w:val="Tabletext0"/>
              <w:spacing w:before="0" w:after="120"/>
              <w:jc w:val="left"/>
            </w:pPr>
            <w:r>
              <w:fldChar w:fldCharType="begin"/>
            </w:r>
            <w:r>
              <w:instrText xml:space="preserve"> ADDIN EN.CITE &lt;EndNote&gt;&lt;Cite&gt;&lt;Author&gt;Fernandes&lt;/Author&gt;&lt;Year&gt;2019&lt;/Year&gt;&lt;RecNum&gt;159&lt;/RecNum&gt;&lt;IDText&gt;1229-NA&lt;/IDText&gt;&lt;DisplayText&gt;(Fernandes et al. 2019)&lt;/DisplayText&gt;&lt;record&gt;&lt;rec-number&gt;159&lt;/rec-number&gt;&lt;foreign-keys&gt;&lt;key app="EN" db-id="0tprsse9cpp5r3ea5dz5p0xw2pfwvwxpa5a5" timestamp="1655264277"&gt;159&lt;/key&gt;&lt;/foreign-keys&gt;&lt;ref-type name="Journal Article"&gt;17&lt;/ref-type&gt;&lt;contributors&gt;&lt;authors&gt;&lt;author&gt;Fernandes, Maria Gabriela O.&lt;/author&gt;&lt;author&gt;Jacob, Maria&lt;/author&gt;&lt;author&gt;Martins, Natália&lt;/author&gt;&lt;author&gt;Moura, Conceição Souto&lt;/author&gt;&lt;author&gt;Guimarães, Susana&lt;/author&gt;&lt;author&gt;Reis, Joana Pereira&lt;/author&gt;&lt;author&gt;Justino, Ana&lt;/author&gt;&lt;author&gt;Pina, Maria João&lt;/author&gt;&lt;author&gt;Cirnes, Luis&lt;/author&gt;&lt;author&gt;Sousa, Catarina&lt;/author&gt;&lt;author&gt;Pinto, Josué&lt;/author&gt;&lt;author&gt;Marques, José Agostinho&lt;/author&gt;&lt;author&gt;Machado, José Carlos&lt;/author&gt;&lt;author&gt;Hespanhol, Venceslau&lt;/author&gt;&lt;author&gt;Costa, José Luis&lt;/author&gt;&lt;/authors&gt;&lt;/contributors&gt;&lt;titles&gt;&lt;title&gt;Targeted Gene Next-Generation Sequencing Panel in Patients with Advanced Lung Adenocarcinoma: Paving the Way for Clinical Implementation&lt;/title&gt;&lt;secondary-title&gt;Cancers&lt;/secondary-title&gt;&lt;/titles&gt;&lt;periodical&gt;&lt;full-title&gt;Cancers&lt;/full-title&gt;&lt;/periodical&gt;&lt;pages&gt;1229-NA&lt;/pages&gt;&lt;volume&gt;11&lt;/volume&gt;&lt;number&gt;9&lt;/number&gt;&lt;dates&gt;&lt;year&gt;2019&lt;/year&gt;&lt;/dates&gt;&lt;urls&gt;&lt;related-urls&gt;&lt;url&gt;https://mdpi-res.com/d_attachment/cancers/cancers-11-01229/article_deploy/cancers-11-01229.pdf?version=1566477861&lt;/url&gt;&lt;/related-urls&gt;&lt;/urls&gt;&lt;electronic-resource-num&gt;10.3390/cancers11091229&lt;/electronic-resource-num&gt;&lt;research-notes&gt;P - Include - concordance with Sanger EGFR&lt;/research-notes&gt;&lt;/record&gt;&lt;/Cite&gt;&lt;/EndNote&gt;</w:instrText>
            </w:r>
            <w:r>
              <w:fldChar w:fldCharType="separate"/>
            </w:r>
            <w:r>
              <w:rPr>
                <w:noProof/>
              </w:rPr>
              <w:t>(Fernandes et al. 2019)</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9D39715" w14:textId="77777777" w:rsidR="00504E35" w:rsidRDefault="00504E35" w:rsidP="006F7632">
            <w:pPr>
              <w:spacing w:before="0" w:after="120"/>
              <w:rPr>
                <w:rFonts w:ascii="Arial Narrow" w:eastAsia="Arial Narrow" w:hAnsi="Arial Narrow" w:cs="Arial Narrow"/>
              </w:rPr>
            </w:pPr>
            <w:r w:rsidRPr="006C1B1D">
              <w:rPr>
                <w:rFonts w:ascii="Arial Narrow" w:eastAsia="Arial Narrow" w:hAnsi="Arial Narrow" w:cs="Arial Narrow"/>
              </w:rPr>
              <w:t>Retrospective cohort study</w:t>
            </w:r>
          </w:p>
          <w:p w14:paraId="1557A62C" w14:textId="77777777" w:rsidR="00504E35" w:rsidRDefault="00504E35" w:rsidP="006F7632">
            <w:pPr>
              <w:spacing w:before="0" w:after="120"/>
              <w:rPr>
                <w:rFonts w:ascii="Arial Narrow" w:eastAsia="Arial Narrow" w:hAnsi="Arial Narrow" w:cs="Arial Narrow"/>
              </w:rPr>
            </w:pPr>
            <w:r>
              <w:rPr>
                <w:rFonts w:ascii="Arial Narrow" w:eastAsia="Arial Narrow" w:hAnsi="Arial Narrow" w:cs="Arial Narrow"/>
              </w:rPr>
              <w:t>Level III-2</w:t>
            </w:r>
          </w:p>
          <w:p w14:paraId="5E8E9989" w14:textId="77777777" w:rsidR="00504E35" w:rsidRDefault="00504E35" w:rsidP="006F7632">
            <w:pPr>
              <w:spacing w:before="0" w:after="120"/>
              <w:rPr>
                <w:rFonts w:eastAsia="Franklin Gothic Book" w:cs="Franklin Gothic Book"/>
              </w:rPr>
            </w:pPr>
            <w:r>
              <w:rPr>
                <w:rFonts w:ascii="Arial Narrow" w:eastAsia="Arial Narrow" w:hAnsi="Arial Narrow" w:cs="Arial Narrow"/>
              </w:rPr>
              <w:lastRenderedPageBreak/>
              <w:t xml:space="preserve">Low to moderate risk of bias </w:t>
            </w:r>
            <w:r w:rsidRPr="00B718E1">
              <w:rPr>
                <w:rFonts w:ascii="Arial Narrow" w:hAnsi="Arial Narrow" w:cs="Tahoma"/>
              </w:rPr>
              <w:t>(QUADAS 2)</w:t>
            </w:r>
          </w:p>
        </w:tc>
        <w:tc>
          <w:tcPr>
            <w:tcW w:w="1770" w:type="dxa"/>
            <w:tcBorders>
              <w:top w:val="single" w:sz="4" w:space="0" w:color="auto"/>
              <w:left w:val="single" w:sz="4" w:space="0" w:color="auto"/>
              <w:bottom w:val="single" w:sz="4" w:space="0" w:color="auto"/>
              <w:right w:val="single" w:sz="4" w:space="0" w:color="auto"/>
            </w:tcBorders>
          </w:tcPr>
          <w:p w14:paraId="1FA4F569" w14:textId="77777777" w:rsidR="00504E35" w:rsidRPr="006C1B1D" w:rsidRDefault="00504E35" w:rsidP="006F7632">
            <w:pPr>
              <w:spacing w:before="0" w:after="120"/>
              <w:rPr>
                <w:rFonts w:ascii="Arial Narrow" w:eastAsia="Arial Narrow" w:hAnsi="Arial Narrow" w:cs="Arial Narrow"/>
              </w:rPr>
            </w:pPr>
            <w:r w:rsidRPr="7579F35B">
              <w:rPr>
                <w:rFonts w:ascii="Arial Narrow" w:eastAsia="Arial Narrow" w:hAnsi="Arial Narrow" w:cs="Arial Narrow"/>
              </w:rPr>
              <w:lastRenderedPageBreak/>
              <w:t>Portugal</w:t>
            </w:r>
          </w:p>
          <w:p w14:paraId="1667926A" w14:textId="77777777" w:rsidR="00504E35" w:rsidRPr="006C1B1D" w:rsidRDefault="00504E35" w:rsidP="006F7632">
            <w:pPr>
              <w:spacing w:before="0" w:after="120"/>
              <w:rPr>
                <w:rFonts w:ascii="Arial Narrow" w:eastAsia="Arial Narrow" w:hAnsi="Arial Narrow" w:cs="Arial Narrow"/>
              </w:rPr>
            </w:pPr>
            <w:r w:rsidRPr="7579F35B">
              <w:rPr>
                <w:rFonts w:ascii="Arial Narrow" w:eastAsia="Arial Narrow" w:hAnsi="Arial Narrow" w:cs="Arial Narrow"/>
              </w:rPr>
              <w:t>Samples from patients at a single centre</w:t>
            </w:r>
          </w:p>
          <w:p w14:paraId="1E68BB1C" w14:textId="77777777" w:rsidR="00504E35" w:rsidRPr="006C1B1D" w:rsidRDefault="00504E35" w:rsidP="006F7632">
            <w:pPr>
              <w:pStyle w:val="Tabletext0"/>
              <w:spacing w:before="0" w:after="120"/>
              <w:jc w:val="left"/>
              <w:rPr>
                <w:rFonts w:eastAsia="Arial Narrow" w:cs="Arial Narrow"/>
                <w:lang w:eastAsia="en-US"/>
              </w:rPr>
            </w:pPr>
            <w:r w:rsidRPr="006C1B1D">
              <w:rPr>
                <w:rFonts w:eastAsia="Arial Narrow" w:cs="Arial Narrow"/>
                <w:lang w:eastAsia="en-US"/>
              </w:rPr>
              <w:lastRenderedPageBreak/>
              <w:t>Follow up time not specified</w:t>
            </w:r>
          </w:p>
        </w:tc>
        <w:tc>
          <w:tcPr>
            <w:tcW w:w="2215" w:type="dxa"/>
            <w:tcBorders>
              <w:top w:val="single" w:sz="4" w:space="0" w:color="auto"/>
              <w:left w:val="single" w:sz="4" w:space="0" w:color="auto"/>
              <w:bottom w:val="single" w:sz="4" w:space="0" w:color="auto"/>
              <w:right w:val="single" w:sz="4" w:space="0" w:color="auto"/>
            </w:tcBorders>
          </w:tcPr>
          <w:p w14:paraId="32DEE967" w14:textId="77777777" w:rsidR="00504E35" w:rsidRPr="006C1B1D" w:rsidRDefault="00504E35" w:rsidP="006F7632">
            <w:pPr>
              <w:spacing w:before="0" w:after="120"/>
              <w:rPr>
                <w:rFonts w:ascii="Arial Narrow" w:eastAsia="Arial Narrow" w:hAnsi="Arial Narrow" w:cs="Arial Narrow"/>
              </w:rPr>
            </w:pPr>
            <w:r w:rsidRPr="7579F35B">
              <w:rPr>
                <w:rFonts w:ascii="Arial Narrow" w:eastAsia="Arial Narrow" w:hAnsi="Arial Narrow" w:cs="Arial Narrow"/>
              </w:rPr>
              <w:lastRenderedPageBreak/>
              <w:t>N=117</w:t>
            </w:r>
          </w:p>
          <w:p w14:paraId="2CACF228" w14:textId="77777777" w:rsidR="00504E35" w:rsidRPr="006C1B1D" w:rsidRDefault="00504E35" w:rsidP="006F7632">
            <w:pPr>
              <w:spacing w:before="0" w:after="120"/>
              <w:rPr>
                <w:rFonts w:ascii="Arial Narrow" w:eastAsia="Arial Narrow" w:hAnsi="Arial Narrow" w:cs="Arial Narrow"/>
              </w:rPr>
            </w:pPr>
            <w:r w:rsidRPr="7579F35B">
              <w:rPr>
                <w:rFonts w:ascii="Arial Narrow" w:eastAsia="Arial Narrow" w:hAnsi="Arial Narrow" w:cs="Arial Narrow"/>
              </w:rPr>
              <w:t xml:space="preserve">Patients with advanced lung adenocarcinoma, </w:t>
            </w:r>
            <w:r w:rsidRPr="7579F35B">
              <w:rPr>
                <w:rFonts w:ascii="Arial Narrow" w:eastAsia="Arial Narrow" w:hAnsi="Arial Narrow" w:cs="Arial Narrow"/>
              </w:rPr>
              <w:lastRenderedPageBreak/>
              <w:t xml:space="preserve">previously tested for </w:t>
            </w:r>
            <w:r w:rsidRPr="00B718E1">
              <w:rPr>
                <w:rFonts w:ascii="Arial Narrow" w:eastAsia="Arial Narrow" w:hAnsi="Arial Narrow" w:cs="Arial Narrow"/>
                <w:i/>
              </w:rPr>
              <w:t>EGFR</w:t>
            </w:r>
            <w:r w:rsidRPr="7579F35B">
              <w:rPr>
                <w:rFonts w:ascii="Arial Narrow" w:eastAsia="Arial Narrow" w:hAnsi="Arial Narrow" w:cs="Arial Narrow"/>
              </w:rPr>
              <w:t xml:space="preserve"> and </w:t>
            </w:r>
            <w:r w:rsidRPr="00B718E1">
              <w:rPr>
                <w:rFonts w:ascii="Arial Narrow" w:eastAsia="Arial Narrow" w:hAnsi="Arial Narrow" w:cs="Arial Narrow"/>
                <w:i/>
              </w:rPr>
              <w:t>ALK</w:t>
            </w:r>
          </w:p>
          <w:p w14:paraId="01D2A4ED" w14:textId="77777777" w:rsidR="00504E35" w:rsidRPr="006C1B1D" w:rsidRDefault="00504E35" w:rsidP="006F7632">
            <w:pPr>
              <w:pStyle w:val="Tabletext0"/>
              <w:spacing w:before="0" w:after="120"/>
              <w:jc w:val="left"/>
              <w:rPr>
                <w:rFonts w:eastAsia="Arial Narrow" w:cs="Arial Narrow"/>
                <w:lang w:eastAsia="en-US"/>
              </w:rPr>
            </w:pPr>
            <w:r w:rsidRPr="006C1B1D">
              <w:rPr>
                <w:rFonts w:eastAsia="Arial Narrow" w:cs="Arial Narrow"/>
                <w:lang w:eastAsia="en-US"/>
              </w:rPr>
              <w:t>Biopsy and cytology specimens</w:t>
            </w:r>
          </w:p>
        </w:tc>
        <w:tc>
          <w:tcPr>
            <w:tcW w:w="1961" w:type="dxa"/>
            <w:tcBorders>
              <w:top w:val="single" w:sz="4" w:space="0" w:color="auto"/>
              <w:left w:val="single" w:sz="4" w:space="0" w:color="auto"/>
              <w:bottom w:val="single" w:sz="4" w:space="0" w:color="auto"/>
              <w:right w:val="single" w:sz="4" w:space="0" w:color="auto"/>
            </w:tcBorders>
          </w:tcPr>
          <w:p w14:paraId="090DDB03" w14:textId="77777777" w:rsidR="00504E35" w:rsidRPr="006C1B1D" w:rsidRDefault="00504E35" w:rsidP="006F7632">
            <w:pPr>
              <w:pStyle w:val="Tabletext0"/>
              <w:spacing w:before="0" w:after="120"/>
              <w:jc w:val="left"/>
              <w:rPr>
                <w:rFonts w:eastAsia="Arial Narrow" w:cs="Arial Narrow"/>
                <w:lang w:eastAsia="en-US"/>
              </w:rPr>
            </w:pPr>
            <w:r w:rsidRPr="006C1B1D">
              <w:rPr>
                <w:rFonts w:eastAsia="Arial Narrow" w:cs="Arial Narrow"/>
                <w:lang w:eastAsia="en-US"/>
              </w:rPr>
              <w:lastRenderedPageBreak/>
              <w:t>NGS colon and lung cancer research panel, 22 genes</w:t>
            </w:r>
          </w:p>
        </w:tc>
        <w:tc>
          <w:tcPr>
            <w:tcW w:w="2399" w:type="dxa"/>
            <w:tcBorders>
              <w:top w:val="single" w:sz="4" w:space="0" w:color="auto"/>
              <w:left w:val="single" w:sz="4" w:space="0" w:color="auto"/>
              <w:bottom w:val="single" w:sz="4" w:space="0" w:color="auto"/>
              <w:right w:val="single" w:sz="4" w:space="0" w:color="auto"/>
            </w:tcBorders>
          </w:tcPr>
          <w:p w14:paraId="7397BD6F" w14:textId="77777777" w:rsidR="00504E35" w:rsidRPr="006C1B1D" w:rsidRDefault="00504E35" w:rsidP="006F7632">
            <w:pPr>
              <w:pStyle w:val="Tabletext0"/>
              <w:spacing w:before="0" w:after="120"/>
              <w:jc w:val="left"/>
              <w:rPr>
                <w:rFonts w:eastAsia="Arial Narrow" w:cs="Arial Narrow"/>
                <w:lang w:eastAsia="en-US"/>
              </w:rPr>
            </w:pPr>
            <w:r w:rsidRPr="006C1B1D">
              <w:rPr>
                <w:rFonts w:eastAsia="Arial Narrow" w:cs="Arial Narrow"/>
                <w:lang w:eastAsia="en-US"/>
              </w:rPr>
              <w:t xml:space="preserve">Sequential testing using SS and FISH for </w:t>
            </w:r>
            <w:r w:rsidRPr="00B718E1">
              <w:rPr>
                <w:rFonts w:eastAsia="Arial Narrow" w:cs="Arial Narrow"/>
                <w:i/>
                <w:lang w:eastAsia="en-US"/>
              </w:rPr>
              <w:t>EGFR</w:t>
            </w:r>
            <w:r w:rsidRPr="006C1B1D">
              <w:rPr>
                <w:rFonts w:eastAsia="Arial Narrow" w:cs="Arial Narrow"/>
                <w:lang w:eastAsia="en-US"/>
              </w:rPr>
              <w:t xml:space="preserve"> and </w:t>
            </w:r>
            <w:r w:rsidRPr="00B718E1">
              <w:rPr>
                <w:rFonts w:eastAsia="Arial Narrow" w:cs="Arial Narrow"/>
                <w:i/>
                <w:lang w:eastAsia="en-US"/>
              </w:rPr>
              <w:t>ALK</w:t>
            </w:r>
          </w:p>
        </w:tc>
        <w:tc>
          <w:tcPr>
            <w:tcW w:w="1661" w:type="dxa"/>
            <w:tcBorders>
              <w:top w:val="single" w:sz="4" w:space="0" w:color="auto"/>
              <w:left w:val="single" w:sz="4" w:space="0" w:color="auto"/>
              <w:bottom w:val="single" w:sz="4" w:space="0" w:color="auto"/>
              <w:right w:val="single" w:sz="4" w:space="0" w:color="auto"/>
            </w:tcBorders>
          </w:tcPr>
          <w:p w14:paraId="1F4B36C4" w14:textId="77777777" w:rsidR="00504E35" w:rsidRDefault="00504E35" w:rsidP="006F7632">
            <w:pPr>
              <w:pStyle w:val="TableText"/>
              <w:spacing w:before="0" w:after="120"/>
            </w:pPr>
            <w:r>
              <w:t>Concordance</w:t>
            </w:r>
          </w:p>
          <w:p w14:paraId="2380B3AE" w14:textId="77777777" w:rsidR="00504E35" w:rsidRDefault="00504E35" w:rsidP="006F7632">
            <w:pPr>
              <w:pStyle w:val="Tabletext0"/>
              <w:spacing w:before="0" w:after="120"/>
              <w:jc w:val="left"/>
            </w:pPr>
            <w:r>
              <w:t>Success rate</w:t>
            </w:r>
          </w:p>
          <w:p w14:paraId="1B79CFB6" w14:textId="77777777" w:rsidR="00504E35" w:rsidRDefault="00504E35" w:rsidP="006F7632">
            <w:pPr>
              <w:pStyle w:val="TableText"/>
              <w:spacing w:before="0" w:after="120"/>
            </w:pPr>
          </w:p>
        </w:tc>
      </w:tr>
      <w:tr w:rsidR="00504E35" w:rsidRPr="00183E4D" w14:paraId="40B83150"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5D0F271C" w14:textId="32DA96D6" w:rsidR="00504E35" w:rsidRDefault="00B4668F" w:rsidP="00B4668F">
            <w:pPr>
              <w:pStyle w:val="Tabletext0"/>
              <w:spacing w:before="0" w:after="120"/>
              <w:jc w:val="left"/>
            </w:pP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 </w:instrText>
            </w: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EN.CITE.DATA </w:instrText>
            </w:r>
            <w:r>
              <w:fldChar w:fldCharType="end"/>
            </w:r>
            <w:r>
              <w:fldChar w:fldCharType="separate"/>
            </w:r>
            <w:r>
              <w:rPr>
                <w:noProof/>
              </w:rPr>
              <w:t>(Griesinger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295C3584" w14:textId="77777777" w:rsidR="00504E35" w:rsidRDefault="00504E35" w:rsidP="006F7632">
            <w:pPr>
              <w:pStyle w:val="Tabletext0"/>
              <w:spacing w:before="0" w:after="120"/>
              <w:jc w:val="left"/>
            </w:pPr>
            <w:r>
              <w:t>Prospective cohort</w:t>
            </w:r>
          </w:p>
          <w:p w14:paraId="517DC259" w14:textId="77777777" w:rsidR="00504E35" w:rsidRDefault="00504E35" w:rsidP="006F7632">
            <w:pPr>
              <w:pStyle w:val="Tabletext0"/>
              <w:spacing w:before="0" w:after="120"/>
              <w:jc w:val="left"/>
            </w:pPr>
            <w:r>
              <w:t>Level III-2</w:t>
            </w:r>
          </w:p>
          <w:p w14:paraId="6095AF6A" w14:textId="77777777" w:rsidR="00504E35" w:rsidRDefault="00504E35" w:rsidP="006F7632">
            <w:pPr>
              <w:pStyle w:val="Tabletext0"/>
              <w:spacing w:before="0" w:after="120"/>
              <w:jc w:val="left"/>
            </w:pPr>
            <w:r>
              <w:t xml:space="preserve">Low to moderate risk of bias </w:t>
            </w:r>
            <w:r w:rsidRPr="00FE1788">
              <w:t>(</w:t>
            </w:r>
            <w:r>
              <w:t>SIGN for cohorts)</w:t>
            </w:r>
          </w:p>
        </w:tc>
        <w:tc>
          <w:tcPr>
            <w:tcW w:w="1770" w:type="dxa"/>
            <w:tcBorders>
              <w:top w:val="single" w:sz="4" w:space="0" w:color="auto"/>
              <w:left w:val="single" w:sz="4" w:space="0" w:color="auto"/>
              <w:bottom w:val="single" w:sz="4" w:space="0" w:color="auto"/>
              <w:right w:val="single" w:sz="4" w:space="0" w:color="auto"/>
            </w:tcBorders>
          </w:tcPr>
          <w:p w14:paraId="6977629A" w14:textId="77777777" w:rsidR="00504E35" w:rsidRDefault="00504E35" w:rsidP="006F7632">
            <w:pPr>
              <w:spacing w:before="0" w:after="120"/>
            </w:pPr>
            <w:r w:rsidRPr="7579F35B">
              <w:rPr>
                <w:rFonts w:ascii="Arial Narrow" w:eastAsia="Arial Narrow" w:hAnsi="Arial Narrow" w:cs="Arial Narrow"/>
              </w:rPr>
              <w:t>Germany</w:t>
            </w:r>
          </w:p>
          <w:p w14:paraId="240E99C5" w14:textId="77777777" w:rsidR="00504E35" w:rsidRDefault="00504E35" w:rsidP="006F7632">
            <w:pPr>
              <w:spacing w:before="0" w:after="120"/>
              <w:rPr>
                <w:rFonts w:ascii="Arial Narrow" w:eastAsia="Arial Narrow" w:hAnsi="Arial Narrow" w:cs="Arial Narrow"/>
              </w:rPr>
            </w:pPr>
            <w:r w:rsidRPr="006C1B1D">
              <w:rPr>
                <w:rFonts w:ascii="Arial Narrow" w:eastAsia="Arial Narrow" w:hAnsi="Arial Narrow" w:cs="Arial Narrow"/>
              </w:rPr>
              <w:t>Data from a registry from 150 sites</w:t>
            </w:r>
          </w:p>
          <w:p w14:paraId="5F2DDCA7" w14:textId="77777777" w:rsidR="00504E35" w:rsidRDefault="00504E35" w:rsidP="006F7632">
            <w:pPr>
              <w:spacing w:before="0" w:after="120"/>
              <w:rPr>
                <w:rFonts w:eastAsia="Franklin Gothic Book" w:cs="Franklin Gothic Book"/>
              </w:rPr>
            </w:pPr>
            <w:r>
              <w:rPr>
                <w:rFonts w:ascii="Arial Narrow" w:eastAsia="Arial Narrow" w:hAnsi="Arial Narrow" w:cs="Arial Narrow"/>
              </w:rPr>
              <w:t>No follow-up (for turnaround time)</w:t>
            </w:r>
          </w:p>
        </w:tc>
        <w:tc>
          <w:tcPr>
            <w:tcW w:w="2215" w:type="dxa"/>
            <w:tcBorders>
              <w:top w:val="single" w:sz="4" w:space="0" w:color="auto"/>
              <w:left w:val="single" w:sz="4" w:space="0" w:color="auto"/>
              <w:bottom w:val="single" w:sz="4" w:space="0" w:color="auto"/>
              <w:right w:val="single" w:sz="4" w:space="0" w:color="auto"/>
            </w:tcBorders>
          </w:tcPr>
          <w:p w14:paraId="7D76D472" w14:textId="77777777" w:rsidR="00504E35" w:rsidRDefault="00504E35" w:rsidP="006F7632">
            <w:pPr>
              <w:pStyle w:val="Tabletext0"/>
              <w:spacing w:before="0" w:after="120"/>
              <w:rPr>
                <w:snapToGrid w:val="0"/>
              </w:rPr>
            </w:pPr>
            <w:r>
              <w:rPr>
                <w:snapToGrid w:val="0"/>
              </w:rPr>
              <w:t>N=</w:t>
            </w:r>
            <w:r w:rsidRPr="00B2083D">
              <w:rPr>
                <w:snapToGrid w:val="0"/>
              </w:rPr>
              <w:t xml:space="preserve">3,717 patients with advanced NSCLC, recruited into the CRISP registry at start of systemic therapy </w:t>
            </w:r>
          </w:p>
          <w:p w14:paraId="52C11B30" w14:textId="77777777" w:rsidR="00504E35" w:rsidRDefault="00504E35" w:rsidP="006F7632">
            <w:pPr>
              <w:pStyle w:val="Tabletext0"/>
              <w:spacing w:before="0" w:after="120"/>
              <w:rPr>
                <w:snapToGrid w:val="0"/>
              </w:rPr>
            </w:pPr>
            <w:r>
              <w:rPr>
                <w:snapToGrid w:val="0"/>
              </w:rPr>
              <w:t>78.6% non-squamous</w:t>
            </w:r>
          </w:p>
          <w:p w14:paraId="553CF15A" w14:textId="77777777" w:rsidR="00504E35" w:rsidRDefault="00504E35" w:rsidP="006F7632">
            <w:pPr>
              <w:pStyle w:val="Tabletext0"/>
              <w:spacing w:before="0" w:after="120"/>
              <w:rPr>
                <w:snapToGrid w:val="0"/>
              </w:rPr>
            </w:pPr>
            <w:r>
              <w:rPr>
                <w:snapToGrid w:val="0"/>
              </w:rPr>
              <w:t>21.4% squamous</w:t>
            </w:r>
          </w:p>
        </w:tc>
        <w:tc>
          <w:tcPr>
            <w:tcW w:w="1961" w:type="dxa"/>
            <w:tcBorders>
              <w:top w:val="single" w:sz="4" w:space="0" w:color="auto"/>
              <w:left w:val="single" w:sz="4" w:space="0" w:color="auto"/>
              <w:bottom w:val="single" w:sz="4" w:space="0" w:color="auto"/>
              <w:right w:val="single" w:sz="4" w:space="0" w:color="auto"/>
            </w:tcBorders>
          </w:tcPr>
          <w:p w14:paraId="1E03FFA3" w14:textId="77777777" w:rsidR="00504E35" w:rsidRDefault="00504E35" w:rsidP="006F7632">
            <w:pPr>
              <w:pStyle w:val="Tabletext0"/>
              <w:spacing w:before="0" w:after="120"/>
              <w:jc w:val="left"/>
            </w:pPr>
            <w:r>
              <w:t>NGS, no detailed information provided</w:t>
            </w:r>
          </w:p>
        </w:tc>
        <w:tc>
          <w:tcPr>
            <w:tcW w:w="2399" w:type="dxa"/>
            <w:tcBorders>
              <w:top w:val="single" w:sz="4" w:space="0" w:color="auto"/>
              <w:left w:val="single" w:sz="4" w:space="0" w:color="auto"/>
              <w:bottom w:val="single" w:sz="4" w:space="0" w:color="auto"/>
              <w:right w:val="single" w:sz="4" w:space="0" w:color="auto"/>
            </w:tcBorders>
          </w:tcPr>
          <w:p w14:paraId="1A72BFF2" w14:textId="77777777" w:rsidR="00504E35" w:rsidRDefault="00504E35" w:rsidP="006F7632">
            <w:pPr>
              <w:pStyle w:val="Tabletext0"/>
              <w:spacing w:before="0" w:after="120"/>
              <w:jc w:val="left"/>
            </w:pPr>
            <w:r>
              <w:t>IHC, FISH and other sequencing, no detailed information provided</w:t>
            </w:r>
          </w:p>
        </w:tc>
        <w:tc>
          <w:tcPr>
            <w:tcW w:w="1661" w:type="dxa"/>
            <w:tcBorders>
              <w:top w:val="single" w:sz="4" w:space="0" w:color="auto"/>
              <w:left w:val="single" w:sz="4" w:space="0" w:color="auto"/>
              <w:bottom w:val="single" w:sz="4" w:space="0" w:color="auto"/>
              <w:right w:val="single" w:sz="4" w:space="0" w:color="auto"/>
            </w:tcBorders>
          </w:tcPr>
          <w:p w14:paraId="3F3A7570" w14:textId="77777777" w:rsidR="00504E35" w:rsidRDefault="00504E35" w:rsidP="006F7632">
            <w:pPr>
              <w:pStyle w:val="TableText"/>
              <w:keepLines/>
              <w:spacing w:before="0" w:after="120"/>
            </w:pPr>
            <w:r>
              <w:t>Turnaround time</w:t>
            </w:r>
          </w:p>
        </w:tc>
      </w:tr>
      <w:tr w:rsidR="00504E35" w:rsidRPr="00183E4D" w14:paraId="176B273C"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548ABEA" w14:textId="1B5B5F3B" w:rsidR="00504E35" w:rsidRDefault="00B4668F" w:rsidP="00B4668F">
            <w:pPr>
              <w:pStyle w:val="Tabletext0"/>
              <w:spacing w:before="0" w:after="120"/>
              <w:jc w:val="left"/>
            </w:pPr>
            <w:r>
              <w:fldChar w:fldCharType="begin">
                <w:fldData xml:space="preserve">PEVuZE5vdGU+PENpdGU+PEF1dGhvcj5HdXRpZXJyZXo8L0F1dGhvcj48WWVhcj4yMDE3PC9ZZWFy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=
</w:fldData>
              </w:fldChar>
            </w:r>
            <w:r>
              <w:instrText xml:space="preserve"> ADDIN EN.CITE </w:instrText>
            </w:r>
            <w:r>
              <w:fldChar w:fldCharType="begin">
                <w:fldData xml:space="preserve">PEVuZE5vdGU+PENpdGU+PEF1dGhvcj5HdXRpZXJyZXo8L0F1dGhvcj48WWVhcj4yMDE3PC9ZZWFy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=
</w:fldData>
              </w:fldChar>
            </w:r>
            <w:r>
              <w:instrText xml:space="preserve"> ADDIN EN.CITE.DATA </w:instrText>
            </w:r>
            <w:r>
              <w:fldChar w:fldCharType="end"/>
            </w:r>
            <w:r>
              <w:fldChar w:fldCharType="separate"/>
            </w:r>
            <w:r>
              <w:rPr>
                <w:noProof/>
              </w:rPr>
              <w:t>(Gutierrez et al. 2017)</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7FF838C0" w14:textId="77777777" w:rsidR="00504E35" w:rsidRDefault="00504E35" w:rsidP="006F7632">
            <w:pPr>
              <w:pStyle w:val="Tabletext0"/>
              <w:spacing w:before="0" w:after="120"/>
              <w:jc w:val="left"/>
            </w:pPr>
            <w:r>
              <w:t>Retrospective cohort study</w:t>
            </w:r>
          </w:p>
          <w:p w14:paraId="70A60A9E" w14:textId="77777777" w:rsidR="00504E35" w:rsidRDefault="00504E35" w:rsidP="006F7632">
            <w:pPr>
              <w:pStyle w:val="Tabletext0"/>
              <w:spacing w:before="0" w:after="120"/>
              <w:jc w:val="left"/>
            </w:pPr>
            <w:r>
              <w:t>Level III-2</w:t>
            </w:r>
          </w:p>
          <w:p w14:paraId="2CF24CC1" w14:textId="77777777" w:rsidR="00504E35" w:rsidRPr="00183E4D" w:rsidRDefault="00504E35" w:rsidP="006F7632">
            <w:pPr>
              <w:pStyle w:val="Tabletext0"/>
              <w:spacing w:before="0" w:after="120"/>
              <w:jc w:val="left"/>
            </w:pPr>
            <w:r>
              <w:t xml:space="preserve">Low risk of bias </w:t>
            </w:r>
            <w:r w:rsidRPr="00FE1788">
              <w:t>(</w:t>
            </w:r>
            <w:r>
              <w:t>SIGN for cohorts)</w:t>
            </w:r>
          </w:p>
        </w:tc>
        <w:tc>
          <w:tcPr>
            <w:tcW w:w="1770" w:type="dxa"/>
            <w:tcBorders>
              <w:top w:val="single" w:sz="4" w:space="0" w:color="auto"/>
              <w:left w:val="single" w:sz="4" w:space="0" w:color="auto"/>
              <w:bottom w:val="single" w:sz="4" w:space="0" w:color="auto"/>
              <w:right w:val="single" w:sz="4" w:space="0" w:color="auto"/>
            </w:tcBorders>
          </w:tcPr>
          <w:p w14:paraId="66775D9B" w14:textId="77777777" w:rsidR="00504E35" w:rsidRDefault="00504E35" w:rsidP="006F7632">
            <w:pPr>
              <w:pStyle w:val="Tabletext0"/>
              <w:spacing w:before="0" w:after="120"/>
              <w:jc w:val="left"/>
            </w:pPr>
            <w:r>
              <w:t>USA</w:t>
            </w:r>
          </w:p>
          <w:p w14:paraId="0C4EE6D1" w14:textId="77777777" w:rsidR="00504E35" w:rsidRDefault="00504E35" w:rsidP="006F7632">
            <w:pPr>
              <w:pStyle w:val="Tabletext0"/>
              <w:spacing w:before="0" w:after="120"/>
              <w:jc w:val="left"/>
            </w:pPr>
            <w:r>
              <w:t>Review of medical records of patients treated within a regional cancer care network</w:t>
            </w:r>
          </w:p>
          <w:p w14:paraId="49F99BCB" w14:textId="77777777" w:rsidR="00504E35" w:rsidRPr="00183E4D" w:rsidRDefault="00504E35" w:rsidP="006F7632">
            <w:pPr>
              <w:pStyle w:val="Tabletext0"/>
              <w:spacing w:before="0" w:after="120"/>
              <w:jc w:val="left"/>
            </w:pPr>
            <w:r>
              <w:t>3 years</w:t>
            </w:r>
          </w:p>
        </w:tc>
        <w:tc>
          <w:tcPr>
            <w:tcW w:w="2215" w:type="dxa"/>
            <w:tcBorders>
              <w:top w:val="single" w:sz="4" w:space="0" w:color="auto"/>
              <w:left w:val="single" w:sz="4" w:space="0" w:color="auto"/>
              <w:bottom w:val="single" w:sz="4" w:space="0" w:color="auto"/>
              <w:right w:val="single" w:sz="4" w:space="0" w:color="auto"/>
            </w:tcBorders>
          </w:tcPr>
          <w:p w14:paraId="07DA999C" w14:textId="77777777" w:rsidR="00504E35" w:rsidRDefault="00504E35" w:rsidP="006F7632">
            <w:pPr>
              <w:pStyle w:val="Tabletext0"/>
              <w:spacing w:before="0" w:after="120"/>
              <w:jc w:val="left"/>
              <w:rPr>
                <w:snapToGrid w:val="0"/>
              </w:rPr>
            </w:pPr>
            <w:r>
              <w:rPr>
                <w:snapToGrid w:val="0"/>
              </w:rPr>
              <w:t>N=814</w:t>
            </w:r>
          </w:p>
          <w:p w14:paraId="6843A77F" w14:textId="77777777" w:rsidR="00504E35" w:rsidRDefault="00504E35" w:rsidP="006F7632">
            <w:pPr>
              <w:pStyle w:val="Tabletext0"/>
              <w:spacing w:before="0" w:after="120"/>
              <w:jc w:val="left"/>
              <w:rPr>
                <w:snapToGrid w:val="0"/>
              </w:rPr>
            </w:pPr>
            <w:r>
              <w:rPr>
                <w:snapToGrid w:val="0"/>
              </w:rPr>
              <w:t>Patients identified on the COTA database with non-squamous NSCLC in 2013 to 2015</w:t>
            </w:r>
          </w:p>
          <w:p w14:paraId="067DAB53" w14:textId="77777777" w:rsidR="00504E35" w:rsidRDefault="00504E35" w:rsidP="006F7632">
            <w:pPr>
              <w:pStyle w:val="Tabletext0"/>
              <w:spacing w:before="0" w:after="120"/>
              <w:jc w:val="left"/>
              <w:rPr>
                <w:snapToGrid w:val="0"/>
              </w:rPr>
            </w:pPr>
            <w:r>
              <w:rPr>
                <w:snapToGrid w:val="0"/>
              </w:rPr>
              <w:t>89% adenocarcinoma</w:t>
            </w:r>
          </w:p>
          <w:p w14:paraId="1E22501E" w14:textId="77777777" w:rsidR="00504E35" w:rsidRDefault="00504E35" w:rsidP="006F7632">
            <w:pPr>
              <w:pStyle w:val="Tabletext0"/>
              <w:spacing w:before="0" w:after="120"/>
              <w:jc w:val="left"/>
              <w:rPr>
                <w:snapToGrid w:val="0"/>
              </w:rPr>
            </w:pPr>
            <w:r>
              <w:rPr>
                <w:snapToGrid w:val="0"/>
              </w:rPr>
              <w:t>2% LCC</w:t>
            </w:r>
          </w:p>
          <w:p w14:paraId="256854E2" w14:textId="77777777" w:rsidR="00504E35" w:rsidRDefault="00504E35" w:rsidP="006F7632">
            <w:pPr>
              <w:pStyle w:val="Tabletext0"/>
              <w:spacing w:before="0" w:after="120"/>
              <w:jc w:val="left"/>
              <w:rPr>
                <w:snapToGrid w:val="0"/>
              </w:rPr>
            </w:pPr>
            <w:r>
              <w:rPr>
                <w:snapToGrid w:val="0"/>
              </w:rPr>
              <w:t>7% non-small cell, NOS</w:t>
            </w:r>
          </w:p>
          <w:p w14:paraId="2E8D2E9B" w14:textId="77777777" w:rsidR="00504E35" w:rsidRPr="00183E4D" w:rsidRDefault="00504E35" w:rsidP="006F7632">
            <w:pPr>
              <w:pStyle w:val="Tabletext0"/>
              <w:spacing w:before="0" w:after="120"/>
              <w:jc w:val="left"/>
            </w:pPr>
            <w:r>
              <w:rPr>
                <w:snapToGrid w:val="0"/>
              </w:rPr>
              <w:t>3% other NSCLC</w:t>
            </w:r>
          </w:p>
        </w:tc>
        <w:tc>
          <w:tcPr>
            <w:tcW w:w="1961" w:type="dxa"/>
            <w:tcBorders>
              <w:top w:val="single" w:sz="4" w:space="0" w:color="auto"/>
              <w:left w:val="single" w:sz="4" w:space="0" w:color="auto"/>
              <w:bottom w:val="single" w:sz="4" w:space="0" w:color="auto"/>
              <w:right w:val="single" w:sz="4" w:space="0" w:color="auto"/>
            </w:tcBorders>
          </w:tcPr>
          <w:p w14:paraId="7941B53D" w14:textId="77777777" w:rsidR="00504E35" w:rsidRPr="00183E4D" w:rsidRDefault="00504E35" w:rsidP="006F7632">
            <w:pPr>
              <w:pStyle w:val="Tabletext0"/>
              <w:spacing w:before="0" w:after="120"/>
              <w:jc w:val="left"/>
            </w:pPr>
            <w:r>
              <w:t>Full panel NGS testing for 7 genes</w:t>
            </w:r>
          </w:p>
        </w:tc>
        <w:tc>
          <w:tcPr>
            <w:tcW w:w="2399" w:type="dxa"/>
            <w:tcBorders>
              <w:top w:val="single" w:sz="4" w:space="0" w:color="auto"/>
              <w:left w:val="single" w:sz="4" w:space="0" w:color="auto"/>
              <w:bottom w:val="single" w:sz="4" w:space="0" w:color="auto"/>
              <w:right w:val="single" w:sz="4" w:space="0" w:color="auto"/>
            </w:tcBorders>
          </w:tcPr>
          <w:p w14:paraId="68D2E98E" w14:textId="77777777" w:rsidR="00504E35" w:rsidRPr="00183E4D" w:rsidRDefault="00504E35" w:rsidP="006F7632">
            <w:pPr>
              <w:pStyle w:val="Tabletext0"/>
              <w:spacing w:before="0" w:after="120"/>
              <w:jc w:val="left"/>
            </w:pPr>
            <w:r>
              <w:t xml:space="preserve">Partial testing: </w:t>
            </w:r>
            <w:r w:rsidRPr="007F786A">
              <w:rPr>
                <w:i/>
              </w:rPr>
              <w:t>EGFR</w:t>
            </w:r>
            <w:r>
              <w:t xml:space="preserve"> and </w:t>
            </w:r>
            <w:r w:rsidRPr="00547C61">
              <w:rPr>
                <w:i/>
              </w:rPr>
              <w:t>ALK</w:t>
            </w:r>
          </w:p>
        </w:tc>
        <w:tc>
          <w:tcPr>
            <w:tcW w:w="1661" w:type="dxa"/>
            <w:tcBorders>
              <w:top w:val="single" w:sz="4" w:space="0" w:color="auto"/>
              <w:left w:val="single" w:sz="4" w:space="0" w:color="auto"/>
              <w:bottom w:val="single" w:sz="4" w:space="0" w:color="auto"/>
              <w:right w:val="single" w:sz="4" w:space="0" w:color="auto"/>
            </w:tcBorders>
          </w:tcPr>
          <w:p w14:paraId="7E56EB49" w14:textId="77777777" w:rsidR="00504E35" w:rsidRDefault="00504E35" w:rsidP="006F7632">
            <w:pPr>
              <w:pStyle w:val="TableText"/>
              <w:keepLines/>
              <w:spacing w:before="0" w:after="120"/>
              <w:rPr>
                <w:snapToGrid w:val="0"/>
              </w:rPr>
            </w:pPr>
            <w:r>
              <w:rPr>
                <w:snapToGrid w:val="0"/>
              </w:rPr>
              <w:t>Rebiopsy rate</w:t>
            </w:r>
          </w:p>
          <w:p w14:paraId="678D55A4" w14:textId="77777777" w:rsidR="00504E35" w:rsidRDefault="00504E35" w:rsidP="006F7632">
            <w:pPr>
              <w:pStyle w:val="TableText"/>
              <w:keepLines/>
              <w:spacing w:before="0" w:after="120"/>
              <w:rPr>
                <w:snapToGrid w:val="0"/>
              </w:rPr>
            </w:pPr>
            <w:r>
              <w:rPr>
                <w:snapToGrid w:val="0"/>
              </w:rPr>
              <w:t>Test failure rate</w:t>
            </w:r>
          </w:p>
          <w:p w14:paraId="341B53D0" w14:textId="77777777" w:rsidR="00504E35" w:rsidRPr="00183E4D" w:rsidRDefault="00504E35" w:rsidP="006F7632">
            <w:pPr>
              <w:pStyle w:val="Tabletext0"/>
              <w:spacing w:before="0" w:after="120"/>
              <w:jc w:val="left"/>
            </w:pPr>
            <w:r>
              <w:rPr>
                <w:snapToGrid w:val="0"/>
              </w:rPr>
              <w:t>Sample failure rate</w:t>
            </w:r>
          </w:p>
        </w:tc>
      </w:tr>
      <w:tr w:rsidR="00504E35" w14:paraId="4FE204F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04CCE604" w14:textId="6D324F95" w:rsidR="00504E35" w:rsidRDefault="00B4668F" w:rsidP="00B4668F">
            <w:pPr>
              <w:pStyle w:val="Tabletext0"/>
              <w:jc w:val="left"/>
            </w:pPr>
            <w:r>
              <w:fldChar w:fldCharType="begin"/>
            </w:r>
            <w:r>
              <w:instrText xml:space="preserve"> ADDIN EN.CITE &lt;EndNote&gt;&lt;Cite&gt;&lt;Author&gt;Hamblin&lt;/Author&gt;&lt;Year&gt;2017&lt;/Year&gt;&lt;RecNum&gt;161&lt;/RecNum&gt;&lt;IDText&gt;e1002230-NA&lt;/IDText&gt;&lt;DisplayText&gt;(Hamblin et al. 2017)&lt;/DisplayText&gt;&lt;record&gt;&lt;rec-number&gt;161&lt;/rec-number&gt;&lt;foreign-keys&gt;&lt;key app="EN" db-id="0tprsse9cpp5r3ea5dz5p0xw2pfwvwxpa5a5" timestamp="1655264278"&gt;161&lt;/key&gt;&lt;/foreign-keys&gt;&lt;ref-type name="Journal Article"&gt;17&lt;/ref-type&gt;&lt;contributors&gt;&lt;authors&gt;&lt;author&gt;Hamblin, Angela&lt;/author&gt;&lt;author&gt;Wordsworth, Sarah&lt;/author&gt;&lt;author&gt;Fermont, Jilles M.&lt;/author&gt;&lt;author&gt;Page, Suzanne&lt;/author&gt;&lt;author&gt;Kaur, Kulvinder&lt;/author&gt;&lt;author&gt;Camps, Carme&lt;/author&gt;&lt;author&gt;Kaisaki, Pamela J.&lt;/author&gt;&lt;author&gt;Gupta, Avinash&lt;/author&gt;&lt;author&gt;Talbot, Denis&lt;/author&gt;&lt;author&gt;Middleton, Mark R.&lt;/author&gt;&lt;author&gt;Henderson, Shirley&lt;/author&gt;&lt;author&gt;Cutts, Anthony&lt;/author&gt;&lt;author&gt;Vavoulis, Dimitrios V.&lt;/author&gt;&lt;author&gt;Housby, Nick&lt;/author&gt;&lt;author&gt;Tomlinson, Ian&lt;/author&gt;&lt;author&gt;Taylor, Jenny C.&lt;/author&gt;&lt;author&gt;Schuh, Anna&lt;/author&gt;&lt;/authors&gt;&lt;/contributors&gt;&lt;titles&gt;&lt;title&gt;Clinical applicability and cost of a 46-gene panel for genomic analysis of solid tumours: Retrospective validation and prospective audit in the UK National Health Service&lt;/title&gt;&lt;secondary-title&gt;PLoS medicine&lt;/secondary-title&gt;&lt;/titles&gt;&lt;periodical&gt;&lt;full-title&gt;PLoS medicine&lt;/full-title&gt;&lt;/periodical&gt;&lt;pages&gt;e1002230-NA&lt;/pages&gt;&lt;volume&gt;14&lt;/volume&gt;&lt;number&gt;2&lt;/number&gt;&lt;dates&gt;&lt;year&gt;2017&lt;/year&gt;&lt;/dates&gt;&lt;urls&gt;&lt;related-urls&gt;&lt;url&gt;https://www.ncbi.nlm.nih.gov/pmc/articles/PMC5308858/pdf/pmed.1002230.pdf&lt;/url&gt;&lt;/related-urls&gt;&lt;/urls&gt;&lt;electronic-resource-num&gt;10.1371/journal.pmed.1002230&lt;/electronic-resource-num&gt;&lt;research-notes&gt;P - rare EGFR mutation - change in management&lt;/research-notes&gt;&lt;/record&gt;&lt;/Cite&gt;&lt;/EndNote&gt;</w:instrText>
            </w:r>
            <w:r>
              <w:fldChar w:fldCharType="separate"/>
            </w:r>
            <w:r>
              <w:rPr>
                <w:noProof/>
              </w:rPr>
              <w:t>(Hamblin et al. 2017)</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3A0EA4A" w14:textId="77777777" w:rsidR="00504E35" w:rsidRDefault="00504E35" w:rsidP="006F7632">
            <w:pPr>
              <w:pStyle w:val="Tabletext0"/>
              <w:spacing w:before="0" w:after="120"/>
              <w:jc w:val="left"/>
            </w:pPr>
            <w:r>
              <w:t>Prospective cohort</w:t>
            </w:r>
          </w:p>
          <w:p w14:paraId="0F48F3A0" w14:textId="77777777" w:rsidR="00504E35" w:rsidRDefault="00504E35" w:rsidP="006F7632">
            <w:pPr>
              <w:pStyle w:val="Tabletext0"/>
              <w:spacing w:before="0" w:after="120"/>
              <w:jc w:val="left"/>
            </w:pPr>
            <w:r>
              <w:t>Level III-2</w:t>
            </w:r>
          </w:p>
          <w:p w14:paraId="7CB6F353" w14:textId="77777777" w:rsidR="00504E35" w:rsidRDefault="00504E35" w:rsidP="006F7632">
            <w:pPr>
              <w:pStyle w:val="Tabletext0"/>
              <w:spacing w:before="0" w:after="120"/>
              <w:jc w:val="left"/>
            </w:pPr>
            <w:r>
              <w:t xml:space="preserve">Low risk of bias </w:t>
            </w:r>
            <w:r w:rsidRPr="00FE1788">
              <w:t>(</w:t>
            </w:r>
            <w:r>
              <w:t>SIGN for cohorts)</w:t>
            </w:r>
          </w:p>
        </w:tc>
        <w:tc>
          <w:tcPr>
            <w:tcW w:w="1770" w:type="dxa"/>
            <w:tcBorders>
              <w:top w:val="single" w:sz="4" w:space="0" w:color="auto"/>
              <w:left w:val="single" w:sz="4" w:space="0" w:color="auto"/>
              <w:bottom w:val="single" w:sz="4" w:space="0" w:color="auto"/>
              <w:right w:val="single" w:sz="4" w:space="0" w:color="auto"/>
            </w:tcBorders>
          </w:tcPr>
          <w:p w14:paraId="11A1ABD2" w14:textId="77777777" w:rsidR="00504E35" w:rsidRDefault="00504E35" w:rsidP="006F7632">
            <w:pPr>
              <w:pStyle w:val="Tabletext0"/>
              <w:spacing w:before="0" w:after="120"/>
              <w:jc w:val="left"/>
            </w:pPr>
            <w:r>
              <w:t>UK</w:t>
            </w:r>
          </w:p>
          <w:p w14:paraId="024943BA" w14:textId="77777777" w:rsidR="00504E35" w:rsidRDefault="00504E35" w:rsidP="006F7632">
            <w:pPr>
              <w:pStyle w:val="Tabletext0"/>
              <w:spacing w:before="0" w:after="120"/>
              <w:jc w:val="left"/>
            </w:pPr>
            <w:r>
              <w:t>A single pathological laboratory (samples submitted to a diagnostic centre)</w:t>
            </w:r>
          </w:p>
          <w:p w14:paraId="4FB7DF08" w14:textId="77777777" w:rsidR="00504E35" w:rsidRDefault="00504E35" w:rsidP="006F7632">
            <w:pPr>
              <w:pStyle w:val="Tabletext0"/>
              <w:spacing w:before="0" w:after="120"/>
              <w:jc w:val="left"/>
            </w:pPr>
            <w:r>
              <w:t>Follow-up not reported</w:t>
            </w:r>
          </w:p>
        </w:tc>
        <w:tc>
          <w:tcPr>
            <w:tcW w:w="2215" w:type="dxa"/>
            <w:tcBorders>
              <w:top w:val="single" w:sz="4" w:space="0" w:color="auto"/>
              <w:left w:val="single" w:sz="4" w:space="0" w:color="auto"/>
              <w:bottom w:val="single" w:sz="4" w:space="0" w:color="auto"/>
              <w:right w:val="single" w:sz="4" w:space="0" w:color="auto"/>
            </w:tcBorders>
          </w:tcPr>
          <w:p w14:paraId="5BF4130B" w14:textId="77777777" w:rsidR="00504E35" w:rsidRDefault="00504E35" w:rsidP="006F7632">
            <w:pPr>
              <w:pStyle w:val="Tabletext0"/>
              <w:spacing w:before="0" w:after="120"/>
              <w:jc w:val="left"/>
            </w:pPr>
            <w:r>
              <w:t xml:space="preserve">N=108 NSCLC FFPE samples from small diagnostic cancer biopsies, </w:t>
            </w:r>
            <w:r w:rsidRPr="00393F66">
              <w:t>from patients who treating clinicians thought might benefit from more extensive genetic analysis</w:t>
            </w:r>
          </w:p>
        </w:tc>
        <w:tc>
          <w:tcPr>
            <w:tcW w:w="1961" w:type="dxa"/>
            <w:tcBorders>
              <w:top w:val="single" w:sz="4" w:space="0" w:color="auto"/>
              <w:left w:val="single" w:sz="4" w:space="0" w:color="auto"/>
              <w:bottom w:val="single" w:sz="4" w:space="0" w:color="auto"/>
              <w:right w:val="single" w:sz="4" w:space="0" w:color="auto"/>
            </w:tcBorders>
          </w:tcPr>
          <w:p w14:paraId="3D8B755F" w14:textId="77777777" w:rsidR="00504E35" w:rsidRDefault="00504E35" w:rsidP="006F7632">
            <w:pPr>
              <w:pStyle w:val="Tabletext0"/>
              <w:spacing w:before="0" w:after="120"/>
              <w:jc w:val="left"/>
            </w:pPr>
            <w:r>
              <w:t xml:space="preserve">NGS using 46-gene Ion ampliSeq Cancer Hotspot Panel (Thermo Fisher </w:t>
            </w:r>
            <w:r w:rsidRPr="00EF6C4C">
              <w:t>Scientific</w:t>
            </w:r>
            <w:r>
              <w:t>)</w:t>
            </w:r>
          </w:p>
        </w:tc>
        <w:tc>
          <w:tcPr>
            <w:tcW w:w="2399" w:type="dxa"/>
            <w:tcBorders>
              <w:top w:val="single" w:sz="4" w:space="0" w:color="auto"/>
              <w:left w:val="single" w:sz="4" w:space="0" w:color="auto"/>
              <w:bottom w:val="single" w:sz="4" w:space="0" w:color="auto"/>
              <w:right w:val="single" w:sz="4" w:space="0" w:color="auto"/>
            </w:tcBorders>
          </w:tcPr>
          <w:p w14:paraId="2A229854" w14:textId="77777777" w:rsidR="00504E35" w:rsidRDefault="00504E35" w:rsidP="006F7632">
            <w:pPr>
              <w:pStyle w:val="Tabletext0"/>
              <w:spacing w:before="0" w:after="120"/>
              <w:jc w:val="left"/>
            </w:pPr>
            <w:r>
              <w:t xml:space="preserve">Roche cobas </w:t>
            </w:r>
            <w:r>
              <w:rPr>
                <w:i/>
              </w:rPr>
              <w:t xml:space="preserve">EGFR/KRAS/BRAF </w:t>
            </w:r>
            <w:r>
              <w:t>(for NSCLC samples)</w:t>
            </w:r>
          </w:p>
        </w:tc>
        <w:tc>
          <w:tcPr>
            <w:tcW w:w="1661" w:type="dxa"/>
            <w:tcBorders>
              <w:top w:val="single" w:sz="4" w:space="0" w:color="auto"/>
              <w:left w:val="single" w:sz="4" w:space="0" w:color="auto"/>
              <w:bottom w:val="single" w:sz="4" w:space="0" w:color="auto"/>
              <w:right w:val="single" w:sz="4" w:space="0" w:color="auto"/>
            </w:tcBorders>
          </w:tcPr>
          <w:p w14:paraId="0C3A87B0" w14:textId="77777777" w:rsidR="00504E35" w:rsidRDefault="00504E35" w:rsidP="006F7632">
            <w:pPr>
              <w:pStyle w:val="Tabletext0"/>
              <w:spacing w:before="0" w:after="120"/>
              <w:jc w:val="left"/>
            </w:pPr>
            <w:r>
              <w:t xml:space="preserve">Success rate </w:t>
            </w:r>
          </w:p>
          <w:p w14:paraId="3C74351E" w14:textId="77777777" w:rsidR="00504E35" w:rsidRDefault="00504E35" w:rsidP="006F7632">
            <w:pPr>
              <w:pStyle w:val="Tabletext0"/>
              <w:spacing w:before="0" w:after="120"/>
              <w:jc w:val="left"/>
            </w:pPr>
            <w:r>
              <w:t>Change in management</w:t>
            </w:r>
          </w:p>
          <w:p w14:paraId="512692FE" w14:textId="77777777" w:rsidR="00504E35" w:rsidRDefault="00504E35" w:rsidP="006F7632">
            <w:pPr>
              <w:pStyle w:val="Tabletext0"/>
              <w:spacing w:before="0" w:after="120"/>
              <w:jc w:val="left"/>
            </w:pPr>
          </w:p>
        </w:tc>
      </w:tr>
      <w:tr w:rsidR="00504E35" w14:paraId="29E0E58C"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2CE5911C" w14:textId="59F52F3E" w:rsidR="00504E35" w:rsidRDefault="00B4668F" w:rsidP="00B4668F">
            <w:pPr>
              <w:pStyle w:val="Tabletext0"/>
              <w:jc w:val="left"/>
            </w:pPr>
            <w:r>
              <w:fldChar w:fldCharType="begin">
                <w:fldData xml:space="preserve">PEVuZE5vdGU+PENpdGU+PEF1dGhvcj5IaW5yaWNoczwvQXV0aG9yPjxZZWFyPjIwMTU8L1llYXI+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</w:fldData>
              </w:fldChar>
            </w:r>
            <w:r>
              <w:instrText xml:space="preserve"> ADDIN EN.CITE </w:instrText>
            </w:r>
            <w:r>
              <w:fldChar w:fldCharType="begin">
                <w:fldData xml:space="preserve">PEVuZE5vdGU+PENpdGU+PEF1dGhvcj5IaW5yaWNoczwvQXV0aG9yPjxZZWFyPjIwMTU8L1llYXI+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</w:fldData>
              </w:fldChar>
            </w:r>
            <w:r>
              <w:instrText xml:space="preserve"> ADDIN EN.CITE.DATA </w:instrText>
            </w:r>
            <w:r>
              <w:fldChar w:fldCharType="end"/>
            </w:r>
            <w:r>
              <w:fldChar w:fldCharType="separate"/>
            </w:r>
            <w:r>
              <w:rPr>
                <w:noProof/>
              </w:rPr>
              <w:t>(Hinrichs et al. 2015)</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7DFCB20A" w14:textId="77777777" w:rsidR="00504E35" w:rsidRDefault="00504E35" w:rsidP="006F7632">
            <w:pPr>
              <w:pStyle w:val="Tabletext0"/>
              <w:spacing w:before="0" w:after="120"/>
              <w:jc w:val="left"/>
            </w:pPr>
            <w:r>
              <w:t>Diagnostic case-control</w:t>
            </w:r>
          </w:p>
          <w:p w14:paraId="624725CA" w14:textId="77777777" w:rsidR="00504E35" w:rsidRDefault="00504E35" w:rsidP="006F7632">
            <w:pPr>
              <w:pStyle w:val="Tabletext0"/>
              <w:spacing w:before="0" w:after="120"/>
              <w:jc w:val="left"/>
            </w:pPr>
            <w:r>
              <w:t>Level III-3</w:t>
            </w:r>
          </w:p>
          <w:p w14:paraId="5E818F79" w14:textId="77777777" w:rsidR="00504E35" w:rsidRDefault="00504E35" w:rsidP="006F7632">
            <w:pPr>
              <w:pStyle w:val="Tabletext0"/>
              <w:spacing w:before="0" w:after="120"/>
              <w:jc w:val="left"/>
            </w:pPr>
            <w:r>
              <w:lastRenderedPageBreak/>
              <w:t xml:space="preserve">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2B69EDAC" w14:textId="77777777" w:rsidR="00504E35" w:rsidRDefault="00504E35" w:rsidP="006F7632">
            <w:pPr>
              <w:pStyle w:val="Tabletext0"/>
              <w:spacing w:before="0" w:after="120"/>
              <w:jc w:val="left"/>
            </w:pPr>
            <w:r>
              <w:lastRenderedPageBreak/>
              <w:t>The Netherlands</w:t>
            </w:r>
          </w:p>
          <w:p w14:paraId="19CFBBB9" w14:textId="77777777" w:rsidR="00504E35" w:rsidRDefault="00504E35" w:rsidP="006F7632">
            <w:pPr>
              <w:pStyle w:val="Tabletext0"/>
              <w:spacing w:before="0" w:after="120"/>
              <w:jc w:val="left"/>
            </w:pPr>
            <w:r>
              <w:t xml:space="preserve">A single pathological laboratory (samples </w:t>
            </w:r>
            <w:r>
              <w:lastRenderedPageBreak/>
              <w:t>selected from a biobank)</w:t>
            </w:r>
          </w:p>
          <w:p w14:paraId="516172AF" w14:textId="77777777" w:rsidR="00504E35" w:rsidRDefault="00504E35" w:rsidP="006F7632">
            <w:pPr>
              <w:pStyle w:val="Tabletext0"/>
              <w:spacing w:before="0" w:after="120"/>
              <w:jc w:val="left"/>
            </w:pPr>
            <w:r>
              <w:t xml:space="preserve">No follow-up </w:t>
            </w:r>
          </w:p>
        </w:tc>
        <w:tc>
          <w:tcPr>
            <w:tcW w:w="2215" w:type="dxa"/>
            <w:tcBorders>
              <w:top w:val="single" w:sz="4" w:space="0" w:color="auto"/>
              <w:left w:val="single" w:sz="4" w:space="0" w:color="auto"/>
              <w:bottom w:val="single" w:sz="4" w:space="0" w:color="auto"/>
              <w:right w:val="single" w:sz="4" w:space="0" w:color="auto"/>
            </w:tcBorders>
          </w:tcPr>
          <w:p w14:paraId="2279928C" w14:textId="77777777" w:rsidR="00504E35" w:rsidRDefault="00504E35" w:rsidP="006F7632">
            <w:pPr>
              <w:pStyle w:val="Tabletext0"/>
              <w:spacing w:before="0" w:after="120"/>
              <w:jc w:val="left"/>
            </w:pPr>
            <w:r>
              <w:lastRenderedPageBreak/>
              <w:t xml:space="preserve">N=25 FFPE NSCLC primary tumour or metastasis samples selected, with known </w:t>
            </w:r>
            <w:r w:rsidRPr="00C37658">
              <w:rPr>
                <w:i/>
              </w:rPr>
              <w:lastRenderedPageBreak/>
              <w:t>KRAS</w:t>
            </w:r>
            <w:r>
              <w:t xml:space="preserve"> and </w:t>
            </w:r>
            <w:r w:rsidRPr="00C37658">
              <w:rPr>
                <w:i/>
              </w:rPr>
              <w:t>EGFR</w:t>
            </w:r>
            <w:r>
              <w:t xml:space="preserve"> mutations. </w:t>
            </w:r>
          </w:p>
          <w:p w14:paraId="2CF7B8B6" w14:textId="77777777" w:rsidR="00504E35" w:rsidRDefault="00504E35" w:rsidP="006F7632">
            <w:pPr>
              <w:pStyle w:val="Tabletext0"/>
              <w:spacing w:before="0" w:after="120"/>
              <w:jc w:val="left"/>
            </w:pPr>
            <w:r>
              <w:t>Biopsy, surgical and fine-needle aspiration cytology specimens</w:t>
            </w:r>
          </w:p>
        </w:tc>
        <w:tc>
          <w:tcPr>
            <w:tcW w:w="1961" w:type="dxa"/>
            <w:tcBorders>
              <w:top w:val="single" w:sz="4" w:space="0" w:color="auto"/>
              <w:left w:val="single" w:sz="4" w:space="0" w:color="auto"/>
              <w:bottom w:val="single" w:sz="4" w:space="0" w:color="auto"/>
              <w:right w:val="single" w:sz="4" w:space="0" w:color="auto"/>
            </w:tcBorders>
          </w:tcPr>
          <w:p w14:paraId="3675EC45" w14:textId="77777777" w:rsidR="00504E35" w:rsidRDefault="00504E35" w:rsidP="006F7632">
            <w:pPr>
              <w:pStyle w:val="Tabletext0"/>
              <w:spacing w:before="0" w:after="120"/>
              <w:jc w:val="left"/>
            </w:pPr>
            <w:r>
              <w:lastRenderedPageBreak/>
              <w:t xml:space="preserve">2 NGS platforms based on </w:t>
            </w:r>
            <w:r w:rsidRPr="00000057">
              <w:t>clonally amplified templates through emulsion PCR</w:t>
            </w:r>
            <w:r>
              <w:t>:</w:t>
            </w:r>
          </w:p>
          <w:p w14:paraId="64F5D7D9" w14:textId="77777777" w:rsidR="00504E35" w:rsidRDefault="00504E35" w:rsidP="006F7632">
            <w:pPr>
              <w:pStyle w:val="Tabletext0"/>
              <w:spacing w:before="0" w:after="120"/>
              <w:jc w:val="left"/>
            </w:pPr>
            <w:r>
              <w:lastRenderedPageBreak/>
              <w:t>454 Genome Sequencer junior (NGS-454, Roche Diagnostics), used 454 FLX amplicon chemistry for analysis of the muta</w:t>
            </w:r>
            <w:r w:rsidRPr="00F05F55">
              <w:t xml:space="preserve">tional hotspot regions of </w:t>
            </w:r>
            <w:r w:rsidRPr="00F05F55">
              <w:rPr>
                <w:i/>
              </w:rPr>
              <w:t>KRAS</w:t>
            </w:r>
            <w:r w:rsidRPr="00F05F55">
              <w:t xml:space="preserve"> (exons 2 and 3) and </w:t>
            </w:r>
            <w:r w:rsidRPr="00F05F55">
              <w:rPr>
                <w:i/>
              </w:rPr>
              <w:t>EGFR</w:t>
            </w:r>
            <w:r w:rsidRPr="00F05F55">
              <w:t xml:space="preserve"> (exons 19, 20, and 21).</w:t>
            </w:r>
          </w:p>
          <w:p w14:paraId="4666964B" w14:textId="77777777" w:rsidR="00504E35" w:rsidRDefault="00504E35" w:rsidP="006F7632">
            <w:pPr>
              <w:pStyle w:val="Tabletext0"/>
              <w:spacing w:before="0" w:after="120"/>
              <w:jc w:val="left"/>
            </w:pPr>
            <w:r w:rsidRPr="008555A7">
              <w:t>Ion Torrent Personal Genome Machine</w:t>
            </w:r>
            <w:r>
              <w:t xml:space="preserve"> (NGS-IonT), used Ion</w:t>
            </w:r>
            <w:r w:rsidRPr="001A1630">
              <w:t xml:space="preserve"> </w:t>
            </w:r>
            <w:r>
              <w:t>AmpliSeq Cancer Panel detecting mutational hotspots in 46 oncogenes</w:t>
            </w:r>
          </w:p>
        </w:tc>
        <w:tc>
          <w:tcPr>
            <w:tcW w:w="2399" w:type="dxa"/>
            <w:tcBorders>
              <w:top w:val="single" w:sz="4" w:space="0" w:color="auto"/>
              <w:left w:val="single" w:sz="4" w:space="0" w:color="auto"/>
              <w:bottom w:val="single" w:sz="4" w:space="0" w:color="auto"/>
              <w:right w:val="single" w:sz="4" w:space="0" w:color="auto"/>
            </w:tcBorders>
          </w:tcPr>
          <w:p w14:paraId="68A09BC0" w14:textId="77777777" w:rsidR="00504E35" w:rsidRDefault="00504E35" w:rsidP="006F7632">
            <w:pPr>
              <w:pStyle w:val="Tabletext0"/>
              <w:spacing w:before="0" w:after="120"/>
              <w:jc w:val="left"/>
            </w:pPr>
            <w:r>
              <w:lastRenderedPageBreak/>
              <w:t>High-resolution melting prescreening in combination with Sanger sequencing (detecting</w:t>
            </w:r>
            <w:r w:rsidRPr="00DB632B">
              <w:t xml:space="preserve"> clinical hotspot </w:t>
            </w:r>
            <w:r w:rsidRPr="00DB632B">
              <w:lastRenderedPageBreak/>
              <w:t xml:space="preserve">mutations in exons 2 and 3 of the </w:t>
            </w:r>
            <w:r w:rsidRPr="00DB632B">
              <w:rPr>
                <w:i/>
              </w:rPr>
              <w:t>KRAS</w:t>
            </w:r>
            <w:r w:rsidRPr="00DB632B">
              <w:t xml:space="preserve"> gene and exons 19, 20, and 21 of the </w:t>
            </w:r>
            <w:r w:rsidRPr="00DB632B">
              <w:rPr>
                <w:i/>
              </w:rPr>
              <w:t>EGFR</w:t>
            </w:r>
            <w:r w:rsidRPr="00DB632B">
              <w:t xml:space="preserve"> gene</w:t>
            </w:r>
            <w:r>
              <w:t xml:space="preserve">) </w:t>
            </w:r>
          </w:p>
          <w:p w14:paraId="74841327" w14:textId="77777777" w:rsidR="00504E35" w:rsidRDefault="00504E35" w:rsidP="006F7632">
            <w:pPr>
              <w:pStyle w:val="Tabletext0"/>
              <w:spacing w:before="0" w:after="120"/>
              <w:jc w:val="left"/>
            </w:pPr>
            <w:r>
              <w:t xml:space="preserve">2 </w:t>
            </w:r>
            <w:r w:rsidRPr="00007D85">
              <w:t>mutation-specific analysis platforms</w:t>
            </w:r>
            <w:r>
              <w:t xml:space="preserve"> based on real-time PCR technology:</w:t>
            </w:r>
            <w:r w:rsidRPr="00007D85">
              <w:t xml:space="preserve"> </w:t>
            </w:r>
          </w:p>
          <w:p w14:paraId="09DFA96C" w14:textId="77777777" w:rsidR="00504E35" w:rsidRDefault="00504E35" w:rsidP="006F7632">
            <w:pPr>
              <w:pStyle w:val="Tabletext0"/>
              <w:spacing w:before="0" w:after="120"/>
              <w:jc w:val="left"/>
            </w:pPr>
            <w:r>
              <w:t xml:space="preserve">cobas z 480, cobas </w:t>
            </w:r>
            <w:r>
              <w:rPr>
                <w:i/>
              </w:rPr>
              <w:t xml:space="preserve">KRAS </w:t>
            </w:r>
            <w:r>
              <w:t xml:space="preserve">assay detects </w:t>
            </w:r>
            <w:r w:rsidRPr="00F476E4">
              <w:t xml:space="preserve">19 </w:t>
            </w:r>
            <w:r>
              <w:rPr>
                <w:i/>
              </w:rPr>
              <w:t xml:space="preserve">KRAS </w:t>
            </w:r>
            <w:r>
              <w:t xml:space="preserve">mutations in codons 12, 13 and 61; </w:t>
            </w:r>
            <w:r w:rsidRPr="00B718E1">
              <w:rPr>
                <w:i/>
              </w:rPr>
              <w:t>EGFR</w:t>
            </w:r>
            <w:r>
              <w:t xml:space="preserve"> assay detects 41 mutation in exons 18, 19, 20 and 21 of the </w:t>
            </w:r>
            <w:r>
              <w:rPr>
                <w:i/>
              </w:rPr>
              <w:t xml:space="preserve">EGFR </w:t>
            </w:r>
            <w:r>
              <w:t xml:space="preserve">gene. </w:t>
            </w:r>
          </w:p>
          <w:p w14:paraId="64733739" w14:textId="77777777" w:rsidR="00504E35" w:rsidRDefault="00504E35" w:rsidP="006F7632">
            <w:pPr>
              <w:pStyle w:val="Tabletext0"/>
              <w:spacing w:before="0" w:after="120"/>
              <w:jc w:val="left"/>
            </w:pPr>
            <w:r>
              <w:t xml:space="preserve">Rotor-Gene Q, </w:t>
            </w:r>
            <w:r w:rsidRPr="00000057">
              <w:rPr>
                <w:i/>
              </w:rPr>
              <w:t>KRAS</w:t>
            </w:r>
            <w:r w:rsidRPr="00000057">
              <w:t xml:space="preserve"> assay detects </w:t>
            </w:r>
            <w:r>
              <w:t>7</w:t>
            </w:r>
            <w:r w:rsidRPr="00000057">
              <w:t xml:space="preserve"> </w:t>
            </w:r>
            <w:r w:rsidRPr="00000057">
              <w:rPr>
                <w:i/>
              </w:rPr>
              <w:t>KRAS</w:t>
            </w:r>
            <w:r w:rsidRPr="00000057">
              <w:t xml:space="preserve"> mutations in codons 12 and 13, and the </w:t>
            </w:r>
            <w:r w:rsidRPr="00000057">
              <w:rPr>
                <w:i/>
              </w:rPr>
              <w:t>EGFR</w:t>
            </w:r>
            <w:r w:rsidRPr="00000057">
              <w:t xml:space="preserve"> assay detects 29 mutations in exons 18, 19, 20, and 21 of the </w:t>
            </w:r>
            <w:r w:rsidRPr="00000057">
              <w:rPr>
                <w:i/>
              </w:rPr>
              <w:t>EGFR</w:t>
            </w:r>
            <w:r w:rsidRPr="00000057">
              <w:t xml:space="preserve"> gene.</w:t>
            </w:r>
          </w:p>
        </w:tc>
        <w:tc>
          <w:tcPr>
            <w:tcW w:w="1661" w:type="dxa"/>
            <w:tcBorders>
              <w:top w:val="single" w:sz="4" w:space="0" w:color="auto"/>
              <w:left w:val="single" w:sz="4" w:space="0" w:color="auto"/>
              <w:bottom w:val="single" w:sz="4" w:space="0" w:color="auto"/>
              <w:right w:val="single" w:sz="4" w:space="0" w:color="auto"/>
            </w:tcBorders>
          </w:tcPr>
          <w:p w14:paraId="331A7F3E" w14:textId="77777777" w:rsidR="00504E35" w:rsidRDefault="00504E35" w:rsidP="006F7632">
            <w:pPr>
              <w:pStyle w:val="Tabletext0"/>
              <w:spacing w:before="0" w:after="120"/>
              <w:jc w:val="left"/>
            </w:pPr>
            <w:r>
              <w:lastRenderedPageBreak/>
              <w:t>Concordance</w:t>
            </w:r>
          </w:p>
          <w:p w14:paraId="1A9038D4" w14:textId="77777777" w:rsidR="00504E35" w:rsidRDefault="00504E35" w:rsidP="006F7632">
            <w:pPr>
              <w:pStyle w:val="Tabletext0"/>
              <w:spacing w:before="0" w:after="120"/>
              <w:jc w:val="left"/>
            </w:pPr>
          </w:p>
        </w:tc>
      </w:tr>
      <w:tr w:rsidR="00504E35" w:rsidRPr="00183E4D" w14:paraId="431F258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33D2FF1B" w14:textId="1BC632DB" w:rsidR="00504E35" w:rsidRDefault="00B4668F" w:rsidP="00B4668F">
            <w:pPr>
              <w:pStyle w:val="Tabletext0"/>
              <w:jc w:val="left"/>
            </w:pPr>
            <w:r>
              <w:fldChar w:fldCharType="begin">
                <w:fldData xml:space="preserve">PEVuZE5vdGU+PENpdGU+PEF1dGhvcj5JbGllPC9BdXRob3I+PFllYXI+MjAyMjwvWWVhcj48UmVj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</w:fldData>
              </w:fldChar>
            </w:r>
            <w:r>
              <w:instrText xml:space="preserve"> ADDIN EN.CITE </w:instrText>
            </w:r>
            <w:r>
              <w:fldChar w:fldCharType="begin">
                <w:fldData xml:space="preserve">PEVuZE5vdGU+PENpdGU+PEF1dGhvcj5JbGllPC9BdXRob3I+PFllYXI+MjAyMjwvWWVhcj48UmVj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</w:fldData>
              </w:fldChar>
            </w:r>
            <w:r>
              <w:instrText xml:space="preserve"> ADDIN EN.CITE.DATA </w:instrText>
            </w:r>
            <w:r>
              <w:fldChar w:fldCharType="end"/>
            </w:r>
            <w:r>
              <w:fldChar w:fldCharType="separate"/>
            </w:r>
            <w:r>
              <w:rPr>
                <w:noProof/>
              </w:rPr>
              <w:t>(Ilie et al. 2022)</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0918115" w14:textId="77777777" w:rsidR="00504E35" w:rsidRDefault="00504E35" w:rsidP="006F7632">
            <w:pPr>
              <w:pStyle w:val="Tabletext0"/>
              <w:spacing w:before="0" w:after="120"/>
              <w:jc w:val="left"/>
            </w:pPr>
            <w:r>
              <w:t>Cohort study (retrospective or prospective unknown)</w:t>
            </w:r>
          </w:p>
          <w:p w14:paraId="2911C70A" w14:textId="77777777" w:rsidR="00504E35" w:rsidRDefault="00504E35" w:rsidP="006F7632">
            <w:pPr>
              <w:pStyle w:val="Tabletext0"/>
              <w:spacing w:before="0" w:after="120"/>
              <w:jc w:val="left"/>
            </w:pPr>
            <w:r>
              <w:t>Level III-2</w:t>
            </w:r>
          </w:p>
          <w:p w14:paraId="2A0D9E41" w14:textId="77777777" w:rsidR="00504E35" w:rsidRDefault="00504E35" w:rsidP="006F7632">
            <w:pPr>
              <w:pStyle w:val="Tabletext0"/>
              <w:spacing w:before="0" w:after="120"/>
              <w:jc w:val="left"/>
            </w:pPr>
            <w:r>
              <w:t xml:space="preserve">Low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677CF25C" w14:textId="77777777" w:rsidR="00504E35" w:rsidRDefault="00504E35" w:rsidP="006F7632">
            <w:pPr>
              <w:pStyle w:val="Tabletext0"/>
              <w:spacing w:before="0" w:after="120"/>
              <w:jc w:val="left"/>
            </w:pPr>
            <w:r>
              <w:t>France</w:t>
            </w:r>
          </w:p>
          <w:p w14:paraId="3F6AAFF4" w14:textId="77777777" w:rsidR="00504E35" w:rsidRDefault="00504E35" w:rsidP="006F7632">
            <w:pPr>
              <w:pStyle w:val="Tabletext0"/>
              <w:spacing w:before="0" w:after="120"/>
              <w:jc w:val="left"/>
            </w:pPr>
            <w:r>
              <w:t xml:space="preserve">A single pathological laboratory (in-house samples and samples from outside centres) </w:t>
            </w:r>
          </w:p>
          <w:p w14:paraId="7AECF921"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701E70DB" w14:textId="77777777" w:rsidR="00504E35" w:rsidRDefault="00504E35" w:rsidP="006F7632">
            <w:pPr>
              <w:pStyle w:val="Tabletext0"/>
              <w:spacing w:before="0" w:after="120"/>
              <w:jc w:val="left"/>
            </w:pPr>
            <w:r>
              <w:t>N=259/345 consecutive patients diagnosed with non-squamous NSCLC</w:t>
            </w:r>
          </w:p>
          <w:p w14:paraId="5ADC63CA" w14:textId="77777777" w:rsidR="00504E35" w:rsidRDefault="00504E35" w:rsidP="006F7632">
            <w:pPr>
              <w:pStyle w:val="Tabletext0"/>
              <w:spacing w:before="0" w:after="120"/>
            </w:pPr>
            <w:r>
              <w:t>Biopsy, surgical, pleural effusion (cellblock) and endobronchial ultrasound specimens</w:t>
            </w:r>
          </w:p>
          <w:p w14:paraId="53ED1B51" w14:textId="77777777" w:rsidR="00504E35" w:rsidRDefault="00504E35" w:rsidP="006F7632">
            <w:pPr>
              <w:pStyle w:val="Tabletext0"/>
              <w:spacing w:before="0" w:after="120"/>
            </w:pPr>
            <w:r>
              <w:t>97% adenocarcinoma</w:t>
            </w:r>
          </w:p>
          <w:p w14:paraId="4A3DD196" w14:textId="77777777" w:rsidR="00504E35" w:rsidRDefault="00504E35" w:rsidP="006F7632">
            <w:pPr>
              <w:pStyle w:val="Tabletext0"/>
              <w:spacing w:before="0" w:after="120"/>
            </w:pPr>
            <w:r>
              <w:t>3% LCC</w:t>
            </w:r>
          </w:p>
        </w:tc>
        <w:tc>
          <w:tcPr>
            <w:tcW w:w="1961" w:type="dxa"/>
            <w:tcBorders>
              <w:top w:val="single" w:sz="4" w:space="0" w:color="auto"/>
              <w:left w:val="single" w:sz="4" w:space="0" w:color="auto"/>
              <w:bottom w:val="single" w:sz="4" w:space="0" w:color="auto"/>
              <w:right w:val="single" w:sz="4" w:space="0" w:color="auto"/>
            </w:tcBorders>
          </w:tcPr>
          <w:p w14:paraId="409E3531" w14:textId="77777777" w:rsidR="00504E35" w:rsidRPr="00762C49" w:rsidRDefault="00504E35" w:rsidP="006F7632">
            <w:pPr>
              <w:pStyle w:val="Tabletext0"/>
              <w:spacing w:before="0" w:after="120"/>
              <w:jc w:val="left"/>
            </w:pPr>
            <w:r w:rsidRPr="001D2274">
              <w:t>Ion Torrent Genexus Sequencer,</w:t>
            </w:r>
            <w:r>
              <w:t xml:space="preserve"> DNA- and RNA-based NGS, panel used being Oncomine Precision Assay GX, which includes 50 genes</w:t>
            </w:r>
          </w:p>
        </w:tc>
        <w:tc>
          <w:tcPr>
            <w:tcW w:w="2399" w:type="dxa"/>
            <w:tcBorders>
              <w:top w:val="single" w:sz="4" w:space="0" w:color="auto"/>
              <w:left w:val="single" w:sz="4" w:space="0" w:color="auto"/>
              <w:bottom w:val="single" w:sz="4" w:space="0" w:color="auto"/>
              <w:right w:val="single" w:sz="4" w:space="0" w:color="auto"/>
            </w:tcBorders>
          </w:tcPr>
          <w:p w14:paraId="106B8081" w14:textId="77777777" w:rsidR="00504E35" w:rsidRDefault="00504E35" w:rsidP="006F7632">
            <w:pPr>
              <w:pStyle w:val="Tabletext0"/>
              <w:spacing w:before="0" w:after="120"/>
              <w:jc w:val="left"/>
            </w:pPr>
            <w:r>
              <w:t xml:space="preserve">Idylla </w:t>
            </w:r>
            <w:r>
              <w:rPr>
                <w:i/>
              </w:rPr>
              <w:t xml:space="preserve">EGFR </w:t>
            </w:r>
            <w:r>
              <w:t>mutation test</w:t>
            </w:r>
          </w:p>
          <w:p w14:paraId="072D9754" w14:textId="77777777" w:rsidR="00504E35" w:rsidRDefault="00504E35" w:rsidP="006F7632">
            <w:pPr>
              <w:pStyle w:val="Tabletext0"/>
              <w:spacing w:before="0" w:after="120"/>
              <w:jc w:val="left"/>
            </w:pPr>
            <w:r>
              <w:t xml:space="preserve">Idylla </w:t>
            </w:r>
            <w:r>
              <w:rPr>
                <w:i/>
              </w:rPr>
              <w:t xml:space="preserve">KRAS </w:t>
            </w:r>
            <w:r>
              <w:t>mutation test</w:t>
            </w:r>
          </w:p>
          <w:p w14:paraId="7B132969" w14:textId="77777777" w:rsidR="00504E35" w:rsidRDefault="00504E35" w:rsidP="006F7632">
            <w:pPr>
              <w:pStyle w:val="Tabletext0"/>
              <w:spacing w:before="0" w:after="120"/>
              <w:jc w:val="left"/>
            </w:pPr>
            <w:r w:rsidRPr="00B718E1">
              <w:t>ALK</w:t>
            </w:r>
            <w:r>
              <w:rPr>
                <w:i/>
              </w:rPr>
              <w:t xml:space="preserve"> </w:t>
            </w:r>
            <w:r>
              <w:t xml:space="preserve">IHC and/or </w:t>
            </w:r>
            <w:r>
              <w:rPr>
                <w:i/>
              </w:rPr>
              <w:t xml:space="preserve">ALK </w:t>
            </w:r>
            <w:r>
              <w:t>FISH</w:t>
            </w:r>
          </w:p>
          <w:p w14:paraId="29288E51" w14:textId="77777777" w:rsidR="00504E35" w:rsidRDefault="00504E35" w:rsidP="006F7632">
            <w:pPr>
              <w:pStyle w:val="Tabletext0"/>
              <w:spacing w:before="0" w:after="120"/>
              <w:jc w:val="left"/>
            </w:pPr>
            <w:r>
              <w:rPr>
                <w:i/>
              </w:rPr>
              <w:t xml:space="preserve">ROS1 </w:t>
            </w:r>
            <w:r>
              <w:t>IHC and/or FISH</w:t>
            </w:r>
          </w:p>
          <w:p w14:paraId="13E885EE" w14:textId="77777777" w:rsidR="00504E35" w:rsidRDefault="00504E35" w:rsidP="006F7632">
            <w:pPr>
              <w:pStyle w:val="Tabletext0"/>
              <w:spacing w:before="0" w:after="120"/>
              <w:jc w:val="left"/>
            </w:pPr>
            <w:r>
              <w:rPr>
                <w:i/>
              </w:rPr>
              <w:t>BRAF</w:t>
            </w:r>
            <w:r>
              <w:t>V600E</w:t>
            </w:r>
            <w:r>
              <w:rPr>
                <w:i/>
              </w:rPr>
              <w:t xml:space="preserve"> </w:t>
            </w:r>
            <w:r>
              <w:t xml:space="preserve">IHC </w:t>
            </w:r>
          </w:p>
          <w:p w14:paraId="5A66C065" w14:textId="0363F673" w:rsidR="00504E35" w:rsidRDefault="00504E35" w:rsidP="006F7632">
            <w:pPr>
              <w:pStyle w:val="Tabletext0"/>
              <w:spacing w:before="0" w:after="120"/>
            </w:pPr>
            <w:r>
              <w:t>S5  system (T</w:t>
            </w:r>
            <w:r w:rsidR="00466C4F">
              <w:t>h</w:t>
            </w:r>
            <w:r>
              <w:t xml:space="preserve">ermo Fisher Scientific) using the DNA Ion AmpliSeq™Cancer Hotspot Panel </w:t>
            </w:r>
          </w:p>
          <w:p w14:paraId="32EFC0BA" w14:textId="77777777" w:rsidR="00504E35" w:rsidRPr="00762C49" w:rsidRDefault="00504E35" w:rsidP="006F7632">
            <w:pPr>
              <w:pStyle w:val="Tabletext0"/>
              <w:spacing w:before="0" w:after="120"/>
            </w:pPr>
            <w:r>
              <w:t>RNA Oncomine Focus Assay</w:t>
            </w:r>
          </w:p>
        </w:tc>
        <w:tc>
          <w:tcPr>
            <w:tcW w:w="1661" w:type="dxa"/>
            <w:tcBorders>
              <w:top w:val="single" w:sz="4" w:space="0" w:color="auto"/>
              <w:left w:val="single" w:sz="4" w:space="0" w:color="auto"/>
              <w:bottom w:val="single" w:sz="4" w:space="0" w:color="auto"/>
              <w:right w:val="single" w:sz="4" w:space="0" w:color="auto"/>
            </w:tcBorders>
          </w:tcPr>
          <w:p w14:paraId="32C177D6" w14:textId="77777777" w:rsidR="00504E35" w:rsidRDefault="00504E35" w:rsidP="006F7632">
            <w:pPr>
              <w:pStyle w:val="Tabletext0"/>
              <w:spacing w:before="0" w:after="120"/>
              <w:jc w:val="left"/>
            </w:pPr>
            <w:r>
              <w:t>Concordance</w:t>
            </w:r>
          </w:p>
        </w:tc>
      </w:tr>
      <w:tr w:rsidR="00504E35" w:rsidRPr="00183E4D" w14:paraId="3F7E07E3"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1CEFB59D" w14:textId="247DC241" w:rsidR="00504E35" w:rsidRDefault="00B4668F" w:rsidP="00B4668F">
            <w:pPr>
              <w:pStyle w:val="Tabletext0"/>
              <w:spacing w:before="0" w:after="120"/>
              <w:jc w:val="left"/>
            </w:pPr>
            <w:r>
              <w:lastRenderedPageBreak/>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 </w:instrText>
            </w:r>
            <w: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EN.CITE.DATA </w:instrText>
            </w:r>
            <w:r>
              <w:fldChar w:fldCharType="end"/>
            </w:r>
            <w:r>
              <w:fldChar w:fldCharType="separate"/>
            </w:r>
            <w:r>
              <w:rPr>
                <w:noProof/>
              </w:rPr>
              <w:t>(Ji et al. 2019)</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33170E65" w14:textId="77777777" w:rsidR="00504E35" w:rsidRDefault="00504E35" w:rsidP="006F7632">
            <w:pPr>
              <w:pStyle w:val="Tabletext0"/>
              <w:spacing w:before="0" w:after="120"/>
              <w:jc w:val="left"/>
            </w:pPr>
            <w:r>
              <w:t>Cohort study (retrospective or prospective unknown)</w:t>
            </w:r>
          </w:p>
          <w:p w14:paraId="169001AD" w14:textId="77777777" w:rsidR="00504E35" w:rsidRDefault="00504E35" w:rsidP="006F7632">
            <w:pPr>
              <w:pStyle w:val="Tabletext0"/>
              <w:spacing w:before="0" w:after="120"/>
              <w:jc w:val="left"/>
            </w:pPr>
            <w:r>
              <w:t>Level III-2</w:t>
            </w:r>
          </w:p>
          <w:p w14:paraId="2D9CFA2E" w14:textId="77777777" w:rsidR="00504E35" w:rsidRDefault="00504E35" w:rsidP="006F7632">
            <w:pPr>
              <w:pStyle w:val="Tabletext0"/>
              <w:spacing w:before="0" w:after="120"/>
              <w:jc w:val="left"/>
            </w:pPr>
            <w:r>
              <w:t xml:space="preserve">Low to 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7A367041" w14:textId="77777777" w:rsidR="00504E35" w:rsidRDefault="00504E35" w:rsidP="006F7632">
            <w:pPr>
              <w:pStyle w:val="Tabletext0"/>
              <w:spacing w:before="0" w:after="120"/>
              <w:jc w:val="left"/>
            </w:pPr>
            <w:r>
              <w:t>China</w:t>
            </w:r>
          </w:p>
          <w:p w14:paraId="157D5AA3" w14:textId="77777777" w:rsidR="00504E35" w:rsidRDefault="00504E35" w:rsidP="006F7632">
            <w:pPr>
              <w:pStyle w:val="Tabletext0"/>
              <w:spacing w:before="0" w:after="120"/>
              <w:jc w:val="left"/>
            </w:pPr>
            <w:r>
              <w:t>A single pathological laboratory (tissues from patients in two centres)</w:t>
            </w:r>
          </w:p>
          <w:p w14:paraId="050ADDC9"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0CEB0ED6" w14:textId="77777777" w:rsidR="00504E35" w:rsidRDefault="00504E35" w:rsidP="006F7632">
            <w:pPr>
              <w:pStyle w:val="Tabletext0"/>
              <w:spacing w:before="0" w:after="120"/>
              <w:jc w:val="left"/>
            </w:pPr>
            <w:r>
              <w:t xml:space="preserve">N=199 NSCLC patients with adequate tumour cells in their donated tissue samples </w:t>
            </w:r>
          </w:p>
          <w:p w14:paraId="30A4DEAA" w14:textId="77777777" w:rsidR="00504E35" w:rsidRDefault="00504E35" w:rsidP="006F7632">
            <w:pPr>
              <w:pStyle w:val="Tabletext0"/>
              <w:spacing w:before="0" w:after="120"/>
              <w:jc w:val="left"/>
            </w:pPr>
            <w:r>
              <w:t>FFPE surgical specimens</w:t>
            </w:r>
          </w:p>
          <w:p w14:paraId="3FFEFF11" w14:textId="77777777" w:rsidR="00504E35" w:rsidRDefault="00504E35" w:rsidP="006F7632">
            <w:pPr>
              <w:pStyle w:val="Tabletext0"/>
              <w:spacing w:before="0" w:after="120"/>
              <w:jc w:val="left"/>
            </w:pPr>
            <w:r>
              <w:t>86.9% adenocarcinoma</w:t>
            </w:r>
          </w:p>
          <w:p w14:paraId="348C0AD0" w14:textId="77777777" w:rsidR="00504E35" w:rsidRDefault="00504E35" w:rsidP="006F7632">
            <w:pPr>
              <w:pStyle w:val="Tabletext0"/>
              <w:spacing w:before="0" w:after="120"/>
              <w:jc w:val="left"/>
            </w:pPr>
            <w:r>
              <w:t>11.1% SCC</w:t>
            </w:r>
          </w:p>
          <w:p w14:paraId="7B87AD05" w14:textId="77777777" w:rsidR="00504E35" w:rsidRDefault="00504E35" w:rsidP="006F7632">
            <w:pPr>
              <w:pStyle w:val="Tabletext0"/>
              <w:spacing w:before="0" w:after="120"/>
              <w:jc w:val="left"/>
            </w:pPr>
            <w:r>
              <w:t>1.5% LCC</w:t>
            </w:r>
          </w:p>
          <w:p w14:paraId="1F058265" w14:textId="77777777" w:rsidR="00504E35" w:rsidRDefault="00504E35" w:rsidP="006F7632">
            <w:pPr>
              <w:pStyle w:val="Tabletext0"/>
              <w:spacing w:before="0" w:after="120"/>
              <w:jc w:val="left"/>
            </w:pPr>
            <w:r>
              <w:t>0.5% adenosquamous carcinoma</w:t>
            </w:r>
          </w:p>
        </w:tc>
        <w:tc>
          <w:tcPr>
            <w:tcW w:w="1961" w:type="dxa"/>
            <w:tcBorders>
              <w:top w:val="single" w:sz="4" w:space="0" w:color="auto"/>
              <w:left w:val="single" w:sz="4" w:space="0" w:color="auto"/>
              <w:bottom w:val="single" w:sz="4" w:space="0" w:color="auto"/>
              <w:right w:val="single" w:sz="4" w:space="0" w:color="auto"/>
            </w:tcBorders>
          </w:tcPr>
          <w:p w14:paraId="31680D9F" w14:textId="77777777" w:rsidR="00504E35" w:rsidRPr="00762C49" w:rsidRDefault="00504E35" w:rsidP="006F7632">
            <w:pPr>
              <w:pStyle w:val="Tabletext0"/>
              <w:spacing w:before="0" w:after="120"/>
              <w:jc w:val="left"/>
            </w:pPr>
            <w:r>
              <w:t>10-gene, 32-mutation detection NGS</w:t>
            </w:r>
          </w:p>
        </w:tc>
        <w:tc>
          <w:tcPr>
            <w:tcW w:w="2399" w:type="dxa"/>
            <w:tcBorders>
              <w:top w:val="single" w:sz="4" w:space="0" w:color="auto"/>
              <w:left w:val="single" w:sz="4" w:space="0" w:color="auto"/>
              <w:bottom w:val="single" w:sz="4" w:space="0" w:color="auto"/>
              <w:right w:val="single" w:sz="4" w:space="0" w:color="auto"/>
            </w:tcBorders>
          </w:tcPr>
          <w:p w14:paraId="7FDF57B0" w14:textId="77777777" w:rsidR="00504E35" w:rsidRDefault="00504E35" w:rsidP="006F7632">
            <w:pPr>
              <w:pStyle w:val="Tabletext0"/>
              <w:spacing w:before="0" w:after="120"/>
            </w:pPr>
            <w:r>
              <w:t xml:space="preserve">Sanger sequencing of </w:t>
            </w:r>
            <w:r w:rsidRPr="00BC5C7A">
              <w:rPr>
                <w:i/>
              </w:rPr>
              <w:t>EGFR</w:t>
            </w:r>
            <w:r>
              <w:t xml:space="preserve"> (DNA samples) and </w:t>
            </w:r>
            <w:r w:rsidRPr="00BC5C7A">
              <w:rPr>
                <w:i/>
              </w:rPr>
              <w:t>ALK</w:t>
            </w:r>
            <w:r>
              <w:t xml:space="preserve"> (RNA samples)</w:t>
            </w:r>
          </w:p>
          <w:p w14:paraId="3633ED5B" w14:textId="77777777" w:rsidR="00504E35" w:rsidRPr="00762C49" w:rsidRDefault="00504E35" w:rsidP="006F7632">
            <w:pPr>
              <w:pStyle w:val="Tabletext0"/>
              <w:spacing w:before="0" w:after="120"/>
            </w:pPr>
            <w:r>
              <w:t xml:space="preserve">Amplification Refractory Mutation System (AMRS) PCR (for some inconsistent samples only) </w:t>
            </w:r>
          </w:p>
        </w:tc>
        <w:tc>
          <w:tcPr>
            <w:tcW w:w="1661" w:type="dxa"/>
            <w:tcBorders>
              <w:top w:val="single" w:sz="4" w:space="0" w:color="auto"/>
              <w:left w:val="single" w:sz="4" w:space="0" w:color="auto"/>
              <w:bottom w:val="single" w:sz="4" w:space="0" w:color="auto"/>
              <w:right w:val="single" w:sz="4" w:space="0" w:color="auto"/>
            </w:tcBorders>
          </w:tcPr>
          <w:p w14:paraId="01257DA0" w14:textId="77777777" w:rsidR="00504E35" w:rsidRDefault="00504E35" w:rsidP="006F7632">
            <w:pPr>
              <w:pStyle w:val="Tabletext0"/>
              <w:spacing w:before="0" w:after="120"/>
              <w:jc w:val="left"/>
            </w:pPr>
            <w:r>
              <w:t>Concordance</w:t>
            </w:r>
          </w:p>
          <w:p w14:paraId="16511422" w14:textId="77777777" w:rsidR="00504E35" w:rsidRDefault="00504E35" w:rsidP="006F7632">
            <w:pPr>
              <w:pStyle w:val="Tabletext0"/>
              <w:spacing w:before="0" w:after="120"/>
              <w:jc w:val="left"/>
            </w:pPr>
          </w:p>
        </w:tc>
      </w:tr>
      <w:tr w:rsidR="00504E35" w:rsidRPr="00183E4D" w14:paraId="2EF2F329"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10162E5" w14:textId="56E1DAA2" w:rsidR="00504E35" w:rsidRDefault="00B4668F" w:rsidP="00B4668F">
            <w:pPr>
              <w:pStyle w:val="Tabletext0"/>
              <w:spacing w:before="0" w:after="120"/>
              <w:jc w:val="left"/>
            </w:pPr>
            <w:r>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instrText xml:space="preserve"> ADDIN EN.CITE </w:instrText>
            </w:r>
            <w:r>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instrText xml:space="preserve"> ADDIN EN.CITE.DATA </w:instrText>
            </w:r>
            <w:r>
              <w:fldChar w:fldCharType="end"/>
            </w:r>
            <w:r>
              <w:fldChar w:fldCharType="separate"/>
            </w:r>
            <w:r>
              <w:rPr>
                <w:noProof/>
              </w:rPr>
              <w:t>(Jiang et al. 2020)</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D3BE208" w14:textId="77777777" w:rsidR="00504E35" w:rsidRDefault="00504E35" w:rsidP="006F7632">
            <w:pPr>
              <w:pStyle w:val="Tabletext0"/>
              <w:spacing w:before="0" w:after="120"/>
              <w:jc w:val="left"/>
            </w:pPr>
            <w:r>
              <w:t>Retrospective cohort study</w:t>
            </w:r>
          </w:p>
          <w:p w14:paraId="4D5B0387" w14:textId="77777777" w:rsidR="00504E35" w:rsidRDefault="00504E35" w:rsidP="006F7632">
            <w:pPr>
              <w:pStyle w:val="Tabletext0"/>
              <w:spacing w:before="0" w:after="120"/>
              <w:jc w:val="left"/>
            </w:pPr>
            <w:r>
              <w:t>Level III-2</w:t>
            </w:r>
          </w:p>
          <w:p w14:paraId="37A33BD8" w14:textId="77777777" w:rsidR="00504E35" w:rsidRDefault="00504E35" w:rsidP="006F7632">
            <w:pPr>
              <w:pStyle w:val="Tabletext0"/>
              <w:spacing w:before="0" w:after="120"/>
              <w:jc w:val="left"/>
            </w:pPr>
            <w:r>
              <w:t xml:space="preserve">Moderate to high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0C3B933B" w14:textId="77777777" w:rsidR="00504E35" w:rsidRDefault="00504E35" w:rsidP="006F7632">
            <w:pPr>
              <w:pStyle w:val="Tabletext0"/>
              <w:spacing w:before="0" w:after="120"/>
              <w:jc w:val="left"/>
            </w:pPr>
            <w:r>
              <w:t>China</w:t>
            </w:r>
          </w:p>
          <w:p w14:paraId="648BF607" w14:textId="77777777" w:rsidR="00504E35" w:rsidRDefault="00504E35" w:rsidP="006F7632">
            <w:pPr>
              <w:pStyle w:val="Tabletext0"/>
              <w:spacing w:before="0" w:after="120"/>
              <w:jc w:val="left"/>
            </w:pPr>
            <w:r>
              <w:t>Multiple pathological laboratories (samples from patients in multiple centres)</w:t>
            </w:r>
          </w:p>
          <w:p w14:paraId="686A6234"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544641CD" w14:textId="77777777" w:rsidR="00504E35" w:rsidRDefault="00504E35" w:rsidP="006F7632">
            <w:pPr>
              <w:pStyle w:val="Tabletext0"/>
              <w:spacing w:before="0" w:after="120"/>
              <w:jc w:val="left"/>
            </w:pPr>
            <w:r>
              <w:t>N=253 NSCLC samples (a subset of 452 total cases)</w:t>
            </w:r>
          </w:p>
          <w:p w14:paraId="2657384E" w14:textId="77777777" w:rsidR="00504E35" w:rsidRDefault="00504E35" w:rsidP="006F7632">
            <w:pPr>
              <w:pStyle w:val="Tabletext0"/>
              <w:spacing w:before="0" w:after="120"/>
              <w:jc w:val="left"/>
            </w:pPr>
            <w:r>
              <w:t>FFPE specimens</w:t>
            </w:r>
          </w:p>
        </w:tc>
        <w:tc>
          <w:tcPr>
            <w:tcW w:w="1961" w:type="dxa"/>
            <w:tcBorders>
              <w:top w:val="single" w:sz="4" w:space="0" w:color="auto"/>
              <w:left w:val="single" w:sz="4" w:space="0" w:color="auto"/>
              <w:bottom w:val="single" w:sz="4" w:space="0" w:color="auto"/>
              <w:right w:val="single" w:sz="4" w:space="0" w:color="auto"/>
            </w:tcBorders>
          </w:tcPr>
          <w:p w14:paraId="7B17D236" w14:textId="77777777" w:rsidR="00504E35" w:rsidRPr="00762C49" w:rsidRDefault="00504E35" w:rsidP="006F7632">
            <w:pPr>
              <w:pStyle w:val="Tabletext0"/>
              <w:spacing w:before="0" w:after="120"/>
              <w:jc w:val="left"/>
            </w:pPr>
            <w:r>
              <w:t>NGS panel OncoAim (Singlera Genomics) covering mutational hotspots of 59 genes</w:t>
            </w:r>
          </w:p>
        </w:tc>
        <w:tc>
          <w:tcPr>
            <w:tcW w:w="2399" w:type="dxa"/>
            <w:tcBorders>
              <w:top w:val="single" w:sz="4" w:space="0" w:color="auto"/>
              <w:left w:val="single" w:sz="4" w:space="0" w:color="auto"/>
              <w:bottom w:val="single" w:sz="4" w:space="0" w:color="auto"/>
              <w:right w:val="single" w:sz="4" w:space="0" w:color="auto"/>
            </w:tcBorders>
          </w:tcPr>
          <w:p w14:paraId="5BE86591" w14:textId="77777777" w:rsidR="00504E35" w:rsidRPr="00762C49" w:rsidRDefault="00504E35" w:rsidP="006F7632">
            <w:pPr>
              <w:pStyle w:val="Tabletext0"/>
              <w:spacing w:before="0" w:after="120"/>
            </w:pPr>
            <w:r>
              <w:t xml:space="preserve">Amplified Refractory Mutation System (ARMS)-PCR test for </w:t>
            </w:r>
            <w:r w:rsidRPr="007F325F">
              <w:rPr>
                <w:i/>
              </w:rPr>
              <w:t xml:space="preserve">EGFR </w:t>
            </w:r>
            <w:r>
              <w:t>mutation status</w:t>
            </w:r>
          </w:p>
        </w:tc>
        <w:tc>
          <w:tcPr>
            <w:tcW w:w="1661" w:type="dxa"/>
            <w:tcBorders>
              <w:top w:val="single" w:sz="4" w:space="0" w:color="auto"/>
              <w:left w:val="single" w:sz="4" w:space="0" w:color="auto"/>
              <w:bottom w:val="single" w:sz="4" w:space="0" w:color="auto"/>
              <w:right w:val="single" w:sz="4" w:space="0" w:color="auto"/>
            </w:tcBorders>
          </w:tcPr>
          <w:p w14:paraId="7D8D4091" w14:textId="77777777" w:rsidR="00504E35" w:rsidRDefault="00504E35" w:rsidP="006F7632">
            <w:pPr>
              <w:pStyle w:val="Tabletext0"/>
              <w:spacing w:before="0" w:after="120"/>
              <w:jc w:val="left"/>
            </w:pPr>
            <w:r>
              <w:t>Concordance</w:t>
            </w:r>
          </w:p>
        </w:tc>
      </w:tr>
      <w:tr w:rsidR="00504E35" w:rsidRPr="00183E4D" w14:paraId="3084EE4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396748BB" w14:textId="24CECDE8" w:rsidR="00504E35" w:rsidRDefault="00B4668F" w:rsidP="00B4668F">
            <w:pPr>
              <w:pStyle w:val="Tabletext0"/>
              <w:spacing w:before="0" w:after="120"/>
              <w:jc w:val="left"/>
            </w:pPr>
            <w: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(Jing et al. 2018)</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A5E09CC" w14:textId="77777777" w:rsidR="00504E35" w:rsidRDefault="00504E35" w:rsidP="006F7632">
            <w:pPr>
              <w:pStyle w:val="Tabletext0"/>
              <w:spacing w:before="0" w:after="120"/>
              <w:jc w:val="left"/>
            </w:pPr>
            <w:r>
              <w:t>Cohort study (retrospective or prospective unknown)</w:t>
            </w:r>
          </w:p>
          <w:p w14:paraId="14AAA51D" w14:textId="77777777" w:rsidR="00504E35" w:rsidRDefault="00504E35" w:rsidP="006F7632">
            <w:pPr>
              <w:pStyle w:val="Tabletext0"/>
              <w:spacing w:before="0" w:after="120"/>
              <w:jc w:val="left"/>
            </w:pPr>
            <w:r>
              <w:t xml:space="preserve">Level III-2 </w:t>
            </w:r>
          </w:p>
          <w:p w14:paraId="718D0061" w14:textId="77777777" w:rsidR="00504E35" w:rsidRDefault="00504E35" w:rsidP="006F7632">
            <w:pPr>
              <w:pStyle w:val="Tabletext0"/>
              <w:spacing w:before="0" w:after="120"/>
              <w:jc w:val="left"/>
            </w:pPr>
            <w:r>
              <w:t xml:space="preserve">Low risk of bias (NGS </w:t>
            </w:r>
            <w:r>
              <w:rPr>
                <w:i/>
              </w:rPr>
              <w:t xml:space="preserve">vs. </w:t>
            </w:r>
            <w:r>
              <w:t xml:space="preserve">Sanger sequencing) </w:t>
            </w:r>
            <w:r w:rsidRPr="00FE1788">
              <w:t>(QUADAS 2)</w:t>
            </w:r>
          </w:p>
          <w:p w14:paraId="495487F1" w14:textId="77777777" w:rsidR="00504E35" w:rsidRDefault="00504E35" w:rsidP="006F7632">
            <w:pPr>
              <w:pStyle w:val="Tabletext0"/>
              <w:spacing w:before="0" w:after="120"/>
              <w:jc w:val="left"/>
            </w:pPr>
            <w:r>
              <w:t xml:space="preserve">Moderate risk of bias (NGS </w:t>
            </w:r>
            <w:r>
              <w:rPr>
                <w:i/>
              </w:rPr>
              <w:t xml:space="preserve">vs. </w:t>
            </w:r>
            <w:r w:rsidRPr="0057154D">
              <w:t>dd</w:t>
            </w:r>
            <w:r>
              <w:t xml:space="preserve">PCR)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4AF00862" w14:textId="77777777" w:rsidR="00504E35" w:rsidRDefault="00504E35" w:rsidP="006F7632">
            <w:pPr>
              <w:pStyle w:val="Tabletext0"/>
              <w:spacing w:before="0" w:after="120"/>
              <w:jc w:val="left"/>
            </w:pPr>
            <w:r>
              <w:t xml:space="preserve">China </w:t>
            </w:r>
          </w:p>
          <w:p w14:paraId="757E7DA7" w14:textId="77777777" w:rsidR="00504E35" w:rsidRDefault="00504E35" w:rsidP="006F7632">
            <w:pPr>
              <w:pStyle w:val="Tabletext0"/>
              <w:spacing w:before="0" w:after="120"/>
              <w:jc w:val="left"/>
            </w:pPr>
            <w:r>
              <w:t>A single pathological laboratory (samples from patients in a single centre)</w:t>
            </w:r>
          </w:p>
          <w:p w14:paraId="10A758A5" w14:textId="77777777" w:rsidR="00504E35" w:rsidRDefault="00504E35" w:rsidP="006F7632">
            <w:pPr>
              <w:pStyle w:val="Tabletext0"/>
              <w:spacing w:before="0" w:after="120"/>
              <w:jc w:val="left"/>
            </w:pPr>
            <w:r>
              <w:t>No follow-up</w:t>
            </w:r>
          </w:p>
          <w:p w14:paraId="7F0077D9" w14:textId="77777777" w:rsidR="00504E35" w:rsidRDefault="00504E35" w:rsidP="006F7632">
            <w:pPr>
              <w:pStyle w:val="Tabletext0"/>
              <w:spacing w:before="0" w:after="120"/>
              <w:jc w:val="left"/>
            </w:pPr>
          </w:p>
        </w:tc>
        <w:tc>
          <w:tcPr>
            <w:tcW w:w="2215" w:type="dxa"/>
            <w:tcBorders>
              <w:top w:val="single" w:sz="4" w:space="0" w:color="auto"/>
              <w:left w:val="single" w:sz="4" w:space="0" w:color="auto"/>
              <w:bottom w:val="single" w:sz="4" w:space="0" w:color="auto"/>
              <w:right w:val="single" w:sz="4" w:space="0" w:color="auto"/>
            </w:tcBorders>
          </w:tcPr>
          <w:p w14:paraId="5002ABBA" w14:textId="77777777" w:rsidR="00504E35" w:rsidRDefault="00504E35" w:rsidP="006F7632">
            <w:pPr>
              <w:pStyle w:val="Tabletext0"/>
              <w:spacing w:before="0" w:after="120"/>
              <w:jc w:val="left"/>
            </w:pPr>
            <w:r>
              <w:t xml:space="preserve">N=112 samples from NSCLC patients in a single centre  </w:t>
            </w:r>
          </w:p>
          <w:p w14:paraId="1182EDFE" w14:textId="77777777" w:rsidR="00504E35" w:rsidRDefault="00504E35" w:rsidP="006F7632">
            <w:pPr>
              <w:pStyle w:val="Tabletext0"/>
              <w:spacing w:before="0" w:after="120"/>
              <w:jc w:val="left"/>
            </w:pPr>
            <w:r>
              <w:t>FFPE specimens, fresh resection specimens, fine needle aspiration specimens, and pleural effusion specimens</w:t>
            </w:r>
          </w:p>
          <w:p w14:paraId="66F0E092" w14:textId="77777777" w:rsidR="00504E35" w:rsidRDefault="00504E35" w:rsidP="006F7632">
            <w:pPr>
              <w:pStyle w:val="Tabletext0"/>
              <w:spacing w:before="0" w:after="120"/>
              <w:jc w:val="left"/>
            </w:pPr>
            <w:r>
              <w:t>217 adenocarcinoma</w:t>
            </w:r>
          </w:p>
          <w:p w14:paraId="41E41CD4" w14:textId="77777777" w:rsidR="00504E35" w:rsidRDefault="00504E35" w:rsidP="006F7632">
            <w:pPr>
              <w:pStyle w:val="Tabletext0"/>
              <w:spacing w:before="0" w:after="120"/>
              <w:jc w:val="left"/>
            </w:pPr>
            <w:r>
              <w:t>4 adenosquamous carcinoma</w:t>
            </w:r>
          </w:p>
          <w:p w14:paraId="6732B80C" w14:textId="77777777" w:rsidR="00504E35" w:rsidRDefault="00504E35" w:rsidP="006F7632">
            <w:pPr>
              <w:pStyle w:val="Tabletext0"/>
              <w:spacing w:before="0" w:after="120"/>
              <w:jc w:val="left"/>
            </w:pPr>
            <w:r>
              <w:t>1 LCC</w:t>
            </w:r>
          </w:p>
          <w:p w14:paraId="1FCB85B2" w14:textId="77777777" w:rsidR="00504E35" w:rsidRDefault="00504E35" w:rsidP="006F7632">
            <w:pPr>
              <w:pStyle w:val="Tabletext0"/>
              <w:spacing w:before="0" w:after="120"/>
              <w:jc w:val="left"/>
            </w:pPr>
            <w:r>
              <w:t>56 SCC</w:t>
            </w:r>
          </w:p>
          <w:p w14:paraId="5DD4AF44" w14:textId="77777777" w:rsidR="00504E35" w:rsidRDefault="00504E35" w:rsidP="006F7632">
            <w:pPr>
              <w:pStyle w:val="Tabletext0"/>
              <w:spacing w:before="0" w:after="120"/>
              <w:jc w:val="left"/>
            </w:pPr>
            <w:r>
              <w:lastRenderedPageBreak/>
              <w:t>144 unknown</w:t>
            </w:r>
          </w:p>
        </w:tc>
        <w:tc>
          <w:tcPr>
            <w:tcW w:w="1961" w:type="dxa"/>
            <w:tcBorders>
              <w:top w:val="single" w:sz="4" w:space="0" w:color="auto"/>
              <w:left w:val="single" w:sz="4" w:space="0" w:color="auto"/>
              <w:bottom w:val="single" w:sz="4" w:space="0" w:color="auto"/>
              <w:right w:val="single" w:sz="4" w:space="0" w:color="auto"/>
            </w:tcBorders>
          </w:tcPr>
          <w:p w14:paraId="4354A6FC" w14:textId="77777777" w:rsidR="00504E35" w:rsidRPr="00762C49" w:rsidRDefault="00504E35" w:rsidP="006F7632">
            <w:pPr>
              <w:pStyle w:val="Tabletext0"/>
              <w:spacing w:before="0" w:after="120"/>
              <w:jc w:val="left"/>
            </w:pPr>
            <w:r>
              <w:lastRenderedPageBreak/>
              <w:t xml:space="preserve">NGS lung panel including 7 genes (including </w:t>
            </w:r>
            <w:r>
              <w:rPr>
                <w:i/>
              </w:rPr>
              <w:t xml:space="preserve">BRAF, EGFR, KRAS, NRAS, PIK3CA, Her-2 and TP53) </w:t>
            </w:r>
            <w:r>
              <w:t>using the Iontorrent personal genome machine (PGM)</w:t>
            </w:r>
          </w:p>
        </w:tc>
        <w:tc>
          <w:tcPr>
            <w:tcW w:w="2399" w:type="dxa"/>
            <w:tcBorders>
              <w:top w:val="single" w:sz="4" w:space="0" w:color="auto"/>
              <w:left w:val="single" w:sz="4" w:space="0" w:color="auto"/>
              <w:bottom w:val="single" w:sz="4" w:space="0" w:color="auto"/>
              <w:right w:val="single" w:sz="4" w:space="0" w:color="auto"/>
            </w:tcBorders>
          </w:tcPr>
          <w:p w14:paraId="2196DEE0" w14:textId="77777777" w:rsidR="00504E35" w:rsidRPr="00C1057B" w:rsidRDefault="00504E35" w:rsidP="006F7632">
            <w:pPr>
              <w:pStyle w:val="Tabletext0"/>
              <w:spacing w:before="0" w:after="120"/>
              <w:jc w:val="left"/>
            </w:pPr>
            <w:r>
              <w:t>Sanger sequencing for detecting, p</w:t>
            </w:r>
            <w:r w:rsidRPr="00F2279A">
              <w:t>rimers used for exon 18</w:t>
            </w:r>
            <w:r w:rsidRPr="00F2279A">
              <w:rPr>
                <w:rFonts w:ascii="Cambria Math" w:hAnsi="Cambria Math" w:cs="Cambria Math"/>
              </w:rPr>
              <w:t>‑</w:t>
            </w:r>
            <w:r w:rsidRPr="00F2279A">
              <w:t xml:space="preserve">21 of </w:t>
            </w:r>
            <w:r w:rsidRPr="00F2279A">
              <w:rPr>
                <w:i/>
              </w:rPr>
              <w:t>EGFR</w:t>
            </w:r>
          </w:p>
          <w:p w14:paraId="33F0FC3C" w14:textId="77777777" w:rsidR="00504E35" w:rsidRDefault="00504E35" w:rsidP="006F7632">
            <w:pPr>
              <w:pStyle w:val="Tabletext0"/>
              <w:spacing w:before="0" w:after="120"/>
              <w:jc w:val="left"/>
            </w:pPr>
            <w:r>
              <w:t xml:space="preserve">Droplet digital PCR for detecting </w:t>
            </w:r>
            <w:r>
              <w:rPr>
                <w:i/>
              </w:rPr>
              <w:t xml:space="preserve">EGFR </w:t>
            </w:r>
            <w:r>
              <w:t>mutations, genotypes with L858R, exon 19 deletion, T790M or G719S</w:t>
            </w:r>
          </w:p>
          <w:p w14:paraId="3F0960DD" w14:textId="77777777" w:rsidR="00504E35" w:rsidRPr="00762C49" w:rsidRDefault="00504E35" w:rsidP="006F7632">
            <w:pPr>
              <w:pStyle w:val="Tabletext0"/>
              <w:spacing w:before="0" w:after="120"/>
              <w:jc w:val="left"/>
            </w:pPr>
          </w:p>
        </w:tc>
        <w:tc>
          <w:tcPr>
            <w:tcW w:w="1661" w:type="dxa"/>
            <w:tcBorders>
              <w:top w:val="single" w:sz="4" w:space="0" w:color="auto"/>
              <w:left w:val="single" w:sz="4" w:space="0" w:color="auto"/>
              <w:bottom w:val="single" w:sz="4" w:space="0" w:color="auto"/>
              <w:right w:val="single" w:sz="4" w:space="0" w:color="auto"/>
            </w:tcBorders>
          </w:tcPr>
          <w:p w14:paraId="65D5DAAB" w14:textId="77777777" w:rsidR="00504E35" w:rsidRDefault="00504E35" w:rsidP="006F7632">
            <w:pPr>
              <w:pStyle w:val="Tabletext0"/>
              <w:spacing w:before="0" w:after="120"/>
              <w:jc w:val="left"/>
            </w:pPr>
            <w:r>
              <w:t>Concordance</w:t>
            </w:r>
          </w:p>
          <w:p w14:paraId="5832D0E6" w14:textId="77777777" w:rsidR="00504E35" w:rsidRDefault="00504E35" w:rsidP="006F7632">
            <w:pPr>
              <w:pStyle w:val="Tabletext0"/>
              <w:spacing w:before="0" w:after="120"/>
              <w:jc w:val="left"/>
            </w:pPr>
          </w:p>
        </w:tc>
      </w:tr>
      <w:tr w:rsidR="00504E35" w:rsidRPr="00183E4D" w14:paraId="54EE87B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6B61B1E" w14:textId="7B702111" w:rsidR="00504E35" w:rsidRDefault="00B4668F" w:rsidP="00B4668F">
            <w:pPr>
              <w:pStyle w:val="Tabletext0"/>
              <w:spacing w:before="0" w:after="120"/>
              <w:jc w:val="left"/>
            </w:pPr>
            <w:r>
              <w:fldChar w:fldCharType="begin">
                <w:fldData xml:space="preserve">PEVuZE5vdGU+PENpdGU+PEF1dGhvcj5KdXJtZWlzdGVyPC9BdXRob3I+PFllYXI+MjAyMTwvWWVh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PEVuZE5vdGU+PENpdGU+PEF1dGhvcj5KdXJtZWlzdGVyPC9BdXRob3I+PFllYXI+MjAyMTwvWWVh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(Jurmeister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33B3B5E" w14:textId="77777777" w:rsidR="00504E35" w:rsidRDefault="00504E35" w:rsidP="006F7632">
            <w:pPr>
              <w:pStyle w:val="Tabletext0"/>
              <w:spacing w:before="0" w:after="120"/>
              <w:jc w:val="left"/>
            </w:pPr>
            <w:r>
              <w:t>Prospective cohort</w:t>
            </w:r>
          </w:p>
          <w:p w14:paraId="52616D86" w14:textId="77777777" w:rsidR="00504E35" w:rsidRDefault="00504E35" w:rsidP="006F7632">
            <w:pPr>
              <w:pStyle w:val="Tabletext0"/>
              <w:spacing w:before="0" w:after="120"/>
              <w:jc w:val="left"/>
            </w:pPr>
            <w:r>
              <w:t>Level III-2</w:t>
            </w:r>
          </w:p>
          <w:p w14:paraId="7EB3887D" w14:textId="77777777" w:rsidR="00504E35" w:rsidRDefault="00504E35" w:rsidP="006F7632">
            <w:pPr>
              <w:pStyle w:val="Tabletext0"/>
              <w:spacing w:before="0" w:after="120"/>
              <w:jc w:val="left"/>
            </w:pPr>
            <w:r>
              <w:t xml:space="preserve">Low risk of bias </w:t>
            </w:r>
            <w:r w:rsidRPr="00FE1788">
              <w:t>(</w:t>
            </w:r>
            <w:r>
              <w:t>SIGN for cohorts)</w:t>
            </w:r>
          </w:p>
        </w:tc>
        <w:tc>
          <w:tcPr>
            <w:tcW w:w="1770" w:type="dxa"/>
            <w:tcBorders>
              <w:top w:val="single" w:sz="4" w:space="0" w:color="auto"/>
              <w:left w:val="single" w:sz="4" w:space="0" w:color="auto"/>
              <w:bottom w:val="single" w:sz="4" w:space="0" w:color="auto"/>
              <w:right w:val="single" w:sz="4" w:space="0" w:color="auto"/>
            </w:tcBorders>
          </w:tcPr>
          <w:p w14:paraId="4888294F" w14:textId="77777777" w:rsidR="00504E35" w:rsidRDefault="00504E35" w:rsidP="006F7632">
            <w:pPr>
              <w:pStyle w:val="Tabletext0"/>
              <w:spacing w:before="0" w:after="120"/>
              <w:jc w:val="left"/>
            </w:pPr>
            <w:r>
              <w:t>Germany and Switzerland</w:t>
            </w:r>
          </w:p>
          <w:p w14:paraId="2AA585F4" w14:textId="77777777" w:rsidR="00504E35" w:rsidRDefault="00504E35" w:rsidP="006F7632">
            <w:pPr>
              <w:pStyle w:val="Tabletext0"/>
              <w:spacing w:before="0" w:after="120"/>
              <w:jc w:val="left"/>
            </w:pPr>
            <w:r>
              <w:t>Multiple pathologic laboratories (samples from the archives of multiple centres)</w:t>
            </w:r>
          </w:p>
          <w:p w14:paraId="2B10BBB5"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3BFDCEF8" w14:textId="77777777" w:rsidR="00504E35" w:rsidRDefault="00504E35" w:rsidP="006F7632">
            <w:pPr>
              <w:pStyle w:val="Tabletext0"/>
              <w:spacing w:before="0" w:after="120"/>
              <w:jc w:val="left"/>
            </w:pPr>
            <w:r>
              <w:t xml:space="preserve">N=57 participants assessing 10 pretested NSCLC specimens with known </w:t>
            </w:r>
            <w:r>
              <w:rPr>
                <w:i/>
              </w:rPr>
              <w:t xml:space="preserve">ALK </w:t>
            </w:r>
            <w:r>
              <w:t>status</w:t>
            </w:r>
          </w:p>
        </w:tc>
        <w:tc>
          <w:tcPr>
            <w:tcW w:w="1961" w:type="dxa"/>
            <w:tcBorders>
              <w:top w:val="single" w:sz="4" w:space="0" w:color="auto"/>
              <w:left w:val="single" w:sz="4" w:space="0" w:color="auto"/>
              <w:bottom w:val="single" w:sz="4" w:space="0" w:color="auto"/>
              <w:right w:val="single" w:sz="4" w:space="0" w:color="auto"/>
            </w:tcBorders>
          </w:tcPr>
          <w:p w14:paraId="12F9CD20" w14:textId="77777777" w:rsidR="00504E35" w:rsidRPr="00762C49" w:rsidRDefault="00504E35" w:rsidP="006F7632">
            <w:pPr>
              <w:pStyle w:val="Tabletext0"/>
              <w:spacing w:before="0" w:after="120"/>
              <w:jc w:val="left"/>
            </w:pPr>
            <w:r>
              <w:t>RNA/DNA NGS</w:t>
            </w:r>
          </w:p>
        </w:tc>
        <w:tc>
          <w:tcPr>
            <w:tcW w:w="2399" w:type="dxa"/>
            <w:tcBorders>
              <w:top w:val="single" w:sz="4" w:space="0" w:color="auto"/>
              <w:left w:val="single" w:sz="4" w:space="0" w:color="auto"/>
              <w:bottom w:val="single" w:sz="4" w:space="0" w:color="auto"/>
              <w:right w:val="single" w:sz="4" w:space="0" w:color="auto"/>
            </w:tcBorders>
          </w:tcPr>
          <w:p w14:paraId="143EED9D" w14:textId="77777777" w:rsidR="00504E35" w:rsidRPr="00A01382" w:rsidRDefault="00504E35" w:rsidP="006F7632">
            <w:pPr>
              <w:pStyle w:val="Tabletext0"/>
              <w:spacing w:before="0" w:after="120"/>
              <w:jc w:val="left"/>
            </w:pPr>
            <w:r>
              <w:t xml:space="preserve">ISH </w:t>
            </w:r>
            <w:r>
              <w:rPr>
                <w:i/>
              </w:rPr>
              <w:t xml:space="preserve">ALK </w:t>
            </w:r>
            <w:r>
              <w:t>testing (either FISH or CISH)</w:t>
            </w:r>
          </w:p>
          <w:p w14:paraId="4D2E6139" w14:textId="77777777" w:rsidR="00504E35" w:rsidRPr="00762C49" w:rsidRDefault="00504E35" w:rsidP="006F7632">
            <w:pPr>
              <w:pStyle w:val="Tabletext0"/>
              <w:spacing w:before="0" w:after="120"/>
              <w:jc w:val="left"/>
            </w:pPr>
            <w:r>
              <w:t>IHC</w:t>
            </w:r>
            <w:r>
              <w:rPr>
                <w:i/>
              </w:rPr>
              <w:t xml:space="preserve"> </w:t>
            </w:r>
            <w:r w:rsidRPr="00B718E1">
              <w:t xml:space="preserve">ALK </w:t>
            </w:r>
            <w:r>
              <w:t>testing</w:t>
            </w:r>
          </w:p>
        </w:tc>
        <w:tc>
          <w:tcPr>
            <w:tcW w:w="1661" w:type="dxa"/>
            <w:tcBorders>
              <w:top w:val="single" w:sz="4" w:space="0" w:color="auto"/>
              <w:left w:val="single" w:sz="4" w:space="0" w:color="auto"/>
              <w:bottom w:val="single" w:sz="4" w:space="0" w:color="auto"/>
              <w:right w:val="single" w:sz="4" w:space="0" w:color="auto"/>
            </w:tcBorders>
          </w:tcPr>
          <w:p w14:paraId="0754A299" w14:textId="77777777" w:rsidR="00504E35" w:rsidRDefault="00504E35" w:rsidP="006F7632">
            <w:pPr>
              <w:pStyle w:val="Tabletext0"/>
              <w:spacing w:before="0" w:after="120"/>
              <w:jc w:val="left"/>
            </w:pPr>
            <w:r>
              <w:t>Interrater reliability</w:t>
            </w:r>
          </w:p>
        </w:tc>
      </w:tr>
      <w:tr w:rsidR="00504E35" w14:paraId="25BEC425"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5DD98A43" w14:textId="30F7FC47" w:rsidR="00504E35" w:rsidRDefault="00B4668F" w:rsidP="00B4668F">
            <w:pPr>
              <w:pStyle w:val="Tabletext0"/>
              <w:spacing w:before="0" w:after="120"/>
              <w:jc w:val="left"/>
            </w:pPr>
            <w:r>
              <w:fldChar w:fldCharType="begin"/>
            </w:r>
            <w:r>
              <w:instrText xml:space="preserve"> ADDIN EN.CITE &lt;EndNote&gt;&lt;Cite&gt;&lt;Author&gt;Kato&lt;/Author&gt;&lt;Year&gt;2021&lt;/Year&gt;&lt;RecNum&gt;164&lt;/RecNum&gt;&lt;IDText&gt;NA-NA&lt;/IDText&gt;&lt;DisplayText&gt;(Kato et al. 2021)&lt;/DisplayText&gt;&lt;record&gt;&lt;rec-number&gt;164&lt;/rec-number&gt;&lt;foreign-keys&gt;&lt;key app="EN" db-id="0tprsse9cpp5r3ea5dz5p0xw2pfwvwxpa5a5" timestamp="1655264278"&gt;164&lt;/key&gt;&lt;/foreign-keys&gt;&lt;ref-type name="Journal Article"&gt;17&lt;/ref-type&gt;&lt;contributors&gt;&lt;authors&gt;&lt;author&gt;Kato, Kikuya&lt;/author&gt;&lt;author&gt;Okami, Jiro&lt;/author&gt;&lt;author&gt;Nakamura, Harumi&lt;/author&gt;&lt;author&gt;Honma, Keiichiro&lt;/author&gt;&lt;author&gt;Sato, Yoshiharu&lt;/author&gt;&lt;author&gt;Nakamura, Seiji&lt;/author&gt;&lt;author&gt;Kukita, Yoji&lt;/author&gt;&lt;author&gt;Nakatsuka, Shuichi&lt;/author&gt;&lt;author&gt;Higashiyama, Masahiko&lt;/author&gt;&lt;/authors&gt;&lt;/contributors&gt;&lt;titles&gt;&lt;title&gt;Analytical performance of a highly sensitive system to detect gene variants using next-generation sequencing for lung cancer companion diagnostics&lt;/title&gt;&lt;secondary-title&gt;NA&lt;/secondary-title&gt;&lt;/titles&gt;&lt;periodical&gt;&lt;full-title&gt;NA&lt;/full-title&gt;&lt;/periodical&gt;&lt;pages&gt;NA-NA&lt;/pages&gt;&lt;volume&gt;NA&lt;/volume&gt;&lt;number&gt;NA&lt;/number&gt;&lt;dates&gt;&lt;year&gt;2021&lt;/year&gt;&lt;/dates&gt;&lt;urls&gt;&lt;related-urls&gt;&lt;url&gt;https://www.medrxiv.org/content/medrxiv/early/2021/10/20/2021.10.13.21264976.full.pdf&lt;/url&gt;&lt;/related-urls&gt;&lt;/urls&gt;&lt;electronic-resource-num&gt;10.1101/2021.10.13.21264976&lt;/electronic-resource-num&gt;&lt;research-notes&gt; p -concordance EGFR, ALK, ROS1, MET&lt;/research-notes&gt;&lt;/record&gt;&lt;/Cite&gt;&lt;/EndNote&gt;</w:instrText>
            </w:r>
            <w:r>
              <w:fldChar w:fldCharType="separate"/>
            </w:r>
            <w:r>
              <w:rPr>
                <w:noProof/>
              </w:rPr>
              <w:t>(Kato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7D9A262B" w14:textId="77777777" w:rsidR="00504E35" w:rsidRDefault="00504E35" w:rsidP="006F7632">
            <w:pPr>
              <w:pStyle w:val="Tabletext0"/>
              <w:spacing w:before="0" w:after="120"/>
              <w:jc w:val="left"/>
            </w:pPr>
            <w:r>
              <w:t>Cohort study (retrospective or prospective unknown)</w:t>
            </w:r>
          </w:p>
          <w:p w14:paraId="1DB74D2A" w14:textId="77777777" w:rsidR="00504E35" w:rsidRDefault="00504E35" w:rsidP="006F7632">
            <w:pPr>
              <w:pStyle w:val="Tabletext0"/>
              <w:spacing w:before="0" w:after="120"/>
              <w:jc w:val="left"/>
            </w:pPr>
            <w:r>
              <w:t xml:space="preserve">Level III-2 </w:t>
            </w:r>
          </w:p>
          <w:p w14:paraId="1C17FC62" w14:textId="77777777" w:rsidR="00504E35" w:rsidRDefault="00504E35" w:rsidP="006F7632">
            <w:pPr>
              <w:pStyle w:val="Tabletext0"/>
              <w:spacing w:before="0" w:after="120"/>
              <w:jc w:val="left"/>
            </w:pPr>
            <w:r>
              <w:t xml:space="preserve">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5F39F0F3" w14:textId="77777777" w:rsidR="00504E35" w:rsidRDefault="00504E35" w:rsidP="006F7632">
            <w:pPr>
              <w:pStyle w:val="Tabletext0"/>
              <w:spacing w:before="0" w:after="120"/>
              <w:jc w:val="left"/>
            </w:pPr>
            <w:r>
              <w:t>Japan</w:t>
            </w:r>
          </w:p>
          <w:p w14:paraId="4CDD80B4" w14:textId="77777777" w:rsidR="00504E35" w:rsidRDefault="00504E35" w:rsidP="006F7632">
            <w:pPr>
              <w:pStyle w:val="Tabletext0"/>
              <w:spacing w:before="0" w:after="120"/>
              <w:jc w:val="left"/>
            </w:pPr>
            <w:r>
              <w:t>Pathologic laboratory(ies)</w:t>
            </w:r>
          </w:p>
          <w:p w14:paraId="689F5ED7"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45065C0F" w14:textId="77777777" w:rsidR="00504E35" w:rsidRDefault="00504E35" w:rsidP="006F7632">
            <w:pPr>
              <w:pStyle w:val="Tabletext0"/>
              <w:spacing w:before="0" w:after="120"/>
              <w:rPr>
                <w:i/>
              </w:rPr>
            </w:pPr>
            <w:r>
              <w:t xml:space="preserve">N=150 (for </w:t>
            </w:r>
            <w:r>
              <w:rPr>
                <w:i/>
              </w:rPr>
              <w:t>EGFR)</w:t>
            </w:r>
          </w:p>
          <w:p w14:paraId="20069241" w14:textId="77777777" w:rsidR="00504E35" w:rsidRDefault="00504E35" w:rsidP="006F7632">
            <w:pPr>
              <w:pStyle w:val="Tabletext0"/>
              <w:spacing w:before="0" w:after="120"/>
              <w:rPr>
                <w:i/>
              </w:rPr>
            </w:pPr>
            <w:r>
              <w:t xml:space="preserve">N=733 (for </w:t>
            </w:r>
            <w:r>
              <w:rPr>
                <w:i/>
              </w:rPr>
              <w:t>ALK)</w:t>
            </w:r>
          </w:p>
          <w:p w14:paraId="3725832F" w14:textId="77777777" w:rsidR="00504E35" w:rsidRDefault="00504E35" w:rsidP="006F7632">
            <w:pPr>
              <w:pStyle w:val="Tabletext0"/>
              <w:spacing w:before="0" w:after="120"/>
              <w:rPr>
                <w:i/>
              </w:rPr>
            </w:pPr>
            <w:r>
              <w:t xml:space="preserve">N=109 (for </w:t>
            </w:r>
            <w:r>
              <w:rPr>
                <w:i/>
              </w:rPr>
              <w:t>ROS1)</w:t>
            </w:r>
          </w:p>
          <w:p w14:paraId="35266510" w14:textId="77777777" w:rsidR="00504E35" w:rsidRDefault="00504E35" w:rsidP="006F7632">
            <w:pPr>
              <w:pStyle w:val="Tabletext0"/>
              <w:spacing w:before="0" w:after="120"/>
              <w:rPr>
                <w:i/>
              </w:rPr>
            </w:pPr>
            <w:r>
              <w:t xml:space="preserve">N=99 (for </w:t>
            </w:r>
            <w:r>
              <w:rPr>
                <w:i/>
              </w:rPr>
              <w:t>MET)</w:t>
            </w:r>
          </w:p>
          <w:p w14:paraId="1CFFD920" w14:textId="77777777" w:rsidR="00504E35" w:rsidRDefault="00504E35" w:rsidP="006F7632">
            <w:pPr>
              <w:pStyle w:val="Tabletext0"/>
              <w:spacing w:before="0" w:after="120"/>
            </w:pPr>
            <w:r>
              <w:t xml:space="preserve">FFPE NSCLC samples </w:t>
            </w:r>
          </w:p>
        </w:tc>
        <w:tc>
          <w:tcPr>
            <w:tcW w:w="1961" w:type="dxa"/>
            <w:tcBorders>
              <w:top w:val="single" w:sz="4" w:space="0" w:color="auto"/>
              <w:left w:val="single" w:sz="4" w:space="0" w:color="auto"/>
              <w:bottom w:val="single" w:sz="4" w:space="0" w:color="auto"/>
              <w:right w:val="single" w:sz="4" w:space="0" w:color="auto"/>
            </w:tcBorders>
          </w:tcPr>
          <w:p w14:paraId="1E3970F3" w14:textId="77777777" w:rsidR="00504E35" w:rsidRDefault="00504E35" w:rsidP="006F7632">
            <w:pPr>
              <w:pStyle w:val="Tabletext0"/>
              <w:spacing w:before="0" w:after="120"/>
            </w:pPr>
            <w:r>
              <w:t xml:space="preserve">NGS panel, consists of 2 DNA modules (for </w:t>
            </w:r>
            <w:r>
              <w:rPr>
                <w:i/>
              </w:rPr>
              <w:t xml:space="preserve">EGFR, BRAF, KRAS Her2, </w:t>
            </w:r>
            <w:r w:rsidRPr="0030273C">
              <w:t>and</w:t>
            </w:r>
            <w:r>
              <w:t xml:space="preserve"> </w:t>
            </w:r>
            <w:r>
              <w:rPr>
                <w:i/>
              </w:rPr>
              <w:t xml:space="preserve">MET </w:t>
            </w:r>
            <w:r>
              <w:t>mutations/variants</w:t>
            </w:r>
            <w:r w:rsidRPr="00183388">
              <w:t>)</w:t>
            </w:r>
            <w:r>
              <w:rPr>
                <w:i/>
              </w:rPr>
              <w:t xml:space="preserve"> </w:t>
            </w:r>
            <w:r>
              <w:t xml:space="preserve">and 2 RNA modules (for </w:t>
            </w:r>
            <w:r>
              <w:rPr>
                <w:i/>
              </w:rPr>
              <w:t>ALK, MET, ROS1</w:t>
            </w:r>
            <w:r>
              <w:t xml:space="preserve"> and </w:t>
            </w:r>
            <w:r>
              <w:rPr>
                <w:i/>
              </w:rPr>
              <w:t xml:space="preserve">RET </w:t>
            </w:r>
            <w:r>
              <w:t>mutations/variants)</w:t>
            </w:r>
          </w:p>
        </w:tc>
        <w:tc>
          <w:tcPr>
            <w:tcW w:w="2399" w:type="dxa"/>
            <w:tcBorders>
              <w:top w:val="single" w:sz="4" w:space="0" w:color="auto"/>
              <w:left w:val="single" w:sz="4" w:space="0" w:color="auto"/>
              <w:bottom w:val="single" w:sz="4" w:space="0" w:color="auto"/>
              <w:right w:val="single" w:sz="4" w:space="0" w:color="auto"/>
            </w:tcBorders>
          </w:tcPr>
          <w:p w14:paraId="1CAEE954" w14:textId="77777777" w:rsidR="00504E35" w:rsidRDefault="00504E35" w:rsidP="006F7632">
            <w:pPr>
              <w:pStyle w:val="Tabletext0"/>
              <w:spacing w:before="0" w:after="120"/>
            </w:pPr>
            <w:r>
              <w:rPr>
                <w:i/>
              </w:rPr>
              <w:t xml:space="preserve">EGFR: </w:t>
            </w:r>
            <w:r w:rsidRPr="00102E5C">
              <w:t>Cobas</w:t>
            </w:r>
            <w:r w:rsidRPr="00102E5C">
              <w:rPr>
                <w:vertAlign w:val="superscript"/>
              </w:rPr>
              <w:t>®</w:t>
            </w:r>
            <w:r>
              <w:t xml:space="preserve"> </w:t>
            </w:r>
            <w:r w:rsidRPr="00183388">
              <w:rPr>
                <w:i/>
              </w:rPr>
              <w:t>EGFR</w:t>
            </w:r>
            <w:r>
              <w:t xml:space="preserve"> Mutation Test v2 </w:t>
            </w:r>
          </w:p>
          <w:p w14:paraId="7D3A0731" w14:textId="77777777" w:rsidR="00504E35" w:rsidRDefault="00504E35" w:rsidP="006F7632">
            <w:pPr>
              <w:pStyle w:val="Tabletext0"/>
              <w:spacing w:before="0" w:after="120"/>
            </w:pPr>
            <w:r w:rsidRPr="00F55263">
              <w:rPr>
                <w:i/>
              </w:rPr>
              <w:t>ALK</w:t>
            </w:r>
            <w:r>
              <w:t xml:space="preserve">: Histofine </w:t>
            </w:r>
            <w:r w:rsidRPr="00183388">
              <w:rPr>
                <w:i/>
              </w:rPr>
              <w:t>ALK</w:t>
            </w:r>
            <w:r>
              <w:t xml:space="preserve"> iAEP</w:t>
            </w:r>
            <w:r w:rsidRPr="00183388">
              <w:rPr>
                <w:vertAlign w:val="superscript"/>
              </w:rPr>
              <w:t>®</w:t>
            </w:r>
            <w:r>
              <w:t xml:space="preserve"> kit and Vysis</w:t>
            </w:r>
            <w:r w:rsidRPr="00183388">
              <w:rPr>
                <w:vertAlign w:val="superscript"/>
              </w:rPr>
              <w:t>®</w:t>
            </w:r>
            <w:r>
              <w:t xml:space="preserve"> </w:t>
            </w:r>
            <w:r w:rsidRPr="00183388">
              <w:rPr>
                <w:i/>
              </w:rPr>
              <w:t>ALK</w:t>
            </w:r>
            <w:r>
              <w:t xml:space="preserve"> Break Apart FISH</w:t>
            </w:r>
          </w:p>
          <w:p w14:paraId="3632CE2D" w14:textId="77777777" w:rsidR="00504E35" w:rsidRDefault="00504E35" w:rsidP="006F7632">
            <w:pPr>
              <w:pStyle w:val="Tabletext0"/>
              <w:spacing w:before="0" w:after="120"/>
            </w:pPr>
            <w:r w:rsidRPr="00F55263">
              <w:rPr>
                <w:i/>
              </w:rPr>
              <w:t>ROS1</w:t>
            </w:r>
            <w:r>
              <w:t>: OncoGuide</w:t>
            </w:r>
            <w:r w:rsidRPr="00F55263">
              <w:rPr>
                <w:vertAlign w:val="superscript"/>
              </w:rPr>
              <w:t>®</w:t>
            </w:r>
            <w:r>
              <w:t xml:space="preserve"> AmyouDx</w:t>
            </w:r>
            <w:r w:rsidRPr="00F55263">
              <w:rPr>
                <w:vertAlign w:val="superscript"/>
              </w:rPr>
              <w:t>®</w:t>
            </w:r>
            <w:r>
              <w:t xml:space="preserve"> </w:t>
            </w:r>
            <w:r w:rsidRPr="00F55263">
              <w:rPr>
                <w:i/>
              </w:rPr>
              <w:t>ROS1</w:t>
            </w:r>
          </w:p>
          <w:p w14:paraId="561C5310" w14:textId="77777777" w:rsidR="00504E35" w:rsidRDefault="00504E35" w:rsidP="006F7632">
            <w:pPr>
              <w:pStyle w:val="Tabletext0"/>
              <w:spacing w:before="0" w:after="120"/>
            </w:pPr>
            <w:r>
              <w:rPr>
                <w:i/>
              </w:rPr>
              <w:t xml:space="preserve">MET: </w:t>
            </w:r>
            <w:r>
              <w:t>Archer</w:t>
            </w:r>
            <w:r w:rsidRPr="00183388">
              <w:rPr>
                <w:vertAlign w:val="superscript"/>
              </w:rPr>
              <w:t>®</w:t>
            </w:r>
            <w:r w:rsidRPr="00F55263">
              <w:t>MET</w:t>
            </w:r>
          </w:p>
        </w:tc>
        <w:tc>
          <w:tcPr>
            <w:tcW w:w="1661" w:type="dxa"/>
            <w:tcBorders>
              <w:top w:val="single" w:sz="4" w:space="0" w:color="auto"/>
              <w:left w:val="single" w:sz="4" w:space="0" w:color="auto"/>
              <w:bottom w:val="single" w:sz="4" w:space="0" w:color="auto"/>
              <w:right w:val="single" w:sz="4" w:space="0" w:color="auto"/>
            </w:tcBorders>
          </w:tcPr>
          <w:p w14:paraId="17AB67EE" w14:textId="77777777" w:rsidR="00504E35" w:rsidRDefault="00504E35" w:rsidP="006F7632">
            <w:pPr>
              <w:pStyle w:val="Tabletext0"/>
              <w:spacing w:before="0" w:after="120"/>
              <w:jc w:val="left"/>
            </w:pPr>
            <w:r>
              <w:t>Concordance</w:t>
            </w:r>
          </w:p>
        </w:tc>
      </w:tr>
      <w:tr w:rsidR="00504E35" w14:paraId="336DA53A"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22777923" w14:textId="5DF9F843" w:rsidR="00504E35" w:rsidRDefault="00B4668F" w:rsidP="00B4668F">
            <w:pPr>
              <w:pStyle w:val="Tabletext0"/>
              <w:spacing w:before="0" w:after="120"/>
              <w:jc w:val="left"/>
            </w:pPr>
            <w:r>
              <w:fldChar w:fldCharType="begin"/>
            </w:r>
            <w:r>
              <w:instrText xml:space="preserve"> ADDIN EN.CITE &lt;EndNote&gt;&lt;Cite&gt;&lt;Author&gt;Kim&lt;/Author&gt;&lt;Year&gt;2021&lt;/Year&gt;&lt;RecNum&gt;165&lt;/RecNum&gt;&lt;IDText&gt;3197-3204&lt;/IDText&gt;&lt;DisplayText&gt;(Kim et al. 2021)&lt;/DisplayText&gt;&lt;record&gt;&lt;rec-number&gt;165&lt;/rec-number&gt;&lt;foreign-keys&gt;&lt;key app="EN" db-id="0tprsse9cpp5r3ea5dz5p0xw2pfwvwxpa5a5" timestamp="1655264278"&gt;165&lt;/key&gt;&lt;/foreign-keys&gt;&lt;ref-type name="Journal Article"&gt;17&lt;/ref-type&gt;&lt;contributors&gt;&lt;authors&gt;&lt;author&gt;Kim, J. H.&lt;/author&gt;&lt;author&gt;Yoon, Shinkyo&lt;/author&gt;&lt;author&gt;Lee, Dae Ho&lt;/author&gt;&lt;author&gt;Jang, Jin&lt;/author&gt;&lt;author&gt;Chun, Sung-Min&lt;/author&gt;&lt;author&gt;Kim, Sang-We&lt;/author&gt;&lt;/authors&gt;&lt;/contributors&gt;&lt;titles&gt;&lt;title&gt;Real-world utility of next-generation sequencing for targeted gene analysis and its application to treatment in lung adenocarcinoma&lt;/title&gt;&lt;secondary-title&gt;Cancer medicine&lt;/secondary-title&gt;&lt;/titles&gt;&lt;periodical&gt;&lt;full-title&gt;Cancer Medicine&lt;/full-title&gt;&lt;/periodical&gt;&lt;pages&gt;3197-3204&lt;/pages&gt;&lt;volume&gt;10&lt;/volume&gt;&lt;number&gt;10&lt;/number&gt;&lt;dates&gt;&lt;year&gt;2021&lt;/year&gt;&lt;/dates&gt;&lt;urls&gt;&lt;related-urls&gt;&lt;url&gt;https://www.ncbi.nlm.nih.gov/pmc/articles/PMC8124124/pdf/CAM4-10-3197.pdf&lt;/url&gt;&lt;/related-urls&gt;&lt;/urls&gt;&lt;electronic-resource-num&gt;10.1002/cam4.3874&lt;/electronic-resource-num&gt;&lt;research-notes&gt;P - Concordance on EGFR&lt;/research-notes&gt;&lt;/record&gt;&lt;/Cite&gt;&lt;/EndNote&gt;</w:instrText>
            </w:r>
            <w:r>
              <w:fldChar w:fldCharType="separate"/>
            </w:r>
            <w:r>
              <w:rPr>
                <w:noProof/>
              </w:rPr>
              <w:t>(Kim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5C6F084F" w14:textId="77777777" w:rsidR="00504E35" w:rsidRDefault="00504E35" w:rsidP="006F7632">
            <w:pPr>
              <w:pStyle w:val="Tabletext0"/>
              <w:spacing w:before="0" w:after="120"/>
              <w:jc w:val="left"/>
            </w:pPr>
            <w:r w:rsidRPr="00E43891">
              <w:rPr>
                <w:u w:val="single"/>
              </w:rPr>
              <w:t>Concordance</w:t>
            </w:r>
            <w:r>
              <w:t>:</w:t>
            </w:r>
          </w:p>
          <w:p w14:paraId="2A9E9B50" w14:textId="77777777" w:rsidR="00504E35" w:rsidRDefault="00504E35" w:rsidP="006F7632">
            <w:pPr>
              <w:pStyle w:val="Tabletext0"/>
              <w:spacing w:before="0" w:after="120"/>
              <w:jc w:val="left"/>
            </w:pPr>
            <w:r>
              <w:t>Retrospective cohort study</w:t>
            </w:r>
          </w:p>
          <w:p w14:paraId="21B91306" w14:textId="77777777" w:rsidR="00504E35" w:rsidRDefault="00504E35" w:rsidP="006F7632">
            <w:pPr>
              <w:pStyle w:val="Tabletext0"/>
              <w:spacing w:before="0" w:after="120"/>
              <w:jc w:val="left"/>
            </w:pPr>
            <w:r>
              <w:t>Level III-2</w:t>
            </w:r>
          </w:p>
          <w:p w14:paraId="541B812E" w14:textId="77777777" w:rsidR="00504E35" w:rsidRDefault="00504E35" w:rsidP="006F7632">
            <w:pPr>
              <w:pStyle w:val="Tabletext0"/>
              <w:spacing w:before="0" w:after="120"/>
              <w:jc w:val="left"/>
            </w:pPr>
            <w:r>
              <w:t>Moderate</w:t>
            </w:r>
            <w:r w:rsidRPr="00FC301B">
              <w:t xml:space="preserve"> risk of bias</w:t>
            </w:r>
            <w:r>
              <w:t xml:space="preserve"> </w:t>
            </w:r>
            <w:r w:rsidRPr="00FE1788">
              <w:t>(QUADAS 2)</w:t>
            </w:r>
          </w:p>
          <w:p w14:paraId="3E379DCC" w14:textId="77777777" w:rsidR="00504E35" w:rsidRDefault="00504E35" w:rsidP="006F7632">
            <w:pPr>
              <w:pStyle w:val="Tabletext0"/>
              <w:spacing w:before="0" w:after="120"/>
              <w:jc w:val="left"/>
            </w:pPr>
            <w:r w:rsidRPr="00E43891">
              <w:rPr>
                <w:u w:val="single"/>
              </w:rPr>
              <w:t>Health outcome</w:t>
            </w:r>
            <w:r>
              <w:t>:</w:t>
            </w:r>
          </w:p>
          <w:p w14:paraId="76AD7E03" w14:textId="77777777" w:rsidR="00504E35" w:rsidRDefault="00504E35" w:rsidP="006F7632">
            <w:pPr>
              <w:pStyle w:val="Tabletext0"/>
              <w:spacing w:before="0" w:after="120"/>
              <w:jc w:val="left"/>
            </w:pPr>
            <w:r>
              <w:t>Case series</w:t>
            </w:r>
          </w:p>
          <w:p w14:paraId="78C8304C" w14:textId="77777777" w:rsidR="00504E35" w:rsidRDefault="00504E35" w:rsidP="006F7632">
            <w:pPr>
              <w:pStyle w:val="Tabletext0"/>
              <w:spacing w:before="0" w:after="120"/>
              <w:jc w:val="left"/>
            </w:pPr>
            <w:r>
              <w:t>Level IV</w:t>
            </w:r>
          </w:p>
          <w:p w14:paraId="32F1D383" w14:textId="77777777" w:rsidR="00504E35" w:rsidRDefault="00504E35" w:rsidP="006F7632">
            <w:pPr>
              <w:pStyle w:val="Tabletext0"/>
              <w:spacing w:before="0" w:after="120"/>
              <w:jc w:val="left"/>
            </w:pPr>
            <w:r>
              <w:t xml:space="preserve">Low to moderate </w:t>
            </w:r>
            <w:r w:rsidRPr="009A56E2">
              <w:t>risk of bias</w:t>
            </w:r>
            <w:r>
              <w:t xml:space="preserve"> </w:t>
            </w:r>
            <w:r>
              <w:lastRenderedPageBreak/>
              <w:t>(NHLBI for case series)</w:t>
            </w:r>
          </w:p>
        </w:tc>
        <w:tc>
          <w:tcPr>
            <w:tcW w:w="1770" w:type="dxa"/>
            <w:tcBorders>
              <w:top w:val="single" w:sz="4" w:space="0" w:color="auto"/>
              <w:left w:val="single" w:sz="4" w:space="0" w:color="auto"/>
              <w:bottom w:val="single" w:sz="4" w:space="0" w:color="auto"/>
              <w:right w:val="single" w:sz="4" w:space="0" w:color="auto"/>
            </w:tcBorders>
          </w:tcPr>
          <w:p w14:paraId="024C24D5" w14:textId="77777777" w:rsidR="00504E35" w:rsidRDefault="00504E35" w:rsidP="006F7632">
            <w:pPr>
              <w:pStyle w:val="Tabletext0"/>
              <w:spacing w:before="0" w:after="120"/>
              <w:jc w:val="left"/>
            </w:pPr>
            <w:r>
              <w:lastRenderedPageBreak/>
              <w:t>Korea</w:t>
            </w:r>
          </w:p>
          <w:p w14:paraId="3E2DA37F" w14:textId="77777777" w:rsidR="00504E35" w:rsidRDefault="00504E35" w:rsidP="006F7632">
            <w:pPr>
              <w:pStyle w:val="Tabletext0"/>
              <w:spacing w:before="0" w:after="120"/>
              <w:jc w:val="left"/>
            </w:pPr>
            <w:r>
              <w:t>Data review of NSCLC patients treated in a single centre</w:t>
            </w:r>
          </w:p>
          <w:p w14:paraId="77E607BE" w14:textId="77777777" w:rsidR="00504E35" w:rsidRDefault="00504E35" w:rsidP="006F7632">
            <w:pPr>
              <w:pStyle w:val="Tabletext0"/>
              <w:spacing w:before="0" w:after="120"/>
              <w:jc w:val="left"/>
            </w:pPr>
            <w:r>
              <w:t>16.8 months</w:t>
            </w:r>
          </w:p>
          <w:p w14:paraId="4EC3F53D" w14:textId="77777777" w:rsidR="00504E35" w:rsidRDefault="00504E35" w:rsidP="006F7632">
            <w:pPr>
              <w:pStyle w:val="Tabletext0"/>
              <w:spacing w:before="0" w:after="120"/>
              <w:jc w:val="left"/>
            </w:pPr>
          </w:p>
        </w:tc>
        <w:tc>
          <w:tcPr>
            <w:tcW w:w="2215" w:type="dxa"/>
            <w:tcBorders>
              <w:top w:val="single" w:sz="4" w:space="0" w:color="auto"/>
              <w:left w:val="single" w:sz="4" w:space="0" w:color="auto"/>
              <w:bottom w:val="single" w:sz="4" w:space="0" w:color="auto"/>
              <w:right w:val="single" w:sz="4" w:space="0" w:color="auto"/>
            </w:tcBorders>
          </w:tcPr>
          <w:p w14:paraId="4EA410AF" w14:textId="77777777" w:rsidR="00504E35" w:rsidRDefault="00504E35" w:rsidP="006F7632">
            <w:pPr>
              <w:pStyle w:val="Tabletext0"/>
              <w:spacing w:before="0" w:after="120"/>
              <w:jc w:val="left"/>
              <w:rPr>
                <w:u w:val="single"/>
              </w:rPr>
            </w:pPr>
            <w:r w:rsidRPr="00B8510F">
              <w:t>N=</w:t>
            </w:r>
            <w:r>
              <w:t>391 patients with lung adenocarcinoma who underwent NGS</w:t>
            </w:r>
          </w:p>
          <w:p w14:paraId="0720D628" w14:textId="77777777" w:rsidR="00504E35" w:rsidRDefault="00504E35" w:rsidP="006F7632">
            <w:pPr>
              <w:pStyle w:val="Tabletext0"/>
              <w:spacing w:before="0" w:after="120"/>
              <w:jc w:val="left"/>
              <w:rPr>
                <w:u w:val="single"/>
              </w:rPr>
            </w:pPr>
            <w:r>
              <w:t>FFPE archival biopsy or surgical specimens</w:t>
            </w:r>
            <w:r w:rsidRPr="00520138">
              <w:rPr>
                <w:u w:val="single"/>
              </w:rPr>
              <w:t xml:space="preserve"> </w:t>
            </w:r>
          </w:p>
          <w:p w14:paraId="11C46213" w14:textId="77777777" w:rsidR="00504E35" w:rsidRDefault="00504E35" w:rsidP="006F7632">
            <w:pPr>
              <w:pStyle w:val="Tabletext0"/>
              <w:spacing w:before="0" w:after="120"/>
              <w:jc w:val="left"/>
            </w:pPr>
            <w:r w:rsidRPr="00520138">
              <w:rPr>
                <w:u w:val="single"/>
              </w:rPr>
              <w:t>Concordance</w:t>
            </w:r>
            <w:r>
              <w:t xml:space="preserve">: </w:t>
            </w:r>
          </w:p>
          <w:p w14:paraId="35F32674" w14:textId="77777777" w:rsidR="00504E35" w:rsidRDefault="00504E35" w:rsidP="006F7632">
            <w:pPr>
              <w:pStyle w:val="Tabletext0"/>
              <w:spacing w:before="0" w:after="120"/>
              <w:jc w:val="left"/>
            </w:pPr>
            <w:r>
              <w:t>n=320/391</w:t>
            </w:r>
          </w:p>
          <w:p w14:paraId="4C1708C8" w14:textId="77777777" w:rsidR="00504E35" w:rsidRDefault="00504E35" w:rsidP="006F7632">
            <w:pPr>
              <w:pStyle w:val="Tabletext0"/>
              <w:spacing w:before="0" w:after="120"/>
              <w:jc w:val="left"/>
            </w:pPr>
            <w:r w:rsidRPr="00B8510F">
              <w:rPr>
                <w:u w:val="single"/>
              </w:rPr>
              <w:t>Health outcome</w:t>
            </w:r>
            <w:r>
              <w:t>:</w:t>
            </w:r>
          </w:p>
          <w:p w14:paraId="2AB8B5ED" w14:textId="77777777" w:rsidR="00504E35" w:rsidRDefault="00504E35" w:rsidP="006F7632">
            <w:pPr>
              <w:pStyle w:val="Tabletext0"/>
              <w:spacing w:before="0" w:after="120"/>
              <w:jc w:val="left"/>
            </w:pPr>
            <w:r>
              <w:t>N=330/391</w:t>
            </w:r>
          </w:p>
          <w:p w14:paraId="0B2813B3" w14:textId="77777777" w:rsidR="00504E35" w:rsidRDefault="00504E35" w:rsidP="006F7632">
            <w:pPr>
              <w:pStyle w:val="Tabletext0"/>
              <w:spacing w:before="0" w:after="120"/>
              <w:jc w:val="left"/>
            </w:pPr>
          </w:p>
        </w:tc>
        <w:tc>
          <w:tcPr>
            <w:tcW w:w="1961" w:type="dxa"/>
            <w:tcBorders>
              <w:top w:val="single" w:sz="4" w:space="0" w:color="auto"/>
              <w:left w:val="single" w:sz="4" w:space="0" w:color="auto"/>
              <w:bottom w:val="single" w:sz="4" w:space="0" w:color="auto"/>
              <w:right w:val="single" w:sz="4" w:space="0" w:color="auto"/>
            </w:tcBorders>
          </w:tcPr>
          <w:p w14:paraId="1B888243" w14:textId="77777777" w:rsidR="00504E35" w:rsidRDefault="00504E35" w:rsidP="006F7632">
            <w:pPr>
              <w:pStyle w:val="Tabletext0"/>
              <w:spacing w:before="0" w:after="120"/>
              <w:jc w:val="left"/>
            </w:pPr>
            <w:r>
              <w:t>Targeted NGS using the MiSeq platform (Illumina) with OncoPanel AMC version 3, targeting a total of 382 genes</w:t>
            </w:r>
          </w:p>
        </w:tc>
        <w:tc>
          <w:tcPr>
            <w:tcW w:w="2399" w:type="dxa"/>
            <w:tcBorders>
              <w:top w:val="single" w:sz="4" w:space="0" w:color="auto"/>
              <w:left w:val="single" w:sz="4" w:space="0" w:color="auto"/>
              <w:bottom w:val="single" w:sz="4" w:space="0" w:color="auto"/>
              <w:right w:val="single" w:sz="4" w:space="0" w:color="auto"/>
            </w:tcBorders>
          </w:tcPr>
          <w:p w14:paraId="5EF9FBB6" w14:textId="77777777" w:rsidR="00504E35" w:rsidRDefault="00504E35" w:rsidP="006F7632">
            <w:pPr>
              <w:pStyle w:val="Tabletext0"/>
              <w:spacing w:before="0" w:after="120"/>
              <w:jc w:val="left"/>
            </w:pPr>
            <w:r>
              <w:t xml:space="preserve">Conventional single-targeting PCR for </w:t>
            </w:r>
            <w:r>
              <w:rPr>
                <w:i/>
              </w:rPr>
              <w:t xml:space="preserve">EGFR </w:t>
            </w:r>
            <w:r>
              <w:t>mutations</w:t>
            </w:r>
          </w:p>
        </w:tc>
        <w:tc>
          <w:tcPr>
            <w:tcW w:w="1661" w:type="dxa"/>
            <w:tcBorders>
              <w:top w:val="single" w:sz="4" w:space="0" w:color="auto"/>
              <w:left w:val="single" w:sz="4" w:space="0" w:color="auto"/>
              <w:bottom w:val="single" w:sz="4" w:space="0" w:color="auto"/>
              <w:right w:val="single" w:sz="4" w:space="0" w:color="auto"/>
            </w:tcBorders>
          </w:tcPr>
          <w:p w14:paraId="373A57E0" w14:textId="77777777" w:rsidR="00504E35" w:rsidRDefault="00504E35" w:rsidP="006F7632">
            <w:pPr>
              <w:pStyle w:val="Tabletext0"/>
              <w:spacing w:before="0" w:after="120"/>
              <w:jc w:val="left"/>
            </w:pPr>
            <w:r>
              <w:t>Concordance</w:t>
            </w:r>
          </w:p>
          <w:p w14:paraId="5449EF49" w14:textId="77777777" w:rsidR="00504E35" w:rsidRDefault="00504E35" w:rsidP="006F7632">
            <w:pPr>
              <w:pStyle w:val="Tabletext0"/>
              <w:spacing w:before="0" w:after="120"/>
              <w:jc w:val="left"/>
            </w:pPr>
            <w:r>
              <w:t>Health outcome (OS)</w:t>
            </w:r>
          </w:p>
        </w:tc>
      </w:tr>
      <w:tr w:rsidR="00504E35" w14:paraId="7F53F65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10687685" w14:textId="441AE61D" w:rsidR="00504E35" w:rsidRDefault="00B4668F" w:rsidP="00B4668F">
            <w:pPr>
              <w:pStyle w:val="Tabletext0"/>
              <w:spacing w:before="0" w:after="120"/>
              <w:jc w:val="left"/>
            </w:pPr>
            <w:r>
              <w:fldChar w:fldCharType="begin"/>
            </w:r>
            <w:r>
              <w:instrText xml:space="preserve"> ADDIN EN.CITE &lt;EndNote&gt;&lt;Cite&gt;&lt;Author&gt;Lassalle&lt;/Author&gt;&lt;Year&gt;2020&lt;/Year&gt;&lt;RecNum&gt;167&lt;/RecNum&gt;&lt;IDText&gt;955-NA&lt;/IDText&gt;&lt;DisplayText&gt;(Lassalle et al. 2020)&lt;/DisplayText&gt;&lt;record&gt;&lt;rec-number&gt;167&lt;/rec-number&gt;&lt;foreign-keys&gt;&lt;key app="EN" db-id="0tprsse9cpp5r3ea5dz5p0xw2pfwvwxpa5a5" timestamp="1655264278"&gt;167&lt;/key&gt;&lt;/foreign-keys&gt;&lt;ref-type name="Journal Article"&gt;17&lt;/ref-type&gt;&lt;contributors&gt;&lt;authors&gt;&lt;author&gt;Lassalle, Sandra&lt;/author&gt;&lt;author&gt;Hofman, Véronique&lt;/author&gt;&lt;author&gt;Heeke, Simon&lt;/author&gt;&lt;author&gt;Benzaquen, Jonathan&lt;/author&gt;&lt;author&gt;Long, Elodie&lt;/author&gt;&lt;author&gt;Poudenx, Michel&lt;/author&gt;&lt;author&gt;Lantéri, Elisabeth&lt;/author&gt;&lt;author&gt;Boutros, Jacques&lt;/author&gt;&lt;author&gt;Tanga, Virginie&lt;/author&gt;&lt;author&gt;Zahaf, Katia&lt;/author&gt;&lt;author&gt;Lalvée, Salomé&lt;/author&gt;&lt;author&gt;Lespinet, Virginie&lt;/author&gt;&lt;author&gt;Bordone, Olivier&lt;/author&gt;&lt;author&gt;Félix, Jean-Marc&lt;/author&gt;&lt;author&gt;Bonnetaud, Christelle&lt;/author&gt;&lt;author&gt;Marquette, C. H.&lt;/author&gt;&lt;author&gt;Ilie, Marius&lt;/author&gt;&lt;author&gt;Hofman, Paul&lt;/author&gt;&lt;/authors&gt;&lt;/contributors&gt;&lt;titles&gt;&lt;title&gt;Targeted Assessment of the EGFR Status as Reflex Testing in Treatment-Naive Non-Squamous Cell Lung Carcinoma Patients: A Single Laboratory Experience (LPCE, Nice, France)&lt;/title&gt;&lt;secondary-title&gt;Cancers&lt;/secondary-title&gt;&lt;/titles&gt;&lt;periodical&gt;&lt;full-title&gt;Cancers&lt;/full-title&gt;&lt;/periodical&gt;&lt;pages&gt;955-NA&lt;/pages&gt;&lt;volume&gt;12&lt;/volume&gt;&lt;number&gt;4&lt;/number&gt;&lt;dates&gt;&lt;year&gt;2020&lt;/year&gt;&lt;/dates&gt;&lt;urls&gt;&lt;related-urls&gt;&lt;url&gt;https://mdpi-res.com/d_attachment/cancers/cancers-12-00955/article_deploy/cancers-12-00955.pdf?version=1586755471&lt;/url&gt;&lt;/related-urls&gt;&lt;/urls&gt;&lt;electronic-resource-num&gt;10.3390/cancers12040955&lt;/electronic-resource-num&gt;&lt;research-notes&gt;P - concordance - EGFR &lt;/research-notes&gt;&lt;/record&gt;&lt;/Cite&gt;&lt;/EndNote&gt;</w:instrText>
            </w:r>
            <w:r>
              <w:fldChar w:fldCharType="separate"/>
            </w:r>
            <w:r>
              <w:rPr>
                <w:noProof/>
              </w:rPr>
              <w:t>(Lassalle et al. 2020)</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129774A2" w14:textId="77777777" w:rsidR="00504E35" w:rsidRDefault="00504E35" w:rsidP="006F7632">
            <w:pPr>
              <w:pStyle w:val="Tabletext0"/>
              <w:spacing w:before="0" w:after="120"/>
              <w:jc w:val="left"/>
            </w:pPr>
            <w:r>
              <w:t>Prospective case series</w:t>
            </w:r>
          </w:p>
          <w:p w14:paraId="576213B0" w14:textId="77777777" w:rsidR="00504E35" w:rsidRDefault="00504E35" w:rsidP="006F7632">
            <w:pPr>
              <w:pStyle w:val="Tabletext0"/>
              <w:spacing w:before="0" w:after="120"/>
              <w:jc w:val="left"/>
            </w:pPr>
            <w:r>
              <w:t>Level IV</w:t>
            </w:r>
          </w:p>
          <w:p w14:paraId="689A208D" w14:textId="77777777" w:rsidR="00504E35" w:rsidRDefault="00504E35" w:rsidP="006F7632">
            <w:pPr>
              <w:pStyle w:val="Tabletext0"/>
              <w:spacing w:before="0" w:after="120"/>
              <w:jc w:val="left"/>
            </w:pPr>
            <w:r>
              <w:t>Low to moderate risk of bias  (NHLBI for case series)</w:t>
            </w:r>
          </w:p>
        </w:tc>
        <w:tc>
          <w:tcPr>
            <w:tcW w:w="1770" w:type="dxa"/>
            <w:tcBorders>
              <w:top w:val="single" w:sz="4" w:space="0" w:color="auto"/>
              <w:left w:val="single" w:sz="4" w:space="0" w:color="auto"/>
              <w:bottom w:val="single" w:sz="4" w:space="0" w:color="auto"/>
              <w:right w:val="single" w:sz="4" w:space="0" w:color="auto"/>
            </w:tcBorders>
          </w:tcPr>
          <w:p w14:paraId="7BDFA459" w14:textId="77777777" w:rsidR="00504E35" w:rsidRDefault="00504E35" w:rsidP="006F7632">
            <w:pPr>
              <w:pStyle w:val="Tabletext0"/>
              <w:spacing w:before="0" w:after="120"/>
              <w:jc w:val="left"/>
            </w:pPr>
            <w:r>
              <w:t>France</w:t>
            </w:r>
          </w:p>
          <w:p w14:paraId="4DB0F673" w14:textId="77777777" w:rsidR="00504E35" w:rsidRDefault="00504E35" w:rsidP="006F7632">
            <w:pPr>
              <w:pStyle w:val="Tabletext0"/>
              <w:spacing w:before="0" w:after="120"/>
              <w:jc w:val="left"/>
            </w:pPr>
            <w:r>
              <w:t>A single pathological laboratory centre (tissues from patients hospitalised)</w:t>
            </w:r>
          </w:p>
          <w:p w14:paraId="18EB6708"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19DC5BCD" w14:textId="77777777" w:rsidR="00504E35" w:rsidRDefault="00504E35" w:rsidP="006F7632">
            <w:pPr>
              <w:pStyle w:val="Tabletext0"/>
              <w:spacing w:before="0" w:after="120"/>
            </w:pPr>
            <w:r>
              <w:t xml:space="preserve">N=83 patients with non-squamous lung cancer, </w:t>
            </w:r>
            <w:r w:rsidRPr="00105557">
              <w:rPr>
                <w:i/>
              </w:rPr>
              <w:t>EGFR</w:t>
            </w:r>
            <w:r>
              <w:t xml:space="preserve"> wild-type determined by Idylla </w:t>
            </w:r>
            <w:r w:rsidRPr="00172C04">
              <w:t>assay</w:t>
            </w:r>
          </w:p>
          <w:p w14:paraId="35BA7C4C" w14:textId="77777777" w:rsidR="00504E35" w:rsidRDefault="00504E35" w:rsidP="006F7632">
            <w:pPr>
              <w:pStyle w:val="Tabletext0"/>
              <w:spacing w:before="0" w:after="120"/>
            </w:pPr>
            <w:r>
              <w:t>Biopsy specimens</w:t>
            </w:r>
          </w:p>
          <w:p w14:paraId="4E3F4B9F" w14:textId="77777777" w:rsidR="00504E35" w:rsidRDefault="00504E35" w:rsidP="006F7632">
            <w:pPr>
              <w:pStyle w:val="Tabletext0"/>
              <w:spacing w:before="0" w:after="120"/>
            </w:pPr>
            <w:r>
              <w:t>88.2% adenocarcinoma</w:t>
            </w:r>
          </w:p>
          <w:p w14:paraId="6D44EEB2" w14:textId="77777777" w:rsidR="00504E35" w:rsidRDefault="00504E35" w:rsidP="006F7632">
            <w:pPr>
              <w:pStyle w:val="Tabletext0"/>
              <w:spacing w:before="0" w:after="120"/>
            </w:pPr>
            <w:r>
              <w:t>10.1% NSCLC NOS</w:t>
            </w:r>
          </w:p>
          <w:p w14:paraId="08861E00" w14:textId="77777777" w:rsidR="00504E35" w:rsidRDefault="00504E35" w:rsidP="006F7632">
            <w:pPr>
              <w:pStyle w:val="Tabletext0"/>
              <w:spacing w:before="0" w:after="120"/>
            </w:pPr>
            <w:r>
              <w:t>1.7% LCC</w:t>
            </w:r>
          </w:p>
        </w:tc>
        <w:tc>
          <w:tcPr>
            <w:tcW w:w="1961" w:type="dxa"/>
            <w:tcBorders>
              <w:top w:val="single" w:sz="4" w:space="0" w:color="auto"/>
              <w:left w:val="single" w:sz="4" w:space="0" w:color="auto"/>
              <w:bottom w:val="single" w:sz="4" w:space="0" w:color="auto"/>
              <w:right w:val="single" w:sz="4" w:space="0" w:color="auto"/>
            </w:tcBorders>
          </w:tcPr>
          <w:p w14:paraId="1C3998E1" w14:textId="77777777" w:rsidR="00504E35" w:rsidRDefault="00504E35" w:rsidP="006F7632">
            <w:pPr>
              <w:pStyle w:val="Tabletext0"/>
              <w:spacing w:before="0" w:after="120"/>
              <w:jc w:val="left"/>
            </w:pPr>
            <w:r>
              <w:t>Hotspot NGS panel</w:t>
            </w:r>
          </w:p>
        </w:tc>
        <w:tc>
          <w:tcPr>
            <w:tcW w:w="2399" w:type="dxa"/>
            <w:tcBorders>
              <w:top w:val="single" w:sz="4" w:space="0" w:color="auto"/>
              <w:left w:val="single" w:sz="4" w:space="0" w:color="auto"/>
              <w:bottom w:val="single" w:sz="4" w:space="0" w:color="auto"/>
              <w:right w:val="single" w:sz="4" w:space="0" w:color="auto"/>
            </w:tcBorders>
          </w:tcPr>
          <w:p w14:paraId="68AAB006" w14:textId="77777777" w:rsidR="00504E35" w:rsidRDefault="00504E35" w:rsidP="006F7632">
            <w:pPr>
              <w:pStyle w:val="Tabletext0"/>
              <w:spacing w:before="0" w:after="120"/>
              <w:jc w:val="left"/>
            </w:pPr>
            <w:r>
              <w:t>Not applicable</w:t>
            </w:r>
          </w:p>
        </w:tc>
        <w:tc>
          <w:tcPr>
            <w:tcW w:w="1661" w:type="dxa"/>
            <w:tcBorders>
              <w:top w:val="single" w:sz="4" w:space="0" w:color="auto"/>
              <w:left w:val="single" w:sz="4" w:space="0" w:color="auto"/>
              <w:bottom w:val="single" w:sz="4" w:space="0" w:color="auto"/>
              <w:right w:val="single" w:sz="4" w:space="0" w:color="auto"/>
            </w:tcBorders>
          </w:tcPr>
          <w:p w14:paraId="772FD089" w14:textId="77777777" w:rsidR="00504E35" w:rsidRDefault="00504E35" w:rsidP="006F7632">
            <w:pPr>
              <w:pStyle w:val="Tabletext0"/>
              <w:spacing w:before="0" w:after="120"/>
              <w:jc w:val="left"/>
            </w:pPr>
            <w:r>
              <w:t>Turnaround time</w:t>
            </w:r>
          </w:p>
          <w:p w14:paraId="0060095D" w14:textId="77777777" w:rsidR="00504E35" w:rsidRDefault="00504E35" w:rsidP="006F7632">
            <w:pPr>
              <w:pStyle w:val="Tabletext0"/>
              <w:spacing w:before="0" w:after="120"/>
              <w:jc w:val="left"/>
            </w:pPr>
            <w:r>
              <w:t>Change in management</w:t>
            </w:r>
          </w:p>
        </w:tc>
      </w:tr>
      <w:tr w:rsidR="00504E35" w14:paraId="6278B32C"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531E8BB3" w14:textId="603228DB" w:rsidR="00504E35" w:rsidRDefault="00B4668F" w:rsidP="00B4668F">
            <w:pPr>
              <w:pStyle w:val="Tabletext0"/>
              <w:spacing w:before="0" w:after="120"/>
              <w:jc w:val="left"/>
            </w:pPr>
            <w:r>
              <w:fldChar w:fldCharType="begin"/>
            </w:r>
            <w:r>
              <w:instrText xml:space="preserve"> ADDIN EN.CITE &lt;EndNote&gt;&lt;Cite&gt;&lt;Author&gt;Legras&lt;/Author&gt;&lt;Year&gt;2018&lt;/Year&gt;&lt;RecNum&gt;168&lt;/RecNum&gt;&lt;IDText&gt;550-564&lt;/IDText&gt;&lt;DisplayText&gt;(Legras et al. 2018)&lt;/DisplayText&gt;&lt;record&gt;&lt;rec-number&gt;168&lt;/rec-number&gt;&lt;foreign-keys&gt;&lt;key app="EN" db-id="0tprsse9cpp5r3ea5dz5p0xw2pfwvwxpa5a5" timestamp="1655264278"&gt;168&lt;/key&gt;&lt;/foreign-keys&gt;&lt;ref-type name="Journal Article"&gt;17&lt;/ref-type&gt;&lt;contributors&gt;&lt;authors&gt;&lt;author&gt;Legras, Antoine&lt;/author&gt;&lt;author&gt;Barritault, Marc&lt;/author&gt;&lt;author&gt;Tallet, Anne&lt;/author&gt;&lt;author&gt;Fabre, Elizabeth&lt;/author&gt;&lt;author&gt;Guyard, Alice&lt;/author&gt;&lt;author&gt;Rance, Bastien&lt;/author&gt;&lt;author&gt;Digan, William&lt;/author&gt;&lt;author&gt;Pécuchet, Nicolas&lt;/author&gt;&lt;author&gt;Giroux-Leprieur, Etienne&lt;/author&gt;&lt;author&gt;Julié, Catherine&lt;/author&gt;&lt;author&gt;Jouveshomme, Stéphane&lt;/author&gt;&lt;author&gt;Duchatelle, Véronique&lt;/author&gt;&lt;author&gt;Giraudet, Véronique&lt;/author&gt;&lt;author&gt;Gibault, Laure&lt;/author&gt;&lt;author&gt;Cazier, Alain&lt;/author&gt;&lt;author&gt;Pastre, Jean&lt;/author&gt;&lt;author&gt;Le Pimpec-Barthes, Françoise&lt;/author&gt;&lt;author&gt;Laurent-Puig, Pierre&lt;/author&gt;&lt;author&gt;Blons, Hélène&lt;/author&gt;&lt;/authors&gt;&lt;/contributors&gt;&lt;titles&gt;&lt;title&gt;Validity of Targeted Next-Generation Sequencing in Routine Care for Identifying Clinically Relevant Molecular Profiles in Non–Small-Cell Lung Cancer: Results of a 2-Year Experience on 1343 Samples&lt;/title&gt;&lt;secondary-title&gt;The Journal of molecular diagnostics : JMD&lt;/secondary-title&gt;&lt;/titles&gt;&lt;periodical&gt;&lt;full-title&gt;J Mol Diagn&lt;/full-title&gt;&lt;abbr-1&gt;The Journal of molecular diagnostics : JMD&lt;/abbr-1&gt;&lt;/periodical&gt;&lt;pages&gt;550-564&lt;/pages&gt;&lt;volume&gt;20&lt;/volume&gt;&lt;number&gt;4&lt;/number&gt;&lt;dates&gt;&lt;year&gt;2018&lt;/year&gt;&lt;/dates&gt;&lt;urls&gt;&lt;related-urls&gt;&lt;url&gt;https://www.sciencedirect.com/science/article/pii/S1525157817305214?via%3Dihub&lt;/url&gt;&lt;/related-urls&gt;&lt;/urls&gt;&lt;electronic-resource-num&gt;10.1016/j.jmoldx.2018.04.002&lt;/electronic-resource-num&gt;&lt;research-notes&gt;P - concordance egfr&lt;/research-notes&gt;&lt;/record&gt;&lt;/Cite&gt;&lt;/EndNote&gt;</w:instrText>
            </w:r>
            <w:r>
              <w:fldChar w:fldCharType="separate"/>
            </w:r>
            <w:r>
              <w:rPr>
                <w:noProof/>
              </w:rPr>
              <w:t>(Legras et al. 2018)</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55E2324F" w14:textId="77777777" w:rsidR="00504E35" w:rsidRDefault="00504E35" w:rsidP="006F7632">
            <w:pPr>
              <w:pStyle w:val="Tabletext0"/>
              <w:spacing w:before="0" w:after="120"/>
              <w:jc w:val="left"/>
            </w:pPr>
            <w:r>
              <w:t>Prospective cohort</w:t>
            </w:r>
          </w:p>
          <w:p w14:paraId="61B0EA32" w14:textId="77777777" w:rsidR="00504E35" w:rsidRDefault="00504E35" w:rsidP="006F7632">
            <w:pPr>
              <w:pStyle w:val="Tabletext0"/>
              <w:spacing w:before="0" w:after="120"/>
              <w:jc w:val="left"/>
            </w:pPr>
            <w:r>
              <w:t>Level III-2</w:t>
            </w:r>
          </w:p>
          <w:p w14:paraId="5B1576C6" w14:textId="77777777" w:rsidR="00504E35" w:rsidRDefault="00504E35" w:rsidP="006F7632">
            <w:pPr>
              <w:pStyle w:val="Tabletext0"/>
              <w:spacing w:before="0" w:after="120"/>
              <w:jc w:val="left"/>
            </w:pPr>
            <w:r>
              <w:t xml:space="preserve">Low to 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617A785F" w14:textId="77777777" w:rsidR="00504E35" w:rsidRDefault="00504E35" w:rsidP="006F7632">
            <w:pPr>
              <w:pStyle w:val="Tabletext0"/>
              <w:spacing w:before="0" w:after="120"/>
              <w:jc w:val="left"/>
            </w:pPr>
            <w:r>
              <w:t>France</w:t>
            </w:r>
          </w:p>
          <w:p w14:paraId="3268CAAD" w14:textId="77777777" w:rsidR="00504E35" w:rsidRDefault="00504E35" w:rsidP="006F7632">
            <w:pPr>
              <w:pStyle w:val="Tabletext0"/>
              <w:spacing w:before="0" w:after="120"/>
              <w:jc w:val="left"/>
            </w:pPr>
            <w:r>
              <w:t xml:space="preserve">A single </w:t>
            </w:r>
            <w:r w:rsidRPr="00FA008A">
              <w:t>pathological laboratory</w:t>
            </w:r>
            <w:r>
              <w:t xml:space="preserve"> (samples addressed to the laboratory for molecular diagnosis)</w:t>
            </w:r>
          </w:p>
          <w:p w14:paraId="7934137B" w14:textId="77777777" w:rsidR="00504E35" w:rsidRDefault="00504E35" w:rsidP="006F7632">
            <w:pPr>
              <w:pStyle w:val="Tabletext0"/>
              <w:spacing w:before="0" w:after="120"/>
              <w:jc w:val="left"/>
            </w:pPr>
            <w:r>
              <w:t xml:space="preserve">No follow-up </w:t>
            </w:r>
          </w:p>
        </w:tc>
        <w:tc>
          <w:tcPr>
            <w:tcW w:w="2215" w:type="dxa"/>
            <w:tcBorders>
              <w:top w:val="single" w:sz="4" w:space="0" w:color="auto"/>
              <w:left w:val="single" w:sz="4" w:space="0" w:color="auto"/>
              <w:bottom w:val="single" w:sz="4" w:space="0" w:color="auto"/>
              <w:right w:val="single" w:sz="4" w:space="0" w:color="auto"/>
            </w:tcBorders>
          </w:tcPr>
          <w:p w14:paraId="5DDC3E35" w14:textId="77777777" w:rsidR="00504E35" w:rsidRDefault="00504E35" w:rsidP="006F7632">
            <w:pPr>
              <w:pStyle w:val="Tabletext0"/>
              <w:spacing w:before="0" w:after="120"/>
              <w:jc w:val="left"/>
            </w:pPr>
            <w:r>
              <w:t>N=1,343 NSCLC samples</w:t>
            </w:r>
          </w:p>
          <w:p w14:paraId="654B6014" w14:textId="77777777" w:rsidR="00504E35" w:rsidRDefault="00504E35" w:rsidP="006F7632">
            <w:pPr>
              <w:pStyle w:val="Tabletext0"/>
              <w:spacing w:before="0" w:after="120"/>
            </w:pPr>
            <w:r>
              <w:t>Commercial FFPE samples and genomic DNAs with validated allelic ratio for various mutations</w:t>
            </w:r>
          </w:p>
          <w:p w14:paraId="17B1BD87" w14:textId="77777777" w:rsidR="00504E35" w:rsidRDefault="00504E35" w:rsidP="006F7632">
            <w:pPr>
              <w:pStyle w:val="Tabletext0"/>
              <w:spacing w:before="0" w:after="120"/>
            </w:pPr>
            <w:r>
              <w:t>59% adenocarcinoma</w:t>
            </w:r>
          </w:p>
          <w:p w14:paraId="18C0AADA" w14:textId="77777777" w:rsidR="00504E35" w:rsidRDefault="00504E35" w:rsidP="006F7632">
            <w:pPr>
              <w:pStyle w:val="Tabletext0"/>
              <w:spacing w:before="0" w:after="120"/>
            </w:pPr>
            <w:r>
              <w:t>4% SCC</w:t>
            </w:r>
          </w:p>
          <w:p w14:paraId="326739A0" w14:textId="77777777" w:rsidR="00504E35" w:rsidRDefault="00504E35" w:rsidP="006F7632">
            <w:pPr>
              <w:pStyle w:val="Tabletext0"/>
              <w:spacing w:before="0" w:after="120"/>
            </w:pPr>
            <w:r>
              <w:t>0.7% sarcomatoid</w:t>
            </w:r>
          </w:p>
          <w:p w14:paraId="3D1A6D17" w14:textId="77777777" w:rsidR="00504E35" w:rsidRDefault="00504E35" w:rsidP="006F7632">
            <w:pPr>
              <w:pStyle w:val="Tabletext0"/>
              <w:spacing w:before="0" w:after="120"/>
            </w:pPr>
            <w:r>
              <w:t>0.5% LCC</w:t>
            </w:r>
          </w:p>
          <w:p w14:paraId="39D7ED83" w14:textId="77777777" w:rsidR="00504E35" w:rsidRDefault="00504E35" w:rsidP="006F7632">
            <w:pPr>
              <w:pStyle w:val="Tabletext0"/>
              <w:spacing w:before="0" w:after="120"/>
            </w:pPr>
            <w:r>
              <w:t xml:space="preserve">0.3% small cell </w:t>
            </w:r>
          </w:p>
          <w:p w14:paraId="2BBF927B" w14:textId="77777777" w:rsidR="00504E35" w:rsidRDefault="00504E35" w:rsidP="006F7632">
            <w:pPr>
              <w:pStyle w:val="Tabletext0"/>
              <w:spacing w:before="0" w:after="120"/>
            </w:pPr>
            <w:r>
              <w:t>13% undifferentiated</w:t>
            </w:r>
          </w:p>
          <w:p w14:paraId="6F6354FE" w14:textId="77777777" w:rsidR="00504E35" w:rsidRDefault="00504E35" w:rsidP="006F7632">
            <w:pPr>
              <w:pStyle w:val="Tabletext0"/>
              <w:spacing w:before="0" w:after="120"/>
            </w:pPr>
            <w:r>
              <w:t>22% unknown</w:t>
            </w:r>
          </w:p>
        </w:tc>
        <w:tc>
          <w:tcPr>
            <w:tcW w:w="1961" w:type="dxa"/>
            <w:tcBorders>
              <w:top w:val="single" w:sz="4" w:space="0" w:color="auto"/>
              <w:left w:val="single" w:sz="4" w:space="0" w:color="auto"/>
              <w:bottom w:val="single" w:sz="4" w:space="0" w:color="auto"/>
              <w:right w:val="single" w:sz="4" w:space="0" w:color="auto"/>
            </w:tcBorders>
          </w:tcPr>
          <w:p w14:paraId="50C08C15" w14:textId="77777777" w:rsidR="00504E35" w:rsidRDefault="00504E35" w:rsidP="006F7632">
            <w:pPr>
              <w:pStyle w:val="Tabletext0"/>
              <w:spacing w:before="0" w:after="120"/>
            </w:pPr>
            <w:r>
              <w:t xml:space="preserve">Dedicated NGS panel of 92 amplicons (Ion AmpliSeq Colon-Lung Cancer Research Panel version 2), covering &gt;500 hotspot mutations in </w:t>
            </w:r>
            <w:r w:rsidRPr="00E23608">
              <w:rPr>
                <w:i/>
              </w:rPr>
              <w:t>KRAS, EGFR, BRAF</w:t>
            </w:r>
            <w:r>
              <w:rPr>
                <w:i/>
              </w:rPr>
              <w:t>, ALK etc.</w:t>
            </w:r>
          </w:p>
        </w:tc>
        <w:tc>
          <w:tcPr>
            <w:tcW w:w="2399" w:type="dxa"/>
            <w:tcBorders>
              <w:top w:val="single" w:sz="4" w:space="0" w:color="auto"/>
              <w:left w:val="single" w:sz="4" w:space="0" w:color="auto"/>
              <w:bottom w:val="single" w:sz="4" w:space="0" w:color="auto"/>
              <w:right w:val="single" w:sz="4" w:space="0" w:color="auto"/>
            </w:tcBorders>
          </w:tcPr>
          <w:p w14:paraId="05CAEC8E" w14:textId="77777777" w:rsidR="00504E35" w:rsidRDefault="00504E35" w:rsidP="006F7632">
            <w:pPr>
              <w:pStyle w:val="Tabletext0"/>
              <w:spacing w:before="0" w:after="120"/>
            </w:pPr>
            <w:r>
              <w:t xml:space="preserve">Competitive allele-specific TaqMan technology using TaqMan mutation assays for </w:t>
            </w:r>
            <w:r w:rsidRPr="00FA008A">
              <w:rPr>
                <w:i/>
              </w:rPr>
              <w:t>EGFR</w:t>
            </w:r>
            <w:r>
              <w:t xml:space="preserve"> and TaqMan probes for </w:t>
            </w:r>
            <w:r w:rsidRPr="00FA008A">
              <w:rPr>
                <w:i/>
              </w:rPr>
              <w:t>KRAS</w:t>
            </w:r>
            <w:r>
              <w:t xml:space="preserve"> (Thermo Fisher Scientific).</w:t>
            </w:r>
          </w:p>
        </w:tc>
        <w:tc>
          <w:tcPr>
            <w:tcW w:w="1661" w:type="dxa"/>
            <w:tcBorders>
              <w:top w:val="single" w:sz="4" w:space="0" w:color="auto"/>
              <w:left w:val="single" w:sz="4" w:space="0" w:color="auto"/>
              <w:bottom w:val="single" w:sz="4" w:space="0" w:color="auto"/>
              <w:right w:val="single" w:sz="4" w:space="0" w:color="auto"/>
            </w:tcBorders>
          </w:tcPr>
          <w:p w14:paraId="54E1BEC7" w14:textId="77777777" w:rsidR="00504E35" w:rsidRDefault="00504E35" w:rsidP="006F7632">
            <w:pPr>
              <w:pStyle w:val="Tabletext0"/>
              <w:spacing w:before="0" w:after="120"/>
              <w:jc w:val="left"/>
            </w:pPr>
            <w:r>
              <w:t>Concordance per variant (not per patient)</w:t>
            </w:r>
          </w:p>
          <w:p w14:paraId="7360C529" w14:textId="77777777" w:rsidR="00504E35" w:rsidRDefault="00504E35" w:rsidP="006F7632">
            <w:pPr>
              <w:pStyle w:val="Tabletext0"/>
              <w:spacing w:before="0" w:after="120"/>
              <w:jc w:val="left"/>
            </w:pPr>
          </w:p>
        </w:tc>
      </w:tr>
      <w:tr w:rsidR="00504E35" w:rsidRPr="00183E4D" w14:paraId="107CDCCF"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4B7E93CC" w14:textId="3A96EF1D" w:rsidR="00504E35" w:rsidRDefault="00B4668F" w:rsidP="006D4612">
            <w:pPr>
              <w:pStyle w:val="Tabletext0"/>
              <w:spacing w:before="0" w:after="120"/>
              <w:jc w:val="left"/>
            </w:pPr>
            <w:r>
              <w:fldChar w:fldCharType="begin">
                <w:fldData xml:space="preserve">PEVuZE5vdGU+PENpdGU+PEF1dGhvcj5MaTwvQXV0aG9yPjxZZWFyPjIwMjE8L1llYXI+PFJlY051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</w:fldData>
              </w:fldChar>
            </w:r>
            <w:r w:rsidR="006D4612">
              <w:instrText xml:space="preserve"> ADDIN EN.CITE </w:instrText>
            </w:r>
            <w:r w:rsidR="006D4612">
              <w:fldChar w:fldCharType="begin">
                <w:fldData xml:space="preserve">PEVuZE5vdGU+PENpdGU+PEF1dGhvcj5MaTwvQXV0aG9yPjxZZWFyPjIwMjE8L1llYXI+PFJlY051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</w:fldData>
              </w:fldChar>
            </w:r>
            <w:r w:rsidR="006D4612">
              <w:instrText xml:space="preserve"> ADDIN EN.CITE.DATA </w:instrText>
            </w:r>
            <w:r w:rsidR="006D4612">
              <w:fldChar w:fldCharType="end"/>
            </w:r>
            <w:r>
              <w:fldChar w:fldCharType="separate"/>
            </w:r>
            <w:r w:rsidR="006D4612">
              <w:rPr>
                <w:noProof/>
              </w:rPr>
              <w:t>(Li, T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51F8D9C4" w14:textId="77777777" w:rsidR="00504E35" w:rsidRDefault="00504E35" w:rsidP="006F7632">
            <w:pPr>
              <w:pStyle w:val="Tabletext0"/>
              <w:spacing w:before="0" w:after="120"/>
              <w:jc w:val="left"/>
            </w:pPr>
            <w:r>
              <w:t>Retrospective case series</w:t>
            </w:r>
          </w:p>
          <w:p w14:paraId="52C71A2E" w14:textId="77777777" w:rsidR="00504E35" w:rsidRDefault="00504E35" w:rsidP="006F7632">
            <w:pPr>
              <w:pStyle w:val="Tabletext0"/>
              <w:spacing w:before="0" w:after="120"/>
              <w:jc w:val="left"/>
            </w:pPr>
            <w:r>
              <w:t>Level IV</w:t>
            </w:r>
          </w:p>
          <w:p w14:paraId="3B4438B8" w14:textId="77777777" w:rsidR="00504E35" w:rsidRDefault="00504E35" w:rsidP="006F7632">
            <w:pPr>
              <w:pStyle w:val="Tabletext0"/>
              <w:spacing w:before="0" w:after="120"/>
              <w:jc w:val="left"/>
            </w:pPr>
            <w:r>
              <w:t>High risk of bias (NHLBI for case series)</w:t>
            </w:r>
          </w:p>
        </w:tc>
        <w:tc>
          <w:tcPr>
            <w:tcW w:w="1770" w:type="dxa"/>
            <w:tcBorders>
              <w:top w:val="single" w:sz="4" w:space="0" w:color="auto"/>
              <w:left w:val="single" w:sz="4" w:space="0" w:color="auto"/>
              <w:bottom w:val="single" w:sz="4" w:space="0" w:color="auto"/>
              <w:right w:val="single" w:sz="4" w:space="0" w:color="auto"/>
            </w:tcBorders>
          </w:tcPr>
          <w:p w14:paraId="4340B4CC" w14:textId="77777777" w:rsidR="00504E35" w:rsidRDefault="00504E35" w:rsidP="006F7632">
            <w:pPr>
              <w:pStyle w:val="Tabletext0"/>
              <w:spacing w:before="0" w:after="120"/>
              <w:jc w:val="left"/>
            </w:pPr>
            <w:r>
              <w:t>China</w:t>
            </w:r>
          </w:p>
          <w:p w14:paraId="2464DAAA" w14:textId="77777777" w:rsidR="00504E35" w:rsidRDefault="00504E35" w:rsidP="006F7632">
            <w:pPr>
              <w:pStyle w:val="Tabletext0"/>
              <w:spacing w:before="0" w:after="120"/>
              <w:jc w:val="left"/>
            </w:pPr>
            <w:r>
              <w:t>A single hospital</w:t>
            </w:r>
          </w:p>
          <w:p w14:paraId="4C257C75" w14:textId="77777777" w:rsidR="00504E35" w:rsidRDefault="00504E35" w:rsidP="006F7632">
            <w:pPr>
              <w:pStyle w:val="Tabletext0"/>
              <w:spacing w:before="0" w:after="120"/>
              <w:jc w:val="left"/>
            </w:pPr>
            <w:r>
              <w:t>Up to 4 years</w:t>
            </w:r>
          </w:p>
        </w:tc>
        <w:tc>
          <w:tcPr>
            <w:tcW w:w="2215" w:type="dxa"/>
            <w:tcBorders>
              <w:top w:val="single" w:sz="4" w:space="0" w:color="auto"/>
              <w:left w:val="single" w:sz="4" w:space="0" w:color="auto"/>
              <w:bottom w:val="single" w:sz="4" w:space="0" w:color="auto"/>
              <w:right w:val="single" w:sz="4" w:space="0" w:color="auto"/>
            </w:tcBorders>
          </w:tcPr>
          <w:p w14:paraId="55246008" w14:textId="77777777" w:rsidR="00504E35" w:rsidRDefault="00504E35" w:rsidP="006F7632">
            <w:pPr>
              <w:pStyle w:val="Tabletext0"/>
              <w:spacing w:before="0" w:after="120"/>
              <w:jc w:val="left"/>
            </w:pPr>
            <w:r>
              <w:t xml:space="preserve">N=6/42 patients with Stage IIIB/IV lung adenocarcinoma bearing uncommon </w:t>
            </w:r>
            <w:r>
              <w:rPr>
                <w:i/>
              </w:rPr>
              <w:t xml:space="preserve">EGFR </w:t>
            </w:r>
            <w:r>
              <w:t xml:space="preserve">mutations treated with afatinib </w:t>
            </w:r>
          </w:p>
        </w:tc>
        <w:tc>
          <w:tcPr>
            <w:tcW w:w="1961" w:type="dxa"/>
            <w:tcBorders>
              <w:top w:val="single" w:sz="4" w:space="0" w:color="auto"/>
              <w:left w:val="single" w:sz="4" w:space="0" w:color="auto"/>
              <w:bottom w:val="single" w:sz="4" w:space="0" w:color="auto"/>
              <w:right w:val="single" w:sz="4" w:space="0" w:color="auto"/>
            </w:tcBorders>
          </w:tcPr>
          <w:p w14:paraId="6F84F057" w14:textId="77777777" w:rsidR="00504E35" w:rsidRPr="00762C49" w:rsidRDefault="00504E35" w:rsidP="006F7632">
            <w:pPr>
              <w:pStyle w:val="Tabletext0"/>
              <w:spacing w:before="0" w:after="120"/>
              <w:jc w:val="left"/>
            </w:pPr>
            <w:r>
              <w:t>NGS, with no detailed information provided</w:t>
            </w:r>
          </w:p>
        </w:tc>
        <w:tc>
          <w:tcPr>
            <w:tcW w:w="2399" w:type="dxa"/>
            <w:tcBorders>
              <w:top w:val="single" w:sz="4" w:space="0" w:color="auto"/>
              <w:left w:val="single" w:sz="4" w:space="0" w:color="auto"/>
              <w:bottom w:val="single" w:sz="4" w:space="0" w:color="auto"/>
              <w:right w:val="single" w:sz="4" w:space="0" w:color="auto"/>
            </w:tcBorders>
          </w:tcPr>
          <w:p w14:paraId="5A0526DA" w14:textId="77777777" w:rsidR="00504E35" w:rsidRPr="00762C49" w:rsidRDefault="00504E35" w:rsidP="006F7632">
            <w:pPr>
              <w:pStyle w:val="Tabletext0"/>
              <w:spacing w:before="0" w:after="120"/>
              <w:jc w:val="left"/>
            </w:pPr>
            <w:r>
              <w:t>Not applicable</w:t>
            </w:r>
          </w:p>
        </w:tc>
        <w:tc>
          <w:tcPr>
            <w:tcW w:w="1661" w:type="dxa"/>
            <w:tcBorders>
              <w:top w:val="single" w:sz="4" w:space="0" w:color="auto"/>
              <w:left w:val="single" w:sz="4" w:space="0" w:color="auto"/>
              <w:bottom w:val="single" w:sz="4" w:space="0" w:color="auto"/>
              <w:right w:val="single" w:sz="4" w:space="0" w:color="auto"/>
            </w:tcBorders>
          </w:tcPr>
          <w:p w14:paraId="12B04CBE" w14:textId="77777777" w:rsidR="00504E35" w:rsidRDefault="00504E35" w:rsidP="006F7632">
            <w:pPr>
              <w:pStyle w:val="Tabletext0"/>
              <w:spacing w:before="0" w:after="120"/>
              <w:jc w:val="left"/>
            </w:pPr>
            <w:r>
              <w:t>Test to health outcomes (ORR, time to treatment failure</w:t>
            </w:r>
          </w:p>
        </w:tc>
      </w:tr>
      <w:tr w:rsidR="00504E35" w:rsidRPr="00183E4D" w14:paraId="74D6A073"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212FA520" w14:textId="17AAC47B" w:rsidR="00504E35" w:rsidRDefault="00B4668F" w:rsidP="006D4612">
            <w:pPr>
              <w:pStyle w:val="Tabletext0"/>
              <w:spacing w:before="0" w:after="120"/>
              <w:jc w:val="left"/>
            </w:pPr>
            <w:r>
              <w:lastRenderedPageBreak/>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EN.CITE.DATA </w:instrText>
            </w:r>
            <w:r w:rsidR="006D4612">
              <w:fldChar w:fldCharType="end"/>
            </w:r>
            <w:r>
              <w:fldChar w:fldCharType="separate"/>
            </w:r>
            <w:r w:rsidR="006D4612">
              <w:rPr>
                <w:noProof/>
              </w:rPr>
              <w:t>(Li, W, Li, Y,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3BDE91BE" w14:textId="77777777" w:rsidR="00504E35" w:rsidRDefault="00504E35" w:rsidP="006F7632">
            <w:pPr>
              <w:pStyle w:val="Tabletext0"/>
              <w:spacing w:before="0" w:after="120"/>
              <w:jc w:val="left"/>
            </w:pPr>
            <w:r>
              <w:t>Cohort study (retrospective or prospective unknown)</w:t>
            </w:r>
          </w:p>
          <w:p w14:paraId="648A0D0C" w14:textId="77777777" w:rsidR="00504E35" w:rsidRDefault="00504E35" w:rsidP="006F7632">
            <w:pPr>
              <w:pStyle w:val="Tabletext0"/>
              <w:spacing w:before="0" w:after="120"/>
              <w:jc w:val="left"/>
            </w:pPr>
            <w:r>
              <w:t xml:space="preserve">Level III-2 </w:t>
            </w:r>
          </w:p>
          <w:p w14:paraId="1F237C33" w14:textId="77777777" w:rsidR="00504E35" w:rsidRDefault="00504E35" w:rsidP="006F7632">
            <w:pPr>
              <w:pStyle w:val="Tabletext0"/>
              <w:spacing w:before="0" w:after="120"/>
              <w:jc w:val="left"/>
            </w:pPr>
            <w:r>
              <w:t xml:space="preserve">Low to 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2F606727" w14:textId="77777777" w:rsidR="00504E35" w:rsidRDefault="00504E35" w:rsidP="006F7632">
            <w:pPr>
              <w:pStyle w:val="Tabletext0"/>
              <w:spacing w:before="0" w:after="120"/>
              <w:jc w:val="left"/>
            </w:pPr>
            <w:r>
              <w:t>China</w:t>
            </w:r>
          </w:p>
          <w:p w14:paraId="2062069B" w14:textId="77777777" w:rsidR="00504E35" w:rsidRDefault="00504E35" w:rsidP="006F7632">
            <w:pPr>
              <w:pStyle w:val="Tabletext0"/>
              <w:spacing w:before="0" w:after="120"/>
              <w:jc w:val="left"/>
            </w:pPr>
            <w:r>
              <w:t>A single pathological laboratory (tissue from NSCLC patients who requested molecular testing)</w:t>
            </w:r>
          </w:p>
          <w:p w14:paraId="6BA42E11" w14:textId="77777777" w:rsidR="00504E35" w:rsidRDefault="00504E35" w:rsidP="006F7632">
            <w:pPr>
              <w:pStyle w:val="Tabletext0"/>
              <w:spacing w:before="0" w:after="120"/>
              <w:jc w:val="left"/>
            </w:pPr>
            <w:r>
              <w:t>No follow-up</w:t>
            </w:r>
          </w:p>
          <w:p w14:paraId="14882024" w14:textId="77777777" w:rsidR="00504E35" w:rsidRDefault="00504E35" w:rsidP="006F7632">
            <w:pPr>
              <w:pStyle w:val="Tabletext0"/>
              <w:spacing w:before="0" w:after="120"/>
              <w:jc w:val="left"/>
            </w:pPr>
          </w:p>
          <w:p w14:paraId="4545B029" w14:textId="77777777" w:rsidR="00504E35" w:rsidRDefault="00504E35" w:rsidP="006F7632">
            <w:pPr>
              <w:pStyle w:val="Tabletext0"/>
              <w:spacing w:before="0" w:after="120"/>
              <w:jc w:val="left"/>
            </w:pPr>
          </w:p>
        </w:tc>
        <w:tc>
          <w:tcPr>
            <w:tcW w:w="2215" w:type="dxa"/>
            <w:tcBorders>
              <w:top w:val="single" w:sz="4" w:space="0" w:color="auto"/>
              <w:left w:val="single" w:sz="4" w:space="0" w:color="auto"/>
              <w:bottom w:val="single" w:sz="4" w:space="0" w:color="auto"/>
              <w:right w:val="single" w:sz="4" w:space="0" w:color="auto"/>
            </w:tcBorders>
          </w:tcPr>
          <w:p w14:paraId="1D83FFBF" w14:textId="77777777" w:rsidR="00504E35" w:rsidRDefault="00504E35" w:rsidP="006F7632">
            <w:pPr>
              <w:pStyle w:val="Tabletext0"/>
              <w:spacing w:before="0" w:after="120"/>
              <w:jc w:val="left"/>
            </w:pPr>
            <w:r>
              <w:t>N=1,392 newly diagnose, treatment-naïve metastatic NSCLC patients with limited tissue sample</w:t>
            </w:r>
          </w:p>
          <w:p w14:paraId="6BF6F69C" w14:textId="482C603A" w:rsidR="00504E35" w:rsidRDefault="00504E35" w:rsidP="006F7632">
            <w:pPr>
              <w:pStyle w:val="Tabletext0"/>
              <w:spacing w:before="0" w:after="120"/>
            </w:pPr>
            <w:r>
              <w:t>FFPE samples from core biopsy, fine-needle aspiration, bronchoscopic biopsy, pleural effusion (cytology specimen), and excisional biopsy</w:t>
            </w:r>
          </w:p>
          <w:p w14:paraId="7C5FAFA9" w14:textId="77777777" w:rsidR="00504E35" w:rsidRDefault="00504E35" w:rsidP="006F7632">
            <w:pPr>
              <w:pStyle w:val="Tabletext0"/>
              <w:spacing w:before="0" w:after="120"/>
            </w:pPr>
            <w:r w:rsidRPr="00BE5F63">
              <w:rPr>
                <w:u w:val="single"/>
              </w:rPr>
              <w:t>Turnaround time</w:t>
            </w:r>
            <w:r>
              <w:t xml:space="preserve">: </w:t>
            </w:r>
          </w:p>
          <w:p w14:paraId="7DE2E34C" w14:textId="77777777" w:rsidR="00504E35" w:rsidRDefault="00504E35" w:rsidP="006F7632">
            <w:pPr>
              <w:pStyle w:val="Tabletext0"/>
              <w:spacing w:before="0" w:after="120"/>
            </w:pPr>
            <w:r>
              <w:t>n=884</w:t>
            </w:r>
          </w:p>
          <w:p w14:paraId="0436D306" w14:textId="77777777" w:rsidR="00504E35" w:rsidRDefault="00504E35" w:rsidP="006F7632">
            <w:pPr>
              <w:pStyle w:val="Tabletext0"/>
              <w:spacing w:before="0" w:after="120"/>
            </w:pPr>
            <w:r w:rsidRPr="00BE5F63">
              <w:rPr>
                <w:u w:val="single"/>
              </w:rPr>
              <w:t>Concordance</w:t>
            </w:r>
            <w:r>
              <w:t xml:space="preserve">: </w:t>
            </w:r>
          </w:p>
          <w:p w14:paraId="464A3CC2" w14:textId="77777777" w:rsidR="00504E35" w:rsidRDefault="00504E35" w:rsidP="006F7632">
            <w:pPr>
              <w:pStyle w:val="Tabletext0"/>
              <w:spacing w:before="0" w:after="120"/>
            </w:pPr>
            <w:r>
              <w:t>n=109-572</w:t>
            </w:r>
          </w:p>
          <w:p w14:paraId="2909C56E" w14:textId="77777777" w:rsidR="00504E35" w:rsidRDefault="00504E35" w:rsidP="006F7632">
            <w:pPr>
              <w:pStyle w:val="Tabletext0"/>
              <w:spacing w:before="0" w:after="120"/>
            </w:pPr>
            <w:r>
              <w:t>100% adenocarcinoma</w:t>
            </w:r>
          </w:p>
        </w:tc>
        <w:tc>
          <w:tcPr>
            <w:tcW w:w="1961" w:type="dxa"/>
            <w:tcBorders>
              <w:top w:val="single" w:sz="4" w:space="0" w:color="auto"/>
              <w:left w:val="single" w:sz="4" w:space="0" w:color="auto"/>
              <w:bottom w:val="single" w:sz="4" w:space="0" w:color="auto"/>
              <w:right w:val="single" w:sz="4" w:space="0" w:color="auto"/>
            </w:tcBorders>
          </w:tcPr>
          <w:p w14:paraId="76E7D676" w14:textId="77777777" w:rsidR="00504E35" w:rsidRDefault="00504E35" w:rsidP="006F7632">
            <w:pPr>
              <w:pStyle w:val="Tabletext0"/>
              <w:spacing w:before="0" w:after="120"/>
              <w:jc w:val="left"/>
            </w:pPr>
            <w:r>
              <w:t xml:space="preserve">Tissue NGS panel designed against 56 cancer-related genes (Burning Rock Biotech, China), </w:t>
            </w:r>
            <w:r w:rsidRPr="008F7517">
              <w:t xml:space="preserve">sequenced on the </w:t>
            </w:r>
            <w:r>
              <w:t>NextSeq N500 platform (Illumina)</w:t>
            </w:r>
          </w:p>
          <w:p w14:paraId="371B7457" w14:textId="77777777" w:rsidR="00504E35" w:rsidRPr="00762C49" w:rsidRDefault="00504E35" w:rsidP="006F7632">
            <w:pPr>
              <w:pStyle w:val="Tabletext0"/>
              <w:spacing w:before="0" w:after="120"/>
              <w:jc w:val="left"/>
            </w:pPr>
          </w:p>
        </w:tc>
        <w:tc>
          <w:tcPr>
            <w:tcW w:w="2399" w:type="dxa"/>
            <w:tcBorders>
              <w:top w:val="single" w:sz="4" w:space="0" w:color="auto"/>
              <w:left w:val="single" w:sz="4" w:space="0" w:color="auto"/>
              <w:bottom w:val="single" w:sz="4" w:space="0" w:color="auto"/>
              <w:right w:val="single" w:sz="4" w:space="0" w:color="auto"/>
            </w:tcBorders>
          </w:tcPr>
          <w:p w14:paraId="334AF0AB" w14:textId="77777777" w:rsidR="00504E35" w:rsidRDefault="00504E35" w:rsidP="006F7632">
            <w:pPr>
              <w:pStyle w:val="Tabletext0"/>
              <w:spacing w:before="0" w:after="120"/>
            </w:pPr>
            <w:r>
              <w:t xml:space="preserve">Amplification refractory mutation system (ARMS)-PCR for </w:t>
            </w:r>
            <w:r>
              <w:rPr>
                <w:i/>
              </w:rPr>
              <w:t>EGFR/KRAS/BRAF</w:t>
            </w:r>
            <w:r>
              <w:t xml:space="preserve">, using human </w:t>
            </w:r>
            <w:r w:rsidRPr="00EC345F">
              <w:rPr>
                <w:i/>
              </w:rPr>
              <w:t>EGFR/KRAS/BRAF</w:t>
            </w:r>
            <w:r>
              <w:t xml:space="preserve"> Gene Mutation Detection Kit (ACCB, China) </w:t>
            </w:r>
          </w:p>
          <w:p w14:paraId="5CFF9966" w14:textId="77777777" w:rsidR="00504E35" w:rsidRDefault="00504E35" w:rsidP="006F7632">
            <w:pPr>
              <w:pStyle w:val="Tabletext0"/>
              <w:spacing w:before="0" w:after="120"/>
            </w:pPr>
            <w:r>
              <w:t xml:space="preserve">IHC: Ventana Benchmark XT stainer (Ventana Medical Systems) for </w:t>
            </w:r>
            <w:r>
              <w:rPr>
                <w:i/>
              </w:rPr>
              <w:t>A</w:t>
            </w:r>
            <w:r w:rsidRPr="00921296">
              <w:rPr>
                <w:i/>
              </w:rPr>
              <w:t>LK</w:t>
            </w:r>
            <w:r>
              <w:t xml:space="preserve"> </w:t>
            </w:r>
          </w:p>
          <w:p w14:paraId="54ACD09E" w14:textId="77777777" w:rsidR="00504E35" w:rsidRPr="00762C49" w:rsidRDefault="00504E35" w:rsidP="006F7632">
            <w:pPr>
              <w:pStyle w:val="Tabletext0"/>
              <w:spacing w:before="0" w:after="120"/>
            </w:pPr>
            <w:r>
              <w:t xml:space="preserve">FISH: Vysis LSI Dual Color and breakapart rearrangement probes specific to the </w:t>
            </w:r>
            <w:r w:rsidRPr="00921296">
              <w:rPr>
                <w:i/>
              </w:rPr>
              <w:t>ROS1</w:t>
            </w:r>
            <w:r>
              <w:t xml:space="preserve"> and </w:t>
            </w:r>
            <w:r w:rsidRPr="00921296">
              <w:rPr>
                <w:i/>
              </w:rPr>
              <w:t>RET</w:t>
            </w:r>
            <w:r>
              <w:t xml:space="preserve"> genes (Abbott Molecular) for  </w:t>
            </w:r>
            <w:r w:rsidRPr="00921296">
              <w:rPr>
                <w:i/>
              </w:rPr>
              <w:t>ROS1</w:t>
            </w:r>
            <w:r>
              <w:t xml:space="preserve"> and </w:t>
            </w:r>
            <w:r w:rsidRPr="00921296">
              <w:rPr>
                <w:i/>
              </w:rPr>
              <w:t>RET</w:t>
            </w:r>
          </w:p>
        </w:tc>
        <w:tc>
          <w:tcPr>
            <w:tcW w:w="1661" w:type="dxa"/>
            <w:tcBorders>
              <w:top w:val="single" w:sz="4" w:space="0" w:color="auto"/>
              <w:left w:val="single" w:sz="4" w:space="0" w:color="auto"/>
              <w:bottom w:val="single" w:sz="4" w:space="0" w:color="auto"/>
              <w:right w:val="single" w:sz="4" w:space="0" w:color="auto"/>
            </w:tcBorders>
          </w:tcPr>
          <w:p w14:paraId="04CC3331" w14:textId="77777777" w:rsidR="00504E35" w:rsidRDefault="00504E35" w:rsidP="006F7632">
            <w:pPr>
              <w:pStyle w:val="Tabletext0"/>
              <w:spacing w:before="0" w:after="120"/>
              <w:jc w:val="left"/>
            </w:pPr>
            <w:r>
              <w:t>Concordance</w:t>
            </w:r>
          </w:p>
          <w:p w14:paraId="28D48098" w14:textId="77777777" w:rsidR="00504E35" w:rsidRDefault="00504E35" w:rsidP="006F7632">
            <w:pPr>
              <w:pStyle w:val="Tabletext0"/>
              <w:spacing w:before="0" w:after="120"/>
              <w:jc w:val="left"/>
            </w:pPr>
            <w:r>
              <w:t>Turnaround time</w:t>
            </w:r>
          </w:p>
          <w:p w14:paraId="7B561DFB" w14:textId="77777777" w:rsidR="00504E35" w:rsidRDefault="00504E35" w:rsidP="006F7632">
            <w:pPr>
              <w:pStyle w:val="Tabletext0"/>
              <w:spacing w:before="0" w:after="120"/>
              <w:jc w:val="left"/>
            </w:pPr>
            <w:r>
              <w:t>Success rate</w:t>
            </w:r>
          </w:p>
          <w:p w14:paraId="31C9336D" w14:textId="77777777" w:rsidR="00504E35" w:rsidRDefault="00504E35" w:rsidP="006F7632">
            <w:pPr>
              <w:pStyle w:val="Tabletext0"/>
              <w:spacing w:before="0" w:after="120"/>
              <w:jc w:val="left"/>
            </w:pPr>
          </w:p>
          <w:p w14:paraId="0EC69F36" w14:textId="77777777" w:rsidR="00504E35" w:rsidRDefault="00504E35" w:rsidP="006F7632">
            <w:pPr>
              <w:pStyle w:val="Tabletext0"/>
              <w:spacing w:before="0" w:after="120"/>
              <w:jc w:val="left"/>
            </w:pPr>
          </w:p>
        </w:tc>
      </w:tr>
      <w:tr w:rsidR="00504E35" w:rsidRPr="00183E4D" w14:paraId="4B794634"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8D640B4" w14:textId="3DDC52CA" w:rsidR="00504E35" w:rsidRDefault="00B4668F" w:rsidP="00B4668F">
            <w:pPr>
              <w:pStyle w:val="Tabletext0"/>
              <w:spacing w:before="0" w:after="120"/>
              <w:jc w:val="left"/>
            </w:pP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 </w:instrText>
            </w: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EN.CITE.DATA </w:instrText>
            </w:r>
            <w:r>
              <w:fldChar w:fldCharType="end"/>
            </w:r>
            <w:r>
              <w:fldChar w:fldCharType="separate"/>
            </w:r>
            <w:r>
              <w:rPr>
                <w:noProof/>
              </w:rPr>
              <w:t>(Lin, C et al. 2019)</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7E7D2D00" w14:textId="77777777" w:rsidR="00504E35" w:rsidRDefault="00504E35" w:rsidP="006F7632">
            <w:pPr>
              <w:pStyle w:val="Tabletext0"/>
              <w:spacing w:before="0" w:after="120"/>
              <w:jc w:val="left"/>
            </w:pPr>
            <w:r>
              <w:t>Retrospective cohort study</w:t>
            </w:r>
          </w:p>
          <w:p w14:paraId="2334639F" w14:textId="77777777" w:rsidR="00504E35" w:rsidRDefault="00504E35" w:rsidP="006F7632">
            <w:pPr>
              <w:pStyle w:val="Tabletext0"/>
              <w:spacing w:before="0" w:after="120"/>
              <w:jc w:val="left"/>
            </w:pPr>
            <w:r>
              <w:t>Level III-2</w:t>
            </w:r>
          </w:p>
          <w:p w14:paraId="2BDE7FBD" w14:textId="77777777" w:rsidR="00504E35" w:rsidRDefault="00504E35" w:rsidP="006F7632">
            <w:pPr>
              <w:pStyle w:val="Tabletext0"/>
              <w:spacing w:before="0" w:after="120"/>
              <w:jc w:val="left"/>
            </w:pPr>
            <w:r w:rsidRPr="003146AA">
              <w:rPr>
                <w:u w:val="single"/>
              </w:rPr>
              <w:t>Concordance</w:t>
            </w:r>
            <w:r>
              <w:t>:</w:t>
            </w:r>
          </w:p>
          <w:p w14:paraId="11D73940" w14:textId="77777777" w:rsidR="00504E35" w:rsidRDefault="00504E35" w:rsidP="006F7632">
            <w:pPr>
              <w:pStyle w:val="Tabletext0"/>
              <w:spacing w:before="0" w:after="120"/>
              <w:jc w:val="left"/>
            </w:pPr>
            <w:r>
              <w:t xml:space="preserve">Low to moderate risk of bias </w:t>
            </w:r>
            <w:r w:rsidRPr="00FE1788">
              <w:t>(QUADAS 2)</w:t>
            </w:r>
          </w:p>
          <w:p w14:paraId="08BBF996" w14:textId="77777777" w:rsidR="00504E35" w:rsidRDefault="00504E35" w:rsidP="006F7632">
            <w:pPr>
              <w:pStyle w:val="Tabletext0"/>
              <w:spacing w:before="0" w:after="120"/>
              <w:ind w:right="-57"/>
              <w:jc w:val="left"/>
            </w:pPr>
            <w:r w:rsidRPr="00E138F3">
              <w:rPr>
                <w:u w:val="single"/>
              </w:rPr>
              <w:t>Health outcomes</w:t>
            </w:r>
            <w:r>
              <w:t>:</w:t>
            </w:r>
          </w:p>
          <w:p w14:paraId="2E629ED9" w14:textId="77777777" w:rsidR="00504E35" w:rsidRDefault="00504E35" w:rsidP="006F7632">
            <w:pPr>
              <w:pStyle w:val="Tabletext0"/>
              <w:spacing w:before="0" w:after="120"/>
              <w:jc w:val="left"/>
            </w:pPr>
            <w:r>
              <w:t>Moderate to high risk of bias (QUIPS)</w:t>
            </w:r>
          </w:p>
        </w:tc>
        <w:tc>
          <w:tcPr>
            <w:tcW w:w="1770" w:type="dxa"/>
            <w:tcBorders>
              <w:top w:val="single" w:sz="4" w:space="0" w:color="auto"/>
              <w:left w:val="single" w:sz="4" w:space="0" w:color="auto"/>
              <w:bottom w:val="single" w:sz="4" w:space="0" w:color="auto"/>
              <w:right w:val="single" w:sz="4" w:space="0" w:color="auto"/>
            </w:tcBorders>
          </w:tcPr>
          <w:p w14:paraId="1874BCE2" w14:textId="77777777" w:rsidR="00504E35" w:rsidRDefault="00504E35" w:rsidP="006F7632">
            <w:pPr>
              <w:pStyle w:val="Tabletext0"/>
              <w:spacing w:before="0" w:after="120"/>
              <w:jc w:val="left"/>
            </w:pPr>
            <w:r>
              <w:t>China</w:t>
            </w:r>
          </w:p>
          <w:p w14:paraId="517ED99B" w14:textId="77777777" w:rsidR="00504E35" w:rsidRDefault="00504E35" w:rsidP="006F7632">
            <w:pPr>
              <w:pStyle w:val="Tabletext0"/>
              <w:spacing w:before="0" w:after="120"/>
              <w:jc w:val="left"/>
            </w:pPr>
            <w:r>
              <w:t>A single laboratory (tissues from a hospital tissue bank) and review of medical record</w:t>
            </w:r>
          </w:p>
          <w:p w14:paraId="0A6EEF4C" w14:textId="77777777" w:rsidR="00504E35" w:rsidRDefault="00504E35" w:rsidP="006F7632">
            <w:pPr>
              <w:pStyle w:val="Tabletext0"/>
              <w:spacing w:before="0" w:after="120"/>
              <w:jc w:val="left"/>
            </w:pPr>
            <w:r>
              <w:t>No follow-up for concordance and up to 58 months for health outcomes</w:t>
            </w:r>
          </w:p>
        </w:tc>
        <w:tc>
          <w:tcPr>
            <w:tcW w:w="2215" w:type="dxa"/>
            <w:tcBorders>
              <w:top w:val="single" w:sz="4" w:space="0" w:color="auto"/>
              <w:left w:val="single" w:sz="4" w:space="0" w:color="auto"/>
              <w:bottom w:val="single" w:sz="4" w:space="0" w:color="auto"/>
              <w:right w:val="single" w:sz="4" w:space="0" w:color="auto"/>
            </w:tcBorders>
          </w:tcPr>
          <w:p w14:paraId="5CDEDDDF" w14:textId="77777777" w:rsidR="00504E35" w:rsidRDefault="00504E35" w:rsidP="006F7632">
            <w:pPr>
              <w:pStyle w:val="Tabletext0"/>
              <w:spacing w:before="0" w:after="120"/>
              <w:jc w:val="left"/>
            </w:pPr>
            <w:r>
              <w:t xml:space="preserve">N=55 </w:t>
            </w:r>
            <w:r w:rsidRPr="00945671">
              <w:rPr>
                <w:i/>
              </w:rPr>
              <w:t>ALK</w:t>
            </w:r>
            <w:r>
              <w:t xml:space="preserve"> positive NSCLC patients at a hospital</w:t>
            </w:r>
          </w:p>
          <w:p w14:paraId="6CF294BE" w14:textId="77777777" w:rsidR="00504E35" w:rsidRDefault="00504E35" w:rsidP="006F7632">
            <w:pPr>
              <w:pStyle w:val="Tabletext0"/>
              <w:spacing w:before="0" w:after="120"/>
              <w:jc w:val="left"/>
            </w:pPr>
            <w:r>
              <w:t>FFPE tumour tissues</w:t>
            </w:r>
          </w:p>
          <w:p w14:paraId="314129F8" w14:textId="77777777" w:rsidR="00504E35" w:rsidRDefault="00504E35" w:rsidP="006F7632">
            <w:pPr>
              <w:pStyle w:val="Tabletext0"/>
              <w:spacing w:before="0" w:after="120"/>
              <w:jc w:val="left"/>
            </w:pPr>
            <w:r w:rsidRPr="00BE5F63">
              <w:rPr>
                <w:u w:val="single"/>
              </w:rPr>
              <w:t>Concordances</w:t>
            </w:r>
            <w:r>
              <w:t xml:space="preserve">: </w:t>
            </w:r>
          </w:p>
          <w:p w14:paraId="2BF3ED21" w14:textId="77777777" w:rsidR="00504E35" w:rsidRDefault="00504E35" w:rsidP="006F7632">
            <w:pPr>
              <w:pStyle w:val="Tabletext0"/>
              <w:spacing w:before="0" w:after="120"/>
              <w:jc w:val="left"/>
            </w:pPr>
            <w:r>
              <w:t>n=34-55</w:t>
            </w:r>
          </w:p>
          <w:p w14:paraId="47DCE341" w14:textId="77777777" w:rsidR="00504E35" w:rsidRDefault="00504E35" w:rsidP="006F7632">
            <w:pPr>
              <w:pStyle w:val="Tabletext0"/>
              <w:spacing w:before="0" w:after="120"/>
              <w:jc w:val="left"/>
            </w:pPr>
            <w:r>
              <w:t xml:space="preserve">Health outcomes: n=40 </w:t>
            </w:r>
            <w:r>
              <w:rPr>
                <w:i/>
              </w:rPr>
              <w:t xml:space="preserve">ALK+ </w:t>
            </w:r>
            <w:r>
              <w:t>patients who received crizotinib</w:t>
            </w:r>
          </w:p>
          <w:p w14:paraId="00070D68" w14:textId="77777777" w:rsidR="00504E35" w:rsidRDefault="00504E35" w:rsidP="006F7632">
            <w:pPr>
              <w:pStyle w:val="Tabletext0"/>
              <w:spacing w:before="0" w:after="120"/>
              <w:jc w:val="left"/>
            </w:pPr>
            <w:r>
              <w:t>91% adenocarcinoma</w:t>
            </w:r>
          </w:p>
          <w:p w14:paraId="299A0BA0" w14:textId="77777777" w:rsidR="00504E35" w:rsidRDefault="00504E35" w:rsidP="006F7632">
            <w:pPr>
              <w:pStyle w:val="Tabletext0"/>
              <w:spacing w:before="0" w:after="120"/>
              <w:jc w:val="left"/>
            </w:pPr>
            <w:r>
              <w:t>0% SCC</w:t>
            </w:r>
          </w:p>
          <w:p w14:paraId="15BCBF7D" w14:textId="77777777" w:rsidR="00504E35" w:rsidRDefault="00504E35" w:rsidP="006F7632">
            <w:pPr>
              <w:pStyle w:val="Tabletext0"/>
              <w:spacing w:before="0" w:after="120"/>
              <w:jc w:val="left"/>
            </w:pPr>
            <w:r>
              <w:t>9% NSCLC NOS</w:t>
            </w:r>
          </w:p>
        </w:tc>
        <w:tc>
          <w:tcPr>
            <w:tcW w:w="1961" w:type="dxa"/>
            <w:tcBorders>
              <w:top w:val="single" w:sz="4" w:space="0" w:color="auto"/>
              <w:left w:val="single" w:sz="4" w:space="0" w:color="auto"/>
              <w:bottom w:val="single" w:sz="4" w:space="0" w:color="auto"/>
              <w:right w:val="single" w:sz="4" w:space="0" w:color="auto"/>
            </w:tcBorders>
          </w:tcPr>
          <w:p w14:paraId="050ACEAB" w14:textId="77777777" w:rsidR="00504E35" w:rsidRPr="00762C49" w:rsidRDefault="00504E35" w:rsidP="006F7632">
            <w:pPr>
              <w:pStyle w:val="Tabletext0"/>
              <w:spacing w:before="0" w:after="120"/>
            </w:pPr>
            <w:r>
              <w:t>NGS panel targeting 416 cancer specific genes designed and carried out by Geneseeq Technology (China), KAPA Hyper Prep Kit (Kapa Biosystems, USA) utilised for DNA library preparation</w:t>
            </w:r>
          </w:p>
        </w:tc>
        <w:tc>
          <w:tcPr>
            <w:tcW w:w="2399" w:type="dxa"/>
            <w:tcBorders>
              <w:top w:val="single" w:sz="4" w:space="0" w:color="auto"/>
              <w:left w:val="single" w:sz="4" w:space="0" w:color="auto"/>
              <w:bottom w:val="single" w:sz="4" w:space="0" w:color="auto"/>
              <w:right w:val="single" w:sz="4" w:space="0" w:color="auto"/>
            </w:tcBorders>
          </w:tcPr>
          <w:p w14:paraId="0AA728B4" w14:textId="77777777" w:rsidR="00504E35" w:rsidRDefault="00504E35" w:rsidP="006F7632">
            <w:pPr>
              <w:pStyle w:val="Tabletext0"/>
              <w:spacing w:before="0" w:after="120"/>
            </w:pPr>
            <w:r>
              <w:rPr>
                <w:i/>
              </w:rPr>
              <w:t xml:space="preserve">ALK </w:t>
            </w:r>
            <w:r>
              <w:t xml:space="preserve">FISH using the Vysis </w:t>
            </w:r>
            <w:r w:rsidRPr="00A14421">
              <w:rPr>
                <w:i/>
              </w:rPr>
              <w:t>ALK</w:t>
            </w:r>
            <w:r>
              <w:t xml:space="preserve">Break Apart </w:t>
            </w:r>
            <w:r w:rsidRPr="00A14421">
              <w:rPr>
                <w:i/>
              </w:rPr>
              <w:t>FISH</w:t>
            </w:r>
            <w:r>
              <w:t xml:space="preserve"> kit (Abbott Molecular)</w:t>
            </w:r>
          </w:p>
          <w:p w14:paraId="49D125CE" w14:textId="77777777" w:rsidR="00504E35" w:rsidRPr="003E626A" w:rsidRDefault="00504E35" w:rsidP="006F7632">
            <w:pPr>
              <w:pStyle w:val="Tabletext0"/>
              <w:spacing w:before="0" w:after="120"/>
              <w:rPr>
                <w:i/>
              </w:rPr>
            </w:pPr>
            <w:r>
              <w:rPr>
                <w:i/>
              </w:rPr>
              <w:t xml:space="preserve">ALK </w:t>
            </w:r>
            <w:r>
              <w:t xml:space="preserve">IHC </w:t>
            </w:r>
            <w:r w:rsidRPr="00182ACD">
              <w:t xml:space="preserve">using VENTANA </w:t>
            </w:r>
            <w:r w:rsidRPr="00182ACD">
              <w:rPr>
                <w:i/>
              </w:rPr>
              <w:t>ALK</w:t>
            </w:r>
            <w:r w:rsidRPr="00182ACD">
              <w:t>(Clone D5F3)CDx Kit and</w:t>
            </w:r>
            <w:r>
              <w:t xml:space="preserve"> </w:t>
            </w:r>
            <w:r w:rsidRPr="00182ACD">
              <w:t>benchmark Ultra Immunostainer (Ventana Medical Systems</w:t>
            </w:r>
            <w:r>
              <w:t>)</w:t>
            </w:r>
          </w:p>
        </w:tc>
        <w:tc>
          <w:tcPr>
            <w:tcW w:w="1661" w:type="dxa"/>
            <w:tcBorders>
              <w:top w:val="single" w:sz="4" w:space="0" w:color="auto"/>
              <w:left w:val="single" w:sz="4" w:space="0" w:color="auto"/>
              <w:bottom w:val="single" w:sz="4" w:space="0" w:color="auto"/>
              <w:right w:val="single" w:sz="4" w:space="0" w:color="auto"/>
            </w:tcBorders>
          </w:tcPr>
          <w:p w14:paraId="77A43450" w14:textId="77777777" w:rsidR="00504E35" w:rsidRDefault="00504E35" w:rsidP="006F7632">
            <w:pPr>
              <w:pStyle w:val="Tabletext0"/>
              <w:spacing w:before="0" w:after="120"/>
              <w:jc w:val="left"/>
            </w:pPr>
            <w:r>
              <w:t>Concordance</w:t>
            </w:r>
          </w:p>
          <w:p w14:paraId="7177D127" w14:textId="77777777" w:rsidR="00504E35" w:rsidRDefault="00504E35" w:rsidP="006F7632">
            <w:pPr>
              <w:pStyle w:val="Tabletext0"/>
              <w:spacing w:before="0" w:after="120"/>
              <w:jc w:val="left"/>
            </w:pPr>
            <w:r>
              <w:t>Success rate</w:t>
            </w:r>
          </w:p>
          <w:p w14:paraId="1C9FBB2F" w14:textId="77777777" w:rsidR="00504E35" w:rsidRDefault="00504E35" w:rsidP="006F7632">
            <w:pPr>
              <w:pStyle w:val="Tabletext0"/>
              <w:spacing w:before="0" w:after="120"/>
              <w:jc w:val="left"/>
            </w:pPr>
            <w:r>
              <w:t>Health outcomes (PFS, ORR and DCR)</w:t>
            </w:r>
          </w:p>
          <w:p w14:paraId="36DCB0D9" w14:textId="77777777" w:rsidR="00504E35" w:rsidRDefault="00504E35" w:rsidP="006F7632">
            <w:pPr>
              <w:pStyle w:val="Tabletext0"/>
              <w:spacing w:before="0" w:after="120"/>
              <w:jc w:val="left"/>
            </w:pPr>
          </w:p>
        </w:tc>
      </w:tr>
      <w:tr w:rsidR="00504E35" w:rsidRPr="00183E4D" w14:paraId="66882F8A"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06871CC6" w14:textId="45DCD5B2" w:rsidR="00504E35" w:rsidRDefault="00B4668F" w:rsidP="00B4668F">
            <w:pPr>
              <w:pStyle w:val="Tabletext0"/>
              <w:spacing w:before="0" w:after="120"/>
              <w:jc w:val="left"/>
            </w:pPr>
            <w:r>
              <w:fldChar w:fldCharType="begin">
                <w:fldData xml:space="preserve">PEVuZE5vdGU+PENpdGU+PEF1dGhvcj5MaW48L0F1dGhvcj48WWVhcj4yMDIyPC9ZZWFyPjxSZWNO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</w:fldData>
              </w:fldChar>
            </w:r>
            <w:r>
              <w:instrText xml:space="preserve"> ADDIN EN.CITE </w:instrText>
            </w:r>
            <w:r>
              <w:fldChar w:fldCharType="begin">
                <w:fldData xml:space="preserve">PEVuZE5vdGU+PENpdGU+PEF1dGhvcj5MaW48L0F1dGhvcj48WWVhcj4yMDIyPC9ZZWFyPjxSZWNO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</w:fldData>
              </w:fldChar>
            </w:r>
            <w:r>
              <w:instrText xml:space="preserve"> ADDIN EN.CITE.DATA </w:instrText>
            </w:r>
            <w:r>
              <w:fldChar w:fldCharType="end"/>
            </w:r>
            <w:r>
              <w:fldChar w:fldCharType="separate"/>
            </w:r>
            <w:r>
              <w:rPr>
                <w:noProof/>
              </w:rPr>
              <w:t>(Lin, HM et al. 2022)</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8679048" w14:textId="77777777" w:rsidR="00504E35" w:rsidRDefault="00504E35" w:rsidP="006F7632">
            <w:pPr>
              <w:pStyle w:val="Tabletext0"/>
              <w:spacing w:before="0" w:after="120"/>
              <w:jc w:val="left"/>
            </w:pPr>
            <w:r>
              <w:t>Retrospective cohort study</w:t>
            </w:r>
          </w:p>
          <w:p w14:paraId="0816BE0D" w14:textId="77777777" w:rsidR="00504E35" w:rsidRDefault="00504E35" w:rsidP="006F7632">
            <w:pPr>
              <w:pStyle w:val="Tabletext0"/>
              <w:spacing w:before="0" w:after="120"/>
              <w:jc w:val="left"/>
            </w:pPr>
            <w:r>
              <w:t>Level III-3</w:t>
            </w:r>
          </w:p>
          <w:p w14:paraId="6B85AC6C" w14:textId="77777777" w:rsidR="00504E35" w:rsidRDefault="00504E35" w:rsidP="006F7632">
            <w:pPr>
              <w:pStyle w:val="Tabletext0"/>
              <w:spacing w:before="0" w:after="120"/>
              <w:jc w:val="left"/>
            </w:pPr>
            <w:r>
              <w:lastRenderedPageBreak/>
              <w:t xml:space="preserve">High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023491D1" w14:textId="77777777" w:rsidR="00504E35" w:rsidRDefault="00504E35" w:rsidP="006F7632">
            <w:pPr>
              <w:pStyle w:val="Tabletext0"/>
              <w:spacing w:before="0" w:after="120"/>
              <w:jc w:val="left"/>
            </w:pPr>
            <w:r>
              <w:lastRenderedPageBreak/>
              <w:t>USA</w:t>
            </w:r>
          </w:p>
          <w:p w14:paraId="35CAA5AA" w14:textId="031E3982" w:rsidR="00504E35" w:rsidRDefault="00504E35" w:rsidP="006F7632">
            <w:pPr>
              <w:pStyle w:val="Tabletext0"/>
              <w:spacing w:before="0" w:after="120"/>
              <w:jc w:val="left"/>
            </w:pPr>
            <w:r>
              <w:t>Data from the flatiron de</w:t>
            </w:r>
            <w:r w:rsidR="00466C4F">
              <w:t>-</w:t>
            </w:r>
            <w:r>
              <w:t xml:space="preserve">identified </w:t>
            </w:r>
            <w:r>
              <w:lastRenderedPageBreak/>
              <w:t>electronic health database</w:t>
            </w:r>
          </w:p>
          <w:p w14:paraId="3A424114" w14:textId="77777777" w:rsidR="00504E35" w:rsidRDefault="00504E35" w:rsidP="006F7632">
            <w:pPr>
              <w:pStyle w:val="Tabletext0"/>
              <w:spacing w:before="0" w:after="120"/>
              <w:jc w:val="left"/>
            </w:pPr>
            <w:r>
              <w:t>No follow up</w:t>
            </w:r>
          </w:p>
        </w:tc>
        <w:tc>
          <w:tcPr>
            <w:tcW w:w="2215" w:type="dxa"/>
            <w:tcBorders>
              <w:top w:val="single" w:sz="4" w:space="0" w:color="auto"/>
              <w:left w:val="single" w:sz="4" w:space="0" w:color="auto"/>
              <w:bottom w:val="single" w:sz="4" w:space="0" w:color="auto"/>
              <w:right w:val="single" w:sz="4" w:space="0" w:color="auto"/>
            </w:tcBorders>
          </w:tcPr>
          <w:p w14:paraId="1AC77056" w14:textId="77777777" w:rsidR="00504E35" w:rsidRDefault="00504E35" w:rsidP="006F7632">
            <w:pPr>
              <w:pStyle w:val="Tabletext0"/>
              <w:spacing w:before="0" w:after="120"/>
              <w:jc w:val="left"/>
            </w:pPr>
            <w:r>
              <w:lastRenderedPageBreak/>
              <w:t xml:space="preserve">N=67,281 advanced NSCLC patients with at least 2 clinic visits who </w:t>
            </w:r>
            <w:r>
              <w:lastRenderedPageBreak/>
              <w:t xml:space="preserve">were tested for </w:t>
            </w:r>
            <w:r w:rsidRPr="00B718E1">
              <w:rPr>
                <w:i/>
              </w:rPr>
              <w:t xml:space="preserve">EGFR </w:t>
            </w:r>
            <w:r>
              <w:t>variants.</w:t>
            </w:r>
          </w:p>
          <w:p w14:paraId="702D6570" w14:textId="77777777" w:rsidR="00504E35" w:rsidRDefault="00504E35" w:rsidP="006F7632">
            <w:pPr>
              <w:pStyle w:val="Tabletext0"/>
              <w:spacing w:before="0" w:after="120"/>
              <w:jc w:val="left"/>
            </w:pPr>
            <w:r>
              <w:t>81.6% non-squamous</w:t>
            </w:r>
          </w:p>
          <w:p w14:paraId="18995D7F" w14:textId="77777777" w:rsidR="00504E35" w:rsidRDefault="00504E35" w:rsidP="006F7632">
            <w:pPr>
              <w:pStyle w:val="Tabletext0"/>
              <w:spacing w:before="0" w:after="120"/>
              <w:jc w:val="left"/>
            </w:pPr>
            <w:r>
              <w:t>14% SCC</w:t>
            </w:r>
          </w:p>
          <w:p w14:paraId="4EA48284" w14:textId="77777777" w:rsidR="00504E35" w:rsidRDefault="00504E35" w:rsidP="006F7632">
            <w:pPr>
              <w:pStyle w:val="Tabletext0"/>
              <w:spacing w:before="0" w:after="120"/>
              <w:jc w:val="left"/>
            </w:pPr>
            <w:r>
              <w:t>4.4% NSCLC NOS</w:t>
            </w:r>
          </w:p>
        </w:tc>
        <w:tc>
          <w:tcPr>
            <w:tcW w:w="1961" w:type="dxa"/>
            <w:tcBorders>
              <w:top w:val="single" w:sz="4" w:space="0" w:color="auto"/>
              <w:left w:val="single" w:sz="4" w:space="0" w:color="auto"/>
              <w:bottom w:val="single" w:sz="4" w:space="0" w:color="auto"/>
              <w:right w:val="single" w:sz="4" w:space="0" w:color="auto"/>
            </w:tcBorders>
          </w:tcPr>
          <w:p w14:paraId="182FD055" w14:textId="77777777" w:rsidR="00504E35" w:rsidRPr="00762C49" w:rsidRDefault="00504E35" w:rsidP="006F7632">
            <w:pPr>
              <w:pStyle w:val="Tabletext0"/>
              <w:spacing w:before="0" w:after="120"/>
              <w:jc w:val="left"/>
            </w:pPr>
            <w:r>
              <w:lastRenderedPageBreak/>
              <w:t>Any NGS platform used by 280 cancer clinics across the USA</w:t>
            </w:r>
          </w:p>
        </w:tc>
        <w:tc>
          <w:tcPr>
            <w:tcW w:w="2399" w:type="dxa"/>
            <w:tcBorders>
              <w:top w:val="single" w:sz="4" w:space="0" w:color="auto"/>
              <w:left w:val="single" w:sz="4" w:space="0" w:color="auto"/>
              <w:bottom w:val="single" w:sz="4" w:space="0" w:color="auto"/>
              <w:right w:val="single" w:sz="4" w:space="0" w:color="auto"/>
            </w:tcBorders>
          </w:tcPr>
          <w:p w14:paraId="7D580034" w14:textId="77777777" w:rsidR="00504E35" w:rsidRPr="00762C49" w:rsidRDefault="00504E35" w:rsidP="006F7632">
            <w:pPr>
              <w:pStyle w:val="Tabletext0"/>
              <w:spacing w:before="0" w:after="120"/>
              <w:jc w:val="left"/>
            </w:pPr>
            <w:r w:rsidRPr="00B718E1">
              <w:rPr>
                <w:i/>
              </w:rPr>
              <w:t xml:space="preserve">EGFR </w:t>
            </w:r>
            <w:r>
              <w:t>specific PCR platforms.</w:t>
            </w:r>
          </w:p>
        </w:tc>
        <w:tc>
          <w:tcPr>
            <w:tcW w:w="1661" w:type="dxa"/>
            <w:tcBorders>
              <w:top w:val="single" w:sz="4" w:space="0" w:color="auto"/>
              <w:left w:val="single" w:sz="4" w:space="0" w:color="auto"/>
              <w:bottom w:val="single" w:sz="4" w:space="0" w:color="auto"/>
              <w:right w:val="single" w:sz="4" w:space="0" w:color="auto"/>
            </w:tcBorders>
          </w:tcPr>
          <w:p w14:paraId="340CB4FD" w14:textId="77777777" w:rsidR="00504E35" w:rsidRDefault="00504E35" w:rsidP="006F7632">
            <w:pPr>
              <w:pStyle w:val="Tabletext0"/>
              <w:spacing w:before="0" w:after="120"/>
              <w:jc w:val="left"/>
            </w:pPr>
            <w:r>
              <w:t>Turnaround time</w:t>
            </w:r>
          </w:p>
        </w:tc>
      </w:tr>
      <w:tr w:rsidR="00504E35" w:rsidRPr="00183E4D" w14:paraId="223FA58F"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1194B4FA" w14:textId="60DB4401" w:rsidR="00504E35" w:rsidRDefault="00B4668F" w:rsidP="00B4668F">
            <w:pPr>
              <w:pStyle w:val="Tabletext0"/>
              <w:spacing w:before="0" w:after="120"/>
              <w:jc w:val="left"/>
            </w:pPr>
            <w:r>
              <w:fldChar w:fldCharType="begin"/>
            </w:r>
            <w:r>
              <w:instrText xml:space="preserve"> ADDIN EN.CITE &lt;EndNote&gt;&lt;Cite&gt;&lt;Author&gt;Mehrad&lt;/Author&gt;&lt;Year&gt;2018&lt;/Year&gt;&lt;RecNum&gt;69&lt;/RecNum&gt;&lt;IDText&gt;353-357&lt;/IDText&gt;&lt;DisplayText&gt;(Mehrad et al. 2018)&lt;/DisplayText&gt;&lt;record&gt;&lt;rec-number&gt;69&lt;/rec-number&gt;&lt;foreign-keys&gt;&lt;key app="EN" db-id="0tprsse9cpp5r3ea5dz5p0xw2pfwvwxpa5a5" timestamp="1651814960"&gt;69&lt;/key&gt;&lt;/foreign-keys&gt;&lt;ref-type name="Journal Article"&gt;17&lt;/ref-type&gt;&lt;contributors&gt;&lt;authors&gt;&lt;author&gt;Mehrad, M.&lt;/author&gt;&lt;author&gt;Roy, S.&lt;/author&gt;&lt;author&gt;Bittar, H. T.&lt;/author&gt;&lt;author&gt;Dacic, S.&lt;/author&gt;&lt;/authors&gt;&lt;/contributors&gt;&lt;titles&gt;&lt;title&gt;Next-Generation Sequencing Approach to Non-Small Cell Lung Carcinoma Yields More Actionable Alterations&lt;/title&gt;&lt;secondary-title&gt;Archives of Pathology &amp;amp; Laboratory Medicine&lt;/secondary-title&gt;&lt;/titles&gt;&lt;periodical&gt;&lt;full-title&gt;Archives of Pathology &amp;amp; Laboratory Medicine&lt;/full-title&gt;&lt;/periodical&gt;&lt;pages&gt;353-357&lt;/pages&gt;&lt;volume&gt;142&lt;/volume&gt;&lt;number&gt;3&lt;/number&gt;&lt;dates&gt;&lt;year&gt;2018&lt;/year&gt;&lt;pub-dates&gt;&lt;date&gt;Mar&lt;/date&gt;&lt;/pub-dates&gt;&lt;/dates&gt;&lt;isbn&gt;0003-9985&lt;/isbn&gt;&lt;accession-num&gt;WOS:000427446300010&lt;/accession-num&gt;&lt;urls&gt;&lt;related-urls&gt;&lt;url&gt;&amp;lt;Go to ISI&amp;gt;://WOS:000427446300010&lt;/url&gt;&lt;url&gt;http://www.archivesofpathology.org/doi/pdf/10.5858/arpa.2017-0046-OA&lt;/url&gt;&lt;/related-urls&gt;&lt;/urls&gt;&lt;electronic-resource-num&gt;10.5858/arpa.2017-0046-OA&lt;/electronic-resource-num&gt;&lt;/record&gt;&lt;/Cite&gt;&lt;/EndNote&gt;</w:instrText>
            </w:r>
            <w:r>
              <w:fldChar w:fldCharType="separate"/>
            </w:r>
            <w:r>
              <w:rPr>
                <w:noProof/>
              </w:rPr>
              <w:t>(Mehrad et al. 2018)</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10EF8742" w14:textId="77777777" w:rsidR="00504E35" w:rsidRPr="002A2B41" w:rsidRDefault="00504E35" w:rsidP="006F7632">
            <w:pPr>
              <w:spacing w:before="0" w:after="120"/>
              <w:rPr>
                <w:rFonts w:ascii="Arial Narrow" w:hAnsi="Arial Narrow"/>
              </w:rPr>
            </w:pPr>
            <w:r w:rsidRPr="002A2B41">
              <w:rPr>
                <w:rFonts w:ascii="Arial Narrow" w:hAnsi="Arial Narrow"/>
              </w:rPr>
              <w:t>Retrospective cohort study</w:t>
            </w:r>
          </w:p>
          <w:p w14:paraId="50249770" w14:textId="77777777" w:rsidR="00504E35" w:rsidRPr="002A2B41" w:rsidRDefault="00504E35" w:rsidP="006F7632">
            <w:pPr>
              <w:spacing w:before="0" w:after="120"/>
              <w:rPr>
                <w:rFonts w:ascii="Arial Narrow" w:hAnsi="Arial Narrow"/>
              </w:rPr>
            </w:pPr>
            <w:r w:rsidRPr="002A2B41">
              <w:rPr>
                <w:rFonts w:ascii="Arial Narrow" w:hAnsi="Arial Narrow"/>
              </w:rPr>
              <w:t>Level III-</w:t>
            </w:r>
            <w:r>
              <w:rPr>
                <w:rFonts w:ascii="Arial Narrow" w:hAnsi="Arial Narrow"/>
              </w:rPr>
              <w:t xml:space="preserve">2 </w:t>
            </w:r>
            <w:r w:rsidRPr="00FE1788">
              <w:rPr>
                <w:rFonts w:ascii="Arial Narrow" w:hAnsi="Arial Narrow" w:cs="Tahoma"/>
              </w:rPr>
              <w:t>(QUADAS 2)</w:t>
            </w:r>
          </w:p>
          <w:p w14:paraId="26D280D3" w14:textId="77777777" w:rsidR="00504E35" w:rsidRPr="00183E4D" w:rsidRDefault="00504E35" w:rsidP="006F7632">
            <w:pPr>
              <w:pStyle w:val="Tabletext0"/>
              <w:spacing w:before="0" w:after="120"/>
              <w:jc w:val="left"/>
            </w:pPr>
          </w:p>
        </w:tc>
        <w:tc>
          <w:tcPr>
            <w:tcW w:w="1770" w:type="dxa"/>
            <w:tcBorders>
              <w:top w:val="single" w:sz="4" w:space="0" w:color="auto"/>
              <w:left w:val="single" w:sz="4" w:space="0" w:color="auto"/>
              <w:bottom w:val="single" w:sz="4" w:space="0" w:color="auto"/>
              <w:right w:val="single" w:sz="4" w:space="0" w:color="auto"/>
            </w:tcBorders>
          </w:tcPr>
          <w:p w14:paraId="74A4F006" w14:textId="77777777" w:rsidR="00504E35" w:rsidRDefault="00504E35" w:rsidP="006F7632">
            <w:pPr>
              <w:pStyle w:val="Tabletext0"/>
              <w:spacing w:before="0" w:after="120"/>
              <w:jc w:val="left"/>
            </w:pPr>
            <w:r>
              <w:t>USA</w:t>
            </w:r>
          </w:p>
          <w:p w14:paraId="7698FA0E" w14:textId="77777777" w:rsidR="00504E35" w:rsidRDefault="00504E35" w:rsidP="006F7632">
            <w:pPr>
              <w:pStyle w:val="Tabletext0"/>
              <w:spacing w:before="0" w:after="120"/>
              <w:jc w:val="left"/>
            </w:pPr>
            <w:r>
              <w:t>Comparison of patients care pathways in a single centre</w:t>
            </w:r>
          </w:p>
          <w:p w14:paraId="65BDF03B" w14:textId="77777777" w:rsidR="00504E35" w:rsidRPr="00183E4D" w:rsidRDefault="00504E35" w:rsidP="006F7632">
            <w:pPr>
              <w:pStyle w:val="Tabletext0"/>
              <w:spacing w:before="0" w:after="120"/>
              <w:jc w:val="left"/>
            </w:pPr>
            <w:r>
              <w:t>3 years</w:t>
            </w:r>
          </w:p>
        </w:tc>
        <w:tc>
          <w:tcPr>
            <w:tcW w:w="2215" w:type="dxa"/>
            <w:tcBorders>
              <w:top w:val="single" w:sz="4" w:space="0" w:color="auto"/>
              <w:left w:val="single" w:sz="4" w:space="0" w:color="auto"/>
              <w:bottom w:val="single" w:sz="4" w:space="0" w:color="auto"/>
              <w:right w:val="single" w:sz="4" w:space="0" w:color="auto"/>
            </w:tcBorders>
          </w:tcPr>
          <w:p w14:paraId="42B5FF18" w14:textId="77777777" w:rsidR="00504E35" w:rsidRDefault="00504E35" w:rsidP="006F7632">
            <w:pPr>
              <w:pStyle w:val="Tabletext0"/>
              <w:spacing w:before="0" w:after="120"/>
              <w:jc w:val="left"/>
            </w:pPr>
            <w:r>
              <w:t>N=225</w:t>
            </w:r>
          </w:p>
          <w:p w14:paraId="5B0818A1" w14:textId="77777777" w:rsidR="00504E35" w:rsidRPr="00183E4D" w:rsidRDefault="00504E35" w:rsidP="006F7632">
            <w:pPr>
              <w:pStyle w:val="Tabletext0"/>
              <w:spacing w:before="0" w:after="120"/>
              <w:jc w:val="left"/>
            </w:pPr>
            <w:r w:rsidRPr="00762C49">
              <w:t>Patients with metastatic lung cancer (n= 46 cases ADC and NSCLC, NOS) 29 (63%) samples from metastatic tumours</w:t>
            </w:r>
          </w:p>
        </w:tc>
        <w:tc>
          <w:tcPr>
            <w:tcW w:w="1961" w:type="dxa"/>
            <w:tcBorders>
              <w:top w:val="single" w:sz="4" w:space="0" w:color="auto"/>
              <w:left w:val="single" w:sz="4" w:space="0" w:color="auto"/>
              <w:bottom w:val="single" w:sz="4" w:space="0" w:color="auto"/>
              <w:right w:val="single" w:sz="4" w:space="0" w:color="auto"/>
            </w:tcBorders>
          </w:tcPr>
          <w:p w14:paraId="60A5BB51" w14:textId="77777777" w:rsidR="00504E35" w:rsidRPr="00183E4D" w:rsidRDefault="00504E35" w:rsidP="006F7632">
            <w:pPr>
              <w:pStyle w:val="Tabletext0"/>
              <w:spacing w:before="0" w:after="120"/>
              <w:jc w:val="left"/>
            </w:pPr>
            <w:r w:rsidRPr="00762C49">
              <w:t>NGS 50 gene pane</w:t>
            </w:r>
          </w:p>
        </w:tc>
        <w:tc>
          <w:tcPr>
            <w:tcW w:w="2399" w:type="dxa"/>
            <w:tcBorders>
              <w:top w:val="single" w:sz="4" w:space="0" w:color="auto"/>
              <w:left w:val="single" w:sz="4" w:space="0" w:color="auto"/>
              <w:bottom w:val="single" w:sz="4" w:space="0" w:color="auto"/>
              <w:right w:val="single" w:sz="4" w:space="0" w:color="auto"/>
            </w:tcBorders>
          </w:tcPr>
          <w:p w14:paraId="511002AB" w14:textId="77777777" w:rsidR="00504E35" w:rsidRDefault="00504E35" w:rsidP="006F7632">
            <w:pPr>
              <w:pStyle w:val="Tabletext0"/>
              <w:spacing w:before="0" w:after="120"/>
              <w:jc w:val="left"/>
            </w:pPr>
            <w:r>
              <w:t xml:space="preserve">8 gene non-NGS panel including SS for </w:t>
            </w:r>
            <w:r w:rsidRPr="007F786A">
              <w:rPr>
                <w:i/>
              </w:rPr>
              <w:t>EGFR</w:t>
            </w:r>
            <w:r>
              <w:t>,</w:t>
            </w:r>
          </w:p>
          <w:p w14:paraId="6E4337B4" w14:textId="77777777" w:rsidR="00504E35" w:rsidRPr="00183E4D" w:rsidRDefault="00504E35" w:rsidP="006F7632">
            <w:pPr>
              <w:pStyle w:val="Tabletext0"/>
              <w:spacing w:before="0" w:after="120"/>
              <w:jc w:val="left"/>
            </w:pPr>
            <w:r>
              <w:t xml:space="preserve">FISH for </w:t>
            </w:r>
            <w:r w:rsidRPr="00547C61">
              <w:rPr>
                <w:i/>
              </w:rPr>
              <w:t>ALK</w:t>
            </w:r>
            <w:r>
              <w:t xml:space="preserve"> and </w:t>
            </w:r>
            <w:r w:rsidRPr="00547C61">
              <w:rPr>
                <w:i/>
              </w:rPr>
              <w:t>ROS1</w:t>
            </w:r>
          </w:p>
        </w:tc>
        <w:tc>
          <w:tcPr>
            <w:tcW w:w="1661" w:type="dxa"/>
            <w:tcBorders>
              <w:top w:val="single" w:sz="4" w:space="0" w:color="auto"/>
              <w:left w:val="single" w:sz="4" w:space="0" w:color="auto"/>
              <w:bottom w:val="single" w:sz="4" w:space="0" w:color="auto"/>
              <w:right w:val="single" w:sz="4" w:space="0" w:color="auto"/>
            </w:tcBorders>
          </w:tcPr>
          <w:p w14:paraId="23BCEF93" w14:textId="77777777" w:rsidR="00504E35" w:rsidRPr="00183E4D" w:rsidRDefault="00504E35" w:rsidP="006F7632">
            <w:pPr>
              <w:pStyle w:val="Tabletext0"/>
              <w:spacing w:before="0" w:after="120"/>
              <w:jc w:val="left"/>
            </w:pPr>
            <w:r>
              <w:t xml:space="preserve">Concordance </w:t>
            </w:r>
          </w:p>
        </w:tc>
      </w:tr>
      <w:tr w:rsidR="00504E35" w:rsidRPr="00183E4D" w14:paraId="2134D45E"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EBF198A" w14:textId="2FE147AC" w:rsidR="00504E35" w:rsidRDefault="00B4668F" w:rsidP="00B4668F">
            <w:pPr>
              <w:pStyle w:val="Tabletext0"/>
              <w:spacing w:before="0" w:after="120"/>
              <w:jc w:val="left"/>
            </w:pP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 </w:instrText>
            </w: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EN.CITE.DATA </w:instrText>
            </w:r>
            <w:r>
              <w:fldChar w:fldCharType="end"/>
            </w:r>
            <w:r>
              <w:fldChar w:fldCharType="separate"/>
            </w:r>
            <w:r>
              <w:rPr>
                <w:noProof/>
              </w:rPr>
              <w:t>(Mehta et al. 2020)</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443C4FD" w14:textId="77777777" w:rsidR="00504E35" w:rsidRPr="002A2B41" w:rsidRDefault="00504E35" w:rsidP="006F7632">
            <w:pPr>
              <w:spacing w:before="0" w:after="120"/>
              <w:rPr>
                <w:rFonts w:ascii="Arial Narrow" w:hAnsi="Arial Narrow"/>
              </w:rPr>
            </w:pPr>
            <w:r w:rsidRPr="72849CA3">
              <w:rPr>
                <w:rFonts w:ascii="Arial Narrow" w:hAnsi="Arial Narrow"/>
              </w:rPr>
              <w:t>Prospective cohort study</w:t>
            </w:r>
          </w:p>
          <w:p w14:paraId="36E8C925" w14:textId="77777777" w:rsidR="00504E35" w:rsidRPr="002A2B41" w:rsidRDefault="00504E35" w:rsidP="006F7632">
            <w:pPr>
              <w:spacing w:before="0" w:after="120"/>
              <w:rPr>
                <w:rFonts w:ascii="Arial Narrow" w:hAnsi="Arial Narrow"/>
              </w:rPr>
            </w:pPr>
            <w:r w:rsidRPr="7CE4C0CC">
              <w:rPr>
                <w:rFonts w:ascii="Arial Narrow" w:hAnsi="Arial Narrow"/>
              </w:rPr>
              <w:t>Level III-2</w:t>
            </w:r>
          </w:p>
          <w:p w14:paraId="1B7962DD" w14:textId="77777777" w:rsidR="00504E35" w:rsidRPr="002A2B41" w:rsidRDefault="00504E35" w:rsidP="006F7632">
            <w:pPr>
              <w:spacing w:before="0" w:after="120"/>
              <w:rPr>
                <w:rFonts w:ascii="Arial Narrow" w:hAnsi="Arial Narrow"/>
              </w:rPr>
            </w:pPr>
            <w:r w:rsidRPr="7CE4C0CC">
              <w:rPr>
                <w:rFonts w:ascii="Arial Narrow" w:hAnsi="Arial Narrow"/>
              </w:rPr>
              <w:t>Low risk of bias</w:t>
            </w:r>
            <w:r>
              <w:rPr>
                <w:rFonts w:ascii="Arial Narrow" w:hAnsi="Arial Narrow"/>
              </w:rPr>
              <w:t xml:space="preserve"> </w:t>
            </w:r>
            <w:r w:rsidRPr="00FE1788">
              <w:rPr>
                <w:rFonts w:ascii="Arial Narrow" w:hAnsi="Arial Narrow" w:cs="Tahoma"/>
              </w:rPr>
              <w:t>(QUADAS 2)</w:t>
            </w:r>
          </w:p>
        </w:tc>
        <w:tc>
          <w:tcPr>
            <w:tcW w:w="1770" w:type="dxa"/>
            <w:tcBorders>
              <w:top w:val="single" w:sz="4" w:space="0" w:color="auto"/>
              <w:left w:val="single" w:sz="4" w:space="0" w:color="auto"/>
              <w:bottom w:val="single" w:sz="4" w:space="0" w:color="auto"/>
              <w:right w:val="single" w:sz="4" w:space="0" w:color="auto"/>
            </w:tcBorders>
          </w:tcPr>
          <w:p w14:paraId="1AD28AA2" w14:textId="77777777" w:rsidR="00504E35" w:rsidRDefault="00504E35" w:rsidP="006F7632">
            <w:pPr>
              <w:pStyle w:val="Tabletext0"/>
              <w:spacing w:before="0" w:after="120"/>
              <w:jc w:val="left"/>
            </w:pPr>
            <w:r>
              <w:t>India</w:t>
            </w:r>
          </w:p>
          <w:p w14:paraId="1A1D343B" w14:textId="77777777" w:rsidR="00504E35" w:rsidRDefault="00504E35" w:rsidP="006F7632">
            <w:pPr>
              <w:pStyle w:val="Tabletext0"/>
              <w:spacing w:before="0" w:after="120"/>
              <w:jc w:val="left"/>
            </w:pPr>
            <w:r>
              <w:t>Patients diagnosed at a single centre.</w:t>
            </w:r>
          </w:p>
          <w:p w14:paraId="6D698AEE" w14:textId="77777777" w:rsidR="00504E35" w:rsidRDefault="00504E35" w:rsidP="006F7632">
            <w:pPr>
              <w:pStyle w:val="Tabletext0"/>
              <w:spacing w:before="0" w:after="120"/>
              <w:jc w:val="left"/>
            </w:pPr>
            <w:r>
              <w:t>Follow up of 20 months.</w:t>
            </w:r>
          </w:p>
        </w:tc>
        <w:tc>
          <w:tcPr>
            <w:tcW w:w="2215" w:type="dxa"/>
            <w:tcBorders>
              <w:top w:val="single" w:sz="4" w:space="0" w:color="auto"/>
              <w:left w:val="single" w:sz="4" w:space="0" w:color="auto"/>
              <w:bottom w:val="single" w:sz="4" w:space="0" w:color="auto"/>
              <w:right w:val="single" w:sz="4" w:space="0" w:color="auto"/>
            </w:tcBorders>
          </w:tcPr>
          <w:p w14:paraId="0503C1F4" w14:textId="77777777" w:rsidR="00504E35" w:rsidRDefault="00504E35" w:rsidP="006F7632">
            <w:pPr>
              <w:pStyle w:val="Tabletext0"/>
              <w:spacing w:before="0" w:after="120"/>
              <w:jc w:val="left"/>
            </w:pPr>
            <w:r>
              <w:t>N=100 patients newly diagnosed with advanced NSCLC underwent predictive biomarker testing with NGS and single gene testing.</w:t>
            </w:r>
          </w:p>
          <w:p w14:paraId="7C3459EB" w14:textId="77777777" w:rsidR="00504E35" w:rsidRDefault="00504E35" w:rsidP="006F7632">
            <w:pPr>
              <w:pStyle w:val="Tabletext0"/>
              <w:spacing w:before="0" w:after="120"/>
              <w:jc w:val="left"/>
            </w:pPr>
            <w:r>
              <w:t>98% adenocarcinoma</w:t>
            </w:r>
          </w:p>
          <w:p w14:paraId="7F6A99FB" w14:textId="77777777" w:rsidR="00504E35" w:rsidRDefault="00504E35" w:rsidP="006F7632">
            <w:pPr>
              <w:pStyle w:val="Tabletext0"/>
              <w:spacing w:before="0" w:after="120"/>
              <w:jc w:val="left"/>
            </w:pPr>
            <w:r>
              <w:t>2% SCC</w:t>
            </w:r>
          </w:p>
        </w:tc>
        <w:tc>
          <w:tcPr>
            <w:tcW w:w="1961" w:type="dxa"/>
            <w:tcBorders>
              <w:top w:val="single" w:sz="4" w:space="0" w:color="auto"/>
              <w:left w:val="single" w:sz="4" w:space="0" w:color="auto"/>
              <w:bottom w:val="single" w:sz="4" w:space="0" w:color="auto"/>
              <w:right w:val="single" w:sz="4" w:space="0" w:color="auto"/>
            </w:tcBorders>
          </w:tcPr>
          <w:p w14:paraId="37A23E13" w14:textId="77777777" w:rsidR="00504E35" w:rsidRPr="00762C49" w:rsidRDefault="00504E35" w:rsidP="006F7632">
            <w:pPr>
              <w:pStyle w:val="Tabletext0"/>
              <w:spacing w:before="0" w:after="120"/>
              <w:jc w:val="left"/>
            </w:pPr>
            <w:r>
              <w:t>Ampliseq Cancer Hotspot panel</w:t>
            </w:r>
          </w:p>
          <w:p w14:paraId="66343D89" w14:textId="77777777" w:rsidR="00504E35" w:rsidRPr="00762C49" w:rsidRDefault="00504E35" w:rsidP="006F7632">
            <w:pPr>
              <w:pStyle w:val="Tabletext0"/>
              <w:spacing w:before="0" w:after="120"/>
              <w:jc w:val="left"/>
            </w:pPr>
            <w:r>
              <w:t>Oncomine solid tumor DNA and Oncomine Fusion transcript kit</w:t>
            </w:r>
          </w:p>
        </w:tc>
        <w:tc>
          <w:tcPr>
            <w:tcW w:w="2399" w:type="dxa"/>
            <w:tcBorders>
              <w:top w:val="single" w:sz="4" w:space="0" w:color="auto"/>
              <w:left w:val="single" w:sz="4" w:space="0" w:color="auto"/>
              <w:bottom w:val="single" w:sz="4" w:space="0" w:color="auto"/>
              <w:right w:val="single" w:sz="4" w:space="0" w:color="auto"/>
            </w:tcBorders>
          </w:tcPr>
          <w:p w14:paraId="7D299A6A" w14:textId="77777777" w:rsidR="00504E35" w:rsidRDefault="00504E35" w:rsidP="006F7632">
            <w:pPr>
              <w:pStyle w:val="Tabletext0"/>
              <w:spacing w:before="0" w:after="120"/>
              <w:jc w:val="left"/>
            </w:pPr>
            <w:r w:rsidRPr="00B718E1">
              <w:rPr>
                <w:i/>
              </w:rPr>
              <w:t>EGFR</w:t>
            </w:r>
            <w:r>
              <w:t xml:space="preserve"> testing by RT-PCT, </w:t>
            </w:r>
            <w:r w:rsidRPr="00B718E1">
              <w:rPr>
                <w:i/>
              </w:rPr>
              <w:t>ALK</w:t>
            </w:r>
            <w:r>
              <w:t xml:space="preserve"> testing with IHC, and </w:t>
            </w:r>
            <w:r w:rsidRPr="00B718E1">
              <w:rPr>
                <w:i/>
              </w:rPr>
              <w:t>ROS1</w:t>
            </w:r>
            <w:r>
              <w:t xml:space="preserve"> testing with FISH</w:t>
            </w:r>
          </w:p>
        </w:tc>
        <w:tc>
          <w:tcPr>
            <w:tcW w:w="1661" w:type="dxa"/>
            <w:tcBorders>
              <w:top w:val="single" w:sz="4" w:space="0" w:color="auto"/>
              <w:left w:val="single" w:sz="4" w:space="0" w:color="auto"/>
              <w:bottom w:val="single" w:sz="4" w:space="0" w:color="auto"/>
              <w:right w:val="single" w:sz="4" w:space="0" w:color="auto"/>
            </w:tcBorders>
          </w:tcPr>
          <w:p w14:paraId="4015D90E" w14:textId="77777777" w:rsidR="00504E35" w:rsidRDefault="00504E35" w:rsidP="006F7632">
            <w:pPr>
              <w:pStyle w:val="Tabletext0"/>
              <w:spacing w:before="0" w:after="120"/>
              <w:jc w:val="left"/>
            </w:pPr>
            <w:r>
              <w:t>Concordance</w:t>
            </w:r>
          </w:p>
        </w:tc>
      </w:tr>
      <w:tr w:rsidR="00504E35" w:rsidRPr="00183E4D" w14:paraId="15D15CC1"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02C3CB4E" w14:textId="0ACAAD2D" w:rsidR="00504E35" w:rsidRDefault="00B4668F" w:rsidP="00B4668F">
            <w:pPr>
              <w:pStyle w:val="Tabletext0"/>
              <w:spacing w:before="0" w:after="120"/>
              <w:jc w:val="left"/>
            </w:pPr>
            <w:r>
              <w:fldChar w:fldCharType="begin">
                <w:fldData xml:space="preserve">PEVuZE5vdGU+PENpdGU+PEF1dGhvcj5NaWxsZXI8L0F1dGhvcj48WWVhcj4yMDE4PC9ZZWFyPjxS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=
</w:fldData>
              </w:fldChar>
            </w:r>
            <w:r>
              <w:instrText xml:space="preserve"> ADDIN EN.CITE </w:instrText>
            </w:r>
            <w:r>
              <w:fldChar w:fldCharType="begin">
                <w:fldData xml:space="preserve">PEVuZE5vdGU+PENpdGU+PEF1dGhvcj5NaWxsZXI8L0F1dGhvcj48WWVhcj4yMDE4PC9ZZWFyPjxS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=
</w:fldData>
              </w:fldChar>
            </w:r>
            <w:r>
              <w:instrText xml:space="preserve"> ADDIN EN.CITE.DATA </w:instrText>
            </w:r>
            <w:r>
              <w:fldChar w:fldCharType="end"/>
            </w:r>
            <w:r>
              <w:fldChar w:fldCharType="separate"/>
            </w:r>
            <w:r>
              <w:rPr>
                <w:noProof/>
              </w:rPr>
              <w:t>(Miller et al. 2018)</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2C5B28CF" w14:textId="77777777" w:rsidR="00504E35" w:rsidRPr="002A2B41" w:rsidRDefault="00504E35" w:rsidP="006F7632">
            <w:pPr>
              <w:spacing w:before="0" w:after="120"/>
              <w:rPr>
                <w:rFonts w:ascii="Arial Narrow" w:hAnsi="Arial Narrow"/>
              </w:rPr>
            </w:pPr>
            <w:r w:rsidRPr="4A8E697E">
              <w:rPr>
                <w:rFonts w:ascii="Arial Narrow" w:hAnsi="Arial Narrow"/>
              </w:rPr>
              <w:t>Prospective cohort study</w:t>
            </w:r>
          </w:p>
          <w:p w14:paraId="40394CE4" w14:textId="77777777" w:rsidR="00504E35" w:rsidRPr="002A2B41" w:rsidRDefault="00504E35" w:rsidP="006F7632">
            <w:pPr>
              <w:spacing w:before="0" w:after="120"/>
              <w:rPr>
                <w:rFonts w:ascii="Arial Narrow" w:hAnsi="Arial Narrow"/>
              </w:rPr>
            </w:pPr>
            <w:r w:rsidRPr="4A8E697E">
              <w:rPr>
                <w:rFonts w:ascii="Arial Narrow" w:hAnsi="Arial Narrow"/>
              </w:rPr>
              <w:t>Level III-</w:t>
            </w:r>
            <w:r w:rsidRPr="64DD49F7">
              <w:rPr>
                <w:rFonts w:ascii="Arial Narrow" w:hAnsi="Arial Narrow"/>
              </w:rPr>
              <w:t>3</w:t>
            </w:r>
            <w:r w:rsidRPr="4A8E697E">
              <w:rPr>
                <w:rFonts w:ascii="Arial Narrow" w:hAnsi="Arial Narrow"/>
              </w:rPr>
              <w:t xml:space="preserve"> </w:t>
            </w:r>
          </w:p>
          <w:p w14:paraId="7147A071" w14:textId="77777777" w:rsidR="00504E35" w:rsidRPr="002A2B41" w:rsidRDefault="00504E35" w:rsidP="006F7632">
            <w:pPr>
              <w:spacing w:before="0" w:after="120"/>
            </w:pPr>
            <w:r w:rsidRPr="00956452">
              <w:rPr>
                <w:rFonts w:ascii="Arial Narrow" w:hAnsi="Arial Narrow"/>
              </w:rPr>
              <w:t>moderate risk of bias</w:t>
            </w:r>
          </w:p>
        </w:tc>
        <w:tc>
          <w:tcPr>
            <w:tcW w:w="1770" w:type="dxa"/>
            <w:tcBorders>
              <w:top w:val="single" w:sz="4" w:space="0" w:color="auto"/>
              <w:left w:val="single" w:sz="4" w:space="0" w:color="auto"/>
              <w:bottom w:val="single" w:sz="4" w:space="0" w:color="auto"/>
              <w:right w:val="single" w:sz="4" w:space="0" w:color="auto"/>
            </w:tcBorders>
          </w:tcPr>
          <w:p w14:paraId="63E2F22E" w14:textId="77777777" w:rsidR="00504E35" w:rsidRDefault="00504E35" w:rsidP="006F7632">
            <w:pPr>
              <w:pStyle w:val="Tabletext0"/>
              <w:spacing w:before="0" w:after="120"/>
              <w:jc w:val="left"/>
            </w:pPr>
            <w:r>
              <w:t>USA</w:t>
            </w:r>
          </w:p>
          <w:p w14:paraId="1471B48B" w14:textId="77777777" w:rsidR="00504E35" w:rsidRDefault="00504E35" w:rsidP="006F7632">
            <w:pPr>
              <w:pStyle w:val="Tabletext0"/>
              <w:spacing w:before="0" w:after="120"/>
              <w:jc w:val="left"/>
            </w:pPr>
            <w:r>
              <w:t>Patients diagnosed at a single centre were screened using NGS</w:t>
            </w:r>
          </w:p>
          <w:p w14:paraId="6927E633" w14:textId="77777777" w:rsidR="00504E35" w:rsidRDefault="00504E35" w:rsidP="006F7632">
            <w:pPr>
              <w:pStyle w:val="Tabletext0"/>
              <w:spacing w:before="0" w:after="120"/>
              <w:jc w:val="left"/>
            </w:pPr>
            <w:r>
              <w:t>Clinical up not detailed</w:t>
            </w:r>
          </w:p>
        </w:tc>
        <w:tc>
          <w:tcPr>
            <w:tcW w:w="2215" w:type="dxa"/>
            <w:tcBorders>
              <w:top w:val="single" w:sz="4" w:space="0" w:color="auto"/>
              <w:left w:val="single" w:sz="4" w:space="0" w:color="auto"/>
              <w:bottom w:val="single" w:sz="4" w:space="0" w:color="auto"/>
              <w:right w:val="single" w:sz="4" w:space="0" w:color="auto"/>
            </w:tcBorders>
          </w:tcPr>
          <w:p w14:paraId="3AB72B16" w14:textId="77777777" w:rsidR="00504E35" w:rsidRDefault="00504E35" w:rsidP="006F7632">
            <w:pPr>
              <w:pStyle w:val="Tabletext0"/>
              <w:spacing w:before="0" w:after="120"/>
              <w:jc w:val="left"/>
            </w:pPr>
            <w:r>
              <w:t>N=302 advanced adenocarcinoma patients.</w:t>
            </w:r>
          </w:p>
          <w:p w14:paraId="1FFCCECD" w14:textId="77777777" w:rsidR="00504E35" w:rsidRDefault="00504E35" w:rsidP="006F7632">
            <w:pPr>
              <w:pStyle w:val="Tabletext0"/>
              <w:spacing w:before="0" w:after="120"/>
              <w:jc w:val="left"/>
            </w:pPr>
            <w:r>
              <w:t>After validation of the assay the turnaround time for the first 302 patients was recorded.</w:t>
            </w:r>
          </w:p>
        </w:tc>
        <w:tc>
          <w:tcPr>
            <w:tcW w:w="1961" w:type="dxa"/>
            <w:tcBorders>
              <w:top w:val="single" w:sz="4" w:space="0" w:color="auto"/>
              <w:left w:val="single" w:sz="4" w:space="0" w:color="auto"/>
              <w:bottom w:val="single" w:sz="4" w:space="0" w:color="auto"/>
              <w:right w:val="single" w:sz="4" w:space="0" w:color="auto"/>
            </w:tcBorders>
          </w:tcPr>
          <w:p w14:paraId="40963FDA" w14:textId="77777777" w:rsidR="00504E35" w:rsidRPr="00762C49" w:rsidRDefault="00504E35" w:rsidP="006F7632">
            <w:pPr>
              <w:pStyle w:val="Tabletext0"/>
              <w:spacing w:before="0" w:after="120"/>
              <w:jc w:val="left"/>
            </w:pPr>
            <w:r>
              <w:t>Oncomine Focus Assay targeting 52 genes relevant to solid tumors</w:t>
            </w:r>
          </w:p>
        </w:tc>
        <w:tc>
          <w:tcPr>
            <w:tcW w:w="2399" w:type="dxa"/>
            <w:tcBorders>
              <w:top w:val="single" w:sz="4" w:space="0" w:color="auto"/>
              <w:left w:val="single" w:sz="4" w:space="0" w:color="auto"/>
              <w:bottom w:val="single" w:sz="4" w:space="0" w:color="auto"/>
              <w:right w:val="single" w:sz="4" w:space="0" w:color="auto"/>
            </w:tcBorders>
          </w:tcPr>
          <w:p w14:paraId="5F1C5C92" w14:textId="77777777" w:rsidR="00504E35" w:rsidRDefault="00504E35" w:rsidP="006F7632">
            <w:pPr>
              <w:pStyle w:val="Tabletext0"/>
              <w:spacing w:before="0" w:after="120"/>
              <w:jc w:val="left"/>
            </w:pPr>
            <w:r w:rsidRPr="7579F35B">
              <w:rPr>
                <w:i/>
                <w:iCs/>
              </w:rPr>
              <w:t>EGFR</w:t>
            </w:r>
            <w:r w:rsidRPr="7579F35B">
              <w:t xml:space="preserve"> therascreen</w:t>
            </w:r>
          </w:p>
          <w:p w14:paraId="5E1826BA" w14:textId="77777777" w:rsidR="00504E35" w:rsidRDefault="00504E35" w:rsidP="006F7632">
            <w:pPr>
              <w:pStyle w:val="Tabletext0"/>
              <w:spacing w:before="0" w:after="120"/>
              <w:jc w:val="left"/>
            </w:pPr>
            <w:r>
              <w:t>FoundationOne testing</w:t>
            </w:r>
          </w:p>
        </w:tc>
        <w:tc>
          <w:tcPr>
            <w:tcW w:w="1661" w:type="dxa"/>
            <w:tcBorders>
              <w:top w:val="single" w:sz="4" w:space="0" w:color="auto"/>
              <w:left w:val="single" w:sz="4" w:space="0" w:color="auto"/>
              <w:bottom w:val="single" w:sz="4" w:space="0" w:color="auto"/>
              <w:right w:val="single" w:sz="4" w:space="0" w:color="auto"/>
            </w:tcBorders>
          </w:tcPr>
          <w:p w14:paraId="5F9297AB" w14:textId="77777777" w:rsidR="00504E35" w:rsidRDefault="00504E35" w:rsidP="006F7632">
            <w:pPr>
              <w:pStyle w:val="Tabletext0"/>
              <w:spacing w:before="0" w:after="120"/>
              <w:jc w:val="left"/>
            </w:pPr>
            <w:r>
              <w:t>Turnaround time</w:t>
            </w:r>
          </w:p>
        </w:tc>
      </w:tr>
      <w:tr w:rsidR="00504E35" w:rsidRPr="00183E4D" w14:paraId="758418CA"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1BE02597" w14:textId="11BE90F6" w:rsidR="00504E35" w:rsidRDefault="00B4668F" w:rsidP="00B4668F">
            <w:pPr>
              <w:pStyle w:val="Tabletext0"/>
              <w:spacing w:before="0" w:after="120"/>
              <w:jc w:val="left"/>
            </w:pP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 </w:instrText>
            </w: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EN.CITE.DATA </w:instrText>
            </w:r>
            <w:r>
              <w:fldChar w:fldCharType="end"/>
            </w:r>
            <w:r>
              <w:fldChar w:fldCharType="separate"/>
            </w:r>
            <w:r>
              <w:rPr>
                <w:noProof/>
              </w:rPr>
              <w:t>(Park &amp; Shim 2020)</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10EE4A8" w14:textId="77777777" w:rsidR="00504E35" w:rsidRPr="002A2B41" w:rsidRDefault="00504E35" w:rsidP="006F7632">
            <w:pPr>
              <w:spacing w:before="0" w:after="120"/>
              <w:rPr>
                <w:rFonts w:ascii="Arial Narrow" w:hAnsi="Arial Narrow"/>
              </w:rPr>
            </w:pPr>
            <w:r w:rsidRPr="4A8E697E">
              <w:rPr>
                <w:rFonts w:ascii="Arial Narrow" w:hAnsi="Arial Narrow"/>
              </w:rPr>
              <w:t>Retrospective cohort study</w:t>
            </w:r>
          </w:p>
          <w:p w14:paraId="3366A97E" w14:textId="77777777" w:rsidR="00504E35" w:rsidRPr="002A2B41" w:rsidRDefault="00504E35" w:rsidP="006F7632">
            <w:pPr>
              <w:spacing w:before="0" w:after="120"/>
              <w:rPr>
                <w:rFonts w:ascii="Arial Narrow" w:hAnsi="Arial Narrow"/>
              </w:rPr>
            </w:pPr>
            <w:r w:rsidRPr="4A8E697E">
              <w:rPr>
                <w:rFonts w:ascii="Arial Narrow" w:hAnsi="Arial Narrow"/>
              </w:rPr>
              <w:t>Level III-2</w:t>
            </w:r>
          </w:p>
          <w:p w14:paraId="048123EA" w14:textId="77777777" w:rsidR="00504E35" w:rsidRPr="002A2B41" w:rsidRDefault="00504E35" w:rsidP="006F7632">
            <w:pPr>
              <w:spacing w:before="0" w:after="120"/>
              <w:rPr>
                <w:rFonts w:ascii="Arial Narrow" w:hAnsi="Arial Narrow"/>
              </w:rPr>
            </w:pPr>
            <w:r w:rsidRPr="4A8E697E">
              <w:rPr>
                <w:rFonts w:ascii="Arial Narrow" w:hAnsi="Arial Narrow"/>
              </w:rPr>
              <w:lastRenderedPageBreak/>
              <w:t>Moderate to high risk of bias</w:t>
            </w:r>
            <w:r>
              <w:rPr>
                <w:rFonts w:ascii="Arial Narrow" w:hAnsi="Arial Narrow"/>
              </w:rPr>
              <w:t xml:space="preserve"> </w:t>
            </w:r>
            <w:r w:rsidRPr="00FE1788">
              <w:rPr>
                <w:rFonts w:ascii="Arial Narrow" w:hAnsi="Arial Narrow" w:cs="Tahoma"/>
              </w:rPr>
              <w:t>(QUADAS 2)</w:t>
            </w:r>
          </w:p>
        </w:tc>
        <w:tc>
          <w:tcPr>
            <w:tcW w:w="1770" w:type="dxa"/>
            <w:tcBorders>
              <w:top w:val="single" w:sz="4" w:space="0" w:color="auto"/>
              <w:left w:val="single" w:sz="4" w:space="0" w:color="auto"/>
              <w:bottom w:val="single" w:sz="4" w:space="0" w:color="auto"/>
              <w:right w:val="single" w:sz="4" w:space="0" w:color="auto"/>
            </w:tcBorders>
          </w:tcPr>
          <w:p w14:paraId="694B7E84" w14:textId="77777777" w:rsidR="00504E35" w:rsidRDefault="00504E35" w:rsidP="006F7632">
            <w:pPr>
              <w:pStyle w:val="Tabletext0"/>
              <w:spacing w:before="0" w:after="120"/>
              <w:jc w:val="left"/>
            </w:pPr>
            <w:r>
              <w:lastRenderedPageBreak/>
              <w:t>South Korea</w:t>
            </w:r>
          </w:p>
          <w:p w14:paraId="1041807C" w14:textId="77777777" w:rsidR="00504E35" w:rsidRDefault="00504E35" w:rsidP="006F7632">
            <w:pPr>
              <w:pStyle w:val="Tabletext0"/>
              <w:spacing w:before="0" w:after="120"/>
              <w:jc w:val="left"/>
            </w:pPr>
            <w:r>
              <w:t>Patients treated at university severance hospital</w:t>
            </w:r>
          </w:p>
          <w:p w14:paraId="3BEACDD8" w14:textId="77777777" w:rsidR="00504E35" w:rsidRDefault="00504E35" w:rsidP="006F7632">
            <w:pPr>
              <w:pStyle w:val="Tabletext0"/>
              <w:spacing w:before="0" w:after="120"/>
              <w:jc w:val="left"/>
            </w:pPr>
            <w:r>
              <w:lastRenderedPageBreak/>
              <w:t>No follow up</w:t>
            </w:r>
          </w:p>
        </w:tc>
        <w:tc>
          <w:tcPr>
            <w:tcW w:w="2215" w:type="dxa"/>
            <w:tcBorders>
              <w:top w:val="single" w:sz="4" w:space="0" w:color="auto"/>
              <w:left w:val="single" w:sz="4" w:space="0" w:color="auto"/>
              <w:bottom w:val="single" w:sz="4" w:space="0" w:color="auto"/>
              <w:right w:val="single" w:sz="4" w:space="0" w:color="auto"/>
            </w:tcBorders>
          </w:tcPr>
          <w:p w14:paraId="39E7A52C" w14:textId="77777777" w:rsidR="00504E35" w:rsidRDefault="00504E35" w:rsidP="006F7632">
            <w:pPr>
              <w:pStyle w:val="Tabletext0"/>
              <w:spacing w:before="0" w:after="120"/>
              <w:jc w:val="left"/>
            </w:pPr>
            <w:r>
              <w:lastRenderedPageBreak/>
              <w:t>N=241 Lung cancer patients who underwent NGS testing</w:t>
            </w:r>
          </w:p>
          <w:p w14:paraId="06B84A53" w14:textId="77777777" w:rsidR="00504E35" w:rsidRDefault="00504E35" w:rsidP="006F7632">
            <w:pPr>
              <w:pStyle w:val="Tabletext0"/>
              <w:spacing w:before="0" w:after="120"/>
              <w:jc w:val="left"/>
            </w:pPr>
            <w:r>
              <w:t>83.4% adenocarcinoma</w:t>
            </w:r>
          </w:p>
          <w:p w14:paraId="6708149D" w14:textId="77777777" w:rsidR="00504E35" w:rsidRDefault="00504E35" w:rsidP="006F7632">
            <w:pPr>
              <w:pStyle w:val="Tabletext0"/>
              <w:spacing w:before="0" w:after="120"/>
              <w:jc w:val="left"/>
            </w:pPr>
            <w:r>
              <w:lastRenderedPageBreak/>
              <w:t>2.9% SCC</w:t>
            </w:r>
          </w:p>
          <w:p w14:paraId="3C0BA94C" w14:textId="77777777" w:rsidR="00504E35" w:rsidRDefault="00504E35" w:rsidP="006F7632">
            <w:pPr>
              <w:pStyle w:val="Tabletext0"/>
              <w:spacing w:before="0" w:after="120"/>
              <w:jc w:val="left"/>
            </w:pPr>
            <w:r>
              <w:t xml:space="preserve">1.2% adenosquamous </w:t>
            </w:r>
          </w:p>
          <w:p w14:paraId="266A8F6B" w14:textId="77777777" w:rsidR="00504E35" w:rsidRDefault="00504E35" w:rsidP="006F7632">
            <w:pPr>
              <w:pStyle w:val="Tabletext0"/>
              <w:spacing w:before="0" w:after="120"/>
              <w:jc w:val="left"/>
            </w:pPr>
            <w:r>
              <w:t>1.7% sarcomatoid</w:t>
            </w:r>
          </w:p>
          <w:p w14:paraId="610CC84C" w14:textId="77777777" w:rsidR="00504E35" w:rsidRDefault="00504E35" w:rsidP="006F7632">
            <w:pPr>
              <w:pStyle w:val="Tabletext0"/>
              <w:spacing w:before="0" w:after="120"/>
              <w:jc w:val="left"/>
            </w:pPr>
            <w:r>
              <w:t>2.5% invasive mucinous adenocarcinoma</w:t>
            </w:r>
          </w:p>
          <w:p w14:paraId="426CEFF0" w14:textId="77777777" w:rsidR="00504E35" w:rsidRDefault="00504E35" w:rsidP="006F7632">
            <w:pPr>
              <w:pStyle w:val="Tabletext0"/>
              <w:spacing w:before="0" w:after="120"/>
              <w:jc w:val="left"/>
            </w:pPr>
            <w:r>
              <w:t>4.6% NSCLC NOS</w:t>
            </w:r>
          </w:p>
          <w:p w14:paraId="683DAC57" w14:textId="77777777" w:rsidR="00504E35" w:rsidRDefault="00504E35" w:rsidP="006F7632">
            <w:pPr>
              <w:pStyle w:val="Tabletext0"/>
              <w:spacing w:before="0" w:after="120"/>
              <w:jc w:val="left"/>
            </w:pPr>
            <w:r>
              <w:t>2.5% small cell carcinoma</w:t>
            </w:r>
          </w:p>
          <w:p w14:paraId="210983DD" w14:textId="77777777" w:rsidR="00504E35" w:rsidRDefault="00504E35" w:rsidP="006F7632">
            <w:pPr>
              <w:pStyle w:val="Tabletext0"/>
              <w:spacing w:before="0" w:after="120"/>
              <w:jc w:val="left"/>
            </w:pPr>
            <w:r>
              <w:t>1.2% carcinoid tumour</w:t>
            </w:r>
          </w:p>
        </w:tc>
        <w:tc>
          <w:tcPr>
            <w:tcW w:w="1961" w:type="dxa"/>
            <w:tcBorders>
              <w:top w:val="single" w:sz="4" w:space="0" w:color="auto"/>
              <w:left w:val="single" w:sz="4" w:space="0" w:color="auto"/>
              <w:bottom w:val="single" w:sz="4" w:space="0" w:color="auto"/>
              <w:right w:val="single" w:sz="4" w:space="0" w:color="auto"/>
            </w:tcBorders>
          </w:tcPr>
          <w:p w14:paraId="05146B3D" w14:textId="77777777" w:rsidR="00504E35" w:rsidRPr="00762C49" w:rsidRDefault="00504E35" w:rsidP="006F7632">
            <w:pPr>
              <w:pStyle w:val="Tabletext0"/>
              <w:spacing w:before="0" w:after="120"/>
              <w:jc w:val="left"/>
            </w:pPr>
            <w:r>
              <w:lastRenderedPageBreak/>
              <w:t>Trusight tumor 170 (illumina) which targets 170 cancer genes.</w:t>
            </w:r>
          </w:p>
          <w:p w14:paraId="7B62AE3E" w14:textId="77777777" w:rsidR="00504E35" w:rsidRPr="00762C49" w:rsidRDefault="00504E35" w:rsidP="006F7632">
            <w:pPr>
              <w:pStyle w:val="Tabletext0"/>
              <w:spacing w:before="0" w:after="120"/>
              <w:jc w:val="left"/>
            </w:pPr>
            <w:r>
              <w:lastRenderedPageBreak/>
              <w:t>Customised cancer panel which targets 46 cancer genes</w:t>
            </w:r>
          </w:p>
        </w:tc>
        <w:tc>
          <w:tcPr>
            <w:tcW w:w="2399" w:type="dxa"/>
            <w:tcBorders>
              <w:top w:val="single" w:sz="4" w:space="0" w:color="auto"/>
              <w:left w:val="single" w:sz="4" w:space="0" w:color="auto"/>
              <w:bottom w:val="single" w:sz="4" w:space="0" w:color="auto"/>
              <w:right w:val="single" w:sz="4" w:space="0" w:color="auto"/>
            </w:tcBorders>
          </w:tcPr>
          <w:p w14:paraId="13C36B60" w14:textId="77777777" w:rsidR="00504E35" w:rsidRDefault="00504E35" w:rsidP="006F7632">
            <w:pPr>
              <w:pStyle w:val="Tabletext0"/>
              <w:spacing w:before="0" w:after="120"/>
              <w:jc w:val="left"/>
            </w:pPr>
            <w:r>
              <w:lastRenderedPageBreak/>
              <w:t xml:space="preserve">Rt-qPCR for </w:t>
            </w:r>
            <w:r w:rsidRPr="00B718E1">
              <w:rPr>
                <w:i/>
              </w:rPr>
              <w:t>EGFR</w:t>
            </w:r>
          </w:p>
          <w:p w14:paraId="4AFAF640" w14:textId="77777777" w:rsidR="00504E35" w:rsidRDefault="00504E35" w:rsidP="006F7632">
            <w:pPr>
              <w:pStyle w:val="Tabletext0"/>
              <w:spacing w:before="0" w:after="120"/>
              <w:jc w:val="left"/>
            </w:pPr>
            <w:r>
              <w:t xml:space="preserve">IHC then FISH for </w:t>
            </w:r>
            <w:r w:rsidRPr="00B718E1">
              <w:rPr>
                <w:i/>
              </w:rPr>
              <w:t>ALK</w:t>
            </w:r>
            <w:r>
              <w:t xml:space="preserve"> and </w:t>
            </w:r>
            <w:r w:rsidRPr="00B718E1">
              <w:rPr>
                <w:i/>
              </w:rPr>
              <w:t>ROS1</w:t>
            </w:r>
          </w:p>
        </w:tc>
        <w:tc>
          <w:tcPr>
            <w:tcW w:w="1661" w:type="dxa"/>
            <w:tcBorders>
              <w:top w:val="single" w:sz="4" w:space="0" w:color="auto"/>
              <w:left w:val="single" w:sz="4" w:space="0" w:color="auto"/>
              <w:bottom w:val="single" w:sz="4" w:space="0" w:color="auto"/>
              <w:right w:val="single" w:sz="4" w:space="0" w:color="auto"/>
            </w:tcBorders>
          </w:tcPr>
          <w:p w14:paraId="18C5CDD1" w14:textId="77777777" w:rsidR="00504E35" w:rsidRDefault="00504E35" w:rsidP="006F7632">
            <w:pPr>
              <w:pStyle w:val="Tabletext0"/>
              <w:spacing w:before="0" w:after="120"/>
              <w:jc w:val="left"/>
            </w:pPr>
            <w:r>
              <w:t>Concordance</w:t>
            </w:r>
          </w:p>
          <w:p w14:paraId="77759939" w14:textId="77777777" w:rsidR="00504E35" w:rsidRDefault="00504E35" w:rsidP="006F7632">
            <w:pPr>
              <w:pStyle w:val="Tabletext0"/>
              <w:spacing w:before="0" w:after="120"/>
              <w:jc w:val="left"/>
            </w:pPr>
          </w:p>
        </w:tc>
      </w:tr>
      <w:tr w:rsidR="00504E35" w:rsidRPr="00183E4D" w14:paraId="7149E27F"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7B7EB9A" w14:textId="4ADC4711" w:rsidR="00504E35" w:rsidRDefault="00B4668F" w:rsidP="00B4668F">
            <w:pPr>
              <w:pStyle w:val="Tabletext0"/>
              <w:spacing w:before="0" w:after="120"/>
              <w:jc w:val="left"/>
            </w:pPr>
            <w:r>
              <w:fldChar w:fldCharType="begin">
                <w:fldData xml:space="preserve">PEVuZE5vdGU+PENpdGU+PEF1dGhvcj5QaXNhcGlhPC9BdXRob3I+PFllYXI+MjAyMjwvWWVhcj48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</w:fldData>
              </w:fldChar>
            </w:r>
            <w:r>
              <w:instrText xml:space="preserve"> ADDIN EN.CITE </w:instrText>
            </w:r>
            <w:r>
              <w:fldChar w:fldCharType="begin">
                <w:fldData xml:space="preserve">PEVuZE5vdGU+PENpdGU+PEF1dGhvcj5QaXNhcGlhPC9BdXRob3I+PFllYXI+MjAyMjwvWWVhcj48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</w:fldData>
              </w:fldChar>
            </w:r>
            <w:r>
              <w:instrText xml:space="preserve"> ADDIN EN.CITE.DATA </w:instrText>
            </w:r>
            <w:r>
              <w:fldChar w:fldCharType="end"/>
            </w:r>
            <w:r>
              <w:fldChar w:fldCharType="separate"/>
            </w:r>
            <w:r>
              <w:rPr>
                <w:noProof/>
              </w:rPr>
              <w:t>(Pisapia et al. 2022)</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15D65448" w14:textId="77777777" w:rsidR="00504E35" w:rsidRDefault="00504E35" w:rsidP="006F7632">
            <w:pPr>
              <w:spacing w:before="0" w:after="120"/>
              <w:rPr>
                <w:rFonts w:ascii="Arial Narrow" w:hAnsi="Arial Narrow"/>
              </w:rPr>
            </w:pPr>
            <w:r>
              <w:rPr>
                <w:rFonts w:ascii="Arial Narrow" w:hAnsi="Arial Narrow"/>
              </w:rPr>
              <w:t>Retrospective cohort study</w:t>
            </w:r>
          </w:p>
          <w:p w14:paraId="5A6BFFC2" w14:textId="77777777" w:rsidR="00504E35" w:rsidRDefault="00504E35" w:rsidP="006F7632">
            <w:pPr>
              <w:spacing w:before="0" w:after="120"/>
              <w:rPr>
                <w:rFonts w:ascii="Arial Narrow" w:hAnsi="Arial Narrow"/>
              </w:rPr>
            </w:pPr>
            <w:r>
              <w:rPr>
                <w:rFonts w:ascii="Arial Narrow" w:hAnsi="Arial Narrow"/>
              </w:rPr>
              <w:t>Level III-2</w:t>
            </w:r>
          </w:p>
          <w:p w14:paraId="7C3F98C1" w14:textId="77777777" w:rsidR="00504E35" w:rsidRPr="002A2B41" w:rsidRDefault="00504E35" w:rsidP="006F7632">
            <w:pPr>
              <w:spacing w:before="0" w:after="120"/>
              <w:rPr>
                <w:rFonts w:ascii="Arial Narrow" w:hAnsi="Arial Narrow"/>
              </w:rPr>
            </w:pPr>
            <w:r>
              <w:rPr>
                <w:rFonts w:ascii="Arial Narrow" w:hAnsi="Arial Narrow"/>
              </w:rPr>
              <w:t xml:space="preserve">High risk of bias </w:t>
            </w:r>
            <w:r w:rsidRPr="007A4284">
              <w:rPr>
                <w:rFonts w:ascii="Arial Narrow" w:hAnsi="Arial Narrow" w:cs="Tahoma"/>
              </w:rPr>
              <w:t>(</w:t>
            </w:r>
            <w:r w:rsidRPr="00B718E1">
              <w:rPr>
                <w:rFonts w:ascii="Arial Narrow" w:hAnsi="Arial Narrow"/>
              </w:rPr>
              <w:t>SIGN for cohorts)</w:t>
            </w:r>
          </w:p>
        </w:tc>
        <w:tc>
          <w:tcPr>
            <w:tcW w:w="1770" w:type="dxa"/>
            <w:tcBorders>
              <w:top w:val="single" w:sz="4" w:space="0" w:color="auto"/>
              <w:left w:val="single" w:sz="4" w:space="0" w:color="auto"/>
              <w:bottom w:val="single" w:sz="4" w:space="0" w:color="auto"/>
              <w:right w:val="single" w:sz="4" w:space="0" w:color="auto"/>
            </w:tcBorders>
          </w:tcPr>
          <w:p w14:paraId="2ED417CE" w14:textId="77777777" w:rsidR="00504E35" w:rsidRDefault="00504E35" w:rsidP="006F7632">
            <w:pPr>
              <w:pStyle w:val="Tabletext0"/>
              <w:spacing w:before="0" w:after="120"/>
              <w:jc w:val="left"/>
            </w:pPr>
            <w:r>
              <w:t>Italy</w:t>
            </w:r>
          </w:p>
          <w:p w14:paraId="19A1FEB3" w14:textId="77777777" w:rsidR="00504E35" w:rsidRDefault="00504E35" w:rsidP="006F7632">
            <w:pPr>
              <w:pStyle w:val="Tabletext0"/>
              <w:spacing w:before="0" w:after="120"/>
              <w:jc w:val="left"/>
            </w:pPr>
            <w:r>
              <w:t xml:space="preserve">Semi-structured surveys of relevant professional in multiple </w:t>
            </w:r>
            <w:r w:rsidRPr="00841553">
              <w:t>referral Italian institutions</w:t>
            </w:r>
          </w:p>
          <w:p w14:paraId="76B4C9BA"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10ABE753" w14:textId="77777777" w:rsidR="00504E35" w:rsidRDefault="00504E35" w:rsidP="006F7632">
            <w:pPr>
              <w:pStyle w:val="Tabletext0"/>
              <w:spacing w:before="0" w:after="120"/>
              <w:jc w:val="left"/>
              <w:rPr>
                <w:snapToGrid w:val="0"/>
              </w:rPr>
            </w:pPr>
            <w:r>
              <w:rPr>
                <w:snapToGrid w:val="0"/>
              </w:rPr>
              <w:t>N=1,461 advanced stage NSCLC patients undergoing first-line treatment and tested on tissue specimens</w:t>
            </w:r>
          </w:p>
          <w:p w14:paraId="2DD60D48" w14:textId="77777777" w:rsidR="00504E35" w:rsidRDefault="00504E35" w:rsidP="006F7632">
            <w:pPr>
              <w:pStyle w:val="Tabletext0"/>
              <w:spacing w:before="0" w:after="120"/>
              <w:jc w:val="left"/>
              <w:rPr>
                <w:snapToGrid w:val="0"/>
              </w:rPr>
            </w:pPr>
          </w:p>
        </w:tc>
        <w:tc>
          <w:tcPr>
            <w:tcW w:w="1961" w:type="dxa"/>
            <w:tcBorders>
              <w:top w:val="single" w:sz="4" w:space="0" w:color="auto"/>
              <w:left w:val="single" w:sz="4" w:space="0" w:color="auto"/>
              <w:bottom w:val="single" w:sz="4" w:space="0" w:color="auto"/>
              <w:right w:val="single" w:sz="4" w:space="0" w:color="auto"/>
            </w:tcBorders>
          </w:tcPr>
          <w:p w14:paraId="07C84A7E" w14:textId="77777777" w:rsidR="00504E35" w:rsidRPr="00762C49" w:rsidRDefault="00504E35" w:rsidP="006F7632">
            <w:pPr>
              <w:pStyle w:val="Tabletext0"/>
              <w:spacing w:before="0" w:after="120"/>
              <w:jc w:val="left"/>
            </w:pPr>
            <w:r>
              <w:t>NGS platforms</w:t>
            </w:r>
          </w:p>
        </w:tc>
        <w:tc>
          <w:tcPr>
            <w:tcW w:w="2399" w:type="dxa"/>
            <w:tcBorders>
              <w:top w:val="single" w:sz="4" w:space="0" w:color="auto"/>
              <w:left w:val="single" w:sz="4" w:space="0" w:color="auto"/>
              <w:bottom w:val="single" w:sz="4" w:space="0" w:color="auto"/>
              <w:right w:val="single" w:sz="4" w:space="0" w:color="auto"/>
            </w:tcBorders>
          </w:tcPr>
          <w:p w14:paraId="29DE7441" w14:textId="77777777" w:rsidR="00504E35" w:rsidRDefault="00504E35" w:rsidP="006F7632">
            <w:pPr>
              <w:pStyle w:val="Tabletext0"/>
              <w:spacing w:before="0" w:after="120"/>
            </w:pPr>
            <w:r>
              <w:t>Standard/conventional single-test platforms</w:t>
            </w:r>
          </w:p>
        </w:tc>
        <w:tc>
          <w:tcPr>
            <w:tcW w:w="1661" w:type="dxa"/>
            <w:tcBorders>
              <w:top w:val="single" w:sz="4" w:space="0" w:color="auto"/>
              <w:left w:val="single" w:sz="4" w:space="0" w:color="auto"/>
              <w:bottom w:val="single" w:sz="4" w:space="0" w:color="auto"/>
              <w:right w:val="single" w:sz="4" w:space="0" w:color="auto"/>
            </w:tcBorders>
          </w:tcPr>
          <w:p w14:paraId="561EA918" w14:textId="77777777" w:rsidR="00504E35" w:rsidRDefault="00504E35" w:rsidP="006F7632">
            <w:pPr>
              <w:pStyle w:val="Tabletext0"/>
              <w:spacing w:before="0" w:after="120"/>
              <w:jc w:val="left"/>
            </w:pPr>
            <w:r>
              <w:t>Retesting rate due to failure</w:t>
            </w:r>
          </w:p>
        </w:tc>
      </w:tr>
      <w:tr w:rsidR="00504E35" w:rsidRPr="00183E4D" w14:paraId="780AEC13"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3A8307BD" w14:textId="646BE709" w:rsidR="00504E35" w:rsidRDefault="00B4668F" w:rsidP="00B4668F">
            <w:pPr>
              <w:pStyle w:val="Tabletext0"/>
              <w:spacing w:before="0" w:after="120"/>
              <w:jc w:val="left"/>
            </w:pP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 </w:instrText>
            </w: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EN.CITE.DATA </w:instrText>
            </w:r>
            <w:r>
              <w:fldChar w:fldCharType="end"/>
            </w:r>
            <w:r>
              <w:fldChar w:fldCharType="separate"/>
            </w:r>
            <w:r>
              <w:rPr>
                <w:noProof/>
              </w:rPr>
              <w:t>(Robert et al. 2022)</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FCCC330" w14:textId="77777777" w:rsidR="00504E35" w:rsidRDefault="00504E35" w:rsidP="006F7632">
            <w:pPr>
              <w:pStyle w:val="Tabletext0"/>
              <w:spacing w:before="0" w:after="120"/>
              <w:jc w:val="left"/>
            </w:pPr>
            <w:r>
              <w:t>Retrospective cohort study</w:t>
            </w:r>
          </w:p>
          <w:p w14:paraId="7D68E6FE" w14:textId="77777777" w:rsidR="00504E35" w:rsidRDefault="00504E35" w:rsidP="006F7632">
            <w:pPr>
              <w:pStyle w:val="Tabletext0"/>
              <w:spacing w:before="0" w:after="120"/>
              <w:jc w:val="left"/>
            </w:pPr>
            <w:r>
              <w:t>Level III-2</w:t>
            </w:r>
          </w:p>
          <w:p w14:paraId="3C72A751" w14:textId="77777777" w:rsidR="00504E35" w:rsidRDefault="00504E35" w:rsidP="006F7632">
            <w:pPr>
              <w:pStyle w:val="Tabletext0"/>
              <w:spacing w:before="0" w:after="120"/>
              <w:jc w:val="left"/>
            </w:pPr>
            <w:r w:rsidRPr="00956452">
              <w:t>Low risk of bias</w:t>
            </w:r>
            <w:r>
              <w:t xml:space="preserve"> </w:t>
            </w:r>
          </w:p>
        </w:tc>
        <w:tc>
          <w:tcPr>
            <w:tcW w:w="1770" w:type="dxa"/>
            <w:tcBorders>
              <w:top w:val="single" w:sz="4" w:space="0" w:color="auto"/>
              <w:left w:val="single" w:sz="4" w:space="0" w:color="auto"/>
              <w:bottom w:val="single" w:sz="4" w:space="0" w:color="auto"/>
              <w:right w:val="single" w:sz="4" w:space="0" w:color="auto"/>
            </w:tcBorders>
          </w:tcPr>
          <w:p w14:paraId="1589B0CF" w14:textId="77777777" w:rsidR="00504E35" w:rsidRDefault="00504E35" w:rsidP="006F7632">
            <w:pPr>
              <w:pStyle w:val="Tabletext0"/>
              <w:spacing w:before="0" w:after="120"/>
              <w:jc w:val="left"/>
            </w:pPr>
            <w:r>
              <w:t>USA</w:t>
            </w:r>
          </w:p>
          <w:p w14:paraId="5E50BBA1" w14:textId="77777777" w:rsidR="00504E35" w:rsidRPr="00143B86" w:rsidRDefault="00504E35" w:rsidP="006F7632">
            <w:pPr>
              <w:pStyle w:val="Tabletext0"/>
              <w:spacing w:before="0" w:after="120"/>
              <w:jc w:val="left"/>
            </w:pPr>
            <w:r>
              <w:t>Patients treated within the US oncology network from practises using iKnowmed EHR.</w:t>
            </w:r>
          </w:p>
          <w:p w14:paraId="5A3B05CC" w14:textId="77777777" w:rsidR="00504E35" w:rsidRDefault="00504E35" w:rsidP="006F7632">
            <w:pPr>
              <w:pStyle w:val="Tabletext0"/>
              <w:spacing w:before="0" w:after="120"/>
              <w:jc w:val="left"/>
            </w:pPr>
            <w:r>
              <w:t>Minimum of 30 days follow up</w:t>
            </w:r>
          </w:p>
        </w:tc>
        <w:tc>
          <w:tcPr>
            <w:tcW w:w="2215" w:type="dxa"/>
            <w:tcBorders>
              <w:top w:val="single" w:sz="4" w:space="0" w:color="auto"/>
              <w:left w:val="single" w:sz="4" w:space="0" w:color="auto"/>
              <w:bottom w:val="single" w:sz="4" w:space="0" w:color="auto"/>
              <w:right w:val="single" w:sz="4" w:space="0" w:color="auto"/>
            </w:tcBorders>
          </w:tcPr>
          <w:p w14:paraId="255A5C0C" w14:textId="77777777" w:rsidR="00504E35" w:rsidRDefault="00504E35" w:rsidP="006F7632">
            <w:pPr>
              <w:pStyle w:val="Tabletext0"/>
              <w:spacing w:before="0" w:after="120"/>
              <w:jc w:val="left"/>
            </w:pPr>
            <w:r>
              <w:t>N=3474 patients with mNSCLC that initiated 1</w:t>
            </w:r>
            <w:r w:rsidRPr="036200B1">
              <w:rPr>
                <w:vertAlign w:val="superscript"/>
              </w:rPr>
              <w:t>st</w:t>
            </w:r>
            <w:r>
              <w:t xml:space="preserve"> line treatment and had not received diagnosis or treatment for another cancer</w:t>
            </w:r>
          </w:p>
          <w:p w14:paraId="1689F248" w14:textId="77777777" w:rsidR="00504E35" w:rsidRDefault="00504E35" w:rsidP="006F7632">
            <w:pPr>
              <w:pStyle w:val="Tabletext0"/>
              <w:spacing w:before="0" w:after="120"/>
              <w:jc w:val="left"/>
            </w:pPr>
            <w:r>
              <w:t>81.2% nonsquamous</w:t>
            </w:r>
          </w:p>
          <w:p w14:paraId="4520774B" w14:textId="77777777" w:rsidR="00504E35" w:rsidRDefault="00504E35" w:rsidP="006F7632">
            <w:pPr>
              <w:pStyle w:val="Tabletext0"/>
              <w:spacing w:before="0" w:after="120"/>
              <w:jc w:val="left"/>
            </w:pPr>
            <w:r>
              <w:t>17.2% SCC</w:t>
            </w:r>
          </w:p>
        </w:tc>
        <w:tc>
          <w:tcPr>
            <w:tcW w:w="1961" w:type="dxa"/>
            <w:tcBorders>
              <w:top w:val="single" w:sz="4" w:space="0" w:color="auto"/>
              <w:left w:val="single" w:sz="4" w:space="0" w:color="auto"/>
              <w:bottom w:val="single" w:sz="4" w:space="0" w:color="auto"/>
              <w:right w:val="single" w:sz="4" w:space="0" w:color="auto"/>
            </w:tcBorders>
          </w:tcPr>
          <w:p w14:paraId="098D487F" w14:textId="77777777" w:rsidR="00504E35" w:rsidRDefault="00504E35" w:rsidP="006F7632">
            <w:pPr>
              <w:pStyle w:val="Tabletext0"/>
              <w:spacing w:before="0" w:after="120"/>
              <w:jc w:val="left"/>
            </w:pPr>
            <w:r>
              <w:t>Time from testing order to testing result for NGS</w:t>
            </w:r>
          </w:p>
        </w:tc>
        <w:tc>
          <w:tcPr>
            <w:tcW w:w="2399" w:type="dxa"/>
            <w:tcBorders>
              <w:top w:val="single" w:sz="4" w:space="0" w:color="auto"/>
              <w:left w:val="single" w:sz="4" w:space="0" w:color="auto"/>
              <w:bottom w:val="single" w:sz="4" w:space="0" w:color="auto"/>
              <w:right w:val="single" w:sz="4" w:space="0" w:color="auto"/>
            </w:tcBorders>
          </w:tcPr>
          <w:p w14:paraId="0C22F839" w14:textId="77777777" w:rsidR="00504E35" w:rsidRDefault="00504E35" w:rsidP="006F7632">
            <w:pPr>
              <w:pStyle w:val="Tabletext0"/>
              <w:spacing w:before="0" w:after="120"/>
              <w:jc w:val="left"/>
            </w:pPr>
            <w:r>
              <w:t xml:space="preserve">Time from testing order to testing result for single biomarker testing of </w:t>
            </w:r>
            <w:r w:rsidRPr="00B718E1">
              <w:rPr>
                <w:i/>
              </w:rPr>
              <w:t>EGFR, ALK, ROS1, BRAF</w:t>
            </w:r>
            <w:r>
              <w:t>, and PD-L1</w:t>
            </w:r>
          </w:p>
        </w:tc>
        <w:tc>
          <w:tcPr>
            <w:tcW w:w="1661" w:type="dxa"/>
            <w:tcBorders>
              <w:top w:val="single" w:sz="4" w:space="0" w:color="auto"/>
              <w:left w:val="single" w:sz="4" w:space="0" w:color="auto"/>
              <w:bottom w:val="single" w:sz="4" w:space="0" w:color="auto"/>
              <w:right w:val="single" w:sz="4" w:space="0" w:color="auto"/>
            </w:tcBorders>
          </w:tcPr>
          <w:p w14:paraId="34994C25" w14:textId="77777777" w:rsidR="00504E35" w:rsidRPr="00466470" w:rsidRDefault="00504E35" w:rsidP="006F7632">
            <w:pPr>
              <w:pStyle w:val="Tabletext0"/>
              <w:spacing w:before="0" w:after="120"/>
              <w:jc w:val="left"/>
            </w:pPr>
            <w:r>
              <w:t>Turnaround time</w:t>
            </w:r>
          </w:p>
        </w:tc>
      </w:tr>
      <w:tr w:rsidR="00504E35" w:rsidRPr="00183E4D" w14:paraId="58D0E123"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560F7D6D" w14:textId="7E928F1D" w:rsidR="00504E35" w:rsidRDefault="00B4668F" w:rsidP="00B4668F">
            <w:pPr>
              <w:pStyle w:val="Tabletext0"/>
              <w:spacing w:before="0" w:after="120"/>
              <w:jc w:val="left"/>
            </w:pP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 </w:instrText>
            </w: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EN.CITE.DATA </w:instrText>
            </w:r>
            <w:r>
              <w:fldChar w:fldCharType="end"/>
            </w:r>
            <w:r>
              <w:fldChar w:fldCharType="separate"/>
            </w:r>
            <w:r>
              <w:rPr>
                <w:noProof/>
              </w:rPr>
              <w:t>(Sakaguchi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2B4BA76D" w14:textId="77777777" w:rsidR="00504E35" w:rsidRDefault="00504E35" w:rsidP="006F7632">
            <w:pPr>
              <w:pStyle w:val="Tabletext0"/>
              <w:spacing w:before="0" w:after="120"/>
              <w:jc w:val="left"/>
            </w:pPr>
            <w:r>
              <w:t>Retrospective cohort study</w:t>
            </w:r>
          </w:p>
          <w:p w14:paraId="1062B87F" w14:textId="77777777" w:rsidR="00504E35" w:rsidRDefault="00504E35" w:rsidP="006F7632">
            <w:pPr>
              <w:pStyle w:val="Tabletext0"/>
              <w:spacing w:before="0" w:after="120"/>
              <w:jc w:val="left"/>
            </w:pPr>
            <w:r>
              <w:t>Level III-3</w:t>
            </w:r>
          </w:p>
          <w:p w14:paraId="364CA6F2" w14:textId="77777777" w:rsidR="00504E35" w:rsidRDefault="00504E35" w:rsidP="006F7632">
            <w:pPr>
              <w:pStyle w:val="Tabletext0"/>
              <w:spacing w:before="0" w:after="120"/>
              <w:jc w:val="left"/>
            </w:pPr>
            <w:r>
              <w:t xml:space="preserve">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35AD5E58" w14:textId="77777777" w:rsidR="00504E35" w:rsidRDefault="00504E35" w:rsidP="006F7632">
            <w:pPr>
              <w:pStyle w:val="Tabletext0"/>
              <w:spacing w:before="0" w:after="120"/>
              <w:jc w:val="left"/>
            </w:pPr>
            <w:r>
              <w:t>Japan</w:t>
            </w:r>
          </w:p>
          <w:p w14:paraId="570913EF" w14:textId="77777777" w:rsidR="00504E35" w:rsidRDefault="00504E35" w:rsidP="006F7632">
            <w:pPr>
              <w:pStyle w:val="Tabletext0"/>
              <w:spacing w:before="0" w:after="120"/>
              <w:jc w:val="left"/>
            </w:pPr>
            <w:r>
              <w:t>Review of patients from a single centre</w:t>
            </w:r>
          </w:p>
          <w:p w14:paraId="124E99FC" w14:textId="77777777" w:rsidR="00504E35" w:rsidRDefault="00504E35" w:rsidP="006F7632">
            <w:pPr>
              <w:pStyle w:val="Tabletext0"/>
              <w:spacing w:before="0" w:after="120"/>
              <w:jc w:val="left"/>
            </w:pPr>
            <w:r>
              <w:t>No follow up.</w:t>
            </w:r>
          </w:p>
        </w:tc>
        <w:tc>
          <w:tcPr>
            <w:tcW w:w="2215" w:type="dxa"/>
            <w:tcBorders>
              <w:top w:val="single" w:sz="4" w:space="0" w:color="auto"/>
              <w:left w:val="single" w:sz="4" w:space="0" w:color="auto"/>
              <w:bottom w:val="single" w:sz="4" w:space="0" w:color="auto"/>
              <w:right w:val="single" w:sz="4" w:space="0" w:color="auto"/>
            </w:tcBorders>
          </w:tcPr>
          <w:p w14:paraId="6C760A12" w14:textId="77777777" w:rsidR="00504E35" w:rsidRDefault="00504E35" w:rsidP="006F7632">
            <w:pPr>
              <w:pStyle w:val="Tabletext0"/>
              <w:spacing w:before="0" w:after="120"/>
              <w:jc w:val="left"/>
            </w:pPr>
            <w:r>
              <w:t xml:space="preserve">N=116 NSCLC samples that underwent NGS and conventional screening for </w:t>
            </w:r>
            <w:r w:rsidRPr="00B718E1">
              <w:rPr>
                <w:i/>
              </w:rPr>
              <w:t>EGFR</w:t>
            </w:r>
            <w:r>
              <w:t xml:space="preserve"> variants simultaneously.</w:t>
            </w:r>
          </w:p>
          <w:p w14:paraId="076D5738" w14:textId="77777777" w:rsidR="00504E35" w:rsidRDefault="00504E35" w:rsidP="006F7632">
            <w:pPr>
              <w:pStyle w:val="Tabletext0"/>
              <w:spacing w:before="0" w:after="120"/>
              <w:jc w:val="left"/>
            </w:pPr>
            <w:r>
              <w:t>64% adenocarcinoma</w:t>
            </w:r>
          </w:p>
          <w:p w14:paraId="08B7AA6E" w14:textId="77777777" w:rsidR="00504E35" w:rsidRDefault="00504E35" w:rsidP="006F7632">
            <w:pPr>
              <w:pStyle w:val="Tabletext0"/>
              <w:spacing w:before="0" w:after="120"/>
              <w:jc w:val="left"/>
            </w:pPr>
            <w:r>
              <w:t>29% SCC</w:t>
            </w:r>
          </w:p>
          <w:p w14:paraId="09120273" w14:textId="77777777" w:rsidR="00504E35" w:rsidRDefault="00504E35" w:rsidP="006F7632">
            <w:pPr>
              <w:pStyle w:val="Tabletext0"/>
              <w:spacing w:before="0" w:after="120"/>
              <w:jc w:val="left"/>
            </w:pPr>
            <w:r>
              <w:lastRenderedPageBreak/>
              <w:t>6% non-squamous non-adenocarcinoma</w:t>
            </w:r>
          </w:p>
          <w:p w14:paraId="12F4AA01" w14:textId="77777777" w:rsidR="00504E35" w:rsidRDefault="00504E35" w:rsidP="006F7632">
            <w:pPr>
              <w:pStyle w:val="Tabletext0"/>
              <w:spacing w:before="0" w:after="120"/>
              <w:jc w:val="left"/>
            </w:pPr>
            <w:r>
              <w:t>1% NSCLC NOS</w:t>
            </w:r>
          </w:p>
        </w:tc>
        <w:tc>
          <w:tcPr>
            <w:tcW w:w="1961" w:type="dxa"/>
            <w:tcBorders>
              <w:top w:val="single" w:sz="4" w:space="0" w:color="auto"/>
              <w:left w:val="single" w:sz="4" w:space="0" w:color="auto"/>
              <w:bottom w:val="single" w:sz="4" w:space="0" w:color="auto"/>
              <w:right w:val="single" w:sz="4" w:space="0" w:color="auto"/>
            </w:tcBorders>
          </w:tcPr>
          <w:p w14:paraId="4F2AB2FE" w14:textId="77777777" w:rsidR="00504E35" w:rsidRDefault="00504E35" w:rsidP="006F7632">
            <w:pPr>
              <w:pStyle w:val="Tabletext0"/>
              <w:spacing w:before="0" w:after="120"/>
              <w:jc w:val="left"/>
            </w:pPr>
            <w:r>
              <w:lastRenderedPageBreak/>
              <w:t>Oncomine Dx target test</w:t>
            </w:r>
          </w:p>
        </w:tc>
        <w:tc>
          <w:tcPr>
            <w:tcW w:w="2399" w:type="dxa"/>
            <w:tcBorders>
              <w:top w:val="single" w:sz="4" w:space="0" w:color="auto"/>
              <w:left w:val="single" w:sz="4" w:space="0" w:color="auto"/>
              <w:bottom w:val="single" w:sz="4" w:space="0" w:color="auto"/>
              <w:right w:val="single" w:sz="4" w:space="0" w:color="auto"/>
            </w:tcBorders>
          </w:tcPr>
          <w:p w14:paraId="342190D1" w14:textId="77777777" w:rsidR="00504E35" w:rsidRDefault="00504E35" w:rsidP="006F7632">
            <w:pPr>
              <w:pStyle w:val="Tabletext0"/>
              <w:spacing w:before="0" w:after="120"/>
              <w:jc w:val="left"/>
            </w:pPr>
            <w:r>
              <w:t xml:space="preserve">PNA-LNA PCR (Rt-qPCR) clamp test for </w:t>
            </w:r>
            <w:r w:rsidRPr="00B718E1">
              <w:rPr>
                <w:i/>
              </w:rPr>
              <w:t xml:space="preserve">EGFR </w:t>
            </w:r>
            <w:r>
              <w:t>variants.</w:t>
            </w:r>
          </w:p>
        </w:tc>
        <w:tc>
          <w:tcPr>
            <w:tcW w:w="1661" w:type="dxa"/>
            <w:tcBorders>
              <w:top w:val="single" w:sz="4" w:space="0" w:color="auto"/>
              <w:left w:val="single" w:sz="4" w:space="0" w:color="auto"/>
              <w:bottom w:val="single" w:sz="4" w:space="0" w:color="auto"/>
              <w:right w:val="single" w:sz="4" w:space="0" w:color="auto"/>
            </w:tcBorders>
          </w:tcPr>
          <w:p w14:paraId="06BD73E7" w14:textId="11930949" w:rsidR="00504E35" w:rsidRDefault="00504E35" w:rsidP="006F7632">
            <w:pPr>
              <w:pStyle w:val="Tabletext0"/>
              <w:spacing w:before="0" w:after="120"/>
              <w:jc w:val="left"/>
            </w:pPr>
            <w:r>
              <w:t>Concordance</w:t>
            </w:r>
          </w:p>
          <w:p w14:paraId="50D7FF40" w14:textId="49355BB7" w:rsidR="0090287B" w:rsidRPr="00466470" w:rsidRDefault="0090287B" w:rsidP="006F7632">
            <w:pPr>
              <w:pStyle w:val="Tabletext0"/>
              <w:spacing w:before="0" w:after="120"/>
              <w:jc w:val="left"/>
            </w:pPr>
            <w:r>
              <w:t>Health outcomes</w:t>
            </w:r>
          </w:p>
          <w:p w14:paraId="2D140D75" w14:textId="77777777" w:rsidR="00504E35" w:rsidRPr="00466470" w:rsidRDefault="00504E35" w:rsidP="006F7632">
            <w:pPr>
              <w:pStyle w:val="Tabletext0"/>
              <w:spacing w:before="0" w:after="120"/>
              <w:jc w:val="left"/>
            </w:pPr>
          </w:p>
          <w:p w14:paraId="7554FF3E" w14:textId="77777777" w:rsidR="00504E35" w:rsidRPr="00466470" w:rsidRDefault="00504E35" w:rsidP="006F7632">
            <w:pPr>
              <w:pStyle w:val="Tabletext0"/>
              <w:spacing w:before="0" w:after="120"/>
              <w:jc w:val="left"/>
            </w:pPr>
          </w:p>
        </w:tc>
      </w:tr>
      <w:tr w:rsidR="00504E35" w:rsidRPr="00183E4D" w14:paraId="1EEC6FC1"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059E00B" w14:textId="0169C9B5" w:rsidR="00504E35" w:rsidRPr="000975F5" w:rsidRDefault="00B4668F" w:rsidP="00B4668F">
            <w:pPr>
              <w:pStyle w:val="Tabletext0"/>
              <w:spacing w:before="0" w:after="120"/>
              <w:jc w:val="left"/>
            </w:pP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 </w:instrText>
            </w:r>
            <w:r>
              <w:fldChar w:fldCharType="begin">
                <w:fldData xml:space="preserve">PEVuZE5vdGU+PENpdGU+PEF1dGhvcj5TY2hyb2NrPC9BdXRob3I+PFllYXI+MjAxNjwvWWVhcj48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</w:fldData>
              </w:fldChar>
            </w:r>
            <w:r>
              <w:instrText xml:space="preserve"> ADDIN EN.CITE.DATA </w:instrText>
            </w:r>
            <w:r>
              <w:fldChar w:fldCharType="end"/>
            </w:r>
            <w:r>
              <w:fldChar w:fldCharType="separate"/>
            </w:r>
            <w:r>
              <w:rPr>
                <w:noProof/>
              </w:rPr>
              <w:t>(Schrock et al. 2016)</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72F4E826" w14:textId="77777777" w:rsidR="00504E35" w:rsidRDefault="00504E35" w:rsidP="006F7632">
            <w:pPr>
              <w:pStyle w:val="Tabletext0"/>
              <w:spacing w:before="0" w:after="120"/>
              <w:jc w:val="left"/>
            </w:pPr>
            <w:r>
              <w:t>Case series</w:t>
            </w:r>
          </w:p>
          <w:p w14:paraId="387AF80F" w14:textId="77777777" w:rsidR="00504E35" w:rsidRDefault="00504E35" w:rsidP="006F7632">
            <w:pPr>
              <w:pStyle w:val="Tabletext0"/>
              <w:spacing w:before="0" w:after="120"/>
              <w:jc w:val="left"/>
            </w:pPr>
            <w:r>
              <w:t>Level IV</w:t>
            </w:r>
          </w:p>
          <w:p w14:paraId="608B33D6" w14:textId="77777777" w:rsidR="00504E35" w:rsidRDefault="00504E35" w:rsidP="006F7632">
            <w:pPr>
              <w:pStyle w:val="Tabletext0"/>
              <w:spacing w:before="0" w:after="120"/>
              <w:jc w:val="left"/>
            </w:pPr>
            <w:r>
              <w:t>Moderate to high risk of bias (NHLBI for case series)</w:t>
            </w:r>
          </w:p>
        </w:tc>
        <w:tc>
          <w:tcPr>
            <w:tcW w:w="1770" w:type="dxa"/>
            <w:tcBorders>
              <w:top w:val="single" w:sz="4" w:space="0" w:color="auto"/>
              <w:left w:val="single" w:sz="4" w:space="0" w:color="auto"/>
              <w:bottom w:val="single" w:sz="4" w:space="0" w:color="auto"/>
              <w:right w:val="single" w:sz="4" w:space="0" w:color="auto"/>
            </w:tcBorders>
          </w:tcPr>
          <w:p w14:paraId="57507128" w14:textId="77777777" w:rsidR="00504E35" w:rsidRDefault="00504E35" w:rsidP="006F7632">
            <w:pPr>
              <w:pStyle w:val="Tabletext0"/>
              <w:spacing w:before="0" w:after="120"/>
            </w:pPr>
            <w:r>
              <w:t>USA and Israel</w:t>
            </w:r>
          </w:p>
          <w:p w14:paraId="4411F242" w14:textId="77777777" w:rsidR="00504E35" w:rsidRDefault="00504E35" w:rsidP="006F7632">
            <w:pPr>
              <w:pStyle w:val="Tabletext0"/>
              <w:spacing w:before="0" w:after="120"/>
            </w:pPr>
            <w:r>
              <w:t>Review NSCLC cases assayed with comprehensive genomic profiling (CGP) in the course of clinical care</w:t>
            </w:r>
          </w:p>
        </w:tc>
        <w:tc>
          <w:tcPr>
            <w:tcW w:w="2215" w:type="dxa"/>
            <w:tcBorders>
              <w:top w:val="single" w:sz="4" w:space="0" w:color="auto"/>
              <w:left w:val="single" w:sz="4" w:space="0" w:color="auto"/>
              <w:bottom w:val="single" w:sz="4" w:space="0" w:color="auto"/>
              <w:right w:val="single" w:sz="4" w:space="0" w:color="auto"/>
            </w:tcBorders>
          </w:tcPr>
          <w:p w14:paraId="7F87A8F0" w14:textId="77777777" w:rsidR="00504E35" w:rsidRDefault="00504E35" w:rsidP="006F7632">
            <w:pPr>
              <w:pStyle w:val="Tabletext0"/>
              <w:spacing w:before="0" w:after="120"/>
              <w:jc w:val="left"/>
            </w:pPr>
            <w:r>
              <w:t xml:space="preserve">N=400 consecutive NSCLC cases with </w:t>
            </w:r>
            <w:r>
              <w:rPr>
                <w:i/>
              </w:rPr>
              <w:t xml:space="preserve">EGFR </w:t>
            </w:r>
            <w:r>
              <w:t xml:space="preserve">exon 19 deletions identified by CGP </w:t>
            </w:r>
          </w:p>
        </w:tc>
        <w:tc>
          <w:tcPr>
            <w:tcW w:w="1961" w:type="dxa"/>
            <w:tcBorders>
              <w:top w:val="single" w:sz="4" w:space="0" w:color="auto"/>
              <w:left w:val="single" w:sz="4" w:space="0" w:color="auto"/>
              <w:bottom w:val="single" w:sz="4" w:space="0" w:color="auto"/>
              <w:right w:val="single" w:sz="4" w:space="0" w:color="auto"/>
            </w:tcBorders>
          </w:tcPr>
          <w:p w14:paraId="1268ECA9" w14:textId="77777777" w:rsidR="00504E35" w:rsidRDefault="00504E35" w:rsidP="006F7632">
            <w:pPr>
              <w:pStyle w:val="Tabletext0"/>
              <w:spacing w:before="0" w:after="120"/>
            </w:pPr>
            <w:r>
              <w:t xml:space="preserve">Hybrid capture-based CGP using NGS </w:t>
            </w:r>
          </w:p>
        </w:tc>
        <w:tc>
          <w:tcPr>
            <w:tcW w:w="2399" w:type="dxa"/>
            <w:tcBorders>
              <w:top w:val="single" w:sz="4" w:space="0" w:color="auto"/>
              <w:left w:val="single" w:sz="4" w:space="0" w:color="auto"/>
              <w:bottom w:val="single" w:sz="4" w:space="0" w:color="auto"/>
              <w:right w:val="single" w:sz="4" w:space="0" w:color="auto"/>
            </w:tcBorders>
          </w:tcPr>
          <w:p w14:paraId="5E4BD168" w14:textId="77777777" w:rsidR="00504E35" w:rsidRDefault="00504E35" w:rsidP="006F7632">
            <w:pPr>
              <w:pStyle w:val="Tabletext0"/>
              <w:spacing w:before="0" w:after="120"/>
              <w:jc w:val="left"/>
            </w:pPr>
            <w:r>
              <w:t>Not applicable</w:t>
            </w:r>
          </w:p>
        </w:tc>
        <w:tc>
          <w:tcPr>
            <w:tcW w:w="1661" w:type="dxa"/>
            <w:tcBorders>
              <w:top w:val="single" w:sz="4" w:space="0" w:color="auto"/>
              <w:left w:val="single" w:sz="4" w:space="0" w:color="auto"/>
              <w:bottom w:val="single" w:sz="4" w:space="0" w:color="auto"/>
              <w:right w:val="single" w:sz="4" w:space="0" w:color="auto"/>
            </w:tcBorders>
          </w:tcPr>
          <w:p w14:paraId="1DAD5D99" w14:textId="77777777" w:rsidR="00504E35" w:rsidRPr="00466470" w:rsidRDefault="00504E35" w:rsidP="006F7632">
            <w:pPr>
              <w:pStyle w:val="Tabletext0"/>
              <w:spacing w:before="0" w:after="120"/>
              <w:jc w:val="left"/>
            </w:pPr>
            <w:r>
              <w:t>Test to health outcomes evidence</w:t>
            </w:r>
          </w:p>
        </w:tc>
      </w:tr>
      <w:tr w:rsidR="00504E35" w:rsidRPr="00183E4D" w14:paraId="696FA5F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F88094A" w14:textId="4BDD8E73" w:rsidR="00504E35" w:rsidRDefault="00B4668F" w:rsidP="00B4668F">
            <w:pPr>
              <w:pStyle w:val="Tabletext0"/>
              <w:jc w:val="left"/>
            </w:pPr>
            <w:r>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instrText xml:space="preserve"> ADDIN EN.CITE </w:instrText>
            </w:r>
            <w:r>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instrText xml:space="preserve"> ADDIN EN.CITE.DATA </w:instrText>
            </w:r>
            <w:r>
              <w:fldChar w:fldCharType="end"/>
            </w:r>
            <w:r>
              <w:fldChar w:fldCharType="separate"/>
            </w:r>
            <w:r>
              <w:rPr>
                <w:noProof/>
              </w:rPr>
              <w:t>(Simarro et al. 2019)</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50D95557" w14:textId="77777777" w:rsidR="00504E35" w:rsidRDefault="00504E35" w:rsidP="006F7632">
            <w:pPr>
              <w:pStyle w:val="Tabletext0"/>
              <w:jc w:val="left"/>
            </w:pPr>
            <w:r>
              <w:t>Cohort study (retrospective or prospective unknown)</w:t>
            </w:r>
          </w:p>
          <w:p w14:paraId="3CABD561" w14:textId="77777777" w:rsidR="00504E35" w:rsidRDefault="00504E35" w:rsidP="006F7632">
            <w:pPr>
              <w:pStyle w:val="Tabletext0"/>
              <w:jc w:val="left"/>
            </w:pPr>
          </w:p>
          <w:p w14:paraId="2725BDDC" w14:textId="77777777" w:rsidR="00504E35" w:rsidRDefault="00504E35" w:rsidP="006F7632">
            <w:pPr>
              <w:pStyle w:val="Tabletext0"/>
              <w:jc w:val="left"/>
            </w:pPr>
            <w:r>
              <w:t>Level III-1</w:t>
            </w:r>
          </w:p>
          <w:p w14:paraId="6DF16FAB" w14:textId="77777777" w:rsidR="00504E35" w:rsidRDefault="00504E35" w:rsidP="006F7632">
            <w:pPr>
              <w:pStyle w:val="Tabletext0"/>
              <w:jc w:val="left"/>
            </w:pPr>
          </w:p>
          <w:p w14:paraId="6255EFA6" w14:textId="77777777" w:rsidR="00504E35" w:rsidRDefault="00504E35" w:rsidP="006F7632">
            <w:pPr>
              <w:pStyle w:val="Tabletext0"/>
              <w:jc w:val="left"/>
            </w:pPr>
            <w:r>
              <w:t xml:space="preserve">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15D7AF50" w14:textId="77777777" w:rsidR="00504E35" w:rsidRDefault="00504E35" w:rsidP="006F7632">
            <w:pPr>
              <w:pStyle w:val="Tabletext0"/>
              <w:jc w:val="left"/>
            </w:pPr>
            <w:r>
              <w:t>Spain</w:t>
            </w:r>
          </w:p>
          <w:p w14:paraId="0E6D5B25" w14:textId="77777777" w:rsidR="00504E35" w:rsidRDefault="00504E35" w:rsidP="006F7632">
            <w:pPr>
              <w:pStyle w:val="Tabletext0"/>
              <w:jc w:val="left"/>
            </w:pPr>
          </w:p>
          <w:p w14:paraId="144E4E12" w14:textId="77777777" w:rsidR="00504E35" w:rsidRDefault="00504E35" w:rsidP="006F7632">
            <w:pPr>
              <w:pStyle w:val="Tabletext0"/>
              <w:jc w:val="left"/>
            </w:pPr>
            <w:r>
              <w:t>Patients diagnosed at a single centre (university hospital La Fe, Valencia)</w:t>
            </w:r>
          </w:p>
          <w:p w14:paraId="1B15C1C9" w14:textId="77777777" w:rsidR="00504E35" w:rsidRDefault="00504E35" w:rsidP="006F7632">
            <w:pPr>
              <w:pStyle w:val="Tabletext0"/>
              <w:jc w:val="left"/>
            </w:pPr>
          </w:p>
          <w:p w14:paraId="2CB80D2B" w14:textId="77777777" w:rsidR="00504E35" w:rsidRDefault="00504E35" w:rsidP="006F7632">
            <w:pPr>
              <w:pStyle w:val="Tabletext0"/>
              <w:jc w:val="left"/>
            </w:pPr>
            <w:r>
              <w:t>No follow up</w:t>
            </w:r>
          </w:p>
        </w:tc>
        <w:tc>
          <w:tcPr>
            <w:tcW w:w="2215" w:type="dxa"/>
            <w:tcBorders>
              <w:top w:val="single" w:sz="4" w:space="0" w:color="auto"/>
              <w:left w:val="single" w:sz="4" w:space="0" w:color="auto"/>
              <w:bottom w:val="single" w:sz="4" w:space="0" w:color="auto"/>
              <w:right w:val="single" w:sz="4" w:space="0" w:color="auto"/>
            </w:tcBorders>
          </w:tcPr>
          <w:p w14:paraId="2BDDF999" w14:textId="77777777" w:rsidR="00504E35" w:rsidRDefault="00504E35" w:rsidP="006F7632">
            <w:pPr>
              <w:pStyle w:val="Tabletext0"/>
              <w:jc w:val="left"/>
            </w:pPr>
            <w:r>
              <w:t>N=106 advanced NSCLC patients diagnosed between 2015 and 2017</w:t>
            </w:r>
          </w:p>
          <w:p w14:paraId="7DBD274A" w14:textId="77777777" w:rsidR="00504E35" w:rsidRDefault="00504E35" w:rsidP="006F7632">
            <w:pPr>
              <w:pStyle w:val="Tabletext0"/>
              <w:jc w:val="left"/>
            </w:pPr>
            <w:r>
              <w:t>87% adenocarcinoma</w:t>
            </w:r>
          </w:p>
          <w:p w14:paraId="5C993160" w14:textId="77777777" w:rsidR="00504E35" w:rsidRDefault="00504E35" w:rsidP="006F7632">
            <w:pPr>
              <w:pStyle w:val="Tabletext0"/>
              <w:jc w:val="left"/>
            </w:pPr>
            <w:r>
              <w:t>3% SCC</w:t>
            </w:r>
          </w:p>
          <w:p w14:paraId="7C081480" w14:textId="77777777" w:rsidR="00504E35" w:rsidRDefault="00504E35" w:rsidP="006F7632">
            <w:pPr>
              <w:pStyle w:val="Tabletext0"/>
              <w:jc w:val="left"/>
            </w:pPr>
            <w:r>
              <w:t>10% NOS</w:t>
            </w:r>
          </w:p>
        </w:tc>
        <w:tc>
          <w:tcPr>
            <w:tcW w:w="1961" w:type="dxa"/>
            <w:tcBorders>
              <w:top w:val="single" w:sz="4" w:space="0" w:color="auto"/>
              <w:left w:val="single" w:sz="4" w:space="0" w:color="auto"/>
              <w:bottom w:val="single" w:sz="4" w:space="0" w:color="auto"/>
              <w:right w:val="single" w:sz="4" w:space="0" w:color="auto"/>
            </w:tcBorders>
          </w:tcPr>
          <w:p w14:paraId="5D077087" w14:textId="77777777" w:rsidR="00504E35" w:rsidRDefault="00504E35" w:rsidP="006F7632">
            <w:pPr>
              <w:pStyle w:val="Tabletext0"/>
              <w:jc w:val="left"/>
            </w:pPr>
            <w:r>
              <w:t>Thermofisher Oncomine solid tumour NGS</w:t>
            </w:r>
          </w:p>
        </w:tc>
        <w:tc>
          <w:tcPr>
            <w:tcW w:w="2399" w:type="dxa"/>
            <w:tcBorders>
              <w:top w:val="single" w:sz="4" w:space="0" w:color="auto"/>
              <w:left w:val="single" w:sz="4" w:space="0" w:color="auto"/>
              <w:bottom w:val="single" w:sz="4" w:space="0" w:color="auto"/>
              <w:right w:val="single" w:sz="4" w:space="0" w:color="auto"/>
            </w:tcBorders>
          </w:tcPr>
          <w:p w14:paraId="0174D8F8" w14:textId="77777777" w:rsidR="00504E35" w:rsidRDefault="00504E35" w:rsidP="006F7632">
            <w:pPr>
              <w:pStyle w:val="Tabletext0"/>
              <w:jc w:val="left"/>
            </w:pPr>
            <w:r>
              <w:t>IHC and FISH for</w:t>
            </w:r>
            <w:r w:rsidRPr="00B718E1">
              <w:rPr>
                <w:i/>
              </w:rPr>
              <w:t xml:space="preserve"> ALK</w:t>
            </w:r>
          </w:p>
        </w:tc>
        <w:tc>
          <w:tcPr>
            <w:tcW w:w="1661" w:type="dxa"/>
            <w:tcBorders>
              <w:top w:val="single" w:sz="4" w:space="0" w:color="auto"/>
              <w:left w:val="single" w:sz="4" w:space="0" w:color="auto"/>
              <w:bottom w:val="single" w:sz="4" w:space="0" w:color="auto"/>
              <w:right w:val="single" w:sz="4" w:space="0" w:color="auto"/>
            </w:tcBorders>
          </w:tcPr>
          <w:p w14:paraId="7AB4411C" w14:textId="77777777" w:rsidR="00504E35" w:rsidRPr="00466470" w:rsidRDefault="00504E35" w:rsidP="006F7632">
            <w:pPr>
              <w:pStyle w:val="Tabletext0"/>
              <w:jc w:val="left"/>
            </w:pPr>
            <w:r>
              <w:t>Concordance</w:t>
            </w:r>
          </w:p>
          <w:p w14:paraId="7032D704" w14:textId="77777777" w:rsidR="00504E35" w:rsidRPr="00466470" w:rsidRDefault="00504E35" w:rsidP="006F7632">
            <w:pPr>
              <w:pStyle w:val="Tabletext0"/>
              <w:jc w:val="left"/>
            </w:pPr>
          </w:p>
        </w:tc>
      </w:tr>
      <w:tr w:rsidR="00504E35" w:rsidRPr="00183E4D" w14:paraId="122A6344"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B3EFC1F" w14:textId="1B05F1C4" w:rsidR="00504E35" w:rsidRDefault="00B4668F" w:rsidP="006F7632">
            <w:pPr>
              <w:pStyle w:val="Tabletext0"/>
              <w:jc w:val="left"/>
            </w:pP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 </w:instrTex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EN.CITE.DATA </w:instrText>
            </w:r>
            <w:r>
              <w:fldChar w:fldCharType="end"/>
            </w:r>
            <w:r>
              <w:fldChar w:fldCharType="separate"/>
            </w:r>
            <w:r>
              <w:rPr>
                <w:noProof/>
              </w:rPr>
              <w:t>(Steeghs et al. 2022)</w:t>
            </w:r>
            <w:r>
              <w:fldChar w:fldCharType="end"/>
            </w:r>
          </w:p>
          <w:p w14:paraId="3A5B3A15" w14:textId="77777777" w:rsidR="00504E35" w:rsidRDefault="00504E35" w:rsidP="006F7632">
            <w:pPr>
              <w:pStyle w:val="Tabletext0"/>
              <w:jc w:val="left"/>
            </w:pPr>
          </w:p>
        </w:tc>
        <w:tc>
          <w:tcPr>
            <w:tcW w:w="1479" w:type="dxa"/>
            <w:tcBorders>
              <w:top w:val="single" w:sz="4" w:space="0" w:color="auto"/>
              <w:left w:val="single" w:sz="4" w:space="0" w:color="auto"/>
              <w:bottom w:val="single" w:sz="4" w:space="0" w:color="auto"/>
              <w:right w:val="single" w:sz="4" w:space="0" w:color="auto"/>
            </w:tcBorders>
          </w:tcPr>
          <w:p w14:paraId="58D0052E" w14:textId="77777777" w:rsidR="00504E35" w:rsidRDefault="00504E35" w:rsidP="006F7632">
            <w:pPr>
              <w:pStyle w:val="Tabletext0"/>
              <w:jc w:val="left"/>
            </w:pPr>
            <w:r>
              <w:t>Retrospective cohort study (between patient)</w:t>
            </w:r>
          </w:p>
          <w:p w14:paraId="3F638F7A" w14:textId="77777777" w:rsidR="00504E35" w:rsidRDefault="00504E35" w:rsidP="006F7632">
            <w:pPr>
              <w:pStyle w:val="Tabletext0"/>
              <w:jc w:val="left"/>
            </w:pPr>
          </w:p>
          <w:p w14:paraId="69840606" w14:textId="77777777" w:rsidR="00504E35" w:rsidRDefault="00504E35" w:rsidP="006F7632">
            <w:pPr>
              <w:pStyle w:val="Tabletext0"/>
              <w:jc w:val="left"/>
            </w:pPr>
            <w:r>
              <w:t>Level III-2</w:t>
            </w:r>
          </w:p>
          <w:p w14:paraId="08E7F1B2" w14:textId="77777777" w:rsidR="00504E35" w:rsidRDefault="00504E35" w:rsidP="006F7632">
            <w:pPr>
              <w:pStyle w:val="Tabletext0"/>
              <w:jc w:val="left"/>
            </w:pPr>
          </w:p>
          <w:p w14:paraId="452FE127" w14:textId="77777777" w:rsidR="00504E35" w:rsidRDefault="00504E35" w:rsidP="006F7632">
            <w:pPr>
              <w:pStyle w:val="Tabletext0"/>
              <w:jc w:val="left"/>
            </w:pPr>
            <w:r>
              <w:t xml:space="preserve">Low to 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58DD6471" w14:textId="77777777" w:rsidR="00504E35" w:rsidRDefault="00504E35" w:rsidP="006F7632">
            <w:pPr>
              <w:pStyle w:val="Tabletext0"/>
              <w:jc w:val="left"/>
            </w:pPr>
            <w:r>
              <w:t>Netherlands</w:t>
            </w:r>
          </w:p>
          <w:p w14:paraId="406323A2" w14:textId="77777777" w:rsidR="00504E35" w:rsidRDefault="00504E35" w:rsidP="006F7632">
            <w:pPr>
              <w:pStyle w:val="Tabletext0"/>
              <w:jc w:val="left"/>
            </w:pPr>
          </w:p>
          <w:p w14:paraId="365ADCDD" w14:textId="77777777" w:rsidR="00504E35" w:rsidRDefault="00504E35" w:rsidP="006F7632">
            <w:pPr>
              <w:pStyle w:val="Tabletext0"/>
              <w:jc w:val="left"/>
            </w:pPr>
            <w:r>
              <w:t>Patient data collected from the Netherlands cancer registry and the Dutch pathology registry.</w:t>
            </w:r>
          </w:p>
          <w:p w14:paraId="56D7CA0C" w14:textId="77777777" w:rsidR="00504E35" w:rsidRDefault="00504E35" w:rsidP="006F7632">
            <w:pPr>
              <w:pStyle w:val="Tabletext0"/>
              <w:jc w:val="left"/>
            </w:pPr>
          </w:p>
          <w:p w14:paraId="2F6F1E4E" w14:textId="77777777" w:rsidR="00504E35" w:rsidRDefault="00504E35" w:rsidP="006F7632">
            <w:pPr>
              <w:pStyle w:val="Tabletext0"/>
              <w:jc w:val="left"/>
            </w:pPr>
            <w:r>
              <w:t>No follow up</w:t>
            </w:r>
          </w:p>
        </w:tc>
        <w:tc>
          <w:tcPr>
            <w:tcW w:w="2215" w:type="dxa"/>
            <w:tcBorders>
              <w:top w:val="single" w:sz="4" w:space="0" w:color="auto"/>
              <w:left w:val="single" w:sz="4" w:space="0" w:color="auto"/>
              <w:bottom w:val="single" w:sz="4" w:space="0" w:color="auto"/>
              <w:right w:val="single" w:sz="4" w:space="0" w:color="auto"/>
            </w:tcBorders>
          </w:tcPr>
          <w:p w14:paraId="54EA580C" w14:textId="77777777" w:rsidR="00504E35" w:rsidRDefault="00504E35" w:rsidP="006F7632">
            <w:pPr>
              <w:pStyle w:val="Tabletext0"/>
              <w:jc w:val="left"/>
            </w:pPr>
            <w:r>
              <w:t>Stage IV NSCLC patients. 3343 NGS patients, 698 non-NGS patients</w:t>
            </w:r>
          </w:p>
          <w:p w14:paraId="3D40A9AA" w14:textId="77777777" w:rsidR="00504E35" w:rsidRDefault="00504E35" w:rsidP="006F7632">
            <w:pPr>
              <w:pStyle w:val="Tabletext0"/>
              <w:jc w:val="left"/>
            </w:pPr>
            <w:r>
              <w:t>100% adenocarcinoma (SCC and NSCLC NOS also included in article, but results extracted separately for adenocarcinoma)</w:t>
            </w:r>
          </w:p>
        </w:tc>
        <w:tc>
          <w:tcPr>
            <w:tcW w:w="1961" w:type="dxa"/>
            <w:tcBorders>
              <w:top w:val="single" w:sz="4" w:space="0" w:color="auto"/>
              <w:left w:val="single" w:sz="4" w:space="0" w:color="auto"/>
              <w:bottom w:val="single" w:sz="4" w:space="0" w:color="auto"/>
              <w:right w:val="single" w:sz="4" w:space="0" w:color="auto"/>
            </w:tcBorders>
          </w:tcPr>
          <w:p w14:paraId="74B9A869" w14:textId="77777777" w:rsidR="00504E35" w:rsidRDefault="00504E35" w:rsidP="006F7632">
            <w:pPr>
              <w:pStyle w:val="Tabletext0"/>
              <w:jc w:val="left"/>
            </w:pPr>
            <w:r>
              <w:t>NGS (on DNA, with gene fusions testing with either IHC, FISH or RNA-NGS)</w:t>
            </w:r>
          </w:p>
        </w:tc>
        <w:tc>
          <w:tcPr>
            <w:tcW w:w="2399" w:type="dxa"/>
            <w:tcBorders>
              <w:top w:val="single" w:sz="4" w:space="0" w:color="auto"/>
              <w:left w:val="single" w:sz="4" w:space="0" w:color="auto"/>
              <w:bottom w:val="single" w:sz="4" w:space="0" w:color="auto"/>
              <w:right w:val="single" w:sz="4" w:space="0" w:color="auto"/>
            </w:tcBorders>
          </w:tcPr>
          <w:p w14:paraId="117EB331" w14:textId="77777777" w:rsidR="00504E35" w:rsidRDefault="00504E35" w:rsidP="006F7632">
            <w:pPr>
              <w:pStyle w:val="Tabletext0"/>
              <w:jc w:val="left"/>
            </w:pPr>
            <w:r>
              <w:t>Various non-NGS single gene testing such as ICH and FISH used throughout clinical practice in the Netherlands</w:t>
            </w:r>
          </w:p>
        </w:tc>
        <w:tc>
          <w:tcPr>
            <w:tcW w:w="1661" w:type="dxa"/>
            <w:tcBorders>
              <w:top w:val="single" w:sz="4" w:space="0" w:color="auto"/>
              <w:left w:val="single" w:sz="4" w:space="0" w:color="auto"/>
              <w:bottom w:val="single" w:sz="4" w:space="0" w:color="auto"/>
              <w:right w:val="single" w:sz="4" w:space="0" w:color="auto"/>
            </w:tcBorders>
          </w:tcPr>
          <w:p w14:paraId="44AD19C5" w14:textId="77777777" w:rsidR="00504E35" w:rsidRDefault="00504E35" w:rsidP="006F7632">
            <w:pPr>
              <w:pStyle w:val="Tabletext0"/>
              <w:jc w:val="left"/>
            </w:pPr>
            <w:r>
              <w:t>Success rate</w:t>
            </w:r>
          </w:p>
          <w:p w14:paraId="3FC27288" w14:textId="77777777" w:rsidR="00504E35" w:rsidRDefault="00504E35" w:rsidP="006F7632">
            <w:pPr>
              <w:pStyle w:val="Tabletext0"/>
              <w:jc w:val="left"/>
            </w:pPr>
            <w:r>
              <w:t>Comparative yield</w:t>
            </w:r>
          </w:p>
          <w:p w14:paraId="21B0AEB0" w14:textId="77777777" w:rsidR="00504E35" w:rsidRPr="00466470" w:rsidRDefault="00504E35" w:rsidP="006F7632">
            <w:pPr>
              <w:pStyle w:val="Tabletext0"/>
              <w:jc w:val="left"/>
            </w:pPr>
            <w:r>
              <w:t>Turnaround time</w:t>
            </w:r>
          </w:p>
        </w:tc>
      </w:tr>
      <w:tr w:rsidR="00504E35" w:rsidRPr="00183E4D" w14:paraId="183F07AA"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7F2EEC8F" w14:textId="6A48D1C4" w:rsidR="00504E35" w:rsidRDefault="00B4668F" w:rsidP="00B4668F">
            <w:pPr>
              <w:pStyle w:val="Tabletext0"/>
              <w:jc w:val="left"/>
            </w:pPr>
            <w:r>
              <w:fldChar w:fldCharType="begin">
                <w:fldData xml:space="preserve">PEVuZE5vdGU+PENpdGU+PEF1dGhvcj5UYWNob248L0F1dGhvcj48WWVhcj4yMDE5PC9ZZWFyPjxS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cmQ+PC9DaXRlPjwvRW5kTm90ZT4A
</w:fldData>
              </w:fldChar>
            </w:r>
            <w:r>
              <w:instrText xml:space="preserve"> ADDIN EN.CITE </w:instrText>
            </w:r>
            <w:r>
              <w:fldChar w:fldCharType="begin">
                <w:fldData xml:space="preserve">PEVuZE5vdGU+PENpdGU+PEF1dGhvcj5UYWNob248L0F1dGhvcj48WWVhcj4yMDE5PC9ZZWFyPjxS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cmQ+PC9DaXRlPjwvRW5kTm90ZT4A
</w:fldData>
              </w:fldChar>
            </w:r>
            <w:r>
              <w:instrText xml:space="preserve"> ADDIN EN.CITE.DATA </w:instrText>
            </w:r>
            <w:r>
              <w:fldChar w:fldCharType="end"/>
            </w:r>
            <w:r>
              <w:fldChar w:fldCharType="separate"/>
            </w:r>
            <w:r>
              <w:rPr>
                <w:noProof/>
              </w:rPr>
              <w:t>(Tachon et al. 2019)</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46362761" w14:textId="77777777" w:rsidR="00504E35" w:rsidRDefault="00504E35" w:rsidP="006F7632">
            <w:pPr>
              <w:pStyle w:val="Tabletext0"/>
              <w:jc w:val="left"/>
            </w:pPr>
            <w:r>
              <w:t>Retrospective cohort study</w:t>
            </w:r>
          </w:p>
          <w:p w14:paraId="269190C7" w14:textId="77777777" w:rsidR="00504E35" w:rsidRDefault="00504E35" w:rsidP="006F7632">
            <w:pPr>
              <w:pStyle w:val="Tabletext0"/>
              <w:jc w:val="left"/>
            </w:pPr>
          </w:p>
          <w:p w14:paraId="396BE248" w14:textId="77777777" w:rsidR="00504E35" w:rsidRDefault="00504E35" w:rsidP="006F7632">
            <w:pPr>
              <w:pStyle w:val="Tabletext0"/>
              <w:jc w:val="left"/>
            </w:pPr>
            <w:r>
              <w:t>Level III-2</w:t>
            </w:r>
          </w:p>
          <w:p w14:paraId="7AD4C2A3" w14:textId="77777777" w:rsidR="00504E35" w:rsidRDefault="00504E35" w:rsidP="006F7632">
            <w:pPr>
              <w:pStyle w:val="Tabletext0"/>
              <w:jc w:val="left"/>
            </w:pPr>
          </w:p>
          <w:p w14:paraId="4F3BE94A" w14:textId="77777777" w:rsidR="00504E35" w:rsidRDefault="00504E35" w:rsidP="006F7632">
            <w:pPr>
              <w:pStyle w:val="Tabletext0"/>
              <w:jc w:val="left"/>
            </w:pPr>
            <w:r>
              <w:t xml:space="preserve">Low to 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4871A24F" w14:textId="77777777" w:rsidR="00504E35" w:rsidRDefault="00504E35" w:rsidP="006F7632">
            <w:pPr>
              <w:pStyle w:val="Tabletext0"/>
              <w:jc w:val="left"/>
            </w:pPr>
            <w:r>
              <w:lastRenderedPageBreak/>
              <w:t>France</w:t>
            </w:r>
          </w:p>
          <w:p w14:paraId="4A6C9627" w14:textId="77777777" w:rsidR="00504E35" w:rsidRDefault="00504E35" w:rsidP="006F7632">
            <w:pPr>
              <w:pStyle w:val="Tabletext0"/>
              <w:jc w:val="left"/>
            </w:pPr>
            <w:r>
              <w:t xml:space="preserve">Patients selected based on routine molecular testing </w:t>
            </w:r>
            <w:r>
              <w:lastRenderedPageBreak/>
              <w:t>performed at one site.</w:t>
            </w:r>
          </w:p>
          <w:p w14:paraId="42C92DC2" w14:textId="77777777" w:rsidR="00504E35" w:rsidRDefault="00504E35" w:rsidP="006F7632">
            <w:pPr>
              <w:pStyle w:val="Tabletext0"/>
              <w:jc w:val="left"/>
            </w:pPr>
            <w:r>
              <w:t xml:space="preserve"> no follow up</w:t>
            </w:r>
          </w:p>
        </w:tc>
        <w:tc>
          <w:tcPr>
            <w:tcW w:w="2215" w:type="dxa"/>
            <w:tcBorders>
              <w:top w:val="single" w:sz="4" w:space="0" w:color="auto"/>
              <w:left w:val="single" w:sz="4" w:space="0" w:color="auto"/>
              <w:bottom w:val="single" w:sz="4" w:space="0" w:color="auto"/>
              <w:right w:val="single" w:sz="4" w:space="0" w:color="auto"/>
            </w:tcBorders>
          </w:tcPr>
          <w:p w14:paraId="3AED5247" w14:textId="77777777" w:rsidR="00504E35" w:rsidRDefault="00504E35" w:rsidP="006F7632">
            <w:pPr>
              <w:pStyle w:val="Tabletext0"/>
              <w:jc w:val="left"/>
            </w:pPr>
            <w:r>
              <w:lastRenderedPageBreak/>
              <w:t>N=37 NSCLC samples that underwent routine molecular testing</w:t>
            </w:r>
          </w:p>
        </w:tc>
        <w:tc>
          <w:tcPr>
            <w:tcW w:w="1961" w:type="dxa"/>
            <w:tcBorders>
              <w:top w:val="single" w:sz="4" w:space="0" w:color="auto"/>
              <w:left w:val="single" w:sz="4" w:space="0" w:color="auto"/>
              <w:bottom w:val="single" w:sz="4" w:space="0" w:color="auto"/>
              <w:right w:val="single" w:sz="4" w:space="0" w:color="auto"/>
            </w:tcBorders>
          </w:tcPr>
          <w:p w14:paraId="3D7A4FBA" w14:textId="77777777" w:rsidR="00504E35" w:rsidRDefault="00504E35" w:rsidP="006F7632">
            <w:pPr>
              <w:pStyle w:val="Tabletext0"/>
              <w:jc w:val="left"/>
            </w:pPr>
            <w:r>
              <w:t>Archer fusionplex and Qiagen human lung cancer panel</w:t>
            </w:r>
          </w:p>
        </w:tc>
        <w:tc>
          <w:tcPr>
            <w:tcW w:w="2399" w:type="dxa"/>
            <w:tcBorders>
              <w:top w:val="single" w:sz="4" w:space="0" w:color="auto"/>
              <w:left w:val="single" w:sz="4" w:space="0" w:color="auto"/>
              <w:bottom w:val="single" w:sz="4" w:space="0" w:color="auto"/>
              <w:right w:val="single" w:sz="4" w:space="0" w:color="auto"/>
            </w:tcBorders>
          </w:tcPr>
          <w:p w14:paraId="1851558F" w14:textId="77777777" w:rsidR="00504E35" w:rsidRDefault="00504E35" w:rsidP="006F7632">
            <w:pPr>
              <w:pStyle w:val="Tabletext0"/>
              <w:jc w:val="left"/>
            </w:pPr>
            <w:r>
              <w:t xml:space="preserve">IHC and FISH for </w:t>
            </w:r>
            <w:r w:rsidRPr="00B718E1">
              <w:rPr>
                <w:i/>
              </w:rPr>
              <w:t>ALK</w:t>
            </w:r>
            <w:r>
              <w:t xml:space="preserve"> and </w:t>
            </w:r>
            <w:r w:rsidRPr="00B718E1">
              <w:rPr>
                <w:i/>
              </w:rPr>
              <w:t>ROS1</w:t>
            </w:r>
          </w:p>
        </w:tc>
        <w:tc>
          <w:tcPr>
            <w:tcW w:w="1661" w:type="dxa"/>
            <w:tcBorders>
              <w:top w:val="single" w:sz="4" w:space="0" w:color="auto"/>
              <w:left w:val="single" w:sz="4" w:space="0" w:color="auto"/>
              <w:bottom w:val="single" w:sz="4" w:space="0" w:color="auto"/>
              <w:right w:val="single" w:sz="4" w:space="0" w:color="auto"/>
            </w:tcBorders>
          </w:tcPr>
          <w:p w14:paraId="034C1144" w14:textId="77777777" w:rsidR="00504E35" w:rsidRPr="00466470" w:rsidRDefault="00504E35" w:rsidP="006F7632">
            <w:pPr>
              <w:pStyle w:val="Tabletext0"/>
              <w:jc w:val="left"/>
            </w:pPr>
            <w:r>
              <w:t>Concordance</w:t>
            </w:r>
          </w:p>
        </w:tc>
      </w:tr>
      <w:tr w:rsidR="00504E35" w:rsidRPr="00183E4D" w14:paraId="266393F1"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4515D3CF" w14:textId="170C802A" w:rsidR="00504E35" w:rsidRDefault="00B4668F" w:rsidP="00B4668F">
            <w:pPr>
              <w:pStyle w:val="Tabletext0"/>
              <w:jc w:val="left"/>
            </w:pP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 </w:instrText>
            </w: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EN.CITE.DATA </w:instrText>
            </w:r>
            <w:r>
              <w:fldChar w:fldCharType="end"/>
            </w:r>
            <w:r>
              <w:fldChar w:fldCharType="separate"/>
            </w:r>
            <w:r>
              <w:rPr>
                <w:noProof/>
              </w:rPr>
              <w:t>(Tan et al. 2020)</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716B8EE1" w14:textId="77777777" w:rsidR="00504E35" w:rsidRDefault="00504E35" w:rsidP="006F7632">
            <w:pPr>
              <w:pStyle w:val="Tabletext0"/>
              <w:jc w:val="left"/>
            </w:pPr>
            <w:r>
              <w:t>Retrospective cohort study</w:t>
            </w:r>
          </w:p>
          <w:p w14:paraId="4655300B" w14:textId="77777777" w:rsidR="00504E35" w:rsidRDefault="00504E35" w:rsidP="006F7632">
            <w:pPr>
              <w:pStyle w:val="Tabletext0"/>
              <w:jc w:val="left"/>
            </w:pPr>
          </w:p>
          <w:p w14:paraId="4D20FBD3" w14:textId="77777777" w:rsidR="00504E35" w:rsidRDefault="00504E35" w:rsidP="006F7632">
            <w:pPr>
              <w:pStyle w:val="Tabletext0"/>
              <w:jc w:val="left"/>
            </w:pPr>
            <w:r>
              <w:t>Level III-2</w:t>
            </w:r>
          </w:p>
          <w:p w14:paraId="0569A1BA" w14:textId="77777777" w:rsidR="00504E35" w:rsidRDefault="00504E35" w:rsidP="006F7632">
            <w:pPr>
              <w:pStyle w:val="Tabletext0"/>
              <w:jc w:val="left"/>
            </w:pPr>
          </w:p>
          <w:p w14:paraId="406E0867" w14:textId="77777777" w:rsidR="00504E35" w:rsidRDefault="00504E35" w:rsidP="006F7632">
            <w:pPr>
              <w:pStyle w:val="Tabletext0"/>
              <w:jc w:val="left"/>
            </w:pPr>
            <w:r>
              <w:t xml:space="preserve">Low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58453B39" w14:textId="77777777" w:rsidR="00504E35" w:rsidRDefault="00504E35" w:rsidP="006F7632">
            <w:pPr>
              <w:pStyle w:val="Tabletext0"/>
              <w:jc w:val="left"/>
            </w:pPr>
            <w:r>
              <w:t>Singapore</w:t>
            </w:r>
          </w:p>
          <w:p w14:paraId="72FDD172" w14:textId="77777777" w:rsidR="00504E35" w:rsidRDefault="00504E35" w:rsidP="006F7632">
            <w:pPr>
              <w:pStyle w:val="Tabletext0"/>
              <w:jc w:val="left"/>
            </w:pPr>
            <w:r>
              <w:t>Patients that underwent routine molecular testing at a single centre. Patients that had insufficient sample for NGS were excluded</w:t>
            </w:r>
          </w:p>
          <w:p w14:paraId="0E58F728" w14:textId="77777777" w:rsidR="00504E35" w:rsidRDefault="00504E35" w:rsidP="006F7632">
            <w:pPr>
              <w:pStyle w:val="Tabletext0"/>
              <w:jc w:val="left"/>
            </w:pPr>
            <w:r>
              <w:t>No follow up.</w:t>
            </w:r>
          </w:p>
        </w:tc>
        <w:tc>
          <w:tcPr>
            <w:tcW w:w="2215" w:type="dxa"/>
            <w:tcBorders>
              <w:top w:val="single" w:sz="4" w:space="0" w:color="auto"/>
              <w:left w:val="single" w:sz="4" w:space="0" w:color="auto"/>
              <w:bottom w:val="single" w:sz="4" w:space="0" w:color="auto"/>
              <w:right w:val="single" w:sz="4" w:space="0" w:color="auto"/>
            </w:tcBorders>
          </w:tcPr>
          <w:p w14:paraId="060E6D03" w14:textId="77777777" w:rsidR="00504E35" w:rsidRDefault="00504E35" w:rsidP="006F7632">
            <w:pPr>
              <w:pStyle w:val="Tabletext0"/>
              <w:jc w:val="left"/>
            </w:pPr>
            <w:r>
              <w:t>N=174 patients with newly diagnosed NSLC that underwent routine molecular testing.</w:t>
            </w:r>
          </w:p>
          <w:p w14:paraId="7278B765" w14:textId="77777777" w:rsidR="00504E35" w:rsidRDefault="00504E35" w:rsidP="006F7632">
            <w:pPr>
              <w:pStyle w:val="Tabletext0"/>
              <w:jc w:val="left"/>
            </w:pPr>
            <w:r>
              <w:t>95% adenocarcinoma</w:t>
            </w:r>
          </w:p>
          <w:p w14:paraId="1C209D72" w14:textId="77777777" w:rsidR="00504E35" w:rsidRDefault="00504E35" w:rsidP="006F7632">
            <w:pPr>
              <w:pStyle w:val="Tabletext0"/>
              <w:jc w:val="left"/>
            </w:pPr>
            <w:r>
              <w:t>5% other</w:t>
            </w:r>
          </w:p>
        </w:tc>
        <w:tc>
          <w:tcPr>
            <w:tcW w:w="1961" w:type="dxa"/>
            <w:tcBorders>
              <w:top w:val="single" w:sz="4" w:space="0" w:color="auto"/>
              <w:left w:val="single" w:sz="4" w:space="0" w:color="auto"/>
              <w:bottom w:val="single" w:sz="4" w:space="0" w:color="auto"/>
              <w:right w:val="single" w:sz="4" w:space="0" w:color="auto"/>
            </w:tcBorders>
          </w:tcPr>
          <w:p w14:paraId="2A44ECB7" w14:textId="77777777" w:rsidR="00504E35" w:rsidRDefault="00504E35" w:rsidP="006F7632">
            <w:pPr>
              <w:pStyle w:val="Tabletext0"/>
              <w:jc w:val="left"/>
            </w:pPr>
            <w:r>
              <w:t xml:space="preserve">NGS DNA panel for 29 selected genes and a RNA fusion panel for </w:t>
            </w:r>
            <w:r w:rsidRPr="00B718E1">
              <w:rPr>
                <w:i/>
              </w:rPr>
              <w:t>ALK, ROS1</w:t>
            </w:r>
            <w:r>
              <w:t xml:space="preserve">, and </w:t>
            </w:r>
            <w:r w:rsidRPr="00B718E1">
              <w:rPr>
                <w:i/>
              </w:rPr>
              <w:t>RET.</w:t>
            </w:r>
          </w:p>
        </w:tc>
        <w:tc>
          <w:tcPr>
            <w:tcW w:w="2399" w:type="dxa"/>
            <w:tcBorders>
              <w:top w:val="single" w:sz="4" w:space="0" w:color="auto"/>
              <w:left w:val="single" w:sz="4" w:space="0" w:color="auto"/>
              <w:bottom w:val="single" w:sz="4" w:space="0" w:color="auto"/>
              <w:right w:val="single" w:sz="4" w:space="0" w:color="auto"/>
            </w:tcBorders>
          </w:tcPr>
          <w:p w14:paraId="3139FB34" w14:textId="77777777" w:rsidR="00504E35" w:rsidRDefault="00504E35" w:rsidP="006F7632">
            <w:pPr>
              <w:pStyle w:val="Tabletext0"/>
              <w:jc w:val="left"/>
            </w:pPr>
            <w:r>
              <w:t xml:space="preserve">Standard molecular testing of RT-PCR for </w:t>
            </w:r>
            <w:r w:rsidRPr="00B718E1">
              <w:rPr>
                <w:i/>
              </w:rPr>
              <w:t xml:space="preserve">EGFR </w:t>
            </w:r>
            <w:r>
              <w:t xml:space="preserve">and FISH for </w:t>
            </w:r>
            <w:r w:rsidRPr="00B718E1">
              <w:rPr>
                <w:i/>
              </w:rPr>
              <w:t>ALK, ROS1, MET</w:t>
            </w:r>
            <w:r>
              <w:t xml:space="preserve">, and </w:t>
            </w:r>
            <w:r w:rsidRPr="00B718E1">
              <w:rPr>
                <w:i/>
              </w:rPr>
              <w:t>RET</w:t>
            </w:r>
          </w:p>
        </w:tc>
        <w:tc>
          <w:tcPr>
            <w:tcW w:w="1661" w:type="dxa"/>
            <w:tcBorders>
              <w:top w:val="single" w:sz="4" w:space="0" w:color="auto"/>
              <w:left w:val="single" w:sz="4" w:space="0" w:color="auto"/>
              <w:bottom w:val="single" w:sz="4" w:space="0" w:color="auto"/>
              <w:right w:val="single" w:sz="4" w:space="0" w:color="auto"/>
            </w:tcBorders>
          </w:tcPr>
          <w:p w14:paraId="1866C1C0" w14:textId="77777777" w:rsidR="00504E35" w:rsidRPr="00466470" w:rsidRDefault="00504E35" w:rsidP="006F7632">
            <w:pPr>
              <w:pStyle w:val="Tabletext0"/>
              <w:jc w:val="left"/>
            </w:pPr>
            <w:r>
              <w:t>Concordance</w:t>
            </w:r>
          </w:p>
          <w:p w14:paraId="39239DA5" w14:textId="77777777" w:rsidR="00504E35" w:rsidRPr="00466470" w:rsidRDefault="00504E35" w:rsidP="006F7632">
            <w:pPr>
              <w:pStyle w:val="Tabletext0"/>
              <w:jc w:val="left"/>
            </w:pPr>
            <w:r>
              <w:t>Turnaround time</w:t>
            </w:r>
          </w:p>
        </w:tc>
      </w:tr>
      <w:tr w:rsidR="00504E35" w:rsidRPr="00183E4D" w14:paraId="6ED9F8D0"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552F4596" w14:textId="6DE82521" w:rsidR="00504E35" w:rsidRDefault="00B4668F" w:rsidP="00B4668F">
            <w:pPr>
              <w:pStyle w:val="Tabletext0"/>
              <w:jc w:val="left"/>
            </w:pPr>
            <w:r>
              <w:fldChar w:fldCharType="begin"/>
            </w:r>
            <w:r>
              <w:instrText xml:space="preserve"> ADDIN EN.CITE &lt;EndNote&gt;&lt;Cite&gt;&lt;Author&gt;Vendrell&lt;/Author&gt;&lt;Year&gt;2017&lt;/Year&gt;&lt;RecNum&gt;176&lt;/RecNum&gt;&lt;IDText&gt;12510-12510&lt;/IDText&gt;&lt;DisplayText&gt;(Vendrell et al. 2017)&lt;/DisplayText&gt;&lt;record&gt;&lt;rec-number&gt;176&lt;/rec-number&gt;&lt;foreign-keys&gt;&lt;key app="EN" db-id="0tprsse9cpp5r3ea5dz5p0xw2pfwvwxpa5a5" timestamp="1655264279"&gt;176&lt;/key&gt;&lt;/foreign-keys&gt;&lt;ref-type name="Journal Article"&gt;17&lt;/ref-type&gt;&lt;contributors&gt;&lt;authors&gt;&lt;author&gt;Vendrell, Julie A.&lt;/author&gt;&lt;author&gt;Taviaux, Sylvie&lt;/author&gt;&lt;author&gt;Béganton, Beno </w:instrText>
            </w:r>
            <w:r>
              <w:rPr>
                <w:rFonts w:ascii="Cambria Math" w:hAnsi="Cambria Math" w:cs="Cambria Math"/>
              </w:rPr>
              <w:instrText>ⁱ</w:instrText>
            </w:r>
            <w:r>
              <w:instrText>t&lt;/author&gt;&lt;author&gt;Godreuil, Sylvain&lt;/author&gt;&lt;author&gt;Audran, Patricia&lt;/author&gt;&lt;author&gt;Grand, David&lt;/author&gt;&lt;author&gt;Clermont, Estelle&lt;/author&gt;&lt;author&gt;Serre, Isabelle&lt;/author&gt;&lt;author&gt;Szablewski, Vanessa&lt;/author&gt;&lt;author&gt;Coopman, Peter&lt;/author&gt;&lt;author&gt;Mazieres, Julien&lt;/author&gt;&lt;author&gt;Costes, Valérie&lt;/author&gt;&lt;author&gt;Pujol, Jean-Louis&lt;/author&gt;&lt;author&gt;Brousset, Pierre&lt;/author&gt;&lt;author&gt;Rouquette, Isabelle&lt;/author&gt;&lt;author&gt;Solassol, Jérôme&lt;/author&gt;&lt;/authors&gt;&lt;/contributors&gt;&lt;titles&gt;&lt;title&gt;Detection of known and novel ALK fusion transcripts in lung cancer patients using next-generation sequencing approaches&lt;/title&gt;&lt;secondary-title&gt;Scientific reports&lt;/secondary-title&gt;&lt;/titles&gt;&lt;periodical&gt;&lt;full-title&gt;Scientific reports&lt;/full-title&gt;&lt;/periodical&gt;&lt;pages&gt;12510-12510&lt;/pages&gt;&lt;volume&gt;7&lt;/volume&gt;&lt;number&gt;1&lt;/number&gt;&lt;dates&gt;&lt;year&gt;2017&lt;/year&gt;&lt;/dates&gt;&lt;urls&gt;&lt;related-urls&gt;&lt;url&gt;https://www.ncbi.nlm.nih.gov/pmc/articles/PMC5624911/pdf/41598_2017_Article_12679.pdf&lt;/url&gt;&lt;/related-urls&gt;&lt;/urls&gt;&lt;electronic-resource-num&gt;10.1038/s41598-017-12679-8&lt;/electronic-resource-num&gt;&lt;research-notes&gt;P - comparator IHC and FISH &lt;/research-notes&gt;&lt;/record&gt;&lt;/Cite&gt;&lt;/EndNote&gt;</w:instrText>
            </w:r>
            <w:r>
              <w:fldChar w:fldCharType="separate"/>
            </w:r>
            <w:r>
              <w:rPr>
                <w:noProof/>
              </w:rPr>
              <w:t>(Vendrell et al. 2017)</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118D7ECF" w14:textId="77777777" w:rsidR="00504E35" w:rsidRDefault="00504E35" w:rsidP="006F7632">
            <w:pPr>
              <w:pStyle w:val="Tabletext0"/>
              <w:jc w:val="left"/>
            </w:pPr>
            <w:r>
              <w:t>Retrospective cohort study</w:t>
            </w:r>
          </w:p>
          <w:p w14:paraId="7C469394" w14:textId="77777777" w:rsidR="00504E35" w:rsidRDefault="00504E35" w:rsidP="006F7632">
            <w:pPr>
              <w:pStyle w:val="Tabletext0"/>
              <w:jc w:val="left"/>
            </w:pPr>
          </w:p>
          <w:p w14:paraId="3A988070" w14:textId="77777777" w:rsidR="00504E35" w:rsidRDefault="00504E35" w:rsidP="006F7632">
            <w:pPr>
              <w:pStyle w:val="Tabletext0"/>
              <w:jc w:val="left"/>
            </w:pPr>
            <w:r>
              <w:t>Level III-2</w:t>
            </w:r>
          </w:p>
          <w:p w14:paraId="07842348" w14:textId="77777777" w:rsidR="00504E35" w:rsidRDefault="00504E35" w:rsidP="006F7632">
            <w:pPr>
              <w:pStyle w:val="Tabletext0"/>
              <w:jc w:val="left"/>
            </w:pPr>
          </w:p>
          <w:p w14:paraId="734A256B" w14:textId="77777777" w:rsidR="00504E35" w:rsidRDefault="00504E35" w:rsidP="006F7632">
            <w:pPr>
              <w:pStyle w:val="Tabletext0"/>
              <w:jc w:val="left"/>
            </w:pPr>
            <w:r>
              <w:t xml:space="preserve">Low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7E8A76C6" w14:textId="77777777" w:rsidR="00504E35" w:rsidRDefault="00504E35" w:rsidP="006F7632">
            <w:pPr>
              <w:pStyle w:val="Tabletext0"/>
              <w:jc w:val="left"/>
            </w:pPr>
            <w:r>
              <w:t>Montpellier, France.</w:t>
            </w:r>
          </w:p>
          <w:p w14:paraId="20FB8257" w14:textId="77777777" w:rsidR="00504E35" w:rsidRDefault="00504E35" w:rsidP="006F7632">
            <w:pPr>
              <w:pStyle w:val="Tabletext0"/>
              <w:jc w:val="left"/>
            </w:pPr>
            <w:r>
              <w:t>Samples that had been submitted to a single centre</w:t>
            </w:r>
          </w:p>
          <w:p w14:paraId="6BC4198C" w14:textId="77777777" w:rsidR="00504E35" w:rsidRDefault="00504E35" w:rsidP="006F7632">
            <w:pPr>
              <w:pStyle w:val="Tabletext0"/>
              <w:jc w:val="left"/>
            </w:pPr>
            <w:r>
              <w:t>No follow up.</w:t>
            </w:r>
          </w:p>
        </w:tc>
        <w:tc>
          <w:tcPr>
            <w:tcW w:w="2215" w:type="dxa"/>
            <w:tcBorders>
              <w:top w:val="single" w:sz="4" w:space="0" w:color="auto"/>
              <w:left w:val="single" w:sz="4" w:space="0" w:color="auto"/>
              <w:bottom w:val="single" w:sz="4" w:space="0" w:color="auto"/>
              <w:right w:val="single" w:sz="4" w:space="0" w:color="auto"/>
            </w:tcBorders>
          </w:tcPr>
          <w:p w14:paraId="5D14F6CF" w14:textId="77777777" w:rsidR="00504E35" w:rsidRDefault="00504E35" w:rsidP="006F7632">
            <w:pPr>
              <w:pStyle w:val="Tabletext0"/>
              <w:jc w:val="left"/>
            </w:pPr>
            <w:r>
              <w:t xml:space="preserve">N=1128 samples submitted for detection of </w:t>
            </w:r>
            <w:r w:rsidRPr="00B718E1">
              <w:rPr>
                <w:i/>
              </w:rPr>
              <w:t>ALK</w:t>
            </w:r>
            <w:r>
              <w:t xml:space="preserve"> mutations, n=37 were randomly chosen (15 </w:t>
            </w:r>
            <w:r w:rsidRPr="00B718E1">
              <w:rPr>
                <w:i/>
              </w:rPr>
              <w:t>ALK</w:t>
            </w:r>
            <w:r>
              <w:t xml:space="preserve"> positive, 22 </w:t>
            </w:r>
            <w:r w:rsidRPr="00B718E1">
              <w:rPr>
                <w:i/>
              </w:rPr>
              <w:t>ALK</w:t>
            </w:r>
            <w:r>
              <w:t xml:space="preserve"> negative) to undergo NGS screening</w:t>
            </w:r>
          </w:p>
        </w:tc>
        <w:tc>
          <w:tcPr>
            <w:tcW w:w="1961" w:type="dxa"/>
            <w:tcBorders>
              <w:top w:val="single" w:sz="4" w:space="0" w:color="auto"/>
              <w:left w:val="single" w:sz="4" w:space="0" w:color="auto"/>
              <w:bottom w:val="single" w:sz="4" w:space="0" w:color="auto"/>
              <w:right w:val="single" w:sz="4" w:space="0" w:color="auto"/>
            </w:tcBorders>
          </w:tcPr>
          <w:p w14:paraId="084D5339" w14:textId="33D9EB70" w:rsidR="00504E35" w:rsidRDefault="00504E35" w:rsidP="006F7632">
            <w:pPr>
              <w:pStyle w:val="Tabletext0"/>
              <w:jc w:val="left"/>
            </w:pPr>
            <w:r>
              <w:t xml:space="preserve">Ampliseg and Archer </w:t>
            </w:r>
            <w:r w:rsidR="00466C4F">
              <w:t>fusionsplex NGS</w:t>
            </w:r>
            <w:r>
              <w:t xml:space="preserve"> assays </w:t>
            </w:r>
            <w:r w:rsidR="00466C4F">
              <w:t>targeted</w:t>
            </w:r>
            <w:r>
              <w:t xml:space="preserve"> at 70 known mutations across </w:t>
            </w:r>
            <w:r w:rsidRPr="00B718E1">
              <w:rPr>
                <w:i/>
              </w:rPr>
              <w:t>the ALK, RET, ROS1</w:t>
            </w:r>
            <w:r>
              <w:t xml:space="preserve">, and </w:t>
            </w:r>
            <w:r w:rsidRPr="00B718E1">
              <w:rPr>
                <w:i/>
              </w:rPr>
              <w:t>NTRK1</w:t>
            </w:r>
            <w:r>
              <w:t xml:space="preserve"> genes.</w:t>
            </w:r>
          </w:p>
        </w:tc>
        <w:tc>
          <w:tcPr>
            <w:tcW w:w="2399" w:type="dxa"/>
            <w:tcBorders>
              <w:top w:val="single" w:sz="4" w:space="0" w:color="auto"/>
              <w:left w:val="single" w:sz="4" w:space="0" w:color="auto"/>
              <w:bottom w:val="single" w:sz="4" w:space="0" w:color="auto"/>
              <w:right w:val="single" w:sz="4" w:space="0" w:color="auto"/>
            </w:tcBorders>
          </w:tcPr>
          <w:p w14:paraId="197E5407" w14:textId="77777777" w:rsidR="00504E35" w:rsidRDefault="00504E35" w:rsidP="006F7632">
            <w:pPr>
              <w:pStyle w:val="Tabletext0"/>
              <w:jc w:val="left"/>
            </w:pPr>
            <w:r>
              <w:t xml:space="preserve">ALK IHC and </w:t>
            </w:r>
            <w:r w:rsidRPr="00B718E1">
              <w:rPr>
                <w:i/>
              </w:rPr>
              <w:t xml:space="preserve">ALK </w:t>
            </w:r>
            <w:r>
              <w:t>FISH</w:t>
            </w:r>
          </w:p>
        </w:tc>
        <w:tc>
          <w:tcPr>
            <w:tcW w:w="1661" w:type="dxa"/>
            <w:tcBorders>
              <w:top w:val="single" w:sz="4" w:space="0" w:color="auto"/>
              <w:left w:val="single" w:sz="4" w:space="0" w:color="auto"/>
              <w:bottom w:val="single" w:sz="4" w:space="0" w:color="auto"/>
              <w:right w:val="single" w:sz="4" w:space="0" w:color="auto"/>
            </w:tcBorders>
          </w:tcPr>
          <w:p w14:paraId="1E6A4B5D" w14:textId="77777777" w:rsidR="00504E35" w:rsidRPr="00466470" w:rsidRDefault="00504E35" w:rsidP="006F7632">
            <w:pPr>
              <w:pStyle w:val="Tabletext0"/>
              <w:jc w:val="left"/>
            </w:pPr>
            <w:r>
              <w:t>Concordance</w:t>
            </w:r>
          </w:p>
        </w:tc>
      </w:tr>
      <w:tr w:rsidR="00504E35" w:rsidRPr="00183E4D" w14:paraId="3CC4FCCA"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3B2B2F16" w14:textId="2A0D7070" w:rsidR="00504E35" w:rsidRPr="00AA33D3" w:rsidRDefault="00B4668F" w:rsidP="00B4668F">
            <w:pPr>
              <w:pStyle w:val="Tabletext0"/>
              <w:spacing w:before="0" w:after="120"/>
              <w:jc w:val="left"/>
            </w:pPr>
            <w:r>
              <w:fldChar w:fldCharType="begin"/>
            </w:r>
            <w:r>
              <w:instrText xml:space="preserve"> ADDIN EN.CITE &lt;EndNote&gt;&lt;Cite&gt;&lt;Author&gt;Vollbrecht&lt;/Author&gt;&lt;Year&gt;2018&lt;/Year&gt;&lt;RecNum&gt;177&lt;/RecNum&gt;&lt;IDText&gt;1158-1158&lt;/IDText&gt;&lt;DisplayText&gt;(Vollbrecht et al. 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fldChar w:fldCharType="separate"/>
            </w:r>
            <w:r>
              <w:rPr>
                <w:noProof/>
              </w:rPr>
              <w:t>(Vollbrecht et al. 2018)</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2BA2BA6" w14:textId="77777777" w:rsidR="00504E35" w:rsidRDefault="00504E35" w:rsidP="006F7632">
            <w:pPr>
              <w:pStyle w:val="Tabletext0"/>
              <w:spacing w:before="0" w:after="120"/>
              <w:jc w:val="left"/>
            </w:pPr>
            <w:r>
              <w:t>Diagnostic case control study</w:t>
            </w:r>
          </w:p>
          <w:p w14:paraId="3B292BD0" w14:textId="77777777" w:rsidR="00504E35" w:rsidRDefault="00504E35" w:rsidP="006F7632">
            <w:pPr>
              <w:pStyle w:val="Tabletext0"/>
              <w:spacing w:before="0" w:after="120"/>
              <w:jc w:val="left"/>
            </w:pPr>
            <w:r>
              <w:t>Level III-3</w:t>
            </w:r>
          </w:p>
          <w:p w14:paraId="3582A05C" w14:textId="77777777" w:rsidR="00504E35" w:rsidRDefault="00504E35" w:rsidP="006F7632">
            <w:pPr>
              <w:pStyle w:val="Tabletext0"/>
              <w:spacing w:before="0" w:after="120"/>
              <w:jc w:val="left"/>
            </w:pPr>
            <w:r>
              <w:t xml:space="preserve">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6F4EB313" w14:textId="77777777" w:rsidR="00504E35" w:rsidRDefault="00504E35" w:rsidP="006F7632">
            <w:pPr>
              <w:pStyle w:val="Tabletext0"/>
              <w:spacing w:before="0" w:after="120"/>
              <w:jc w:val="left"/>
            </w:pPr>
            <w:r>
              <w:t>Germany</w:t>
            </w:r>
          </w:p>
          <w:p w14:paraId="3938CEF2" w14:textId="77777777" w:rsidR="00504E35" w:rsidRDefault="00504E35" w:rsidP="006F7632">
            <w:pPr>
              <w:pStyle w:val="Tabletext0"/>
              <w:spacing w:before="0" w:after="120"/>
              <w:jc w:val="left"/>
            </w:pPr>
            <w:r>
              <w:t>Pathological laboratory(ies)</w:t>
            </w:r>
          </w:p>
          <w:p w14:paraId="5367FB3F" w14:textId="77777777" w:rsidR="00504E35"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571E77DA" w14:textId="77777777" w:rsidR="00504E35" w:rsidRDefault="00504E35" w:rsidP="006F7632">
            <w:pPr>
              <w:pStyle w:val="Tabletext0"/>
              <w:spacing w:before="0" w:after="120"/>
              <w:jc w:val="left"/>
            </w:pPr>
            <w:r>
              <w:t xml:space="preserve">N=33 NSCLC samples, already by </w:t>
            </w:r>
            <w:r>
              <w:rPr>
                <w:i/>
              </w:rPr>
              <w:t>ALK</w:t>
            </w:r>
            <w:r>
              <w:t xml:space="preserve"> IHC and FISH</w:t>
            </w:r>
          </w:p>
          <w:p w14:paraId="46E8C97A" w14:textId="77777777" w:rsidR="00504E35" w:rsidRDefault="00504E35" w:rsidP="006F7632">
            <w:pPr>
              <w:pStyle w:val="Tabletext0"/>
              <w:spacing w:before="0" w:after="120"/>
              <w:jc w:val="left"/>
            </w:pPr>
            <w:r>
              <w:t>FFPE operative or biopsy specimens</w:t>
            </w:r>
          </w:p>
          <w:p w14:paraId="6B861AA5" w14:textId="77777777" w:rsidR="00504E35" w:rsidRDefault="00504E35" w:rsidP="006F7632">
            <w:pPr>
              <w:pStyle w:val="Tabletext0"/>
              <w:spacing w:before="0" w:after="120"/>
              <w:jc w:val="left"/>
            </w:pPr>
            <w:r>
              <w:t>32 adenocarcinoma</w:t>
            </w:r>
          </w:p>
          <w:p w14:paraId="12B9172B" w14:textId="77777777" w:rsidR="00504E35" w:rsidRPr="00EA411F" w:rsidRDefault="00504E35" w:rsidP="006F7632">
            <w:pPr>
              <w:pStyle w:val="Tabletext0"/>
              <w:spacing w:before="0" w:after="120"/>
              <w:jc w:val="left"/>
            </w:pPr>
            <w:r>
              <w:t>1 adenosquamous carcinoma</w:t>
            </w:r>
          </w:p>
        </w:tc>
        <w:tc>
          <w:tcPr>
            <w:tcW w:w="1961" w:type="dxa"/>
            <w:tcBorders>
              <w:top w:val="single" w:sz="4" w:space="0" w:color="auto"/>
              <w:left w:val="single" w:sz="4" w:space="0" w:color="auto"/>
              <w:bottom w:val="single" w:sz="4" w:space="0" w:color="auto"/>
              <w:right w:val="single" w:sz="4" w:space="0" w:color="auto"/>
            </w:tcBorders>
          </w:tcPr>
          <w:p w14:paraId="61BA7D66" w14:textId="77777777" w:rsidR="00504E35" w:rsidRDefault="00504E35" w:rsidP="006F7632">
            <w:pPr>
              <w:pStyle w:val="Tabletext0"/>
              <w:spacing w:before="0" w:after="120"/>
            </w:pPr>
            <w:r>
              <w:t>RNA-based analysis using a targeted multiplex-PCR panel followed by IonTorrent sequencing and by direct transcript counting using a digital probe-based assay (NanoString)</w:t>
            </w:r>
          </w:p>
        </w:tc>
        <w:tc>
          <w:tcPr>
            <w:tcW w:w="2399" w:type="dxa"/>
            <w:tcBorders>
              <w:top w:val="single" w:sz="4" w:space="0" w:color="auto"/>
              <w:left w:val="single" w:sz="4" w:space="0" w:color="auto"/>
              <w:bottom w:val="single" w:sz="4" w:space="0" w:color="auto"/>
              <w:right w:val="single" w:sz="4" w:space="0" w:color="auto"/>
            </w:tcBorders>
          </w:tcPr>
          <w:p w14:paraId="4A699569" w14:textId="77777777" w:rsidR="00504E35" w:rsidRPr="00EA411F" w:rsidRDefault="00504E35" w:rsidP="006F7632">
            <w:pPr>
              <w:pStyle w:val="Tabletext0"/>
              <w:spacing w:before="0" w:after="120"/>
            </w:pPr>
            <w:r w:rsidRPr="00B718E1">
              <w:t>ALK</w:t>
            </w:r>
            <w:r>
              <w:t xml:space="preserve"> IHC (VENTANA ALK (D5F3) CDx Assay, Ventana Medical Systems) and </w:t>
            </w:r>
            <w:r w:rsidRPr="003E18CF">
              <w:rPr>
                <w:i/>
              </w:rPr>
              <w:t xml:space="preserve">ALK </w:t>
            </w:r>
            <w:r>
              <w:t xml:space="preserve">FISH (Vysis LSI ALK Dual Color, Abbott Molecular) </w:t>
            </w:r>
          </w:p>
        </w:tc>
        <w:tc>
          <w:tcPr>
            <w:tcW w:w="1661" w:type="dxa"/>
            <w:tcBorders>
              <w:top w:val="single" w:sz="4" w:space="0" w:color="auto"/>
              <w:left w:val="single" w:sz="4" w:space="0" w:color="auto"/>
              <w:bottom w:val="single" w:sz="4" w:space="0" w:color="auto"/>
              <w:right w:val="single" w:sz="4" w:space="0" w:color="auto"/>
            </w:tcBorders>
          </w:tcPr>
          <w:p w14:paraId="4785F5B7" w14:textId="77777777" w:rsidR="00504E35" w:rsidRDefault="00504E35" w:rsidP="006F7632">
            <w:pPr>
              <w:pStyle w:val="Tabletext0"/>
              <w:spacing w:before="0" w:after="120"/>
              <w:jc w:val="left"/>
            </w:pPr>
            <w:r>
              <w:t>Concordance</w:t>
            </w:r>
          </w:p>
          <w:p w14:paraId="4F95B170" w14:textId="3C2F2CD2" w:rsidR="0090287B" w:rsidRDefault="0090287B" w:rsidP="006F7632">
            <w:pPr>
              <w:pStyle w:val="Tabletext0"/>
              <w:spacing w:before="0" w:after="120"/>
              <w:jc w:val="left"/>
            </w:pPr>
            <w:r>
              <w:t>Health outcomes</w:t>
            </w:r>
          </w:p>
        </w:tc>
      </w:tr>
      <w:tr w:rsidR="00504E35" w:rsidRPr="00183E4D" w14:paraId="642728AD"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6C22A8D2" w14:textId="294B417A" w:rsidR="00504E35" w:rsidRDefault="00B4668F" w:rsidP="00B4668F">
            <w:pPr>
              <w:pStyle w:val="Tabletext0"/>
              <w:spacing w:before="0" w:after="120"/>
              <w:jc w:val="left"/>
            </w:pPr>
            <w:r>
              <w:fldChar w:fldCharType="begin">
                <w:fldData xml:space="preserve">PEVuZE5vdGU+PENpdGU+PEF1dGhvcj5XZWk8L0F1dGhvcj48WWVhcj4yMDIxPC9ZZWFyPjxSZWNO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</w:fldData>
              </w:fldChar>
            </w:r>
            <w:r>
              <w:instrText xml:space="preserve"> ADDIN EN.CITE </w:instrText>
            </w:r>
            <w:r>
              <w:fldChar w:fldCharType="begin">
                <w:fldData xml:space="preserve">PEVuZE5vdGU+PENpdGU+PEF1dGhvcj5XZWk8L0F1dGhvcj48WWVhcj4yMDIxPC9ZZWFyPjxSZWNO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</w:fldData>
              </w:fldChar>
            </w:r>
            <w:r>
              <w:instrText xml:space="preserve"> ADDIN EN.CITE.DATA </w:instrText>
            </w:r>
            <w:r>
              <w:fldChar w:fldCharType="end"/>
            </w:r>
            <w:r>
              <w:fldChar w:fldCharType="separate"/>
            </w:r>
            <w:r>
              <w:rPr>
                <w:noProof/>
              </w:rPr>
              <w:t>(Wei et al. 2021)</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8B37F85" w14:textId="77777777" w:rsidR="00504E35" w:rsidRDefault="00504E35" w:rsidP="006F7632">
            <w:pPr>
              <w:pStyle w:val="Tabletext0"/>
              <w:spacing w:before="0" w:after="120"/>
              <w:jc w:val="left"/>
            </w:pPr>
            <w:r w:rsidRPr="00FC7027">
              <w:rPr>
                <w:u w:val="single"/>
              </w:rPr>
              <w:t>Concordance</w:t>
            </w:r>
            <w:r>
              <w:t>:</w:t>
            </w:r>
          </w:p>
          <w:p w14:paraId="692FD546" w14:textId="77777777" w:rsidR="00504E35" w:rsidRDefault="00504E35" w:rsidP="006F7632">
            <w:pPr>
              <w:pStyle w:val="Tabletext0"/>
              <w:spacing w:before="0" w:after="120"/>
              <w:jc w:val="left"/>
            </w:pPr>
            <w:r>
              <w:t>Diagnostic case-control study</w:t>
            </w:r>
          </w:p>
          <w:p w14:paraId="6B15D4F7" w14:textId="77777777" w:rsidR="00504E35" w:rsidRDefault="00504E35" w:rsidP="006F7632">
            <w:pPr>
              <w:pStyle w:val="Tabletext0"/>
              <w:spacing w:before="0" w:after="120"/>
              <w:jc w:val="left"/>
            </w:pPr>
            <w:r>
              <w:t>Level III-3</w:t>
            </w:r>
          </w:p>
          <w:p w14:paraId="3F97EF35" w14:textId="77777777" w:rsidR="00504E35" w:rsidRDefault="00504E35" w:rsidP="006F7632">
            <w:pPr>
              <w:pStyle w:val="Tabletext0"/>
              <w:spacing w:before="0" w:after="120"/>
              <w:jc w:val="left"/>
            </w:pPr>
            <w:r>
              <w:lastRenderedPageBreak/>
              <w:t xml:space="preserve">Moderate to high risk of bias </w:t>
            </w:r>
            <w:r w:rsidRPr="00FE1788">
              <w:t>(QUADAS 2)</w:t>
            </w:r>
          </w:p>
          <w:p w14:paraId="42C09840" w14:textId="77777777" w:rsidR="00504E35" w:rsidRDefault="00504E35" w:rsidP="006F7632">
            <w:pPr>
              <w:pStyle w:val="Tabletext0"/>
              <w:spacing w:before="0" w:after="120"/>
              <w:ind w:right="-57"/>
              <w:jc w:val="left"/>
            </w:pPr>
            <w:r w:rsidRPr="00FC7027">
              <w:rPr>
                <w:u w:val="single"/>
              </w:rPr>
              <w:t>Health outcomes</w:t>
            </w:r>
            <w:r>
              <w:t>:</w:t>
            </w:r>
          </w:p>
          <w:p w14:paraId="719D9A7A" w14:textId="77777777" w:rsidR="00504E35" w:rsidRDefault="00504E35" w:rsidP="006F7632">
            <w:pPr>
              <w:pStyle w:val="Tabletext0"/>
              <w:spacing w:before="0" w:after="120"/>
              <w:jc w:val="left"/>
            </w:pPr>
            <w:r>
              <w:t>Retrospective case series</w:t>
            </w:r>
          </w:p>
          <w:p w14:paraId="463C223F" w14:textId="77777777" w:rsidR="00504E35" w:rsidRDefault="00504E35" w:rsidP="006F7632">
            <w:pPr>
              <w:pStyle w:val="Tabletext0"/>
              <w:spacing w:before="0" w:after="120"/>
              <w:jc w:val="left"/>
            </w:pPr>
            <w:r>
              <w:t>Level IV</w:t>
            </w:r>
          </w:p>
          <w:p w14:paraId="0BFAA255" w14:textId="77777777" w:rsidR="00504E35" w:rsidRDefault="00504E35" w:rsidP="006F7632">
            <w:pPr>
              <w:pStyle w:val="Tabletext0"/>
              <w:spacing w:before="0" w:after="120"/>
              <w:jc w:val="left"/>
            </w:pPr>
            <w:r>
              <w:t>Low risk of bias (NHLBI for case series)</w:t>
            </w:r>
          </w:p>
        </w:tc>
        <w:tc>
          <w:tcPr>
            <w:tcW w:w="1770" w:type="dxa"/>
            <w:tcBorders>
              <w:top w:val="single" w:sz="4" w:space="0" w:color="auto"/>
              <w:left w:val="single" w:sz="4" w:space="0" w:color="auto"/>
              <w:bottom w:val="single" w:sz="4" w:space="0" w:color="auto"/>
              <w:right w:val="single" w:sz="4" w:space="0" w:color="auto"/>
            </w:tcBorders>
          </w:tcPr>
          <w:p w14:paraId="29324962" w14:textId="77777777" w:rsidR="00504E35" w:rsidRDefault="00504E35" w:rsidP="006F7632">
            <w:pPr>
              <w:pStyle w:val="Tabletext0"/>
              <w:spacing w:before="0" w:after="120"/>
              <w:jc w:val="left"/>
            </w:pPr>
            <w:r>
              <w:lastRenderedPageBreak/>
              <w:t>Netherlands</w:t>
            </w:r>
          </w:p>
          <w:p w14:paraId="0935F86A" w14:textId="77777777" w:rsidR="00504E35" w:rsidRDefault="00504E35" w:rsidP="006F7632">
            <w:pPr>
              <w:pStyle w:val="Tabletext0"/>
              <w:spacing w:before="0" w:after="120"/>
              <w:jc w:val="left"/>
            </w:pPr>
            <w:r>
              <w:t xml:space="preserve">Data review of diagnostic samples </w:t>
            </w:r>
            <w:r>
              <w:lastRenderedPageBreak/>
              <w:t>that were subjected to NGS analysis</w:t>
            </w:r>
          </w:p>
          <w:p w14:paraId="7687BCBE" w14:textId="77777777" w:rsidR="00504E35" w:rsidRDefault="00504E35" w:rsidP="006F7632">
            <w:pPr>
              <w:pStyle w:val="Tabletext0"/>
              <w:spacing w:before="0" w:after="120"/>
              <w:jc w:val="left"/>
            </w:pPr>
            <w:r>
              <w:t xml:space="preserve">No follow-up for concordance, follow-up NR for health outcome </w:t>
            </w:r>
          </w:p>
        </w:tc>
        <w:tc>
          <w:tcPr>
            <w:tcW w:w="2215" w:type="dxa"/>
            <w:tcBorders>
              <w:top w:val="single" w:sz="4" w:space="0" w:color="auto"/>
              <w:left w:val="single" w:sz="4" w:space="0" w:color="auto"/>
              <w:bottom w:val="single" w:sz="4" w:space="0" w:color="auto"/>
              <w:right w:val="single" w:sz="4" w:space="0" w:color="auto"/>
            </w:tcBorders>
          </w:tcPr>
          <w:p w14:paraId="5060B4BE" w14:textId="77777777" w:rsidR="00504E35" w:rsidRDefault="00504E35" w:rsidP="006F7632">
            <w:pPr>
              <w:pStyle w:val="Tabletext0"/>
              <w:spacing w:before="0" w:after="120"/>
              <w:jc w:val="left"/>
            </w:pPr>
            <w:r>
              <w:lastRenderedPageBreak/>
              <w:t>N=1,729  NSCLC samples from 1,566 patients analysed by NGS</w:t>
            </w:r>
          </w:p>
          <w:p w14:paraId="2902B045" w14:textId="77777777" w:rsidR="00504E35" w:rsidRDefault="00504E35" w:rsidP="006F7632">
            <w:pPr>
              <w:pStyle w:val="Tabletext0"/>
              <w:spacing w:before="0" w:after="120"/>
              <w:jc w:val="left"/>
            </w:pPr>
            <w:r w:rsidRPr="00671AB6">
              <w:rPr>
                <w:u w:val="single"/>
              </w:rPr>
              <w:t>Concordance</w:t>
            </w:r>
            <w:r>
              <w:t xml:space="preserve">: </w:t>
            </w:r>
          </w:p>
          <w:p w14:paraId="67311956" w14:textId="77777777" w:rsidR="00504E35" w:rsidRDefault="00504E35" w:rsidP="006F7632">
            <w:pPr>
              <w:pStyle w:val="Tabletext0"/>
              <w:spacing w:before="0" w:after="120"/>
              <w:jc w:val="left"/>
            </w:pPr>
            <w:r>
              <w:lastRenderedPageBreak/>
              <w:t xml:space="preserve">n=49 samples </w:t>
            </w:r>
          </w:p>
          <w:p w14:paraId="61A5E303" w14:textId="77777777" w:rsidR="00504E35" w:rsidRDefault="00504E35" w:rsidP="006F7632">
            <w:pPr>
              <w:pStyle w:val="Tabletext0"/>
              <w:spacing w:before="0" w:after="120"/>
              <w:jc w:val="left"/>
            </w:pPr>
            <w:r w:rsidRPr="00671AB6">
              <w:rPr>
                <w:u w:val="single"/>
              </w:rPr>
              <w:t>Health outcomes</w:t>
            </w:r>
            <w:r>
              <w:t xml:space="preserve">: </w:t>
            </w:r>
          </w:p>
          <w:p w14:paraId="3402E413" w14:textId="77777777" w:rsidR="00504E35" w:rsidRDefault="00504E35" w:rsidP="006F7632">
            <w:pPr>
              <w:pStyle w:val="Tabletext0"/>
              <w:spacing w:before="0" w:after="120"/>
              <w:jc w:val="left"/>
            </w:pPr>
            <w:r>
              <w:t xml:space="preserve">n=57+3 patients treated with first-line </w:t>
            </w:r>
            <w:r>
              <w:rPr>
                <w:i/>
              </w:rPr>
              <w:t>EGFR-</w:t>
            </w:r>
            <w:r>
              <w:t>TKI</w:t>
            </w:r>
          </w:p>
          <w:p w14:paraId="6DF47BA6" w14:textId="77777777" w:rsidR="00504E35" w:rsidRDefault="00504E35" w:rsidP="006F7632">
            <w:pPr>
              <w:pStyle w:val="Tabletext0"/>
              <w:spacing w:before="0" w:after="120"/>
              <w:jc w:val="left"/>
            </w:pPr>
            <w:r>
              <w:t>100% adenocarcinoma</w:t>
            </w:r>
          </w:p>
        </w:tc>
        <w:tc>
          <w:tcPr>
            <w:tcW w:w="1961" w:type="dxa"/>
            <w:tcBorders>
              <w:top w:val="single" w:sz="4" w:space="0" w:color="auto"/>
              <w:left w:val="single" w:sz="4" w:space="0" w:color="auto"/>
              <w:bottom w:val="single" w:sz="4" w:space="0" w:color="auto"/>
              <w:right w:val="single" w:sz="4" w:space="0" w:color="auto"/>
            </w:tcBorders>
          </w:tcPr>
          <w:p w14:paraId="57388BD6" w14:textId="77777777" w:rsidR="00504E35" w:rsidRDefault="00504E35" w:rsidP="006F7632">
            <w:pPr>
              <w:pStyle w:val="Tabletext0"/>
              <w:spacing w:before="0" w:after="120"/>
            </w:pPr>
            <w:r>
              <w:lastRenderedPageBreak/>
              <w:t>Amplicon-based NGS, 2</w:t>
            </w:r>
            <w:r w:rsidRPr="00E658F0">
              <w:t xml:space="preserve"> custom-designed AmpliSeq™ panels</w:t>
            </w:r>
            <w:r>
              <w:t xml:space="preserve"> (amplicons for 11 genes and 36 genes), resulting </w:t>
            </w:r>
            <w:r>
              <w:lastRenderedPageBreak/>
              <w:t>libraries generated and processed for sequencing on the IonTorrent PGM sequencing system (Life Technologies)</w:t>
            </w:r>
          </w:p>
        </w:tc>
        <w:tc>
          <w:tcPr>
            <w:tcW w:w="2399" w:type="dxa"/>
            <w:tcBorders>
              <w:top w:val="single" w:sz="4" w:space="0" w:color="auto"/>
              <w:left w:val="single" w:sz="4" w:space="0" w:color="auto"/>
              <w:bottom w:val="single" w:sz="4" w:space="0" w:color="auto"/>
              <w:right w:val="single" w:sz="4" w:space="0" w:color="auto"/>
            </w:tcBorders>
          </w:tcPr>
          <w:p w14:paraId="2F596663" w14:textId="77777777" w:rsidR="00504E35" w:rsidRDefault="00504E35" w:rsidP="006F7632">
            <w:pPr>
              <w:pStyle w:val="Tabletext0"/>
              <w:spacing w:before="0" w:after="120"/>
            </w:pPr>
            <w:r>
              <w:lastRenderedPageBreak/>
              <w:t>Multiplex ligation-dependent probe amplification,  using the SALSA MLPA P105 Glioma-2 probe mix (MRC Holland)</w:t>
            </w:r>
          </w:p>
        </w:tc>
        <w:tc>
          <w:tcPr>
            <w:tcW w:w="1661" w:type="dxa"/>
            <w:tcBorders>
              <w:top w:val="single" w:sz="4" w:space="0" w:color="auto"/>
              <w:left w:val="single" w:sz="4" w:space="0" w:color="auto"/>
              <w:bottom w:val="single" w:sz="4" w:space="0" w:color="auto"/>
              <w:right w:val="single" w:sz="4" w:space="0" w:color="auto"/>
            </w:tcBorders>
          </w:tcPr>
          <w:p w14:paraId="13B9AF0C" w14:textId="77777777" w:rsidR="00504E35" w:rsidRDefault="00504E35" w:rsidP="006F7632">
            <w:pPr>
              <w:pStyle w:val="Tabletext0"/>
              <w:spacing w:before="0" w:after="120"/>
              <w:jc w:val="left"/>
            </w:pPr>
            <w:r>
              <w:t>Concordance</w:t>
            </w:r>
          </w:p>
          <w:p w14:paraId="557D12FC" w14:textId="77777777" w:rsidR="00504E35" w:rsidRDefault="00504E35" w:rsidP="006F7632">
            <w:pPr>
              <w:pStyle w:val="Tabletext0"/>
              <w:spacing w:before="0" w:after="120"/>
              <w:jc w:val="left"/>
            </w:pPr>
          </w:p>
          <w:p w14:paraId="3A4E2D28" w14:textId="77777777" w:rsidR="00504E35" w:rsidRPr="00466470" w:rsidRDefault="00504E35" w:rsidP="006F7632">
            <w:pPr>
              <w:pStyle w:val="Tabletext0"/>
              <w:spacing w:before="0" w:after="120"/>
              <w:jc w:val="left"/>
            </w:pPr>
            <w:r>
              <w:t>Health outcomes (PFS and OS)</w:t>
            </w:r>
          </w:p>
        </w:tc>
      </w:tr>
      <w:tr w:rsidR="00504E35" w:rsidRPr="00183E4D" w14:paraId="11922984"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4D506A2F" w14:textId="294D28A3" w:rsidR="00504E35" w:rsidRDefault="00B4668F" w:rsidP="00B4668F">
            <w:pPr>
              <w:pStyle w:val="Tabletext0"/>
              <w:spacing w:before="0" w:after="120"/>
              <w:jc w:val="left"/>
            </w:pP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 </w:instrText>
            </w: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EN.CITE.DATA </w:instrText>
            </w:r>
            <w:r>
              <w:fldChar w:fldCharType="end"/>
            </w:r>
            <w:r>
              <w:fldChar w:fldCharType="separate"/>
            </w:r>
            <w:r>
              <w:rPr>
                <w:noProof/>
              </w:rPr>
              <w:t>(Xie et al. 2019)</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21067826" w14:textId="77777777" w:rsidR="00504E35" w:rsidRDefault="00504E35" w:rsidP="006F7632">
            <w:pPr>
              <w:pStyle w:val="Tabletext0"/>
              <w:spacing w:before="0" w:after="120"/>
              <w:jc w:val="left"/>
            </w:pPr>
            <w:r w:rsidRPr="00E97EC9">
              <w:rPr>
                <w:u w:val="single"/>
              </w:rPr>
              <w:t>Concordance</w:t>
            </w:r>
            <w:r>
              <w:t>:</w:t>
            </w:r>
          </w:p>
          <w:p w14:paraId="103C12F0" w14:textId="77777777" w:rsidR="00504E35" w:rsidRDefault="00504E35" w:rsidP="006F7632">
            <w:pPr>
              <w:pStyle w:val="Tabletext0"/>
              <w:spacing w:before="0" w:after="120"/>
              <w:jc w:val="left"/>
            </w:pPr>
            <w:r>
              <w:t>Prospective cohort study</w:t>
            </w:r>
          </w:p>
          <w:p w14:paraId="6BAF3F73" w14:textId="77777777" w:rsidR="00504E35" w:rsidRDefault="00504E35" w:rsidP="006F7632">
            <w:pPr>
              <w:pStyle w:val="Tabletext0"/>
              <w:spacing w:before="0" w:after="120"/>
              <w:jc w:val="left"/>
            </w:pPr>
            <w:r>
              <w:t xml:space="preserve">Low to moderate risk of bias </w:t>
            </w:r>
            <w:r w:rsidRPr="00FE1788">
              <w:t>(QUADAS 2)</w:t>
            </w:r>
          </w:p>
          <w:p w14:paraId="3D221CCF" w14:textId="77777777" w:rsidR="00504E35" w:rsidRDefault="00504E35" w:rsidP="006F7632">
            <w:pPr>
              <w:pStyle w:val="Tabletext0"/>
              <w:spacing w:before="0" w:after="120"/>
              <w:jc w:val="left"/>
            </w:pPr>
            <w:r>
              <w:t xml:space="preserve">Level III-2 </w:t>
            </w:r>
          </w:p>
          <w:p w14:paraId="60B7F8C1" w14:textId="77777777" w:rsidR="00504E35" w:rsidRDefault="00504E35" w:rsidP="006F7632">
            <w:pPr>
              <w:pStyle w:val="Tabletext0"/>
              <w:spacing w:before="0" w:after="120"/>
              <w:jc w:val="left"/>
            </w:pPr>
            <w:r w:rsidRPr="00E97EC9">
              <w:rPr>
                <w:u w:val="single"/>
              </w:rPr>
              <w:t>Health outcome</w:t>
            </w:r>
            <w:r>
              <w:t>:</w:t>
            </w:r>
          </w:p>
          <w:p w14:paraId="0CCEEFDD" w14:textId="77777777" w:rsidR="00504E35" w:rsidRDefault="00504E35" w:rsidP="006F7632">
            <w:pPr>
              <w:pStyle w:val="Tabletext0"/>
              <w:spacing w:before="0" w:after="120"/>
              <w:jc w:val="left"/>
            </w:pPr>
            <w:r>
              <w:t>Prospective case series</w:t>
            </w:r>
          </w:p>
          <w:p w14:paraId="79D4AC66" w14:textId="77777777" w:rsidR="00504E35" w:rsidRDefault="00504E35" w:rsidP="006F7632">
            <w:pPr>
              <w:pStyle w:val="Tabletext0"/>
              <w:spacing w:before="0" w:after="120"/>
              <w:jc w:val="left"/>
            </w:pPr>
            <w:r>
              <w:t>Level IV</w:t>
            </w:r>
          </w:p>
          <w:p w14:paraId="6EE6D151" w14:textId="77777777" w:rsidR="00504E35" w:rsidRDefault="00504E35" w:rsidP="006F7632">
            <w:pPr>
              <w:pStyle w:val="Tabletext0"/>
              <w:spacing w:before="0" w:after="120"/>
              <w:jc w:val="left"/>
            </w:pPr>
            <w:r>
              <w:t>Low to moderate risk of bias (NHLBI for case series)</w:t>
            </w:r>
          </w:p>
        </w:tc>
        <w:tc>
          <w:tcPr>
            <w:tcW w:w="1770" w:type="dxa"/>
            <w:tcBorders>
              <w:top w:val="single" w:sz="4" w:space="0" w:color="auto"/>
              <w:left w:val="single" w:sz="4" w:space="0" w:color="auto"/>
              <w:bottom w:val="single" w:sz="4" w:space="0" w:color="auto"/>
              <w:right w:val="single" w:sz="4" w:space="0" w:color="auto"/>
            </w:tcBorders>
          </w:tcPr>
          <w:p w14:paraId="27F911D4" w14:textId="77777777" w:rsidR="00504E35" w:rsidRDefault="00504E35" w:rsidP="006F7632">
            <w:pPr>
              <w:pStyle w:val="Tabletext0"/>
              <w:spacing w:before="0" w:after="120"/>
              <w:jc w:val="left"/>
            </w:pPr>
            <w:r>
              <w:t>China</w:t>
            </w:r>
          </w:p>
          <w:p w14:paraId="192DC02B" w14:textId="77777777" w:rsidR="00504E35" w:rsidRDefault="00504E35" w:rsidP="006F7632">
            <w:pPr>
              <w:pStyle w:val="Tabletext0"/>
              <w:spacing w:before="0" w:after="120"/>
              <w:jc w:val="left"/>
            </w:pPr>
            <w:r>
              <w:t xml:space="preserve">A single hospital </w:t>
            </w:r>
          </w:p>
          <w:p w14:paraId="0B31F669" w14:textId="77777777" w:rsidR="00504E35" w:rsidRDefault="00504E35" w:rsidP="006F7632">
            <w:pPr>
              <w:pStyle w:val="Tabletext0"/>
              <w:spacing w:before="0" w:after="120"/>
              <w:jc w:val="left"/>
            </w:pPr>
            <w:r>
              <w:t>Up to 27 months</w:t>
            </w:r>
          </w:p>
        </w:tc>
        <w:tc>
          <w:tcPr>
            <w:tcW w:w="2215" w:type="dxa"/>
            <w:tcBorders>
              <w:top w:val="single" w:sz="4" w:space="0" w:color="auto"/>
              <w:left w:val="single" w:sz="4" w:space="0" w:color="auto"/>
              <w:bottom w:val="single" w:sz="4" w:space="0" w:color="auto"/>
              <w:right w:val="single" w:sz="4" w:space="0" w:color="auto"/>
            </w:tcBorders>
          </w:tcPr>
          <w:p w14:paraId="16C6C3E2" w14:textId="77777777" w:rsidR="00504E35" w:rsidRDefault="00504E35" w:rsidP="006F7632">
            <w:pPr>
              <w:pStyle w:val="Tabletext0"/>
              <w:spacing w:before="0" w:after="120"/>
            </w:pPr>
            <w:r>
              <w:t>N=85 patients with advanced non-squamous NSCLC</w:t>
            </w:r>
          </w:p>
          <w:p w14:paraId="62556F3F" w14:textId="77777777" w:rsidR="00504E35" w:rsidRDefault="00504E35" w:rsidP="006F7632">
            <w:pPr>
              <w:pStyle w:val="Tabletext0"/>
              <w:spacing w:before="0" w:after="120"/>
            </w:pPr>
            <w:r>
              <w:t>FFPE  samples from endobronchial ultrasound-guided transbronchial needle aspiration (EBUS-TBNA)</w:t>
            </w:r>
          </w:p>
          <w:p w14:paraId="02999BEE" w14:textId="77777777" w:rsidR="00504E35" w:rsidRDefault="00504E35" w:rsidP="006F7632">
            <w:pPr>
              <w:pStyle w:val="Tabletext0"/>
              <w:spacing w:before="0" w:after="120"/>
            </w:pPr>
            <w:r w:rsidRPr="003753EA">
              <w:rPr>
                <w:u w:val="single"/>
              </w:rPr>
              <w:t>Concordance</w:t>
            </w:r>
            <w:r>
              <w:t>:</w:t>
            </w:r>
          </w:p>
          <w:p w14:paraId="59FFBD58" w14:textId="77777777" w:rsidR="00504E35" w:rsidRDefault="00504E35" w:rsidP="006F7632">
            <w:pPr>
              <w:pStyle w:val="Tabletext0"/>
              <w:spacing w:before="0" w:after="120"/>
            </w:pPr>
            <w:r>
              <w:t>n=77, excluding 7 patients ineligible for comparator tests or having insufficient DNA for NGS</w:t>
            </w:r>
          </w:p>
          <w:p w14:paraId="430FC88A" w14:textId="77777777" w:rsidR="00504E35" w:rsidRDefault="00504E35" w:rsidP="006F7632">
            <w:pPr>
              <w:pStyle w:val="Tabletext0"/>
              <w:spacing w:before="0" w:after="120"/>
            </w:pPr>
            <w:r w:rsidRPr="003753EA">
              <w:rPr>
                <w:u w:val="single"/>
              </w:rPr>
              <w:t>Health outcome</w:t>
            </w:r>
            <w:r>
              <w:t>:</w:t>
            </w:r>
          </w:p>
          <w:p w14:paraId="4F8D325E" w14:textId="77777777" w:rsidR="00504E35" w:rsidRDefault="00504E35" w:rsidP="006F7632">
            <w:pPr>
              <w:pStyle w:val="Tabletext0"/>
              <w:spacing w:before="0" w:after="120"/>
            </w:pPr>
            <w:r>
              <w:t>n=33 patients with driver mutations (</w:t>
            </w:r>
            <w:r>
              <w:rPr>
                <w:i/>
              </w:rPr>
              <w:t xml:space="preserve">EGFR, ALK </w:t>
            </w:r>
            <w:r w:rsidRPr="00042C2B">
              <w:t>or</w:t>
            </w:r>
            <w:r>
              <w:rPr>
                <w:i/>
              </w:rPr>
              <w:t xml:space="preserve"> ROS1)</w:t>
            </w:r>
            <w:r>
              <w:t xml:space="preserve"> who received targeted therapy</w:t>
            </w:r>
          </w:p>
          <w:p w14:paraId="76D230FD" w14:textId="77777777" w:rsidR="00504E35" w:rsidRDefault="00504E35" w:rsidP="006F7632">
            <w:pPr>
              <w:pStyle w:val="Tabletext0"/>
              <w:spacing w:before="0" w:after="120"/>
            </w:pPr>
            <w:r>
              <w:t>83.1% adenocarcinoma</w:t>
            </w:r>
          </w:p>
          <w:p w14:paraId="78AE48E0" w14:textId="77777777" w:rsidR="00504E35" w:rsidRDefault="00504E35" w:rsidP="006F7632">
            <w:pPr>
              <w:pStyle w:val="Tabletext0"/>
              <w:spacing w:before="0" w:after="120"/>
            </w:pPr>
            <w:r>
              <w:t>16.9% NSCLC NOS</w:t>
            </w:r>
          </w:p>
        </w:tc>
        <w:tc>
          <w:tcPr>
            <w:tcW w:w="1961" w:type="dxa"/>
            <w:tcBorders>
              <w:top w:val="single" w:sz="4" w:space="0" w:color="auto"/>
              <w:left w:val="single" w:sz="4" w:space="0" w:color="auto"/>
              <w:bottom w:val="single" w:sz="4" w:space="0" w:color="auto"/>
              <w:right w:val="single" w:sz="4" w:space="0" w:color="auto"/>
            </w:tcBorders>
          </w:tcPr>
          <w:p w14:paraId="512EBA07" w14:textId="77777777" w:rsidR="00504E35" w:rsidRDefault="00504E35" w:rsidP="006F7632">
            <w:pPr>
              <w:pStyle w:val="Tabletext0"/>
              <w:spacing w:before="0" w:after="120"/>
            </w:pPr>
            <w:r>
              <w:t>Capture-base targeted sequencing was performed with the Lung core 56 Gene Panel (Burning Rock Dx, China), indexed samples sequenced on Nextseq500 sequencer (Illumina)</w:t>
            </w:r>
          </w:p>
        </w:tc>
        <w:tc>
          <w:tcPr>
            <w:tcW w:w="2399" w:type="dxa"/>
            <w:tcBorders>
              <w:top w:val="single" w:sz="4" w:space="0" w:color="auto"/>
              <w:left w:val="single" w:sz="4" w:space="0" w:color="auto"/>
              <w:bottom w:val="single" w:sz="4" w:space="0" w:color="auto"/>
              <w:right w:val="single" w:sz="4" w:space="0" w:color="auto"/>
            </w:tcBorders>
          </w:tcPr>
          <w:p w14:paraId="08A373BD" w14:textId="77777777" w:rsidR="00504E35" w:rsidRDefault="00504E35" w:rsidP="006F7632">
            <w:pPr>
              <w:pStyle w:val="Tabletext0"/>
              <w:spacing w:before="0" w:after="120"/>
              <w:rPr>
                <w:i/>
              </w:rPr>
            </w:pPr>
            <w:r>
              <w:t xml:space="preserve">Routine testing, amplification refractory mutation system (ARMS) PCR for </w:t>
            </w:r>
            <w:r>
              <w:rPr>
                <w:i/>
              </w:rPr>
              <w:t xml:space="preserve">EGFR, </w:t>
            </w:r>
            <w:r>
              <w:t xml:space="preserve">using </w:t>
            </w:r>
            <w:r>
              <w:rPr>
                <w:i/>
              </w:rPr>
              <w:t xml:space="preserve">EGFR </w:t>
            </w:r>
            <w:r>
              <w:t>21 Mutation Detection Kit (Amoy Diagnostics, China)</w:t>
            </w:r>
          </w:p>
          <w:p w14:paraId="019BE14C" w14:textId="77777777" w:rsidR="00504E35" w:rsidRDefault="00504E35" w:rsidP="006F7632">
            <w:pPr>
              <w:pStyle w:val="Tabletext0"/>
              <w:spacing w:before="0" w:after="120"/>
            </w:pPr>
            <w:r w:rsidRPr="00671C56">
              <w:t>IHC</w:t>
            </w:r>
            <w:r>
              <w:t xml:space="preserve"> for </w:t>
            </w:r>
            <w:r>
              <w:rPr>
                <w:i/>
              </w:rPr>
              <w:t>ALK</w:t>
            </w:r>
            <w:r>
              <w:t xml:space="preserve">  with the use of VENTANA </w:t>
            </w:r>
            <w:r w:rsidRPr="003874D8">
              <w:rPr>
                <w:i/>
              </w:rPr>
              <w:t>ALK</w:t>
            </w:r>
            <w:r>
              <w:t xml:space="preserve"> (D5F3) assay (F. Hoffmann-La Roche, AZ), confirmed by FISH with the use of Vysis ALK Break Apart FISH Probe Kit (Abbott Molecular) </w:t>
            </w:r>
          </w:p>
          <w:p w14:paraId="541EC699" w14:textId="77777777" w:rsidR="00504E35" w:rsidRDefault="00504E35" w:rsidP="006F7632">
            <w:pPr>
              <w:pStyle w:val="Tabletext0"/>
              <w:spacing w:before="0" w:after="120"/>
            </w:pPr>
            <w:r>
              <w:t xml:space="preserve">Quantitative reverse transcription PCR for </w:t>
            </w:r>
            <w:r>
              <w:rPr>
                <w:i/>
              </w:rPr>
              <w:t xml:space="preserve">ROS1 </w:t>
            </w:r>
            <w:r w:rsidRPr="00994AE8">
              <w:t xml:space="preserve">with use of </w:t>
            </w:r>
            <w:r w:rsidRPr="00150DD8">
              <w:rPr>
                <w:i/>
              </w:rPr>
              <w:t>ROS1</w:t>
            </w:r>
            <w:r w:rsidRPr="00994AE8">
              <w:t xml:space="preserve"> Gene Fusions</w:t>
            </w:r>
            <w:r>
              <w:t xml:space="preserve"> </w:t>
            </w:r>
            <w:r w:rsidRPr="00994AE8">
              <w:t>D</w:t>
            </w:r>
            <w:r>
              <w:t>etection Kit (Amoy Diagnostics)</w:t>
            </w:r>
          </w:p>
        </w:tc>
        <w:tc>
          <w:tcPr>
            <w:tcW w:w="1661" w:type="dxa"/>
            <w:tcBorders>
              <w:top w:val="single" w:sz="4" w:space="0" w:color="auto"/>
              <w:left w:val="single" w:sz="4" w:space="0" w:color="auto"/>
              <w:bottom w:val="single" w:sz="4" w:space="0" w:color="auto"/>
              <w:right w:val="single" w:sz="4" w:space="0" w:color="auto"/>
            </w:tcBorders>
          </w:tcPr>
          <w:p w14:paraId="3BB5B8F2" w14:textId="77777777" w:rsidR="00504E35" w:rsidRDefault="00504E35" w:rsidP="006F7632">
            <w:pPr>
              <w:pStyle w:val="Tabletext0"/>
              <w:spacing w:before="0" w:after="120"/>
              <w:jc w:val="left"/>
            </w:pPr>
            <w:r>
              <w:t>Concordance</w:t>
            </w:r>
          </w:p>
          <w:p w14:paraId="4584E74B" w14:textId="77777777" w:rsidR="00504E35" w:rsidRDefault="00504E35" w:rsidP="006F7632">
            <w:pPr>
              <w:pStyle w:val="Tabletext0"/>
              <w:spacing w:before="0" w:after="120"/>
              <w:jc w:val="left"/>
            </w:pPr>
            <w:r>
              <w:t>Success rate</w:t>
            </w:r>
          </w:p>
          <w:p w14:paraId="16A9F7BF" w14:textId="77777777" w:rsidR="00504E35" w:rsidRPr="00466470" w:rsidRDefault="00504E35" w:rsidP="006F7632">
            <w:pPr>
              <w:pStyle w:val="Tabletext0"/>
              <w:spacing w:before="0" w:after="120"/>
              <w:jc w:val="left"/>
            </w:pPr>
            <w:r>
              <w:t>Health outcome (PFS)</w:t>
            </w:r>
          </w:p>
        </w:tc>
      </w:tr>
      <w:tr w:rsidR="00504E35" w:rsidRPr="00183E4D" w14:paraId="0358D6D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2F4F593D" w14:textId="647762AD" w:rsidR="00504E35" w:rsidDel="00ED2893" w:rsidRDefault="00B4668F" w:rsidP="006D4612">
            <w:pPr>
              <w:pStyle w:val="Tabletext0"/>
              <w:spacing w:before="0" w:after="120"/>
              <w:jc w:val="left"/>
            </w:pPr>
            <w:r>
              <w:lastRenderedPageBreak/>
              <w:fldChar w:fldCharType="begin">
                <w:fldData xml:space="preserve">PEVuZE5vdGU+PENpdGU+PEF1dGhvcj5YdTwvQXV0aG9yPjxZZWFyPjIwMTY8L1llYXI+PFJlY051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</w:fldData>
              </w:fldChar>
            </w:r>
            <w:r w:rsidR="006D4612">
              <w:instrText xml:space="preserve"> ADDIN EN.CITE </w:instrText>
            </w:r>
            <w:r w:rsidR="006D4612">
              <w:fldChar w:fldCharType="begin">
                <w:fldData xml:space="preserve">PEVuZE5vdGU+PENpdGU+PEF1dGhvcj5YdTwvQXV0aG9yPjxZZWFyPjIwMTY8L1llYXI+PFJlY051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</w:fldData>
              </w:fldChar>
            </w:r>
            <w:r w:rsidR="006D4612">
              <w:instrText xml:space="preserve"> ADDIN EN.CITE.DATA </w:instrText>
            </w:r>
            <w:r w:rsidR="006D4612">
              <w:fldChar w:fldCharType="end"/>
            </w:r>
            <w:r>
              <w:fldChar w:fldCharType="separate"/>
            </w:r>
            <w:r w:rsidR="006D4612">
              <w:rPr>
                <w:noProof/>
              </w:rPr>
              <w:t>(Xu, X. et al. 2016)</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121F3A0D" w14:textId="77777777" w:rsidR="00504E35" w:rsidRDefault="00504E35" w:rsidP="006F7632">
            <w:pPr>
              <w:pStyle w:val="Tabletext0"/>
              <w:spacing w:before="0" w:after="120"/>
              <w:jc w:val="left"/>
            </w:pPr>
            <w:r>
              <w:t xml:space="preserve">Prospective cohort study </w:t>
            </w:r>
          </w:p>
          <w:p w14:paraId="5302C3BD" w14:textId="77777777" w:rsidR="00504E35" w:rsidRDefault="00504E35" w:rsidP="006F7632">
            <w:pPr>
              <w:pStyle w:val="Tabletext0"/>
              <w:spacing w:before="0" w:after="120"/>
              <w:jc w:val="left"/>
            </w:pPr>
            <w:r>
              <w:t>Level II</w:t>
            </w:r>
          </w:p>
          <w:p w14:paraId="2C1BFA49" w14:textId="77777777" w:rsidR="00504E35" w:rsidDel="00ED2893" w:rsidRDefault="00504E35" w:rsidP="006F7632">
            <w:pPr>
              <w:pStyle w:val="Tabletext0"/>
              <w:spacing w:before="0" w:after="120"/>
              <w:jc w:val="left"/>
            </w:pPr>
            <w:r>
              <w:t xml:space="preserve">Low to moderate risk of bias </w:t>
            </w:r>
            <w:r w:rsidRPr="00FE1788">
              <w:t>(QUADAS 2)</w:t>
            </w:r>
          </w:p>
        </w:tc>
        <w:tc>
          <w:tcPr>
            <w:tcW w:w="1770" w:type="dxa"/>
            <w:tcBorders>
              <w:top w:val="single" w:sz="4" w:space="0" w:color="auto"/>
              <w:left w:val="single" w:sz="4" w:space="0" w:color="auto"/>
              <w:bottom w:val="single" w:sz="4" w:space="0" w:color="auto"/>
              <w:right w:val="single" w:sz="4" w:space="0" w:color="auto"/>
            </w:tcBorders>
          </w:tcPr>
          <w:p w14:paraId="485D8714" w14:textId="77777777" w:rsidR="00504E35" w:rsidRDefault="00504E35" w:rsidP="006F7632">
            <w:pPr>
              <w:pStyle w:val="Tabletext0"/>
              <w:spacing w:before="0" w:after="120"/>
              <w:jc w:val="left"/>
            </w:pPr>
            <w:r>
              <w:t>China</w:t>
            </w:r>
          </w:p>
          <w:p w14:paraId="4713EBD2" w14:textId="77777777" w:rsidR="00504E35" w:rsidRDefault="00504E35" w:rsidP="006F7632">
            <w:pPr>
              <w:pStyle w:val="Tabletext0"/>
              <w:spacing w:before="0" w:after="120"/>
              <w:jc w:val="left"/>
            </w:pPr>
            <w:r>
              <w:t>A clinical laboratory in a hospital (samples from patients treated in this hospital)</w:t>
            </w:r>
          </w:p>
          <w:p w14:paraId="624AC428" w14:textId="77777777" w:rsidR="00504E35" w:rsidDel="00ED2893" w:rsidRDefault="00504E35" w:rsidP="006F7632">
            <w:pPr>
              <w:pStyle w:val="Tabletext0"/>
              <w:spacing w:before="0" w:after="120"/>
              <w:jc w:val="left"/>
            </w:pPr>
            <w:r>
              <w:t>No follow-up</w:t>
            </w:r>
          </w:p>
        </w:tc>
        <w:tc>
          <w:tcPr>
            <w:tcW w:w="2215" w:type="dxa"/>
            <w:tcBorders>
              <w:top w:val="single" w:sz="4" w:space="0" w:color="auto"/>
              <w:left w:val="single" w:sz="4" w:space="0" w:color="auto"/>
              <w:bottom w:val="single" w:sz="4" w:space="0" w:color="auto"/>
              <w:right w:val="single" w:sz="4" w:space="0" w:color="auto"/>
            </w:tcBorders>
          </w:tcPr>
          <w:p w14:paraId="69542FCF" w14:textId="77777777" w:rsidR="00504E35" w:rsidRDefault="00504E35" w:rsidP="006F7632">
            <w:pPr>
              <w:pStyle w:val="Tabletext0"/>
              <w:spacing w:before="0" w:after="120"/>
              <w:jc w:val="left"/>
            </w:pPr>
            <w:r>
              <w:t>N=188 consecutive samples from patients with NSCLC who underwent radical surgical resection of primary lung cancer</w:t>
            </w:r>
          </w:p>
          <w:p w14:paraId="5DBB0D03" w14:textId="77777777" w:rsidR="00504E35" w:rsidRDefault="00504E35" w:rsidP="006F7632">
            <w:pPr>
              <w:pStyle w:val="Tabletext0"/>
              <w:spacing w:before="0" w:after="120"/>
              <w:jc w:val="left"/>
            </w:pPr>
            <w:r>
              <w:t>FFPE specimens or fresh tissues</w:t>
            </w:r>
          </w:p>
          <w:p w14:paraId="6BEF0CBF" w14:textId="77777777" w:rsidR="00504E35" w:rsidRDefault="00504E35" w:rsidP="006F7632">
            <w:pPr>
              <w:pStyle w:val="Tabletext0"/>
              <w:spacing w:before="0" w:after="120"/>
            </w:pPr>
            <w:r>
              <w:t>79.3% adenocarcinoma</w:t>
            </w:r>
          </w:p>
          <w:p w14:paraId="4CC8E15D" w14:textId="77777777" w:rsidR="00504E35" w:rsidRDefault="00504E35" w:rsidP="006F7632">
            <w:pPr>
              <w:pStyle w:val="Tabletext0"/>
              <w:spacing w:before="0" w:after="120"/>
            </w:pPr>
            <w:r>
              <w:t>13.8% SCC</w:t>
            </w:r>
          </w:p>
          <w:p w14:paraId="517A8EDE" w14:textId="77777777" w:rsidR="00504E35" w:rsidRDefault="00504E35" w:rsidP="006F7632">
            <w:pPr>
              <w:pStyle w:val="Tabletext0"/>
              <w:spacing w:before="0" w:after="120"/>
            </w:pPr>
            <w:r>
              <w:t>0.5% adenosquamous carcinoma</w:t>
            </w:r>
          </w:p>
          <w:p w14:paraId="65C7AB92" w14:textId="77777777" w:rsidR="00504E35" w:rsidDel="00ED2893" w:rsidRDefault="00504E35" w:rsidP="006F7632">
            <w:pPr>
              <w:pStyle w:val="Tabletext0"/>
              <w:spacing w:before="0" w:after="120"/>
              <w:jc w:val="left"/>
            </w:pPr>
            <w:r>
              <w:t>6.4% other</w:t>
            </w:r>
          </w:p>
        </w:tc>
        <w:tc>
          <w:tcPr>
            <w:tcW w:w="1961" w:type="dxa"/>
            <w:tcBorders>
              <w:top w:val="single" w:sz="4" w:space="0" w:color="auto"/>
              <w:left w:val="single" w:sz="4" w:space="0" w:color="auto"/>
              <w:bottom w:val="single" w:sz="4" w:space="0" w:color="auto"/>
              <w:right w:val="single" w:sz="4" w:space="0" w:color="auto"/>
            </w:tcBorders>
          </w:tcPr>
          <w:p w14:paraId="380DE079" w14:textId="77777777" w:rsidR="00504E35" w:rsidDel="00ED2893" w:rsidRDefault="00504E35" w:rsidP="006F7632">
            <w:pPr>
              <w:pStyle w:val="Tabletext0"/>
              <w:spacing w:before="0" w:after="120"/>
              <w:jc w:val="left"/>
            </w:pPr>
            <w:r>
              <w:t>NextDaySeq Lung Panel on Ion Torrent</w:t>
            </w:r>
            <w:r>
              <w:rPr>
                <w:vertAlign w:val="superscript"/>
              </w:rPr>
              <w:t xml:space="preserve">TM </w:t>
            </w:r>
            <w:r>
              <w:t>System (Beijing ACCB Biotech), targeting 4 gene (</w:t>
            </w:r>
            <w:r w:rsidRPr="7579F35B">
              <w:rPr>
                <w:i/>
                <w:iCs/>
              </w:rPr>
              <w:t xml:space="preserve">EGFR, KRAS, BRAF </w:t>
            </w:r>
            <w:r>
              <w:t>and</w:t>
            </w:r>
            <w:r w:rsidRPr="7579F35B">
              <w:rPr>
                <w:i/>
                <w:iCs/>
              </w:rPr>
              <w:t xml:space="preserve"> PIK3CA</w:t>
            </w:r>
            <w:r>
              <w:rPr>
                <w:iCs/>
              </w:rPr>
              <w:t>),</w:t>
            </w:r>
            <w:r>
              <w:t xml:space="preserve"> library pool sequenced using Ion Torrent PGM system (Thermo Fisher Scientific)</w:t>
            </w:r>
          </w:p>
        </w:tc>
        <w:tc>
          <w:tcPr>
            <w:tcW w:w="2399" w:type="dxa"/>
            <w:tcBorders>
              <w:top w:val="single" w:sz="4" w:space="0" w:color="auto"/>
              <w:left w:val="single" w:sz="4" w:space="0" w:color="auto"/>
              <w:bottom w:val="single" w:sz="4" w:space="0" w:color="auto"/>
              <w:right w:val="single" w:sz="4" w:space="0" w:color="auto"/>
            </w:tcBorders>
          </w:tcPr>
          <w:p w14:paraId="07695309" w14:textId="77777777" w:rsidR="00504E35" w:rsidDel="00ED2893" w:rsidRDefault="00504E35" w:rsidP="006F7632">
            <w:pPr>
              <w:pStyle w:val="Tabletext0"/>
              <w:spacing w:before="0" w:after="120"/>
            </w:pPr>
            <w:r>
              <w:t xml:space="preserve">Quantitative Real-Time PCR(qPCR),  mutation status of </w:t>
            </w:r>
            <w:r w:rsidRPr="0066686F">
              <w:rPr>
                <w:i/>
              </w:rPr>
              <w:t>EGFR, KRAS, PIK3CA and BRAF</w:t>
            </w:r>
            <w:r>
              <w:t xml:space="preserve"> examined using the Human </w:t>
            </w:r>
            <w:r w:rsidRPr="0066686F">
              <w:rPr>
                <w:i/>
              </w:rPr>
              <w:t>EGFR</w:t>
            </w:r>
            <w:r>
              <w:t xml:space="preserve"> Gene Mutations Detection Kit, Human </w:t>
            </w:r>
            <w:r w:rsidRPr="0066686F">
              <w:rPr>
                <w:i/>
              </w:rPr>
              <w:t>KRAS</w:t>
            </w:r>
            <w:r>
              <w:t xml:space="preserve"> Gene Mutations Detection Kit, Human </w:t>
            </w:r>
            <w:r w:rsidRPr="0066686F">
              <w:rPr>
                <w:i/>
              </w:rPr>
              <w:t>PIK3CA</w:t>
            </w:r>
            <w:r>
              <w:t xml:space="preserve"> Gene Mutations Detection Kit, and Human </w:t>
            </w:r>
            <w:r w:rsidRPr="0066686F">
              <w:rPr>
                <w:i/>
              </w:rPr>
              <w:t>BRAF</w:t>
            </w:r>
            <w:r>
              <w:t xml:space="preserve"> Gene Mutations Detection Kit ACCB Biotech, China)</w:t>
            </w:r>
          </w:p>
        </w:tc>
        <w:tc>
          <w:tcPr>
            <w:tcW w:w="1661" w:type="dxa"/>
            <w:tcBorders>
              <w:top w:val="single" w:sz="4" w:space="0" w:color="auto"/>
              <w:left w:val="single" w:sz="4" w:space="0" w:color="auto"/>
              <w:bottom w:val="single" w:sz="4" w:space="0" w:color="auto"/>
              <w:right w:val="single" w:sz="4" w:space="0" w:color="auto"/>
            </w:tcBorders>
          </w:tcPr>
          <w:p w14:paraId="6EA321E9" w14:textId="77777777" w:rsidR="00504E35" w:rsidRPr="00466470" w:rsidDel="00ED2893" w:rsidRDefault="00504E35" w:rsidP="006F7632">
            <w:pPr>
              <w:pStyle w:val="Tabletext0"/>
              <w:spacing w:before="0" w:after="120"/>
              <w:jc w:val="left"/>
            </w:pPr>
            <w:r>
              <w:t xml:space="preserve">Concordance </w:t>
            </w:r>
          </w:p>
        </w:tc>
      </w:tr>
      <w:tr w:rsidR="00504E35" w:rsidRPr="00183E4D" w14:paraId="6AEA23B5"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0236BEDD" w14:textId="23712738" w:rsidR="00504E35" w:rsidRDefault="00B4668F" w:rsidP="00B4668F">
            <w:pPr>
              <w:pStyle w:val="Tabletext0"/>
              <w:spacing w:before="0" w:after="120"/>
              <w:jc w:val="left"/>
            </w:pPr>
            <w:r>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instrText xml:space="preserve"> ADDIN EN.CITE </w:instrText>
            </w:r>
            <w:r>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instrText xml:space="preserve"> ADDIN EN.CITE.DATA </w:instrText>
            </w:r>
            <w:r>
              <w:fldChar w:fldCharType="end"/>
            </w:r>
            <w:r>
              <w:fldChar w:fldCharType="separate"/>
            </w:r>
            <w:r>
              <w:rPr>
                <w:noProof/>
              </w:rPr>
              <w:t>(Yu et al. 2019)</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0944E613" w14:textId="77777777" w:rsidR="00504E35" w:rsidRDefault="00504E35" w:rsidP="006F7632">
            <w:pPr>
              <w:pStyle w:val="Tabletext0"/>
              <w:spacing w:before="0" w:after="120"/>
              <w:jc w:val="left"/>
            </w:pPr>
            <w:r>
              <w:t>Comparative study without concurrent controls</w:t>
            </w:r>
          </w:p>
          <w:p w14:paraId="333B2CD0" w14:textId="77777777" w:rsidR="00504E35" w:rsidRDefault="00504E35" w:rsidP="006F7632">
            <w:pPr>
              <w:pStyle w:val="Tabletext0"/>
              <w:spacing w:before="0" w:after="120"/>
              <w:jc w:val="left"/>
            </w:pPr>
            <w:r>
              <w:t>Level III-3</w:t>
            </w:r>
          </w:p>
          <w:p w14:paraId="00330418" w14:textId="77777777" w:rsidR="00504E35" w:rsidRDefault="00504E35" w:rsidP="006F7632">
            <w:pPr>
              <w:pStyle w:val="Tabletext0"/>
              <w:spacing w:before="0" w:after="120"/>
              <w:jc w:val="left"/>
            </w:pPr>
            <w:r>
              <w:t xml:space="preserve">Moderate risk of bias </w:t>
            </w:r>
            <w:r w:rsidRPr="00FE1788">
              <w:t>(</w:t>
            </w:r>
            <w:r>
              <w:t>SIGN for cohorts)</w:t>
            </w:r>
          </w:p>
        </w:tc>
        <w:tc>
          <w:tcPr>
            <w:tcW w:w="1770" w:type="dxa"/>
            <w:tcBorders>
              <w:top w:val="single" w:sz="4" w:space="0" w:color="auto"/>
              <w:left w:val="single" w:sz="4" w:space="0" w:color="auto"/>
              <w:bottom w:val="single" w:sz="4" w:space="0" w:color="auto"/>
              <w:right w:val="single" w:sz="4" w:space="0" w:color="auto"/>
            </w:tcBorders>
          </w:tcPr>
          <w:p w14:paraId="4030BD76" w14:textId="77777777" w:rsidR="00504E35" w:rsidRDefault="00504E35" w:rsidP="006F7632">
            <w:pPr>
              <w:pStyle w:val="Tabletext0"/>
              <w:spacing w:before="0" w:after="120"/>
            </w:pPr>
            <w:r>
              <w:t>USA</w:t>
            </w:r>
          </w:p>
          <w:p w14:paraId="28E1248F" w14:textId="77777777" w:rsidR="00504E35" w:rsidRDefault="00504E35" w:rsidP="006F7632">
            <w:pPr>
              <w:pStyle w:val="Tabletext0"/>
              <w:spacing w:before="0" w:after="120"/>
            </w:pPr>
            <w:r>
              <w:t xml:space="preserve">Analysis of the records from a commercial laboratory  </w:t>
            </w:r>
          </w:p>
          <w:p w14:paraId="60445378" w14:textId="77777777" w:rsidR="00504E35" w:rsidRDefault="00504E35" w:rsidP="006F7632">
            <w:pPr>
              <w:pStyle w:val="Tabletext0"/>
              <w:spacing w:before="0" w:after="120"/>
            </w:pPr>
            <w:r>
              <w:t>No follow-up</w:t>
            </w:r>
          </w:p>
        </w:tc>
        <w:tc>
          <w:tcPr>
            <w:tcW w:w="2215" w:type="dxa"/>
            <w:tcBorders>
              <w:top w:val="single" w:sz="4" w:space="0" w:color="auto"/>
              <w:left w:val="single" w:sz="4" w:space="0" w:color="auto"/>
              <w:bottom w:val="single" w:sz="4" w:space="0" w:color="auto"/>
              <w:right w:val="single" w:sz="4" w:space="0" w:color="auto"/>
            </w:tcBorders>
          </w:tcPr>
          <w:p w14:paraId="38431469" w14:textId="77777777" w:rsidR="00504E35" w:rsidRDefault="00504E35" w:rsidP="006F7632">
            <w:pPr>
              <w:pStyle w:val="Tabletext0"/>
              <w:spacing w:before="0" w:after="120"/>
              <w:jc w:val="left"/>
            </w:pPr>
            <w:r>
              <w:t>N=169 investigational Oncomine Dx Target Tests on archived FFPE advanced NSCLC tissue samples (index test)</w:t>
            </w:r>
          </w:p>
          <w:p w14:paraId="0072D69E" w14:textId="77777777" w:rsidR="00504E35" w:rsidRDefault="00504E35" w:rsidP="006F7632">
            <w:pPr>
              <w:pStyle w:val="Tabletext0"/>
              <w:spacing w:before="0" w:after="120"/>
            </w:pPr>
            <w:r>
              <w:t>N=3,659 single-gene tests across 1,402 clinician-submitted samples (comparator tests)</w:t>
            </w:r>
          </w:p>
          <w:p w14:paraId="50A0100A" w14:textId="77777777" w:rsidR="00504E35" w:rsidRDefault="00504E35" w:rsidP="006F7632">
            <w:pPr>
              <w:pStyle w:val="Tabletext0"/>
              <w:spacing w:before="0" w:after="120"/>
            </w:pPr>
          </w:p>
        </w:tc>
        <w:tc>
          <w:tcPr>
            <w:tcW w:w="1961" w:type="dxa"/>
            <w:tcBorders>
              <w:top w:val="single" w:sz="4" w:space="0" w:color="auto"/>
              <w:left w:val="single" w:sz="4" w:space="0" w:color="auto"/>
              <w:bottom w:val="single" w:sz="4" w:space="0" w:color="auto"/>
              <w:right w:val="single" w:sz="4" w:space="0" w:color="auto"/>
            </w:tcBorders>
          </w:tcPr>
          <w:p w14:paraId="279422A8" w14:textId="77777777" w:rsidR="00504E35" w:rsidRPr="00762C49" w:rsidRDefault="00504E35" w:rsidP="006F7632">
            <w:pPr>
              <w:pStyle w:val="Tabletext0"/>
              <w:spacing w:before="0" w:after="120"/>
              <w:jc w:val="left"/>
            </w:pPr>
            <w:r w:rsidRPr="00731EF8">
              <w:t>Oncomine Dx Target Tests</w:t>
            </w:r>
            <w:r>
              <w:t xml:space="preserve"> for 23 genes (Ion Torrent PGM Dx Sequencer, Thermo Fisher Scientific)</w:t>
            </w:r>
          </w:p>
        </w:tc>
        <w:tc>
          <w:tcPr>
            <w:tcW w:w="2399" w:type="dxa"/>
            <w:tcBorders>
              <w:top w:val="single" w:sz="4" w:space="0" w:color="auto"/>
              <w:left w:val="single" w:sz="4" w:space="0" w:color="auto"/>
              <w:bottom w:val="single" w:sz="4" w:space="0" w:color="auto"/>
              <w:right w:val="single" w:sz="4" w:space="0" w:color="auto"/>
            </w:tcBorders>
          </w:tcPr>
          <w:p w14:paraId="79024FDC" w14:textId="77777777" w:rsidR="00504E35" w:rsidRDefault="00504E35" w:rsidP="006F7632">
            <w:pPr>
              <w:pStyle w:val="Tabletext0"/>
              <w:spacing w:before="0" w:after="120"/>
            </w:pPr>
            <w:r>
              <w:t xml:space="preserve">Therascreen </w:t>
            </w:r>
            <w:r w:rsidRPr="00C75B2C">
              <w:rPr>
                <w:i/>
              </w:rPr>
              <w:t>EGFR</w:t>
            </w:r>
            <w:r>
              <w:t xml:space="preserve"> RGQ PCR Kit (QIAGEN Manchester)</w:t>
            </w:r>
          </w:p>
          <w:p w14:paraId="68BE9A0A" w14:textId="77777777" w:rsidR="00504E35" w:rsidRPr="002F0017" w:rsidRDefault="00504E35" w:rsidP="006F7632">
            <w:pPr>
              <w:pStyle w:val="Tabletext0"/>
              <w:spacing w:before="0" w:after="120"/>
            </w:pPr>
            <w:r>
              <w:t xml:space="preserve">Vysis IntelliFISH for </w:t>
            </w:r>
            <w:r w:rsidRPr="002F0017">
              <w:rPr>
                <w:i/>
              </w:rPr>
              <w:t>ALK</w:t>
            </w:r>
            <w:r>
              <w:rPr>
                <w:i/>
              </w:rPr>
              <w:t xml:space="preserve"> </w:t>
            </w:r>
            <w:r>
              <w:t>(Abbott Laboratory)</w:t>
            </w:r>
          </w:p>
          <w:p w14:paraId="732859DB" w14:textId="77777777" w:rsidR="00504E35" w:rsidRDefault="00504E35" w:rsidP="006F7632">
            <w:pPr>
              <w:pStyle w:val="Tabletext0"/>
              <w:spacing w:before="0" w:after="120"/>
            </w:pPr>
            <w:r>
              <w:t xml:space="preserve">cobas 4800 </w:t>
            </w:r>
            <w:r w:rsidRPr="002F0017">
              <w:rPr>
                <w:i/>
              </w:rPr>
              <w:t>BRAF</w:t>
            </w:r>
            <w:r>
              <w:t xml:space="preserve"> V600 Mutation Test (Roche)</w:t>
            </w:r>
          </w:p>
          <w:p w14:paraId="6E0C19CC" w14:textId="77777777" w:rsidR="00504E35" w:rsidRPr="00762C49" w:rsidRDefault="00504E35" w:rsidP="006F7632">
            <w:pPr>
              <w:pStyle w:val="Tabletext0"/>
              <w:spacing w:before="0" w:after="120"/>
            </w:pPr>
            <w:r>
              <w:t xml:space="preserve">Laboratory-developed tests (LDTs) for </w:t>
            </w:r>
            <w:r w:rsidRPr="002F0017">
              <w:rPr>
                <w:i/>
              </w:rPr>
              <w:t>BRAF, KRAS, MET</w:t>
            </w:r>
            <w:r>
              <w:t xml:space="preserve"> amplification, </w:t>
            </w:r>
            <w:r w:rsidRPr="002F0017">
              <w:rPr>
                <w:i/>
              </w:rPr>
              <w:t>RET, ERBB2, FGFR1, and ROS1</w:t>
            </w:r>
            <w:r>
              <w:t xml:space="preserve">. </w:t>
            </w:r>
            <w:r w:rsidRPr="002F0017">
              <w:rPr>
                <w:i/>
              </w:rPr>
              <w:t>BRAF</w:t>
            </w:r>
            <w:r>
              <w:t xml:space="preserve"> and </w:t>
            </w:r>
            <w:r w:rsidRPr="002F0017">
              <w:rPr>
                <w:i/>
              </w:rPr>
              <w:t>KRAS</w:t>
            </w:r>
            <w:r>
              <w:t xml:space="preserve"> LDTs used real-time, or quantitative, PCR. All other LDTs used FISH.</w:t>
            </w:r>
          </w:p>
        </w:tc>
        <w:tc>
          <w:tcPr>
            <w:tcW w:w="1661" w:type="dxa"/>
            <w:tcBorders>
              <w:top w:val="single" w:sz="4" w:space="0" w:color="auto"/>
              <w:left w:val="single" w:sz="4" w:space="0" w:color="auto"/>
              <w:bottom w:val="single" w:sz="4" w:space="0" w:color="auto"/>
              <w:right w:val="single" w:sz="4" w:space="0" w:color="auto"/>
            </w:tcBorders>
          </w:tcPr>
          <w:p w14:paraId="61468F09" w14:textId="77777777" w:rsidR="00504E35" w:rsidRDefault="00504E35" w:rsidP="006F7632">
            <w:pPr>
              <w:pStyle w:val="Tabletext0"/>
              <w:spacing w:before="0" w:after="120"/>
              <w:jc w:val="left"/>
            </w:pPr>
            <w:r>
              <w:t>Test success (failure) rate, tissue stewardship (number of slides per testing)</w:t>
            </w:r>
          </w:p>
        </w:tc>
      </w:tr>
      <w:tr w:rsidR="00504E35" w:rsidRPr="00183E4D" w14:paraId="4ABF9ED8"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3368D5FC" w14:textId="2D1AD557" w:rsidR="00504E35" w:rsidRPr="00123C57" w:rsidRDefault="00B4668F" w:rsidP="00B4668F">
            <w:pPr>
              <w:pStyle w:val="Tabletext0"/>
              <w:spacing w:before="0" w:after="120"/>
              <w:jc w:val="left"/>
            </w:pPr>
            <w:r>
              <w:fldChar w:fldCharType="begin"/>
            </w:r>
            <w:r>
              <w:instrText xml:space="preserve"> ADDIN EN.CITE &lt;EndNote&gt;&lt;Cite&gt;&lt;Author&gt;Zeng&lt;/Author&gt;&lt;Year&gt;2018&lt;/Year&gt;&lt;RecNum&gt;179&lt;/RecNum&gt;&lt;IDText&gt;6937-6945&lt;/IDText&gt;&lt;DisplayText&gt;(Zeng et al. 2018)&lt;/DisplayText&gt;&lt;record&gt;&lt;rec-number&gt;179&lt;/rec-number&gt;&lt;foreign-keys&gt;&lt;key app="EN" db-id="0tprsse9cpp5r3ea5dz5p0xw2pfwvwxpa5a5" timestamp="1655264280"&gt;179&lt;/key&gt;&lt;/foreign-keys&gt;&lt;ref-type name="Journal Article"&gt;17&lt;/ref-type&gt;&lt;contributors&gt;&lt;authors&gt;&lt;author&gt;Zeng, Liang&lt;/author&gt;&lt;author&gt;Li, Yizhi&lt;/author&gt;&lt;author&gt;Xiao, Lili&lt;/author&gt;&lt;author&gt;Xiong, Yi&lt;/author&gt;&lt;author&gt;Liu, Li&lt;/author&gt;&lt;author&gt;Jiang, Wenjuan&lt;/author&gt;&lt;author&gt;Heng, Jianfu&lt;/author&gt;&lt;author&gt;Qu, Jingjing&lt;/author&gt;&lt;author&gt;Yang, Nong&lt;/author&gt;&lt;author&gt;Zhang, Yongchang&lt;/author&gt;&lt;/authors&gt;&lt;/contributors&gt;&lt;titles&gt;&lt;title&gt;Crizotinib presented with promising efficacy but for concomitant mutation in next-generation sequencing-identified ROS1-rearranged non-small-cell lung cancer&lt;/title&gt;&lt;secondary-title&gt;OncoTargets and therapy&lt;/secondary-title&gt;&lt;/titles&gt;&lt;periodical&gt;&lt;full-title&gt;OncoTargets and therapy&lt;/full-title&gt;&lt;/periodical&gt;&lt;pages&gt;6937-6945&lt;/pages&gt;&lt;volume&gt;11&lt;/volume&gt;&lt;number&gt;NA&lt;/number&gt;&lt;dates&gt;&lt;year&gt;2018&lt;/year&gt;&lt;/dates&gt;&lt;urls&gt;&lt;related-urls&gt;&lt;url&gt;https://www.dovepress.com/getfile.php?fileID=45330&lt;/url&gt;&lt;/related-urls&gt;&lt;/urls&gt;&lt;electronic-resource-num&gt;10.2147/ott.s176273&lt;/electronic-resource-num&gt;&lt;research-notes&gt;Pearled -single test to health outcomes evidence&lt;/research-notes&gt;&lt;/record&gt;&lt;/Cite&gt;&lt;/EndNote&gt;</w:instrText>
            </w:r>
            <w:r>
              <w:fldChar w:fldCharType="separate"/>
            </w:r>
            <w:r>
              <w:rPr>
                <w:noProof/>
              </w:rPr>
              <w:t>(Zeng et al. 2018)</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57E5E881" w14:textId="77777777" w:rsidR="00504E35" w:rsidRDefault="00504E35" w:rsidP="006F7632">
            <w:pPr>
              <w:pStyle w:val="Tabletext0"/>
              <w:spacing w:before="0" w:after="120"/>
              <w:jc w:val="left"/>
            </w:pPr>
            <w:r>
              <w:t>Retrospective case series</w:t>
            </w:r>
          </w:p>
          <w:p w14:paraId="2A159367" w14:textId="77777777" w:rsidR="00504E35" w:rsidRDefault="00504E35" w:rsidP="006F7632">
            <w:pPr>
              <w:pStyle w:val="Tabletext0"/>
              <w:spacing w:before="0" w:after="120"/>
              <w:jc w:val="left"/>
            </w:pPr>
            <w:r>
              <w:t>Level IV</w:t>
            </w:r>
          </w:p>
          <w:p w14:paraId="18C49789" w14:textId="77777777" w:rsidR="00504E35" w:rsidRDefault="00504E35" w:rsidP="006F7632">
            <w:pPr>
              <w:pStyle w:val="Tabletext0"/>
              <w:spacing w:before="0" w:after="120"/>
              <w:jc w:val="left"/>
            </w:pPr>
            <w:r>
              <w:t>Moderate risk of bias (NHLBI for case series)</w:t>
            </w:r>
          </w:p>
        </w:tc>
        <w:tc>
          <w:tcPr>
            <w:tcW w:w="1770" w:type="dxa"/>
            <w:tcBorders>
              <w:top w:val="single" w:sz="4" w:space="0" w:color="auto"/>
              <w:left w:val="single" w:sz="4" w:space="0" w:color="auto"/>
              <w:bottom w:val="single" w:sz="4" w:space="0" w:color="auto"/>
              <w:right w:val="single" w:sz="4" w:space="0" w:color="auto"/>
            </w:tcBorders>
          </w:tcPr>
          <w:p w14:paraId="48F61053" w14:textId="77777777" w:rsidR="00504E35" w:rsidRDefault="00504E35" w:rsidP="006F7632">
            <w:pPr>
              <w:pStyle w:val="Tabletext0"/>
              <w:spacing w:before="0" w:after="120"/>
              <w:jc w:val="left"/>
            </w:pPr>
            <w:r>
              <w:t>China</w:t>
            </w:r>
          </w:p>
          <w:p w14:paraId="22DD2AC7" w14:textId="77777777" w:rsidR="00504E35" w:rsidRDefault="00504E35" w:rsidP="006F7632">
            <w:pPr>
              <w:pStyle w:val="Tabletext0"/>
              <w:spacing w:before="0" w:after="120"/>
              <w:jc w:val="left"/>
            </w:pPr>
            <w:r>
              <w:t>A single hospital (samples submitted for targeted NGS testing at a single centre)</w:t>
            </w:r>
          </w:p>
          <w:p w14:paraId="19BED9FB" w14:textId="77777777" w:rsidR="00504E35" w:rsidRDefault="00504E35" w:rsidP="006F7632">
            <w:pPr>
              <w:pStyle w:val="Tabletext0"/>
              <w:spacing w:before="0" w:after="120"/>
              <w:jc w:val="left"/>
            </w:pPr>
            <w:r>
              <w:lastRenderedPageBreak/>
              <w:t>16 months (mean)</w:t>
            </w:r>
          </w:p>
        </w:tc>
        <w:tc>
          <w:tcPr>
            <w:tcW w:w="2215" w:type="dxa"/>
            <w:tcBorders>
              <w:top w:val="single" w:sz="4" w:space="0" w:color="auto"/>
              <w:left w:val="single" w:sz="4" w:space="0" w:color="auto"/>
              <w:bottom w:val="single" w:sz="4" w:space="0" w:color="auto"/>
              <w:right w:val="single" w:sz="4" w:space="0" w:color="auto"/>
            </w:tcBorders>
          </w:tcPr>
          <w:p w14:paraId="49BD22D0" w14:textId="77777777" w:rsidR="00504E35" w:rsidRDefault="00504E35" w:rsidP="006F7632">
            <w:pPr>
              <w:pStyle w:val="Tabletext0"/>
              <w:spacing w:before="0" w:after="120"/>
              <w:jc w:val="left"/>
            </w:pPr>
            <w:r>
              <w:lastRenderedPageBreak/>
              <w:t>N=1,466 patients with NSCLC who received targeted NGS detection</w:t>
            </w:r>
          </w:p>
          <w:p w14:paraId="77ED5AFA" w14:textId="77777777" w:rsidR="00504E35" w:rsidRDefault="00504E35" w:rsidP="006F7632">
            <w:pPr>
              <w:pStyle w:val="Tabletext0"/>
              <w:spacing w:before="0" w:after="120"/>
              <w:jc w:val="left"/>
            </w:pPr>
            <w:r w:rsidRPr="00842B79">
              <w:rPr>
                <w:u w:val="single"/>
              </w:rPr>
              <w:t>Health outcome</w:t>
            </w:r>
            <w:r>
              <w:t xml:space="preserve">: </w:t>
            </w:r>
          </w:p>
          <w:p w14:paraId="67C82BB8" w14:textId="77777777" w:rsidR="00504E35" w:rsidRDefault="00504E35" w:rsidP="006F7632">
            <w:pPr>
              <w:pStyle w:val="Tabletext0"/>
              <w:spacing w:before="0" w:after="120"/>
              <w:jc w:val="left"/>
            </w:pPr>
            <w:r>
              <w:t xml:space="preserve">n=19 patients tested positive for </w:t>
            </w:r>
            <w:r w:rsidRPr="00657B6C">
              <w:rPr>
                <w:i/>
              </w:rPr>
              <w:t>ROS1</w:t>
            </w:r>
            <w:r>
              <w:t xml:space="preserve"> </w:t>
            </w:r>
            <w:r>
              <w:lastRenderedPageBreak/>
              <w:t>rearrangement and receiving crizotinib</w:t>
            </w:r>
          </w:p>
          <w:p w14:paraId="05421846" w14:textId="77777777" w:rsidR="00504E35" w:rsidRDefault="00504E35" w:rsidP="006F7632">
            <w:pPr>
              <w:pStyle w:val="Tabletext0"/>
              <w:spacing w:before="0" w:after="120"/>
              <w:jc w:val="left"/>
            </w:pPr>
            <w:r>
              <w:t>95.5% adenocarcinoma</w:t>
            </w:r>
          </w:p>
          <w:p w14:paraId="53A9F485" w14:textId="77777777" w:rsidR="00504E35" w:rsidRDefault="00504E35" w:rsidP="006F7632">
            <w:pPr>
              <w:pStyle w:val="Tabletext0"/>
              <w:spacing w:before="0" w:after="120"/>
              <w:jc w:val="left"/>
            </w:pPr>
            <w:r>
              <w:t>0% SCC</w:t>
            </w:r>
          </w:p>
          <w:p w14:paraId="3A1669E9" w14:textId="77777777" w:rsidR="00504E35" w:rsidRDefault="00504E35" w:rsidP="006F7632">
            <w:pPr>
              <w:pStyle w:val="Tabletext0"/>
              <w:spacing w:before="0" w:after="120"/>
              <w:jc w:val="left"/>
            </w:pPr>
            <w:r>
              <w:t>4.5% adenosquamous carcinoma</w:t>
            </w:r>
          </w:p>
        </w:tc>
        <w:tc>
          <w:tcPr>
            <w:tcW w:w="1961" w:type="dxa"/>
            <w:tcBorders>
              <w:top w:val="single" w:sz="4" w:space="0" w:color="auto"/>
              <w:left w:val="single" w:sz="4" w:space="0" w:color="auto"/>
              <w:bottom w:val="single" w:sz="4" w:space="0" w:color="auto"/>
              <w:right w:val="single" w:sz="4" w:space="0" w:color="auto"/>
            </w:tcBorders>
          </w:tcPr>
          <w:p w14:paraId="08E9D016" w14:textId="77777777" w:rsidR="00504E35" w:rsidRPr="00C01D2E" w:rsidRDefault="00504E35" w:rsidP="006F7632">
            <w:pPr>
              <w:pStyle w:val="Tabletext0"/>
              <w:spacing w:before="0" w:after="120"/>
              <w:jc w:val="left"/>
            </w:pPr>
            <w:r>
              <w:lastRenderedPageBreak/>
              <w:t xml:space="preserve">DNA profiled using a commercially available capture-based targeted sequencing panel (Burning Rock Biotech, Guangzhou, China), targeting 56 or 168 </w:t>
            </w:r>
            <w:r>
              <w:lastRenderedPageBreak/>
              <w:t xml:space="preserve">genes, </w:t>
            </w:r>
            <w:r w:rsidRPr="00657B6C">
              <w:t>sequenced on a Nextseq (Illumina)</w:t>
            </w:r>
          </w:p>
        </w:tc>
        <w:tc>
          <w:tcPr>
            <w:tcW w:w="2399" w:type="dxa"/>
            <w:tcBorders>
              <w:top w:val="single" w:sz="4" w:space="0" w:color="auto"/>
              <w:left w:val="single" w:sz="4" w:space="0" w:color="auto"/>
              <w:bottom w:val="single" w:sz="4" w:space="0" w:color="auto"/>
              <w:right w:val="single" w:sz="4" w:space="0" w:color="auto"/>
            </w:tcBorders>
          </w:tcPr>
          <w:p w14:paraId="0CE09790" w14:textId="77777777" w:rsidR="00504E35" w:rsidRPr="00762C49" w:rsidRDefault="00504E35" w:rsidP="006F7632">
            <w:pPr>
              <w:pStyle w:val="Tabletext0"/>
              <w:spacing w:before="0" w:after="120"/>
              <w:jc w:val="left"/>
            </w:pPr>
            <w:r>
              <w:lastRenderedPageBreak/>
              <w:t xml:space="preserve">Not applicable </w:t>
            </w:r>
          </w:p>
        </w:tc>
        <w:tc>
          <w:tcPr>
            <w:tcW w:w="1661" w:type="dxa"/>
            <w:tcBorders>
              <w:top w:val="single" w:sz="4" w:space="0" w:color="auto"/>
              <w:left w:val="single" w:sz="4" w:space="0" w:color="auto"/>
              <w:bottom w:val="single" w:sz="4" w:space="0" w:color="auto"/>
              <w:right w:val="single" w:sz="4" w:space="0" w:color="auto"/>
            </w:tcBorders>
          </w:tcPr>
          <w:p w14:paraId="1F23324D" w14:textId="77777777" w:rsidR="00504E35" w:rsidRDefault="00504E35" w:rsidP="006F7632">
            <w:pPr>
              <w:pStyle w:val="Tabletext0"/>
              <w:spacing w:before="0" w:after="120"/>
              <w:jc w:val="left"/>
            </w:pPr>
            <w:r>
              <w:t>Diagnostic Yield</w:t>
            </w:r>
          </w:p>
          <w:p w14:paraId="244D7649" w14:textId="77777777" w:rsidR="00504E35" w:rsidRDefault="00504E35" w:rsidP="006F7632">
            <w:pPr>
              <w:pStyle w:val="Tabletext0"/>
              <w:spacing w:before="0" w:after="120"/>
              <w:jc w:val="left"/>
            </w:pPr>
            <w:r>
              <w:t xml:space="preserve">Health outcomes (ORR, PFS, and AEs) </w:t>
            </w:r>
          </w:p>
        </w:tc>
      </w:tr>
      <w:tr w:rsidR="00504E35" w:rsidRPr="00183E4D" w14:paraId="0EA52E5A" w14:textId="77777777" w:rsidTr="006F7632">
        <w:trPr>
          <w:trHeight w:val="319"/>
        </w:trPr>
        <w:tc>
          <w:tcPr>
            <w:tcW w:w="1384" w:type="dxa"/>
            <w:tcBorders>
              <w:top w:val="single" w:sz="4" w:space="0" w:color="auto"/>
              <w:left w:val="single" w:sz="4" w:space="0" w:color="auto"/>
              <w:bottom w:val="single" w:sz="4" w:space="0" w:color="auto"/>
              <w:right w:val="single" w:sz="4" w:space="0" w:color="auto"/>
            </w:tcBorders>
          </w:tcPr>
          <w:p w14:paraId="343D9385" w14:textId="66D4C3C4" w:rsidR="00504E35" w:rsidRDefault="00B4668F" w:rsidP="00B4668F">
            <w:pPr>
              <w:pStyle w:val="Tabletext0"/>
              <w:jc w:val="left"/>
            </w:pPr>
            <w:r>
              <w:fldChar w:fldCharType="begin"/>
            </w:r>
            <w:r>
              <w:instrText xml:space="preserve"> ADDIN EN.CITE &lt;EndNote&gt;&lt;Cite&gt;&lt;Author&gt;Zugazagoitia&lt;/Author&gt;&lt;Year&gt;2018&lt;/Year&gt;&lt;RecNum&gt;72&lt;/RecNum&gt;&lt;IDText&gt;65-73.e7&lt;/IDText&gt;&lt;DisplayText&gt;(Zugazagoitia et al. 2018)&lt;/DisplayText&gt;&lt;record&gt;&lt;rec-number&gt;72&lt;/rec-number&gt;&lt;foreign-keys&gt;&lt;key app="EN" db-id="0tprsse9cpp5r3ea5dz5p0xw2pfwvwxpa5a5" timestamp="1651815038"&gt;72&lt;/key&gt;&lt;/foreign-keys&gt;&lt;ref-type name="Journal Article"&gt;17&lt;/ref-type&gt;&lt;contributors&gt;&lt;authors&gt;&lt;author&gt;Zugazagoitia, J.&lt;/author&gt;&lt;author&gt;Rueda, D.&lt;/author&gt;&lt;author&gt;Carrizo, N.&lt;/author&gt;&lt;author&gt;Enguita, A. B.&lt;/author&gt;&lt;author&gt;Gómez-Sánchez, D.&lt;/author&gt;&lt;author&gt;Díaz-Serrano, A.&lt;/author&gt;&lt;author&gt;Jiménez, E.&lt;/author&gt;&lt;author&gt;Mérida, A.&lt;/author&gt;&lt;author&gt;Calero, R.&lt;/author&gt;&lt;author&gt;Lujan, R.&lt;/author&gt;&lt;author&gt;De Miguel, E.&lt;/author&gt;&lt;author&gt;Gámez, P.&lt;/author&gt;&lt;author&gt;Díaz-Hellín, V.&lt;/author&gt;&lt;author&gt;Nuñez, J. A.&lt;/author&gt;&lt;author&gt;Iglesias, L.&lt;/author&gt;&lt;author&gt;Ferrer, I.&lt;/author&gt;&lt;author&gt;Paz-Ares, L.&lt;/author&gt;&lt;author&gt;Ponce-Aix, S.&lt;/author&gt;&lt;/authors&gt;&lt;/contributors&gt;&lt;titles&gt;&lt;title&gt;Prospective Clinical Integration of an Amplicon-Based Next-Generation Sequencing Method to Select Advanced Non–Small-Cell Lung Cancer Patients for Genotype-Tailored Treatments&lt;/title&gt;&lt;secondary-title&gt;Clinical Lung Cancer&lt;/secondary-title&gt;&lt;/titles&gt;&lt;periodical&gt;&lt;full-title&gt;Clinical Lung Cancer&lt;/full-title&gt;&lt;/periodical&gt;&lt;pages&gt;65-73.e7&lt;/pages&gt;&lt;volume&gt;19&lt;/volume&gt;&lt;number&gt;1&lt;/number&gt;&lt;dates&gt;&lt;year&gt;2018&lt;/year&gt;&lt;/dates&gt;&lt;work-type&gt;Article&lt;/work-type&gt;&lt;urls&gt;&lt;related-urls&gt;&lt;url&gt;https://www.scopus.com/inward/record.uri?eid=2-s2.0-85026785920&amp;amp;doi=10.1016%2fj.cllc.2017.06.008&amp;amp;partnerID=40&amp;amp;md5=ad14a108ae1fb13bf5f730a5f90b7327&lt;/url&gt;&lt;url&gt;https://ac.els-cdn.com/S152573041730181X/1-s2.0-S152573041730181X-main.pdf?_tid=4bb1d394-9894-4f53-8f69-522c3178264f&amp;amp;acdnat=1550019426_9f5124462db1835eca1c86b520c48e73&lt;/url&gt;&lt;/related-urls&gt;&lt;/urls&gt;&lt;electronic-resource-num&gt;10.1016/j.cllc.2017.06.008&lt;/electronic-resource-num&gt;&lt;remote-database-name&gt;Scopus&lt;/remote-database-name&gt;&lt;/record&gt;&lt;/Cite&gt;&lt;/EndNote&gt;</w:instrText>
            </w:r>
            <w:r>
              <w:fldChar w:fldCharType="separate"/>
            </w:r>
            <w:r>
              <w:rPr>
                <w:noProof/>
              </w:rPr>
              <w:t>(Zugazagoitia et al. 2018)</w:t>
            </w:r>
            <w:r>
              <w:fldChar w:fldCharType="end"/>
            </w:r>
          </w:p>
        </w:tc>
        <w:tc>
          <w:tcPr>
            <w:tcW w:w="1479" w:type="dxa"/>
            <w:tcBorders>
              <w:top w:val="single" w:sz="4" w:space="0" w:color="auto"/>
              <w:left w:val="single" w:sz="4" w:space="0" w:color="auto"/>
              <w:bottom w:val="single" w:sz="4" w:space="0" w:color="auto"/>
              <w:right w:val="single" w:sz="4" w:space="0" w:color="auto"/>
            </w:tcBorders>
          </w:tcPr>
          <w:p w14:paraId="395120FF" w14:textId="77777777" w:rsidR="00504E35" w:rsidRPr="00956452" w:rsidRDefault="00504E35" w:rsidP="006F7632">
            <w:pPr>
              <w:pStyle w:val="Tabletext0"/>
              <w:jc w:val="left"/>
            </w:pPr>
            <w:r w:rsidRPr="00956452">
              <w:t>Retrospective cohort study</w:t>
            </w:r>
          </w:p>
          <w:p w14:paraId="786B9BA4" w14:textId="77777777" w:rsidR="00504E35" w:rsidRPr="00183E4D" w:rsidRDefault="00504E35" w:rsidP="006F7632">
            <w:pPr>
              <w:pStyle w:val="Tabletext0"/>
              <w:jc w:val="left"/>
            </w:pPr>
            <w:r w:rsidRPr="00956452">
              <w:t>Level III-2</w:t>
            </w:r>
          </w:p>
        </w:tc>
        <w:tc>
          <w:tcPr>
            <w:tcW w:w="1770" w:type="dxa"/>
            <w:tcBorders>
              <w:top w:val="single" w:sz="4" w:space="0" w:color="auto"/>
              <w:left w:val="single" w:sz="4" w:space="0" w:color="auto"/>
              <w:bottom w:val="single" w:sz="4" w:space="0" w:color="auto"/>
              <w:right w:val="single" w:sz="4" w:space="0" w:color="auto"/>
            </w:tcBorders>
          </w:tcPr>
          <w:p w14:paraId="533EEDF2" w14:textId="77777777" w:rsidR="00504E35" w:rsidRDefault="00504E35" w:rsidP="006F7632">
            <w:pPr>
              <w:pStyle w:val="Tabletext0"/>
              <w:jc w:val="left"/>
            </w:pPr>
            <w:r>
              <w:t xml:space="preserve">Spain </w:t>
            </w:r>
          </w:p>
          <w:p w14:paraId="303B310F" w14:textId="77777777" w:rsidR="00504E35" w:rsidRDefault="00504E35" w:rsidP="006F7632">
            <w:pPr>
              <w:pStyle w:val="Tabletext0"/>
              <w:jc w:val="left"/>
            </w:pPr>
          </w:p>
          <w:p w14:paraId="69D5E59D" w14:textId="77777777" w:rsidR="00504E35" w:rsidRDefault="00504E35" w:rsidP="006F7632">
            <w:pPr>
              <w:pStyle w:val="Tabletext0"/>
              <w:spacing w:before="0" w:after="120"/>
              <w:jc w:val="left"/>
            </w:pPr>
            <w:r>
              <w:t>A single hospital (samples submitted for targeted NGS testing at a single centre)</w:t>
            </w:r>
          </w:p>
          <w:p w14:paraId="4DD697B8" w14:textId="77777777" w:rsidR="00504E35" w:rsidRDefault="00504E35" w:rsidP="006F7632">
            <w:pPr>
              <w:pStyle w:val="Tabletext0"/>
              <w:jc w:val="left"/>
            </w:pPr>
          </w:p>
          <w:p w14:paraId="3C8745F6" w14:textId="77777777" w:rsidR="00504E35" w:rsidRPr="00183E4D" w:rsidRDefault="00504E35" w:rsidP="006F7632">
            <w:pPr>
              <w:pStyle w:val="Tabletext0"/>
              <w:jc w:val="left"/>
            </w:pPr>
            <w:r>
              <w:t>18 months</w:t>
            </w:r>
          </w:p>
        </w:tc>
        <w:tc>
          <w:tcPr>
            <w:tcW w:w="2215" w:type="dxa"/>
            <w:tcBorders>
              <w:top w:val="single" w:sz="4" w:space="0" w:color="auto"/>
              <w:left w:val="single" w:sz="4" w:space="0" w:color="auto"/>
              <w:bottom w:val="single" w:sz="4" w:space="0" w:color="auto"/>
              <w:right w:val="single" w:sz="4" w:space="0" w:color="auto"/>
            </w:tcBorders>
          </w:tcPr>
          <w:p w14:paraId="2C93B939" w14:textId="77777777" w:rsidR="00504E35" w:rsidRDefault="00504E35" w:rsidP="006F7632">
            <w:pPr>
              <w:pStyle w:val="Tabletext0"/>
              <w:jc w:val="left"/>
            </w:pPr>
            <w:r>
              <w:t>N=109 c</w:t>
            </w:r>
            <w:r w:rsidRPr="00466470">
              <w:t xml:space="preserve">onsecutive advanced stage </w:t>
            </w:r>
            <w:r>
              <w:rPr>
                <w:snapToGrid w:val="0"/>
              </w:rPr>
              <w:t xml:space="preserve">(mostly stage IV) </w:t>
            </w:r>
            <w:r w:rsidRPr="00466470">
              <w:t>NSCLC patients reviewed in a single centre</w:t>
            </w:r>
          </w:p>
          <w:p w14:paraId="3A3584CB" w14:textId="77777777" w:rsidR="00504E35" w:rsidRDefault="00504E35" w:rsidP="006F7632">
            <w:pPr>
              <w:pStyle w:val="Tabletext0"/>
              <w:jc w:val="left"/>
            </w:pPr>
            <w:r>
              <w:t>75.2% adenocarcinoma</w:t>
            </w:r>
          </w:p>
          <w:p w14:paraId="3234255B" w14:textId="77777777" w:rsidR="00504E35" w:rsidRDefault="00504E35" w:rsidP="006F7632">
            <w:pPr>
              <w:pStyle w:val="Tabletext0"/>
              <w:jc w:val="left"/>
            </w:pPr>
            <w:r>
              <w:t>18.4% SCC</w:t>
            </w:r>
          </w:p>
          <w:p w14:paraId="1589E416" w14:textId="77777777" w:rsidR="00504E35" w:rsidRPr="00183E4D" w:rsidRDefault="00504E35" w:rsidP="006F7632">
            <w:pPr>
              <w:pStyle w:val="Tabletext0"/>
              <w:jc w:val="left"/>
            </w:pPr>
            <w:r>
              <w:t>6.4% LCC</w:t>
            </w:r>
          </w:p>
        </w:tc>
        <w:tc>
          <w:tcPr>
            <w:tcW w:w="1961" w:type="dxa"/>
            <w:tcBorders>
              <w:top w:val="single" w:sz="4" w:space="0" w:color="auto"/>
              <w:left w:val="single" w:sz="4" w:space="0" w:color="auto"/>
              <w:bottom w:val="single" w:sz="4" w:space="0" w:color="auto"/>
              <w:right w:val="single" w:sz="4" w:space="0" w:color="auto"/>
            </w:tcBorders>
          </w:tcPr>
          <w:p w14:paraId="65FFD32B" w14:textId="77777777" w:rsidR="00504E35" w:rsidRPr="00183E4D" w:rsidRDefault="00504E35" w:rsidP="006F7632">
            <w:pPr>
              <w:pStyle w:val="Tabletext0"/>
              <w:jc w:val="left"/>
            </w:pPr>
            <w:r w:rsidRPr="00762C49">
              <w:t>NGS DNA analysis for hot spots in 22 genes, RNA analysis for 72 fusion variants</w:t>
            </w:r>
          </w:p>
        </w:tc>
        <w:tc>
          <w:tcPr>
            <w:tcW w:w="2399" w:type="dxa"/>
            <w:tcBorders>
              <w:top w:val="single" w:sz="4" w:space="0" w:color="auto"/>
              <w:left w:val="single" w:sz="4" w:space="0" w:color="auto"/>
              <w:bottom w:val="single" w:sz="4" w:space="0" w:color="auto"/>
              <w:right w:val="single" w:sz="4" w:space="0" w:color="auto"/>
            </w:tcBorders>
          </w:tcPr>
          <w:p w14:paraId="2254F4C9" w14:textId="77777777" w:rsidR="00504E35" w:rsidRPr="00183E4D" w:rsidRDefault="00504E35" w:rsidP="006F7632">
            <w:pPr>
              <w:pStyle w:val="Tabletext0"/>
              <w:jc w:val="left"/>
            </w:pPr>
            <w:r w:rsidRPr="00762C49">
              <w:t xml:space="preserve">Cobas for </w:t>
            </w:r>
            <w:r w:rsidRPr="007F786A">
              <w:rPr>
                <w:i/>
              </w:rPr>
              <w:t>EGFR</w:t>
            </w:r>
            <w:r w:rsidRPr="00762C49">
              <w:t xml:space="preserve">, IHC for ALK and </w:t>
            </w:r>
            <w:r w:rsidRPr="00B718E1">
              <w:rPr>
                <w:i/>
              </w:rPr>
              <w:t>ROS1</w:t>
            </w:r>
          </w:p>
        </w:tc>
        <w:tc>
          <w:tcPr>
            <w:tcW w:w="1661" w:type="dxa"/>
            <w:tcBorders>
              <w:top w:val="single" w:sz="4" w:space="0" w:color="auto"/>
              <w:left w:val="single" w:sz="4" w:space="0" w:color="auto"/>
              <w:bottom w:val="single" w:sz="4" w:space="0" w:color="auto"/>
              <w:right w:val="single" w:sz="4" w:space="0" w:color="auto"/>
            </w:tcBorders>
          </w:tcPr>
          <w:p w14:paraId="303F8688" w14:textId="77777777" w:rsidR="00504E35" w:rsidRDefault="00504E35" w:rsidP="006F7632">
            <w:pPr>
              <w:pStyle w:val="Tabletext0"/>
              <w:jc w:val="left"/>
            </w:pPr>
            <w:r>
              <w:t>Rebiopsy rate</w:t>
            </w:r>
          </w:p>
          <w:p w14:paraId="1018DC23" w14:textId="77777777" w:rsidR="00504E35" w:rsidRDefault="00504E35" w:rsidP="006F7632">
            <w:pPr>
              <w:pStyle w:val="Tabletext0"/>
              <w:jc w:val="left"/>
            </w:pPr>
            <w:r>
              <w:t>Test failure rate</w:t>
            </w:r>
          </w:p>
          <w:p w14:paraId="24C1DE31" w14:textId="77777777" w:rsidR="00504E35" w:rsidRDefault="00504E35" w:rsidP="006F7632">
            <w:pPr>
              <w:pStyle w:val="Tabletext0"/>
              <w:jc w:val="left"/>
            </w:pPr>
            <w:r>
              <w:t>Inadequate sample exclusion rate</w:t>
            </w:r>
          </w:p>
          <w:p w14:paraId="3C75CF79" w14:textId="77777777" w:rsidR="00504E35" w:rsidRPr="00183E4D" w:rsidRDefault="00504E35" w:rsidP="006F7632">
            <w:pPr>
              <w:pStyle w:val="Tabletext0"/>
              <w:jc w:val="left"/>
            </w:pPr>
            <w:r>
              <w:t>Concordance</w:t>
            </w:r>
          </w:p>
        </w:tc>
      </w:tr>
    </w:tbl>
    <w:p w14:paraId="7337E91B" w14:textId="73F099C0" w:rsidR="00F44895" w:rsidRPr="00CE28E3" w:rsidRDefault="00F44895" w:rsidP="00804632"/>
    <w:p w14:paraId="48206E3F" w14:textId="77777777" w:rsidR="004C426C" w:rsidRDefault="004C426C" w:rsidP="00804632">
      <w:pPr>
        <w:sectPr w:rsidR="004C426C" w:rsidSect="004C426C">
          <w:pgSz w:w="16838" w:h="11906" w:orient="landscape"/>
          <w:pgMar w:top="1440" w:right="1440" w:bottom="1440" w:left="1440" w:header="708" w:footer="708" w:gutter="0"/>
          <w:cols w:space="708"/>
          <w:docGrid w:linePitch="360"/>
        </w:sectPr>
      </w:pPr>
    </w:p>
    <w:p w14:paraId="684B55D3" w14:textId="77777777" w:rsidR="00804632" w:rsidRDefault="00804632" w:rsidP="00804632"/>
    <w:p w14:paraId="45C56453" w14:textId="0055D1B1" w:rsidR="00804632" w:rsidRPr="00CE28E3" w:rsidRDefault="00804632" w:rsidP="000A10BF">
      <w:pPr>
        <w:pStyle w:val="Heading1"/>
        <w:numPr>
          <w:ilvl w:val="0"/>
          <w:numId w:val="0"/>
        </w:numPr>
        <w:tabs>
          <w:tab w:val="left" w:pos="2835"/>
        </w:tabs>
        <w:ind w:left="2835" w:hanging="2835"/>
      </w:pPr>
      <w:bookmarkStart w:id="286" w:name="_Ref54773109"/>
      <w:bookmarkStart w:id="287" w:name="_Toc54940867"/>
      <w:bookmarkStart w:id="288" w:name="_Toc148531204"/>
      <w:r w:rsidRPr="00CE28E3">
        <w:t xml:space="preserve">Appendix </w:t>
      </w:r>
      <w:fldSimple w:instr=" SEQ Appendix \* ALPHABETIC ">
        <w:r w:rsidR="00C857F3">
          <w:rPr>
            <w:noProof/>
          </w:rPr>
          <w:t>C</w:t>
        </w:r>
      </w:fldSimple>
      <w:bookmarkEnd w:id="286"/>
      <w:r w:rsidRPr="00CE28E3">
        <w:tab/>
        <w:t>Excluded studies</w:t>
      </w:r>
      <w:bookmarkEnd w:id="287"/>
      <w:bookmarkEnd w:id="288"/>
    </w:p>
    <w:p w14:paraId="3AE16B94" w14:textId="77777777" w:rsidR="00504E35" w:rsidRDefault="00504E35" w:rsidP="00504E35">
      <w:pPr>
        <w:pStyle w:val="Instructionaltext"/>
        <w:rPr>
          <w:color w:val="auto"/>
        </w:rPr>
      </w:pPr>
      <w:bookmarkStart w:id="289" w:name="_Toc54940868"/>
      <w:r>
        <w:rPr>
          <w:color w:val="auto"/>
        </w:rPr>
        <w:t xml:space="preserve">Studies which may have met the inclusion criteria, but were excluded for other reasons, are listed below. </w:t>
      </w:r>
    </w:p>
    <w:p w14:paraId="74E8CDA7" w14:textId="77777777" w:rsidR="00504E35" w:rsidRDefault="00504E35" w:rsidP="00504E35">
      <w:pPr>
        <w:pStyle w:val="Heading3"/>
      </w:pPr>
      <w:bookmarkStart w:id="290" w:name="_Toc148531205"/>
      <w:r>
        <w:t>Conference abstract</w:t>
      </w:r>
      <w:bookmarkEnd w:id="290"/>
    </w:p>
    <w:p w14:paraId="2226650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Aggarwal, A, Sabnis, N, Mishra, A, Kumar, V, Mohanty, SS, Kini, L, Sharma, S &amp; Mohanty, S 2021, 'Relevance of next-generation sequencing in non-small cell lung cancer; molecular epidemiology study in Indian patients', </w:t>
      </w:r>
      <w:r>
        <w:rPr>
          <w:rFonts w:ascii="Segoe UI" w:hAnsi="Segoe UI" w:cs="Segoe UI"/>
          <w:i/>
          <w:iCs/>
          <w:sz w:val="18"/>
          <w:szCs w:val="18"/>
        </w:rPr>
        <w:t>Laboratory Investigation</w:t>
      </w:r>
      <w:r>
        <w:rPr>
          <w:rFonts w:ascii="Segoe UI" w:hAnsi="Segoe UI" w:cs="Segoe UI"/>
          <w:sz w:val="18"/>
          <w:szCs w:val="18"/>
        </w:rPr>
        <w:t>, vol. 101(SUPPL 1), March, pp. 1087-1088.</w:t>
      </w:r>
    </w:p>
    <w:p w14:paraId="35FF4E0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E6260F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Amrith, BP, Sharma, M, Jain, P, Joga, S, Koyyala, VPB, Mehta, A &amp; Batra, U 2019, 'NGS in advanced NSCLC in a developing country: Ready for prime time?', </w:t>
      </w:r>
      <w:r>
        <w:rPr>
          <w:rFonts w:ascii="Segoe UI" w:hAnsi="Segoe UI" w:cs="Segoe UI"/>
          <w:i/>
          <w:iCs/>
          <w:sz w:val="18"/>
          <w:szCs w:val="18"/>
        </w:rPr>
        <w:t>Annals of Oncology</w:t>
      </w:r>
      <w:r>
        <w:rPr>
          <w:rFonts w:ascii="Segoe UI" w:hAnsi="Segoe UI" w:cs="Segoe UI"/>
          <w:sz w:val="18"/>
          <w:szCs w:val="18"/>
        </w:rPr>
        <w:t>, vol. 30(Supplement 9), November, p. ix127.</w:t>
      </w:r>
    </w:p>
    <w:p w14:paraId="3F2F344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0F48ED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Anhorn, R, Roberts, G, Skovhus, M &amp; Khorshid, M 2017, 'Impact of comprehensive genomic profiling of patients with first line non-small cell lung cancer in the UK', </w:t>
      </w:r>
      <w:r>
        <w:rPr>
          <w:rFonts w:ascii="Segoe UI" w:hAnsi="Segoe UI" w:cs="Segoe UI"/>
          <w:i/>
          <w:iCs/>
          <w:sz w:val="18"/>
          <w:szCs w:val="18"/>
        </w:rPr>
        <w:t>Value in Health</w:t>
      </w:r>
      <w:r>
        <w:rPr>
          <w:rFonts w:ascii="Segoe UI" w:hAnsi="Segoe UI" w:cs="Segoe UI"/>
          <w:sz w:val="18"/>
          <w:szCs w:val="18"/>
        </w:rPr>
        <w:t>, vol. 20(9), OctoberNovember, p. A575.</w:t>
      </w:r>
    </w:p>
    <w:p w14:paraId="1119615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5B740A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Arrieta, O, Gerson, R, Blanco, C, Meza, JA, Silva, A, Rivera, SR, Zuloaga, C, Lazaro, M, Kazakova, E &amp; Villa, A 2019, 'P2.04 NGS-Molecular Characterization of Lung Adenocarcinomas from Hispanic Patients: Level of Evidence for Therapeutic Actionability', </w:t>
      </w:r>
      <w:r>
        <w:rPr>
          <w:rFonts w:ascii="Segoe UI" w:hAnsi="Segoe UI" w:cs="Segoe UI"/>
          <w:i/>
          <w:iCs/>
          <w:sz w:val="18"/>
          <w:szCs w:val="18"/>
        </w:rPr>
        <w:t>Journal of Thoracic Oncology</w:t>
      </w:r>
      <w:r>
        <w:rPr>
          <w:rFonts w:ascii="Segoe UI" w:hAnsi="Segoe UI" w:cs="Segoe UI"/>
          <w:sz w:val="18"/>
          <w:szCs w:val="18"/>
        </w:rPr>
        <w:t>, vol. 14(11 Supplement 2), November, p. S1186.</w:t>
      </w:r>
    </w:p>
    <w:p w14:paraId="3237696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2D2A8F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Baggi, A, Bellavista, D, Bonetti, G, Dionisi, M, Franzini, JM, Gancitano, G, Masetti, L, Pinto, P, Scalamogna, R &amp; Volpe, M 2018, 'Next Generation Sequencing: Benefit Analysis to Support a Strategic Adoption Model in the Italian Nhs', </w:t>
      </w:r>
      <w:r>
        <w:rPr>
          <w:rFonts w:ascii="Segoe UI" w:hAnsi="Segoe UI" w:cs="Segoe UI"/>
          <w:i/>
          <w:iCs/>
          <w:sz w:val="18"/>
          <w:szCs w:val="18"/>
        </w:rPr>
        <w:t>Value in Health</w:t>
      </w:r>
      <w:r>
        <w:rPr>
          <w:rFonts w:ascii="Segoe UI" w:hAnsi="Segoe UI" w:cs="Segoe UI"/>
          <w:sz w:val="18"/>
          <w:szCs w:val="18"/>
        </w:rPr>
        <w:t>, vol. 21(Supplement 3), October, pp. S269-S270.</w:t>
      </w:r>
    </w:p>
    <w:p w14:paraId="36A9202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143BE9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Baggi, A, Bonetti, G, Gancitano, G, Scalamogna, R, Peccerillo, C, Volpe, M, Franzini, JM, Vecchione, A, Sapino, A, Pruneri, G &amp; Jommi, C 2019, 'Pcn177 Organizational and Economic Impact of Next Generation Sequencing and Hotspot Approach', </w:t>
      </w:r>
      <w:r>
        <w:rPr>
          <w:rFonts w:ascii="Segoe UI" w:hAnsi="Segoe UI" w:cs="Segoe UI"/>
          <w:i/>
          <w:iCs/>
          <w:sz w:val="18"/>
          <w:szCs w:val="18"/>
        </w:rPr>
        <w:t>Value in Health</w:t>
      </w:r>
      <w:r>
        <w:rPr>
          <w:rFonts w:ascii="Segoe UI" w:hAnsi="Segoe UI" w:cs="Segoe UI"/>
          <w:sz w:val="18"/>
          <w:szCs w:val="18"/>
        </w:rPr>
        <w:t>, vol. 22(Supplement 3), November, p. S470.</w:t>
      </w:r>
    </w:p>
    <w:p w14:paraId="6EF30D0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D46C60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Bal, A 2019, 'ES09.01 How I Optimize Tissue Specimen Processing for Histopathological and Molecular Profiling', </w:t>
      </w:r>
      <w:r>
        <w:rPr>
          <w:rFonts w:ascii="Segoe UI" w:hAnsi="Segoe UI" w:cs="Segoe UI"/>
          <w:i/>
          <w:iCs/>
          <w:sz w:val="18"/>
          <w:szCs w:val="18"/>
        </w:rPr>
        <w:t>Journal of Thoracic Oncology</w:t>
      </w:r>
      <w:r>
        <w:rPr>
          <w:rFonts w:ascii="Segoe UI" w:hAnsi="Segoe UI" w:cs="Segoe UI"/>
          <w:sz w:val="18"/>
          <w:szCs w:val="18"/>
        </w:rPr>
        <w:t>, vol. 14(10 Supplement), October, pp. S34-S35.</w:t>
      </w:r>
    </w:p>
    <w:p w14:paraId="1F275B9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3F1D5D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Basher, F, Saravia, D, Fanfan, D, Cotta, JA &amp; Lopes, G 2020, 'Impact of STK11 and KRAS comutations on outcomes with immunotherapy in non-small cell lung cancer', </w:t>
      </w:r>
      <w:r>
        <w:rPr>
          <w:rFonts w:ascii="Segoe UI" w:hAnsi="Segoe UI" w:cs="Segoe UI"/>
          <w:i/>
          <w:iCs/>
          <w:sz w:val="18"/>
          <w:szCs w:val="18"/>
        </w:rPr>
        <w:t>Journal of Clinical Oncology. Conference</w:t>
      </w:r>
      <w:r>
        <w:rPr>
          <w:rFonts w:ascii="Segoe UI" w:hAnsi="Segoe UI" w:cs="Segoe UI"/>
          <w:sz w:val="18"/>
          <w:szCs w:val="18"/>
        </w:rPr>
        <w:t>, vol. 38, no. 15.</w:t>
      </w:r>
    </w:p>
    <w:p w14:paraId="2FA4BFF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E64548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Basu, GD, Bello, JL &amp; Ozols, A 2020, 'Employing RNA sequencing to enhance treatment options for cancer patients', </w:t>
      </w:r>
      <w:r>
        <w:rPr>
          <w:rFonts w:ascii="Segoe UI" w:hAnsi="Segoe UI" w:cs="Segoe UI"/>
          <w:i/>
          <w:iCs/>
          <w:sz w:val="18"/>
          <w:szCs w:val="18"/>
        </w:rPr>
        <w:t>Journal of Clinical Oncology. Conference</w:t>
      </w:r>
      <w:r>
        <w:rPr>
          <w:rFonts w:ascii="Segoe UI" w:hAnsi="Segoe UI" w:cs="Segoe UI"/>
          <w:sz w:val="18"/>
          <w:szCs w:val="18"/>
        </w:rPr>
        <w:t>, vol. 38, no. 15.</w:t>
      </w:r>
    </w:p>
    <w:p w14:paraId="4A0C4A1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48315E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Basu Roy, U, Jacobson, M &amp; Ferris, A 2018, 'Willingness to Perform Multiple Biopsies to Improve Quality of Lung Cancer Care: Understanding the Oncologists' Perspective', </w:t>
      </w:r>
      <w:r>
        <w:rPr>
          <w:rFonts w:ascii="Segoe UI" w:hAnsi="Segoe UI" w:cs="Segoe UI"/>
          <w:i/>
          <w:iCs/>
          <w:sz w:val="18"/>
          <w:szCs w:val="18"/>
        </w:rPr>
        <w:t>Journal of Thoracic Oncology</w:t>
      </w:r>
      <w:r>
        <w:rPr>
          <w:rFonts w:ascii="Segoe UI" w:hAnsi="Segoe UI" w:cs="Segoe UI"/>
          <w:sz w:val="18"/>
          <w:szCs w:val="18"/>
        </w:rPr>
        <w:t>, vol. 13(10 Supplement), October, p. S380.</w:t>
      </w:r>
    </w:p>
    <w:p w14:paraId="43ECAFB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A1EB78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Batra, U, Nathany, S, Jose, JT, Sharma, M, Mehta, A &amp; Bansal, A 2022, 'LungMetrics India: Molecular epidemiology and testing patterns in 4,773 non squamous NSCLC patients', </w:t>
      </w:r>
      <w:r>
        <w:rPr>
          <w:rFonts w:ascii="Segoe UI" w:hAnsi="Segoe UI" w:cs="Segoe UI"/>
          <w:i/>
          <w:iCs/>
          <w:sz w:val="18"/>
          <w:szCs w:val="18"/>
        </w:rPr>
        <w:t>Annals of Oncology</w:t>
      </w:r>
      <w:r>
        <w:rPr>
          <w:rFonts w:ascii="Segoe UI" w:hAnsi="Segoe UI" w:cs="Segoe UI"/>
          <w:sz w:val="18"/>
          <w:szCs w:val="18"/>
        </w:rPr>
        <w:t>, vol. 33, 2022, pp. S106-S107.</w:t>
      </w:r>
    </w:p>
    <w:p w14:paraId="3774B0E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2B28FF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Bernicker, E, Xiao, Y, Abraham, A, Redpath, S, Engstrom-Melnyk, J, Croix, D, Yang, B, Shah, R &amp; Allen, T 2021, 'OFP01.07 Delayed ALK Testing Results in the US - Analysis with a Large Real World Oncology Database', </w:t>
      </w:r>
      <w:r>
        <w:rPr>
          <w:rFonts w:ascii="Segoe UI" w:hAnsi="Segoe UI" w:cs="Segoe UI"/>
          <w:i/>
          <w:iCs/>
          <w:sz w:val="18"/>
          <w:szCs w:val="18"/>
        </w:rPr>
        <w:t>Journal of Thoracic Oncology</w:t>
      </w:r>
      <w:r>
        <w:rPr>
          <w:rFonts w:ascii="Segoe UI" w:hAnsi="Segoe UI" w:cs="Segoe UI"/>
          <w:sz w:val="18"/>
          <w:szCs w:val="18"/>
        </w:rPr>
        <w:t>, vol. 16(1 Supplement), January, p. S11.</w:t>
      </w:r>
    </w:p>
    <w:p w14:paraId="6749C39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3E1F91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Bixby, B, Iravani, A, Ansari, S &amp; Reddy, C 2019, 'Utility of Endobronchial Ultrasound-Guided Sampling for Programmed Death: Ligand-1 Expression and Next-Generation Sequencing in Advanced Non-Small Cell Lung Cancer', </w:t>
      </w:r>
      <w:r>
        <w:rPr>
          <w:rFonts w:ascii="Segoe UI" w:hAnsi="Segoe UI" w:cs="Segoe UI"/>
          <w:i/>
          <w:iCs/>
          <w:sz w:val="18"/>
          <w:szCs w:val="18"/>
        </w:rPr>
        <w:t>Chest</w:t>
      </w:r>
      <w:r>
        <w:rPr>
          <w:rFonts w:ascii="Segoe UI" w:hAnsi="Segoe UI" w:cs="Segoe UI"/>
          <w:sz w:val="18"/>
          <w:szCs w:val="18"/>
        </w:rPr>
        <w:t>, vol. 156(4 Supplement), October, p. A926.</w:t>
      </w:r>
    </w:p>
    <w:p w14:paraId="5F1D8A6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B542B6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Bravo Montenegro, G, Vanderwalde, A, Raez, L, Nieva, J, Feldman, R, Herrmann, A, Nagasaka, M, Ikpeazu, C, Mamdani, H, Pai, S, Wozniak, A, Spira, A, Lopes, G, Liu, S &amp; Kim, C 2021, 'P76.43 Co-occurring genomic alterations and treatment outcomes in patients with EGFR exon 20 insertion positive NSCLC', </w:t>
      </w:r>
      <w:r>
        <w:rPr>
          <w:rFonts w:ascii="Segoe UI" w:hAnsi="Segoe UI" w:cs="Segoe UI"/>
          <w:i/>
          <w:iCs/>
          <w:sz w:val="18"/>
          <w:szCs w:val="18"/>
        </w:rPr>
        <w:t>Journal of Thoracic Oncology</w:t>
      </w:r>
      <w:r>
        <w:rPr>
          <w:rFonts w:ascii="Segoe UI" w:hAnsi="Segoe UI" w:cs="Segoe UI"/>
          <w:sz w:val="18"/>
          <w:szCs w:val="18"/>
        </w:rPr>
        <w:t>, vol. 16(3 Supplement), March, pp. S605-S606.</w:t>
      </w:r>
    </w:p>
    <w:p w14:paraId="3710C90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9FE0D5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Braxton, DR, Huang, Y, Darabi, S, Chavez, F, Das, PM &amp; Bowen, TJ 2021, 'Pathology molecular reflex testing improves turn-around-time and overall molecular testing rates in NSCLC', </w:t>
      </w:r>
      <w:r>
        <w:rPr>
          <w:rFonts w:ascii="Segoe UI" w:hAnsi="Segoe UI" w:cs="Segoe UI"/>
          <w:i/>
          <w:iCs/>
          <w:sz w:val="18"/>
          <w:szCs w:val="18"/>
        </w:rPr>
        <w:t>Journal of Clinical Oncology. Conference: Annual Meeting of the American Society of Clinical Oncology, ASCO</w:t>
      </w:r>
      <w:r>
        <w:rPr>
          <w:rFonts w:ascii="Segoe UI" w:hAnsi="Segoe UI" w:cs="Segoe UI"/>
          <w:sz w:val="18"/>
          <w:szCs w:val="18"/>
        </w:rPr>
        <w:t>, vol. 39, no. 15 SUPPL.</w:t>
      </w:r>
    </w:p>
    <w:p w14:paraId="42532BC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BC37BB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Bustamante, C, Freire, MCM, Lopes, NP &amp; Zalis, M 2017, 'Impact of NGS four-gene panel in screening genes with potential therapies in NSCLC', </w:t>
      </w:r>
      <w:r>
        <w:rPr>
          <w:rFonts w:ascii="Segoe UI" w:hAnsi="Segoe UI" w:cs="Segoe UI"/>
          <w:i/>
          <w:iCs/>
          <w:sz w:val="18"/>
          <w:szCs w:val="18"/>
        </w:rPr>
        <w:t>Clinical Cancer Research. Conference: American Association for Cancer Research International Conference on Translational Cancer Medicine, AACR</w:t>
      </w:r>
      <w:r>
        <w:rPr>
          <w:rFonts w:ascii="Segoe UI" w:hAnsi="Segoe UI" w:cs="Segoe UI"/>
          <w:sz w:val="18"/>
          <w:szCs w:val="18"/>
        </w:rPr>
        <w:t>, vol. 24, no. 1 Supplement 1.</w:t>
      </w:r>
    </w:p>
    <w:p w14:paraId="656CD53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B3CADB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Carter, M, Ortega-Franco, A, Rafee, S, Russell, P, Halkyard, E, Wallace, A, Lindsay, C &amp; Blackhall, F 2020, 'Clinical utility of targeted next generation sequencing in lung cancer', </w:t>
      </w:r>
      <w:r>
        <w:rPr>
          <w:rFonts w:ascii="Segoe UI" w:hAnsi="Segoe UI" w:cs="Segoe UI"/>
          <w:i/>
          <w:iCs/>
          <w:sz w:val="18"/>
          <w:szCs w:val="18"/>
        </w:rPr>
        <w:t>Lung Cancer</w:t>
      </w:r>
      <w:r>
        <w:rPr>
          <w:rFonts w:ascii="Segoe UI" w:hAnsi="Segoe UI" w:cs="Segoe UI"/>
          <w:sz w:val="18"/>
          <w:szCs w:val="18"/>
        </w:rPr>
        <w:t>, vol. 139(Supplement 1), January, p. S64.</w:t>
      </w:r>
    </w:p>
    <w:p w14:paraId="01E146A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A607A9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Chai, SY, Mok, G, Munusamy, N &amp; Badrick, T 2021, 'ALK gene rearrangement in NSCLC by NGS: an EQA case report', </w:t>
      </w:r>
      <w:r>
        <w:rPr>
          <w:rFonts w:ascii="Segoe UI" w:hAnsi="Segoe UI" w:cs="Segoe UI"/>
          <w:i/>
          <w:iCs/>
          <w:sz w:val="18"/>
          <w:szCs w:val="18"/>
        </w:rPr>
        <w:t>Pathology</w:t>
      </w:r>
      <w:r>
        <w:rPr>
          <w:rFonts w:ascii="Segoe UI" w:hAnsi="Segoe UI" w:cs="Segoe UI"/>
          <w:sz w:val="18"/>
          <w:szCs w:val="18"/>
        </w:rPr>
        <w:t>, vol. 53(Supplement 1), July, p. S42.</w:t>
      </w:r>
    </w:p>
    <w:p w14:paraId="224AD6D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C2179A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Chang, CY, Chang, SC, Lai, JI &amp; Lai, Y 2019, 'The concomitant gene alterations impact the therapeutic efficacy of EGFR-TKIS in advanced NSCLC patients with EGFR sensitive mutation', </w:t>
      </w:r>
      <w:r>
        <w:rPr>
          <w:rFonts w:ascii="Segoe UI" w:hAnsi="Segoe UI" w:cs="Segoe UI"/>
          <w:i/>
          <w:iCs/>
          <w:sz w:val="18"/>
          <w:szCs w:val="18"/>
        </w:rPr>
        <w:t>Respirology</w:t>
      </w:r>
      <w:r>
        <w:rPr>
          <w:rFonts w:ascii="Segoe UI" w:hAnsi="Segoe UI" w:cs="Segoe UI"/>
          <w:sz w:val="18"/>
          <w:szCs w:val="18"/>
        </w:rPr>
        <w:t>, vol. 24(Supplement 2), November, p. 272.</w:t>
      </w:r>
    </w:p>
    <w:p w14:paraId="1B4503A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1AA5E3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Chen, Y 2021, 'P37.25 Clinical Validation of Low-costs Next Generation Sequencing Panels in Solid Tumors', </w:t>
      </w:r>
      <w:r>
        <w:rPr>
          <w:rFonts w:ascii="Segoe UI" w:hAnsi="Segoe UI" w:cs="Segoe UI"/>
          <w:i/>
          <w:iCs/>
          <w:sz w:val="18"/>
          <w:szCs w:val="18"/>
        </w:rPr>
        <w:t>Journal of Thoracic Oncology</w:t>
      </w:r>
      <w:r>
        <w:rPr>
          <w:rFonts w:ascii="Segoe UI" w:hAnsi="Segoe UI" w:cs="Segoe UI"/>
          <w:sz w:val="18"/>
          <w:szCs w:val="18"/>
        </w:rPr>
        <w:t>, vol. 16(3 Supplement), March, p. S453.</w:t>
      </w:r>
    </w:p>
    <w:p w14:paraId="3FEDF69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719F40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Chen, Y, Chen, G, Li, J, Huang, C, Li, Y, Lin, J, Chen, LZ, Lu, JP, Wang, YQ, Wang, CX, Pan, LK, Xia, XF, Yi, X, Chen, CB, Zheng, XW, Guo, ZQ &amp; Pan, JJ 2019, 'TP53 and ATM co-mutation predicts response to immune checkpoint inhibitors in non-small cell lung cancer', </w:t>
      </w:r>
      <w:r>
        <w:rPr>
          <w:rFonts w:ascii="Segoe UI" w:hAnsi="Segoe UI" w:cs="Segoe UI"/>
          <w:i/>
          <w:iCs/>
          <w:sz w:val="18"/>
          <w:szCs w:val="18"/>
        </w:rPr>
        <w:t>Annals of Oncology</w:t>
      </w:r>
      <w:r>
        <w:rPr>
          <w:rFonts w:ascii="Segoe UI" w:hAnsi="Segoe UI" w:cs="Segoe UI"/>
          <w:sz w:val="18"/>
          <w:szCs w:val="18"/>
        </w:rPr>
        <w:t>, vol. 30(Supplement 5), October, p. v506.</w:t>
      </w:r>
    </w:p>
    <w:p w14:paraId="29B4272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F4E14B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Cheng, JT, Yang, J &amp; Wu, Y 2019, 'MET second-site mutations in EGFR-mutant, MET-amplified non-small cell lung cancer after resistance to combinatorial targeted therapy', </w:t>
      </w:r>
      <w:r>
        <w:rPr>
          <w:rFonts w:ascii="Segoe UI" w:hAnsi="Segoe UI" w:cs="Segoe UI"/>
          <w:i/>
          <w:iCs/>
          <w:sz w:val="18"/>
          <w:szCs w:val="18"/>
        </w:rPr>
        <w:t>Journal of Clinical Oncology. Conference</w:t>
      </w:r>
      <w:r>
        <w:rPr>
          <w:rFonts w:ascii="Segoe UI" w:hAnsi="Segoe UI" w:cs="Segoe UI"/>
          <w:sz w:val="18"/>
          <w:szCs w:val="18"/>
        </w:rPr>
        <w:t>, vol. 37, no. Supplement 15.</w:t>
      </w:r>
    </w:p>
    <w:p w14:paraId="717DE11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530E7C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Cheng, Y &amp; Jakubowski, M 2016, 'The analysis of NSCLC hotspot mutations across various molecular diagnostic platforms', </w:t>
      </w:r>
      <w:r>
        <w:rPr>
          <w:rFonts w:ascii="Segoe UI" w:hAnsi="Segoe UI" w:cs="Segoe UI"/>
          <w:i/>
          <w:iCs/>
          <w:sz w:val="18"/>
          <w:szCs w:val="18"/>
        </w:rPr>
        <w:t>Journal of Molecular Diagnostics</w:t>
      </w:r>
      <w:r>
        <w:rPr>
          <w:rFonts w:ascii="Segoe UI" w:hAnsi="Segoe UI" w:cs="Segoe UI"/>
          <w:sz w:val="18"/>
          <w:szCs w:val="18"/>
        </w:rPr>
        <w:t>, vol. 18(6), November, p. 1038.</w:t>
      </w:r>
    </w:p>
    <w:p w14:paraId="40388E9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4C313C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Cho, JH, Sun, J, Lee, S, Ahn, JS, Park, K, Park, KU, Kang, EJ, Choi, YH, Kim, KH, An, HJA, Lee, HW &amp; Ahn, M 2018, 'An Open-Label, Multicenter, Phase II Single Arm Trial of Osimertinib in NSCLC Patients with Uncommon EGFR Mutation(KCSG-LU15-09)', </w:t>
      </w:r>
      <w:r>
        <w:rPr>
          <w:rFonts w:ascii="Segoe UI" w:hAnsi="Segoe UI" w:cs="Segoe UI"/>
          <w:i/>
          <w:iCs/>
          <w:sz w:val="18"/>
          <w:szCs w:val="18"/>
        </w:rPr>
        <w:t>NA</w:t>
      </w:r>
      <w:r>
        <w:rPr>
          <w:rFonts w:ascii="Segoe UI" w:hAnsi="Segoe UI" w:cs="Segoe UI"/>
          <w:sz w:val="18"/>
          <w:szCs w:val="18"/>
        </w:rPr>
        <w:t>, vol. NA, no. NA, pp. NA-NA.</w:t>
      </w:r>
    </w:p>
    <w:p w14:paraId="5ADA290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E65082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Cho, JH, Sun, J-M, Lee, S-K, Ahn, J, Park, KB, Park, KU, Kang, EJ, Choi, YH, Kim, KH, An, HJ, Lee, HW &amp; Ahn, MJ 2018, 'OA10.05 An Open-Label, Multicenter, Phase II Single Arm Trial of Osimertinib in NSCLC Patients with Uncommon EGFR Mutation(KCSG-LU15-09)', </w:t>
      </w:r>
      <w:r>
        <w:rPr>
          <w:rFonts w:ascii="Segoe UI" w:hAnsi="Segoe UI" w:cs="Segoe UI"/>
          <w:i/>
          <w:iCs/>
          <w:sz w:val="18"/>
          <w:szCs w:val="18"/>
        </w:rPr>
        <w:t>Journal of Thoracic Oncology</w:t>
      </w:r>
      <w:r>
        <w:rPr>
          <w:rFonts w:ascii="Segoe UI" w:hAnsi="Segoe UI" w:cs="Segoe UI"/>
          <w:sz w:val="18"/>
          <w:szCs w:val="18"/>
        </w:rPr>
        <w:t>, vol. 13, no. 10, pp. S344-NA.</w:t>
      </w:r>
    </w:p>
    <w:p w14:paraId="04F6776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E4F0C3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Choughule, A, Trivedi, V, Bagayatkar, P, Chandrani, P, Dutt, A, Noronha, V, Joshi, A, Patil, A, Prabhash, K &amp; Banavali, SD 2016, 'Detecting the spectrum of multigene mutations in NSCLC by SNaPShot assay: A pilot study', </w:t>
      </w:r>
      <w:r>
        <w:rPr>
          <w:rFonts w:ascii="Segoe UI" w:hAnsi="Segoe UI" w:cs="Segoe UI"/>
          <w:i/>
          <w:iCs/>
          <w:sz w:val="18"/>
          <w:szCs w:val="18"/>
        </w:rPr>
        <w:t>European Journal of Cancer</w:t>
      </w:r>
      <w:r>
        <w:rPr>
          <w:rFonts w:ascii="Segoe UI" w:hAnsi="Segoe UI" w:cs="Segoe UI"/>
          <w:sz w:val="18"/>
          <w:szCs w:val="18"/>
        </w:rPr>
        <w:t>, vol. 1), February, pp. S38-S39.</w:t>
      </w:r>
    </w:p>
    <w:p w14:paraId="3994B8D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98379D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Clave, S, Bellosillo, B, Salido, M, Tagmouti, G, Taus, A, Rocha, P, Hardy-Werbin, M, Moliner, L, Riera, X, Fernandez-Rodriguez, C, Arriola, E &amp; Pijuan, L 2019, 'P2.09-34 Next-Generation Sequencing Implementation in Non-Small Cell Lung Cancer Molecular Diagnosis', </w:t>
      </w:r>
      <w:r>
        <w:rPr>
          <w:rFonts w:ascii="Segoe UI" w:hAnsi="Segoe UI" w:cs="Segoe UI"/>
          <w:i/>
          <w:iCs/>
          <w:sz w:val="18"/>
          <w:szCs w:val="18"/>
        </w:rPr>
        <w:t>Journal of Thoracic Oncology</w:t>
      </w:r>
      <w:r>
        <w:rPr>
          <w:rFonts w:ascii="Segoe UI" w:hAnsi="Segoe UI" w:cs="Segoe UI"/>
          <w:sz w:val="18"/>
          <w:szCs w:val="18"/>
        </w:rPr>
        <w:t>, vol. 14(10 Supplement), October, p. S783.</w:t>
      </w:r>
    </w:p>
    <w:p w14:paraId="63E67C0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C32197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Clave, S, Salido, M, Gibert, J, Hardy-Werbin, M, Weingartner, E, Hernandez, J, Nichol, D, Rocha, P, Riera, X, Blanco, R, Bosch-Barrera, J, Taus, A, Pijuan, L, Bellosillo, B &amp; Arriola, E 2019, 'P1.09-32 Concurrent Genomic Alterations in ALK-Rearranged Non-Small Cell Lung Cancer Patients', </w:t>
      </w:r>
      <w:r>
        <w:rPr>
          <w:rFonts w:ascii="Segoe UI" w:hAnsi="Segoe UI" w:cs="Segoe UI"/>
          <w:i/>
          <w:iCs/>
          <w:sz w:val="18"/>
          <w:szCs w:val="18"/>
        </w:rPr>
        <w:t>Journal of Thoracic Oncology</w:t>
      </w:r>
      <w:r>
        <w:rPr>
          <w:rFonts w:ascii="Segoe UI" w:hAnsi="Segoe UI" w:cs="Segoe UI"/>
          <w:sz w:val="18"/>
          <w:szCs w:val="18"/>
        </w:rPr>
        <w:t>, vol. 14(10 Supplement), October, pp. S508-S509.</w:t>
      </w:r>
    </w:p>
    <w:p w14:paraId="49072DF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37C1B4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Conde, E, Hernandez, S, Caminoa, A, Benito, A, Martinez, R, Alonso, M, Jimenez, B, Boni, V, Remon, J, Pijuan, L, Clave, S, Arriola, E, Esteban, I, De Castro, J, Sansano, I, Felip, E, Abdulkader, I, Garcia, J, Rojo, F, Domine, M, Teixido, C, Reguart, N, Compan, D, Insa, A, Mancheno, N, Palanca, S, Juan, O, Baixeras, N, Nadal, E, Cebollero, M, Calles, A, Martin, P, Salas, C, Provencio, M, Aranda, I, Massuti, B, Lopez-Vilaro, L, Majem, M, Enguita, AB, Paz-Ares, L, Garrido, P &amp; Lopez-Rios, F 2021, 'MA14.02 RET Fusion Testing in Advanced Non-Small Cell Lung Carcinoma Patients: the RETING Study', </w:t>
      </w:r>
      <w:r>
        <w:rPr>
          <w:rFonts w:ascii="Segoe UI" w:hAnsi="Segoe UI" w:cs="Segoe UI"/>
          <w:i/>
          <w:iCs/>
          <w:sz w:val="18"/>
          <w:szCs w:val="18"/>
        </w:rPr>
        <w:t>Journal of Thoracic Oncology</w:t>
      </w:r>
      <w:r>
        <w:rPr>
          <w:rFonts w:ascii="Segoe UI" w:hAnsi="Segoe UI" w:cs="Segoe UI"/>
          <w:sz w:val="18"/>
          <w:szCs w:val="18"/>
        </w:rPr>
        <w:t>, vol. 16(10 Supplement), October, p. S929.</w:t>
      </w:r>
    </w:p>
    <w:p w14:paraId="3B2E460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94099C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Dall'Olio, FG, Lamberti, G, Capizzi, E, Gruppioni, E, Sperandi, F, Altimari, A, Giunchi, F, Fiorentino, M &amp; Ardizzoni, A 2019, 'Clinical significance of ROS1 5' deletions detected by FISH and response to crizotinib', </w:t>
      </w:r>
      <w:r>
        <w:rPr>
          <w:rFonts w:ascii="Segoe UI" w:hAnsi="Segoe UI" w:cs="Segoe UI"/>
          <w:i/>
          <w:iCs/>
          <w:sz w:val="18"/>
          <w:szCs w:val="18"/>
        </w:rPr>
        <w:t>Annals of Oncology</w:t>
      </w:r>
      <w:r>
        <w:rPr>
          <w:rFonts w:ascii="Segoe UI" w:hAnsi="Segoe UI" w:cs="Segoe UI"/>
          <w:sz w:val="18"/>
          <w:szCs w:val="18"/>
        </w:rPr>
        <w:t>, vol. 30(Supplement 2), April, pp. ii54-ii55.</w:t>
      </w:r>
    </w:p>
    <w:p w14:paraId="3E59874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BA8341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Dalurzo, L, Minatta, JN, Ortega, LN, Cortes, CAF, De Arce, HD &amp; Ja, GF 2019, 'P1.19 Molecular Characterization of Lung Cancer in Young Patients. A Single-center Study from AR', </w:t>
      </w:r>
      <w:r>
        <w:rPr>
          <w:rFonts w:ascii="Segoe UI" w:hAnsi="Segoe UI" w:cs="Segoe UI"/>
          <w:i/>
          <w:iCs/>
          <w:sz w:val="18"/>
          <w:szCs w:val="18"/>
        </w:rPr>
        <w:t>Journal of Thoracic Oncology</w:t>
      </w:r>
      <w:r>
        <w:rPr>
          <w:rFonts w:ascii="Segoe UI" w:hAnsi="Segoe UI" w:cs="Segoe UI"/>
          <w:sz w:val="18"/>
          <w:szCs w:val="18"/>
        </w:rPr>
        <w:t>, vol. 14(11 Supplement 2), November, p. S1181.</w:t>
      </w:r>
    </w:p>
    <w:p w14:paraId="4EE258A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C6ED3E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De Castro Carpeno, J, Felip, E, Juan, O, Campelo, RG, Aguiar, D, Terrassa, J, Castro, RL, Blanco, AC, Paredes, A, Bernabe, R, Barneto, I, Campillo, J, Garcia-Palacios, L &amp; Rojo, F 2019, 'P2.01-10 Real Clinical Practice Study to Evaluate 2 Line Treatment Based on Comprenhensive Genomic Profiling in NSCLC. LungONE Study', </w:t>
      </w:r>
      <w:r>
        <w:rPr>
          <w:rFonts w:ascii="Segoe UI" w:hAnsi="Segoe UI" w:cs="Segoe UI"/>
          <w:i/>
          <w:iCs/>
          <w:sz w:val="18"/>
          <w:szCs w:val="18"/>
        </w:rPr>
        <w:t>Journal of Thoracic Oncology</w:t>
      </w:r>
      <w:r>
        <w:rPr>
          <w:rFonts w:ascii="Segoe UI" w:hAnsi="Segoe UI" w:cs="Segoe UI"/>
          <w:sz w:val="18"/>
          <w:szCs w:val="18"/>
        </w:rPr>
        <w:t>, vol. 14(10 Supplement), October, p. S642.</w:t>
      </w:r>
    </w:p>
    <w:p w14:paraId="22C446B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ED8E53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De Maglio, G, De Pellegrin, A, Follador, A, Distefano, S, Morana, G, Vailati, P, Bergamin, N, Ciani, S, Poletto, E, De Carlo, E, Pelizzari, G, Cattaneo, M, Lugatti, E, Fasola, G &amp; Pizzolitto, S 2016, 'Management optimization of non small cell lung cancer (NSCLC) specimens. A single institution experience with a multiplexed mass spectrometry approach', </w:t>
      </w:r>
      <w:r>
        <w:rPr>
          <w:rFonts w:ascii="Segoe UI" w:hAnsi="Segoe UI" w:cs="Segoe UI"/>
          <w:i/>
          <w:iCs/>
          <w:sz w:val="18"/>
          <w:szCs w:val="18"/>
        </w:rPr>
        <w:t>Annals of Oncology. Conference: 41st European Society for Medical Oncology Congress, ESMO</w:t>
      </w:r>
      <w:r>
        <w:rPr>
          <w:rFonts w:ascii="Segoe UI" w:hAnsi="Segoe UI" w:cs="Segoe UI"/>
          <w:sz w:val="18"/>
          <w:szCs w:val="18"/>
        </w:rPr>
        <w:t>, vol. 27, no. Supplement 6.</w:t>
      </w:r>
    </w:p>
    <w:p w14:paraId="41DE64E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BD2617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Denis, MG, Vallee, A, Sagan, C, Herbreteau, G, Theoleyre, S, Rajamani, J, Lee, M &amp; Ordinario, E 2020, 'Detection of ALK and ROS1 fusion transcripts in FFPE samples of non-small cell lung cancer patients using a novel RTPCR based assay and targeted RNA sequencing', </w:t>
      </w:r>
      <w:r>
        <w:rPr>
          <w:rFonts w:ascii="Segoe UI" w:hAnsi="Segoe UI" w:cs="Segoe UI"/>
          <w:i/>
          <w:iCs/>
          <w:sz w:val="18"/>
          <w:szCs w:val="18"/>
        </w:rPr>
        <w:t>Journal of Clinical Oncology. Conference</w:t>
      </w:r>
      <w:r>
        <w:rPr>
          <w:rFonts w:ascii="Segoe UI" w:hAnsi="Segoe UI" w:cs="Segoe UI"/>
          <w:sz w:val="18"/>
          <w:szCs w:val="18"/>
        </w:rPr>
        <w:t>, vol. 38, no. 15.</w:t>
      </w:r>
    </w:p>
    <w:p w14:paraId="20F1E0C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A4833B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Deras, I, Du, T, Zhao, C, Haseley, N, Yazdanparast, A, Jiang, T, Mentzer, A, Purdy, A, Crain, B, Echegaray, C, Lee, D, Lee, J, Silhavy, J, O'Brien, K, Vijayaraghavan, R, Garcia, R, Haigis, R, Pawlowski, T &amp; Dockter, J 2019, 'Clinical and analytical accuracy of a 523 gene panel next-generation sequencing (NGS) assay on formalin-fixed paraffin-embedded (FFPE) solid tumour samples', </w:t>
      </w:r>
      <w:r>
        <w:rPr>
          <w:rFonts w:ascii="Segoe UI" w:hAnsi="Segoe UI" w:cs="Segoe UI"/>
          <w:i/>
          <w:iCs/>
          <w:sz w:val="18"/>
          <w:szCs w:val="18"/>
        </w:rPr>
        <w:t>Annals of Oncology</w:t>
      </w:r>
      <w:r>
        <w:rPr>
          <w:rFonts w:ascii="Segoe UI" w:hAnsi="Segoe UI" w:cs="Segoe UI"/>
          <w:sz w:val="18"/>
          <w:szCs w:val="18"/>
        </w:rPr>
        <w:t>, vol. 30(Supplement 5), October, pp. v575-v576.</w:t>
      </w:r>
    </w:p>
    <w:p w14:paraId="3EF5BB8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427997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Dooms, C 2019, 'ES07.04 Predictive Molecular Testing on Small Biopsy Samples', </w:t>
      </w:r>
      <w:r>
        <w:rPr>
          <w:rFonts w:ascii="Segoe UI" w:hAnsi="Segoe UI" w:cs="Segoe UI"/>
          <w:i/>
          <w:iCs/>
          <w:sz w:val="18"/>
          <w:szCs w:val="18"/>
        </w:rPr>
        <w:t>Journal of Thoracic Oncology</w:t>
      </w:r>
      <w:r>
        <w:rPr>
          <w:rFonts w:ascii="Segoe UI" w:hAnsi="Segoe UI" w:cs="Segoe UI"/>
          <w:sz w:val="18"/>
          <w:szCs w:val="18"/>
        </w:rPr>
        <w:t>, vol. 14(10 Supplement), October, pp. S29-S30.</w:t>
      </w:r>
    </w:p>
    <w:p w14:paraId="2E37FE6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52816B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Dziadziuszko, R, Andre, F, Yip, WK, Wu, X, Skoletsky, J, Woodhouse, R, Hung, T, Wilson, TR, Riehl, T, Dennis, L &amp; Li, M 2020, 'Clinical validity of FoundationOne liquid CDx (F1L CDx) assay as an aid in selecting patients for treatment with entrectinib', </w:t>
      </w:r>
      <w:r>
        <w:rPr>
          <w:rFonts w:ascii="Segoe UI" w:hAnsi="Segoe UI" w:cs="Segoe UI"/>
          <w:i/>
          <w:iCs/>
          <w:sz w:val="18"/>
          <w:szCs w:val="18"/>
        </w:rPr>
        <w:t>Annals of Oncology</w:t>
      </w:r>
      <w:r>
        <w:rPr>
          <w:rFonts w:ascii="Segoe UI" w:hAnsi="Segoe UI" w:cs="Segoe UI"/>
          <w:sz w:val="18"/>
          <w:szCs w:val="18"/>
        </w:rPr>
        <w:t>, vol. 31(Supplement 4), September, pp. S785-S786.</w:t>
      </w:r>
    </w:p>
    <w:p w14:paraId="5DFCBED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4319C0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Elkhouly, E, Zhou, L, Kurtis, B, Wang, L &amp; Israyelyan, A 2019, 'Real-world experience in advanced NSCLC using FDA approved NGS CDx', </w:t>
      </w:r>
      <w:r>
        <w:rPr>
          <w:rFonts w:ascii="Segoe UI" w:hAnsi="Segoe UI" w:cs="Segoe UI"/>
          <w:i/>
          <w:iCs/>
          <w:sz w:val="18"/>
          <w:szCs w:val="18"/>
        </w:rPr>
        <w:t>Journal of Clinical Oncology. Conference</w:t>
      </w:r>
      <w:r>
        <w:rPr>
          <w:rFonts w:ascii="Segoe UI" w:hAnsi="Segoe UI" w:cs="Segoe UI"/>
          <w:sz w:val="18"/>
          <w:szCs w:val="18"/>
        </w:rPr>
        <w:t>, vol. 37, no. Supplement 15.</w:t>
      </w:r>
    </w:p>
    <w:p w14:paraId="3E3B067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974DCB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Erdamar, S, Barut, P, Eksioglu, A, Yakicier, C, Olcaysoy, B, Tokat, F &amp; Ince, U 2021, 'Next generation sequencing based targeted panel analysis in advanced non-small cell lung cancer (NSCLC)', </w:t>
      </w:r>
      <w:r>
        <w:rPr>
          <w:rFonts w:ascii="Segoe UI" w:hAnsi="Segoe UI" w:cs="Segoe UI"/>
          <w:i/>
          <w:iCs/>
          <w:sz w:val="18"/>
          <w:szCs w:val="18"/>
        </w:rPr>
        <w:t>Virchows Archiv</w:t>
      </w:r>
      <w:r>
        <w:rPr>
          <w:rFonts w:ascii="Segoe UI" w:hAnsi="Segoe UI" w:cs="Segoe UI"/>
          <w:sz w:val="18"/>
          <w:szCs w:val="18"/>
        </w:rPr>
        <w:t>, vol. 479(SUPPL 1), August, p. S135.</w:t>
      </w:r>
    </w:p>
    <w:p w14:paraId="134493F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8ECBD1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Erdogan-Ciftci, E, Yanik, L, Akyol Ersoy, B, Safak, K &amp; Khorshid, M 2019, 'Ppm6 Health Economics Model of Foundationone Cdx in Locally Advanced or Metastatic Non-Small Cell Lung Cancer in Turkey', </w:t>
      </w:r>
      <w:r>
        <w:rPr>
          <w:rFonts w:ascii="Segoe UI" w:hAnsi="Segoe UI" w:cs="Segoe UI"/>
          <w:i/>
          <w:iCs/>
          <w:sz w:val="18"/>
          <w:szCs w:val="18"/>
        </w:rPr>
        <w:t>Value in Health</w:t>
      </w:r>
      <w:r>
        <w:rPr>
          <w:rFonts w:ascii="Segoe UI" w:hAnsi="Segoe UI" w:cs="Segoe UI"/>
          <w:sz w:val="18"/>
          <w:szCs w:val="18"/>
        </w:rPr>
        <w:t>, vol. 22(Supplement 3), November, p. S838.</w:t>
      </w:r>
    </w:p>
    <w:p w14:paraId="3D1F508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561532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Faber, E, Grosu, H, Sabir, S, Lucas, FS, Stewart, J, Luthra, R, Roy-Chowdhuri, S &amp; Barkoh, B 2019, 'Adequacy of EBUS-TBNA and CT-FNA specimens for biomarker testing to determine eligibility for immune checkpoint inhibitor and targeted therapy in lung carcinoma patients', </w:t>
      </w:r>
      <w:r>
        <w:rPr>
          <w:rFonts w:ascii="Segoe UI" w:hAnsi="Segoe UI" w:cs="Segoe UI"/>
          <w:i/>
          <w:iCs/>
          <w:sz w:val="18"/>
          <w:szCs w:val="18"/>
        </w:rPr>
        <w:t>Modern Pathology. Conference: 108th Annual Meeting of the United States and Canadian Academy of Pathology, USCAP</w:t>
      </w:r>
      <w:r>
        <w:rPr>
          <w:rFonts w:ascii="Segoe UI" w:hAnsi="Segoe UI" w:cs="Segoe UI"/>
          <w:sz w:val="18"/>
          <w:szCs w:val="18"/>
        </w:rPr>
        <w:t>, vol. 32, no. 3.</w:t>
      </w:r>
    </w:p>
    <w:p w14:paraId="31C133D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BEEFCB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Fairbairn, D, Le, C, Johanson, H, Keegan, N, Young, D, Goldsworthy, T &amp; Lake, L 2019, 'Somatic mutation testing for cancer services in Queensland public hospitals', </w:t>
      </w:r>
      <w:r>
        <w:rPr>
          <w:rFonts w:ascii="Segoe UI" w:hAnsi="Segoe UI" w:cs="Segoe UI"/>
          <w:i/>
          <w:iCs/>
          <w:sz w:val="18"/>
          <w:szCs w:val="18"/>
        </w:rPr>
        <w:t>Twin Research and Human Genetics</w:t>
      </w:r>
      <w:r>
        <w:rPr>
          <w:rFonts w:ascii="Segoe UI" w:hAnsi="Segoe UI" w:cs="Segoe UI"/>
          <w:sz w:val="18"/>
          <w:szCs w:val="18"/>
        </w:rPr>
        <w:t>, vol. 22(5), October, p. 352.</w:t>
      </w:r>
    </w:p>
    <w:p w14:paraId="7A63215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802433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Falk, A, Long, E, Hofman, V, Lespinet, V, Bordone, O, Poudenx, M, Garnier, G, Guigay, J, Marquette, CH, Hofman, P &amp; Ilie, M 2016, 'NGS analysis on tumour and cfDNA for personalized genotype directed therapy in NSCLC patients: Are the clinical benefits always there?', </w:t>
      </w:r>
      <w:r>
        <w:rPr>
          <w:rFonts w:ascii="Segoe UI" w:hAnsi="Segoe UI" w:cs="Segoe UI"/>
          <w:i/>
          <w:iCs/>
          <w:sz w:val="18"/>
          <w:szCs w:val="18"/>
        </w:rPr>
        <w:t>Virchows Archiv</w:t>
      </w:r>
      <w:r>
        <w:rPr>
          <w:rFonts w:ascii="Segoe UI" w:hAnsi="Segoe UI" w:cs="Segoe UI"/>
          <w:sz w:val="18"/>
          <w:szCs w:val="18"/>
        </w:rPr>
        <w:t>, vol. 469(Supplement 1), September, pp. S308-S309.</w:t>
      </w:r>
    </w:p>
    <w:p w14:paraId="19DA967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1CC01A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Gao, Y, Dong, Z, Li, X, Ge, H, Yang, X, Guzenda, P, Shi, W, Ruan, L &amp; Zhu, G 2019, 'P2.14-48 Clinical Sequencing Using a NGS-Based Multiple Gene Assay in Patients with Non-Small Cell Lung Cancer', </w:t>
      </w:r>
      <w:r>
        <w:rPr>
          <w:rFonts w:ascii="Segoe UI" w:hAnsi="Segoe UI" w:cs="Segoe UI"/>
          <w:i/>
          <w:iCs/>
          <w:sz w:val="18"/>
          <w:szCs w:val="18"/>
        </w:rPr>
        <w:t>Journal of Thoracic Oncology</w:t>
      </w:r>
      <w:r>
        <w:rPr>
          <w:rFonts w:ascii="Segoe UI" w:hAnsi="Segoe UI" w:cs="Segoe UI"/>
          <w:sz w:val="18"/>
          <w:szCs w:val="18"/>
        </w:rPr>
        <w:t>, vol. 14(10 Supplement), October, p. S848.</w:t>
      </w:r>
    </w:p>
    <w:p w14:paraId="3A67CE5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B62B5E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Garcia Pelaez, B, Gimenez-Capitan, A, Vives Usano, M, Roman, R, Garzon Ibanez, M, Aguado Esteban, C, Rodriguez, S, Aldeguer, E, Jordana Ariza, N, Viteri, S, Aguilar-Hernandez, A, Moya, I, Cabrera, C, Catalan, M, Gonzalez-Cao, M, Garcia Roman, S, Bertran-Alamillo, J, Garcia-Casabal, F, Rosell, R, Molina, M &amp; Mayo-De-Las-Casas, C 2021, 'P59.03 Comparison of Two RNA-Based Platforms for Detection of Fusions and Met Splicing Variant in Non Small Cell Lung Cancer Samples', </w:t>
      </w:r>
      <w:r>
        <w:rPr>
          <w:rFonts w:ascii="Segoe UI" w:hAnsi="Segoe UI" w:cs="Segoe UI"/>
          <w:i/>
          <w:iCs/>
          <w:sz w:val="18"/>
          <w:szCs w:val="18"/>
        </w:rPr>
        <w:t>Journal of Thoracic Oncology</w:t>
      </w:r>
      <w:r>
        <w:rPr>
          <w:rFonts w:ascii="Segoe UI" w:hAnsi="Segoe UI" w:cs="Segoe UI"/>
          <w:sz w:val="18"/>
          <w:szCs w:val="18"/>
        </w:rPr>
        <w:t>, vol. 16(10 Supplement), October, p. S1147.</w:t>
      </w:r>
    </w:p>
    <w:p w14:paraId="54E8DC1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44F7C2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Gay, LM, Pavlick, D, Chung, J, Ramkissoon, S, Daniel, S, Elvin, JA, Severson, E, Bivona, T, Reckamp, KL, Klempner, SJ, Ou, SHI, Schrock, AB, Miller, VA, Stephens, PJ, Ross, JS, Ganesan, S, Lovly, C, Mansfield, A &amp; Ali, SM 2017, 'Genomic profiling of 114,200 advanced cancers identifies recurrent kinase domain duplications (KDD) and oncogenic rearrangements (RE) across diverse tumor types', </w:t>
      </w:r>
      <w:r>
        <w:rPr>
          <w:rFonts w:ascii="Segoe UI" w:hAnsi="Segoe UI" w:cs="Segoe UI"/>
          <w:i/>
          <w:iCs/>
          <w:sz w:val="18"/>
          <w:szCs w:val="18"/>
        </w:rPr>
        <w:t>Annals of Oncology</w:t>
      </w:r>
      <w:r>
        <w:rPr>
          <w:rFonts w:ascii="Segoe UI" w:hAnsi="Segoe UI" w:cs="Segoe UI"/>
          <w:sz w:val="18"/>
          <w:szCs w:val="18"/>
        </w:rPr>
        <w:t>, vol. 28(Supplement 5), September, p. v595.</w:t>
      </w:r>
    </w:p>
    <w:p w14:paraId="7859AC7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3395C9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Ge, H, Chen, X, Ruan, L, Gao, Q, Yang, X, Shi, W, Li, X &amp; Zhu, G 2019, 'Clinical validation of an NGS-based assay for detecting multiple genomic alterations in Chinese patients with non-small cell lung cancer', </w:t>
      </w:r>
      <w:r>
        <w:rPr>
          <w:rFonts w:ascii="Segoe UI" w:hAnsi="Segoe UI" w:cs="Segoe UI"/>
          <w:i/>
          <w:iCs/>
          <w:sz w:val="18"/>
          <w:szCs w:val="18"/>
        </w:rPr>
        <w:t>Annals of Oncology</w:t>
      </w:r>
      <w:r>
        <w:rPr>
          <w:rFonts w:ascii="Segoe UI" w:hAnsi="Segoe UI" w:cs="Segoe UI"/>
          <w:sz w:val="18"/>
          <w:szCs w:val="18"/>
        </w:rPr>
        <w:t>, vol. 30(Supplement 2), April, p. ii3.</w:t>
      </w:r>
    </w:p>
    <w:p w14:paraId="6AA107B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EB18D3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Gerding, K, Keefer, L, McCord, C, Greer, A, Shewale, S, Barkley, N, Sagini, E, Johng, D, Valkenburg, K, Gilley, C, Ganey, C, Hu, A, Denier, D, Jones, L, Oliveras, C, Joseph, G, Joshi, K, Hernandez, J, Gault, C, Papp, E, Qin, P, Parpart-Li, S, White, J, Sausen, M &amp; Jones, S 2019, 'Analytical performance of a comprehensive genomic profiling system to detect actionable genetic alterations in NSCLC', </w:t>
      </w:r>
      <w:r>
        <w:rPr>
          <w:rFonts w:ascii="Segoe UI" w:hAnsi="Segoe UI" w:cs="Segoe UI"/>
          <w:i/>
          <w:iCs/>
          <w:sz w:val="18"/>
          <w:szCs w:val="18"/>
        </w:rPr>
        <w:t>Cancer Research. Conference: American Association for Cancer Research Annual Meeting</w:t>
      </w:r>
      <w:r>
        <w:rPr>
          <w:rFonts w:ascii="Segoe UI" w:hAnsi="Segoe UI" w:cs="Segoe UI"/>
          <w:sz w:val="18"/>
          <w:szCs w:val="18"/>
        </w:rPr>
        <w:t>, vol. 79, no. 13 Supplement.</w:t>
      </w:r>
    </w:p>
    <w:p w14:paraId="3C831E0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D2371A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Geva, S, Rozenblum, AB, Ilouze, M, Roisman, L, Dudnik, E, Zer, A &amp; Peled, N 2017, 'P1.01-039 Survival Impact of Next-Generation Sequencing in Lung Cancer', </w:t>
      </w:r>
      <w:r>
        <w:rPr>
          <w:rFonts w:ascii="Segoe UI" w:hAnsi="Segoe UI" w:cs="Segoe UI"/>
          <w:i/>
          <w:iCs/>
          <w:sz w:val="18"/>
          <w:szCs w:val="18"/>
        </w:rPr>
        <w:t>Journal of Thoracic Oncology</w:t>
      </w:r>
      <w:r>
        <w:rPr>
          <w:rFonts w:ascii="Segoe UI" w:hAnsi="Segoe UI" w:cs="Segoe UI"/>
          <w:sz w:val="18"/>
          <w:szCs w:val="18"/>
        </w:rPr>
        <w:t>, vol. 12, no. 11, pp. S1908-S1909.</w:t>
      </w:r>
    </w:p>
    <w:p w14:paraId="23CB99E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4DB763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Gierman, HJ, Pai, N, Catasus, C, Tam, A, Labrador, M, Donaldson, J, Singaraju, M, Singleton, N, Verniero, J, Smith, RE &amp; Scott, JA 2020, 'A retrospective three-year analysis using real-world data on uptake of broad-based NextGen sequencing panels in community oncology practices', </w:t>
      </w:r>
      <w:r>
        <w:rPr>
          <w:rFonts w:ascii="Segoe UI" w:hAnsi="Segoe UI" w:cs="Segoe UI"/>
          <w:i/>
          <w:iCs/>
          <w:sz w:val="18"/>
          <w:szCs w:val="18"/>
        </w:rPr>
        <w:t>Journal of Clinical Oncology. Conference</w:t>
      </w:r>
      <w:r>
        <w:rPr>
          <w:rFonts w:ascii="Segoe UI" w:hAnsi="Segoe UI" w:cs="Segoe UI"/>
          <w:sz w:val="18"/>
          <w:szCs w:val="18"/>
        </w:rPr>
        <w:t>, vol. 38, no. 15.</w:t>
      </w:r>
    </w:p>
    <w:p w14:paraId="025363F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42ECCD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Gleeson, M &amp; O'Callaghan, D 2019, 'Adequacy of tissue sampling for molecular profiling in non-small cell lung cancer (NSCLC)', </w:t>
      </w:r>
      <w:r>
        <w:rPr>
          <w:rFonts w:ascii="Segoe UI" w:hAnsi="Segoe UI" w:cs="Segoe UI"/>
          <w:i/>
          <w:iCs/>
          <w:sz w:val="18"/>
          <w:szCs w:val="18"/>
        </w:rPr>
        <w:t>Irish Journal of Medical Science</w:t>
      </w:r>
      <w:r>
        <w:rPr>
          <w:rFonts w:ascii="Segoe UI" w:hAnsi="Segoe UI" w:cs="Segoe UI"/>
          <w:sz w:val="18"/>
          <w:szCs w:val="18"/>
        </w:rPr>
        <w:t>, vol. 188(Supplement 10), pp. S273-S274.</w:t>
      </w:r>
    </w:p>
    <w:p w14:paraId="2275A40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622B9C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Glenn, S, Conroy, J, Burgher, B, Pabla, S, Qin, M, Andreas, J, Giamo, V, Ernstoff, M, Nesline, M, He, J, Gardner, M &amp; Morrison, C 2017, 'Technical variability in NGS immune gene expression and mutation profiling has a nominal effect on tumor classification', </w:t>
      </w:r>
      <w:r>
        <w:rPr>
          <w:rFonts w:ascii="Segoe UI" w:hAnsi="Segoe UI" w:cs="Segoe UI"/>
          <w:i/>
          <w:iCs/>
          <w:sz w:val="18"/>
          <w:szCs w:val="18"/>
        </w:rPr>
        <w:t>Cancer Research. Conference: American Association for Cancer Research Annual Meeting</w:t>
      </w:r>
      <w:r>
        <w:rPr>
          <w:rFonts w:ascii="Segoe UI" w:hAnsi="Segoe UI" w:cs="Segoe UI"/>
          <w:sz w:val="18"/>
          <w:szCs w:val="18"/>
        </w:rPr>
        <w:t>, vol. 77, no. 13 Supplement 1.</w:t>
      </w:r>
    </w:p>
    <w:p w14:paraId="4D3DA5D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110ED5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Gondos, A, Paz-Ares, LG, Saldana, D, Thomas, M, Mascaux, C, Bubendorf, L &amp; Barlesi, F 2020, 'Genomic testing among patients (pts) with newly diagnosed advanced non-small cell lung cancer (aNSCLC) in the United States: A contemporary clinical practice patterns study', </w:t>
      </w:r>
      <w:r>
        <w:rPr>
          <w:rFonts w:ascii="Segoe UI" w:hAnsi="Segoe UI" w:cs="Segoe UI"/>
          <w:i/>
          <w:iCs/>
          <w:sz w:val="18"/>
          <w:szCs w:val="18"/>
        </w:rPr>
        <w:t>Journal of Clinical Oncology. Conference</w:t>
      </w:r>
      <w:r>
        <w:rPr>
          <w:rFonts w:ascii="Segoe UI" w:hAnsi="Segoe UI" w:cs="Segoe UI"/>
          <w:sz w:val="18"/>
          <w:szCs w:val="18"/>
        </w:rPr>
        <w:t>, vol. 38, no. 15, 2020.</w:t>
      </w:r>
    </w:p>
    <w:p w14:paraId="116D3B0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67F60E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Goto, K 2017, 'Development of a nationwide genomic screening project (SCRUMJapan) for the establishment of cancer precision medicine', </w:t>
      </w:r>
      <w:r>
        <w:rPr>
          <w:rFonts w:ascii="Segoe UI" w:hAnsi="Segoe UI" w:cs="Segoe UI"/>
          <w:i/>
          <w:iCs/>
          <w:sz w:val="18"/>
          <w:szCs w:val="18"/>
        </w:rPr>
        <w:t>Annals of Oncology</w:t>
      </w:r>
      <w:r>
        <w:rPr>
          <w:rFonts w:ascii="Segoe UI" w:hAnsi="Segoe UI" w:cs="Segoe UI"/>
          <w:sz w:val="18"/>
          <w:szCs w:val="18"/>
        </w:rPr>
        <w:t>, vol. 28(Supplement 9), October, p. ix19.</w:t>
      </w:r>
    </w:p>
    <w:p w14:paraId="7FB4549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41D9E7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Gregorc, V, Lazzari, C, Guida, A, Bucci, G, Graziano, P, Cangi, MG, Frige, G, Rossi, A, Ceol, A, Sardina, D, Milella, M, Pallocca, M, Vigneri, P, Fancello, L, Buglioni, S, Motta, G, Biagini, T, Rijavec, E, Bonfiglio, S, Delmonte, A, Toschi, L, Banna, G, Galetta, D, Bearz, A, Tartarone, A, Verderame, F, Daidone, M, Fanciulli, M, Ciliberto, G, Pelicci, PG, De Maria, R &amp; Mazzarella, L 2019, 'P1.01-59 Expanding Access to Large-Scale Genomic Mutational Analyses for Patients with Advanced NSCLC in Italy', </w:t>
      </w:r>
      <w:r>
        <w:rPr>
          <w:rFonts w:ascii="Segoe UI" w:hAnsi="Segoe UI" w:cs="Segoe UI"/>
          <w:i/>
          <w:iCs/>
          <w:sz w:val="18"/>
          <w:szCs w:val="18"/>
        </w:rPr>
        <w:t>Journal of Thoracic Oncology</w:t>
      </w:r>
      <w:r>
        <w:rPr>
          <w:rFonts w:ascii="Segoe UI" w:hAnsi="Segoe UI" w:cs="Segoe UI"/>
          <w:sz w:val="18"/>
          <w:szCs w:val="18"/>
        </w:rPr>
        <w:t>, vol. 14(10 Supplement), October, p. S381.</w:t>
      </w:r>
    </w:p>
    <w:p w14:paraId="3F55EA7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E10B4E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Griesinger, F, Eberhardt, WEE, Nusch, A, Reiser, M, Bernhardt, C, Marschner, N, Jaenicke, M, Fleitz, A, Spring, L, Sahlmann, J, Karatas, A, Hipper, A, Weichert, W, Rittmeyer, A, Bischoff, H, Waller, C &amp; Thomas, M 2018, 'Testing for and frequency of molecular alterations in patients with advanced NSCLC in Germany. Results from the prospective German registry CRISP (AIO-TRK-0315)', </w:t>
      </w:r>
      <w:r>
        <w:rPr>
          <w:rFonts w:ascii="Segoe UI" w:hAnsi="Segoe UI" w:cs="Segoe UI"/>
          <w:i/>
          <w:iCs/>
          <w:sz w:val="18"/>
          <w:szCs w:val="18"/>
        </w:rPr>
        <w:t>Annals of Oncology</w:t>
      </w:r>
      <w:r>
        <w:rPr>
          <w:rFonts w:ascii="Segoe UI" w:hAnsi="Segoe UI" w:cs="Segoe UI"/>
          <w:sz w:val="18"/>
          <w:szCs w:val="18"/>
        </w:rPr>
        <w:t>, vol. 29(Supplement 8), October, p. viii515.</w:t>
      </w:r>
    </w:p>
    <w:p w14:paraId="41F86A9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21EF66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Gutierrez, M, Choi, K, Lanman, RB, Skrzypczak, SM, Pe Benito, R, DeVincenzo, V, Owusu-Sarpong, Y, Anderson, C, Paramanathan, D, Tanenbaum, K, Love, M, Schultz, EV, Pecora, A &amp; Goldberg, SL 2016, 'Genomic profiling of non-small cell lung cancer in the community setting', </w:t>
      </w:r>
      <w:r>
        <w:rPr>
          <w:rFonts w:ascii="Segoe UI" w:hAnsi="Segoe UI" w:cs="Segoe UI"/>
          <w:i/>
          <w:iCs/>
          <w:sz w:val="18"/>
          <w:szCs w:val="18"/>
        </w:rPr>
        <w:t>Journal of Clinical Oncology. Conference</w:t>
      </w:r>
      <w:r>
        <w:rPr>
          <w:rFonts w:ascii="Segoe UI" w:hAnsi="Segoe UI" w:cs="Segoe UI"/>
          <w:sz w:val="18"/>
          <w:szCs w:val="18"/>
        </w:rPr>
        <w:t>, vol. 34, no. Supplement 15.</w:t>
      </w:r>
    </w:p>
    <w:p w14:paraId="28E0BB4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07E044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Habran, L, Piron, H, Pisvin, S &amp; Delvenne, P 2020, 'Real-world challenges of EGFR mutation testing in advanced non-small cell lung cancer: Complementary roles of next generation sequencing and Idylla', </w:t>
      </w:r>
      <w:r>
        <w:rPr>
          <w:rFonts w:ascii="Segoe UI" w:hAnsi="Segoe UI" w:cs="Segoe UI"/>
          <w:i/>
          <w:iCs/>
          <w:sz w:val="18"/>
          <w:szCs w:val="18"/>
        </w:rPr>
        <w:t>Virchows Archiv</w:t>
      </w:r>
      <w:r>
        <w:rPr>
          <w:rFonts w:ascii="Segoe UI" w:hAnsi="Segoe UI" w:cs="Segoe UI"/>
          <w:sz w:val="18"/>
          <w:szCs w:val="18"/>
        </w:rPr>
        <w:t>, vol. 477(SUPPL 1), p. S41.</w:t>
      </w:r>
    </w:p>
    <w:p w14:paraId="0D774EC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515A4C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Harle, A, Dietmaier, W, Vogl, I, Neumann, K, Haumaier, F, Beggs, AD, Pestinger, V, Grand, D, Tallet, A &amp; Merlin, JL 2018, 'Detection of ALK, RET, ROS1, NTRK1 and MET rearrangements and actionable mutations using next generation sequencing in patients with non-small cell lung cancer', </w:t>
      </w:r>
      <w:r>
        <w:rPr>
          <w:rFonts w:ascii="Segoe UI" w:hAnsi="Segoe UI" w:cs="Segoe UI"/>
          <w:i/>
          <w:iCs/>
          <w:sz w:val="18"/>
          <w:szCs w:val="18"/>
        </w:rPr>
        <w:t>Annals of Oncology</w:t>
      </w:r>
      <w:r>
        <w:rPr>
          <w:rFonts w:ascii="Segoe UI" w:hAnsi="Segoe UI" w:cs="Segoe UI"/>
          <w:sz w:val="18"/>
          <w:szCs w:val="18"/>
        </w:rPr>
        <w:t>, vol. 29(Supplement 6), September, p. vi12.</w:t>
      </w:r>
    </w:p>
    <w:p w14:paraId="1A5F052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A55EFC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Heist, RS, Garon, EB, Tan, DSW, Groen, HJM, Seto, T, Smit, EF, Nwana, N, Fairchild, L, Balbin, A, Yan, M, Wang, I, Giovannini, M, Sankaran, B &amp; Wolf, J 2020, 'Accurate Detection of METex14 Mutations in Non-Small Cell Lung Cancer (NSCLC) with Comprehensive Genomic Sequencing: Results from the GEOMETRY Mono-1 Study', </w:t>
      </w:r>
      <w:r>
        <w:rPr>
          <w:rFonts w:ascii="Segoe UI" w:hAnsi="Segoe UI" w:cs="Segoe UI"/>
          <w:i/>
          <w:iCs/>
          <w:sz w:val="18"/>
          <w:szCs w:val="18"/>
        </w:rPr>
        <w:t>Journal of Thoracic Oncology</w:t>
      </w:r>
      <w:r>
        <w:rPr>
          <w:rFonts w:ascii="Segoe UI" w:hAnsi="Segoe UI" w:cs="Segoe UI"/>
          <w:sz w:val="18"/>
          <w:szCs w:val="18"/>
        </w:rPr>
        <w:t>, vol. 15(2 Supplement), February, pp. S30-S31.</w:t>
      </w:r>
    </w:p>
    <w:p w14:paraId="5DDD799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48F7CB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Hernandez, LG, Churchill, EN &amp; Walton, LJ 2022, 'POSB24 Long-Term Survival Associated With Next-Generation Sequencing Versus Standard Diagnostic Tests To Detect Epidermal Growth Factor Receptor Exon 20 Insertion Variants In Non-Small-Cell Lung Cancer: A Decision-Analytic Model', </w:t>
      </w:r>
      <w:r>
        <w:rPr>
          <w:rFonts w:ascii="Segoe UI" w:hAnsi="Segoe UI" w:cs="Segoe UI"/>
          <w:i/>
          <w:iCs/>
          <w:sz w:val="18"/>
          <w:szCs w:val="18"/>
        </w:rPr>
        <w:t>Value in Health</w:t>
      </w:r>
      <w:r>
        <w:rPr>
          <w:rFonts w:ascii="Segoe UI" w:hAnsi="Segoe UI" w:cs="Segoe UI"/>
          <w:sz w:val="18"/>
          <w:szCs w:val="18"/>
        </w:rPr>
        <w:t>, vol. 25(1 Supplement), January, p. S29.</w:t>
      </w:r>
    </w:p>
    <w:p w14:paraId="5FAF410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15F9D1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Heydt, C, Pappesch, R, Rehker, J, Wagener, S, Ihle, MA, Siemanowski, J, Buttner, R, Fassunke, J &amp; Merkelbach-Bruse, S 2018, 'Comparison of DNA-and RNA-based parallel sequencing ap-proaches for the detection of MET Exon 14 skipping mutations', </w:t>
      </w:r>
      <w:r>
        <w:rPr>
          <w:rFonts w:ascii="Segoe UI" w:hAnsi="Segoe UI" w:cs="Segoe UI"/>
          <w:i/>
          <w:iCs/>
          <w:sz w:val="18"/>
          <w:szCs w:val="18"/>
        </w:rPr>
        <w:t>Virchows Archiv</w:t>
      </w:r>
      <w:r>
        <w:rPr>
          <w:rFonts w:ascii="Segoe UI" w:hAnsi="Segoe UI" w:cs="Segoe UI"/>
          <w:sz w:val="18"/>
          <w:szCs w:val="18"/>
        </w:rPr>
        <w:t>, vol. 473(Supplement 1), September, p. 288.</w:t>
      </w:r>
    </w:p>
    <w:p w14:paraId="2C1B320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A5A53B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Imyanitov, EN, Preobrazhenskaya, E, Romanko, A, Martianov, A, Mitiushkina, N &amp; Tiurin, V 2021, '1203P The analysis of ALK fusion variants in 4991 EGFR/MET mutation-negative non-squamous non-small cell lung carcinomas (NSCLCs)', </w:t>
      </w:r>
      <w:r>
        <w:rPr>
          <w:rFonts w:ascii="Segoe UI" w:hAnsi="Segoe UI" w:cs="Segoe UI"/>
          <w:i/>
          <w:iCs/>
          <w:sz w:val="18"/>
          <w:szCs w:val="18"/>
        </w:rPr>
        <w:t>Annals of Oncology</w:t>
      </w:r>
      <w:r>
        <w:rPr>
          <w:rFonts w:ascii="Segoe UI" w:hAnsi="Segoe UI" w:cs="Segoe UI"/>
          <w:sz w:val="18"/>
          <w:szCs w:val="18"/>
        </w:rPr>
        <w:t>, vol. 32(Supplement 5), September, p. S960.</w:t>
      </w:r>
    </w:p>
    <w:p w14:paraId="664A56E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CF53B2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Janne, PA, Lee, JK, Madison, R, Venstrom, JM, Schrock, AB &amp; Oxnard, GR 2021, 'Incidence and heterogeneity of C797S and other EGFR resistance mutations on routine comprehensive genomic profiling (CGP)', </w:t>
      </w:r>
      <w:r>
        <w:rPr>
          <w:rFonts w:ascii="Segoe UI" w:hAnsi="Segoe UI" w:cs="Segoe UI"/>
          <w:i/>
          <w:iCs/>
          <w:sz w:val="18"/>
          <w:szCs w:val="18"/>
        </w:rPr>
        <w:t>Journal of Clinical Oncology. Conference: Annual Meeting of the American Society of Clinical Oncology, ASCO</w:t>
      </w:r>
      <w:r>
        <w:rPr>
          <w:rFonts w:ascii="Segoe UI" w:hAnsi="Segoe UI" w:cs="Segoe UI"/>
          <w:sz w:val="18"/>
          <w:szCs w:val="18"/>
        </w:rPr>
        <w:t>, vol. 39, no. 15 SUPPL.</w:t>
      </w:r>
    </w:p>
    <w:p w14:paraId="76EA3EF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37DC19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Khalique, S, Lubel, J, Docherty, C, Kanu, A, Etessami, N, MacMahon, S, Peters, N, Pender, A, Patel, A &amp; Boleti, E 2021, '92 Molecular testing in non-small cell lung cancer: a snapshot of The Royal Free London NHS Foundation Trust experience', </w:t>
      </w:r>
      <w:r>
        <w:rPr>
          <w:rFonts w:ascii="Segoe UI" w:hAnsi="Segoe UI" w:cs="Segoe UI"/>
          <w:i/>
          <w:iCs/>
          <w:sz w:val="18"/>
          <w:szCs w:val="18"/>
        </w:rPr>
        <w:t>Lung Cancer</w:t>
      </w:r>
      <w:r>
        <w:rPr>
          <w:rFonts w:ascii="Segoe UI" w:hAnsi="Segoe UI" w:cs="Segoe UI"/>
          <w:sz w:val="18"/>
          <w:szCs w:val="18"/>
        </w:rPr>
        <w:t>, vol. 156(Supplement 1), June, p. S38.</w:t>
      </w:r>
    </w:p>
    <w:p w14:paraId="5A78016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8DA1CC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Khan, M, Nguyen, RHT, Pasquinelli, M &amp; Feldman, LE 2021, 'Molecular testing in advanced lung adenocarcinoma: A singlecenter experience', </w:t>
      </w:r>
      <w:r>
        <w:rPr>
          <w:rFonts w:ascii="Segoe UI" w:hAnsi="Segoe UI" w:cs="Segoe UI"/>
          <w:i/>
          <w:iCs/>
          <w:sz w:val="18"/>
          <w:szCs w:val="18"/>
        </w:rPr>
        <w:t>Journal of Clinical Oncology. Conference: Annual Meeting of the American Society of Clinical Oncology, ASCO</w:t>
      </w:r>
      <w:r>
        <w:rPr>
          <w:rFonts w:ascii="Segoe UI" w:hAnsi="Segoe UI" w:cs="Segoe UI"/>
          <w:sz w:val="18"/>
          <w:szCs w:val="18"/>
        </w:rPr>
        <w:t>, vol. 39, no. 15 SUPPL.</w:t>
      </w:r>
    </w:p>
    <w:p w14:paraId="728E50F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8C4CB5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Kim, HJ, Zein, Y, Burn, J, Baillie, T, Lim, C, Nejad, K, Muljono, A, Maclean, F, Suthers, G, Harraway, J &amp; Vargas, C 2019, 'Initial experience using targeted next generation sequencing (NGS) for the detection of somatic mutations in non-small lung cancer lung cancer with histopathological correlation in a subset of cases', </w:t>
      </w:r>
      <w:r>
        <w:rPr>
          <w:rFonts w:ascii="Segoe UI" w:hAnsi="Segoe UI" w:cs="Segoe UI"/>
          <w:i/>
          <w:iCs/>
          <w:sz w:val="18"/>
          <w:szCs w:val="18"/>
        </w:rPr>
        <w:t>Pathology</w:t>
      </w:r>
      <w:r>
        <w:rPr>
          <w:rFonts w:ascii="Segoe UI" w:hAnsi="Segoe UI" w:cs="Segoe UI"/>
          <w:sz w:val="18"/>
          <w:szCs w:val="18"/>
        </w:rPr>
        <w:t>, vol. 51(Supplement 1), February, p. S87.</w:t>
      </w:r>
    </w:p>
    <w:p w14:paraId="10B926F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A18963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Kim, J, He, MX, Zhang, B, Su, N, Luo, Y, Ma, XJ &amp; Park, E 2016, 'Combining the best of both worlds: Immune profiling the tumor microenvironment with RNA and protein biomarkers by fluorescence multiplex RNA in situ hybridization and immunohistochemistry', </w:t>
      </w:r>
      <w:r>
        <w:rPr>
          <w:rFonts w:ascii="Segoe UI" w:hAnsi="Segoe UI" w:cs="Segoe UI"/>
          <w:i/>
          <w:iCs/>
          <w:sz w:val="18"/>
          <w:szCs w:val="18"/>
        </w:rPr>
        <w:t>Journal for ImmunoTherapy of Cancer. Conference: 31st Annual Meeting and Associated Programs of the Society for Immunotherapy of Cancer, SITC</w:t>
      </w:r>
      <w:r>
        <w:rPr>
          <w:rFonts w:ascii="Segoe UI" w:hAnsi="Segoe UI" w:cs="Segoe UI"/>
          <w:sz w:val="18"/>
          <w:szCs w:val="18"/>
        </w:rPr>
        <w:t>, vol. 4, no. Supplement 1.</w:t>
      </w:r>
    </w:p>
    <w:p w14:paraId="0C47969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16829A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Kok, K, Wei, J, Rybczynska, A, Terpstra, M, Van Der Wekken, A, Hilterman, J, Schuuring, E, Sijmons, R, Groen, H &amp; Van Den Berg, A 2017, 'A comprehensive RNA-based assay for treatment prediction in nonsmall cell lung cancer patients', </w:t>
      </w:r>
      <w:r>
        <w:rPr>
          <w:rFonts w:ascii="Segoe UI" w:hAnsi="Segoe UI" w:cs="Segoe UI"/>
          <w:i/>
          <w:iCs/>
          <w:sz w:val="18"/>
          <w:szCs w:val="18"/>
        </w:rPr>
        <w:t>Cancer Research. Conference: American Association for Cancer Research Annual Meeting</w:t>
      </w:r>
      <w:r>
        <w:rPr>
          <w:rFonts w:ascii="Segoe UI" w:hAnsi="Segoe UI" w:cs="Segoe UI"/>
          <w:sz w:val="18"/>
          <w:szCs w:val="18"/>
        </w:rPr>
        <w:t>, vol. 77, no. 13 Supplement 1.</w:t>
      </w:r>
    </w:p>
    <w:p w14:paraId="04135BA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5B05AB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Koleczko, S, Schapers, C, Scheffler, M, Ihle, M, Kostenko, A, Michels, S, Fischer, R, Nogova, L, Brandes, V, Abdulla, D, Ueckeroth, F, Thurat, M, Frank, R, Eisert, A, Bitter, E, Wompner, C, Gogl, L, Merkelbach-Bruse, S, Buttner, R &amp; Wolf, J 2016, 'A comprehensive analysis of potentially targetable genetic aberrations and clinical findings in 821 patients with squamous-cell NSCLC-a comparison of NGM and TCGA LUSC data', </w:t>
      </w:r>
      <w:r>
        <w:rPr>
          <w:rFonts w:ascii="Segoe UI" w:hAnsi="Segoe UI" w:cs="Segoe UI"/>
          <w:i/>
          <w:iCs/>
          <w:sz w:val="18"/>
          <w:szCs w:val="18"/>
        </w:rPr>
        <w:t>Annals of Oncology. Conference: 41st European Society for Medical Oncology Congress, ESMO</w:t>
      </w:r>
      <w:r>
        <w:rPr>
          <w:rFonts w:ascii="Segoe UI" w:hAnsi="Segoe UI" w:cs="Segoe UI"/>
          <w:sz w:val="18"/>
          <w:szCs w:val="18"/>
        </w:rPr>
        <w:t>, vol. 27, no. Supplement 6.</w:t>
      </w:r>
    </w:p>
    <w:p w14:paraId="099586D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8627D8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Kostenko, A, Michels, S, Fassunke, J, Scheffler, M, Merkelbach-Bruse, S, Fischer, R, Gerigk, M, Sueptitz, J, Kron, F, Glossmann, JP, Buettner, R &amp; Wolf, J 2016, 'Survival following implementation of next-generation sequencing in routine diagnostics of advanced lung cancer: Results of the German Network Genomic Medicine', </w:t>
      </w:r>
      <w:r>
        <w:rPr>
          <w:rFonts w:ascii="Segoe UI" w:hAnsi="Segoe UI" w:cs="Segoe UI"/>
          <w:i/>
          <w:iCs/>
          <w:sz w:val="18"/>
          <w:szCs w:val="18"/>
        </w:rPr>
        <w:t>Journal of Clinical Oncology</w:t>
      </w:r>
      <w:r>
        <w:rPr>
          <w:rFonts w:ascii="Segoe UI" w:hAnsi="Segoe UI" w:cs="Segoe UI"/>
          <w:sz w:val="18"/>
          <w:szCs w:val="18"/>
        </w:rPr>
        <w:t>, vol. 34, no. 15_suppl, pp. 9085-9085.</w:t>
      </w:r>
    </w:p>
    <w:p w14:paraId="0577AB2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AEE70C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Le, X, Felip, E, Veillon, R, Sakai, H, Cortot, AB, Garassino, MC, Mazieres, J, Ramirez, SV, Senellart, H, Van Meerbeeck, J, Reinmuth, N, Conte, PF, Kowalski, D, Cho, BC, Straub, J, Scheele, J, Juraeva, D, Bruns, R, Heymach, J &amp; Paik, PK 2020, 'Primary efficacy and biomarker analyses from the VISION study of tepotinib in patients (pts) with non-small cell lung cancer (NSCLC) with METex14 skipping', </w:t>
      </w:r>
      <w:r>
        <w:rPr>
          <w:rFonts w:ascii="Segoe UI" w:hAnsi="Segoe UI" w:cs="Segoe UI"/>
          <w:i/>
          <w:iCs/>
          <w:sz w:val="18"/>
          <w:szCs w:val="18"/>
        </w:rPr>
        <w:t>Journal of Clinical Oncology. Conference</w:t>
      </w:r>
      <w:r>
        <w:rPr>
          <w:rFonts w:ascii="Segoe UI" w:hAnsi="Segoe UI" w:cs="Segoe UI"/>
          <w:sz w:val="18"/>
          <w:szCs w:val="18"/>
        </w:rPr>
        <w:t>, vol. 38, no. 15.</w:t>
      </w:r>
    </w:p>
    <w:p w14:paraId="086877A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AC4005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 L, Mao, N, Lyu, Y, Lin, H, Wang, K, He, X, Wang, W, Hu, X, Mo, X, Lv, Z, Wu, D &amp; Wang, M 2021, 'The novel approach to distinguish primary multiple lung adenocarcinomas from intrapulmonary metastases by next generation sequencing in Chinese patients', </w:t>
      </w:r>
      <w:r>
        <w:rPr>
          <w:rFonts w:ascii="Segoe UI" w:hAnsi="Segoe UI" w:cs="Segoe UI"/>
          <w:i/>
          <w:iCs/>
          <w:sz w:val="18"/>
          <w:szCs w:val="18"/>
        </w:rPr>
        <w:t>Journal of Clinical Oncology. Conference: Annual Meeting of the American Society of Clinical Oncology, ASCO</w:t>
      </w:r>
      <w:r>
        <w:rPr>
          <w:rFonts w:ascii="Segoe UI" w:hAnsi="Segoe UI" w:cs="Segoe UI"/>
          <w:sz w:val="18"/>
          <w:szCs w:val="18"/>
        </w:rPr>
        <w:t>, vol. 39, no. 15 SUPPL.</w:t>
      </w:r>
    </w:p>
    <w:p w14:paraId="3C4DD0F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0555E0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 Y, Luo, J, Yip, W, Skoletsky, J, Milbury, C, Burns, C, Tsuji, A, Truesdell, J, Peters, E, Gilbert, H, Wu, C, Schleifman, E, Barrett, C, Thress, K, Jenkins, S, Elvin, J, Otto, G, Lipson, D, Ross, J, Miller, V, Stephens, PJ, Doherty, M, Vietz, C &amp; Sun, J 2017, 'An EGFR follow-on companion diagnostic for clinical care of patients with NSCLC', </w:t>
      </w:r>
      <w:r>
        <w:rPr>
          <w:rFonts w:ascii="Segoe UI" w:hAnsi="Segoe UI" w:cs="Segoe UI"/>
          <w:i/>
          <w:iCs/>
          <w:sz w:val="18"/>
          <w:szCs w:val="18"/>
        </w:rPr>
        <w:t>Journal of Thoracic Oncology</w:t>
      </w:r>
      <w:r>
        <w:rPr>
          <w:rFonts w:ascii="Segoe UI" w:hAnsi="Segoe UI" w:cs="Segoe UI"/>
          <w:sz w:val="18"/>
          <w:szCs w:val="18"/>
        </w:rPr>
        <w:t>, vol. 12(11 Supplement 2), November, p. S2260.</w:t>
      </w:r>
    </w:p>
    <w:p w14:paraId="3605206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DB85AB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 Y, Sun, JX, Skoletsky, J, Milbury, C, Burns, C, Yip, WK, Dewal, N, He, J, Tuesdell, J, Peters, E, Schleifman, E, Noe, J, Jenkins, S, Elvin, JA, Otto, G, Lipson, D, Ross, JS, Miller, VA, Doherty, M &amp; Vietz, C 2018, 'Clinical and analytical validation of an FDA approved comprehensive genomic profiling (CGP) assay incorporating multiple companion diagnostics for targeted and immunotherapies', </w:t>
      </w:r>
      <w:r>
        <w:rPr>
          <w:rFonts w:ascii="Segoe UI" w:hAnsi="Segoe UI" w:cs="Segoe UI"/>
          <w:i/>
          <w:iCs/>
          <w:sz w:val="18"/>
          <w:szCs w:val="18"/>
        </w:rPr>
        <w:t>Annals of Oncology</w:t>
      </w:r>
      <w:r>
        <w:rPr>
          <w:rFonts w:ascii="Segoe UI" w:hAnsi="Segoe UI" w:cs="Segoe UI"/>
          <w:sz w:val="18"/>
          <w:szCs w:val="18"/>
        </w:rPr>
        <w:t>, vol. 29(Supplement 8), October, p. viii24.</w:t>
      </w:r>
    </w:p>
    <w:p w14:paraId="247E10A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350AFA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 Y, Yip, W, Luo, J, Skoletsky, J, Milbury, C, Burns, C, Tsuji, A, Truesdell, J, Peters, E, Gilbert, H, Wu, C, Schleifman, E, Noe, J, Elvin, J, Otto, G, Lipson, D, Ross, J, Miller, V, Stephens, PJ, Doherty, M, Vietz, C &amp; Sun, J 2017, 'An ALK follow-on companion diagnostic using CGP for clinical care of patients with NSCLC', </w:t>
      </w:r>
      <w:r>
        <w:rPr>
          <w:rFonts w:ascii="Segoe UI" w:hAnsi="Segoe UI" w:cs="Segoe UI"/>
          <w:i/>
          <w:iCs/>
          <w:sz w:val="18"/>
          <w:szCs w:val="18"/>
        </w:rPr>
        <w:t>Journal of Thoracic Oncology</w:t>
      </w:r>
      <w:r>
        <w:rPr>
          <w:rFonts w:ascii="Segoe UI" w:hAnsi="Segoe UI" w:cs="Segoe UI"/>
          <w:sz w:val="18"/>
          <w:szCs w:val="18"/>
        </w:rPr>
        <w:t>, vol. 12(11 Supplement 2), November, pp. S2259-S2260.</w:t>
      </w:r>
    </w:p>
    <w:p w14:paraId="196F783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4642BC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Lin, H, Wu, Y, Yin, Y, Niu, H, Humphries, M &amp; Lovly, C 2021, 'FP07.15 Real-world ALK Testing Trends and Patterns in Patients with Advanced NSCLC in the United States', </w:t>
      </w:r>
      <w:r>
        <w:rPr>
          <w:rFonts w:ascii="Segoe UI" w:hAnsi="Segoe UI" w:cs="Segoe UI"/>
          <w:i/>
          <w:iCs/>
          <w:sz w:val="18"/>
          <w:szCs w:val="18"/>
        </w:rPr>
        <w:t>Journal of Thoracic Oncology</w:t>
      </w:r>
      <w:r>
        <w:rPr>
          <w:rFonts w:ascii="Segoe UI" w:hAnsi="Segoe UI" w:cs="Segoe UI"/>
          <w:sz w:val="18"/>
          <w:szCs w:val="18"/>
        </w:rPr>
        <w:t>, vol. 16(3 Supplement), March, p. S210.</w:t>
      </w:r>
    </w:p>
    <w:p w14:paraId="71EF470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385C9E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Lin, H, Yin, Y, Crossland, V, Wu, Y &amp; Ou, S 2021, 'P37.31 Trends in the Detection of EGFR Exon 20 Insertions in Patients with NSCLC in the US', </w:t>
      </w:r>
      <w:r>
        <w:rPr>
          <w:rFonts w:ascii="Segoe UI" w:hAnsi="Segoe UI" w:cs="Segoe UI"/>
          <w:i/>
          <w:iCs/>
          <w:sz w:val="18"/>
          <w:szCs w:val="18"/>
        </w:rPr>
        <w:t>Journal of Thoracic Oncology</w:t>
      </w:r>
      <w:r>
        <w:rPr>
          <w:rFonts w:ascii="Segoe UI" w:hAnsi="Segoe UI" w:cs="Segoe UI"/>
          <w:sz w:val="18"/>
          <w:szCs w:val="18"/>
        </w:rPr>
        <w:t>, vol. 16(3 Supplement), March, pp. S454-S455.</w:t>
      </w:r>
    </w:p>
    <w:p w14:paraId="3E9FEA2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7E6B35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Lin, Q, Liu, Z, Wang, D, Zhu, H, Fang, Y, Zhang, X &amp; Ma, T 2021, 'P88.05 A Recommended one-step Targeted Sequencing Technology for Identification of a Dual CD74-ROS1 in NSCLC', </w:t>
      </w:r>
      <w:r>
        <w:rPr>
          <w:rFonts w:ascii="Segoe UI" w:hAnsi="Segoe UI" w:cs="Segoe UI"/>
          <w:i/>
          <w:iCs/>
          <w:sz w:val="18"/>
          <w:szCs w:val="18"/>
        </w:rPr>
        <w:t>Journal of Thoracic Oncology</w:t>
      </w:r>
      <w:r>
        <w:rPr>
          <w:rFonts w:ascii="Segoe UI" w:hAnsi="Segoe UI" w:cs="Segoe UI"/>
          <w:sz w:val="18"/>
          <w:szCs w:val="18"/>
        </w:rPr>
        <w:t>, vol. 16(3 Supplement), March, pp. S687-S688.</w:t>
      </w:r>
    </w:p>
    <w:p w14:paraId="087AA39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3E1A36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Linehan, A, O'Reilly, M, Lynch, E, Keane, F, Walshe, J, Crown, J, Fabre, A, Cotter, M, Finn, S &amp; Hanrahan, E 2021, '104 Comparison of immunohistochemistry and polymerase chain reaction for single gene vs multigene panel with next generation sequencing for identifying targetable mutations in non-small cell lung cancer', </w:t>
      </w:r>
      <w:r>
        <w:rPr>
          <w:rFonts w:ascii="Segoe UI" w:hAnsi="Segoe UI" w:cs="Segoe UI"/>
          <w:i/>
          <w:iCs/>
          <w:sz w:val="18"/>
          <w:szCs w:val="18"/>
        </w:rPr>
        <w:t>Lung Cancer</w:t>
      </w:r>
      <w:r>
        <w:rPr>
          <w:rFonts w:ascii="Segoe UI" w:hAnsi="Segoe UI" w:cs="Segoe UI"/>
          <w:sz w:val="18"/>
          <w:szCs w:val="18"/>
        </w:rPr>
        <w:t>, vol. 156(Supplement 1), June, pp. S43-S44.</w:t>
      </w:r>
    </w:p>
    <w:p w14:paraId="62477DD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BB2800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Lo, YC, Sholl, L &amp; Dong, F 2020, 'Next generation sequencing in the diagnostic reevaluation of non-small cell lung carcinomas: A systematic review', </w:t>
      </w:r>
      <w:r>
        <w:rPr>
          <w:rFonts w:ascii="Segoe UI" w:hAnsi="Segoe UI" w:cs="Segoe UI"/>
          <w:i/>
          <w:iCs/>
          <w:sz w:val="18"/>
          <w:szCs w:val="18"/>
        </w:rPr>
        <w:t>Modern Pathology</w:t>
      </w:r>
      <w:r>
        <w:rPr>
          <w:rFonts w:ascii="Segoe UI" w:hAnsi="Segoe UI" w:cs="Segoe UI"/>
          <w:sz w:val="18"/>
          <w:szCs w:val="18"/>
        </w:rPr>
        <w:t>, vol. 33(3), March, p. 1798.</w:t>
      </w:r>
    </w:p>
    <w:p w14:paraId="39E5B8B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CEB7B2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Loong, H, Wong, CKH, Leung, LKS, Chan, CPK, Chang, A, Zhou, ZY, Tang, W &amp; Gibbs, M 2020, 'Economic impact of next-generation sequencing (NGS) versus single-gene testing modalities to detect genomic alterations (GAs) in metastatic non-small cell lung cancer (mNSCLC) in Asia', </w:t>
      </w:r>
      <w:r>
        <w:rPr>
          <w:rFonts w:ascii="Segoe UI" w:hAnsi="Segoe UI" w:cs="Segoe UI"/>
          <w:i/>
          <w:iCs/>
          <w:sz w:val="18"/>
          <w:szCs w:val="18"/>
        </w:rPr>
        <w:t>Annals of Oncology</w:t>
      </w:r>
      <w:r>
        <w:rPr>
          <w:rFonts w:ascii="Segoe UI" w:hAnsi="Segoe UI" w:cs="Segoe UI"/>
          <w:sz w:val="18"/>
          <w:szCs w:val="18"/>
        </w:rPr>
        <w:t>, vol. 31(Supplement 6), November, pp. S1394-S1395.</w:t>
      </w:r>
    </w:p>
    <w:p w14:paraId="30DF5B2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3B7FF6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Lozano, M, Abengozar, M, Alvarez, M, Echeveste, J, Helena Royuela, E, Garcia Tobar, L, Joaquin Paricio, J, Argueta, A, Garcia Porrero, G, Moreno, M, Gomez, N &amp; de Andrea, C 2020, 'Feasibility, reliability and therapeutic implications of cytological stained smears as a source of starting material for next-generation sequencing-based molecular testing in nsclc patients', </w:t>
      </w:r>
      <w:r>
        <w:rPr>
          <w:rFonts w:ascii="Segoe UI" w:hAnsi="Segoe UI" w:cs="Segoe UI"/>
          <w:i/>
          <w:iCs/>
          <w:sz w:val="18"/>
          <w:szCs w:val="18"/>
        </w:rPr>
        <w:t>Modern Pathology</w:t>
      </w:r>
      <w:r>
        <w:rPr>
          <w:rFonts w:ascii="Segoe UI" w:hAnsi="Segoe UI" w:cs="Segoe UI"/>
          <w:sz w:val="18"/>
          <w:szCs w:val="18"/>
        </w:rPr>
        <w:t>, vol. 33(3), March, pp. 391-392.</w:t>
      </w:r>
    </w:p>
    <w:p w14:paraId="44CD899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C23BBF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MacRosty, C, McFarlane, V, Ghosh, S, Belanger, AR, Burks, A, Delgado, A, Weiss, J, Rivera, MP &amp; Akulian, J 2019, 'Adequacy of endobronchial ultrasound guided transbronchial needle aspiration for commercially available next generation sequencing in non small cell lung cancer', </w:t>
      </w:r>
      <w:r>
        <w:rPr>
          <w:rFonts w:ascii="Segoe UI" w:hAnsi="Segoe UI" w:cs="Segoe UI"/>
          <w:i/>
          <w:iCs/>
          <w:sz w:val="18"/>
          <w:szCs w:val="18"/>
        </w:rPr>
        <w:t>American Journal of Respiratory and Critical Care Medicine. Conference</w:t>
      </w:r>
      <w:r>
        <w:rPr>
          <w:rFonts w:ascii="Segoe UI" w:hAnsi="Segoe UI" w:cs="Segoe UI"/>
          <w:sz w:val="18"/>
          <w:szCs w:val="18"/>
        </w:rPr>
        <w:t>, vol. 199, no. 9.</w:t>
      </w:r>
    </w:p>
    <w:p w14:paraId="21EF04B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993CDD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Makarem, M, Ezeife, D, Smith, A, Law, J, Tsao, M &amp; Leighl, N 2019, 'P2.16-05 Population-Based ROS1 Testing in Lung Cancer: Creating Opportunity in a Publicly Funded System', </w:t>
      </w:r>
      <w:r>
        <w:rPr>
          <w:rFonts w:ascii="Segoe UI" w:hAnsi="Segoe UI" w:cs="Segoe UI"/>
          <w:i/>
          <w:iCs/>
          <w:sz w:val="18"/>
          <w:szCs w:val="18"/>
        </w:rPr>
        <w:t>Journal of Thoracic Oncology</w:t>
      </w:r>
      <w:r>
        <w:rPr>
          <w:rFonts w:ascii="Segoe UI" w:hAnsi="Segoe UI" w:cs="Segoe UI"/>
          <w:sz w:val="18"/>
          <w:szCs w:val="18"/>
        </w:rPr>
        <w:t>, vol. 14(10 Supplement), October, pp. S866-S867.</w:t>
      </w:r>
    </w:p>
    <w:p w14:paraId="664CC59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A45F25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Mao, R, Xiao, S, Lin, R, Wang, Y &amp; Wang, T 2020, 'Technical validation of a highsensitivity target capture NGS assay using unique molecular identifier approach', </w:t>
      </w:r>
      <w:r>
        <w:rPr>
          <w:rFonts w:ascii="Segoe UI" w:hAnsi="Segoe UI" w:cs="Segoe UI"/>
          <w:i/>
          <w:iCs/>
          <w:sz w:val="18"/>
          <w:szCs w:val="18"/>
        </w:rPr>
        <w:t>Journal of Clinical Oncology. Conference</w:t>
      </w:r>
      <w:r>
        <w:rPr>
          <w:rFonts w:ascii="Segoe UI" w:hAnsi="Segoe UI" w:cs="Segoe UI"/>
          <w:sz w:val="18"/>
          <w:szCs w:val="18"/>
        </w:rPr>
        <w:t>, vol. 38, no. 15.</w:t>
      </w:r>
    </w:p>
    <w:p w14:paraId="586E2F4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618511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Marmarelis, M, Berman, A, Scholes, D, Thompson, J, Doucette, A, Gabriel, P, Bauml, J, Singh, A, Cohen, R, Litzky, L, McGrath, C, Feldman, M, Langer, C, Carpenter, E &amp; Aggarwal, C 2021, 'P59.21 Impact of Reflex Testing on Pathology Based Molecular Testing in Patients With Advanced Non-Squamous Non-Small Cell Lung Cancer (NSCLC)', </w:t>
      </w:r>
      <w:r>
        <w:rPr>
          <w:rFonts w:ascii="Segoe UI" w:hAnsi="Segoe UI" w:cs="Segoe UI"/>
          <w:i/>
          <w:iCs/>
          <w:sz w:val="18"/>
          <w:szCs w:val="18"/>
        </w:rPr>
        <w:t>Journal of Thoracic Oncology</w:t>
      </w:r>
      <w:r>
        <w:rPr>
          <w:rFonts w:ascii="Segoe UI" w:hAnsi="Segoe UI" w:cs="Segoe UI"/>
          <w:sz w:val="18"/>
          <w:szCs w:val="18"/>
        </w:rPr>
        <w:t>, vol. 16(10 Supplement), October, p. S1157.</w:t>
      </w:r>
    </w:p>
    <w:p w14:paraId="3DEBD63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B84F2C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Martin-Deleon, R, Teixido, C, Reyes, R, Cabrera, C, Fontana, A, Castillo, S, Marrades, RM, Vinolas, N, Martinez, D, Ramirez, J, Vollmer, I, Jares, P, Lucena, CM, Reguart, N &amp; Agusti, C 2019, 'EP1.01-41 Feasibility of EBUS-TBNA Cytologies for an Extensive Assessment of Predictive Biomarkers in Lung Cancer', </w:t>
      </w:r>
      <w:r>
        <w:rPr>
          <w:rFonts w:ascii="Segoe UI" w:hAnsi="Segoe UI" w:cs="Segoe UI"/>
          <w:i/>
          <w:iCs/>
          <w:sz w:val="18"/>
          <w:szCs w:val="18"/>
        </w:rPr>
        <w:t>Journal of Thoracic Oncology</w:t>
      </w:r>
      <w:r>
        <w:rPr>
          <w:rFonts w:ascii="Segoe UI" w:hAnsi="Segoe UI" w:cs="Segoe UI"/>
          <w:sz w:val="18"/>
          <w:szCs w:val="18"/>
        </w:rPr>
        <w:t>, vol. 14(10 Supplement), October, pp. S927-S928.</w:t>
      </w:r>
    </w:p>
    <w:p w14:paraId="5662F2D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D0A280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Mascaux, C, Bubendorf, L, Barlesi, F, Clendening, JW, Zhang, Q, Mace, K, Gondos, A, Foser, S, Wang, LI &amp; Paz-Ares, LG 2019, 'Identification and use of treatment (tx) options in patients (pts) with advanced non-small cell lung cancer (aNSCLC) after comprehensive genomic profiling (CGP): A real-world study', </w:t>
      </w:r>
      <w:r>
        <w:rPr>
          <w:rFonts w:ascii="Segoe UI" w:hAnsi="Segoe UI" w:cs="Segoe UI"/>
          <w:i/>
          <w:iCs/>
          <w:sz w:val="18"/>
          <w:szCs w:val="18"/>
        </w:rPr>
        <w:t>Journal of Clinical Oncology. Conference</w:t>
      </w:r>
      <w:r>
        <w:rPr>
          <w:rFonts w:ascii="Segoe UI" w:hAnsi="Segoe UI" w:cs="Segoe UI"/>
          <w:sz w:val="18"/>
          <w:szCs w:val="18"/>
        </w:rPr>
        <w:t>, vol. 37, no. Supplement 15.</w:t>
      </w:r>
    </w:p>
    <w:p w14:paraId="79AF325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12A451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Matsumoto, S, Ikeda, T, Yoh, K, Sugimoto, A, Kato, T, Kunimasa, K, Nakamura, A, Nakachi, I, Kuyama, S, Sakakibara-Konishi, J, Daga, H, Iwama, E, Taima, K, Furuya, N, Nosaki, K, Izumi, H, Zenke, Y &amp; Goto, K 2021, 'Impact of rapid multigene assays with short turnaround time (TAT) on the development of precision medicine for non-small cell lung cancer (NSCLC)', </w:t>
      </w:r>
      <w:r>
        <w:rPr>
          <w:rFonts w:ascii="Segoe UI" w:hAnsi="Segoe UI" w:cs="Segoe UI"/>
          <w:i/>
          <w:iCs/>
          <w:sz w:val="18"/>
          <w:szCs w:val="18"/>
        </w:rPr>
        <w:t>Journal of Clinical Oncology. Conference: Annual Meeting of the American Society of Clinical Oncology, ASCO</w:t>
      </w:r>
      <w:r>
        <w:rPr>
          <w:rFonts w:ascii="Segoe UI" w:hAnsi="Segoe UI" w:cs="Segoe UI"/>
          <w:sz w:val="18"/>
          <w:szCs w:val="18"/>
        </w:rPr>
        <w:t>, vol. 39, no. 15 SUPPL.</w:t>
      </w:r>
    </w:p>
    <w:p w14:paraId="5DA939F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022159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McDonough, S, Aiyer, A, Velasco Roth, AM, Menezes, J, Vora, A, Schulz, J, Degrandpre, J, Mina, E &amp; Shaw, J 2018, 'Can NGS NSCLC Testing Be Implemented Without in House Expertise? Clinical Utility of the First FDA-Approved Lung Cancer NGS End-To-End Solution', </w:t>
      </w:r>
      <w:r>
        <w:rPr>
          <w:rFonts w:ascii="Segoe UI" w:hAnsi="Segoe UI" w:cs="Segoe UI"/>
          <w:i/>
          <w:iCs/>
          <w:sz w:val="18"/>
          <w:szCs w:val="18"/>
        </w:rPr>
        <w:t>Journal of Thoracic Oncology</w:t>
      </w:r>
      <w:r>
        <w:rPr>
          <w:rFonts w:ascii="Segoe UI" w:hAnsi="Segoe UI" w:cs="Segoe UI"/>
          <w:sz w:val="18"/>
          <w:szCs w:val="18"/>
        </w:rPr>
        <w:t>, vol. 13(10 Supplement), October, p. S703.</w:t>
      </w:r>
    </w:p>
    <w:p w14:paraId="76A43A8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565DE4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Mehrotra, H, Arora, K, Favazza, L &amp; Chitale, D 2021, 'Comparison of dna and rna based sequencing for detecting met exon 14 skipping mutations and their morphologic correlate in patients with non-small cell lung cancer', </w:t>
      </w:r>
      <w:r>
        <w:rPr>
          <w:rFonts w:ascii="Segoe UI" w:hAnsi="Segoe UI" w:cs="Segoe UI"/>
          <w:i/>
          <w:iCs/>
          <w:sz w:val="18"/>
          <w:szCs w:val="18"/>
        </w:rPr>
        <w:t>Laboratory Investigation</w:t>
      </w:r>
      <w:r>
        <w:rPr>
          <w:rFonts w:ascii="Segoe UI" w:hAnsi="Segoe UI" w:cs="Segoe UI"/>
          <w:sz w:val="18"/>
          <w:szCs w:val="18"/>
        </w:rPr>
        <w:t>, vol. 101(SUPPL 1), March, pp. 1124-1126.</w:t>
      </w:r>
    </w:p>
    <w:p w14:paraId="000D1B3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1DADE0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Melchior, L, Rugiu, ES, Sorensen, J, Bjerregaard, J &amp; Urbanska, E 2019, 'EP1.08-07 Correlation Between Genetic Profiling and Response in Danish ALK-Positive NSCLC Patients Treated with Crizotinib', </w:t>
      </w:r>
      <w:r>
        <w:rPr>
          <w:rFonts w:ascii="Segoe UI" w:hAnsi="Segoe UI" w:cs="Segoe UI"/>
          <w:i/>
          <w:iCs/>
          <w:sz w:val="18"/>
          <w:szCs w:val="18"/>
        </w:rPr>
        <w:t>Journal of Thoracic Oncology</w:t>
      </w:r>
      <w:r>
        <w:rPr>
          <w:rFonts w:ascii="Segoe UI" w:hAnsi="Segoe UI" w:cs="Segoe UI"/>
          <w:sz w:val="18"/>
          <w:szCs w:val="18"/>
        </w:rPr>
        <w:t>, vol. 14(10 Supplement), October, pp. S997-S998.</w:t>
      </w:r>
    </w:p>
    <w:p w14:paraId="1483CD5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F6874B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Meng, P, Wei, J, Terpstra, MM, Van Rijk, A, Tamminga, M, Scherpen, F, Ter Elst, A, Alimohamed, MZ, Johansson, LF, Jeroen, T, Hiltermann, N, Groen, HJ, Kok, K, Van Der Wekken, AJ &amp; Van Den Berg, A 2020, 'Clinical value of EGFR gene amplifications detected using amplicon based targeted next generation sequencing data in lung adenocarcinoma patients', </w:t>
      </w:r>
      <w:r>
        <w:rPr>
          <w:rFonts w:ascii="Segoe UI" w:hAnsi="Segoe UI" w:cs="Segoe UI"/>
          <w:i/>
          <w:iCs/>
          <w:sz w:val="18"/>
          <w:szCs w:val="18"/>
        </w:rPr>
        <w:t>Cancer Research. Conference: American Association for Cancer Research Annual Meeting, AACR</w:t>
      </w:r>
      <w:r>
        <w:rPr>
          <w:rFonts w:ascii="Segoe UI" w:hAnsi="Segoe UI" w:cs="Segoe UI"/>
          <w:sz w:val="18"/>
          <w:szCs w:val="18"/>
        </w:rPr>
        <w:t>, vol. 80, no. 16 SUPPL.</w:t>
      </w:r>
    </w:p>
    <w:p w14:paraId="05523B1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EB0870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Merlin, JL, Gilson, P, Husson, M &amp; Harle, A 2020, 'Targeted PCR vs NGS for molecular diagnostic in solid tumors and liquid biopsies. How to choose in real-life', </w:t>
      </w:r>
      <w:r>
        <w:rPr>
          <w:rFonts w:ascii="Segoe UI" w:hAnsi="Segoe UI" w:cs="Segoe UI"/>
          <w:i/>
          <w:iCs/>
          <w:sz w:val="18"/>
          <w:szCs w:val="18"/>
        </w:rPr>
        <w:t>Journal of Clinical Oncology. Conference</w:t>
      </w:r>
      <w:r>
        <w:rPr>
          <w:rFonts w:ascii="Segoe UI" w:hAnsi="Segoe UI" w:cs="Segoe UI"/>
          <w:sz w:val="18"/>
          <w:szCs w:val="18"/>
        </w:rPr>
        <w:t>, vol. 38, no. 15.</w:t>
      </w:r>
    </w:p>
    <w:p w14:paraId="153872C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19728D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Mileyko, V, Ivanov, M, Novikova, E, Telysheva, E, Chernenko, P, Breder, V, Laktionov, K &amp; Baranova, A 2016, 'NGS for precision medicine in non-small cell lung cancer: Challenges and opportunities', </w:t>
      </w:r>
      <w:r>
        <w:rPr>
          <w:rFonts w:ascii="Segoe UI" w:hAnsi="Segoe UI" w:cs="Segoe UI"/>
          <w:i/>
          <w:iCs/>
          <w:sz w:val="18"/>
          <w:szCs w:val="18"/>
        </w:rPr>
        <w:t>Annals of Oncology. Conference: 41st European Society for Medical Oncology Congress, ESMO</w:t>
      </w:r>
      <w:r>
        <w:rPr>
          <w:rFonts w:ascii="Segoe UI" w:hAnsi="Segoe UI" w:cs="Segoe UI"/>
          <w:sz w:val="18"/>
          <w:szCs w:val="18"/>
        </w:rPr>
        <w:t>, vol. 27, no. Supplement 6.</w:t>
      </w:r>
    </w:p>
    <w:p w14:paraId="0F06619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2DB0BD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Mileyko, V, Ivanov, M, Novikova, E, Telysheva, E, Chernenko, P, Breder, V, Laktionov, K &amp; Baranova, A 2016, 'NGS for precision medicine in non-small cell lung cancer: Challenges and opportunities', </w:t>
      </w:r>
      <w:r>
        <w:rPr>
          <w:rFonts w:ascii="Segoe UI" w:hAnsi="Segoe UI" w:cs="Segoe UI"/>
          <w:i/>
          <w:iCs/>
          <w:sz w:val="18"/>
          <w:szCs w:val="18"/>
        </w:rPr>
        <w:t>Annals of Oncology</w:t>
      </w:r>
      <w:r>
        <w:rPr>
          <w:rFonts w:ascii="Segoe UI" w:hAnsi="Segoe UI" w:cs="Segoe UI"/>
          <w:sz w:val="18"/>
          <w:szCs w:val="18"/>
        </w:rPr>
        <w:t>, vol. 27, no. NA, pp. vi37-NA.</w:t>
      </w:r>
    </w:p>
    <w:p w14:paraId="2862081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3DDB4D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Mitova, R, Djambazov, S, Slavchev, G &amp; Vekov, T 2020, 'PCN263 Assessment of Comparative Effectiveness of Next Generation Sequencing Versus Standard Diagnostic TESTS in Patients with NON-SMALL CELL LUNG Cancer', </w:t>
      </w:r>
      <w:r>
        <w:rPr>
          <w:rFonts w:ascii="Segoe UI" w:hAnsi="Segoe UI" w:cs="Segoe UI"/>
          <w:i/>
          <w:iCs/>
          <w:sz w:val="18"/>
          <w:szCs w:val="18"/>
        </w:rPr>
        <w:t>Value in Health</w:t>
      </w:r>
      <w:r>
        <w:rPr>
          <w:rFonts w:ascii="Segoe UI" w:hAnsi="Segoe UI" w:cs="Segoe UI"/>
          <w:sz w:val="18"/>
          <w:szCs w:val="18"/>
        </w:rPr>
        <w:t>, vol. 23(Supplement 2), December, p. S469.</w:t>
      </w:r>
    </w:p>
    <w:p w14:paraId="7B6FCCC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B1020B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Montenegro, GB, Nagasaka, M, Ma, P, Naqash, AR, Mamdani, H, Spira, A, Subramaniam, D, Feldman, R &amp; Kim, C 2019, 'P2.01-100 Spectrum of EGFR Exon 20 Insertion Mutations and Co-Occurring Genetic Alterations in Patients with Non-Small-Cell Lung Cancer', </w:t>
      </w:r>
      <w:r>
        <w:rPr>
          <w:rFonts w:ascii="Segoe UI" w:hAnsi="Segoe UI" w:cs="Segoe UI"/>
          <w:i/>
          <w:iCs/>
          <w:sz w:val="18"/>
          <w:szCs w:val="18"/>
        </w:rPr>
        <w:t>Journal of Thoracic Oncology</w:t>
      </w:r>
      <w:r>
        <w:rPr>
          <w:rFonts w:ascii="Segoe UI" w:hAnsi="Segoe UI" w:cs="Segoe UI"/>
          <w:sz w:val="18"/>
          <w:szCs w:val="18"/>
        </w:rPr>
        <w:t>, vol. 14(10 Supplement), October, p. S680.</w:t>
      </w:r>
    </w:p>
    <w:p w14:paraId="04C3393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077943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Moore, D, Benafif, S, Bennett, P, Argue, S, Lee, SM, Ahmad, T, Papadatos-Pastos, D &amp; Forster, M 2021, '109 Precision thoracic oncology in the UK: a two-step NGS pathway for extended molecular profiling in NSCLC', </w:t>
      </w:r>
      <w:r>
        <w:rPr>
          <w:rFonts w:ascii="Segoe UI" w:hAnsi="Segoe UI" w:cs="Segoe UI"/>
          <w:i/>
          <w:iCs/>
          <w:sz w:val="18"/>
          <w:szCs w:val="18"/>
        </w:rPr>
        <w:t>Lung Cancer</w:t>
      </w:r>
      <w:r>
        <w:rPr>
          <w:rFonts w:ascii="Segoe UI" w:hAnsi="Segoe UI" w:cs="Segoe UI"/>
          <w:sz w:val="18"/>
          <w:szCs w:val="18"/>
        </w:rPr>
        <w:t>, vol. 156(Supplement 1), June, pp. S45-S46.</w:t>
      </w:r>
    </w:p>
    <w:p w14:paraId="167D6DD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4EB16C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Mota, A, Molero, A, Taipale, K, Gulati, A, Jen, MH, Hess, L &amp; Goel, B 2022, '58P A predictive model of the diagnostic value of next generation sequencing based genomics testing in patients with metastatic non-small cell lung cancer in Spain', </w:t>
      </w:r>
      <w:r>
        <w:rPr>
          <w:rFonts w:ascii="Segoe UI" w:hAnsi="Segoe UI" w:cs="Segoe UI"/>
          <w:i/>
          <w:iCs/>
          <w:sz w:val="18"/>
          <w:szCs w:val="18"/>
        </w:rPr>
        <w:t>Annals of Oncology</w:t>
      </w:r>
      <w:r>
        <w:rPr>
          <w:rFonts w:ascii="Segoe UI" w:hAnsi="Segoe UI" w:cs="Segoe UI"/>
          <w:sz w:val="18"/>
          <w:szCs w:val="18"/>
        </w:rPr>
        <w:t>, vol. 33(Supplement 2), April, p. S59.</w:t>
      </w:r>
    </w:p>
    <w:p w14:paraId="29D6F74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6D8AD0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Nam, J, Johnston, K, Yip, S, Qian, C, Lakzadeh, P &amp; Sheffield, B 2019, 'Ppm4 Comprehensive Genomic Profiling for Non-Small Cell Lung Cancer (Nsclc): A Health and Budget Impact Analysis', </w:t>
      </w:r>
      <w:r>
        <w:rPr>
          <w:rFonts w:ascii="Segoe UI" w:hAnsi="Segoe UI" w:cs="Segoe UI"/>
          <w:i/>
          <w:iCs/>
          <w:sz w:val="18"/>
          <w:szCs w:val="18"/>
        </w:rPr>
        <w:t>Value in Health</w:t>
      </w:r>
      <w:r>
        <w:rPr>
          <w:rFonts w:ascii="Segoe UI" w:hAnsi="Segoe UI" w:cs="Segoe UI"/>
          <w:sz w:val="18"/>
          <w:szCs w:val="18"/>
        </w:rPr>
        <w:t>, vol. 22(Supplement 3), November, p. S837.</w:t>
      </w:r>
    </w:p>
    <w:p w14:paraId="3173417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DA303C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Nezami, B, Toruner, G, Routbort, M, Lucas, FS, Yang, R, Seyedjafari, R, Chen, H, Rashid, A, Loghavi, S, Roy-Chowdhuri, S, Kanagal-Shamanna, R, Yin, CC, Zuo, Z, Ok, CY, Tang, Z, Medeiros, LJ, Luthra, R &amp; Patel, K 2021, 'Clinical utility of ngs-based gene fusion testing in solid tumors', </w:t>
      </w:r>
      <w:r>
        <w:rPr>
          <w:rFonts w:ascii="Segoe UI" w:hAnsi="Segoe UI" w:cs="Segoe UI"/>
          <w:i/>
          <w:iCs/>
          <w:sz w:val="18"/>
          <w:szCs w:val="18"/>
        </w:rPr>
        <w:t>Laboratory Investigation</w:t>
      </w:r>
      <w:r>
        <w:rPr>
          <w:rFonts w:ascii="Segoe UI" w:hAnsi="Segoe UI" w:cs="Segoe UI"/>
          <w:sz w:val="18"/>
          <w:szCs w:val="18"/>
        </w:rPr>
        <w:t>, vol. 101(SUPPL 1), March, pp. 513-514.</w:t>
      </w:r>
    </w:p>
    <w:p w14:paraId="61D43D0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635688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Nichol, D, Jones, S, Angiouli, SV, Keefer, L, Nesselbush, M, Sengamalay, N, White, J, Simmons, J, Diaz, LA, Velculescu, VE &amp; Sausen, M 2018, 'Pan-Cancer assessment of tumor mutational burden using a comprehensive genomic profiling assay', </w:t>
      </w:r>
      <w:r>
        <w:rPr>
          <w:rFonts w:ascii="Segoe UI" w:hAnsi="Segoe UI" w:cs="Segoe UI"/>
          <w:i/>
          <w:iCs/>
          <w:sz w:val="18"/>
          <w:szCs w:val="18"/>
        </w:rPr>
        <w:t>Journal of Clinical Oncology. Conference</w:t>
      </w:r>
      <w:r>
        <w:rPr>
          <w:rFonts w:ascii="Segoe UI" w:hAnsi="Segoe UI" w:cs="Segoe UI"/>
          <w:sz w:val="18"/>
          <w:szCs w:val="18"/>
        </w:rPr>
        <w:t>, vol. 36, no. 5 Supplement 1.</w:t>
      </w:r>
    </w:p>
    <w:p w14:paraId="69F7744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534D05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O'Byrne, K, Leo, P, Ellis, J, Clout, M, Pennisi, D, Anderson, L, Wheeler, L &amp; Brown, M 2019, 'P1.09-07 The Clinical Utility and Performance of Whole-Exome Sequencing for NSCLC Patient Care: A Comparison to Standard-of-Care', </w:t>
      </w:r>
      <w:r>
        <w:rPr>
          <w:rFonts w:ascii="Segoe UI" w:hAnsi="Segoe UI" w:cs="Segoe UI"/>
          <w:i/>
          <w:iCs/>
          <w:sz w:val="18"/>
          <w:szCs w:val="18"/>
        </w:rPr>
        <w:t>Journal of Thoracic Oncology</w:t>
      </w:r>
      <w:r>
        <w:rPr>
          <w:rFonts w:ascii="Segoe UI" w:hAnsi="Segoe UI" w:cs="Segoe UI"/>
          <w:sz w:val="18"/>
          <w:szCs w:val="18"/>
        </w:rPr>
        <w:t>, vol. 14(10 Supplement), October, p. S498.</w:t>
      </w:r>
    </w:p>
    <w:p w14:paraId="662864F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6B5C0F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Ortega Franco, A, Adamson-Raieste, A, Rahman, R, Pihlak, R, Peters, N, Scott, JA, Aruketty, S, Thomson, C, Dransfield, S, Henshaw, A, Ward, A, Cutts, T, Carter, L, Thistlethwaite, F, Cook, N, Graham, DM, Stevenson, J &amp; Krebs, MG 2021, '44P Value of comprehensive genomic profiling in pre-screening patients for NTRK fusion in STARTRK2 trial: Single centre experience', </w:t>
      </w:r>
      <w:r>
        <w:rPr>
          <w:rFonts w:ascii="Segoe UI" w:hAnsi="Segoe UI" w:cs="Segoe UI"/>
          <w:i/>
          <w:iCs/>
          <w:sz w:val="18"/>
          <w:szCs w:val="18"/>
        </w:rPr>
        <w:t>Annals of Oncology</w:t>
      </w:r>
      <w:r>
        <w:rPr>
          <w:rFonts w:ascii="Segoe UI" w:hAnsi="Segoe UI" w:cs="Segoe UI"/>
          <w:sz w:val="18"/>
          <w:szCs w:val="18"/>
        </w:rPr>
        <w:t>, vol. 32(Supplement 6), October, p. S1359.</w:t>
      </w:r>
    </w:p>
    <w:p w14:paraId="75B8221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40090D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Ossowski, S, Neeman, E, Borden, C, Lin, AYJ &amp; Liu, R 2021, 'Improving time to molecular testing results in patients with newly diagnosed, metastatic non-small cell lung cancer (NSCLC)', </w:t>
      </w:r>
      <w:r>
        <w:rPr>
          <w:rFonts w:ascii="Segoe UI" w:hAnsi="Segoe UI" w:cs="Segoe UI"/>
          <w:i/>
          <w:iCs/>
          <w:sz w:val="18"/>
          <w:szCs w:val="18"/>
        </w:rPr>
        <w:t>Journal of Clinical Oncology. Conference</w:t>
      </w:r>
      <w:r>
        <w:rPr>
          <w:rFonts w:ascii="Segoe UI" w:hAnsi="Segoe UI" w:cs="Segoe UI"/>
          <w:sz w:val="18"/>
          <w:szCs w:val="18"/>
        </w:rPr>
        <w:t>, vol. 39, no. 28 SUPPL.</w:t>
      </w:r>
    </w:p>
    <w:p w14:paraId="14C162D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9F9D10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Ou, S, Schrock, A, Bocharov, E, Lee, J, Madison, R, Gay, L, Miller, V, Alexander, B, Husain, H, Riess, J, Ali, S &amp; Velcheti, V 2019, 'P1.01-86 Occurrence of de Novo Dual HER2/HER3 or HER2/EGFR TMD Mutations: Extending the Spectrum of Targetable Mono-HER2 TMD in NSCLC?', </w:t>
      </w:r>
      <w:r>
        <w:rPr>
          <w:rFonts w:ascii="Segoe UI" w:hAnsi="Segoe UI" w:cs="Segoe UI"/>
          <w:i/>
          <w:iCs/>
          <w:sz w:val="18"/>
          <w:szCs w:val="18"/>
        </w:rPr>
        <w:t>Journal of Thoracic Oncology</w:t>
      </w:r>
      <w:r>
        <w:rPr>
          <w:rFonts w:ascii="Segoe UI" w:hAnsi="Segoe UI" w:cs="Segoe UI"/>
          <w:sz w:val="18"/>
          <w:szCs w:val="18"/>
        </w:rPr>
        <w:t>, vol. 14(10 Supplement), October, p. S394.</w:t>
      </w:r>
    </w:p>
    <w:p w14:paraId="5FD5149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C82F7C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Papadakis, A, Kasymjanova, G, Small, D, Pepe, C, Sakr, L, Chong, G, Wang, H, Spatz, A, Agulnik, J &amp; Cohen, V 2019, 'P1.01-99 EGFR-Wild Type Patients Responding to TKI: Revisiting Pathology with Newer Technology', </w:t>
      </w:r>
      <w:r>
        <w:rPr>
          <w:rFonts w:ascii="Segoe UI" w:hAnsi="Segoe UI" w:cs="Segoe UI"/>
          <w:i/>
          <w:iCs/>
          <w:sz w:val="18"/>
          <w:szCs w:val="18"/>
        </w:rPr>
        <w:t>Journal of Thoracic Oncology</w:t>
      </w:r>
      <w:r>
        <w:rPr>
          <w:rFonts w:ascii="Segoe UI" w:hAnsi="Segoe UI" w:cs="Segoe UI"/>
          <w:sz w:val="18"/>
          <w:szCs w:val="18"/>
        </w:rPr>
        <w:t>, vol. 14(10 Supplement), October, p. S400.</w:t>
      </w:r>
    </w:p>
    <w:p w14:paraId="1767BBB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1987CE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Papadopoulou, E, Tsantikidi, A, Metaxa-Mariatou, V, Kladi-Skandali, A, Kapeni, E, Tsaousis, G, Razis, E, Tsiatas, M, Galani, H, Xanthakis, I, Lipas, G, Stavridi, F, Boukovinas, I, Andreadis, C, Trafalis, D &amp; Nasioulas, G 2020, 'Appropriate treatment selection in hard to treat cancers using NGS: Determination of a comprehensive tumor profile', </w:t>
      </w:r>
      <w:r>
        <w:rPr>
          <w:rFonts w:ascii="Segoe UI" w:hAnsi="Segoe UI" w:cs="Segoe UI"/>
          <w:i/>
          <w:iCs/>
          <w:sz w:val="18"/>
          <w:szCs w:val="18"/>
        </w:rPr>
        <w:t>Forum of Clinical Oncology</w:t>
      </w:r>
      <w:r>
        <w:rPr>
          <w:rFonts w:ascii="Segoe UI" w:hAnsi="Segoe UI" w:cs="Segoe UI"/>
          <w:sz w:val="18"/>
          <w:szCs w:val="18"/>
        </w:rPr>
        <w:t>, vol. 11(2), p. 8.</w:t>
      </w:r>
    </w:p>
    <w:p w14:paraId="51FD3AB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AC2FF5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Parris, B, Yang, I, Bowman, R &amp; Fong, K 2019, 'P1.03-11 Molecular Testing of Small Bronchoscopy Specimens Using NanoString Technology', </w:t>
      </w:r>
      <w:r>
        <w:rPr>
          <w:rFonts w:ascii="Segoe UI" w:hAnsi="Segoe UI" w:cs="Segoe UI"/>
          <w:i/>
          <w:iCs/>
          <w:sz w:val="18"/>
          <w:szCs w:val="18"/>
        </w:rPr>
        <w:t>Journal of Thoracic Oncology</w:t>
      </w:r>
      <w:r>
        <w:rPr>
          <w:rFonts w:ascii="Segoe UI" w:hAnsi="Segoe UI" w:cs="Segoe UI"/>
          <w:sz w:val="18"/>
          <w:szCs w:val="18"/>
        </w:rPr>
        <w:t>, vol. 14(10 Supplement), October, pp. S421-S422.</w:t>
      </w:r>
    </w:p>
    <w:p w14:paraId="25CA5EA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F9E39C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Pasini, S, Bonetti, G, Baggi, A, Franzini, JM, Gancitano, G, Rachiglio, AM &amp; Normanno, N 2020, 'PCN80 A Case Study in Molecular Diagnostic: A Comparison between an NGS-Based Approach Versus a Single-GENE Testing Approach in Ansclc and Mcrc Patients for an Italian Hospital', </w:t>
      </w:r>
      <w:r>
        <w:rPr>
          <w:rFonts w:ascii="Segoe UI" w:hAnsi="Segoe UI" w:cs="Segoe UI"/>
          <w:i/>
          <w:iCs/>
          <w:sz w:val="18"/>
          <w:szCs w:val="18"/>
        </w:rPr>
        <w:t>Value in Health</w:t>
      </w:r>
      <w:r>
        <w:rPr>
          <w:rFonts w:ascii="Segoe UI" w:hAnsi="Segoe UI" w:cs="Segoe UI"/>
          <w:sz w:val="18"/>
          <w:szCs w:val="18"/>
        </w:rPr>
        <w:t>, vol. 23(Supplement 2), December, p. S436.</w:t>
      </w:r>
    </w:p>
    <w:p w14:paraId="541AA27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CD6902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Patel, A, Jamotte, A, Matsuda, T, Das, PM, Elkhouly, E, Xi, A, Jones, B, Murunga, A, Petrilla, A, Markward, N &amp; Stevinson, KL 2020, 'Biomarker testing patterns and use of targeted therapy in Medicare Fee-for-Service (FFS) beneficiaries newly diagnosed with metastatic non-small cell lung cancer (mNSCLC)', </w:t>
      </w:r>
      <w:r>
        <w:rPr>
          <w:rFonts w:ascii="Segoe UI" w:hAnsi="Segoe UI" w:cs="Segoe UI"/>
          <w:i/>
          <w:iCs/>
          <w:sz w:val="18"/>
          <w:szCs w:val="18"/>
        </w:rPr>
        <w:t>Journal of Clinical Oncology. Conference</w:t>
      </w:r>
      <w:r>
        <w:rPr>
          <w:rFonts w:ascii="Segoe UI" w:hAnsi="Segoe UI" w:cs="Segoe UI"/>
          <w:sz w:val="18"/>
          <w:szCs w:val="18"/>
        </w:rPr>
        <w:t>, vol. 38, no. 29.</w:t>
      </w:r>
    </w:p>
    <w:p w14:paraId="6E6536D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BF55D3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Pennell, NA, Mutebi, A, Zhou, ZY, Ricculli, ML, Tang, W, Wang, H, Guerin, A, Arnhart, T, Culver, KW &amp; Otterson, GA 2018, 'Economic impact of next generation sequencing vs sequential single-gene testing modalities to detect genomic alterations in metastatic non-small cell lung cancer using a decision analytic model', </w:t>
      </w:r>
      <w:r>
        <w:rPr>
          <w:rFonts w:ascii="Segoe UI" w:hAnsi="Segoe UI" w:cs="Segoe UI"/>
          <w:i/>
          <w:iCs/>
          <w:sz w:val="18"/>
          <w:szCs w:val="18"/>
        </w:rPr>
        <w:t>Journal of Clinical Oncology. Conference</w:t>
      </w:r>
      <w:r>
        <w:rPr>
          <w:rFonts w:ascii="Segoe UI" w:hAnsi="Segoe UI" w:cs="Segoe UI"/>
          <w:sz w:val="18"/>
          <w:szCs w:val="18"/>
        </w:rPr>
        <w:t>, vol. 36, no. 15 Supplement 1.</w:t>
      </w:r>
    </w:p>
    <w:p w14:paraId="4F06377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C89947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Pennell, NA, Zhou, J &amp; Hobbs, B 2020, 'A model comparing the value of broad next-gen sequencing (NGS)-based testing to single gene testing (SGT) in patients with nonsquamous non-small cell lung cancer (NSCLC) in the United States', </w:t>
      </w:r>
      <w:r>
        <w:rPr>
          <w:rFonts w:ascii="Segoe UI" w:hAnsi="Segoe UI" w:cs="Segoe UI"/>
          <w:i/>
          <w:iCs/>
          <w:sz w:val="18"/>
          <w:szCs w:val="18"/>
        </w:rPr>
        <w:t>Journal of Clinical Oncology. Conference</w:t>
      </w:r>
      <w:r>
        <w:rPr>
          <w:rFonts w:ascii="Segoe UI" w:hAnsi="Segoe UI" w:cs="Segoe UI"/>
          <w:sz w:val="18"/>
          <w:szCs w:val="18"/>
        </w:rPr>
        <w:t>, vol. 38, no. 15.</w:t>
      </w:r>
    </w:p>
    <w:p w14:paraId="0511455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29EDA1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Perdrizet, K, Stockley, T, Law, J, Shabir, M, Zhang, T, Le, L, Lau, A, Tsao, M, Kamel-Reid, S, Pal, P, Cabanero, M, Schwock, J, Ko, H, Liu, G, Bradbury, P, Sacher, A, Shepherd, F &amp; Leighl, N 2019, 'P1.01-30 Non-Small Cell Lung Cancer (NSCLC) Next Generation Sequencing (NGS): Integrating Genomic Sequencing into a Publicly Funded Health Care Model', </w:t>
      </w:r>
      <w:r>
        <w:rPr>
          <w:rFonts w:ascii="Segoe UI" w:hAnsi="Segoe UI" w:cs="Segoe UI"/>
          <w:i/>
          <w:iCs/>
          <w:sz w:val="18"/>
          <w:szCs w:val="18"/>
        </w:rPr>
        <w:t>Journal of Thoracic Oncology</w:t>
      </w:r>
      <w:r>
        <w:rPr>
          <w:rFonts w:ascii="Segoe UI" w:hAnsi="Segoe UI" w:cs="Segoe UI"/>
          <w:sz w:val="18"/>
          <w:szCs w:val="18"/>
        </w:rPr>
        <w:t>, vol. 14(10 Supplement), October, pp. S367-S368.</w:t>
      </w:r>
    </w:p>
    <w:p w14:paraId="2321DEB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5696F4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Perdrizet, K, Stockley, T, Law, JH, Shabir, M, Zhang, T, Le, LW, Lau, A, Tsao, MS, Pal, P, Cabanero, M, Ko, H, Schwock, J, Kamel-Reid, S, Liu, G, Sacher, AG, Bradbury, PA, Shepherd, FA &amp; Leighl, NB 2019, 'Non-small cell lung cancer (NSCLC) next generation sequencing (NGS) using the Oncomine Comprehensive Assay (OCA) v3: </w:t>
      </w:r>
      <w:r>
        <w:rPr>
          <w:rFonts w:ascii="Segoe UI" w:hAnsi="Segoe UI" w:cs="Segoe UI"/>
          <w:sz w:val="18"/>
          <w:szCs w:val="18"/>
        </w:rPr>
        <w:lastRenderedPageBreak/>
        <w:t xml:space="preserve">Integrating expanded genomic sequencing into the Canadian publicly funded health care model', </w:t>
      </w:r>
      <w:r>
        <w:rPr>
          <w:rFonts w:ascii="Segoe UI" w:hAnsi="Segoe UI" w:cs="Segoe UI"/>
          <w:i/>
          <w:iCs/>
          <w:sz w:val="18"/>
          <w:szCs w:val="18"/>
        </w:rPr>
        <w:t>Journal of Clinical Oncology. Conference</w:t>
      </w:r>
      <w:r>
        <w:rPr>
          <w:rFonts w:ascii="Segoe UI" w:hAnsi="Segoe UI" w:cs="Segoe UI"/>
          <w:sz w:val="18"/>
          <w:szCs w:val="18"/>
        </w:rPr>
        <w:t>, vol. 37, no. Supplement 15.</w:t>
      </w:r>
    </w:p>
    <w:p w14:paraId="18DE665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707C00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Perdrizet, K, Stockley, T, Tsao, MS, Morganstein, J, Kamel-Reid, S, Ranich, L, Shepherd, FA, Liu, G, Bradbury, PA, Hwang, D, Pal, P, Schwock, J, Boerner, SL, Law, JH &amp; Leighl, NB 2018, 'Upfront next generation sequencing in NSCLC: A publicly funded perspective', </w:t>
      </w:r>
      <w:r>
        <w:rPr>
          <w:rFonts w:ascii="Segoe UI" w:hAnsi="Segoe UI" w:cs="Segoe UI"/>
          <w:i/>
          <w:iCs/>
          <w:sz w:val="18"/>
          <w:szCs w:val="18"/>
        </w:rPr>
        <w:t>Journal of Clinical Oncology. Conference</w:t>
      </w:r>
      <w:r>
        <w:rPr>
          <w:rFonts w:ascii="Segoe UI" w:hAnsi="Segoe UI" w:cs="Segoe UI"/>
          <w:sz w:val="18"/>
          <w:szCs w:val="18"/>
        </w:rPr>
        <w:t>, vol. 36, no. 15 Supplement 1.</w:t>
      </w:r>
    </w:p>
    <w:p w14:paraId="6F5F033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B0B4F0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Plank, L, Loderer, D, Grendar, M, Anna, F, Zora, L, Barbora, V, Ivana, K, Martina, B &amp; Luboslava, J 2020, 'Predictively significantmutational analysis of routine NSCLCbiopsy samples: A pilot study comparing conventional gene by gene and NGS tests', </w:t>
      </w:r>
      <w:r>
        <w:rPr>
          <w:rFonts w:ascii="Segoe UI" w:hAnsi="Segoe UI" w:cs="Segoe UI"/>
          <w:i/>
          <w:iCs/>
          <w:sz w:val="18"/>
          <w:szCs w:val="18"/>
        </w:rPr>
        <w:t>Virchows Archiv</w:t>
      </w:r>
      <w:r>
        <w:rPr>
          <w:rFonts w:ascii="Segoe UI" w:hAnsi="Segoe UI" w:cs="Segoe UI"/>
          <w:sz w:val="18"/>
          <w:szCs w:val="18"/>
        </w:rPr>
        <w:t>, vol. 477(SUPPL 1), p. S146.</w:t>
      </w:r>
    </w:p>
    <w:p w14:paraId="6BE4086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624169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Quon, P, Peng, S, Kansal, AR, Ye, W, Spinner, DS, Feng, H, Schroeder, B &amp; Faulkner, EC 2019, 'Pcn453 Modeling the Impact of Next Generation Sequencing Based Comprehensive Genomic Profiling Panel on Treatment Practices in Advanced or Metastatic Cancer', </w:t>
      </w:r>
      <w:r>
        <w:rPr>
          <w:rFonts w:ascii="Segoe UI" w:hAnsi="Segoe UI" w:cs="Segoe UI"/>
          <w:i/>
          <w:iCs/>
          <w:sz w:val="18"/>
          <w:szCs w:val="18"/>
        </w:rPr>
        <w:t>Value in Health</w:t>
      </w:r>
      <w:r>
        <w:rPr>
          <w:rFonts w:ascii="Segoe UI" w:hAnsi="Segoe UI" w:cs="Segoe UI"/>
          <w:sz w:val="18"/>
          <w:szCs w:val="18"/>
        </w:rPr>
        <w:t>, vol. 22(Supplement 3), November, p. S524.</w:t>
      </w:r>
    </w:p>
    <w:p w14:paraId="518456C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D02170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Reguart, N, Teixido, C, Gimenez-Capitan, A, Vilarino, N, Arcocha, A, Jares, P, Castillo, S, Bernal, X, Munoz, S, Palmero, R, Sullivan, I, Marginet, M, Vinolas, N, Martinez, D, Baixeras, N, Molina-Vila, M &amp; Prat, A 2017, 'Simultaneous multiplex profiling of gene fusions, METe14 mutations and immune genes in advanced NSCLC by ncounter technology', </w:t>
      </w:r>
      <w:r>
        <w:rPr>
          <w:rFonts w:ascii="Segoe UI" w:hAnsi="Segoe UI" w:cs="Segoe UI"/>
          <w:i/>
          <w:iCs/>
          <w:sz w:val="18"/>
          <w:szCs w:val="18"/>
        </w:rPr>
        <w:t>Journal of Thoracic Oncology</w:t>
      </w:r>
      <w:r>
        <w:rPr>
          <w:rFonts w:ascii="Segoe UI" w:hAnsi="Segoe UI" w:cs="Segoe UI"/>
          <w:sz w:val="18"/>
          <w:szCs w:val="18"/>
        </w:rPr>
        <w:t>, vol. 12(11 Supplement 2), November, p. S1923.</w:t>
      </w:r>
    </w:p>
    <w:p w14:paraId="3439BE8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650401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Resendiz, KEL, Quintana, OB, Guajardo, RG, Cisneros, NV &amp; Gutierrez, JPF 2019, 'P1.03 Case Series of Double Mutations in Patients with Lung Adenocarcinoma', </w:t>
      </w:r>
      <w:r>
        <w:rPr>
          <w:rFonts w:ascii="Segoe UI" w:hAnsi="Segoe UI" w:cs="Segoe UI"/>
          <w:i/>
          <w:iCs/>
          <w:sz w:val="18"/>
          <w:szCs w:val="18"/>
        </w:rPr>
        <w:t>Journal of Thoracic Oncology</w:t>
      </w:r>
      <w:r>
        <w:rPr>
          <w:rFonts w:ascii="Segoe UI" w:hAnsi="Segoe UI" w:cs="Segoe UI"/>
          <w:sz w:val="18"/>
          <w:szCs w:val="18"/>
        </w:rPr>
        <w:t>, vol. 14(11 Supplement 2), November, pp. S1174-S1175.</w:t>
      </w:r>
    </w:p>
    <w:p w14:paraId="6FB707B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BB0107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Robert, N, Chen, L, Espirito, J, Karhade, M, Nwokeji, E, Evangelist, M, Spira, A, Neubauer, M, Bullock, S &amp; Coleman, R 2021, 'P60.11 Trends in Molecular Testing for Metastatic Non-Small Cell Lung Cancer in The US Oncology Network Community Practices', </w:t>
      </w:r>
      <w:r>
        <w:rPr>
          <w:rFonts w:ascii="Segoe UI" w:hAnsi="Segoe UI" w:cs="Segoe UI"/>
          <w:i/>
          <w:iCs/>
          <w:sz w:val="18"/>
          <w:szCs w:val="18"/>
        </w:rPr>
        <w:t>Journal of Thoracic Oncology</w:t>
      </w:r>
      <w:r>
        <w:rPr>
          <w:rFonts w:ascii="Segoe UI" w:hAnsi="Segoe UI" w:cs="Segoe UI"/>
          <w:sz w:val="18"/>
          <w:szCs w:val="18"/>
        </w:rPr>
        <w:t>, vol. 16, 2021, p. S1169.</w:t>
      </w:r>
    </w:p>
    <w:p w14:paraId="0C753B9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87BE1D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Rodon Font, N, Salido Galeote, M, No Garbarino, Y, Diaz Castello, O, Ferrer Cardona, M, Garcia Perez, E, Carcereny, E, Saigi, E &amp; Puig Torrus, X 2021, 'Copy number variation detection for the indication of targeted therapy in a lung cancer patients series. Next-Generation Sequencing panel vs fluorescent in-situ hybridization', </w:t>
      </w:r>
      <w:r>
        <w:rPr>
          <w:rFonts w:ascii="Segoe UI" w:hAnsi="Segoe UI" w:cs="Segoe UI"/>
          <w:i/>
          <w:iCs/>
          <w:sz w:val="18"/>
          <w:szCs w:val="18"/>
        </w:rPr>
        <w:t>Virchows Archiv</w:t>
      </w:r>
      <w:r>
        <w:rPr>
          <w:rFonts w:ascii="Segoe UI" w:hAnsi="Segoe UI" w:cs="Segoe UI"/>
          <w:sz w:val="18"/>
          <w:szCs w:val="18"/>
        </w:rPr>
        <w:t>, vol. 479(SUPPL 1), August, p. S139.</w:t>
      </w:r>
    </w:p>
    <w:p w14:paraId="139350E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594051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Rojo, F, Felip, E, Juan-Vidal, O, Campelo, RG, Bujanda, DA, Terrasa, J, Lopez Castro, R, Calles, A, Paredes, A, Caro, RB, Barneto-Aranda, IC, Campillo, J, Palacios, LG &amp; De Castro, J 2020, 'Comprehensive genomic profile by Foundation Medicine test in guiding routine decisions for second-line treatment in advanced non-small cell breast cancer (NSCLC): Preliminary results of lung-ONE study', </w:t>
      </w:r>
      <w:r>
        <w:rPr>
          <w:rFonts w:ascii="Segoe UI" w:hAnsi="Segoe UI" w:cs="Segoe UI"/>
          <w:i/>
          <w:iCs/>
          <w:sz w:val="18"/>
          <w:szCs w:val="18"/>
        </w:rPr>
        <w:t>Journal of Clinical Oncology. Conference</w:t>
      </w:r>
      <w:r>
        <w:rPr>
          <w:rFonts w:ascii="Segoe UI" w:hAnsi="Segoe UI" w:cs="Segoe UI"/>
          <w:sz w:val="18"/>
          <w:szCs w:val="18"/>
        </w:rPr>
        <w:t>, vol. 38, no. 15.</w:t>
      </w:r>
    </w:p>
    <w:p w14:paraId="6A94F6C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FCC614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Rosenbaum, JN, Branson, J, Cottrell, CE, Pfeifer, JD, Kulkarni, S &amp; Duncavage, EJ 2016, 'Next generation sequencing reveals genomic heterogenity of ALK fusion breakpoints in non-small cell lung cancer', </w:t>
      </w:r>
      <w:r>
        <w:rPr>
          <w:rFonts w:ascii="Segoe UI" w:hAnsi="Segoe UI" w:cs="Segoe UI"/>
          <w:i/>
          <w:iCs/>
          <w:sz w:val="18"/>
          <w:szCs w:val="18"/>
        </w:rPr>
        <w:t>Laboratory Investigation</w:t>
      </w:r>
      <w:r>
        <w:rPr>
          <w:rFonts w:ascii="Segoe UI" w:hAnsi="Segoe UI" w:cs="Segoe UI"/>
          <w:sz w:val="18"/>
          <w:szCs w:val="18"/>
        </w:rPr>
        <w:t>, vol. 1), February, pp. 481A-482A.</w:t>
      </w:r>
    </w:p>
    <w:p w14:paraId="0EBC959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3C4AA7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Sakamori, Y, Kanai, M, Kim, YH, Yoshida, H, Ozasa, H, Hirai, T &amp; Muto, M 2019, 'Mutation profile analysis using the OncomineTM Lung cfDNA Assay in advanced NSCLC patients with driver mutation', </w:t>
      </w:r>
      <w:r>
        <w:rPr>
          <w:rFonts w:ascii="Segoe UI" w:hAnsi="Segoe UI" w:cs="Segoe UI"/>
          <w:i/>
          <w:iCs/>
          <w:sz w:val="18"/>
          <w:szCs w:val="18"/>
        </w:rPr>
        <w:t>Annals of Oncology</w:t>
      </w:r>
      <w:r>
        <w:rPr>
          <w:rFonts w:ascii="Segoe UI" w:hAnsi="Segoe UI" w:cs="Segoe UI"/>
          <w:sz w:val="18"/>
          <w:szCs w:val="18"/>
        </w:rPr>
        <w:t>, vol. 30(Supplement 6), October, p. vi120.</w:t>
      </w:r>
    </w:p>
    <w:p w14:paraId="5ACD39F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E35167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Sakamoto, T, Arai, K, Yamane, K, Hirayama, Y, Teruya, Y, Yanai, M, Kinoshita, N, Yamaguchi, K, Makino, H, Kodani, M, Igishi, T &amp; Yamasaki, A 2019, 'P2.14-04 Clinical Validation of Large NGS Gene Panel Using Residual Specimen', </w:t>
      </w:r>
      <w:r>
        <w:rPr>
          <w:rFonts w:ascii="Segoe UI" w:hAnsi="Segoe UI" w:cs="Segoe UI"/>
          <w:i/>
          <w:iCs/>
          <w:sz w:val="18"/>
          <w:szCs w:val="18"/>
        </w:rPr>
        <w:t>Journal of Thoracic Oncology</w:t>
      </w:r>
      <w:r>
        <w:rPr>
          <w:rFonts w:ascii="Segoe UI" w:hAnsi="Segoe UI" w:cs="Segoe UI"/>
          <w:sz w:val="18"/>
          <w:szCs w:val="18"/>
        </w:rPr>
        <w:t>, vol. 14(10 Supplement), October, p. S830.</w:t>
      </w:r>
    </w:p>
    <w:p w14:paraId="25AC92E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88B709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Sakamoto, T, Kodani, M, Matsumoto, S, Hirayama, Y, Yamane, K, Teruya, Y, Tanaka, N, Kinoshita, N, Yamaguchi, K, Makino, H, Igishi, T, Goto, K &amp; Yamasaki, A 2019, 'Comparison of sample types with success rates of next-generation sequencing', </w:t>
      </w:r>
      <w:r>
        <w:rPr>
          <w:rFonts w:ascii="Segoe UI" w:hAnsi="Segoe UI" w:cs="Segoe UI"/>
          <w:i/>
          <w:iCs/>
          <w:sz w:val="18"/>
          <w:szCs w:val="18"/>
        </w:rPr>
        <w:t>Annals of Oncology</w:t>
      </w:r>
      <w:r>
        <w:rPr>
          <w:rFonts w:ascii="Segoe UI" w:hAnsi="Segoe UI" w:cs="Segoe UI"/>
          <w:sz w:val="18"/>
          <w:szCs w:val="18"/>
        </w:rPr>
        <w:t>, vol. 30(Supplement 6), October, pp. vi134-vi135.</w:t>
      </w:r>
    </w:p>
    <w:p w14:paraId="486A58A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2D88AD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Schluckebier, L, Caetano, R, Aran, V &amp; Ferreira, CGM 2017, 'Cost-effectiveness analysis comparing companion diagnostic tests for EGFR, ALK and ROS-1 versus next-generation sequence (NGS) in advanced adenocarcinoma lung cancer patients', </w:t>
      </w:r>
      <w:r>
        <w:rPr>
          <w:rFonts w:ascii="Segoe UI" w:hAnsi="Segoe UI" w:cs="Segoe UI"/>
          <w:i/>
          <w:iCs/>
          <w:sz w:val="18"/>
          <w:szCs w:val="18"/>
        </w:rPr>
        <w:t>Journal of Clinical Oncology. Conference</w:t>
      </w:r>
      <w:r>
        <w:rPr>
          <w:rFonts w:ascii="Segoe UI" w:hAnsi="Segoe UI" w:cs="Segoe UI"/>
          <w:sz w:val="18"/>
          <w:szCs w:val="18"/>
        </w:rPr>
        <w:t>, vol. 35, no. 15 Supplement 1.</w:t>
      </w:r>
    </w:p>
    <w:p w14:paraId="3853111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5C3F8B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Shen, C, Chiang, C, Luo, Y, Huang, H &amp; Chiu, C 2021, 'FP12.05 The Intrinsic Limitation and Clinical Impact of Mutant Allele-Specific Real-Time PCR-Based EGFR Mutation Assay in NSCLC', </w:t>
      </w:r>
      <w:r>
        <w:rPr>
          <w:rFonts w:ascii="Segoe UI" w:hAnsi="Segoe UI" w:cs="Segoe UI"/>
          <w:i/>
          <w:iCs/>
          <w:sz w:val="18"/>
          <w:szCs w:val="18"/>
        </w:rPr>
        <w:t>Journal of Thoracic Oncology</w:t>
      </w:r>
      <w:r>
        <w:rPr>
          <w:rFonts w:ascii="Segoe UI" w:hAnsi="Segoe UI" w:cs="Segoe UI"/>
          <w:sz w:val="18"/>
          <w:szCs w:val="18"/>
        </w:rPr>
        <w:t>, vol. 16(10 Supplement), October, p. S966.</w:t>
      </w:r>
    </w:p>
    <w:p w14:paraId="2A29A8B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B3AA10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Shien, K, Ruder, D, Ileana, EE, Papadimitrakopoulou, VA, Frampton, GM, Behrens, C, Kalhor, N, Lee, JJ, Tang, X, Herbst, RS, Wistuba, II &amp; Izzo, JG 2016, 'Detection of a novel ALK fusion variant in lung adenocarcinoma using a comprehensive genomic analysis', </w:t>
      </w:r>
      <w:r>
        <w:rPr>
          <w:rFonts w:ascii="Segoe UI" w:hAnsi="Segoe UI" w:cs="Segoe UI"/>
          <w:i/>
          <w:iCs/>
          <w:sz w:val="18"/>
          <w:szCs w:val="18"/>
        </w:rPr>
        <w:t>Cancer Research. Conference: 107th Annual Meeting of the American Association for Cancer Research, AACR</w:t>
      </w:r>
      <w:r>
        <w:rPr>
          <w:rFonts w:ascii="Segoe UI" w:hAnsi="Segoe UI" w:cs="Segoe UI"/>
          <w:sz w:val="18"/>
          <w:szCs w:val="18"/>
        </w:rPr>
        <w:t>, vol. 76, no. 14 Supplement.</w:t>
      </w:r>
    </w:p>
    <w:p w14:paraId="3340E2B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B453C8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Shin, BK, Chang, WC &amp; Kim, HK 2019, 'P1.16 A Study on Clinicopathological Features and Diagnostic Methods of ALK Fusion-Positive Non-Small Cell Lung Cancer in KR', </w:t>
      </w:r>
      <w:r>
        <w:rPr>
          <w:rFonts w:ascii="Segoe UI" w:hAnsi="Segoe UI" w:cs="Segoe UI"/>
          <w:i/>
          <w:iCs/>
          <w:sz w:val="18"/>
          <w:szCs w:val="18"/>
        </w:rPr>
        <w:t>Journal of Thoracic Oncology</w:t>
      </w:r>
      <w:r>
        <w:rPr>
          <w:rFonts w:ascii="Segoe UI" w:hAnsi="Segoe UI" w:cs="Segoe UI"/>
          <w:sz w:val="18"/>
          <w:szCs w:val="18"/>
        </w:rPr>
        <w:t>, vol. 14(11 Supplement 1), November, p. S1146.</w:t>
      </w:r>
    </w:p>
    <w:p w14:paraId="0A30B30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952050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Signorovitch, J, Zhou, Z, Ryan, J &amp; Chawla, A 2017, 'Comprehensive genomic profiling (CGP) versus conventional molecular diagnostic testing of patients with advanced non-small cell lung cancer (NSCLC): Overall survival (OS) and cost in a U.S. Health plan population', </w:t>
      </w:r>
      <w:r>
        <w:rPr>
          <w:rFonts w:ascii="Segoe UI" w:hAnsi="Segoe UI" w:cs="Segoe UI"/>
          <w:i/>
          <w:iCs/>
          <w:sz w:val="18"/>
          <w:szCs w:val="18"/>
        </w:rPr>
        <w:t>Journal of Clinical Oncology. Conference</w:t>
      </w:r>
      <w:r>
        <w:rPr>
          <w:rFonts w:ascii="Segoe UI" w:hAnsi="Segoe UI" w:cs="Segoe UI"/>
          <w:sz w:val="18"/>
          <w:szCs w:val="18"/>
        </w:rPr>
        <w:t>, vol. 35, no. 15 Supplement 1.</w:t>
      </w:r>
    </w:p>
    <w:p w14:paraId="2A9737A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63DF8C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Sini, C, Cossu Rocca, P, Righi, L, Passiglia, F, Peru, A, Bardino, G, Bironzo, P, Tabbo, F, Reale, M, Listi, A, Arizio, F, Vallone, S, Ortu, S &amp; Novello, S 2021, 'Efficacy of centralized-model for routine use next generation sequencing (NGS) in advanced NSCLC: Preliminary results of activation European Program for ROutine testing of Patients with Advanced lung cancer (EPROPA) in a community hospital', </w:t>
      </w:r>
      <w:r>
        <w:rPr>
          <w:rFonts w:ascii="Segoe UI" w:hAnsi="Segoe UI" w:cs="Segoe UI"/>
          <w:i/>
          <w:iCs/>
          <w:sz w:val="18"/>
          <w:szCs w:val="18"/>
        </w:rPr>
        <w:t>Tumori</w:t>
      </w:r>
      <w:r>
        <w:rPr>
          <w:rFonts w:ascii="Segoe UI" w:hAnsi="Segoe UI" w:cs="Segoe UI"/>
          <w:sz w:val="18"/>
          <w:szCs w:val="18"/>
        </w:rPr>
        <w:t>, vol. 107(2 SUPPL), October, pp. 56-57.</w:t>
      </w:r>
    </w:p>
    <w:p w14:paraId="127DA33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8EC36C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Sireci, A, Krein, PM, Hess, LM, Khan, T, Willey, JP, Ayars, M, Deyoung, K, Bhaskhar, S, Mumuney, G &amp; Coutinho, AD 2021, 'Biomarker testing patterns in patients with stage IV non-small cell lung cancer (NSCLC) in U.S. Community-based oncology practice setting', </w:t>
      </w:r>
      <w:r>
        <w:rPr>
          <w:rFonts w:ascii="Segoe UI" w:hAnsi="Segoe UI" w:cs="Segoe UI"/>
          <w:i/>
          <w:iCs/>
          <w:sz w:val="18"/>
          <w:szCs w:val="18"/>
        </w:rPr>
        <w:t>Journal of Clinical Oncology. Conference</w:t>
      </w:r>
      <w:r>
        <w:rPr>
          <w:rFonts w:ascii="Segoe UI" w:hAnsi="Segoe UI" w:cs="Segoe UI"/>
          <w:sz w:val="18"/>
          <w:szCs w:val="18"/>
        </w:rPr>
        <w:t>, vol. 39, no. 28 SUPPL.</w:t>
      </w:r>
    </w:p>
    <w:p w14:paraId="18FF0F9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C05176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Soltermann, A, Rechsteiner, M, Aichner, A, Zoche, M, Curioni-Fontecedro, A, Weber, A &amp; Moch, H 2019, 'All predictive makers for first line treatment of advanced non Small Cell Lung Cancer in 3 working days: The USZ Algorithm', </w:t>
      </w:r>
      <w:r>
        <w:rPr>
          <w:rFonts w:ascii="Segoe UI" w:hAnsi="Segoe UI" w:cs="Segoe UI"/>
          <w:i/>
          <w:iCs/>
          <w:sz w:val="18"/>
          <w:szCs w:val="18"/>
        </w:rPr>
        <w:t>Swiss Medical Weekly</w:t>
      </w:r>
      <w:r>
        <w:rPr>
          <w:rFonts w:ascii="Segoe UI" w:hAnsi="Segoe UI" w:cs="Segoe UI"/>
          <w:sz w:val="18"/>
          <w:szCs w:val="18"/>
        </w:rPr>
        <w:t>, vol. 149(Supplement 237), June, p. 17S.</w:t>
      </w:r>
    </w:p>
    <w:p w14:paraId="3A5F893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E1F985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Stephens, P 2017, 'Identification of novel modulators of response to immune checkpoint blockade in lung cancer patients through the marrying of clinical and genomic data', </w:t>
      </w:r>
      <w:r>
        <w:rPr>
          <w:rFonts w:ascii="Segoe UI" w:hAnsi="Segoe UI" w:cs="Segoe UI"/>
          <w:i/>
          <w:iCs/>
          <w:sz w:val="18"/>
          <w:szCs w:val="18"/>
        </w:rPr>
        <w:t>Cancer Research. Conference: American Association for Cancer Research Annual Meeting</w:t>
      </w:r>
      <w:r>
        <w:rPr>
          <w:rFonts w:ascii="Segoe UI" w:hAnsi="Segoe UI" w:cs="Segoe UI"/>
          <w:sz w:val="18"/>
          <w:szCs w:val="18"/>
        </w:rPr>
        <w:t>, vol. 77, no. 13 Supplement 1.</w:t>
      </w:r>
    </w:p>
    <w:p w14:paraId="1D23EC2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627E7B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Subramaniam, S, Cerone, MA, McBride, D, Rehal, P, Rettino, A, Bell, J, Roberts, H, Macdonald, M, Butler, R, MacMahon, S, Thompson, L, Middleton, C, Sharpe, R, Walker, I &amp; Johnson, P 2017, 'Use of NGS for stratification of patients with advanced NSCLC within the NHS using FFPE-extracted DNA from diagnostic biopsies', </w:t>
      </w:r>
      <w:r>
        <w:rPr>
          <w:rFonts w:ascii="Segoe UI" w:hAnsi="Segoe UI" w:cs="Segoe UI"/>
          <w:i/>
          <w:iCs/>
          <w:sz w:val="18"/>
          <w:szCs w:val="18"/>
        </w:rPr>
        <w:t>Annals of Oncology</w:t>
      </w:r>
      <w:r>
        <w:rPr>
          <w:rFonts w:ascii="Segoe UI" w:hAnsi="Segoe UI" w:cs="Segoe UI"/>
          <w:sz w:val="18"/>
          <w:szCs w:val="18"/>
        </w:rPr>
        <w:t>, vol. 28(Supplement 7), October, p. vii9.</w:t>
      </w:r>
    </w:p>
    <w:p w14:paraId="43F0426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32F24E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Swaminathan, A, Stergiopoulos, S, Snider, J, Fisher, V, Castellanos, E, Snow, T, Cho-Phan, C, Comment, L, Cunningham, R &amp; McCusker, ME 2021, 'Changes over time in real-world next-generation sequencing (NGS) test use in patients (pts) with advanced non-small cell lung cancer (aNSCLC)', </w:t>
      </w:r>
      <w:r>
        <w:rPr>
          <w:rFonts w:ascii="Segoe UI" w:hAnsi="Segoe UI" w:cs="Segoe UI"/>
          <w:i/>
          <w:iCs/>
          <w:sz w:val="18"/>
          <w:szCs w:val="18"/>
        </w:rPr>
        <w:t>Cancer Research. Conference: AACR Annual Meeting</w:t>
      </w:r>
      <w:r>
        <w:rPr>
          <w:rFonts w:ascii="Segoe UI" w:hAnsi="Segoe UI" w:cs="Segoe UI"/>
          <w:sz w:val="18"/>
          <w:szCs w:val="18"/>
        </w:rPr>
        <w:t>, vol. 81, no. 13 SUPPL.</w:t>
      </w:r>
    </w:p>
    <w:p w14:paraId="72A6BAE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15E2B9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Tan, A, Lai, G, Tan, GS, Poon, SY, Doble, B, Lim, TH, Aung, ZW, Takano, A, Tan, WL, Ang, MK, Tan, BS, Devanand, A, Too, CW, Gogna, A, Ong, BH, Koh, T, Kanesvaran, R, Ng, QS, Jain, A, Rajasekaran, T, Lim, A, Lim, WT, Toh, CK, Tan, EH, Lim, KH &amp; Tan, D 2019, 'P1.09-19 High-Throughput Next Generation Sequencing of Treatment-Naive Non-Squamous NSCLC: The Singapore National Lung Profiling Study', </w:t>
      </w:r>
      <w:r>
        <w:rPr>
          <w:rFonts w:ascii="Segoe UI" w:hAnsi="Segoe UI" w:cs="Segoe UI"/>
          <w:i/>
          <w:iCs/>
          <w:sz w:val="18"/>
          <w:szCs w:val="18"/>
        </w:rPr>
        <w:t>Journal of Thoracic Oncology</w:t>
      </w:r>
      <w:r>
        <w:rPr>
          <w:rFonts w:ascii="Segoe UI" w:hAnsi="Segoe UI" w:cs="Segoe UI"/>
          <w:sz w:val="18"/>
          <w:szCs w:val="18"/>
        </w:rPr>
        <w:t>, vol. 14(10 Supplement), October, p. S503.</w:t>
      </w:r>
    </w:p>
    <w:p w14:paraId="14BAB4F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9BE412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Tan, AC, Loong, H, Ho, GF, Seet, A, Chiam, B, Cheah, DQ, Tan, GS, Lim, KH, Yang, JCH, Mok, TSK, Kim, DW &amp; Tan, DSW 2019, 'Molecular profiling of non-small cell lung cancer (NSCLC) in Asia with targeted next-generation sequencing (NGS): Interim analysis of a cooperative group study (ATORG-001)', </w:t>
      </w:r>
      <w:r>
        <w:rPr>
          <w:rFonts w:ascii="Segoe UI" w:hAnsi="Segoe UI" w:cs="Segoe UI"/>
          <w:i/>
          <w:iCs/>
          <w:sz w:val="18"/>
          <w:szCs w:val="18"/>
        </w:rPr>
        <w:t>Annals of Oncology</w:t>
      </w:r>
      <w:r>
        <w:rPr>
          <w:rFonts w:ascii="Segoe UI" w:hAnsi="Segoe UI" w:cs="Segoe UI"/>
          <w:sz w:val="18"/>
          <w:szCs w:val="18"/>
        </w:rPr>
        <w:t>, vol. 30(Supplement 9), November, p. ix126.</w:t>
      </w:r>
    </w:p>
    <w:p w14:paraId="72D6421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0B1F7B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Tang, Y, Wei, B, Yu, Y, Gao, Y, Che, N, Shi, H, Fu, S, Gao, M, Lin, D &amp; Ma, J 2019, 'Co-occurring genetic alterations and primary EGFR T790M mutations detected by next-generation sequencing in pre-TKI treated patients with non-small cell lung cancer', </w:t>
      </w:r>
      <w:r>
        <w:rPr>
          <w:rFonts w:ascii="Segoe UI" w:hAnsi="Segoe UI" w:cs="Segoe UI"/>
          <w:i/>
          <w:iCs/>
          <w:sz w:val="18"/>
          <w:szCs w:val="18"/>
        </w:rPr>
        <w:t>Journal of Clinical Oncology. Conference</w:t>
      </w:r>
      <w:r>
        <w:rPr>
          <w:rFonts w:ascii="Segoe UI" w:hAnsi="Segoe UI" w:cs="Segoe UI"/>
          <w:sz w:val="18"/>
          <w:szCs w:val="18"/>
        </w:rPr>
        <w:t>, vol. 37, no. Supplement 15.</w:t>
      </w:r>
    </w:p>
    <w:p w14:paraId="667A253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6F3809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Teixido, C, Gimenez-Capitan, A, Meredith, G, Martinez, D, Mashadi-Hossein, A, Hernan, C, Ross, PM, Arcocha, A, Galvan, P, Vilarino, N, Lopez-Padres, S, Rodriguez, S, Bertran-Alamillo, J, Prat, A, Molina-Vila, M &amp; Reguart, N 2017, 'Simultaneous gene profiling of advanced NSCLC: Single-Molecule Quantification of DNA and RNA by nCounter3DTM technology', </w:t>
      </w:r>
      <w:r>
        <w:rPr>
          <w:rFonts w:ascii="Segoe UI" w:hAnsi="Segoe UI" w:cs="Segoe UI"/>
          <w:i/>
          <w:iCs/>
          <w:sz w:val="18"/>
          <w:szCs w:val="18"/>
        </w:rPr>
        <w:t>Journal of Thoracic Oncology</w:t>
      </w:r>
      <w:r>
        <w:rPr>
          <w:rFonts w:ascii="Segoe UI" w:hAnsi="Segoe UI" w:cs="Segoe UI"/>
          <w:sz w:val="18"/>
          <w:szCs w:val="18"/>
        </w:rPr>
        <w:t>, vol. 12(11 Supplement 2), November, p. S2103.</w:t>
      </w:r>
    </w:p>
    <w:p w14:paraId="7699A64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F8CE84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Teixido, C, Reguart, N, Gimenez-Capitan, A, Molina-Vila, MA, Galvan, P, Rodriguez, S, Pare, L, Viteri, S, Peg, V, Yeste, Z, Vinolas, N, Rosell, R &amp; Prat, A 2016, 'Comparison of nCounter, immunohistochemistry, RT-PCR and FISH to detect ALK, ROS1 and RET re-arrangements in advanced non-small cell lung cancer (NSCLC)', </w:t>
      </w:r>
      <w:r>
        <w:rPr>
          <w:rFonts w:ascii="Segoe UI" w:hAnsi="Segoe UI" w:cs="Segoe UI"/>
          <w:i/>
          <w:iCs/>
          <w:sz w:val="18"/>
          <w:szCs w:val="18"/>
        </w:rPr>
        <w:t>Cancer Research. Conference: 107th Annual Meeting of the American Association for Cancer Research, AACR</w:t>
      </w:r>
      <w:r>
        <w:rPr>
          <w:rFonts w:ascii="Segoe UI" w:hAnsi="Segoe UI" w:cs="Segoe UI"/>
          <w:sz w:val="18"/>
          <w:szCs w:val="18"/>
        </w:rPr>
        <w:t>, vol. 76, no. 14 Supplement.</w:t>
      </w:r>
    </w:p>
    <w:p w14:paraId="5BB6E63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2A9EB4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Tsuji, K, Shinagawa, N, Kitai, H, Ikari, T, Sato, M, Takahashi, H, Kunisaki, M, Shoji, T, Takashima, Y, Furuta, M, Mizugaki, H, Asahina, H, Kikuchi, J, Kikuchi, E, Oi, Y, Nakajo, S, Hatanaka, K, Hatanaka, Y, Matsuno, Y &amp; Sakakibara, J 2019, 'Performance of ROS1 fusion gene test using FFPE tissue and bronchoscopic cytologic specimen', </w:t>
      </w:r>
      <w:r>
        <w:rPr>
          <w:rFonts w:ascii="Segoe UI" w:hAnsi="Segoe UI" w:cs="Segoe UI"/>
          <w:i/>
          <w:iCs/>
          <w:sz w:val="18"/>
          <w:szCs w:val="18"/>
        </w:rPr>
        <w:t>European Respiratory Journal. Conference: 29th International Congress of the European Respiratory Society, ERS. Madrid Spain</w:t>
      </w:r>
      <w:r>
        <w:rPr>
          <w:rFonts w:ascii="Segoe UI" w:hAnsi="Segoe UI" w:cs="Segoe UI"/>
          <w:sz w:val="18"/>
          <w:szCs w:val="18"/>
        </w:rPr>
        <w:t>, vol. 54, no. Supplement 63.</w:t>
      </w:r>
    </w:p>
    <w:p w14:paraId="1BB2BCF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308D50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Tung, K, Lin, C, Chen, S, Tan, KT, Liu, Y, Chao, Y &amp; Tsai, C 2019, 'EP1.14-06 Clinical Application of an Appropriate Size NGS Panel in Advanced Non-Small Cell Lung Cancer Management: Personal Experience', </w:t>
      </w:r>
      <w:r>
        <w:rPr>
          <w:rFonts w:ascii="Segoe UI" w:hAnsi="Segoe UI" w:cs="Segoe UI"/>
          <w:i/>
          <w:iCs/>
          <w:sz w:val="18"/>
          <w:szCs w:val="18"/>
        </w:rPr>
        <w:t>Journal of Thoracic Oncology</w:t>
      </w:r>
      <w:r>
        <w:rPr>
          <w:rFonts w:ascii="Segoe UI" w:hAnsi="Segoe UI" w:cs="Segoe UI"/>
          <w:sz w:val="18"/>
          <w:szCs w:val="18"/>
        </w:rPr>
        <w:t>, vol. 14(10 Supplement), October, p. S1034.</w:t>
      </w:r>
    </w:p>
    <w:p w14:paraId="74E06FC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12E605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Tysarowski, A, Seliga, KA, Wagrodzki, M, Gos, A, Zub, R, Olszewska, K, Knetki-Wroblewska, M, Krzakowski, M, Siedlecki, JA &amp; Prochorec-Sobieszek, M 2020, 'Identification of gene fusions in non-small cell lung cancers using two diagnostic approaches-can we significantly improve the detection rate?', </w:t>
      </w:r>
      <w:r>
        <w:rPr>
          <w:rFonts w:ascii="Segoe UI" w:hAnsi="Segoe UI" w:cs="Segoe UI"/>
          <w:i/>
          <w:iCs/>
          <w:sz w:val="18"/>
          <w:szCs w:val="18"/>
        </w:rPr>
        <w:t>Virchows Archiv</w:t>
      </w:r>
      <w:r>
        <w:rPr>
          <w:rFonts w:ascii="Segoe UI" w:hAnsi="Segoe UI" w:cs="Segoe UI"/>
          <w:sz w:val="18"/>
          <w:szCs w:val="18"/>
        </w:rPr>
        <w:t>, vol. 477(SUPPL 1), pp. S147-S148.</w:t>
      </w:r>
    </w:p>
    <w:p w14:paraId="4B32EB7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B7FB90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Vanderpoel, J, Pericone, C &amp; He, J 2021, 'Real-world EGFR testing patterns among U.S. Patients with advanced NSCLC', </w:t>
      </w:r>
      <w:r>
        <w:rPr>
          <w:rFonts w:ascii="Segoe UI" w:hAnsi="Segoe UI" w:cs="Segoe UI"/>
          <w:i/>
          <w:iCs/>
          <w:sz w:val="18"/>
          <w:szCs w:val="18"/>
        </w:rPr>
        <w:t>Journal of Clinical Oncology. Conference</w:t>
      </w:r>
      <w:r>
        <w:rPr>
          <w:rFonts w:ascii="Segoe UI" w:hAnsi="Segoe UI" w:cs="Segoe UI"/>
          <w:sz w:val="18"/>
          <w:szCs w:val="18"/>
        </w:rPr>
        <w:t>, vol. 39, no. 28, 2021.</w:t>
      </w:r>
    </w:p>
    <w:p w14:paraId="6DEA0CF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701692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Vanderwalde, AM, Ma, E, Yu, E, Szado, T, Price, R, Shah, A, Meyer, CS, Abbass, IM, Grothey, A, Staszewski, H, Slater, D, Johnetta Blakely, L &amp; Schwartzberg, LS 2021, 'Biomarker testing patterns and actionability in advanced nonsmall cell lung cancer (aNSCLC) at OneOncology (OneOnc)', </w:t>
      </w:r>
      <w:r>
        <w:rPr>
          <w:rFonts w:ascii="Segoe UI" w:hAnsi="Segoe UI" w:cs="Segoe UI"/>
          <w:i/>
          <w:iCs/>
          <w:sz w:val="18"/>
          <w:szCs w:val="18"/>
        </w:rPr>
        <w:t>Journal of Clinical Oncology. Conference</w:t>
      </w:r>
      <w:r>
        <w:rPr>
          <w:rFonts w:ascii="Segoe UI" w:hAnsi="Segoe UI" w:cs="Segoe UI"/>
          <w:sz w:val="18"/>
          <w:szCs w:val="18"/>
        </w:rPr>
        <w:t>, vol. 39, no. 28, 2021.</w:t>
      </w:r>
    </w:p>
    <w:p w14:paraId="1C2CDBC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FF7775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Wang, D, Wang, WX, Xu, C, Lei, L, Zhu, YC, Zhang, YB, Pu, XX, Wang, LP, Feng, HJ, Zhuang, W, Wang, H, Fang, Y, Fang, MY, Lv, TF &amp; Song, Y 2020, 'Real-world mechanism of crizotinib-resistance in MET exon 14 skipping mutations non-small-cell lung cancer using next generation sequencing: A multicenter study', </w:t>
      </w:r>
      <w:r>
        <w:rPr>
          <w:rFonts w:ascii="Segoe UI" w:hAnsi="Segoe UI" w:cs="Segoe UI"/>
          <w:i/>
          <w:iCs/>
          <w:sz w:val="18"/>
          <w:szCs w:val="18"/>
        </w:rPr>
        <w:t>Annals of Oncology</w:t>
      </w:r>
      <w:r>
        <w:rPr>
          <w:rFonts w:ascii="Segoe UI" w:hAnsi="Segoe UI" w:cs="Segoe UI"/>
          <w:sz w:val="18"/>
          <w:szCs w:val="18"/>
        </w:rPr>
        <w:t>, vol. 31(Supplement 6), November, p. S1398.</w:t>
      </w:r>
    </w:p>
    <w:p w14:paraId="53AA4AF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70A405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Wang, J, Song, H, Zhao, Z, Zhang, Y, Cui, L &amp; Bai, Y 2021, 'P35.10 Concomitant Driver Gene Mutations in Non-Small Cell Lung Cancer', </w:t>
      </w:r>
      <w:r>
        <w:rPr>
          <w:rFonts w:ascii="Segoe UI" w:hAnsi="Segoe UI" w:cs="Segoe UI"/>
          <w:i/>
          <w:iCs/>
          <w:sz w:val="18"/>
          <w:szCs w:val="18"/>
        </w:rPr>
        <w:t>Journal of Thoracic Oncology</w:t>
      </w:r>
      <w:r>
        <w:rPr>
          <w:rFonts w:ascii="Segoe UI" w:hAnsi="Segoe UI" w:cs="Segoe UI"/>
          <w:sz w:val="18"/>
          <w:szCs w:val="18"/>
        </w:rPr>
        <w:t>, vol. 16(3 Supplement), March, pp. S423-S424.</w:t>
      </w:r>
    </w:p>
    <w:p w14:paraId="6F53314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597662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Ward, AS, Johnson, J, Gupte-Singh, K, Chaudhary, MA, Dhanda, D, Diaz, O, Batt, K &amp; Fox, J 2019, 'Survival benefits of comprehensive genomic profiling and treatment in metastatic non-small cell lung cancer', </w:t>
      </w:r>
      <w:r>
        <w:rPr>
          <w:rFonts w:ascii="Segoe UI" w:hAnsi="Segoe UI" w:cs="Segoe UI"/>
          <w:i/>
          <w:iCs/>
          <w:sz w:val="18"/>
          <w:szCs w:val="18"/>
        </w:rPr>
        <w:t>Journal for ImmunoTherapy of Cancer. Conference: 34th Annual Meeting and Pre Conference Programs of the Society for Immunotherapy of Cancer Part</w:t>
      </w:r>
      <w:r>
        <w:rPr>
          <w:rFonts w:ascii="Segoe UI" w:hAnsi="Segoe UI" w:cs="Segoe UI"/>
          <w:sz w:val="18"/>
          <w:szCs w:val="18"/>
        </w:rPr>
        <w:t>, vol. 7, no. Supplement 1.</w:t>
      </w:r>
    </w:p>
    <w:p w14:paraId="7C37113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79CD23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Wei, B, Li, J, Ren, P, Chang, Y, Zhao, C, Xia, Q, Groen, HJM, Ma, J &amp; Guo, Y 2019, 'An optimized workflow for a fast molecular diagnosis of non-small cell lung cancer', </w:t>
      </w:r>
      <w:r>
        <w:rPr>
          <w:rFonts w:ascii="Segoe UI" w:hAnsi="Segoe UI" w:cs="Segoe UI"/>
          <w:i/>
          <w:iCs/>
          <w:sz w:val="18"/>
          <w:szCs w:val="18"/>
        </w:rPr>
        <w:t>Journal of Clinical Oncology. Conference</w:t>
      </w:r>
      <w:r>
        <w:rPr>
          <w:rFonts w:ascii="Segoe UI" w:hAnsi="Segoe UI" w:cs="Segoe UI"/>
          <w:sz w:val="18"/>
          <w:szCs w:val="18"/>
        </w:rPr>
        <w:t>, vol. 37, no. Supplement 15.</w:t>
      </w:r>
    </w:p>
    <w:p w14:paraId="06392A1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A0FE72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Wistuba, I 2019, 'I.12-1 New Next Generation Sequencing Platforms (NGS) Versus Tailored Panels', </w:t>
      </w:r>
      <w:r>
        <w:rPr>
          <w:rFonts w:ascii="Segoe UI" w:hAnsi="Segoe UI" w:cs="Segoe UI"/>
          <w:i/>
          <w:iCs/>
          <w:sz w:val="18"/>
          <w:szCs w:val="18"/>
        </w:rPr>
        <w:t>Journal of Thoracic Oncology</w:t>
      </w:r>
      <w:r>
        <w:rPr>
          <w:rFonts w:ascii="Segoe UI" w:hAnsi="Segoe UI" w:cs="Segoe UI"/>
          <w:sz w:val="18"/>
          <w:szCs w:val="18"/>
        </w:rPr>
        <w:t>, vol. 14(11 Supplement 2), November, p. S1161.</w:t>
      </w:r>
    </w:p>
    <w:p w14:paraId="2F24A61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C051DD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Yamada, C, Kobayashi, N, Kanou, D, Somekawa, K, Izawa, A, Kaneko, A, Seki, K, Tanaka, K, Fujii, H, Tagami, Y, Aoki, A, Watanabe, K, Hara, Y &amp; Kaneko, T 2021, 'Comparison of the oncomine Dx target test and the Cobas EGFR mutation detection kit v2 for detecting gene mutations of epidermal growth factor receptor among patients with non-small cell lung cancer: The experience of a single institution', </w:t>
      </w:r>
      <w:r>
        <w:rPr>
          <w:rFonts w:ascii="Segoe UI" w:hAnsi="Segoe UI" w:cs="Segoe UI"/>
          <w:i/>
          <w:iCs/>
          <w:sz w:val="18"/>
          <w:szCs w:val="18"/>
        </w:rPr>
        <w:t>Respirology</w:t>
      </w:r>
      <w:r>
        <w:rPr>
          <w:rFonts w:ascii="Segoe UI" w:hAnsi="Segoe UI" w:cs="Segoe UI"/>
          <w:sz w:val="18"/>
          <w:szCs w:val="18"/>
        </w:rPr>
        <w:t>, vol. 26(SUPPL 3), November, p. 336.</w:t>
      </w:r>
    </w:p>
    <w:p w14:paraId="5B56BE9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9DB4A0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Yan, Y, Ma, W, Molmen, M, Regalo, T, Pavlick, D, Forcier, B, Sawchyn, B, Chen, S, Gregg, J &amp; Li, T 2019, 'P1.16-04 Real World Experience of Using Comprehensive Genomic Profiling of Plasma Circulating Tumor DNA', </w:t>
      </w:r>
      <w:r>
        <w:rPr>
          <w:rFonts w:ascii="Segoe UI" w:hAnsi="Segoe UI" w:cs="Segoe UI"/>
          <w:i/>
          <w:iCs/>
          <w:sz w:val="18"/>
          <w:szCs w:val="18"/>
        </w:rPr>
        <w:t>Journal of Thoracic Oncology</w:t>
      </w:r>
      <w:r>
        <w:rPr>
          <w:rFonts w:ascii="Segoe UI" w:hAnsi="Segoe UI" w:cs="Segoe UI"/>
          <w:sz w:val="18"/>
          <w:szCs w:val="18"/>
        </w:rPr>
        <w:t>, vol. 14(10 Supplement), October, pp. S586-S587.</w:t>
      </w:r>
    </w:p>
    <w:p w14:paraId="5CB3C2D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74672D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Yu, TM, Tradonsky, A &amp; Layton, A 2017, 'Practical implications of single-gene versus NGS testing in advanced NSCLC', </w:t>
      </w:r>
      <w:r>
        <w:rPr>
          <w:rFonts w:ascii="Segoe UI" w:hAnsi="Segoe UI" w:cs="Segoe UI"/>
          <w:i/>
          <w:iCs/>
          <w:sz w:val="18"/>
          <w:szCs w:val="18"/>
        </w:rPr>
        <w:t>Journal of Clinical Oncology</w:t>
      </w:r>
      <w:r>
        <w:rPr>
          <w:rFonts w:ascii="Segoe UI" w:hAnsi="Segoe UI" w:cs="Segoe UI"/>
          <w:sz w:val="18"/>
          <w:szCs w:val="18"/>
        </w:rPr>
        <w:t>, vol. 35, no. 15_suppl, pp. e23106-e23106.</w:t>
      </w:r>
    </w:p>
    <w:p w14:paraId="64B09FE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6F3869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Zhang, Y, Yang, N, Jiang, T &amp; Zhou, C 2019, 'P1.01-121 Superior Outcomes of 1&lt;sup&gt;st&lt;/sup&gt; Line EGFR TKI in Next-Generation Sequencing Identified Uncommon EGFR Exon 19delins Mutation Non-Small Cell Lung Cancer', </w:t>
      </w:r>
      <w:r>
        <w:rPr>
          <w:rFonts w:ascii="Segoe UI" w:hAnsi="Segoe UI" w:cs="Segoe UI"/>
          <w:i/>
          <w:iCs/>
          <w:sz w:val="18"/>
          <w:szCs w:val="18"/>
        </w:rPr>
        <w:t>Journal of Thoracic Oncology</w:t>
      </w:r>
      <w:r>
        <w:rPr>
          <w:rFonts w:ascii="Segoe UI" w:hAnsi="Segoe UI" w:cs="Segoe UI"/>
          <w:sz w:val="18"/>
          <w:szCs w:val="18"/>
        </w:rPr>
        <w:t>, vol. 14(10 Supplement), October, pp. S409-S410.</w:t>
      </w:r>
    </w:p>
    <w:p w14:paraId="277EF34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C47828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Zheng, Y, Vioix, H, Liu, FX, Singh, B &amp; Sharma, S 2021, 'PATH01.01 Diagnostic and Economic Value of Next-Generation Sequencing (NGS) in Genotyping Non-Small Cell Lung Cancer Tumors (NSCLC): A Literature Review', </w:t>
      </w:r>
      <w:r>
        <w:rPr>
          <w:rFonts w:ascii="Segoe UI" w:hAnsi="Segoe UI" w:cs="Segoe UI"/>
          <w:i/>
          <w:iCs/>
          <w:sz w:val="18"/>
          <w:szCs w:val="18"/>
        </w:rPr>
        <w:t>Journal of Thoracic Oncology</w:t>
      </w:r>
      <w:r>
        <w:rPr>
          <w:rFonts w:ascii="Segoe UI" w:hAnsi="Segoe UI" w:cs="Segoe UI"/>
          <w:sz w:val="18"/>
          <w:szCs w:val="18"/>
        </w:rPr>
        <w:t>, vol. 16(1 Supplement), January, p. S39.</w:t>
      </w:r>
    </w:p>
    <w:p w14:paraId="6E67FE9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69EB68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Zhou, Q, Peng, X, Wang, W, Zhang, L, Wang, K &amp; Zhang, S 2019, 'P2.04-20 TP53/KMT2C Co-Mutation as a Novel Biomarker for Immunotherapy in Non-Small Cell Lung Cancer Patients', </w:t>
      </w:r>
      <w:r>
        <w:rPr>
          <w:rFonts w:ascii="Segoe UI" w:hAnsi="Segoe UI" w:cs="Segoe UI"/>
          <w:i/>
          <w:iCs/>
          <w:sz w:val="18"/>
          <w:szCs w:val="18"/>
        </w:rPr>
        <w:t>Journal of Thoracic Oncology</w:t>
      </w:r>
      <w:r>
        <w:rPr>
          <w:rFonts w:ascii="Segoe UI" w:hAnsi="Segoe UI" w:cs="Segoe UI"/>
          <w:sz w:val="18"/>
          <w:szCs w:val="18"/>
        </w:rPr>
        <w:t>, vol. 14(10 Supplement), October, p. S716.</w:t>
      </w:r>
    </w:p>
    <w:p w14:paraId="31CC500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625E160"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Zhuo, M, Gu, W, Chen, R &amp; Yuan, M 2021, '1269P Identification of rare gene fusions in non-small cell lung cancer with next-generation sequencing', </w:t>
      </w:r>
      <w:r>
        <w:rPr>
          <w:rFonts w:ascii="Segoe UI" w:hAnsi="Segoe UI" w:cs="Segoe UI"/>
          <w:i/>
          <w:iCs/>
          <w:sz w:val="18"/>
          <w:szCs w:val="18"/>
        </w:rPr>
        <w:t>Annals of Oncology</w:t>
      </w:r>
      <w:r>
        <w:rPr>
          <w:rFonts w:ascii="Segoe UI" w:hAnsi="Segoe UI" w:cs="Segoe UI"/>
          <w:sz w:val="18"/>
          <w:szCs w:val="18"/>
        </w:rPr>
        <w:t>, vol. 32(Supplement 5), September, p. S992.</w:t>
      </w:r>
    </w:p>
    <w:p w14:paraId="7643DD63"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491240A" w14:textId="77777777" w:rsidR="00504E35" w:rsidRDefault="00504E35" w:rsidP="00504E35">
      <w:pPr>
        <w:pStyle w:val="Heading3"/>
      </w:pPr>
      <w:bookmarkStart w:id="291" w:name="_Toc148531206"/>
      <w:r>
        <w:t>Wrong study type (case series, case reports, non-systematic reviews)</w:t>
      </w:r>
      <w:bookmarkEnd w:id="291"/>
    </w:p>
    <w:p w14:paraId="6F205DE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Bílek, O, Holánek, M, Berkovcová, J, Horký, O, Kazda, T, Čoupková, H, Špelda, S, Kristková, L, Zvaríková, M, Podhorec, J, Bořilová, S, Bohovicová, L &amp; Zdražilová Dubská, L 2019, 'Uncommon EGFR Mutations in Non-Small Cell Lung Cancer and Their Impact on the Treatment', </w:t>
      </w:r>
      <w:r>
        <w:rPr>
          <w:rFonts w:ascii="Segoe UI" w:hAnsi="Segoe UI" w:cs="Segoe UI"/>
          <w:i/>
          <w:iCs/>
          <w:sz w:val="18"/>
          <w:szCs w:val="18"/>
        </w:rPr>
        <w:t>Klin Onkol</w:t>
      </w:r>
      <w:r>
        <w:rPr>
          <w:rFonts w:ascii="Segoe UI" w:hAnsi="Segoe UI" w:cs="Segoe UI"/>
          <w:sz w:val="18"/>
          <w:szCs w:val="18"/>
        </w:rPr>
        <w:t>, vol. 32, no. Supplementum 3, Fall, pp. 6-12.</w:t>
      </w:r>
    </w:p>
    <w:p w14:paraId="47BEA78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82DCCC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Bruno, R &amp; Fontanini, G 2020, 'Next generation sequencing for gene fusion analysis in lung cancer: A literature review', </w:t>
      </w:r>
      <w:r>
        <w:rPr>
          <w:rFonts w:ascii="Segoe UI" w:hAnsi="Segoe UI" w:cs="Segoe UI"/>
          <w:i/>
          <w:iCs/>
          <w:sz w:val="18"/>
          <w:szCs w:val="18"/>
        </w:rPr>
        <w:t>Diagnostics</w:t>
      </w:r>
      <w:r>
        <w:rPr>
          <w:rFonts w:ascii="Segoe UI" w:hAnsi="Segoe UI" w:cs="Segoe UI"/>
          <w:sz w:val="18"/>
          <w:szCs w:val="18"/>
        </w:rPr>
        <w:t>, vol. 10(8) (no pagination), no. 521, August.</w:t>
      </w:r>
    </w:p>
    <w:p w14:paraId="10157C8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35734A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Cai, Y, Wang, X, Guo, Y, Sun, C, Xu, Y, Qiu, S &amp; Ma, K 2019, 'Successful treatment of a lung adenocarcinoma patient with a novel EGFR exon 20-ins mutation with afatinib: A case report', </w:t>
      </w:r>
      <w:r>
        <w:rPr>
          <w:rFonts w:ascii="Segoe UI" w:hAnsi="Segoe UI" w:cs="Segoe UI"/>
          <w:i/>
          <w:iCs/>
          <w:sz w:val="18"/>
          <w:szCs w:val="18"/>
        </w:rPr>
        <w:t>Medicine (United States)</w:t>
      </w:r>
      <w:r>
        <w:rPr>
          <w:rFonts w:ascii="Segoe UI" w:hAnsi="Segoe UI" w:cs="Segoe UI"/>
          <w:sz w:val="18"/>
          <w:szCs w:val="18"/>
        </w:rPr>
        <w:t>, vol. 98(1) (no pagination), no. e13890.</w:t>
      </w:r>
    </w:p>
    <w:p w14:paraId="638C2DA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3BF6B7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Cao, W, Yan, C, Tang, T, Wang, H &amp; Liu, D 2019, 'Validity of an ngs-based multiple gene panel in identifying actionable mutations for patients with nsclc in a chinese hospital', </w:t>
      </w:r>
      <w:r>
        <w:rPr>
          <w:rFonts w:ascii="Segoe UI" w:hAnsi="Segoe UI" w:cs="Segoe UI"/>
          <w:i/>
          <w:iCs/>
          <w:sz w:val="18"/>
          <w:szCs w:val="18"/>
        </w:rPr>
        <w:t>Oncology Letters</w:t>
      </w:r>
      <w:r>
        <w:rPr>
          <w:rFonts w:ascii="Segoe UI" w:hAnsi="Segoe UI" w:cs="Segoe UI"/>
          <w:sz w:val="18"/>
          <w:szCs w:val="18"/>
        </w:rPr>
        <w:t>, vol. 17(6), June, pp. 5425-5434.</w:t>
      </w:r>
    </w:p>
    <w:p w14:paraId="318A258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BCF2E9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Chevallier, M, Tsantoulis, P, Addeo, A &amp; Friedlaender, A 2020, 'Influence of Concurrent Mutations on Overall Survival in EGFR-mutated Non-small Cell Lung Cancer', </w:t>
      </w:r>
      <w:r>
        <w:rPr>
          <w:rFonts w:ascii="Segoe UI" w:hAnsi="Segoe UI" w:cs="Segoe UI"/>
          <w:i/>
          <w:iCs/>
          <w:sz w:val="18"/>
          <w:szCs w:val="18"/>
        </w:rPr>
        <w:t>Cancer Genomics Proteomics</w:t>
      </w:r>
      <w:r>
        <w:rPr>
          <w:rFonts w:ascii="Segoe UI" w:hAnsi="Segoe UI" w:cs="Segoe UI"/>
          <w:sz w:val="18"/>
          <w:szCs w:val="18"/>
        </w:rPr>
        <w:t>, vol. 17, no. 5, Sep-Oct, pp. 597-603.</w:t>
      </w:r>
    </w:p>
    <w:p w14:paraId="763C5D8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4DD0719"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Deng, LL, Gao, G, Deng, HB, Wang, F, Wang, ZH &amp; Yang, Y 2019, 'Co-occurring genetic alterations predict distant metastasis and poor efficacy of first-line EGFR-TKIs in EGFR-mutant NSCLC', </w:t>
      </w:r>
      <w:r>
        <w:rPr>
          <w:rFonts w:ascii="Segoe UI" w:hAnsi="Segoe UI" w:cs="Segoe UI"/>
          <w:i/>
          <w:iCs/>
          <w:sz w:val="18"/>
          <w:szCs w:val="18"/>
        </w:rPr>
        <w:t>Journal of Cancer Research and Clinical Oncology</w:t>
      </w:r>
      <w:r>
        <w:rPr>
          <w:rFonts w:ascii="Segoe UI" w:hAnsi="Segoe UI" w:cs="Segoe UI"/>
          <w:sz w:val="18"/>
          <w:szCs w:val="18"/>
        </w:rPr>
        <w:t>, vol. 145(10), 01 Oct, pp. 2613-2624.</w:t>
      </w:r>
    </w:p>
    <w:p w14:paraId="2E65F1B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7F6FD0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Deng, Q, Qiu, Y, Jia, J, Tang, H, Liu, L, Huang, L, He, D, Dong, X &amp; Yang, H 2019, 'Genetic alteration profile of EGFR-mutant resected IIB-IIIA stage NSCLC and correlation to clinical outcomes', </w:t>
      </w:r>
      <w:r>
        <w:rPr>
          <w:rFonts w:ascii="Segoe UI" w:hAnsi="Segoe UI" w:cs="Segoe UI"/>
          <w:i/>
          <w:iCs/>
          <w:sz w:val="18"/>
          <w:szCs w:val="18"/>
        </w:rPr>
        <w:t>Translational Lung Cancer Research</w:t>
      </w:r>
      <w:r>
        <w:rPr>
          <w:rFonts w:ascii="Segoe UI" w:hAnsi="Segoe UI" w:cs="Segoe UI"/>
          <w:sz w:val="18"/>
          <w:szCs w:val="18"/>
        </w:rPr>
        <w:t>, vol. 8(6), 01 Dec, pp. 838-846.</w:t>
      </w:r>
    </w:p>
    <w:p w14:paraId="7956DA6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406675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Faber, E, Grosu, H, Sabir, S, San Lucas, FA, Barkoh, BA, Bassett, RL, Luthra, R, Stewart, J &amp; Roy-Chowdhuri, S 2021, 'Adequacy of small biopsy and cytology specimens for comprehensive genomic profiling of patients with non-small-cell lung cancer to determine eligibility for immune checkpoint inhibitor and targeted therapy', </w:t>
      </w:r>
      <w:r>
        <w:rPr>
          <w:rFonts w:ascii="Segoe UI" w:hAnsi="Segoe UI" w:cs="Segoe UI"/>
          <w:i/>
          <w:iCs/>
          <w:sz w:val="18"/>
          <w:szCs w:val="18"/>
        </w:rPr>
        <w:t>Journal of Clinical Pathology.</w:t>
      </w:r>
    </w:p>
    <w:p w14:paraId="54B7ED4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F172AE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Hashiguchi, MH, Sato, T, Watanabe, R, Kagyo, J, Matsuzaki, T, Domoto, H, Kato, T, Nakahara, Y, Yokose, T, Hiroshima, Y &amp; Shiomi, T 2021, 'A case of lung adenocarcinoma with a novel CD74-ROS1 fusion variant identified by comprehensive genomic profiling that responded to crizotinib and entrectinib', </w:t>
      </w:r>
      <w:r>
        <w:rPr>
          <w:rFonts w:ascii="Segoe UI" w:hAnsi="Segoe UI" w:cs="Segoe UI"/>
          <w:i/>
          <w:iCs/>
          <w:sz w:val="18"/>
          <w:szCs w:val="18"/>
        </w:rPr>
        <w:t>Thoracic Cancer</w:t>
      </w:r>
      <w:r>
        <w:rPr>
          <w:rFonts w:ascii="Segoe UI" w:hAnsi="Segoe UI" w:cs="Segoe UI"/>
          <w:sz w:val="18"/>
          <w:szCs w:val="18"/>
        </w:rPr>
        <w:t>, vol. 12(18), September, pp. 2504-2507.</w:t>
      </w:r>
    </w:p>
    <w:p w14:paraId="26D6369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2F901B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Ju, L, Han, M, Zhao, C &amp; Li, X 2016, 'EGFR, KRAS and ROS1 variants coexist in a lung adenocarcinoma patient', </w:t>
      </w:r>
      <w:r>
        <w:rPr>
          <w:rFonts w:ascii="Segoe UI" w:hAnsi="Segoe UI" w:cs="Segoe UI"/>
          <w:i/>
          <w:iCs/>
          <w:sz w:val="18"/>
          <w:szCs w:val="18"/>
        </w:rPr>
        <w:t>Lung Cancer</w:t>
      </w:r>
      <w:r>
        <w:rPr>
          <w:rFonts w:ascii="Segoe UI" w:hAnsi="Segoe UI" w:cs="Segoe UI"/>
          <w:sz w:val="18"/>
          <w:szCs w:val="18"/>
        </w:rPr>
        <w:t>, vol. 95, May, pp. 94-97.</w:t>
      </w:r>
    </w:p>
    <w:p w14:paraId="25C2BE0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B015E3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Kauffmann-Guerrero, D, Kahnert, K, Kumbrink, J, Syunyaeva, Z, Tufman, A &amp; Huber, RM 2019, 'Successful Treatment of a Patient With NSCLC Harboring an EGFR Mutation and a Concomitant Met Exon 14 Skipping Mutation Combining Afatinib and Crizotinib', </w:t>
      </w:r>
      <w:r>
        <w:rPr>
          <w:rFonts w:ascii="Segoe UI" w:hAnsi="Segoe UI" w:cs="Segoe UI"/>
          <w:i/>
          <w:iCs/>
          <w:sz w:val="18"/>
          <w:szCs w:val="18"/>
        </w:rPr>
        <w:t>Clin Lung Cancer</w:t>
      </w:r>
      <w:r>
        <w:rPr>
          <w:rFonts w:ascii="Segoe UI" w:hAnsi="Segoe UI" w:cs="Segoe UI"/>
          <w:sz w:val="18"/>
          <w:szCs w:val="18"/>
        </w:rPr>
        <w:t>, vol. 20, no. 1, Jan, pp. 59-62.</w:t>
      </w:r>
    </w:p>
    <w:p w14:paraId="3E87AFD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671480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Kahraman Çetin, N, Erdoğdu İ, H, Bozkurt, E &amp; Meteoğlu, İ 2021, 'Evaluation of the Mutation Profile via Next-Generation Sequencing in a Turkish Population With Non-small Cell Lung Cancer', </w:t>
      </w:r>
      <w:r>
        <w:rPr>
          <w:rFonts w:ascii="Segoe UI" w:hAnsi="Segoe UI" w:cs="Segoe UI"/>
          <w:i/>
          <w:iCs/>
          <w:sz w:val="18"/>
          <w:szCs w:val="18"/>
        </w:rPr>
        <w:t>Balkan Med J</w:t>
      </w:r>
      <w:r>
        <w:rPr>
          <w:rFonts w:ascii="Segoe UI" w:hAnsi="Segoe UI" w:cs="Segoe UI"/>
          <w:sz w:val="18"/>
          <w:szCs w:val="18"/>
        </w:rPr>
        <w:t>, vol. 38, no. 6, Nov, pp. 382-391.</w:t>
      </w:r>
    </w:p>
    <w:p w14:paraId="72E549F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152D09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Kim, M, Jeong, JY, Park, NJ &amp; Park, JY 2022, 'Clinical Utility of Next-generation Sequencing in Real-world Cases: A Single-institution Study of Nine Cases', </w:t>
      </w:r>
      <w:r>
        <w:rPr>
          <w:rFonts w:ascii="Segoe UI" w:hAnsi="Segoe UI" w:cs="Segoe UI"/>
          <w:i/>
          <w:iCs/>
          <w:sz w:val="18"/>
          <w:szCs w:val="18"/>
        </w:rPr>
        <w:t>In Vivo</w:t>
      </w:r>
      <w:r>
        <w:rPr>
          <w:rFonts w:ascii="Segoe UI" w:hAnsi="Segoe UI" w:cs="Segoe UI"/>
          <w:sz w:val="18"/>
          <w:szCs w:val="18"/>
        </w:rPr>
        <w:t>, vol. 36, no. 3, May-Jun, pp. 1397-1407.</w:t>
      </w:r>
    </w:p>
    <w:p w14:paraId="4119C8B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535D85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Kim, Y, Lee, B, Shim, JH, Lee, SH, Park, WY, Choi, YL, Sun, JM, Ahn, JS, Ahn, MJ &amp; Park, K 2019, 'Concurrent Genetic Alterations Predict the Progression to Target Therapy in EGFR-Mutated Advanced NSCLC', </w:t>
      </w:r>
      <w:r>
        <w:rPr>
          <w:rFonts w:ascii="Segoe UI" w:hAnsi="Segoe UI" w:cs="Segoe UI"/>
          <w:i/>
          <w:iCs/>
          <w:sz w:val="18"/>
          <w:szCs w:val="18"/>
        </w:rPr>
        <w:t>Journal of Thoracic Oncology</w:t>
      </w:r>
      <w:r>
        <w:rPr>
          <w:rFonts w:ascii="Segoe UI" w:hAnsi="Segoe UI" w:cs="Segoe UI"/>
          <w:sz w:val="18"/>
          <w:szCs w:val="18"/>
        </w:rPr>
        <w:t>, vol. 14(2), February, pp. 193-202.</w:t>
      </w:r>
    </w:p>
    <w:p w14:paraId="4DBA575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0B6034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Lambros, L, Guibourg, B &amp; Uguen, A 2017, 'Costs of ALK, ROS1, EGFR, and KRAS testing in non-small cell lung cancer: About different strategies in France', </w:t>
      </w:r>
      <w:r>
        <w:rPr>
          <w:rFonts w:ascii="Segoe UI" w:hAnsi="Segoe UI" w:cs="Segoe UI"/>
          <w:i/>
          <w:iCs/>
          <w:sz w:val="18"/>
          <w:szCs w:val="18"/>
        </w:rPr>
        <w:t>Cancer Cytopathology</w:t>
      </w:r>
      <w:r>
        <w:rPr>
          <w:rFonts w:ascii="Segoe UI" w:hAnsi="Segoe UI" w:cs="Segoe UI"/>
          <w:sz w:val="18"/>
          <w:szCs w:val="18"/>
        </w:rPr>
        <w:t>, vol. 125(11), November, p. 876.</w:t>
      </w:r>
    </w:p>
    <w:p w14:paraId="61A927C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1685E8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Lee, KC, Koh, J, Chung, DH &amp; Jeon, YK 2021, 'A case of concomitant EGFR/ALK alteration against a mutated EGFR background in early-stage lung adenocarcinoma', </w:t>
      </w:r>
      <w:r>
        <w:rPr>
          <w:rFonts w:ascii="Segoe UI" w:hAnsi="Segoe UI" w:cs="Segoe UI"/>
          <w:i/>
          <w:iCs/>
          <w:sz w:val="18"/>
          <w:szCs w:val="18"/>
        </w:rPr>
        <w:t>Journal of Pathology and Translational Medicine</w:t>
      </w:r>
      <w:r>
        <w:rPr>
          <w:rFonts w:ascii="Segoe UI" w:hAnsi="Segoe UI" w:cs="Segoe UI"/>
          <w:sz w:val="18"/>
          <w:szCs w:val="18"/>
        </w:rPr>
        <w:t>, vol. 55(2), pp. 139-144.</w:t>
      </w:r>
    </w:p>
    <w:p w14:paraId="0BFF46C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B4BCD3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 Y, Duan, P, Guan, Y, Chen, Q, Grenda, A, Christopoulos, P, Denis, MG &amp; Guo, Q 2022, 'High efficacy of alectinib in a patient with advanced lung adenocarcinoma with 2 rare ALK fusion sites: a case report', </w:t>
      </w:r>
      <w:r>
        <w:rPr>
          <w:rFonts w:ascii="Segoe UI" w:hAnsi="Segoe UI" w:cs="Segoe UI"/>
          <w:i/>
          <w:iCs/>
          <w:sz w:val="18"/>
          <w:szCs w:val="18"/>
        </w:rPr>
        <w:t>Transl Lung Cancer Res</w:t>
      </w:r>
      <w:r>
        <w:rPr>
          <w:rFonts w:ascii="Segoe UI" w:hAnsi="Segoe UI" w:cs="Segoe UI"/>
          <w:sz w:val="18"/>
          <w:szCs w:val="18"/>
        </w:rPr>
        <w:t>, vol. 11, no. 1, Jan, pp. 100-110.</w:t>
      </w:r>
    </w:p>
    <w:p w14:paraId="060C66F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4D5C24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Li, M, Hou, X, Zhou, C, Feng, W, Jiang, G, Long, H, Yang, S, Chen, J, Wang, N, Wang, K &amp; Chen, L 2020, 'Prevalence and Clinical Impact of Concomitant Mutations in Anaplastic Lymphoma Kinase Rearrangement Advanced Non-small-Cell Lung Cancer (Guangdong Association of Thoracic Oncology Study 1055)', </w:t>
      </w:r>
      <w:r>
        <w:rPr>
          <w:rFonts w:ascii="Segoe UI" w:hAnsi="Segoe UI" w:cs="Segoe UI"/>
          <w:i/>
          <w:iCs/>
          <w:sz w:val="18"/>
          <w:szCs w:val="18"/>
        </w:rPr>
        <w:t>Front Oncol</w:t>
      </w:r>
      <w:r>
        <w:rPr>
          <w:rFonts w:ascii="Segoe UI" w:hAnsi="Segoe UI" w:cs="Segoe UI"/>
          <w:sz w:val="18"/>
          <w:szCs w:val="18"/>
        </w:rPr>
        <w:t>, vol. 10, p. 1216.</w:t>
      </w:r>
    </w:p>
    <w:p w14:paraId="378A12E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702FE5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Long, X, Wu, H, Yang, C, Li, F, Zhang, M &amp; Wu, X 2021, 'Complex genetic alterations contribute to rapid disease progression in an ALK rearrangement lung adenocarcinoma patient: A case report', </w:t>
      </w:r>
      <w:r>
        <w:rPr>
          <w:rFonts w:ascii="Segoe UI" w:hAnsi="Segoe UI" w:cs="Segoe UI"/>
          <w:i/>
          <w:iCs/>
          <w:sz w:val="18"/>
          <w:szCs w:val="18"/>
        </w:rPr>
        <w:t>Translational Cancer Research</w:t>
      </w:r>
      <w:r>
        <w:rPr>
          <w:rFonts w:ascii="Segoe UI" w:hAnsi="Segoe UI" w:cs="Segoe UI"/>
          <w:sz w:val="18"/>
          <w:szCs w:val="18"/>
        </w:rPr>
        <w:t>, vol. 10(6), June, pp. 3081-3086.</w:t>
      </w:r>
    </w:p>
    <w:p w14:paraId="58E4C0E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AC826B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Marin, E, Teixido, C, Carmona-Rocha, E, Reyes, R, Arcocha, A, Viñolas, N, Rodríguez-Mues, M, Cabrera, C, Sánchez, M, Vollmer, I, Castillo, S, Muñoz, S, Sullivan, IG, Rodriguez, A, Garcia, M, Alos, S, Jares, P, Martinez, A, Prat, A, Molina-Vila, M &amp; Reguart, N 2020, 'Usefulness of Two Independent DNA and RNA Tissue-Based Multiplex Assays for the Routine Care of Advanced NSCLC Patients', </w:t>
      </w:r>
      <w:r>
        <w:rPr>
          <w:rFonts w:ascii="Segoe UI" w:hAnsi="Segoe UI" w:cs="Segoe UI"/>
          <w:i/>
          <w:iCs/>
          <w:sz w:val="18"/>
          <w:szCs w:val="18"/>
        </w:rPr>
        <w:t>Cancers (Basel)</w:t>
      </w:r>
      <w:r>
        <w:rPr>
          <w:rFonts w:ascii="Segoe UI" w:hAnsi="Segoe UI" w:cs="Segoe UI"/>
          <w:sz w:val="18"/>
          <w:szCs w:val="18"/>
        </w:rPr>
        <w:t>, vol. 12, no. 5, Apr 30.</w:t>
      </w:r>
    </w:p>
    <w:p w14:paraId="4B82366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D6E449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Mehta, A, Batra, U, Sharma, M, Sharma, S &amp; Nathany, S 2020, 'Detection of rare targetable egfr variant in metastatic non-small cell lung carcinoma by next generation sequencing: A case report', </w:t>
      </w:r>
      <w:r>
        <w:rPr>
          <w:rFonts w:ascii="Segoe UI" w:hAnsi="Segoe UI" w:cs="Segoe UI"/>
          <w:i/>
          <w:iCs/>
          <w:sz w:val="18"/>
          <w:szCs w:val="18"/>
        </w:rPr>
        <w:t>Journal of Clinical and Diagnostic Research</w:t>
      </w:r>
      <w:r>
        <w:rPr>
          <w:rFonts w:ascii="Segoe UI" w:hAnsi="Segoe UI" w:cs="Segoe UI"/>
          <w:sz w:val="18"/>
          <w:szCs w:val="18"/>
        </w:rPr>
        <w:t>, vol. 14(6), June, pp. GD01-GD03.</w:t>
      </w:r>
    </w:p>
    <w:p w14:paraId="6A4B3F8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3D03D7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Nemoto, D, Yokose, T, Katayama, K, Murakami, S, Kato, T, Saito, H, Suzuki, M, Eriguchi, D, Samejima, J, Nagashima, T, Ito, H, Yamada, K, Nakayama, H &amp; Masuda, M 2021, 'Tissue surface area and tumor cell count affect the success </w:t>
      </w:r>
      <w:r>
        <w:rPr>
          <w:rFonts w:ascii="Segoe UI" w:hAnsi="Segoe UI" w:cs="Segoe UI"/>
          <w:sz w:val="18"/>
          <w:szCs w:val="18"/>
        </w:rPr>
        <w:lastRenderedPageBreak/>
        <w:t xml:space="preserve">rate of the Oncomine Dx Target Test in the analysis of biopsy tissue samples', </w:t>
      </w:r>
      <w:r>
        <w:rPr>
          <w:rFonts w:ascii="Segoe UI" w:hAnsi="Segoe UI" w:cs="Segoe UI"/>
          <w:i/>
          <w:iCs/>
          <w:sz w:val="18"/>
          <w:szCs w:val="18"/>
        </w:rPr>
        <w:t>Thoracic Cancer</w:t>
      </w:r>
      <w:r>
        <w:rPr>
          <w:rFonts w:ascii="Segoe UI" w:hAnsi="Segoe UI" w:cs="Segoe UI"/>
          <w:sz w:val="18"/>
          <w:szCs w:val="18"/>
        </w:rPr>
        <w:t>, vol. 12(2), January, pp. 194-200.</w:t>
      </w:r>
    </w:p>
    <w:p w14:paraId="46D2AC8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B31E75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Passaro, A, Attili, I, Rappa, A, Vacirca, D, Ranghiero, A, Fumagalli, C, Guarize, J, Spaggiari, L, de Marinis, F, Barberis, M &amp; Guerini-Rocco, E 2021, 'Genomic characterization of concurrent alterations in non-small cell lung cancer (Nsclc) harboring actionable mutations', </w:t>
      </w:r>
      <w:r>
        <w:rPr>
          <w:rFonts w:ascii="Segoe UI" w:hAnsi="Segoe UI" w:cs="Segoe UI"/>
          <w:i/>
          <w:iCs/>
          <w:sz w:val="18"/>
          <w:szCs w:val="18"/>
        </w:rPr>
        <w:t>Cancers</w:t>
      </w:r>
      <w:r>
        <w:rPr>
          <w:rFonts w:ascii="Segoe UI" w:hAnsi="Segoe UI" w:cs="Segoe UI"/>
          <w:sz w:val="18"/>
          <w:szCs w:val="18"/>
        </w:rPr>
        <w:t>, vol. 13(9) (no pagination), no. 2172, 01 May.</w:t>
      </w:r>
    </w:p>
    <w:p w14:paraId="64852A8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3BD7E2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Perdrizet, K, Stockley, TL, Law, JH, Smith, A, Zhang, T, Fernandes, R, Shabir, M, Sabatini, P, Youssef, NA, Ishu, C, Li, JJ, Tsao, MS, Pal, P, Cabanero, M, Schwock, J, Ko, HM, Boerner, S, Ruff, H, Shepherd, FA, Bradbury, PA, Liu, G, Sacher, AG &amp; Leighl, NB 2022, 'Integrating comprehensive genomic sequencing of non-small cell lung cancer into a public healthcare system', </w:t>
      </w:r>
      <w:r>
        <w:rPr>
          <w:rFonts w:ascii="Segoe UI" w:hAnsi="Segoe UI" w:cs="Segoe UI"/>
          <w:i/>
          <w:iCs/>
          <w:sz w:val="18"/>
          <w:szCs w:val="18"/>
        </w:rPr>
        <w:t>Cancer Treatment and Research Communications</w:t>
      </w:r>
      <w:r>
        <w:rPr>
          <w:rFonts w:ascii="Segoe UI" w:hAnsi="Segoe UI" w:cs="Segoe UI"/>
          <w:sz w:val="18"/>
          <w:szCs w:val="18"/>
        </w:rPr>
        <w:t>, vol. 31 (no pagination), no. 100534, January.</w:t>
      </w:r>
    </w:p>
    <w:p w14:paraId="779D2A0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3615D0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Rachiglio, AM, Fenizia, F, Piccirillo, MC, Galetta, D, Crinò, L, Vincenzi, B, Barletta, E, Pinto, C, Ferraù, F, Lambiase, M, Montanino, A, Roma, C, Ludovini, V, Montagna, ES, De Luca, A, Rocco, G, Botti, G, Perrone, F, Morabito, A &amp; Normanno, N 2019, 'The Presence of Concomitant Mutations Affects the Activity of EGFR Tyrosine Kinase Inhibitors in EGFR-Mutant Non-Small Cell Lung Cancer (NSCLC) Patients', </w:t>
      </w:r>
      <w:r>
        <w:rPr>
          <w:rFonts w:ascii="Segoe UI" w:hAnsi="Segoe UI" w:cs="Segoe UI"/>
          <w:i/>
          <w:iCs/>
          <w:sz w:val="18"/>
          <w:szCs w:val="18"/>
        </w:rPr>
        <w:t>Cancers</w:t>
      </w:r>
      <w:r>
        <w:rPr>
          <w:rFonts w:ascii="Segoe UI" w:hAnsi="Segoe UI" w:cs="Segoe UI"/>
          <w:sz w:val="18"/>
          <w:szCs w:val="18"/>
        </w:rPr>
        <w:t>, vol. 11, no. 3, pp. 341-NA.</w:t>
      </w:r>
    </w:p>
    <w:p w14:paraId="293AA85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A58E06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Reis, D, Marques, C, Dias, M, Campainha, S, Cirnes, L &amp; Barroso, A 2020, 'Mutational profile of non-small cell lung cancer patients: Use of next-generation sequencing', </w:t>
      </w:r>
      <w:r>
        <w:rPr>
          <w:rFonts w:ascii="Segoe UI" w:hAnsi="Segoe UI" w:cs="Segoe UI"/>
          <w:i/>
          <w:iCs/>
          <w:sz w:val="18"/>
          <w:szCs w:val="18"/>
        </w:rPr>
        <w:t>Pulmonology</w:t>
      </w:r>
      <w:r>
        <w:rPr>
          <w:rFonts w:ascii="Segoe UI" w:hAnsi="Segoe UI" w:cs="Segoe UI"/>
          <w:sz w:val="18"/>
          <w:szCs w:val="18"/>
        </w:rPr>
        <w:t>, vol. 26, no. 1, Jan-Feb, pp. 50-53.</w:t>
      </w:r>
    </w:p>
    <w:p w14:paraId="4EA6B91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D17C57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Sakata, S, Otsubo, K, Yoshida, H, Ito, K, Nakamura, A, Teraoka, S, Matsumoto, N, Shiraishi, Y, Haratani, K, Tamiya, M, Ikeda, S, Miura, S, Tanizaki, J, Omori, S, Yoshioka, H, Hata, A, Yamamoto, N &amp; Nakagawa, K 2022, 'Real-world data on NGS using the Oncomine DxTT for detecting genetic alterations in non-small-cell lung cancer: WJOG13019L', </w:t>
      </w:r>
      <w:r>
        <w:rPr>
          <w:rFonts w:ascii="Segoe UI" w:hAnsi="Segoe UI" w:cs="Segoe UI"/>
          <w:i/>
          <w:iCs/>
          <w:sz w:val="18"/>
          <w:szCs w:val="18"/>
        </w:rPr>
        <w:t>Cancer Science</w:t>
      </w:r>
      <w:r>
        <w:rPr>
          <w:rFonts w:ascii="Segoe UI" w:hAnsi="Segoe UI" w:cs="Segoe UI"/>
          <w:sz w:val="18"/>
          <w:szCs w:val="18"/>
        </w:rPr>
        <w:t>, vol. 113(1), January, pp. 221-228.</w:t>
      </w:r>
    </w:p>
    <w:p w14:paraId="43FED70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28BB99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Sato, S, Nagahashi, M, Koike, T, Ichikawa, H, Shimada, Y, Watanabe, S, Kikuchi, T, Takada, K, Nakanishi, R, Oki, E, Okamoto, T, Akazawa, K, Lyle, S, Ling, Y, Takabe, K, Okuda, S, Wakai, T &amp; Tsuchida, M 2018, 'Impact of Concurrent Genomic Alterations Detected by Comprehensive Genomic Sequencing on Clinical Outcomes in East-Asian Patients with EGFR-Mutated Lung Adenocarcinoma', </w:t>
      </w:r>
      <w:r>
        <w:rPr>
          <w:rFonts w:ascii="Segoe UI" w:hAnsi="Segoe UI" w:cs="Segoe UI"/>
          <w:i/>
          <w:iCs/>
          <w:sz w:val="18"/>
          <w:szCs w:val="18"/>
        </w:rPr>
        <w:t>Scientific reports</w:t>
      </w:r>
      <w:r>
        <w:rPr>
          <w:rFonts w:ascii="Segoe UI" w:hAnsi="Segoe UI" w:cs="Segoe UI"/>
          <w:sz w:val="18"/>
          <w:szCs w:val="18"/>
        </w:rPr>
        <w:t>, vol. 8, no. 1, pp. 1005-1005.</w:t>
      </w:r>
    </w:p>
    <w:p w14:paraId="655C1A2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964B99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82FB04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Schluckebier, L, Caetano, R, Garay, OU, Montenegro, GT, Custodio, M, Aran, V &amp; Gil Ferreira, C 2020, 'Cost-effectiveness analysis comparing companion diagnostic tests for EGFR, ALK, and ROS1 versus next-generation sequencing (NGS) in advanced adenocarcinoma lung cancer patients', </w:t>
      </w:r>
      <w:r>
        <w:rPr>
          <w:rFonts w:ascii="Segoe UI" w:hAnsi="Segoe UI" w:cs="Segoe UI"/>
          <w:i/>
          <w:iCs/>
          <w:sz w:val="18"/>
          <w:szCs w:val="18"/>
        </w:rPr>
        <w:t>BMC Cancer</w:t>
      </w:r>
      <w:r>
        <w:rPr>
          <w:rFonts w:ascii="Segoe UI" w:hAnsi="Segoe UI" w:cs="Segoe UI"/>
          <w:sz w:val="18"/>
          <w:szCs w:val="18"/>
        </w:rPr>
        <w:t>, vol. 20(1) (no pagination), no. 875, 14 Sep.</w:t>
      </w:r>
    </w:p>
    <w:p w14:paraId="6889EA3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DEAD45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Shinde, R, Cao, X &amp; Kothari, S 2016, 'Biopsy procedures and molecular testing utilization and related costs in patients with metastatic lung cancer', </w:t>
      </w:r>
      <w:r>
        <w:rPr>
          <w:rFonts w:ascii="Segoe UI" w:hAnsi="Segoe UI" w:cs="Segoe UI"/>
          <w:i/>
          <w:iCs/>
          <w:sz w:val="18"/>
          <w:szCs w:val="18"/>
        </w:rPr>
        <w:t>Journal of Managed Care and Specialty Pharmacy</w:t>
      </w:r>
      <w:r>
        <w:rPr>
          <w:rFonts w:ascii="Segoe UI" w:hAnsi="Segoe UI" w:cs="Segoe UI"/>
          <w:sz w:val="18"/>
          <w:szCs w:val="18"/>
        </w:rPr>
        <w:t>, vol. 22(10), pp. 1194-1203.</w:t>
      </w:r>
    </w:p>
    <w:p w14:paraId="04E1B6D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2306C1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Stein, MK, Morris, L, Sullivan, JL, Fenton, M, VanderWalde, A, Schwartzberg, LS &amp; Martin, MG 2017, 'Expanding the search for significant EGFR mutations in NSCLC outside of the tyrosine kinase domain with next-generation sequencing', </w:t>
      </w:r>
      <w:r>
        <w:rPr>
          <w:rFonts w:ascii="Segoe UI" w:hAnsi="Segoe UI" w:cs="Segoe UI"/>
          <w:i/>
          <w:iCs/>
          <w:sz w:val="18"/>
          <w:szCs w:val="18"/>
        </w:rPr>
        <w:t>Medical Oncology</w:t>
      </w:r>
      <w:r>
        <w:rPr>
          <w:rFonts w:ascii="Segoe UI" w:hAnsi="Segoe UI" w:cs="Segoe UI"/>
          <w:sz w:val="18"/>
          <w:szCs w:val="18"/>
        </w:rPr>
        <w:t>, vol. 34(7) (no pagination), no. 126, 01 Jul.</w:t>
      </w:r>
    </w:p>
    <w:p w14:paraId="76B060B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77C0215"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Steuten, L, Goulart, B, Meropol, NJ, Pritchard, D &amp; Ramsey, SD 2019, 'Cost effectiveness of multigene panel sequencing for patients with advanced non-small-cell lung cancer', </w:t>
      </w:r>
      <w:r>
        <w:rPr>
          <w:rFonts w:ascii="Segoe UI" w:hAnsi="Segoe UI" w:cs="Segoe UI"/>
          <w:i/>
          <w:iCs/>
          <w:sz w:val="18"/>
          <w:szCs w:val="18"/>
        </w:rPr>
        <w:t>JCO Clinical Cancer Informatics</w:t>
      </w:r>
      <w:r>
        <w:rPr>
          <w:rFonts w:ascii="Segoe UI" w:hAnsi="Segoe UI" w:cs="Segoe UI"/>
          <w:sz w:val="18"/>
          <w:szCs w:val="18"/>
        </w:rPr>
        <w:t>, vol. 3, pp. 1-10.</w:t>
      </w:r>
    </w:p>
    <w:p w14:paraId="1B68CE27"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EB95E9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Stoy, SP, Segal, JP, Mueller, J, Furtado, LV, Vokes, EE, Patel, JD &amp; Murgu, S 2018, 'Feasibility of Endobronchial Ultrasound-guided Transbronchial Needle Aspiration Cytology Specimens for Next Generation Sequencing in Non-small-cell Lung Cancer', </w:t>
      </w:r>
      <w:r>
        <w:rPr>
          <w:rFonts w:ascii="Segoe UI" w:hAnsi="Segoe UI" w:cs="Segoe UI"/>
          <w:i/>
          <w:iCs/>
          <w:sz w:val="18"/>
          <w:szCs w:val="18"/>
        </w:rPr>
        <w:t>Clinical Lung Cancer</w:t>
      </w:r>
      <w:r>
        <w:rPr>
          <w:rFonts w:ascii="Segoe UI" w:hAnsi="Segoe UI" w:cs="Segoe UI"/>
          <w:sz w:val="18"/>
          <w:szCs w:val="18"/>
        </w:rPr>
        <w:t>, vol. 19(3), May, pp. 230-238.e232.</w:t>
      </w:r>
    </w:p>
    <w:p w14:paraId="486DEDE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C4D12E8"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Sukrithan, V, Snyder, R, Cheng, H &amp; Halmos, B 2019, 'Sequencing therapies in oncogene-driven non-small-cell lung cancer: How to get the best mileage?', </w:t>
      </w:r>
      <w:r>
        <w:rPr>
          <w:rFonts w:ascii="Segoe UI" w:hAnsi="Segoe UI" w:cs="Segoe UI"/>
          <w:i/>
          <w:iCs/>
          <w:sz w:val="18"/>
          <w:szCs w:val="18"/>
        </w:rPr>
        <w:t>Future Oncology</w:t>
      </w:r>
      <w:r>
        <w:rPr>
          <w:rFonts w:ascii="Segoe UI" w:hAnsi="Segoe UI" w:cs="Segoe UI"/>
          <w:sz w:val="18"/>
          <w:szCs w:val="18"/>
        </w:rPr>
        <w:t>, vol. 15(25), pp. 2899-2904.</w:t>
      </w:r>
    </w:p>
    <w:p w14:paraId="73DB338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B53EB47"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Suzawa, K, Offin, M, Lu, D, Kurzatkowski, C, Vojnic, M, Smith, RS, Sabari, JK, Tai, H, Mattar, M, Khodos, I, de Stanchina, E, Rudin, CM, Kris, MG, Arcila, ME, Lockwood, WW, Drilon, A, Ladanyi, M &amp; Somwar, R 2019, 'Activation </w:t>
      </w:r>
      <w:r>
        <w:rPr>
          <w:rFonts w:ascii="Segoe UI" w:hAnsi="Segoe UI" w:cs="Segoe UI"/>
          <w:sz w:val="18"/>
          <w:szCs w:val="18"/>
        </w:rPr>
        <w:lastRenderedPageBreak/>
        <w:t xml:space="preserve">of KRAS Mediates Resistance to Targeted Therapy in MET Exon 14-mutant Non-small Cell Lung Cancer', </w:t>
      </w:r>
      <w:r>
        <w:rPr>
          <w:rFonts w:ascii="Segoe UI" w:hAnsi="Segoe UI" w:cs="Segoe UI"/>
          <w:i/>
          <w:iCs/>
          <w:sz w:val="18"/>
          <w:szCs w:val="18"/>
        </w:rPr>
        <w:t>Clinical Cancer Research</w:t>
      </w:r>
      <w:r>
        <w:rPr>
          <w:rFonts w:ascii="Segoe UI" w:hAnsi="Segoe UI" w:cs="Segoe UI"/>
          <w:sz w:val="18"/>
          <w:szCs w:val="18"/>
        </w:rPr>
        <w:t>, vol. 25(4), 15 Feb, pp. 1248-1260.</w:t>
      </w:r>
    </w:p>
    <w:p w14:paraId="1D75CFB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BAF9AC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Sweis, RF, Thomas, S, Bank, B, Fishkin, P, Mooney, C &amp; Salgia, R 2016, 'Concurrent EGFR Mutation and ALK Translocation in Non-Small Cell Lung Cancer', </w:t>
      </w:r>
      <w:r>
        <w:rPr>
          <w:rFonts w:ascii="Segoe UI" w:hAnsi="Segoe UI" w:cs="Segoe UI"/>
          <w:i/>
          <w:iCs/>
          <w:sz w:val="18"/>
          <w:szCs w:val="18"/>
        </w:rPr>
        <w:t>Cureus</w:t>
      </w:r>
      <w:r>
        <w:rPr>
          <w:rFonts w:ascii="Segoe UI" w:hAnsi="Segoe UI" w:cs="Segoe UI"/>
          <w:sz w:val="18"/>
          <w:szCs w:val="18"/>
        </w:rPr>
        <w:t>, vol. 8, no. 2, Feb 26, p. e513.</w:t>
      </w:r>
    </w:p>
    <w:p w14:paraId="2AD13CE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81937E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Takeda, M, Takahama, T, Sakai, K, Shimizu, S, Watanabe, S, Kawakami, H, Tanaka, K, Sato, C, Hayashi, H, Nonagase, Y, Yonesaka, K, Takegawa, N, Okuno, T, Yoshida, T, Fumita, S, Suzuki, S, Haratani, K, Saigoh, K, Ito, A, Mitsudomi, T, Handa, H, Fukuoka, K, Nakagawa, K &amp; Nishio, K 2021, 'Clinical Application of the FoundationOne CDx Assay to Therapeutic Decision-Making for Patients with Advanced Solid Tumors', </w:t>
      </w:r>
      <w:r>
        <w:rPr>
          <w:rFonts w:ascii="Segoe UI" w:hAnsi="Segoe UI" w:cs="Segoe UI"/>
          <w:i/>
          <w:iCs/>
          <w:sz w:val="18"/>
          <w:szCs w:val="18"/>
        </w:rPr>
        <w:t>Oncologist</w:t>
      </w:r>
      <w:r>
        <w:rPr>
          <w:rFonts w:ascii="Segoe UI" w:hAnsi="Segoe UI" w:cs="Segoe UI"/>
          <w:sz w:val="18"/>
          <w:szCs w:val="18"/>
        </w:rPr>
        <w:t>, vol. 26(4), April, pp. e588-e596.</w:t>
      </w:r>
    </w:p>
    <w:p w14:paraId="3A81E97D"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4E73B1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Troncone, G 2017, 'Reply to Costs of ALK, ROS1, EGFR, and KRAS testing in non-small cell lung cancer: About different strategies in France', </w:t>
      </w:r>
      <w:r>
        <w:rPr>
          <w:rFonts w:ascii="Segoe UI" w:hAnsi="Segoe UI" w:cs="Segoe UI"/>
          <w:i/>
          <w:iCs/>
          <w:sz w:val="18"/>
          <w:szCs w:val="18"/>
        </w:rPr>
        <w:t>Cancer Cytopathology</w:t>
      </w:r>
      <w:r>
        <w:rPr>
          <w:rFonts w:ascii="Segoe UI" w:hAnsi="Segoe UI" w:cs="Segoe UI"/>
          <w:sz w:val="18"/>
          <w:szCs w:val="18"/>
        </w:rPr>
        <w:t>, vol. 125(11), November, p. 877.</w:t>
      </w:r>
    </w:p>
    <w:p w14:paraId="55D21980"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82915E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Tsang, ES, Shen, Y, Chooback, N, Ho, C, Jones, M, Renouf, DJ, Lim, H, Sun, S, Yip, S, Pleasance, E, Ionescu, DN, Mungall, K, Kasaian, K, Ma, Y, Zhao, Y, Mungall, A, Moore, R, Jones, SJM, Marra, M &amp; Laskin, J 2019, 'Clinical outcomes after whole-genome sequencing in patients with metastatic non-small-cell lung cancer', </w:t>
      </w:r>
      <w:r>
        <w:rPr>
          <w:rFonts w:ascii="Segoe UI" w:hAnsi="Segoe UI" w:cs="Segoe UI"/>
          <w:i/>
          <w:iCs/>
          <w:sz w:val="18"/>
          <w:szCs w:val="18"/>
        </w:rPr>
        <w:t>Cold Spring Harbor Molecular Case Studies</w:t>
      </w:r>
      <w:r>
        <w:rPr>
          <w:rFonts w:ascii="Segoe UI" w:hAnsi="Segoe UI" w:cs="Segoe UI"/>
          <w:sz w:val="18"/>
          <w:szCs w:val="18"/>
        </w:rPr>
        <w:t>, vol. 5(1) (no pagination), no. a002659.</w:t>
      </w:r>
    </w:p>
    <w:p w14:paraId="5B3AD114"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A73DE1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Tsimberidou, AM, Elkin, S, Dumanois, R &amp; Pritchard, D 2020, 'Clinical and Economic Value of Genetic Sequencing for Personalized Therapy in Non-small-cell Lung Cancer', </w:t>
      </w:r>
      <w:r>
        <w:rPr>
          <w:rFonts w:ascii="Segoe UI" w:hAnsi="Segoe UI" w:cs="Segoe UI"/>
          <w:i/>
          <w:iCs/>
          <w:sz w:val="18"/>
          <w:szCs w:val="18"/>
        </w:rPr>
        <w:t>Clinical Lung Cancer</w:t>
      </w:r>
      <w:r>
        <w:rPr>
          <w:rFonts w:ascii="Segoe UI" w:hAnsi="Segoe UI" w:cs="Segoe UI"/>
          <w:sz w:val="18"/>
          <w:szCs w:val="18"/>
        </w:rPr>
        <w:t>, vol. 21(6), November, pp. 477-481.</w:t>
      </w:r>
    </w:p>
    <w:p w14:paraId="4A1BA21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126643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Uchimura, K, Yanase, K, Imabayashi, T, Takeyasu, Y, Furuse, H, Tanaka, M, Matsumoto, Y, Sasada, S &amp; Tsuchida, T 2021, 'The Impact of Core Tissues on Successful Next-Generation Sequencing Analysis of Specimens Obtained through Endobronchial Ultrasound-Guided Transbronchial Needle Aspiration', </w:t>
      </w:r>
      <w:r>
        <w:rPr>
          <w:rFonts w:ascii="Segoe UI" w:hAnsi="Segoe UI" w:cs="Segoe UI"/>
          <w:i/>
          <w:iCs/>
          <w:sz w:val="18"/>
          <w:szCs w:val="18"/>
        </w:rPr>
        <w:t>Cancers (Basel)</w:t>
      </w:r>
      <w:r>
        <w:rPr>
          <w:rFonts w:ascii="Segoe UI" w:hAnsi="Segoe UI" w:cs="Segoe UI"/>
          <w:sz w:val="18"/>
          <w:szCs w:val="18"/>
        </w:rPr>
        <w:t>, vol. 13, no. 23, Nov 23.</w:t>
      </w:r>
    </w:p>
    <w:p w14:paraId="58E032C1"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C07F19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VanderLaan, PA, Chen, Y, DiStasio, M, Rangachari, D, Costa, DB &amp; Heher, YK 2018, 'Molecular Testing Turnaround Time in Non-Small-Cell Lung Cancer: Monitoring a Moving Target', </w:t>
      </w:r>
      <w:r>
        <w:rPr>
          <w:rFonts w:ascii="Segoe UI" w:hAnsi="Segoe UI" w:cs="Segoe UI"/>
          <w:i/>
          <w:iCs/>
          <w:sz w:val="18"/>
          <w:szCs w:val="18"/>
        </w:rPr>
        <w:t>Clin Lung Cancer</w:t>
      </w:r>
      <w:r>
        <w:rPr>
          <w:rFonts w:ascii="Segoe UI" w:hAnsi="Segoe UI" w:cs="Segoe UI"/>
          <w:sz w:val="18"/>
          <w:szCs w:val="18"/>
        </w:rPr>
        <w:t>, vol. 19, no. 5, Sep, pp. e589-e590.</w:t>
      </w:r>
    </w:p>
    <w:p w14:paraId="47CC7278"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950310D"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Vigneswaran, J, Tan, YHC, Murgu, SD, Won, BM, Patton, KA, Villaflor, VM, Hoffman, PC, Hensing, T, Hogarth, DK, Malik, R, MacMahon, H, Mueller, J, Simon, CA, Vigneswaran, WT, Wigfield, CH, Ferguson, MK, Husain, AN, Vokes, EE &amp; Salgia, R 2016, 'Comprehensive genetic testing identifies targetable genomic alterations in most patients with non-small cell lung cancer, specifically adenocarcinoma, single institute investigation', </w:t>
      </w:r>
      <w:r>
        <w:rPr>
          <w:rFonts w:ascii="Segoe UI" w:hAnsi="Segoe UI" w:cs="Segoe UI"/>
          <w:i/>
          <w:iCs/>
          <w:sz w:val="18"/>
          <w:szCs w:val="18"/>
        </w:rPr>
        <w:t>Oncotarget</w:t>
      </w:r>
      <w:r>
        <w:rPr>
          <w:rFonts w:ascii="Segoe UI" w:hAnsi="Segoe UI" w:cs="Segoe UI"/>
          <w:sz w:val="18"/>
          <w:szCs w:val="18"/>
        </w:rPr>
        <w:t>, vol. 7(14), pp. 18876-18886.</w:t>
      </w:r>
    </w:p>
    <w:p w14:paraId="64766FD3"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Wen, S, Dai, L, Wang, L, Wang, W, Wu, D, He, Z, Wang, A, Chen, H, Zhang, P, Dong, X, Dong, YA, Wang, K, Yao, M &amp; Wang, M 2019, 'Genomic Signature of Driver Genes Identified by Target Next-Generation Sequencing in Chinese Non-Small Cell Lung Cancer', </w:t>
      </w:r>
      <w:r>
        <w:rPr>
          <w:rFonts w:ascii="Segoe UI" w:hAnsi="Segoe UI" w:cs="Segoe UI"/>
          <w:i/>
          <w:iCs/>
          <w:sz w:val="18"/>
          <w:szCs w:val="18"/>
        </w:rPr>
        <w:t>Oncologist</w:t>
      </w:r>
      <w:r>
        <w:rPr>
          <w:rFonts w:ascii="Segoe UI" w:hAnsi="Segoe UI" w:cs="Segoe UI"/>
          <w:sz w:val="18"/>
          <w:szCs w:val="18"/>
        </w:rPr>
        <w:t>, vol. 24(11), 01 Nov, pp. e1070-e1081.</w:t>
      </w:r>
    </w:p>
    <w:p w14:paraId="2EACE305"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98E09D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Zhang, M, Wang, Q, Ding, Y, Wang, G, Chu, Y, He, X, Wu, X, Shao, YW &amp; Lu, K 2018, 'CUX1-ALK, a Novel ALK Rearrangement That Responds to Crizotinib in Non-Small Cell Lung Cancer', </w:t>
      </w:r>
      <w:r>
        <w:rPr>
          <w:rFonts w:ascii="Segoe UI" w:hAnsi="Segoe UI" w:cs="Segoe UI"/>
          <w:i/>
          <w:iCs/>
          <w:sz w:val="18"/>
          <w:szCs w:val="18"/>
        </w:rPr>
        <w:t>Journal of Thoracic Oncology</w:t>
      </w:r>
      <w:r>
        <w:rPr>
          <w:rFonts w:ascii="Segoe UI" w:hAnsi="Segoe UI" w:cs="Segoe UI"/>
          <w:sz w:val="18"/>
          <w:szCs w:val="18"/>
        </w:rPr>
        <w:t>, vol. 13(11), November, pp. 1792-1797.</w:t>
      </w:r>
    </w:p>
    <w:p w14:paraId="191C3A79"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AFC04B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Zhao, JJ, Chan, HP, Soon, YY, Huang, Y, Soo, RA &amp; Kee, ACL 2022, 'A systematic review and meta-analysis of the adequacy of endobronchial ultrasound transbronchial needle aspiration for next-generation sequencing in patients with non-small cell lung cancer', </w:t>
      </w:r>
      <w:r>
        <w:rPr>
          <w:rFonts w:ascii="Segoe UI" w:hAnsi="Segoe UI" w:cs="Segoe UI"/>
          <w:i/>
          <w:iCs/>
          <w:sz w:val="18"/>
          <w:szCs w:val="18"/>
        </w:rPr>
        <w:t>Lung Cancer</w:t>
      </w:r>
      <w:r>
        <w:rPr>
          <w:rFonts w:ascii="Segoe UI" w:hAnsi="Segoe UI" w:cs="Segoe UI"/>
          <w:sz w:val="18"/>
          <w:szCs w:val="18"/>
        </w:rPr>
        <w:t>, vol. 166, April, pp. 17-26.</w:t>
      </w:r>
    </w:p>
    <w:p w14:paraId="614E4C6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3D6F15A"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Zhao, S, Zhang, Z, Zhan, J, Zhao, X, Chen, X, Xiao, L, Wu, K, Ma, Y, Li, M, Yang, Y, Fang, W, Zhao, H &amp; Zhang, L 2021, 'Utility of comprehensive genomic profiling in directing treatment and improving patient outcomes in advanced non-small cell lung cancer', </w:t>
      </w:r>
      <w:r>
        <w:rPr>
          <w:rFonts w:ascii="Segoe UI" w:hAnsi="Segoe UI" w:cs="Segoe UI"/>
          <w:i/>
          <w:iCs/>
          <w:sz w:val="18"/>
          <w:szCs w:val="18"/>
        </w:rPr>
        <w:t>BMC Medicine</w:t>
      </w:r>
      <w:r>
        <w:rPr>
          <w:rFonts w:ascii="Segoe UI" w:hAnsi="Segoe UI" w:cs="Segoe UI"/>
          <w:sz w:val="18"/>
          <w:szCs w:val="18"/>
        </w:rPr>
        <w:t>, vol. 19(1) (no pagination), no. 223, December.</w:t>
      </w:r>
    </w:p>
    <w:p w14:paraId="37F5D7EC"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6D69447C"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Zheng, J, Zhu, Y, Sun, K, Shen, Q, Wang, Y, Cao, H, Lizaso, A, Yu, B, Lin, J, Chen, S, Zhou, J &amp; Zhou, J 2020, 'Investigation on the prognostic impact of concurrent genomic alterations in crizotinib-treated EML4-ALK-rearranged advanced non-small cell lung cancer patients', </w:t>
      </w:r>
      <w:r>
        <w:rPr>
          <w:rFonts w:ascii="Segoe UI" w:hAnsi="Segoe UI" w:cs="Segoe UI"/>
          <w:i/>
          <w:iCs/>
          <w:sz w:val="18"/>
          <w:szCs w:val="18"/>
        </w:rPr>
        <w:t>Lung cancer (Amsterdam, Netherlands)</w:t>
      </w:r>
      <w:r>
        <w:rPr>
          <w:rFonts w:ascii="Segoe UI" w:hAnsi="Segoe UI" w:cs="Segoe UI"/>
          <w:sz w:val="18"/>
          <w:szCs w:val="18"/>
        </w:rPr>
        <w:t>, vol. 146, no. NA, pp. 209-216.</w:t>
      </w:r>
    </w:p>
    <w:p w14:paraId="7A753B6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E7425F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lastRenderedPageBreak/>
        <w:t xml:space="preserve">Zhu, YC, Zhou, YF, Wang, WX, Xu, CW, Zhuang, W, Du, KQ &amp; Chen, G 2018, 'CEP72-ROS1: A novel ROS1 oncogenic fusion variant in lung adenocarcinoma identified by next-generation sequencing', </w:t>
      </w:r>
      <w:r>
        <w:rPr>
          <w:rFonts w:ascii="Segoe UI" w:hAnsi="Segoe UI" w:cs="Segoe UI"/>
          <w:i/>
          <w:iCs/>
          <w:sz w:val="18"/>
          <w:szCs w:val="18"/>
        </w:rPr>
        <w:t>Thoracic Cancer</w:t>
      </w:r>
      <w:r>
        <w:rPr>
          <w:rFonts w:ascii="Segoe UI" w:hAnsi="Segoe UI" w:cs="Segoe UI"/>
          <w:sz w:val="18"/>
          <w:szCs w:val="18"/>
        </w:rPr>
        <w:t>, vol. 9(5), May, pp. 652-655.</w:t>
      </w:r>
    </w:p>
    <w:p w14:paraId="48E28A2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35DB6811"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Zhu, YJ, Qu, X, Zhan, DD, Chen, HH, Li, HP, Liu, LR, Chen, X, Liu, YH, Li, Y, Bai, JP, Ye, S &amp; Zhang, HB 2021, 'Specific Gene Co-variation Acts Better Than Number of Concomitant Altered Genes in Predicting EGFR-TKI Efficacy in Non-small-cell Lung Cancer', </w:t>
      </w:r>
      <w:r>
        <w:rPr>
          <w:rFonts w:ascii="Segoe UI" w:hAnsi="Segoe UI" w:cs="Segoe UI"/>
          <w:i/>
          <w:iCs/>
          <w:sz w:val="18"/>
          <w:szCs w:val="18"/>
        </w:rPr>
        <w:t>Clin Lung Cancer</w:t>
      </w:r>
      <w:r>
        <w:rPr>
          <w:rFonts w:ascii="Segoe UI" w:hAnsi="Segoe UI" w:cs="Segoe UI"/>
          <w:sz w:val="18"/>
          <w:szCs w:val="18"/>
        </w:rPr>
        <w:t>, vol. 22, no. 1, Jan, pp. e98-e111.</w:t>
      </w:r>
    </w:p>
    <w:p w14:paraId="3D3422DA"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1429D466" w14:textId="77777777" w:rsidR="00504E35" w:rsidRDefault="00504E35" w:rsidP="00504E35">
      <w:pPr>
        <w:pStyle w:val="Heading3"/>
      </w:pPr>
      <w:bookmarkStart w:id="292" w:name="_Toc148531207"/>
      <w:r>
        <w:t>Foreign language</w:t>
      </w:r>
      <w:bookmarkEnd w:id="292"/>
    </w:p>
    <w:p w14:paraId="23C6004F"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Deng, QH, Yang, HH, Tang, HL, Huang, LY, Zeng, WC &amp; Liu, LP 2022, 'Comparison of next-generation sequencing and Ventana IHC for detection of ALK-positive in non-small cell lung cancer patients. [Chinese]', (Alk.), </w:t>
      </w:r>
      <w:r>
        <w:rPr>
          <w:rFonts w:ascii="Segoe UI" w:hAnsi="Segoe UI" w:cs="Segoe UI"/>
          <w:i/>
          <w:iCs/>
          <w:sz w:val="18"/>
          <w:szCs w:val="18"/>
        </w:rPr>
        <w:t>Chinese Journal of Cancer Prevention and Treatment</w:t>
      </w:r>
      <w:r>
        <w:rPr>
          <w:rFonts w:ascii="Segoe UI" w:hAnsi="Segoe UI" w:cs="Segoe UI"/>
          <w:sz w:val="18"/>
          <w:szCs w:val="18"/>
        </w:rPr>
        <w:t>, vol. 29(1), 14 Jan, pp. 34-39 and 46.</w:t>
      </w:r>
    </w:p>
    <w:p w14:paraId="7E06937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D5421FB"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Endo, S, Mitsumura, T, Ishizuka, M, Honda, T, Sakakibara, R, Ikeda, S &amp; Miyazaki, Y 2020, 'A case report of a non-small-cell lung cancer patient who was EGFR-negative on a conventional test but was discovered to have an EGFR uncommon mutation on comprehensive genomic profiling and responded to afatinib. [Japanese]', </w:t>
      </w:r>
      <w:r>
        <w:rPr>
          <w:rFonts w:ascii="Segoe UI" w:hAnsi="Segoe UI" w:cs="Segoe UI"/>
          <w:i/>
          <w:iCs/>
          <w:sz w:val="18"/>
          <w:szCs w:val="18"/>
        </w:rPr>
        <w:t>Japanese Journal of Lung Cancer</w:t>
      </w:r>
      <w:r>
        <w:rPr>
          <w:rFonts w:ascii="Segoe UI" w:hAnsi="Segoe UI" w:cs="Segoe UI"/>
          <w:sz w:val="18"/>
          <w:szCs w:val="18"/>
        </w:rPr>
        <w:t>, vol. 60(5), 20 Oct, pp. 429-433.</w:t>
      </w:r>
    </w:p>
    <w:p w14:paraId="7FA88DCB"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0054AF5E"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Hernández-Pedro, N, Soca-Chafre, G, Alaez-Versón, C, Carrillo-Sánchez, K, Avilés-Salas, A, Vergara, E &amp; Arrieta, O 2019, 'Mutational profile by targeted next generation sequencing of non-small cell lung cancer in the Mexican population', </w:t>
      </w:r>
      <w:r>
        <w:rPr>
          <w:rFonts w:ascii="Segoe UI" w:hAnsi="Segoe UI" w:cs="Segoe UI"/>
          <w:i/>
          <w:iCs/>
          <w:sz w:val="18"/>
          <w:szCs w:val="18"/>
        </w:rPr>
        <w:t>Salud Publica Mex</w:t>
      </w:r>
      <w:r>
        <w:rPr>
          <w:rFonts w:ascii="Segoe UI" w:hAnsi="Segoe UI" w:cs="Segoe UI"/>
          <w:sz w:val="18"/>
          <w:szCs w:val="18"/>
        </w:rPr>
        <w:t>, vol. 61, no. 3, May-Jun, pp. 308-317.</w:t>
      </w:r>
    </w:p>
    <w:p w14:paraId="4BD85E1F"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469FB536"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Jiang, RR, Wang, YJ, Teng, XD, Xiao, L, Bu, H &amp; Ye, F 2018, 'Comparison of different massive parallel sequencing platforms for mutation profiling in formalin-fixed and paraffin-embedded samples. [Chinese]', </w:t>
      </w:r>
      <w:r>
        <w:rPr>
          <w:rFonts w:ascii="Segoe UI" w:hAnsi="Segoe UI" w:cs="Segoe UI"/>
          <w:i/>
          <w:iCs/>
          <w:sz w:val="18"/>
          <w:szCs w:val="18"/>
        </w:rPr>
        <w:t>Zhonghua bing li xue za zhi = Chinese journal of pathology</w:t>
      </w:r>
      <w:r>
        <w:rPr>
          <w:rFonts w:ascii="Segoe UI" w:hAnsi="Segoe UI" w:cs="Segoe UI"/>
          <w:sz w:val="18"/>
          <w:szCs w:val="18"/>
        </w:rPr>
        <w:t>, vol. 47(8), 08 Aug, pp. 591-596.</w:t>
      </w:r>
    </w:p>
    <w:p w14:paraId="77F7BAB2"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75C235F2"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Pompilio, G, Morabito, A, Cortinovis, DL &amp; Integlia, D 2022, 'Budget impact analysis of afatinib for first-line treatment of non-small cell lung cancer (NSCLC) patients with uncommon EGFR mutations. [Italian]', (Budget Impact di afatinib per il trattamento in prima linea del Non Small Cell Lung Cancer (NSCLC) con mutazioni non comuni EGFR.), </w:t>
      </w:r>
      <w:r>
        <w:rPr>
          <w:rFonts w:ascii="Segoe UI" w:hAnsi="Segoe UI" w:cs="Segoe UI"/>
          <w:i/>
          <w:iCs/>
          <w:sz w:val="18"/>
          <w:szCs w:val="18"/>
        </w:rPr>
        <w:t>Global and Regional Health Technology Assessment</w:t>
      </w:r>
      <w:r>
        <w:rPr>
          <w:rFonts w:ascii="Segoe UI" w:hAnsi="Segoe UI" w:cs="Segoe UI"/>
          <w:sz w:val="18"/>
          <w:szCs w:val="18"/>
        </w:rPr>
        <w:t>, vol. 9, January, pp. 22-29.</w:t>
      </w:r>
    </w:p>
    <w:p w14:paraId="369C8BB6"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2EA89644" w14:textId="77777777" w:rsidR="00504E35" w:rsidRDefault="00504E35" w:rsidP="00504E35">
      <w:pPr>
        <w:autoSpaceDE w:val="0"/>
        <w:autoSpaceDN w:val="0"/>
        <w:adjustRightInd w:val="0"/>
        <w:spacing w:before="0" w:after="0" w:line="240" w:lineRule="auto"/>
        <w:rPr>
          <w:rFonts w:ascii="Segoe UI" w:hAnsi="Segoe UI" w:cs="Segoe UI"/>
          <w:sz w:val="18"/>
          <w:szCs w:val="18"/>
        </w:rPr>
      </w:pPr>
      <w:r>
        <w:rPr>
          <w:rFonts w:ascii="Segoe UI" w:hAnsi="Segoe UI" w:cs="Segoe UI"/>
          <w:sz w:val="18"/>
          <w:szCs w:val="18"/>
        </w:rPr>
        <w:t xml:space="preserve">Uematsu, S, Mizutani, M, Ito, M, Takahashi, S, Fujiwara, N, Miyazato, W, Aoyagi, T, Tado, H, Shimada, T &amp; Nishizaka, Y 2022, 'A Retrospective Study of the Utility of the Oncomine™ Dx Target Test in Clinical Practice', </w:t>
      </w:r>
      <w:r>
        <w:rPr>
          <w:rFonts w:ascii="Segoe UI" w:hAnsi="Segoe UI" w:cs="Segoe UI"/>
          <w:i/>
          <w:iCs/>
          <w:sz w:val="18"/>
          <w:szCs w:val="18"/>
        </w:rPr>
        <w:t>Haigan</w:t>
      </w:r>
      <w:r>
        <w:rPr>
          <w:rFonts w:ascii="Segoe UI" w:hAnsi="Segoe UI" w:cs="Segoe UI"/>
          <w:sz w:val="18"/>
          <w:szCs w:val="18"/>
        </w:rPr>
        <w:t>, vol. 62, no. 1, pp. 26-32.</w:t>
      </w:r>
    </w:p>
    <w:p w14:paraId="14997DAE" w14:textId="77777777" w:rsidR="00504E35" w:rsidRDefault="00504E35" w:rsidP="00504E35">
      <w:pPr>
        <w:autoSpaceDE w:val="0"/>
        <w:autoSpaceDN w:val="0"/>
        <w:adjustRightInd w:val="0"/>
        <w:spacing w:before="0" w:after="0" w:line="240" w:lineRule="auto"/>
        <w:rPr>
          <w:rFonts w:ascii="Segoe UI" w:hAnsi="Segoe UI" w:cs="Segoe UI"/>
          <w:sz w:val="18"/>
          <w:szCs w:val="18"/>
        </w:rPr>
      </w:pPr>
    </w:p>
    <w:p w14:paraId="5F7740EB" w14:textId="77777777" w:rsidR="00504E35" w:rsidRPr="003251C2" w:rsidRDefault="00504E35" w:rsidP="00504E35">
      <w:pPr>
        <w:pStyle w:val="Instructionaltext"/>
      </w:pPr>
    </w:p>
    <w:p w14:paraId="32514EF4" w14:textId="77777777" w:rsidR="002C01BD" w:rsidRDefault="002C01BD" w:rsidP="00FD2F74">
      <w:pPr>
        <w:sectPr w:rsidR="002C01BD" w:rsidSect="00052DD3">
          <w:pgSz w:w="11906" w:h="16838"/>
          <w:pgMar w:top="1440" w:right="1440" w:bottom="1440" w:left="1440" w:header="708" w:footer="708" w:gutter="0"/>
          <w:cols w:space="708"/>
          <w:titlePg/>
          <w:docGrid w:linePitch="360"/>
        </w:sectPr>
      </w:pPr>
    </w:p>
    <w:p w14:paraId="6EAFA7CB" w14:textId="0CF51C74" w:rsidR="00F44895" w:rsidRDefault="00F44895" w:rsidP="00FD2F74"/>
    <w:p w14:paraId="7A6480A8" w14:textId="77B8914A" w:rsidR="002C01BD" w:rsidRDefault="002C01BD" w:rsidP="002C01BD">
      <w:pPr>
        <w:pStyle w:val="Heading1"/>
        <w:numPr>
          <w:ilvl w:val="0"/>
          <w:numId w:val="0"/>
        </w:numPr>
        <w:tabs>
          <w:tab w:val="left" w:pos="2835"/>
        </w:tabs>
        <w:ind w:left="2835" w:hanging="2835"/>
      </w:pPr>
      <w:bookmarkStart w:id="293" w:name="_Ref106359877"/>
      <w:bookmarkStart w:id="294" w:name="_Toc148531208"/>
      <w:r>
        <w:t xml:space="preserve">Appendix </w:t>
      </w:r>
      <w:fldSimple w:instr=" SEQ Appendix \* ALPHABETIC ">
        <w:r w:rsidR="00C857F3">
          <w:rPr>
            <w:noProof/>
          </w:rPr>
          <w:t>D</w:t>
        </w:r>
      </w:fldSimple>
      <w:bookmarkEnd w:id="293"/>
      <w:r>
        <w:tab/>
        <w:t>Additional details for Section 2</w:t>
      </w:r>
      <w:bookmarkEnd w:id="294"/>
    </w:p>
    <w:p w14:paraId="6670FEB8" w14:textId="2E054DDA" w:rsidR="00634F25" w:rsidRDefault="00634F25" w:rsidP="00634F25">
      <w:pPr>
        <w:pStyle w:val="NormalBeforeBullet"/>
      </w:pPr>
      <w:r>
        <w:t xml:space="preserve">In order for the main body of the report to be more succinct, further details are provided here on the studies included in the linked evidence assessment of small gene panel testing for NSCLC. </w:t>
      </w:r>
    </w:p>
    <w:p w14:paraId="76E994E7" w14:textId="0A3A2E86" w:rsidR="00634F25" w:rsidRDefault="00634F25" w:rsidP="00634F25">
      <w:pPr>
        <w:pStyle w:val="Heading2"/>
        <w:numPr>
          <w:ilvl w:val="0"/>
          <w:numId w:val="0"/>
        </w:numPr>
      </w:pPr>
      <w:bookmarkStart w:id="295" w:name="_Toc148531209"/>
      <w:r>
        <w:t>Linked evidence of test performance</w:t>
      </w:r>
      <w:bookmarkEnd w:id="295"/>
    </w:p>
    <w:p w14:paraId="46ACBBEA" w14:textId="598FA63F" w:rsidR="00B233D2" w:rsidRDefault="00634F25" w:rsidP="00634F25">
      <w:pPr>
        <w:pStyle w:val="Heading3"/>
        <w:rPr>
          <w:color w:val="258221"/>
        </w:rPr>
      </w:pPr>
      <w:bookmarkStart w:id="296" w:name="_Toc148531210"/>
      <w:r w:rsidRPr="00CE28E3">
        <w:t>Characteristics of the evidence base</w:t>
      </w:r>
      <w:bookmarkEnd w:id="296"/>
    </w:p>
    <w:p w14:paraId="6BB1E54F" w14:textId="38CB2822" w:rsidR="00B233D2" w:rsidRPr="007B391A" w:rsidRDefault="00B233D2" w:rsidP="00B233D2">
      <w:pPr>
        <w:pStyle w:val="Caption"/>
        <w:keepLines/>
        <w:ind w:left="1134" w:hanging="1134"/>
      </w:pPr>
      <w:bookmarkStart w:id="297" w:name="_Ref108535290"/>
      <w:r>
        <w:t xml:space="preserve">Table </w:t>
      </w:r>
      <w:r>
        <w:rPr>
          <w:noProof/>
        </w:rPr>
        <w:fldChar w:fldCharType="begin"/>
      </w:r>
      <w:r>
        <w:rPr>
          <w:noProof/>
        </w:rPr>
        <w:instrText xml:space="preserve"> SEQ Table \* ARABIC </w:instrText>
      </w:r>
      <w:r>
        <w:rPr>
          <w:noProof/>
        </w:rPr>
        <w:fldChar w:fldCharType="separate"/>
      </w:r>
      <w:r w:rsidR="00C857F3">
        <w:rPr>
          <w:noProof/>
        </w:rPr>
        <w:t>78</w:t>
      </w:r>
      <w:r>
        <w:rPr>
          <w:noProof/>
        </w:rPr>
        <w:fldChar w:fldCharType="end"/>
      </w:r>
      <w:bookmarkEnd w:id="297"/>
      <w:r>
        <w:tab/>
        <w:t xml:space="preserve">Key features of the included evidence test performance of NGS vs sequential </w:t>
      </w:r>
      <w:r w:rsidRPr="007F786A">
        <w:rPr>
          <w:i/>
        </w:rPr>
        <w:t>EGFR</w:t>
      </w:r>
      <w:r>
        <w:t xml:space="preserve">, </w:t>
      </w:r>
      <w:r w:rsidRPr="00547C61">
        <w:rPr>
          <w:i/>
        </w:rPr>
        <w:t>ALK</w:t>
      </w:r>
      <w:r>
        <w:t xml:space="preserve"> and </w:t>
      </w:r>
      <w:r w:rsidRPr="00547C61">
        <w:rPr>
          <w:i/>
        </w:rPr>
        <w:t>ROS1</w:t>
      </w:r>
      <w:r w:rsidR="00605EF4">
        <w:t xml:space="preserve"> testing </w:t>
      </w:r>
    </w:p>
    <w:tbl>
      <w:tblPr>
        <w:tblStyle w:val="TableGrid1"/>
        <w:tblW w:w="5000" w:type="pct"/>
        <w:tblCellMar>
          <w:left w:w="28" w:type="dxa"/>
          <w:right w:w="28" w:type="dxa"/>
        </w:tblCellMar>
        <w:tblLook w:val="04A0" w:firstRow="1" w:lastRow="0" w:firstColumn="1" w:lastColumn="0" w:noHBand="0" w:noVBand="1"/>
        <w:tblCaption w:val="Key features of the included evidence test performance of NGS vs sequential EGFR, ALK and ROS1 testing "/>
        <w:tblDescription w:val="Key features of the included evidence test performance of NGS vs sequential EGFR, ALK and ROS1 testing "/>
      </w:tblPr>
      <w:tblGrid>
        <w:gridCol w:w="1802"/>
        <w:gridCol w:w="597"/>
        <w:gridCol w:w="1637"/>
        <w:gridCol w:w="2131"/>
        <w:gridCol w:w="2232"/>
        <w:gridCol w:w="2681"/>
        <w:gridCol w:w="1596"/>
        <w:gridCol w:w="1272"/>
      </w:tblGrid>
      <w:tr w:rsidR="009B5315" w:rsidRPr="006865B3" w14:paraId="5843B794" w14:textId="77777777" w:rsidTr="006865B3">
        <w:trPr>
          <w:cnfStyle w:val="100000000000" w:firstRow="1" w:lastRow="0" w:firstColumn="0" w:lastColumn="0" w:oddVBand="0" w:evenVBand="0" w:oddHBand="0" w:evenHBand="0" w:firstRowFirstColumn="0" w:firstRowLastColumn="0" w:lastRowFirstColumn="0" w:lastRowLastColumn="0"/>
        </w:trPr>
        <w:tc>
          <w:tcPr>
            <w:tcW w:w="646" w:type="pct"/>
            <w:shd w:val="clear" w:color="auto" w:fill="auto"/>
          </w:tcPr>
          <w:p w14:paraId="22B6F7B8" w14:textId="77777777" w:rsidR="00B233D2" w:rsidRPr="006865B3" w:rsidRDefault="00B233D2" w:rsidP="006865B3">
            <w:pPr>
              <w:pStyle w:val="TableHeading"/>
              <w:keepLines/>
              <w:rPr>
                <w:snapToGrid w:val="0"/>
              </w:rPr>
            </w:pPr>
            <w:r w:rsidRPr="006865B3">
              <w:rPr>
                <w:snapToGrid w:val="0"/>
              </w:rPr>
              <w:t>Study</w:t>
            </w:r>
          </w:p>
        </w:tc>
        <w:tc>
          <w:tcPr>
            <w:tcW w:w="214" w:type="pct"/>
            <w:shd w:val="clear" w:color="auto" w:fill="auto"/>
          </w:tcPr>
          <w:p w14:paraId="604A1699" w14:textId="77777777" w:rsidR="00B233D2" w:rsidRPr="006865B3" w:rsidRDefault="00B233D2" w:rsidP="006865B3">
            <w:pPr>
              <w:pStyle w:val="TableHeading"/>
              <w:keepLines/>
              <w:rPr>
                <w:snapToGrid w:val="0"/>
              </w:rPr>
            </w:pPr>
            <w:r w:rsidRPr="006865B3">
              <w:rPr>
                <w:snapToGrid w:val="0"/>
              </w:rPr>
              <w:t>N</w:t>
            </w:r>
          </w:p>
        </w:tc>
        <w:tc>
          <w:tcPr>
            <w:tcW w:w="587" w:type="pct"/>
            <w:shd w:val="clear" w:color="auto" w:fill="auto"/>
          </w:tcPr>
          <w:p w14:paraId="1551D3BC" w14:textId="77777777" w:rsidR="00B233D2" w:rsidRPr="006865B3" w:rsidRDefault="00B233D2" w:rsidP="006865B3">
            <w:pPr>
              <w:pStyle w:val="TableHeading"/>
              <w:keepLines/>
              <w:rPr>
                <w:snapToGrid w:val="0"/>
              </w:rPr>
            </w:pPr>
            <w:r w:rsidRPr="006865B3">
              <w:rPr>
                <w:snapToGrid w:val="0"/>
              </w:rPr>
              <w:t>Design</w:t>
            </w:r>
          </w:p>
          <w:p w14:paraId="7F349934" w14:textId="77777777" w:rsidR="00B233D2" w:rsidRPr="006865B3" w:rsidRDefault="00B233D2" w:rsidP="006865B3">
            <w:pPr>
              <w:pStyle w:val="TableHeading"/>
              <w:keepLines/>
              <w:rPr>
                <w:snapToGrid w:val="0"/>
              </w:rPr>
            </w:pPr>
            <w:r w:rsidRPr="006865B3">
              <w:rPr>
                <w:snapToGrid w:val="0"/>
              </w:rPr>
              <w:t>Risk of bias</w:t>
            </w:r>
          </w:p>
        </w:tc>
        <w:tc>
          <w:tcPr>
            <w:tcW w:w="764" w:type="pct"/>
            <w:shd w:val="clear" w:color="auto" w:fill="auto"/>
          </w:tcPr>
          <w:p w14:paraId="1FE64BCA" w14:textId="77777777" w:rsidR="00B233D2" w:rsidRPr="006865B3" w:rsidRDefault="00B233D2" w:rsidP="006865B3">
            <w:pPr>
              <w:pStyle w:val="TableHeading"/>
              <w:keepLines/>
              <w:rPr>
                <w:snapToGrid w:val="0"/>
              </w:rPr>
            </w:pPr>
            <w:r w:rsidRPr="006865B3">
              <w:rPr>
                <w:snapToGrid w:val="0"/>
              </w:rPr>
              <w:t>Patient population</w:t>
            </w:r>
          </w:p>
        </w:tc>
        <w:tc>
          <w:tcPr>
            <w:tcW w:w="800" w:type="pct"/>
          </w:tcPr>
          <w:p w14:paraId="60F64D70" w14:textId="77777777" w:rsidR="00B233D2" w:rsidRPr="006865B3" w:rsidRDefault="00B233D2" w:rsidP="006865B3">
            <w:pPr>
              <w:pStyle w:val="TableHeading"/>
              <w:keepLines/>
              <w:rPr>
                <w:snapToGrid w:val="0"/>
              </w:rPr>
            </w:pPr>
            <w:r w:rsidRPr="006865B3">
              <w:rPr>
                <w:snapToGrid w:val="0"/>
              </w:rPr>
              <w:t>Intervention</w:t>
            </w:r>
          </w:p>
        </w:tc>
        <w:tc>
          <w:tcPr>
            <w:tcW w:w="961" w:type="pct"/>
          </w:tcPr>
          <w:p w14:paraId="64059F59" w14:textId="77777777" w:rsidR="00B233D2" w:rsidRPr="006865B3" w:rsidRDefault="00B233D2" w:rsidP="006865B3">
            <w:pPr>
              <w:pStyle w:val="TableHeading"/>
              <w:keepLines/>
              <w:rPr>
                <w:snapToGrid w:val="0"/>
              </w:rPr>
            </w:pPr>
            <w:r w:rsidRPr="006865B3">
              <w:rPr>
                <w:snapToGrid w:val="0"/>
              </w:rPr>
              <w:t>Comparator</w:t>
            </w:r>
          </w:p>
        </w:tc>
        <w:tc>
          <w:tcPr>
            <w:tcW w:w="572" w:type="pct"/>
            <w:shd w:val="clear" w:color="auto" w:fill="auto"/>
          </w:tcPr>
          <w:p w14:paraId="46BEF51E" w14:textId="77777777" w:rsidR="00B233D2" w:rsidRPr="006865B3" w:rsidRDefault="00B233D2" w:rsidP="006865B3">
            <w:pPr>
              <w:pStyle w:val="TableHeading"/>
              <w:keepLines/>
              <w:rPr>
                <w:snapToGrid w:val="0"/>
              </w:rPr>
            </w:pPr>
            <w:r w:rsidRPr="006865B3">
              <w:rPr>
                <w:snapToGrid w:val="0"/>
              </w:rPr>
              <w:t>Key outcome(s)</w:t>
            </w:r>
          </w:p>
        </w:tc>
        <w:tc>
          <w:tcPr>
            <w:tcW w:w="456" w:type="pct"/>
            <w:shd w:val="clear" w:color="auto" w:fill="auto"/>
          </w:tcPr>
          <w:p w14:paraId="26CE6D4C" w14:textId="77777777" w:rsidR="00B233D2" w:rsidRPr="006865B3" w:rsidRDefault="00B233D2" w:rsidP="006865B3">
            <w:pPr>
              <w:pStyle w:val="TableHeading"/>
              <w:keepLines/>
              <w:rPr>
                <w:snapToGrid w:val="0"/>
              </w:rPr>
            </w:pPr>
            <w:r w:rsidRPr="006865B3">
              <w:rPr>
                <w:snapToGrid w:val="0"/>
              </w:rPr>
              <w:t>Result used in economic model</w:t>
            </w:r>
          </w:p>
        </w:tc>
      </w:tr>
      <w:tr w:rsidR="009B5315" w:rsidRPr="006865B3" w14:paraId="49033311" w14:textId="77777777" w:rsidTr="006865B3">
        <w:tc>
          <w:tcPr>
            <w:tcW w:w="646" w:type="pct"/>
            <w:shd w:val="clear" w:color="auto" w:fill="auto"/>
          </w:tcPr>
          <w:p w14:paraId="38E680BB" w14:textId="606A35FF" w:rsidR="00B233D2" w:rsidRPr="006865B3" w:rsidRDefault="00B4668F" w:rsidP="006865B3">
            <w:pPr>
              <w:pStyle w:val="TableText"/>
            </w:pP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 </w:instrText>
            </w:r>
            <w:r>
              <w:fldChar w:fldCharType="begin">
                <w:fldData xml:space="preserve">PEVuZE5vdGU+PENpdGU+PEF1dGhvcj5BbGk8L0F1dGhvcj48WWVhcj4yMDE2PC9ZZWFyPjxSZWNO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</w:fldData>
              </w:fldChar>
            </w:r>
            <w:r>
              <w:instrText xml:space="preserve"> ADDIN EN.CITE.DATA </w:instrText>
            </w:r>
            <w:r>
              <w:fldChar w:fldCharType="end"/>
            </w:r>
            <w:r>
              <w:fldChar w:fldCharType="separate"/>
            </w:r>
            <w:r>
              <w:rPr>
                <w:noProof/>
              </w:rPr>
              <w:t>(Ali et al. 2016)</w:t>
            </w:r>
            <w:r>
              <w:fldChar w:fldCharType="end"/>
            </w:r>
          </w:p>
          <w:p w14:paraId="7DE56936" w14:textId="77777777" w:rsidR="00B233D2" w:rsidRPr="006865B3" w:rsidRDefault="00B233D2" w:rsidP="006865B3">
            <w:pPr>
              <w:pStyle w:val="TableText"/>
              <w:rPr>
                <w:snapToGrid w:val="0"/>
              </w:rPr>
            </w:pPr>
            <w:r w:rsidRPr="006865B3">
              <w:t>United States</w:t>
            </w:r>
          </w:p>
        </w:tc>
        <w:tc>
          <w:tcPr>
            <w:tcW w:w="214" w:type="pct"/>
            <w:shd w:val="clear" w:color="auto" w:fill="auto"/>
          </w:tcPr>
          <w:p w14:paraId="6502304E" w14:textId="77777777" w:rsidR="00B233D2" w:rsidRPr="006865B3" w:rsidRDefault="00B233D2" w:rsidP="006865B3">
            <w:pPr>
              <w:pStyle w:val="TableText"/>
              <w:rPr>
                <w:snapToGrid w:val="0"/>
              </w:rPr>
            </w:pPr>
            <w:r w:rsidRPr="006865B3">
              <w:rPr>
                <w:snapToGrid w:val="0"/>
              </w:rPr>
              <w:t>45</w:t>
            </w:r>
          </w:p>
        </w:tc>
        <w:tc>
          <w:tcPr>
            <w:tcW w:w="587" w:type="pct"/>
            <w:shd w:val="clear" w:color="auto" w:fill="auto"/>
          </w:tcPr>
          <w:p w14:paraId="20040B90" w14:textId="77777777" w:rsidR="00B233D2" w:rsidRPr="006865B3" w:rsidRDefault="00B233D2" w:rsidP="006865B3">
            <w:pPr>
              <w:pStyle w:val="Tabletext0"/>
              <w:spacing w:before="0" w:after="120"/>
              <w:jc w:val="left"/>
            </w:pPr>
            <w:r w:rsidRPr="006865B3">
              <w:t>Retrospective cohort study</w:t>
            </w:r>
          </w:p>
          <w:p w14:paraId="563C4404" w14:textId="77777777" w:rsidR="00B233D2" w:rsidRPr="006865B3" w:rsidRDefault="00B233D2" w:rsidP="006865B3">
            <w:pPr>
              <w:pStyle w:val="Tabletext0"/>
              <w:spacing w:before="0" w:after="120"/>
              <w:jc w:val="left"/>
            </w:pPr>
            <w:r w:rsidRPr="006865B3">
              <w:t xml:space="preserve">Level III-2 </w:t>
            </w:r>
          </w:p>
          <w:p w14:paraId="610A29D7" w14:textId="77777777" w:rsidR="00B233D2" w:rsidRPr="006865B3" w:rsidRDefault="00B233D2" w:rsidP="006865B3">
            <w:pPr>
              <w:pStyle w:val="Tabletext0"/>
              <w:spacing w:before="0" w:after="120"/>
              <w:jc w:val="left"/>
            </w:pPr>
            <w:r w:rsidRPr="006865B3">
              <w:t>Moderate risk of bias</w:t>
            </w:r>
          </w:p>
        </w:tc>
        <w:tc>
          <w:tcPr>
            <w:tcW w:w="764" w:type="pct"/>
            <w:shd w:val="clear" w:color="auto" w:fill="auto"/>
          </w:tcPr>
          <w:p w14:paraId="0A85EC3D" w14:textId="77777777" w:rsidR="00B233D2" w:rsidRDefault="00B233D2" w:rsidP="006865B3">
            <w:pPr>
              <w:pStyle w:val="Tabletext0"/>
              <w:spacing w:before="0" w:after="120"/>
              <w:jc w:val="left"/>
            </w:pPr>
            <w:r w:rsidRPr="006865B3">
              <w:t>Patients with advanced lung carcinoma who were assayed during course of clinical care</w:t>
            </w:r>
          </w:p>
          <w:p w14:paraId="5DF3F585" w14:textId="2D733536" w:rsidR="00493B19" w:rsidRPr="006865B3" w:rsidRDefault="00493B19" w:rsidP="006865B3">
            <w:pPr>
              <w:pStyle w:val="Tabletext0"/>
              <w:spacing w:before="0" w:after="120"/>
              <w:jc w:val="left"/>
            </w:pPr>
          </w:p>
        </w:tc>
        <w:tc>
          <w:tcPr>
            <w:tcW w:w="800" w:type="pct"/>
          </w:tcPr>
          <w:p w14:paraId="731ED60A" w14:textId="77777777" w:rsidR="00B233D2" w:rsidRPr="006865B3" w:rsidRDefault="00B233D2" w:rsidP="006865B3">
            <w:pPr>
              <w:pStyle w:val="TableText"/>
              <w:rPr>
                <w:snapToGrid w:val="0"/>
              </w:rPr>
            </w:pPr>
            <w:r w:rsidRPr="006865B3">
              <w:t>Hybrid-capture based CGP using NGS, 236 cancer related genes, plus 47 introns from 19 genes frequently rearranged in cancer</w:t>
            </w:r>
          </w:p>
        </w:tc>
        <w:tc>
          <w:tcPr>
            <w:tcW w:w="961" w:type="pct"/>
          </w:tcPr>
          <w:p w14:paraId="41E6271A" w14:textId="77777777" w:rsidR="00B233D2" w:rsidRDefault="00B233D2" w:rsidP="006865B3">
            <w:pPr>
              <w:pStyle w:val="TableText"/>
            </w:pPr>
            <w:r w:rsidRPr="006865B3">
              <w:rPr>
                <w:i/>
              </w:rPr>
              <w:t>ALK</w:t>
            </w:r>
            <w:r w:rsidRPr="006865B3">
              <w:t xml:space="preserve"> FISH testing</w:t>
            </w:r>
          </w:p>
          <w:p w14:paraId="01063EF7" w14:textId="56826DA1" w:rsidR="00237745" w:rsidRPr="006865B3" w:rsidRDefault="00237745" w:rsidP="006865B3">
            <w:pPr>
              <w:pStyle w:val="TableText"/>
              <w:rPr>
                <w:snapToGrid w:val="0"/>
              </w:rPr>
            </w:pPr>
            <w:r>
              <w:t xml:space="preserve">Definition of positivity unclear, although stated those positive had pools representing fractions ranging from 20% to 100% of fusions. </w:t>
            </w:r>
          </w:p>
        </w:tc>
        <w:tc>
          <w:tcPr>
            <w:tcW w:w="572" w:type="pct"/>
            <w:shd w:val="clear" w:color="auto" w:fill="auto"/>
          </w:tcPr>
          <w:p w14:paraId="67AA2A9F" w14:textId="77777777" w:rsidR="00B233D2" w:rsidRPr="006865B3" w:rsidRDefault="00B233D2" w:rsidP="006865B3">
            <w:pPr>
              <w:pStyle w:val="TableText"/>
              <w:rPr>
                <w:snapToGrid w:val="0"/>
              </w:rPr>
            </w:pPr>
            <w:r w:rsidRPr="006865B3">
              <w:rPr>
                <w:snapToGrid w:val="0"/>
              </w:rPr>
              <w:t xml:space="preserve">Concordance for </w:t>
            </w:r>
            <w:r w:rsidRPr="006865B3">
              <w:rPr>
                <w:i/>
                <w:snapToGrid w:val="0"/>
              </w:rPr>
              <w:t>ALK</w:t>
            </w:r>
          </w:p>
        </w:tc>
        <w:tc>
          <w:tcPr>
            <w:tcW w:w="456" w:type="pct"/>
            <w:shd w:val="clear" w:color="auto" w:fill="auto"/>
          </w:tcPr>
          <w:p w14:paraId="06320C01" w14:textId="437AFB7E" w:rsidR="00B233D2" w:rsidRPr="006865B3" w:rsidRDefault="00504E35" w:rsidP="006865B3">
            <w:pPr>
              <w:pStyle w:val="TableText"/>
              <w:rPr>
                <w:snapToGrid w:val="0"/>
              </w:rPr>
            </w:pPr>
            <w:r>
              <w:rPr>
                <w:snapToGrid w:val="0"/>
              </w:rPr>
              <w:t>Yes</w:t>
            </w:r>
          </w:p>
        </w:tc>
      </w:tr>
      <w:tr w:rsidR="009B5315" w:rsidRPr="006865B3" w14:paraId="3F1BA51A" w14:textId="77777777" w:rsidTr="006865B3">
        <w:tc>
          <w:tcPr>
            <w:tcW w:w="646" w:type="pct"/>
            <w:shd w:val="clear" w:color="auto" w:fill="auto"/>
          </w:tcPr>
          <w:p w14:paraId="1ACAEF91" w14:textId="5D30FBE6" w:rsidR="00B233D2" w:rsidRPr="006865B3" w:rsidRDefault="00B4668F" w:rsidP="006865B3">
            <w:pPr>
              <w:spacing w:before="0"/>
              <w:rPr>
                <w:rFonts w:ascii="Arial Narrow" w:hAnsi="Arial Narrow"/>
              </w:rPr>
            </w:pPr>
            <w:r>
              <w:rPr>
                <w:rFonts w:ascii="Arial Narrow" w:hAnsi="Arial Narrow"/>
              </w:rPr>
              <w:fldChar w:fldCharType="begin">
                <w:fldData xml:space="preserve">PEVuZE5vdGU+PENpdGU+PEF1dGhvcj5Bcml5YXN1PC9BdXRob3I+PFllYXI+MjAyMTwvWWVhcj48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</w:fldData>
              </w:fldChar>
            </w:r>
            <w:r>
              <w:rPr>
                <w:rFonts w:ascii="Arial Narrow" w:hAnsi="Arial Narrow"/>
              </w:rPr>
              <w:instrText xml:space="preserve"> ADDIN EN.CITE </w:instrText>
            </w:r>
            <w:r>
              <w:rPr>
                <w:rFonts w:ascii="Arial Narrow" w:hAnsi="Arial Narrow"/>
              </w:rPr>
              <w:fldChar w:fldCharType="begin">
                <w:fldData xml:space="preserve">PEVuZE5vdGU+PENpdGU+PEF1dGhvcj5Bcml5YXN1PC9BdXRob3I+PFllYXI+MjAyMTwvWWVhcj48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(Ariyasu et al. 2021)</w:t>
            </w:r>
            <w:r>
              <w:rPr>
                <w:rFonts w:ascii="Arial Narrow" w:hAnsi="Arial Narrow"/>
              </w:rPr>
              <w:fldChar w:fldCharType="end"/>
            </w:r>
          </w:p>
          <w:p w14:paraId="76553FBA" w14:textId="77777777" w:rsidR="00B233D2" w:rsidRPr="006865B3" w:rsidRDefault="00B233D2" w:rsidP="006865B3">
            <w:pPr>
              <w:spacing w:before="0"/>
              <w:rPr>
                <w:rFonts w:ascii="Arial Narrow" w:hAnsi="Arial Narrow" w:cs="Calibri"/>
                <w:color w:val="000000"/>
              </w:rPr>
            </w:pPr>
            <w:r w:rsidRPr="006865B3">
              <w:rPr>
                <w:rFonts w:ascii="Arial Narrow" w:hAnsi="Arial Narrow"/>
              </w:rPr>
              <w:t>Japan</w:t>
            </w:r>
          </w:p>
        </w:tc>
        <w:tc>
          <w:tcPr>
            <w:tcW w:w="214" w:type="pct"/>
            <w:shd w:val="clear" w:color="auto" w:fill="auto"/>
          </w:tcPr>
          <w:p w14:paraId="3F7AA94C" w14:textId="77777777" w:rsidR="00B233D2" w:rsidRPr="006865B3" w:rsidRDefault="00B233D2" w:rsidP="006865B3">
            <w:pPr>
              <w:pStyle w:val="TableText"/>
              <w:rPr>
                <w:snapToGrid w:val="0"/>
              </w:rPr>
            </w:pPr>
            <w:r w:rsidRPr="006865B3">
              <w:rPr>
                <w:snapToGrid w:val="0"/>
              </w:rPr>
              <w:t>167</w:t>
            </w:r>
          </w:p>
        </w:tc>
        <w:tc>
          <w:tcPr>
            <w:tcW w:w="587" w:type="pct"/>
            <w:shd w:val="clear" w:color="auto" w:fill="auto"/>
          </w:tcPr>
          <w:p w14:paraId="5FBDA3A5" w14:textId="77777777" w:rsidR="00B233D2" w:rsidRPr="006865B3" w:rsidRDefault="00B233D2" w:rsidP="006865B3">
            <w:pPr>
              <w:pStyle w:val="Tabletext0"/>
              <w:spacing w:before="0" w:after="120"/>
              <w:jc w:val="left"/>
            </w:pPr>
            <w:r w:rsidRPr="006865B3">
              <w:t>Retrospective cohort study</w:t>
            </w:r>
          </w:p>
          <w:p w14:paraId="093BE562" w14:textId="77777777" w:rsidR="00B233D2" w:rsidRPr="006865B3" w:rsidRDefault="00B233D2" w:rsidP="006865B3">
            <w:pPr>
              <w:pStyle w:val="Tabletext0"/>
              <w:spacing w:before="0" w:after="120"/>
              <w:jc w:val="left"/>
            </w:pPr>
            <w:r w:rsidRPr="006865B3">
              <w:t xml:space="preserve">Level III-2 </w:t>
            </w:r>
          </w:p>
          <w:p w14:paraId="59DB9E6B" w14:textId="77777777" w:rsidR="00B233D2" w:rsidRPr="006865B3" w:rsidRDefault="00B233D2" w:rsidP="006865B3">
            <w:pPr>
              <w:pStyle w:val="TableText"/>
              <w:rPr>
                <w:snapToGrid w:val="0"/>
              </w:rPr>
            </w:pPr>
            <w:r w:rsidRPr="006865B3">
              <w:t>Low to moderate risk of bias</w:t>
            </w:r>
          </w:p>
        </w:tc>
        <w:tc>
          <w:tcPr>
            <w:tcW w:w="764" w:type="pct"/>
            <w:shd w:val="clear" w:color="auto" w:fill="auto"/>
          </w:tcPr>
          <w:p w14:paraId="59594317" w14:textId="77777777" w:rsidR="00B233D2" w:rsidRPr="006865B3" w:rsidRDefault="00B233D2" w:rsidP="006865B3">
            <w:pPr>
              <w:pStyle w:val="Tabletext0"/>
              <w:spacing w:before="0" w:after="120"/>
              <w:jc w:val="left"/>
            </w:pPr>
            <w:r w:rsidRPr="006865B3">
              <w:t>Consecutive patients with advanced NSCLC</w:t>
            </w:r>
          </w:p>
          <w:p w14:paraId="506FA97D" w14:textId="77777777" w:rsidR="00B233D2" w:rsidRPr="006865B3" w:rsidRDefault="00B233D2" w:rsidP="006865B3">
            <w:pPr>
              <w:pStyle w:val="TableText"/>
              <w:rPr>
                <w:snapToGrid w:val="0"/>
              </w:rPr>
            </w:pPr>
            <w:r w:rsidRPr="006865B3">
              <w:t>Samples obtained through biopsy, surgical resection or other</w:t>
            </w:r>
          </w:p>
        </w:tc>
        <w:tc>
          <w:tcPr>
            <w:tcW w:w="800" w:type="pct"/>
          </w:tcPr>
          <w:p w14:paraId="66C5FBF8" w14:textId="77777777" w:rsidR="00B233D2" w:rsidRPr="006865B3" w:rsidRDefault="00B233D2" w:rsidP="006865B3">
            <w:pPr>
              <w:pStyle w:val="TableText"/>
              <w:rPr>
                <w:snapToGrid w:val="0"/>
              </w:rPr>
            </w:pPr>
            <w:r w:rsidRPr="006865B3">
              <w:t>NGS based test for four driver genes and 42 other mutations for research use</w:t>
            </w:r>
          </w:p>
        </w:tc>
        <w:tc>
          <w:tcPr>
            <w:tcW w:w="961" w:type="pct"/>
          </w:tcPr>
          <w:p w14:paraId="546057F2" w14:textId="77777777" w:rsidR="00B233D2" w:rsidRPr="006865B3" w:rsidRDefault="00B233D2" w:rsidP="006865B3">
            <w:pPr>
              <w:pStyle w:val="Tabletext0"/>
              <w:spacing w:before="0" w:after="120"/>
              <w:jc w:val="left"/>
            </w:pPr>
            <w:r w:rsidRPr="006865B3">
              <w:t>ALK IHC</w:t>
            </w:r>
          </w:p>
          <w:p w14:paraId="0F1ACC9D" w14:textId="77777777" w:rsidR="00B233D2" w:rsidRPr="006865B3" w:rsidRDefault="00B233D2" w:rsidP="006865B3">
            <w:pPr>
              <w:pStyle w:val="TableText"/>
              <w:rPr>
                <w:snapToGrid w:val="0"/>
              </w:rPr>
            </w:pPr>
            <w:r w:rsidRPr="006865B3">
              <w:t>Cobas EGFR</w:t>
            </w:r>
          </w:p>
        </w:tc>
        <w:tc>
          <w:tcPr>
            <w:tcW w:w="572" w:type="pct"/>
            <w:shd w:val="clear" w:color="auto" w:fill="auto"/>
          </w:tcPr>
          <w:p w14:paraId="45939CE1" w14:textId="77777777" w:rsidR="00B233D2" w:rsidRPr="006865B3" w:rsidRDefault="00B233D2" w:rsidP="006865B3">
            <w:pPr>
              <w:pStyle w:val="TableText"/>
              <w:rPr>
                <w:i/>
                <w:snapToGrid w:val="0"/>
              </w:rPr>
            </w:pPr>
            <w:r w:rsidRPr="006865B3">
              <w:rPr>
                <w:snapToGrid w:val="0"/>
              </w:rPr>
              <w:t xml:space="preserve">Concordance for </w:t>
            </w:r>
            <w:r w:rsidRPr="006865B3">
              <w:rPr>
                <w:i/>
                <w:snapToGrid w:val="0"/>
              </w:rPr>
              <w:t>EGFR</w:t>
            </w:r>
          </w:p>
          <w:p w14:paraId="12285384" w14:textId="223EC87A" w:rsidR="00AD1F21" w:rsidRPr="006865B3" w:rsidRDefault="00AD1F21" w:rsidP="006865B3">
            <w:pPr>
              <w:pStyle w:val="TableText"/>
              <w:rPr>
                <w:snapToGrid w:val="0"/>
              </w:rPr>
            </w:pPr>
            <w:r w:rsidRPr="006865B3">
              <w:rPr>
                <w:snapToGrid w:val="0"/>
              </w:rPr>
              <w:t>Turnaround time</w:t>
            </w:r>
          </w:p>
        </w:tc>
        <w:tc>
          <w:tcPr>
            <w:tcW w:w="456" w:type="pct"/>
            <w:shd w:val="clear" w:color="auto" w:fill="auto"/>
          </w:tcPr>
          <w:p w14:paraId="3018B670" w14:textId="31CCCF68" w:rsidR="00B233D2" w:rsidRPr="006865B3" w:rsidRDefault="00504E35" w:rsidP="006865B3">
            <w:pPr>
              <w:pStyle w:val="TableText"/>
              <w:rPr>
                <w:snapToGrid w:val="0"/>
              </w:rPr>
            </w:pPr>
            <w:r>
              <w:rPr>
                <w:snapToGrid w:val="0"/>
              </w:rPr>
              <w:t>Yes</w:t>
            </w:r>
          </w:p>
        </w:tc>
      </w:tr>
      <w:tr w:rsidR="009B5315" w:rsidRPr="006865B3" w14:paraId="7E3A50D3" w14:textId="77777777" w:rsidTr="006865B3">
        <w:tc>
          <w:tcPr>
            <w:tcW w:w="646" w:type="pct"/>
            <w:shd w:val="clear" w:color="auto" w:fill="auto"/>
          </w:tcPr>
          <w:p w14:paraId="2299BC0D" w14:textId="47B737AC" w:rsidR="00B233D2" w:rsidRPr="006865B3" w:rsidRDefault="00B4668F" w:rsidP="006865B3">
            <w:pPr>
              <w:pStyle w:val="TableText"/>
            </w:pPr>
            <w:r>
              <w:fldChar w:fldCharType="begin">
                <w:fldData xml:space="preserve">PEVuZE5vdGU+PENpdGU+PEF1dGhvcj5CYXRyYTwvQXV0aG9yPjxZZWFyPjIwMjE8L1llYXI+PFJl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</w:fldData>
              </w:fldChar>
            </w:r>
            <w:r>
              <w:instrText xml:space="preserve"> ADDIN EN.CITE </w:instrText>
            </w:r>
            <w:r>
              <w:fldChar w:fldCharType="begin">
                <w:fldData xml:space="preserve">PEVuZE5vdGU+PENpdGU+PEF1dGhvcj5CYXRyYTwvQXV0aG9yPjxZZWFyPjIwMjE8L1llYXI+PFJl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</w:fldData>
              </w:fldChar>
            </w:r>
            <w:r>
              <w:instrText xml:space="preserve"> ADDIN EN.CITE.DATA </w:instrText>
            </w:r>
            <w:r>
              <w:fldChar w:fldCharType="end"/>
            </w:r>
            <w:r>
              <w:fldChar w:fldCharType="separate"/>
            </w:r>
            <w:r>
              <w:rPr>
                <w:noProof/>
              </w:rPr>
              <w:t>(Batra et al. 2021)</w:t>
            </w:r>
            <w:r>
              <w:fldChar w:fldCharType="end"/>
            </w:r>
          </w:p>
          <w:p w14:paraId="7ECFFDE2" w14:textId="77777777" w:rsidR="00B233D2" w:rsidRPr="006865B3" w:rsidRDefault="00B233D2" w:rsidP="006865B3">
            <w:pPr>
              <w:pStyle w:val="TableText"/>
              <w:rPr>
                <w:snapToGrid w:val="0"/>
              </w:rPr>
            </w:pPr>
            <w:r w:rsidRPr="006865B3">
              <w:t>India</w:t>
            </w:r>
          </w:p>
        </w:tc>
        <w:tc>
          <w:tcPr>
            <w:tcW w:w="214" w:type="pct"/>
            <w:shd w:val="clear" w:color="auto" w:fill="auto"/>
          </w:tcPr>
          <w:p w14:paraId="0C4BCC07" w14:textId="77777777" w:rsidR="00B233D2" w:rsidRPr="006865B3" w:rsidRDefault="00B233D2" w:rsidP="006865B3">
            <w:pPr>
              <w:pStyle w:val="TableText"/>
              <w:rPr>
                <w:snapToGrid w:val="0"/>
              </w:rPr>
            </w:pPr>
            <w:r w:rsidRPr="006865B3">
              <w:rPr>
                <w:snapToGrid w:val="0"/>
              </w:rPr>
              <w:t>58</w:t>
            </w:r>
          </w:p>
        </w:tc>
        <w:tc>
          <w:tcPr>
            <w:tcW w:w="587" w:type="pct"/>
            <w:shd w:val="clear" w:color="auto" w:fill="auto"/>
          </w:tcPr>
          <w:p w14:paraId="52DEE502" w14:textId="77777777" w:rsidR="00B233D2" w:rsidRPr="006865B3" w:rsidRDefault="00B233D2" w:rsidP="006865B3">
            <w:pPr>
              <w:pStyle w:val="Tabletext0"/>
              <w:spacing w:before="0" w:after="120"/>
              <w:jc w:val="left"/>
            </w:pPr>
            <w:r w:rsidRPr="006865B3">
              <w:t>Prospective cohort study</w:t>
            </w:r>
          </w:p>
          <w:p w14:paraId="4C046DF8" w14:textId="77777777" w:rsidR="00B233D2" w:rsidRPr="006865B3" w:rsidRDefault="00B233D2" w:rsidP="006865B3">
            <w:pPr>
              <w:pStyle w:val="Tabletext0"/>
              <w:spacing w:before="0" w:after="120"/>
              <w:jc w:val="left"/>
            </w:pPr>
            <w:r w:rsidRPr="006865B3">
              <w:lastRenderedPageBreak/>
              <w:t>Level III-2</w:t>
            </w:r>
          </w:p>
          <w:p w14:paraId="60FBA0AD" w14:textId="77777777" w:rsidR="00B233D2" w:rsidRPr="006865B3" w:rsidRDefault="00B233D2" w:rsidP="006865B3">
            <w:pPr>
              <w:pStyle w:val="Tabletext0"/>
              <w:spacing w:before="0" w:after="120"/>
              <w:jc w:val="left"/>
            </w:pPr>
            <w:r w:rsidRPr="006865B3">
              <w:t>Moderate to high risk of bias</w:t>
            </w:r>
          </w:p>
        </w:tc>
        <w:tc>
          <w:tcPr>
            <w:tcW w:w="764" w:type="pct"/>
            <w:shd w:val="clear" w:color="auto" w:fill="auto"/>
          </w:tcPr>
          <w:p w14:paraId="30500808" w14:textId="77777777" w:rsidR="00B233D2" w:rsidRPr="006865B3" w:rsidRDefault="00B233D2" w:rsidP="006865B3">
            <w:pPr>
              <w:pStyle w:val="Tabletext0"/>
              <w:spacing w:before="0" w:after="120"/>
              <w:jc w:val="left"/>
            </w:pPr>
            <w:r w:rsidRPr="006865B3">
              <w:lastRenderedPageBreak/>
              <w:t xml:space="preserve">Consecutive patients with biopsy proven NSCLC and positive for ALK on IHC; </w:t>
            </w:r>
            <w:r w:rsidRPr="006865B3">
              <w:lastRenderedPageBreak/>
              <w:t>samples also had to be evaluable by FISH and HGS</w:t>
            </w:r>
          </w:p>
          <w:p w14:paraId="0950E610" w14:textId="77777777" w:rsidR="00B233D2" w:rsidRPr="006865B3" w:rsidRDefault="00B233D2" w:rsidP="006865B3">
            <w:pPr>
              <w:pStyle w:val="Tabletext0"/>
              <w:spacing w:before="0" w:after="120"/>
              <w:jc w:val="left"/>
            </w:pPr>
            <w:r w:rsidRPr="006865B3">
              <w:t xml:space="preserve">Patients with adequate tumour blocks included (FFPE). Tissue source not reported </w:t>
            </w:r>
          </w:p>
        </w:tc>
        <w:tc>
          <w:tcPr>
            <w:tcW w:w="800" w:type="pct"/>
          </w:tcPr>
          <w:p w14:paraId="7F96AE67" w14:textId="77777777" w:rsidR="00B233D2" w:rsidRPr="006865B3" w:rsidRDefault="00B233D2" w:rsidP="006865B3">
            <w:pPr>
              <w:pStyle w:val="TableText"/>
              <w:rPr>
                <w:snapToGrid w:val="0"/>
              </w:rPr>
            </w:pPr>
            <w:r w:rsidRPr="006865B3">
              <w:lastRenderedPageBreak/>
              <w:t>NGS using a custom assay of 71 ALK variants and 12 assay expression controls</w:t>
            </w:r>
          </w:p>
        </w:tc>
        <w:tc>
          <w:tcPr>
            <w:tcW w:w="961" w:type="pct"/>
          </w:tcPr>
          <w:p w14:paraId="52ADA745" w14:textId="77777777" w:rsidR="00B233D2" w:rsidRPr="006865B3" w:rsidRDefault="00B233D2" w:rsidP="006865B3">
            <w:pPr>
              <w:pStyle w:val="Tabletext0"/>
              <w:spacing w:before="0" w:after="120"/>
              <w:jc w:val="left"/>
            </w:pPr>
            <w:r w:rsidRPr="006865B3">
              <w:t>ALK IHC</w:t>
            </w:r>
          </w:p>
          <w:p w14:paraId="11F2908F" w14:textId="77777777" w:rsidR="00B233D2" w:rsidRDefault="00B233D2" w:rsidP="006865B3">
            <w:pPr>
              <w:pStyle w:val="TableText"/>
            </w:pPr>
            <w:r w:rsidRPr="006865B3">
              <w:rPr>
                <w:i/>
              </w:rPr>
              <w:t>ALK</w:t>
            </w:r>
            <w:r w:rsidRPr="006865B3">
              <w:t xml:space="preserve"> FISH</w:t>
            </w:r>
          </w:p>
          <w:p w14:paraId="6AF6D3A9" w14:textId="1397ED84" w:rsidR="00237745" w:rsidRPr="006865B3" w:rsidRDefault="00237745" w:rsidP="006865B3">
            <w:pPr>
              <w:pStyle w:val="TableText"/>
              <w:rPr>
                <w:snapToGrid w:val="0"/>
              </w:rPr>
            </w:pPr>
            <w:r>
              <w:lastRenderedPageBreak/>
              <w:t xml:space="preserve">FISH positivity defined as </w:t>
            </w:r>
            <w:r w:rsidRPr="00237745">
              <w:t>those exhibiting split signals with the separation being more than two signal diameters apart</w:t>
            </w:r>
          </w:p>
        </w:tc>
        <w:tc>
          <w:tcPr>
            <w:tcW w:w="572" w:type="pct"/>
            <w:shd w:val="clear" w:color="auto" w:fill="auto"/>
          </w:tcPr>
          <w:p w14:paraId="1A22F32E" w14:textId="77777777" w:rsidR="00B233D2" w:rsidRPr="006865B3" w:rsidRDefault="00B233D2" w:rsidP="006865B3">
            <w:pPr>
              <w:pStyle w:val="TableText"/>
              <w:rPr>
                <w:snapToGrid w:val="0"/>
              </w:rPr>
            </w:pPr>
            <w:r w:rsidRPr="006865B3">
              <w:rPr>
                <w:snapToGrid w:val="0"/>
              </w:rPr>
              <w:lastRenderedPageBreak/>
              <w:t xml:space="preserve">Concordance for </w:t>
            </w:r>
            <w:r w:rsidRPr="006865B3">
              <w:rPr>
                <w:i/>
                <w:snapToGrid w:val="0"/>
              </w:rPr>
              <w:t>ALK</w:t>
            </w:r>
          </w:p>
        </w:tc>
        <w:tc>
          <w:tcPr>
            <w:tcW w:w="456" w:type="pct"/>
            <w:shd w:val="clear" w:color="auto" w:fill="auto"/>
          </w:tcPr>
          <w:p w14:paraId="49D7FE0F" w14:textId="533906DF" w:rsidR="00B233D2" w:rsidRPr="006865B3" w:rsidRDefault="00504E35" w:rsidP="006865B3">
            <w:pPr>
              <w:pStyle w:val="TableText"/>
              <w:rPr>
                <w:snapToGrid w:val="0"/>
              </w:rPr>
            </w:pPr>
            <w:r>
              <w:rPr>
                <w:snapToGrid w:val="0"/>
              </w:rPr>
              <w:t>Yes</w:t>
            </w:r>
          </w:p>
        </w:tc>
      </w:tr>
      <w:tr w:rsidR="009B5315" w:rsidRPr="006865B3" w14:paraId="4961ECE9" w14:textId="77777777" w:rsidTr="006865B3">
        <w:tc>
          <w:tcPr>
            <w:tcW w:w="646" w:type="pct"/>
            <w:shd w:val="clear" w:color="auto" w:fill="auto"/>
          </w:tcPr>
          <w:p w14:paraId="1E3BA484" w14:textId="617B5230" w:rsidR="00B233D2" w:rsidRPr="006865B3" w:rsidRDefault="00B4668F" w:rsidP="006865B3">
            <w:pPr>
              <w:pStyle w:val="TableText"/>
            </w:pPr>
            <w:r>
              <w:fldChar w:fldCharType="begin"/>
            </w:r>
            <w:r>
              <w:instrText xml:space="preserve"> ADDIN EN.CITE &lt;EndNote&gt;&lt;Cite&gt;&lt;Author&gt;Canterbury&lt;/Author&gt;&lt;Year&gt;2021&lt;/Year&gt;&lt;RecNum&gt;157&lt;/RecNum&gt;&lt;IDText&gt;100223-100223&lt;/IDText&gt;&lt;DisplayText&gt;(Canterbury et al. 2021)&lt;/DisplayText&gt;&lt;record&gt;&lt;rec-number&gt;157&lt;/rec-number&gt;&lt;foreign-keys&gt;&lt;key app="EN" db-id="0tprsse9cpp5r3ea5dz5p0xw2pfwvwxpa5a5" timestamp="1655264277"&gt;157&lt;/key&gt;&lt;/foreign-keys&gt;&lt;ref-type name="Journal Article"&gt;17&lt;/ref-type&gt;&lt;contributors&gt;&lt;authors&gt;&lt;author&gt;Canterbury, Carleigh R.&lt;/author&gt;&lt;author&gt;Fernandes, Helen&lt;/author&gt;&lt;author&gt;Crapanzano, John P.&lt;/author&gt;&lt;author&gt;Murty, Vundavalli V.&lt;/author&gt;&lt;author&gt;Mansukhani, Mahesh M.&lt;/author&gt;&lt;author&gt;Shu, Catherine A.&lt;/author&gt;&lt;author&gt;Szabolcs, Matthias&lt;/author&gt;&lt;author&gt;Saqi, Anjali&lt;/author&gt;&lt;/authors&gt;&lt;/contributors&gt;&lt;titles&gt;&lt;title&gt;ALK Gene Rearrangements in Lung Adenocarcinomas: Concordance of Immunohistochemistry, Fluorescence In Situ Hybridization, RNA In Situ Hybridization, and RNA Next-Generation Sequencing Testing&lt;/title&gt;&lt;secondary-title&gt;JTO clinical and research reports&lt;/secondary-title&gt;&lt;/titles&gt;&lt;periodical&gt;&lt;full-title&gt;JTO Clin Res Rep&lt;/full-title&gt;&lt;abbr-1&gt;JTO clinical and research reports&lt;/abbr-1&gt;&lt;/periodical&gt;&lt;pages&gt;100223-100223&lt;/pages&gt;&lt;volume&gt;2&lt;/volume&gt;&lt;number&gt;10&lt;/number&gt;&lt;dates&gt;&lt;year&gt;2021&lt;/year&gt;&lt;/dates&gt;&lt;urls&gt;&lt;related-urls&gt;&lt;url&gt;https://www.ncbi.nlm.nih.gov/pmc/articles/PMC8552107/pdf/main.pdf&lt;/url&gt;&lt;/related-urls&gt;&lt;/urls&gt;&lt;electronic-resource-num&gt;10.1016/j.jtocrr.2021.100223&lt;/electronic-resource-num&gt;&lt;research-notes&gt; P - Include - concordance ALK&lt;/research-notes&gt;&lt;/record&gt;&lt;/Cite&gt;&lt;/EndNote&gt;</w:instrText>
            </w:r>
            <w:r>
              <w:fldChar w:fldCharType="separate"/>
            </w:r>
            <w:r>
              <w:rPr>
                <w:noProof/>
              </w:rPr>
              <w:t>(Canterbury et al. 2021)</w:t>
            </w:r>
            <w:r>
              <w:fldChar w:fldCharType="end"/>
            </w:r>
          </w:p>
          <w:p w14:paraId="71232B26" w14:textId="77777777" w:rsidR="00B233D2" w:rsidRPr="006865B3" w:rsidRDefault="00B233D2" w:rsidP="006865B3">
            <w:pPr>
              <w:pStyle w:val="TableText"/>
              <w:rPr>
                <w:snapToGrid w:val="0"/>
              </w:rPr>
            </w:pPr>
            <w:r w:rsidRPr="006865B3">
              <w:t>United States</w:t>
            </w:r>
          </w:p>
        </w:tc>
        <w:tc>
          <w:tcPr>
            <w:tcW w:w="214" w:type="pct"/>
            <w:shd w:val="clear" w:color="auto" w:fill="auto"/>
          </w:tcPr>
          <w:p w14:paraId="6D3B50C8" w14:textId="77777777" w:rsidR="00B233D2" w:rsidRPr="006865B3" w:rsidRDefault="00B233D2" w:rsidP="006865B3">
            <w:pPr>
              <w:pStyle w:val="TableText"/>
              <w:rPr>
                <w:snapToGrid w:val="0"/>
              </w:rPr>
            </w:pPr>
            <w:r w:rsidRPr="006865B3">
              <w:rPr>
                <w:snapToGrid w:val="0"/>
              </w:rPr>
              <w:t>90</w:t>
            </w:r>
          </w:p>
        </w:tc>
        <w:tc>
          <w:tcPr>
            <w:tcW w:w="587" w:type="pct"/>
            <w:shd w:val="clear" w:color="auto" w:fill="auto"/>
          </w:tcPr>
          <w:p w14:paraId="1796EBCA" w14:textId="77777777" w:rsidR="00B233D2" w:rsidRPr="006865B3" w:rsidRDefault="00B233D2" w:rsidP="006865B3">
            <w:pPr>
              <w:pStyle w:val="Tabletext0"/>
              <w:spacing w:before="0" w:after="120"/>
              <w:jc w:val="left"/>
            </w:pPr>
            <w:r w:rsidRPr="006865B3">
              <w:t>Retrospective cohort study</w:t>
            </w:r>
          </w:p>
          <w:p w14:paraId="13E063DA" w14:textId="77777777" w:rsidR="00B233D2" w:rsidRPr="006865B3" w:rsidRDefault="00B233D2" w:rsidP="006865B3">
            <w:pPr>
              <w:pStyle w:val="Tabletext0"/>
              <w:spacing w:before="0" w:after="120"/>
              <w:jc w:val="left"/>
            </w:pPr>
            <w:r w:rsidRPr="006865B3">
              <w:t xml:space="preserve">Level III-2 </w:t>
            </w:r>
          </w:p>
          <w:p w14:paraId="22634FE7" w14:textId="77777777" w:rsidR="00B233D2" w:rsidRPr="006865B3" w:rsidRDefault="00B233D2" w:rsidP="006865B3">
            <w:pPr>
              <w:pStyle w:val="Tabletext0"/>
              <w:spacing w:before="0" w:after="120"/>
              <w:jc w:val="left"/>
            </w:pPr>
            <w:r w:rsidRPr="006865B3">
              <w:t>Low to moderate risk of bias</w:t>
            </w:r>
          </w:p>
          <w:p w14:paraId="56FD231D" w14:textId="77777777" w:rsidR="00B233D2" w:rsidRPr="006865B3" w:rsidRDefault="00B233D2" w:rsidP="006865B3">
            <w:pPr>
              <w:pStyle w:val="TableText"/>
              <w:rPr>
                <w:snapToGrid w:val="0"/>
              </w:rPr>
            </w:pPr>
          </w:p>
        </w:tc>
        <w:tc>
          <w:tcPr>
            <w:tcW w:w="764" w:type="pct"/>
            <w:shd w:val="clear" w:color="auto" w:fill="auto"/>
          </w:tcPr>
          <w:p w14:paraId="4838F357" w14:textId="77777777" w:rsidR="00B233D2" w:rsidRPr="006865B3" w:rsidRDefault="00B233D2" w:rsidP="006865B3">
            <w:pPr>
              <w:pStyle w:val="Tabletext0"/>
              <w:spacing w:before="0" w:after="120"/>
              <w:jc w:val="left"/>
            </w:pPr>
            <w:r w:rsidRPr="006865B3">
              <w:t xml:space="preserve">Patients with lung adenocarcinomas who underwent testing for an </w:t>
            </w:r>
            <w:r w:rsidRPr="006865B3">
              <w:rPr>
                <w:i/>
              </w:rPr>
              <w:t xml:space="preserve">ALK </w:t>
            </w:r>
            <w:r w:rsidRPr="006865B3">
              <w:t>gene rearrangement with ≥ 1 testing modality</w:t>
            </w:r>
          </w:p>
          <w:p w14:paraId="4BDC2859" w14:textId="77777777" w:rsidR="00B233D2" w:rsidRPr="006865B3" w:rsidRDefault="00B233D2" w:rsidP="006865B3">
            <w:pPr>
              <w:pStyle w:val="TableText"/>
              <w:rPr>
                <w:snapToGrid w:val="0"/>
              </w:rPr>
            </w:pPr>
            <w:r w:rsidRPr="006865B3">
              <w:t>Specimens from resections,  biopsies and cytology (pleural effusion and fine-needle aspiration)</w:t>
            </w:r>
          </w:p>
        </w:tc>
        <w:tc>
          <w:tcPr>
            <w:tcW w:w="800" w:type="pct"/>
          </w:tcPr>
          <w:p w14:paraId="5804ACB5" w14:textId="77777777" w:rsidR="00B233D2" w:rsidRPr="006865B3" w:rsidRDefault="00B233D2" w:rsidP="006865B3">
            <w:pPr>
              <w:pStyle w:val="TableText"/>
              <w:rPr>
                <w:snapToGrid w:val="0"/>
              </w:rPr>
            </w:pPr>
            <w:r w:rsidRPr="006865B3">
              <w:t>RNA NGS, a custom NGS panel using AMP technology (Archer Dx) which targets 17 genes</w:t>
            </w:r>
          </w:p>
        </w:tc>
        <w:tc>
          <w:tcPr>
            <w:tcW w:w="961" w:type="pct"/>
          </w:tcPr>
          <w:p w14:paraId="46627571" w14:textId="4D119FBD" w:rsidR="00B233D2" w:rsidRDefault="00B233D2" w:rsidP="006865B3">
            <w:pPr>
              <w:pStyle w:val="Tabletext0"/>
              <w:spacing w:before="0" w:after="120"/>
              <w:jc w:val="left"/>
            </w:pPr>
            <w:r w:rsidRPr="006865B3">
              <w:rPr>
                <w:i/>
              </w:rPr>
              <w:t xml:space="preserve">ALK </w:t>
            </w:r>
            <w:r w:rsidRPr="006865B3">
              <w:t xml:space="preserve">FISH using Vysis </w:t>
            </w:r>
            <w:r w:rsidRPr="006865B3">
              <w:rPr>
                <w:i/>
              </w:rPr>
              <w:t>ALK</w:t>
            </w:r>
            <w:r w:rsidRPr="006865B3">
              <w:t xml:space="preserve"> break-apart probe kit (Abbott Molecular)</w:t>
            </w:r>
          </w:p>
          <w:p w14:paraId="3829FB0A" w14:textId="08823589" w:rsidR="00237745" w:rsidRPr="006865B3" w:rsidRDefault="00237745" w:rsidP="006865B3">
            <w:pPr>
              <w:pStyle w:val="Tabletext0"/>
              <w:spacing w:before="0" w:after="120"/>
              <w:jc w:val="left"/>
            </w:pPr>
            <w:r>
              <w:t xml:space="preserve">FISH positivity defined as </w:t>
            </w:r>
            <w:r w:rsidRPr="00956452">
              <w:t xml:space="preserve">staining ≥10% of </w:t>
            </w:r>
            <w:r w:rsidR="00466C4F" w:rsidRPr="00466C4F">
              <w:t>tumour</w:t>
            </w:r>
            <w:r w:rsidRPr="00956452">
              <w:t xml:space="preserve"> cells</w:t>
            </w:r>
          </w:p>
          <w:p w14:paraId="4A405A26" w14:textId="77777777" w:rsidR="00B233D2" w:rsidRPr="006865B3" w:rsidRDefault="00B233D2" w:rsidP="006865B3">
            <w:pPr>
              <w:pStyle w:val="Tabletext0"/>
              <w:spacing w:before="0" w:after="120"/>
              <w:jc w:val="left"/>
            </w:pPr>
            <w:r w:rsidRPr="006865B3">
              <w:t>ALK</w:t>
            </w:r>
            <w:r w:rsidRPr="006865B3">
              <w:rPr>
                <w:i/>
              </w:rPr>
              <w:t xml:space="preserve"> </w:t>
            </w:r>
            <w:r w:rsidRPr="006865B3">
              <w:t>IHC using ALK (D5F3) rabbit monoclonal primary antibody (Ventana)</w:t>
            </w:r>
          </w:p>
          <w:p w14:paraId="21CF4570" w14:textId="77777777" w:rsidR="00B233D2" w:rsidRPr="006865B3" w:rsidRDefault="00B233D2" w:rsidP="006865B3">
            <w:pPr>
              <w:pStyle w:val="TableText"/>
              <w:rPr>
                <w:snapToGrid w:val="0"/>
              </w:rPr>
            </w:pPr>
            <w:r w:rsidRPr="006865B3">
              <w:t>RNA ISH using RNAScope 2.5 LS Probe-Hs-ALK (Advanced Cell Diagnostics</w:t>
            </w:r>
          </w:p>
        </w:tc>
        <w:tc>
          <w:tcPr>
            <w:tcW w:w="572" w:type="pct"/>
            <w:shd w:val="clear" w:color="auto" w:fill="auto"/>
          </w:tcPr>
          <w:p w14:paraId="27A7A72A" w14:textId="77777777" w:rsidR="00B233D2" w:rsidRPr="006865B3" w:rsidRDefault="00B233D2" w:rsidP="006865B3">
            <w:pPr>
              <w:pStyle w:val="TableText"/>
              <w:rPr>
                <w:snapToGrid w:val="0"/>
              </w:rPr>
            </w:pPr>
            <w:r w:rsidRPr="006865B3">
              <w:rPr>
                <w:snapToGrid w:val="0"/>
              </w:rPr>
              <w:t xml:space="preserve">Concordance for </w:t>
            </w:r>
            <w:r w:rsidRPr="006865B3">
              <w:rPr>
                <w:i/>
                <w:snapToGrid w:val="0"/>
              </w:rPr>
              <w:t>ALK</w:t>
            </w:r>
          </w:p>
        </w:tc>
        <w:tc>
          <w:tcPr>
            <w:tcW w:w="456" w:type="pct"/>
            <w:shd w:val="clear" w:color="auto" w:fill="auto"/>
          </w:tcPr>
          <w:p w14:paraId="65C4C90D" w14:textId="36B3D5AE" w:rsidR="00B233D2" w:rsidRPr="006865B3" w:rsidRDefault="00504E35" w:rsidP="006865B3">
            <w:pPr>
              <w:pStyle w:val="TableText"/>
              <w:rPr>
                <w:snapToGrid w:val="0"/>
              </w:rPr>
            </w:pPr>
            <w:r>
              <w:rPr>
                <w:snapToGrid w:val="0"/>
              </w:rPr>
              <w:t>Yes</w:t>
            </w:r>
          </w:p>
        </w:tc>
      </w:tr>
      <w:tr w:rsidR="009B5315" w:rsidRPr="006865B3" w14:paraId="7BEA93FA" w14:textId="77777777" w:rsidTr="006865B3">
        <w:tc>
          <w:tcPr>
            <w:tcW w:w="646" w:type="pct"/>
            <w:shd w:val="clear" w:color="auto" w:fill="auto"/>
          </w:tcPr>
          <w:p w14:paraId="4CCA83C8" w14:textId="1A9529BB" w:rsidR="00B233D2" w:rsidRPr="006865B3" w:rsidRDefault="00B4668F" w:rsidP="006865B3">
            <w:pPr>
              <w:pStyle w:val="TableText"/>
            </w:pPr>
            <w:r>
              <w:fldChar w:fldCharType="begin">
                <w:fldData xml:space="preserve">PEVuZE5vdGU+PENpdGU+PEF1dGhvcj5DaGFuZzwvQXV0aG9yPjxZZWFyPjIwMjA8L1llYXI+PFJl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</w:fldData>
              </w:fldChar>
            </w:r>
            <w:r>
              <w:instrText xml:space="preserve"> ADDIN EN.CITE </w:instrText>
            </w:r>
            <w:r>
              <w:fldChar w:fldCharType="begin">
                <w:fldData xml:space="preserve">PEVuZE5vdGU+PENpdGU+PEF1dGhvcj5DaGFuZzwvQXV0aG9yPjxZZWFyPjIwMjA8L1llYXI+PFJl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</w:fldData>
              </w:fldChar>
            </w:r>
            <w:r>
              <w:instrText xml:space="preserve"> ADDIN EN.CITE.DATA </w:instrText>
            </w:r>
            <w:r>
              <w:fldChar w:fldCharType="end"/>
            </w:r>
            <w:r>
              <w:fldChar w:fldCharType="separate"/>
            </w:r>
            <w:r>
              <w:rPr>
                <w:noProof/>
              </w:rPr>
              <w:t>(Chang, Kim &amp; Shin 2020)</w:t>
            </w:r>
            <w:r>
              <w:fldChar w:fldCharType="end"/>
            </w:r>
          </w:p>
          <w:p w14:paraId="102E6108" w14:textId="77777777" w:rsidR="00B233D2" w:rsidRPr="006865B3" w:rsidRDefault="00B233D2" w:rsidP="006865B3">
            <w:pPr>
              <w:pStyle w:val="TableText"/>
              <w:rPr>
                <w:snapToGrid w:val="0"/>
              </w:rPr>
            </w:pPr>
            <w:r w:rsidRPr="006865B3">
              <w:t>Italy</w:t>
            </w:r>
          </w:p>
        </w:tc>
        <w:tc>
          <w:tcPr>
            <w:tcW w:w="214" w:type="pct"/>
            <w:shd w:val="clear" w:color="auto" w:fill="auto"/>
          </w:tcPr>
          <w:p w14:paraId="5E4D2D6C" w14:textId="77777777" w:rsidR="00B233D2" w:rsidRPr="006865B3" w:rsidRDefault="00B233D2" w:rsidP="006865B3">
            <w:pPr>
              <w:pStyle w:val="TableText"/>
              <w:rPr>
                <w:snapToGrid w:val="0"/>
              </w:rPr>
            </w:pPr>
            <w:r w:rsidRPr="006865B3">
              <w:rPr>
                <w:snapToGrid w:val="0"/>
              </w:rPr>
              <w:t>10</w:t>
            </w:r>
          </w:p>
        </w:tc>
        <w:tc>
          <w:tcPr>
            <w:tcW w:w="587" w:type="pct"/>
            <w:shd w:val="clear" w:color="auto" w:fill="auto"/>
          </w:tcPr>
          <w:p w14:paraId="51D466F1" w14:textId="77777777" w:rsidR="00B233D2" w:rsidRPr="006865B3" w:rsidRDefault="00B233D2" w:rsidP="006865B3">
            <w:pPr>
              <w:pStyle w:val="Tabletext0"/>
              <w:spacing w:before="0" w:after="120"/>
              <w:jc w:val="left"/>
            </w:pPr>
            <w:r w:rsidRPr="006865B3">
              <w:t>Diagnostic case-control study</w:t>
            </w:r>
          </w:p>
          <w:p w14:paraId="5C7E1C2B" w14:textId="77777777" w:rsidR="00B233D2" w:rsidRPr="006865B3" w:rsidRDefault="00B233D2" w:rsidP="006865B3">
            <w:pPr>
              <w:pStyle w:val="Tabletext0"/>
              <w:spacing w:before="0" w:after="120"/>
              <w:jc w:val="left"/>
            </w:pPr>
            <w:r w:rsidRPr="006865B3">
              <w:t>Level III-3</w:t>
            </w:r>
          </w:p>
          <w:p w14:paraId="6D0B77AF" w14:textId="77777777" w:rsidR="00B233D2" w:rsidRPr="006865B3" w:rsidRDefault="00B233D2" w:rsidP="006865B3">
            <w:pPr>
              <w:pStyle w:val="TableText"/>
              <w:rPr>
                <w:snapToGrid w:val="0"/>
              </w:rPr>
            </w:pPr>
            <w:r w:rsidRPr="006865B3">
              <w:t>High risk of bias</w:t>
            </w:r>
          </w:p>
        </w:tc>
        <w:tc>
          <w:tcPr>
            <w:tcW w:w="764" w:type="pct"/>
            <w:shd w:val="clear" w:color="auto" w:fill="auto"/>
          </w:tcPr>
          <w:p w14:paraId="6BFB5B26" w14:textId="77777777" w:rsidR="00B233D2" w:rsidRPr="006865B3" w:rsidRDefault="00B233D2" w:rsidP="006865B3">
            <w:pPr>
              <w:pStyle w:val="Tabletext0"/>
              <w:spacing w:before="0" w:after="120"/>
              <w:jc w:val="left"/>
            </w:pPr>
            <w:r w:rsidRPr="006865B3">
              <w:t>Specimens of patients with NSCLC in a tissue bank; with and without ALK on FISH</w:t>
            </w:r>
          </w:p>
          <w:p w14:paraId="24E4B445" w14:textId="77777777" w:rsidR="00B233D2" w:rsidRPr="006865B3" w:rsidRDefault="00B233D2" w:rsidP="006865B3">
            <w:pPr>
              <w:pStyle w:val="TableText"/>
              <w:rPr>
                <w:snapToGrid w:val="0"/>
              </w:rPr>
            </w:pPr>
            <w:r w:rsidRPr="006865B3">
              <w:t>Sourced from biopsy and surgically resected tumour</w:t>
            </w:r>
          </w:p>
        </w:tc>
        <w:tc>
          <w:tcPr>
            <w:tcW w:w="800" w:type="pct"/>
          </w:tcPr>
          <w:p w14:paraId="74E49175" w14:textId="77777777" w:rsidR="00B233D2" w:rsidRPr="006865B3" w:rsidRDefault="00B233D2" w:rsidP="006865B3">
            <w:pPr>
              <w:pStyle w:val="Tabletext0"/>
              <w:spacing w:before="0" w:after="120"/>
              <w:jc w:val="left"/>
            </w:pPr>
            <w:r w:rsidRPr="006865B3">
              <w:t>NGS sequencing of 80 genes</w:t>
            </w:r>
          </w:p>
          <w:p w14:paraId="7FAD1FE6" w14:textId="77777777" w:rsidR="00B233D2" w:rsidRPr="006865B3" w:rsidRDefault="00B233D2" w:rsidP="006865B3">
            <w:pPr>
              <w:pStyle w:val="TableText"/>
              <w:rPr>
                <w:snapToGrid w:val="0"/>
              </w:rPr>
            </w:pPr>
            <w:r w:rsidRPr="006865B3">
              <w:t>Also RNA panel</w:t>
            </w:r>
          </w:p>
        </w:tc>
        <w:tc>
          <w:tcPr>
            <w:tcW w:w="961" w:type="pct"/>
          </w:tcPr>
          <w:p w14:paraId="712E4BB9" w14:textId="77777777" w:rsidR="00B233D2" w:rsidRDefault="00B233D2" w:rsidP="006865B3">
            <w:pPr>
              <w:pStyle w:val="TableText"/>
            </w:pPr>
            <w:r w:rsidRPr="006865B3">
              <w:rPr>
                <w:i/>
              </w:rPr>
              <w:t>ALK</w:t>
            </w:r>
            <w:r w:rsidRPr="006865B3">
              <w:t xml:space="preserve"> FISH</w:t>
            </w:r>
          </w:p>
          <w:p w14:paraId="2FADB810" w14:textId="06C69A54" w:rsidR="00237745" w:rsidRPr="006865B3" w:rsidRDefault="00237745" w:rsidP="006865B3">
            <w:pPr>
              <w:pStyle w:val="TableText"/>
              <w:rPr>
                <w:snapToGrid w:val="0"/>
              </w:rPr>
            </w:pPr>
            <w:r>
              <w:t>Threshold for positivity not defined</w:t>
            </w:r>
          </w:p>
        </w:tc>
        <w:tc>
          <w:tcPr>
            <w:tcW w:w="572" w:type="pct"/>
            <w:shd w:val="clear" w:color="auto" w:fill="auto"/>
          </w:tcPr>
          <w:p w14:paraId="367AFAE1" w14:textId="77777777" w:rsidR="00B233D2" w:rsidRPr="006865B3" w:rsidRDefault="00B233D2" w:rsidP="006865B3">
            <w:pPr>
              <w:pStyle w:val="TableText"/>
              <w:rPr>
                <w:snapToGrid w:val="0"/>
              </w:rPr>
            </w:pPr>
            <w:r w:rsidRPr="006865B3">
              <w:rPr>
                <w:snapToGrid w:val="0"/>
              </w:rPr>
              <w:t xml:space="preserve">Concordance for </w:t>
            </w:r>
            <w:r w:rsidRPr="006865B3">
              <w:rPr>
                <w:i/>
                <w:snapToGrid w:val="0"/>
              </w:rPr>
              <w:t>ALK</w:t>
            </w:r>
          </w:p>
        </w:tc>
        <w:tc>
          <w:tcPr>
            <w:tcW w:w="456" w:type="pct"/>
            <w:shd w:val="clear" w:color="auto" w:fill="auto"/>
          </w:tcPr>
          <w:p w14:paraId="26F76501" w14:textId="7245E3A4" w:rsidR="00B233D2" w:rsidRPr="006865B3" w:rsidRDefault="00504E35" w:rsidP="006865B3">
            <w:pPr>
              <w:pStyle w:val="TableText"/>
              <w:rPr>
                <w:snapToGrid w:val="0"/>
              </w:rPr>
            </w:pPr>
            <w:r>
              <w:rPr>
                <w:snapToGrid w:val="0"/>
              </w:rPr>
              <w:t>Yes</w:t>
            </w:r>
          </w:p>
        </w:tc>
      </w:tr>
      <w:tr w:rsidR="009B5315" w:rsidRPr="006865B3" w14:paraId="71ABAC53" w14:textId="77777777" w:rsidTr="006865B3">
        <w:tc>
          <w:tcPr>
            <w:tcW w:w="646" w:type="pct"/>
            <w:shd w:val="clear" w:color="auto" w:fill="auto"/>
          </w:tcPr>
          <w:p w14:paraId="713BDBFF" w14:textId="56E1ED0E" w:rsidR="00B233D2" w:rsidRPr="006865B3" w:rsidRDefault="00B4668F" w:rsidP="006865B3">
            <w:pPr>
              <w:spacing w:before="0"/>
              <w:rPr>
                <w:rFonts w:ascii="Arial Narrow" w:hAnsi="Arial Narrow"/>
              </w:rPr>
            </w:pPr>
            <w:r>
              <w:rPr>
                <w:rFonts w:ascii="Arial Narrow" w:hAnsi="Arial Narrow"/>
              </w:rPr>
              <w:fldChar w:fldCharType="begin">
                <w:fldData xml:space="preserve">PEVuZE5vdGU+PENpdGU+PEF1dGhvcj5DaG9pPC9BdXRob3I+PFllYXI+MjAyMjwvWWVhcj48UmVj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</w:fldData>
              </w:fldChar>
            </w:r>
            <w:r>
              <w:rPr>
                <w:rFonts w:ascii="Arial Narrow" w:hAnsi="Arial Narrow"/>
              </w:rPr>
              <w:instrText xml:space="preserve"> ADDIN EN.CITE </w:instrText>
            </w:r>
            <w:r>
              <w:rPr>
                <w:rFonts w:ascii="Arial Narrow" w:hAnsi="Arial Narrow"/>
              </w:rPr>
              <w:fldChar w:fldCharType="begin">
                <w:fldData xml:space="preserve">PEVuZE5vdGU+PENpdGU+PEF1dGhvcj5DaG9pPC9BdXRob3I+PFllYXI+MjAyMjwvWWVhcj48UmVj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(Choi et al. 2022)</w:t>
            </w:r>
            <w:r>
              <w:rPr>
                <w:rFonts w:ascii="Arial Narrow" w:hAnsi="Arial Narrow"/>
              </w:rPr>
              <w:fldChar w:fldCharType="end"/>
            </w:r>
          </w:p>
          <w:p w14:paraId="2073C158" w14:textId="77777777" w:rsidR="00B233D2" w:rsidRPr="006865B3" w:rsidRDefault="00B233D2" w:rsidP="006865B3">
            <w:pPr>
              <w:spacing w:before="0"/>
              <w:rPr>
                <w:rFonts w:ascii="Arial Narrow" w:hAnsi="Arial Narrow" w:cs="Calibri"/>
                <w:color w:val="000000"/>
              </w:rPr>
            </w:pPr>
            <w:r w:rsidRPr="006865B3">
              <w:rPr>
                <w:rFonts w:ascii="Arial Narrow" w:hAnsi="Arial Narrow"/>
              </w:rPr>
              <w:t>Korea</w:t>
            </w:r>
          </w:p>
        </w:tc>
        <w:tc>
          <w:tcPr>
            <w:tcW w:w="214" w:type="pct"/>
            <w:shd w:val="clear" w:color="auto" w:fill="auto"/>
          </w:tcPr>
          <w:p w14:paraId="13CD229D" w14:textId="77777777" w:rsidR="00B233D2" w:rsidRPr="006865B3" w:rsidRDefault="00B233D2" w:rsidP="006865B3">
            <w:pPr>
              <w:pStyle w:val="TableText"/>
              <w:rPr>
                <w:snapToGrid w:val="0"/>
              </w:rPr>
            </w:pPr>
            <w:r w:rsidRPr="006865B3">
              <w:rPr>
                <w:snapToGrid w:val="0"/>
              </w:rPr>
              <w:t>109</w:t>
            </w:r>
          </w:p>
        </w:tc>
        <w:tc>
          <w:tcPr>
            <w:tcW w:w="587" w:type="pct"/>
            <w:shd w:val="clear" w:color="auto" w:fill="auto"/>
          </w:tcPr>
          <w:p w14:paraId="3FB5AC1D" w14:textId="77777777" w:rsidR="00B233D2" w:rsidRPr="006865B3" w:rsidRDefault="00B233D2" w:rsidP="006865B3">
            <w:pPr>
              <w:pStyle w:val="Tabletext0"/>
              <w:spacing w:before="0" w:after="120"/>
              <w:jc w:val="left"/>
            </w:pPr>
            <w:r w:rsidRPr="006865B3">
              <w:t>Retrospective cohort study</w:t>
            </w:r>
          </w:p>
          <w:p w14:paraId="3798AE86" w14:textId="77777777" w:rsidR="00B233D2" w:rsidRPr="006865B3" w:rsidRDefault="00B233D2" w:rsidP="006865B3">
            <w:pPr>
              <w:pStyle w:val="Tabletext0"/>
              <w:spacing w:before="0" w:after="120"/>
              <w:jc w:val="left"/>
            </w:pPr>
            <w:r w:rsidRPr="006865B3">
              <w:t>Level III-2</w:t>
            </w:r>
          </w:p>
          <w:p w14:paraId="776C2A49" w14:textId="77777777" w:rsidR="00B233D2" w:rsidRPr="006865B3" w:rsidRDefault="00B233D2" w:rsidP="006865B3">
            <w:pPr>
              <w:pStyle w:val="TableText"/>
              <w:rPr>
                <w:snapToGrid w:val="0"/>
              </w:rPr>
            </w:pPr>
            <w:r w:rsidRPr="006865B3">
              <w:t>High risk of bias</w:t>
            </w:r>
          </w:p>
        </w:tc>
        <w:tc>
          <w:tcPr>
            <w:tcW w:w="764" w:type="pct"/>
            <w:shd w:val="clear" w:color="auto" w:fill="auto"/>
          </w:tcPr>
          <w:p w14:paraId="0B9F2A09" w14:textId="77777777" w:rsidR="00B233D2" w:rsidRPr="006865B3" w:rsidRDefault="00B233D2" w:rsidP="006865B3">
            <w:pPr>
              <w:pStyle w:val="Tabletext0"/>
              <w:spacing w:before="0" w:after="120"/>
              <w:jc w:val="left"/>
            </w:pPr>
            <w:r w:rsidRPr="006865B3">
              <w:t xml:space="preserve">Specimens of patients with refractory NSCLC who had been assessed for </w:t>
            </w:r>
            <w:r w:rsidRPr="006865B3">
              <w:rPr>
                <w:i/>
              </w:rPr>
              <w:t xml:space="preserve">ALK, EFGR </w:t>
            </w:r>
            <w:r w:rsidRPr="006865B3">
              <w:t>and</w:t>
            </w:r>
            <w:r w:rsidRPr="006865B3">
              <w:rPr>
                <w:i/>
              </w:rPr>
              <w:t xml:space="preserve"> ROS1</w:t>
            </w:r>
          </w:p>
          <w:p w14:paraId="741C43F4" w14:textId="77777777" w:rsidR="00B233D2" w:rsidRPr="006865B3" w:rsidRDefault="00B233D2" w:rsidP="006865B3">
            <w:pPr>
              <w:pStyle w:val="TableText"/>
              <w:rPr>
                <w:snapToGrid w:val="0"/>
              </w:rPr>
            </w:pPr>
          </w:p>
        </w:tc>
        <w:tc>
          <w:tcPr>
            <w:tcW w:w="800" w:type="pct"/>
          </w:tcPr>
          <w:p w14:paraId="7B67D9AE" w14:textId="77777777" w:rsidR="00B233D2" w:rsidRPr="006865B3" w:rsidRDefault="00B233D2" w:rsidP="006865B3">
            <w:pPr>
              <w:pStyle w:val="TableText"/>
              <w:rPr>
                <w:snapToGrid w:val="0"/>
              </w:rPr>
            </w:pPr>
            <w:r w:rsidRPr="006865B3">
              <w:t>NGS using one of two cancer panels: one with exons of 183 genes and one with whole exomes of 409 cancer related genes. Note study included other cancer types so panels not NSCLC specific</w:t>
            </w:r>
          </w:p>
        </w:tc>
        <w:tc>
          <w:tcPr>
            <w:tcW w:w="961" w:type="pct"/>
          </w:tcPr>
          <w:p w14:paraId="5A16D3BB" w14:textId="09EF82FC" w:rsidR="00B233D2" w:rsidRPr="006865B3" w:rsidRDefault="006865B3" w:rsidP="006865B3">
            <w:pPr>
              <w:pStyle w:val="Tabletext0"/>
              <w:spacing w:before="0" w:after="120"/>
              <w:jc w:val="left"/>
            </w:pPr>
            <w:r w:rsidRPr="006865B3">
              <w:rPr>
                <w:i/>
              </w:rPr>
              <w:t>EGF</w:t>
            </w:r>
            <w:r w:rsidR="00B233D2" w:rsidRPr="006865B3">
              <w:rPr>
                <w:i/>
              </w:rPr>
              <w:t>R</w:t>
            </w:r>
            <w:r w:rsidR="00B233D2" w:rsidRPr="006865B3">
              <w:t xml:space="preserve"> pyrosequencing or PCR</w:t>
            </w:r>
          </w:p>
          <w:p w14:paraId="38C59FF3" w14:textId="77777777" w:rsidR="00B233D2" w:rsidRPr="006865B3" w:rsidRDefault="00B233D2" w:rsidP="006865B3">
            <w:pPr>
              <w:pStyle w:val="Tabletext0"/>
              <w:spacing w:before="0" w:after="120"/>
              <w:jc w:val="left"/>
            </w:pPr>
            <w:r w:rsidRPr="006865B3">
              <w:rPr>
                <w:i/>
              </w:rPr>
              <w:t>ALK</w:t>
            </w:r>
            <w:r w:rsidRPr="006865B3">
              <w:t xml:space="preserve"> IHC or FISH</w:t>
            </w:r>
          </w:p>
          <w:p w14:paraId="10960027" w14:textId="77777777" w:rsidR="00B233D2" w:rsidRPr="006865B3" w:rsidRDefault="00B233D2" w:rsidP="006865B3">
            <w:pPr>
              <w:pStyle w:val="TableText"/>
              <w:rPr>
                <w:snapToGrid w:val="0"/>
              </w:rPr>
            </w:pPr>
            <w:r w:rsidRPr="006865B3">
              <w:rPr>
                <w:i/>
              </w:rPr>
              <w:t>ROS1</w:t>
            </w:r>
            <w:r w:rsidRPr="006865B3">
              <w:t xml:space="preserve"> PCR</w:t>
            </w:r>
          </w:p>
        </w:tc>
        <w:tc>
          <w:tcPr>
            <w:tcW w:w="572" w:type="pct"/>
            <w:shd w:val="clear" w:color="auto" w:fill="auto"/>
          </w:tcPr>
          <w:p w14:paraId="65908798" w14:textId="77777777" w:rsidR="00B233D2" w:rsidRPr="006865B3" w:rsidRDefault="00B233D2" w:rsidP="006865B3">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74AED198" w14:textId="236613EF" w:rsidR="00B233D2" w:rsidRPr="006865B3" w:rsidRDefault="00504E35" w:rsidP="006865B3">
            <w:pPr>
              <w:pStyle w:val="TableText"/>
              <w:rPr>
                <w:snapToGrid w:val="0"/>
              </w:rPr>
            </w:pPr>
            <w:r>
              <w:rPr>
                <w:snapToGrid w:val="0"/>
              </w:rPr>
              <w:t>Yes</w:t>
            </w:r>
          </w:p>
        </w:tc>
      </w:tr>
      <w:tr w:rsidR="009B5315" w:rsidRPr="006865B3" w14:paraId="22FB6963" w14:textId="77777777" w:rsidTr="006865B3">
        <w:tc>
          <w:tcPr>
            <w:tcW w:w="646" w:type="pct"/>
            <w:shd w:val="clear" w:color="auto" w:fill="auto"/>
          </w:tcPr>
          <w:p w14:paraId="153EB47E" w14:textId="23E18FD7" w:rsidR="00605EF4" w:rsidRPr="006865B3" w:rsidRDefault="00B4668F" w:rsidP="006865B3">
            <w:pPr>
              <w:pStyle w:val="TableText"/>
              <w:rPr>
                <w:snapToGrid w:val="0"/>
              </w:rPr>
            </w:pPr>
            <w:r>
              <w:rPr>
                <w:snapToGrid w:val="0"/>
              </w:rP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rPr>
                <w:snapToGrid w:val="0"/>
              </w:rPr>
              <w:instrText xml:space="preserve"> ADDIN EN.CITE </w:instrText>
            </w:r>
            <w:r>
              <w:rPr>
                <w:snapToGrid w:val="0"/>
              </w:rP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(Dall'Olio et al. 2020)</w:t>
            </w:r>
            <w:r>
              <w:rPr>
                <w:snapToGrid w:val="0"/>
              </w:rPr>
              <w:fldChar w:fldCharType="end"/>
            </w:r>
          </w:p>
          <w:p w14:paraId="3E04E012" w14:textId="219EF01C" w:rsidR="00605EF4" w:rsidRPr="006865B3" w:rsidRDefault="00605EF4" w:rsidP="006865B3">
            <w:pPr>
              <w:spacing w:before="0"/>
              <w:rPr>
                <w:rFonts w:ascii="Arial Narrow" w:hAnsi="Arial Narrow"/>
              </w:rPr>
            </w:pPr>
            <w:r w:rsidRPr="006865B3">
              <w:rPr>
                <w:rFonts w:ascii="Arial Narrow" w:hAnsi="Arial Narrow"/>
                <w:snapToGrid w:val="0"/>
              </w:rPr>
              <w:t>Italy</w:t>
            </w:r>
          </w:p>
        </w:tc>
        <w:tc>
          <w:tcPr>
            <w:tcW w:w="214" w:type="pct"/>
            <w:shd w:val="clear" w:color="auto" w:fill="auto"/>
          </w:tcPr>
          <w:p w14:paraId="5C14F19F" w14:textId="696E2DB3" w:rsidR="00605EF4" w:rsidRPr="006865B3" w:rsidRDefault="00605EF4" w:rsidP="006865B3">
            <w:pPr>
              <w:pStyle w:val="TableText"/>
              <w:rPr>
                <w:snapToGrid w:val="0"/>
              </w:rPr>
            </w:pPr>
            <w:r w:rsidRPr="006865B3">
              <w:rPr>
                <w:snapToGrid w:val="0"/>
              </w:rPr>
              <w:t>1221</w:t>
            </w:r>
          </w:p>
        </w:tc>
        <w:tc>
          <w:tcPr>
            <w:tcW w:w="587" w:type="pct"/>
            <w:shd w:val="clear" w:color="auto" w:fill="auto"/>
          </w:tcPr>
          <w:p w14:paraId="42DC0977" w14:textId="77777777" w:rsidR="00605EF4" w:rsidRPr="006865B3" w:rsidRDefault="00605EF4" w:rsidP="006865B3">
            <w:pPr>
              <w:pStyle w:val="TableText"/>
            </w:pPr>
            <w:r w:rsidRPr="006865B3">
              <w:t>Retrospective cohort study</w:t>
            </w:r>
          </w:p>
          <w:p w14:paraId="0E63E11E" w14:textId="77777777" w:rsidR="00605EF4" w:rsidRPr="006865B3" w:rsidRDefault="00605EF4" w:rsidP="006865B3">
            <w:pPr>
              <w:pStyle w:val="TableText"/>
            </w:pPr>
            <w:r w:rsidRPr="006865B3">
              <w:t>Level III-2</w:t>
            </w:r>
          </w:p>
          <w:p w14:paraId="2A864DDC" w14:textId="28BFE8EF" w:rsidR="00605EF4" w:rsidRPr="006865B3" w:rsidRDefault="00605EF4" w:rsidP="006865B3">
            <w:pPr>
              <w:pStyle w:val="Tabletext0"/>
              <w:spacing w:before="0" w:after="120"/>
              <w:jc w:val="left"/>
            </w:pPr>
            <w:r w:rsidRPr="006865B3">
              <w:t>Low risk of bias</w:t>
            </w:r>
          </w:p>
        </w:tc>
        <w:tc>
          <w:tcPr>
            <w:tcW w:w="764" w:type="pct"/>
            <w:shd w:val="clear" w:color="auto" w:fill="auto"/>
          </w:tcPr>
          <w:p w14:paraId="6557D2AB" w14:textId="77777777" w:rsidR="00605EF4" w:rsidRPr="006865B3" w:rsidRDefault="00605EF4" w:rsidP="006865B3">
            <w:pPr>
              <w:pStyle w:val="TableText"/>
            </w:pPr>
            <w:r w:rsidRPr="006865B3">
              <w:rPr>
                <w:rFonts w:eastAsia="Arial Narrow" w:cs="Arial Narrow"/>
              </w:rPr>
              <w:t xml:space="preserve">Consecutive NSCLC (adenocarcinoma) patients </w:t>
            </w:r>
          </w:p>
          <w:p w14:paraId="7D65B661" w14:textId="7539CCA6" w:rsidR="00605EF4" w:rsidRPr="006865B3" w:rsidRDefault="00605EF4" w:rsidP="006865B3">
            <w:pPr>
              <w:pStyle w:val="Tabletext0"/>
              <w:spacing w:before="0" w:after="120"/>
              <w:jc w:val="left"/>
            </w:pPr>
            <w:r w:rsidRPr="006865B3">
              <w:t>Histology and cytology samples</w:t>
            </w:r>
          </w:p>
        </w:tc>
        <w:tc>
          <w:tcPr>
            <w:tcW w:w="800" w:type="pct"/>
          </w:tcPr>
          <w:p w14:paraId="42128FB0" w14:textId="456CF70A" w:rsidR="00605EF4" w:rsidRPr="006865B3" w:rsidRDefault="00605EF4" w:rsidP="006865B3">
            <w:pPr>
              <w:pStyle w:val="TableText"/>
            </w:pPr>
            <w:r w:rsidRPr="006865B3">
              <w:t>NGS panel detecting hotspot mutations in 35 genes, 19 amplifications and 23 rearrangements</w:t>
            </w:r>
          </w:p>
        </w:tc>
        <w:tc>
          <w:tcPr>
            <w:tcW w:w="961" w:type="pct"/>
          </w:tcPr>
          <w:p w14:paraId="004E027E" w14:textId="77777777" w:rsidR="00605EF4" w:rsidRPr="006865B3" w:rsidRDefault="00605EF4" w:rsidP="006865B3">
            <w:pPr>
              <w:pStyle w:val="TableText"/>
            </w:pPr>
            <w:r w:rsidRPr="006865B3">
              <w:rPr>
                <w:rFonts w:eastAsia="Arial Narrow" w:cs="Arial Narrow"/>
              </w:rPr>
              <w:t xml:space="preserve">Sequential testing beginning with </w:t>
            </w:r>
            <w:r w:rsidRPr="006865B3">
              <w:rPr>
                <w:rFonts w:eastAsia="Arial Narrow" w:cs="Arial Narrow"/>
                <w:i/>
              </w:rPr>
              <w:t>EGFR</w:t>
            </w:r>
            <w:r w:rsidRPr="006865B3">
              <w:rPr>
                <w:rFonts w:eastAsia="Arial Narrow" w:cs="Arial Narrow"/>
              </w:rPr>
              <w:t xml:space="preserve"> and</w:t>
            </w:r>
            <w:r w:rsidRPr="006865B3">
              <w:rPr>
                <w:rFonts w:eastAsia="Arial Narrow" w:cs="Arial Narrow"/>
                <w:i/>
              </w:rPr>
              <w:t xml:space="preserve"> KRAS</w:t>
            </w:r>
          </w:p>
          <w:p w14:paraId="4BC256AB" w14:textId="77777777" w:rsidR="00605EF4" w:rsidRPr="006865B3" w:rsidRDefault="00605EF4" w:rsidP="006865B3">
            <w:pPr>
              <w:pStyle w:val="TableText"/>
            </w:pPr>
            <w:r w:rsidRPr="006865B3">
              <w:rPr>
                <w:rFonts w:eastAsia="Arial Narrow" w:cs="Arial Narrow"/>
              </w:rPr>
              <w:t xml:space="preserve">Pyrosequencing for </w:t>
            </w:r>
            <w:r w:rsidRPr="006865B3">
              <w:rPr>
                <w:rFonts w:eastAsia="Arial Narrow" w:cs="Arial Narrow"/>
                <w:i/>
              </w:rPr>
              <w:t xml:space="preserve">KRAS </w:t>
            </w:r>
            <w:r w:rsidRPr="006865B3">
              <w:rPr>
                <w:rFonts w:eastAsia="Arial Narrow" w:cs="Arial Narrow"/>
              </w:rPr>
              <w:t xml:space="preserve">and </w:t>
            </w:r>
            <w:r w:rsidRPr="006865B3">
              <w:rPr>
                <w:rFonts w:eastAsia="Arial Narrow" w:cs="Arial Narrow"/>
                <w:i/>
              </w:rPr>
              <w:t>BRAF</w:t>
            </w:r>
          </w:p>
          <w:p w14:paraId="4BE207AF" w14:textId="77777777" w:rsidR="00605EF4" w:rsidRPr="006865B3" w:rsidRDefault="00605EF4" w:rsidP="006865B3">
            <w:pPr>
              <w:pStyle w:val="TableText"/>
            </w:pPr>
            <w:r w:rsidRPr="006865B3">
              <w:rPr>
                <w:rFonts w:eastAsia="Arial Narrow" w:cs="Arial Narrow"/>
              </w:rPr>
              <w:t xml:space="preserve">FISH and IHC for </w:t>
            </w:r>
            <w:r w:rsidRPr="006865B3">
              <w:rPr>
                <w:rFonts w:eastAsia="Arial Narrow" w:cs="Arial Narrow"/>
                <w:i/>
              </w:rPr>
              <w:t>ALK</w:t>
            </w:r>
          </w:p>
          <w:p w14:paraId="394DB318" w14:textId="77777777" w:rsidR="00605EF4" w:rsidRPr="006865B3" w:rsidRDefault="00605EF4" w:rsidP="006865B3">
            <w:pPr>
              <w:pStyle w:val="TableText"/>
            </w:pPr>
            <w:r w:rsidRPr="006865B3">
              <w:rPr>
                <w:rFonts w:eastAsia="Arial Narrow" w:cs="Arial Narrow"/>
              </w:rPr>
              <w:lastRenderedPageBreak/>
              <w:t xml:space="preserve">FISH for </w:t>
            </w:r>
            <w:r w:rsidRPr="006865B3">
              <w:rPr>
                <w:rFonts w:eastAsia="Arial Narrow" w:cs="Arial Narrow"/>
                <w:i/>
              </w:rPr>
              <w:t xml:space="preserve">ROS1, MET </w:t>
            </w:r>
            <w:r w:rsidRPr="006865B3">
              <w:rPr>
                <w:rFonts w:eastAsia="Arial Narrow" w:cs="Arial Narrow"/>
              </w:rPr>
              <w:t xml:space="preserve">and </w:t>
            </w:r>
            <w:r w:rsidRPr="006865B3">
              <w:rPr>
                <w:rFonts w:eastAsia="Arial Narrow" w:cs="Arial Narrow"/>
                <w:i/>
              </w:rPr>
              <w:t>RET</w:t>
            </w:r>
          </w:p>
          <w:p w14:paraId="5D1F34DE" w14:textId="74DC767C" w:rsidR="00605EF4" w:rsidRPr="006865B3" w:rsidRDefault="00605EF4" w:rsidP="006865B3">
            <w:pPr>
              <w:pStyle w:val="Tabletext0"/>
              <w:spacing w:before="0" w:after="120"/>
              <w:jc w:val="left"/>
            </w:pPr>
            <w:r w:rsidRPr="006865B3">
              <w:rPr>
                <w:rFonts w:eastAsia="Franklin Gothic Book" w:cs="Franklin Gothic Book"/>
              </w:rPr>
              <w:t xml:space="preserve">ISH and SISH for </w:t>
            </w:r>
            <w:r w:rsidRPr="006865B3">
              <w:rPr>
                <w:rFonts w:eastAsia="Franklin Gothic Book" w:cs="Franklin Gothic Book"/>
                <w:i/>
              </w:rPr>
              <w:t>HER2</w:t>
            </w:r>
          </w:p>
        </w:tc>
        <w:tc>
          <w:tcPr>
            <w:tcW w:w="572" w:type="pct"/>
            <w:shd w:val="clear" w:color="auto" w:fill="auto"/>
          </w:tcPr>
          <w:p w14:paraId="6C08177B" w14:textId="77777777" w:rsidR="00605EF4" w:rsidRPr="006865B3" w:rsidRDefault="00605EF4" w:rsidP="006865B3">
            <w:pPr>
              <w:pStyle w:val="TableText"/>
              <w:rPr>
                <w:snapToGrid w:val="0"/>
              </w:rPr>
            </w:pPr>
            <w:r w:rsidRPr="006865B3">
              <w:rPr>
                <w:snapToGrid w:val="0"/>
              </w:rPr>
              <w:lastRenderedPageBreak/>
              <w:t>Volume of tissue required</w:t>
            </w:r>
          </w:p>
          <w:p w14:paraId="113C1200" w14:textId="46BDAB6B" w:rsidR="00AD1F21" w:rsidRPr="006865B3" w:rsidRDefault="00AD1F21" w:rsidP="006865B3">
            <w:pPr>
              <w:pStyle w:val="TableText"/>
              <w:rPr>
                <w:snapToGrid w:val="0"/>
              </w:rPr>
            </w:pPr>
            <w:r w:rsidRPr="006865B3">
              <w:rPr>
                <w:snapToGrid w:val="0"/>
              </w:rPr>
              <w:t>Turnaround time</w:t>
            </w:r>
          </w:p>
        </w:tc>
        <w:tc>
          <w:tcPr>
            <w:tcW w:w="456" w:type="pct"/>
            <w:shd w:val="clear" w:color="auto" w:fill="auto"/>
          </w:tcPr>
          <w:p w14:paraId="488B4C50" w14:textId="30189BB6" w:rsidR="00605EF4" w:rsidRPr="006865B3" w:rsidRDefault="00605EF4" w:rsidP="006865B3">
            <w:pPr>
              <w:pStyle w:val="TableText"/>
              <w:rPr>
                <w:snapToGrid w:val="0"/>
              </w:rPr>
            </w:pPr>
            <w:r w:rsidRPr="006865B3">
              <w:rPr>
                <w:snapToGrid w:val="0"/>
              </w:rPr>
              <w:t>No</w:t>
            </w:r>
          </w:p>
        </w:tc>
      </w:tr>
      <w:tr w:rsidR="009B5315" w:rsidRPr="006865B3" w14:paraId="4B784D66" w14:textId="77777777" w:rsidTr="006865B3">
        <w:tc>
          <w:tcPr>
            <w:tcW w:w="646" w:type="pct"/>
            <w:shd w:val="clear" w:color="auto" w:fill="auto"/>
          </w:tcPr>
          <w:p w14:paraId="61FEF2F2" w14:textId="0A2B4622" w:rsidR="00605EF4" w:rsidRPr="006865B3" w:rsidRDefault="00B4668F" w:rsidP="006865B3">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&lt;EndNote&gt;&lt;Cite&gt;&lt;Author&gt;de Biase&lt;/Author&gt;&lt;Year&gt;2013&lt;/Year&gt;&lt;RecNum&gt;158&lt;/RecNum&gt;&lt;IDText&gt;e83607-NA&lt;/IDText&gt;&lt;DisplayText&gt;(de Biase et al. 2013)&lt;/DisplayText&gt;&lt;record&gt;&lt;rec-number&gt;158&lt;/rec-number&gt;&lt;foreign-keys&gt;&lt;key app="EN" db-id="0tprsse9cpp5r3ea5dz5p0xw2pfwvwxpa5a5" timestamp="1655264277"&gt;158&lt;/key&gt;&lt;/foreign-keys&gt;&lt;ref-type name="Journal Article"&gt;17&lt;/ref-type&gt;&lt;contributors&gt;&lt;authors&gt;&lt;author&gt;de Biase, Dario&lt;/author&gt;&lt;author&gt;Visani, Michela&lt;/author&gt;&lt;author&gt;Malapelle, Umberto&lt;/author&gt;&lt;author&gt;Simonato, Francesca&lt;/author&gt;&lt;author&gt;Cesari, Valentina&lt;/author&gt;&lt;author&gt;Bellevicine, Claudio&lt;/author&gt;&lt;author&gt;Pession, Annalisa&lt;/author&gt;&lt;author&gt;Troncone, Giancarlo&lt;/author&gt;&lt;author&gt;Fassina, Ambrogio&lt;/author&gt;&lt;author&gt;Tallini, Giovanni&lt;/author&gt;&lt;/authors&gt;&lt;/contributors&gt;&lt;titles&gt;&lt;title&gt;Next-Generation Sequencing of Lung Cancer EGFR Exons 18-21 Allows Effective Molecular Diagnosis of Small Routine Samples (Cytology and Biopsy)&lt;/title&gt;&lt;secondary-title&gt;PloS one&lt;/secondary-title&gt;&lt;/titles&gt;&lt;periodical&gt;&lt;full-title&gt;PLoS One&lt;/full-title&gt;&lt;/periodical&gt;&lt;pages&gt;e83607-NA&lt;/pages&gt;&lt;volume&gt;8&lt;/volume&gt;&lt;number&gt;12&lt;/number&gt;&lt;dates&gt;&lt;year&gt;2013&lt;/year&gt;&lt;/dates&gt;&lt;urls&gt;&lt;/urls&gt;&lt;electronic-resource-num&gt;10.1371/journal.pone.0083607&lt;/electronic-resource-num&gt;&lt;research-notes&gt;P - Include. concordance in predictions of clinical relevance. &lt;/research-notes&gt;&lt;/record&gt;&lt;/Cite&gt;&lt;/EndNote&gt;</w:instrText>
            </w:r>
            <w:r>
              <w:rPr>
                <w:rFonts w:ascii="Arial Narrow" w:hAnsi="Arial Narrow"/>
              </w:rPr>
              <w:fldChar w:fldCharType="separate"/>
            </w:r>
            <w:r>
              <w:rPr>
                <w:rFonts w:ascii="Arial Narrow" w:hAnsi="Arial Narrow"/>
                <w:noProof/>
              </w:rPr>
              <w:t>(de Biase et al. 2013)</w:t>
            </w:r>
            <w:r>
              <w:rPr>
                <w:rFonts w:ascii="Arial Narrow" w:hAnsi="Arial Narrow"/>
              </w:rPr>
              <w:fldChar w:fldCharType="end"/>
            </w:r>
          </w:p>
          <w:p w14:paraId="0CBB256E" w14:textId="77777777" w:rsidR="00605EF4" w:rsidRPr="006865B3" w:rsidRDefault="00605EF4" w:rsidP="006865B3">
            <w:pPr>
              <w:spacing w:before="0"/>
              <w:rPr>
                <w:rFonts w:ascii="Arial Narrow" w:hAnsi="Arial Narrow" w:cs="Calibri"/>
                <w:color w:val="000000"/>
              </w:rPr>
            </w:pPr>
            <w:r w:rsidRPr="006865B3">
              <w:rPr>
                <w:rFonts w:ascii="Arial Narrow" w:hAnsi="Arial Narrow"/>
              </w:rPr>
              <w:t>Italy</w:t>
            </w:r>
          </w:p>
        </w:tc>
        <w:tc>
          <w:tcPr>
            <w:tcW w:w="214" w:type="pct"/>
            <w:shd w:val="clear" w:color="auto" w:fill="auto"/>
          </w:tcPr>
          <w:p w14:paraId="02979593" w14:textId="77777777" w:rsidR="00605EF4" w:rsidRPr="006865B3" w:rsidRDefault="00605EF4" w:rsidP="006865B3">
            <w:pPr>
              <w:pStyle w:val="TableText"/>
              <w:rPr>
                <w:snapToGrid w:val="0"/>
              </w:rPr>
            </w:pPr>
            <w:r w:rsidRPr="006865B3">
              <w:rPr>
                <w:snapToGrid w:val="0"/>
              </w:rPr>
              <w:t>80</w:t>
            </w:r>
          </w:p>
        </w:tc>
        <w:tc>
          <w:tcPr>
            <w:tcW w:w="587" w:type="pct"/>
            <w:shd w:val="clear" w:color="auto" w:fill="auto"/>
          </w:tcPr>
          <w:p w14:paraId="0C51ED1D" w14:textId="77777777" w:rsidR="00605EF4" w:rsidRPr="006865B3" w:rsidRDefault="00605EF4" w:rsidP="006865B3">
            <w:pPr>
              <w:pStyle w:val="Tabletext0"/>
              <w:spacing w:before="0" w:after="120"/>
              <w:jc w:val="left"/>
            </w:pPr>
            <w:r w:rsidRPr="006865B3">
              <w:t>Cohort study</w:t>
            </w:r>
          </w:p>
          <w:p w14:paraId="3E023AAB" w14:textId="77777777" w:rsidR="00605EF4" w:rsidRPr="006865B3" w:rsidRDefault="00605EF4" w:rsidP="006865B3">
            <w:pPr>
              <w:pStyle w:val="Tabletext0"/>
              <w:spacing w:before="0" w:after="120"/>
              <w:jc w:val="left"/>
            </w:pPr>
            <w:r w:rsidRPr="006865B3">
              <w:t>Level III-2</w:t>
            </w:r>
          </w:p>
          <w:p w14:paraId="76918761" w14:textId="77777777" w:rsidR="00605EF4" w:rsidRPr="006865B3" w:rsidRDefault="00605EF4" w:rsidP="006865B3">
            <w:pPr>
              <w:pStyle w:val="TableText"/>
              <w:rPr>
                <w:snapToGrid w:val="0"/>
              </w:rPr>
            </w:pPr>
            <w:r w:rsidRPr="006865B3">
              <w:t>Low risk of bias</w:t>
            </w:r>
          </w:p>
        </w:tc>
        <w:tc>
          <w:tcPr>
            <w:tcW w:w="764" w:type="pct"/>
            <w:shd w:val="clear" w:color="auto" w:fill="auto"/>
          </w:tcPr>
          <w:p w14:paraId="480379EA" w14:textId="77777777" w:rsidR="00605EF4" w:rsidRPr="006865B3" w:rsidRDefault="00605EF4" w:rsidP="006865B3">
            <w:pPr>
              <w:pStyle w:val="Tabletext0"/>
              <w:spacing w:before="0" w:after="120"/>
              <w:jc w:val="left"/>
            </w:pPr>
            <w:r w:rsidRPr="006865B3">
              <w:t>NSCLC samples randomly selected from patients underwent diagnostic workup</w:t>
            </w:r>
          </w:p>
          <w:p w14:paraId="4868F294" w14:textId="77777777" w:rsidR="00605EF4" w:rsidRPr="006865B3" w:rsidRDefault="00605EF4" w:rsidP="006865B3">
            <w:pPr>
              <w:pStyle w:val="TableText"/>
              <w:rPr>
                <w:snapToGrid w:val="0"/>
              </w:rPr>
            </w:pPr>
            <w:r w:rsidRPr="006865B3">
              <w:t>Cytology and FFPE biopsy specimens</w:t>
            </w:r>
          </w:p>
        </w:tc>
        <w:tc>
          <w:tcPr>
            <w:tcW w:w="800" w:type="pct"/>
          </w:tcPr>
          <w:p w14:paraId="7D2EF92B" w14:textId="77777777" w:rsidR="00605EF4" w:rsidRPr="006865B3" w:rsidRDefault="00605EF4" w:rsidP="006865B3">
            <w:pPr>
              <w:pStyle w:val="TableText"/>
              <w:rPr>
                <w:snapToGrid w:val="0"/>
              </w:rPr>
            </w:pPr>
            <w:r w:rsidRPr="006865B3">
              <w:t xml:space="preserve">NGS, targeting </w:t>
            </w:r>
            <w:r w:rsidRPr="006865B3">
              <w:rPr>
                <w:i/>
              </w:rPr>
              <w:t>EGFR</w:t>
            </w:r>
            <w:r w:rsidRPr="006865B3">
              <w:t xml:space="preserve"> exon 18-21, using a 454 GS-Junior Next Generation sequencer (Roche Diagnostics)</w:t>
            </w:r>
          </w:p>
        </w:tc>
        <w:tc>
          <w:tcPr>
            <w:tcW w:w="961" w:type="pct"/>
          </w:tcPr>
          <w:p w14:paraId="0E19EBEC" w14:textId="77777777" w:rsidR="00605EF4" w:rsidRPr="006865B3" w:rsidRDefault="00605EF4" w:rsidP="006865B3">
            <w:pPr>
              <w:pStyle w:val="TableText"/>
              <w:rPr>
                <w:snapToGrid w:val="0"/>
              </w:rPr>
            </w:pPr>
            <w:r w:rsidRPr="006865B3">
              <w:t>Sanger sequencing carried out using the GenomeLab DTCS Kit (Beckman Coulter, U.S.A.) and a CEQ2000 XL automatic DNA sequencer (Beckman Coulter)  and the BigDye Terminator kit (version 3.1; Life Technologies)</w:t>
            </w:r>
          </w:p>
        </w:tc>
        <w:tc>
          <w:tcPr>
            <w:tcW w:w="572" w:type="pct"/>
            <w:shd w:val="clear" w:color="auto" w:fill="auto"/>
          </w:tcPr>
          <w:p w14:paraId="137C759C" w14:textId="77777777" w:rsidR="00605EF4" w:rsidRPr="006865B3" w:rsidRDefault="00605EF4" w:rsidP="006865B3">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28B88FFB" w14:textId="07D754C6" w:rsidR="00605EF4" w:rsidRPr="006865B3" w:rsidRDefault="00504E35" w:rsidP="006865B3">
            <w:pPr>
              <w:pStyle w:val="TableText"/>
              <w:rPr>
                <w:snapToGrid w:val="0"/>
              </w:rPr>
            </w:pPr>
            <w:r>
              <w:rPr>
                <w:snapToGrid w:val="0"/>
              </w:rPr>
              <w:t>Yes</w:t>
            </w:r>
          </w:p>
        </w:tc>
      </w:tr>
      <w:tr w:rsidR="009B5315" w:rsidRPr="006865B3" w14:paraId="767D47D0" w14:textId="77777777" w:rsidTr="006865B3">
        <w:tc>
          <w:tcPr>
            <w:tcW w:w="646" w:type="pct"/>
            <w:shd w:val="clear" w:color="auto" w:fill="auto"/>
          </w:tcPr>
          <w:p w14:paraId="613E2B41" w14:textId="302E8E06" w:rsidR="00605EF4" w:rsidRPr="006865B3" w:rsidRDefault="00B4668F" w:rsidP="006865B3">
            <w:pPr>
              <w:spacing w:before="0"/>
              <w:rPr>
                <w:rFonts w:ascii="Arial Narrow" w:hAnsi="Arial Narrow"/>
              </w:rPr>
            </w:pPr>
            <w:r>
              <w:rPr>
                <w:rFonts w:ascii="Arial Narrow" w:hAnsi="Arial Narrow"/>
              </w:rPr>
              <w:fldChar w:fldCharType="begin">
                <w:fldData xml:space="preserve">PEVuZE5vdGU+PENpdGU+PEF1dGhvcj5EJmFwb3M7SGFlbmU8L0F1dGhvcj48WWVhcj4yMDE1PC9Z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</w:fldData>
              </w:fldChar>
            </w:r>
            <w:r>
              <w:rPr>
                <w:rFonts w:ascii="Arial Narrow" w:hAnsi="Arial Narrow"/>
              </w:rPr>
              <w:instrText xml:space="preserve"> ADDIN EN.CITE </w:instrText>
            </w:r>
            <w:r>
              <w:rPr>
                <w:rFonts w:ascii="Arial Narrow" w:hAnsi="Arial Narrow"/>
              </w:rPr>
              <w:fldChar w:fldCharType="begin">
                <w:fldData xml:space="preserve">PEVuZE5vdGU+PENpdGU+PEF1dGhvcj5EJmFwb3M7SGFlbmU8L0F1dGhvcj48WWVhcj4yMDE1PC9Z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(D'Haene et al. 2015)</w:t>
            </w:r>
            <w:r>
              <w:rPr>
                <w:rFonts w:ascii="Arial Narrow" w:hAnsi="Arial Narrow"/>
              </w:rPr>
              <w:fldChar w:fldCharType="end"/>
            </w:r>
          </w:p>
          <w:p w14:paraId="290E375A" w14:textId="77777777" w:rsidR="00605EF4" w:rsidRPr="006865B3" w:rsidRDefault="00605EF4" w:rsidP="006865B3">
            <w:pPr>
              <w:spacing w:before="0"/>
              <w:rPr>
                <w:rFonts w:ascii="Arial Narrow" w:hAnsi="Arial Narrow" w:cs="Calibri"/>
                <w:color w:val="000000"/>
              </w:rPr>
            </w:pPr>
            <w:r w:rsidRPr="006865B3">
              <w:rPr>
                <w:rFonts w:ascii="Arial Narrow" w:hAnsi="Arial Narrow"/>
              </w:rPr>
              <w:t>Belgium</w:t>
            </w:r>
          </w:p>
        </w:tc>
        <w:tc>
          <w:tcPr>
            <w:tcW w:w="214" w:type="pct"/>
            <w:shd w:val="clear" w:color="auto" w:fill="auto"/>
          </w:tcPr>
          <w:p w14:paraId="216E5043" w14:textId="77777777" w:rsidR="00605EF4" w:rsidRPr="006865B3" w:rsidRDefault="00605EF4" w:rsidP="006865B3">
            <w:pPr>
              <w:pStyle w:val="TableText"/>
              <w:rPr>
                <w:snapToGrid w:val="0"/>
              </w:rPr>
            </w:pPr>
            <w:r w:rsidRPr="006865B3">
              <w:rPr>
                <w:snapToGrid w:val="0"/>
              </w:rPr>
              <w:t>39</w:t>
            </w:r>
          </w:p>
        </w:tc>
        <w:tc>
          <w:tcPr>
            <w:tcW w:w="587" w:type="pct"/>
            <w:shd w:val="clear" w:color="auto" w:fill="auto"/>
          </w:tcPr>
          <w:p w14:paraId="2009E8A4" w14:textId="77777777" w:rsidR="00605EF4" w:rsidRPr="006865B3" w:rsidRDefault="00605EF4" w:rsidP="006865B3">
            <w:pPr>
              <w:pStyle w:val="Tabletext0"/>
              <w:spacing w:before="0" w:after="120"/>
              <w:jc w:val="left"/>
            </w:pPr>
            <w:r w:rsidRPr="006865B3">
              <w:t>Retrospective cohort study</w:t>
            </w:r>
          </w:p>
          <w:p w14:paraId="372EAE4D" w14:textId="77777777" w:rsidR="00605EF4" w:rsidRPr="006865B3" w:rsidRDefault="00605EF4" w:rsidP="006865B3">
            <w:pPr>
              <w:pStyle w:val="Tabletext0"/>
              <w:spacing w:before="0" w:after="120"/>
              <w:jc w:val="left"/>
            </w:pPr>
            <w:r w:rsidRPr="006865B3">
              <w:t>Level III-2</w:t>
            </w:r>
          </w:p>
          <w:p w14:paraId="14E187D5" w14:textId="77777777" w:rsidR="00605EF4" w:rsidRPr="006865B3" w:rsidRDefault="00605EF4" w:rsidP="006865B3">
            <w:pPr>
              <w:pStyle w:val="TableText"/>
              <w:rPr>
                <w:snapToGrid w:val="0"/>
              </w:rPr>
            </w:pPr>
            <w:r w:rsidRPr="006865B3">
              <w:t>Moderate risk of bias</w:t>
            </w:r>
          </w:p>
        </w:tc>
        <w:tc>
          <w:tcPr>
            <w:tcW w:w="764" w:type="pct"/>
            <w:shd w:val="clear" w:color="auto" w:fill="auto"/>
          </w:tcPr>
          <w:p w14:paraId="2B24B146" w14:textId="77777777" w:rsidR="00605EF4" w:rsidRPr="006865B3" w:rsidRDefault="00605EF4" w:rsidP="006865B3">
            <w:pPr>
              <w:pStyle w:val="Tabletext0"/>
              <w:spacing w:before="0" w:after="120"/>
              <w:jc w:val="left"/>
            </w:pPr>
            <w:r w:rsidRPr="006865B3">
              <w:t>Specimens from NSCLC patients already tested for EGFR</w:t>
            </w:r>
          </w:p>
          <w:p w14:paraId="39B19B6E" w14:textId="77777777" w:rsidR="00605EF4" w:rsidRPr="006865B3" w:rsidRDefault="00605EF4" w:rsidP="006865B3">
            <w:pPr>
              <w:pStyle w:val="TableText"/>
              <w:rPr>
                <w:snapToGrid w:val="0"/>
              </w:rPr>
            </w:pPr>
            <w:r w:rsidRPr="006865B3">
              <w:t>Samples from biopsy, resection and cell blocks</w:t>
            </w:r>
          </w:p>
        </w:tc>
        <w:tc>
          <w:tcPr>
            <w:tcW w:w="800" w:type="pct"/>
          </w:tcPr>
          <w:p w14:paraId="6DA48BFF" w14:textId="77777777" w:rsidR="00605EF4" w:rsidRPr="006865B3" w:rsidRDefault="00605EF4" w:rsidP="006865B3">
            <w:pPr>
              <w:pStyle w:val="TableText"/>
              <w:rPr>
                <w:snapToGrid w:val="0"/>
              </w:rPr>
            </w:pPr>
            <w:r w:rsidRPr="006865B3">
              <w:t>NGS colon and lung panel of 22 genes</w:t>
            </w:r>
          </w:p>
        </w:tc>
        <w:tc>
          <w:tcPr>
            <w:tcW w:w="961" w:type="pct"/>
          </w:tcPr>
          <w:p w14:paraId="5C9BA8F3" w14:textId="77777777" w:rsidR="00605EF4" w:rsidRPr="006865B3" w:rsidRDefault="00605EF4" w:rsidP="006865B3">
            <w:pPr>
              <w:pStyle w:val="TableText"/>
              <w:rPr>
                <w:snapToGrid w:val="0"/>
              </w:rPr>
            </w:pPr>
            <w:r w:rsidRPr="006865B3">
              <w:rPr>
                <w:i/>
              </w:rPr>
              <w:t>EFGR</w:t>
            </w:r>
            <w:r w:rsidRPr="006865B3">
              <w:t xml:space="preserve"> PCR</w:t>
            </w:r>
          </w:p>
        </w:tc>
        <w:tc>
          <w:tcPr>
            <w:tcW w:w="572" w:type="pct"/>
            <w:shd w:val="clear" w:color="auto" w:fill="auto"/>
          </w:tcPr>
          <w:p w14:paraId="5AAD6118" w14:textId="77777777" w:rsidR="00605EF4" w:rsidRPr="006865B3" w:rsidRDefault="00605EF4" w:rsidP="006865B3">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4872C85C" w14:textId="4C4CE1E6" w:rsidR="00605EF4" w:rsidRPr="006865B3" w:rsidRDefault="00504E35" w:rsidP="006865B3">
            <w:pPr>
              <w:pStyle w:val="TableText"/>
              <w:rPr>
                <w:snapToGrid w:val="0"/>
              </w:rPr>
            </w:pPr>
            <w:r>
              <w:rPr>
                <w:snapToGrid w:val="0"/>
              </w:rPr>
              <w:t>Yes</w:t>
            </w:r>
          </w:p>
        </w:tc>
      </w:tr>
      <w:tr w:rsidR="009B5315" w:rsidRPr="006865B3" w14:paraId="2B28E37B" w14:textId="77777777" w:rsidTr="006865B3">
        <w:tc>
          <w:tcPr>
            <w:tcW w:w="646" w:type="pct"/>
            <w:shd w:val="clear" w:color="auto" w:fill="auto"/>
          </w:tcPr>
          <w:p w14:paraId="2C742129" w14:textId="18C0618C" w:rsidR="00605EF4" w:rsidRPr="006865B3" w:rsidRDefault="00B4668F" w:rsidP="006865B3">
            <w:pPr>
              <w:spacing w:before="0"/>
              <w:rPr>
                <w:rFonts w:ascii="Arial Narrow" w:hAnsi="Arial Narrow"/>
              </w:rPr>
            </w:pPr>
            <w:r>
              <w:rPr>
                <w:rFonts w:ascii="Arial Narrow" w:hAnsi="Arial Narrow"/>
              </w:rP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rPr>
                <w:rFonts w:ascii="Arial Narrow" w:hAnsi="Arial Narrow"/>
              </w:rPr>
              <w:instrText xml:space="preserve"> ADDIN EN.CITE </w:instrText>
            </w:r>
            <w:r>
              <w:rPr>
                <w:rFonts w:ascii="Arial Narrow" w:hAnsi="Arial Narrow"/>
              </w:rP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(DiBardino et al. 2017)</w:t>
            </w:r>
            <w:r>
              <w:rPr>
                <w:rFonts w:ascii="Arial Narrow" w:hAnsi="Arial Narrow"/>
              </w:rPr>
              <w:fldChar w:fldCharType="end"/>
            </w:r>
            <w:r w:rsidR="00605EF4" w:rsidRPr="006865B3">
              <w:rPr>
                <w:rFonts w:ascii="Arial Narrow" w:hAnsi="Arial Narrow"/>
              </w:rPr>
              <w:t xml:space="preserve"> </w:t>
            </w:r>
          </w:p>
          <w:p w14:paraId="041B1483" w14:textId="26913A3E" w:rsidR="00605EF4" w:rsidRPr="006865B3" w:rsidRDefault="00605EF4" w:rsidP="006865B3">
            <w:pPr>
              <w:spacing w:before="0"/>
              <w:rPr>
                <w:rFonts w:ascii="Arial Narrow" w:hAnsi="Arial Narrow" w:cs="Calibri"/>
                <w:color w:val="000000"/>
              </w:rPr>
            </w:pPr>
            <w:r w:rsidRPr="006865B3">
              <w:rPr>
                <w:rFonts w:ascii="Arial Narrow" w:hAnsi="Arial Narrow" w:cs="Calibri"/>
                <w:color w:val="000000"/>
              </w:rPr>
              <w:t>United States</w:t>
            </w:r>
          </w:p>
        </w:tc>
        <w:tc>
          <w:tcPr>
            <w:tcW w:w="214" w:type="pct"/>
            <w:shd w:val="clear" w:color="auto" w:fill="auto"/>
          </w:tcPr>
          <w:p w14:paraId="1DEEA295" w14:textId="77777777" w:rsidR="00605EF4" w:rsidRPr="006865B3" w:rsidRDefault="00605EF4" w:rsidP="006865B3">
            <w:pPr>
              <w:pStyle w:val="TableText"/>
              <w:rPr>
                <w:snapToGrid w:val="0"/>
              </w:rPr>
            </w:pPr>
            <w:r w:rsidRPr="006865B3">
              <w:rPr>
                <w:snapToGrid w:val="0"/>
              </w:rPr>
              <w:t>22</w:t>
            </w:r>
          </w:p>
        </w:tc>
        <w:tc>
          <w:tcPr>
            <w:tcW w:w="587" w:type="pct"/>
            <w:shd w:val="clear" w:color="auto" w:fill="auto"/>
          </w:tcPr>
          <w:p w14:paraId="66E0026C" w14:textId="77777777" w:rsidR="00605EF4" w:rsidRPr="006865B3" w:rsidRDefault="00605EF4" w:rsidP="006865B3">
            <w:pPr>
              <w:pStyle w:val="Tabletext0"/>
              <w:spacing w:before="0" w:after="120"/>
              <w:jc w:val="left"/>
            </w:pPr>
            <w:r w:rsidRPr="006865B3">
              <w:t>Retrospective cohort study</w:t>
            </w:r>
          </w:p>
          <w:p w14:paraId="3AC9D056" w14:textId="77777777" w:rsidR="00605EF4" w:rsidRPr="006865B3" w:rsidRDefault="00605EF4" w:rsidP="006865B3">
            <w:pPr>
              <w:pStyle w:val="Tabletext0"/>
              <w:spacing w:before="0" w:after="120"/>
              <w:jc w:val="left"/>
            </w:pPr>
            <w:r w:rsidRPr="006865B3">
              <w:t>Level III-2</w:t>
            </w:r>
          </w:p>
          <w:p w14:paraId="6B4A4AAE" w14:textId="77777777" w:rsidR="00605EF4" w:rsidRPr="006865B3" w:rsidRDefault="00605EF4" w:rsidP="006865B3">
            <w:pPr>
              <w:pStyle w:val="TableText"/>
              <w:rPr>
                <w:snapToGrid w:val="0"/>
              </w:rPr>
            </w:pPr>
            <w:r w:rsidRPr="006865B3">
              <w:t>Low to moderate risk of bias</w:t>
            </w:r>
          </w:p>
        </w:tc>
        <w:tc>
          <w:tcPr>
            <w:tcW w:w="764" w:type="pct"/>
            <w:shd w:val="clear" w:color="auto" w:fill="auto"/>
          </w:tcPr>
          <w:p w14:paraId="1C1FF471" w14:textId="77777777" w:rsidR="00605EF4" w:rsidRPr="006865B3" w:rsidRDefault="00605EF4" w:rsidP="006865B3">
            <w:pPr>
              <w:pStyle w:val="Tabletext0"/>
              <w:spacing w:before="0" w:after="120"/>
              <w:jc w:val="left"/>
            </w:pPr>
            <w:r w:rsidRPr="006865B3">
              <w:t>NSCLC samples randomly selected from patients underwent diagnostic workup</w:t>
            </w:r>
          </w:p>
          <w:p w14:paraId="10F15704" w14:textId="77777777" w:rsidR="00605EF4" w:rsidRPr="006865B3" w:rsidRDefault="00605EF4" w:rsidP="006865B3">
            <w:pPr>
              <w:pStyle w:val="TableText"/>
              <w:rPr>
                <w:snapToGrid w:val="0"/>
              </w:rPr>
            </w:pPr>
            <w:r w:rsidRPr="006865B3">
              <w:t>Cytology and FFPE biopsy specimens</w:t>
            </w:r>
          </w:p>
        </w:tc>
        <w:tc>
          <w:tcPr>
            <w:tcW w:w="800" w:type="pct"/>
          </w:tcPr>
          <w:p w14:paraId="15A3DE44" w14:textId="77777777" w:rsidR="00605EF4" w:rsidRPr="006865B3" w:rsidRDefault="00605EF4" w:rsidP="006865B3">
            <w:pPr>
              <w:pStyle w:val="TableText"/>
              <w:rPr>
                <w:snapToGrid w:val="0"/>
              </w:rPr>
            </w:pPr>
            <w:r w:rsidRPr="006865B3">
              <w:t xml:space="preserve">NGS, targeting </w:t>
            </w:r>
            <w:r w:rsidRPr="006865B3">
              <w:rPr>
                <w:i/>
              </w:rPr>
              <w:t>EGFR</w:t>
            </w:r>
            <w:r w:rsidRPr="006865B3">
              <w:t xml:space="preserve"> exon 18-21, using a 454 GS-Junior Next Generation sequencer (Roche Diagnostics)</w:t>
            </w:r>
          </w:p>
        </w:tc>
        <w:tc>
          <w:tcPr>
            <w:tcW w:w="961" w:type="pct"/>
          </w:tcPr>
          <w:p w14:paraId="4A9297D1" w14:textId="77777777" w:rsidR="00605EF4" w:rsidRPr="006865B3" w:rsidRDefault="00605EF4" w:rsidP="006865B3">
            <w:pPr>
              <w:pStyle w:val="TableText"/>
              <w:rPr>
                <w:snapToGrid w:val="0"/>
              </w:rPr>
            </w:pPr>
            <w:r w:rsidRPr="006865B3">
              <w:t>Sanger sequencing carried out using the GenomeLab DTCS Kit (Beckman Coulter, U.S.A.) and a CEQ2000 XL automatic DNA sequencer (Beckman Coulter)  and the BigDye Terminator kit (version 3.1; Life Technologies)</w:t>
            </w:r>
          </w:p>
        </w:tc>
        <w:tc>
          <w:tcPr>
            <w:tcW w:w="572" w:type="pct"/>
            <w:shd w:val="clear" w:color="auto" w:fill="auto"/>
          </w:tcPr>
          <w:p w14:paraId="7E0D5711" w14:textId="77777777" w:rsidR="00605EF4" w:rsidRPr="006865B3" w:rsidRDefault="00605EF4" w:rsidP="006865B3">
            <w:pPr>
              <w:pStyle w:val="TableText"/>
              <w:rPr>
                <w:i/>
                <w:snapToGrid w:val="0"/>
              </w:rPr>
            </w:pPr>
            <w:r w:rsidRPr="006865B3">
              <w:rPr>
                <w:snapToGrid w:val="0"/>
              </w:rPr>
              <w:t xml:space="preserve">Concordance for </w:t>
            </w:r>
            <w:r w:rsidRPr="006865B3">
              <w:rPr>
                <w:i/>
                <w:snapToGrid w:val="0"/>
              </w:rPr>
              <w:t>EGFR</w:t>
            </w:r>
          </w:p>
          <w:p w14:paraId="74D700D8" w14:textId="61B0ADC4" w:rsidR="00605EF4" w:rsidRPr="006865B3" w:rsidRDefault="00605EF4" w:rsidP="006865B3">
            <w:pPr>
              <w:pStyle w:val="TableText"/>
              <w:rPr>
                <w:snapToGrid w:val="0"/>
              </w:rPr>
            </w:pPr>
            <w:r w:rsidRPr="006865B3">
              <w:rPr>
                <w:snapToGrid w:val="0"/>
              </w:rPr>
              <w:t>Rate of concurrent variants</w:t>
            </w:r>
          </w:p>
        </w:tc>
        <w:tc>
          <w:tcPr>
            <w:tcW w:w="456" w:type="pct"/>
            <w:shd w:val="clear" w:color="auto" w:fill="auto"/>
          </w:tcPr>
          <w:p w14:paraId="77484917" w14:textId="1A634FAA" w:rsidR="00605EF4" w:rsidRPr="006865B3" w:rsidRDefault="00504E35" w:rsidP="006865B3">
            <w:pPr>
              <w:pStyle w:val="TableText"/>
              <w:rPr>
                <w:snapToGrid w:val="0"/>
              </w:rPr>
            </w:pPr>
            <w:r>
              <w:rPr>
                <w:snapToGrid w:val="0"/>
              </w:rPr>
              <w:t>Yes</w:t>
            </w:r>
          </w:p>
        </w:tc>
      </w:tr>
      <w:tr w:rsidR="009B5315" w:rsidRPr="006865B3" w14:paraId="109EF3EF" w14:textId="77777777" w:rsidTr="006865B3">
        <w:tc>
          <w:tcPr>
            <w:tcW w:w="646" w:type="pct"/>
            <w:shd w:val="clear" w:color="auto" w:fill="auto"/>
          </w:tcPr>
          <w:p w14:paraId="5AAB9D5B" w14:textId="13ADBBF9" w:rsidR="00605EF4" w:rsidRPr="006865B3" w:rsidRDefault="00B4668F" w:rsidP="006865B3">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&lt;EndNote&gt;&lt;Cite&gt;&lt;Author&gt;Fernandes&lt;/Author&gt;&lt;Year&gt;2019&lt;/Year&gt;&lt;RecNum&gt;159&lt;/RecNum&gt;&lt;IDText&gt;1229-NA&lt;/IDText&gt;&lt;DisplayText&gt;(Fernandes et al. 2019)&lt;/DisplayText&gt;&lt;record&gt;&lt;rec-number&gt;159&lt;/rec-number&gt;&lt;foreign-keys&gt;&lt;key app="EN" db-id="0tprsse9cpp5r3ea5dz5p0xw2pfwvwxpa5a5" timestamp="1655264277"&gt;159&lt;/key&gt;&lt;/foreign-keys&gt;&lt;ref-type name="Journal Article"&gt;17&lt;/ref-type&gt;&lt;contributors&gt;&lt;authors&gt;&lt;author&gt;Fernandes, Maria Gabriela O.&lt;/author&gt;&lt;author&gt;Jacob, Maria&lt;/author&gt;&lt;author&gt;Martins, Natália&lt;/author&gt;&lt;author&gt;Moura, Conceição Souto&lt;/author&gt;&lt;author&gt;Guimarães, Susana&lt;/author&gt;&lt;author&gt;Reis, Joana Pereira&lt;/author&gt;&lt;author&gt;Justino, Ana&lt;/author&gt;&lt;author&gt;Pina, Maria João&lt;/author&gt;&lt;author&gt;Cirnes, Luis&lt;/author&gt;&lt;author&gt;Sousa, Catarina&lt;/author&gt;&lt;author&gt;Pinto, Josué&lt;/author&gt;&lt;author&gt;Marques, José Agostinho&lt;/author&gt;&lt;author&gt;Machado, José Carlos&lt;/author&gt;&lt;author&gt;Hespanhol, Venceslau&lt;/author&gt;&lt;author&gt;Costa, José Luis&lt;/author&gt;&lt;/authors&gt;&lt;/contributors&gt;&lt;titles&gt;&lt;title&gt;Targeted Gene Next-Generation Sequencing Panel in Patients with Advanced Lung Adenocarcinoma: Paving the Way for Clinical Implementation&lt;/title&gt;&lt;secondary-title&gt;Cancers&lt;/secondary-title&gt;&lt;/titles&gt;&lt;periodical&gt;&lt;full-title&gt;Cancers&lt;/full-title&gt;&lt;/periodical&gt;&lt;pages&gt;1229-NA&lt;/pages&gt;&lt;volume&gt;11&lt;/volume&gt;&lt;number&gt;9&lt;/number&gt;&lt;dates&gt;&lt;year&gt;2019&lt;/year&gt;&lt;/dates&gt;&lt;urls&gt;&lt;related-urls&gt;&lt;url&gt;https://mdpi-res.com/d_attachment/cancers/cancers-11-01229/article_deploy/cancers-11-01229.pdf?version=1566477861&lt;/url&gt;&lt;/related-urls&gt;&lt;/urls&gt;&lt;electronic-resource-num&gt;10.3390/cancers11091229&lt;/electronic-resource-num&gt;&lt;research-notes&gt;P - Include - concordance with Sanger EGFR&lt;/research-notes&gt;&lt;/record&gt;&lt;/Cite&gt;&lt;/EndNote&gt;</w:instrText>
            </w:r>
            <w:r>
              <w:rPr>
                <w:rFonts w:ascii="Arial Narrow" w:hAnsi="Arial Narrow"/>
              </w:rPr>
              <w:fldChar w:fldCharType="separate"/>
            </w:r>
            <w:r>
              <w:rPr>
                <w:rFonts w:ascii="Arial Narrow" w:hAnsi="Arial Narrow"/>
                <w:noProof/>
              </w:rPr>
              <w:t>(Fernandes et al. 2019)</w:t>
            </w:r>
            <w:r>
              <w:rPr>
                <w:rFonts w:ascii="Arial Narrow" w:hAnsi="Arial Narrow"/>
              </w:rPr>
              <w:fldChar w:fldCharType="end"/>
            </w:r>
          </w:p>
          <w:p w14:paraId="04C08454" w14:textId="77777777" w:rsidR="00605EF4" w:rsidRPr="006865B3" w:rsidRDefault="00605EF4" w:rsidP="006865B3">
            <w:pPr>
              <w:spacing w:before="0"/>
              <w:rPr>
                <w:rFonts w:ascii="Arial Narrow" w:hAnsi="Arial Narrow" w:cs="Calibri"/>
                <w:color w:val="000000"/>
              </w:rPr>
            </w:pPr>
            <w:r w:rsidRPr="006865B3">
              <w:rPr>
                <w:rFonts w:ascii="Arial Narrow" w:hAnsi="Arial Narrow"/>
              </w:rPr>
              <w:t>Portugal</w:t>
            </w:r>
          </w:p>
        </w:tc>
        <w:tc>
          <w:tcPr>
            <w:tcW w:w="214" w:type="pct"/>
            <w:shd w:val="clear" w:color="auto" w:fill="auto"/>
          </w:tcPr>
          <w:p w14:paraId="68A13CF1" w14:textId="77777777" w:rsidR="00605EF4" w:rsidRPr="006865B3" w:rsidRDefault="00605EF4" w:rsidP="006865B3">
            <w:pPr>
              <w:pStyle w:val="TableText"/>
              <w:rPr>
                <w:snapToGrid w:val="0"/>
              </w:rPr>
            </w:pPr>
            <w:r w:rsidRPr="006865B3">
              <w:rPr>
                <w:snapToGrid w:val="0"/>
              </w:rPr>
              <w:t>117</w:t>
            </w:r>
          </w:p>
        </w:tc>
        <w:tc>
          <w:tcPr>
            <w:tcW w:w="587" w:type="pct"/>
            <w:shd w:val="clear" w:color="auto" w:fill="auto"/>
          </w:tcPr>
          <w:p w14:paraId="0CABCCC2" w14:textId="77777777" w:rsidR="00605EF4" w:rsidRPr="006865B3" w:rsidRDefault="00605EF4" w:rsidP="006865B3">
            <w:pPr>
              <w:spacing w:before="0" w:after="120"/>
              <w:rPr>
                <w:rFonts w:ascii="Arial Narrow" w:eastAsia="Arial Narrow" w:hAnsi="Arial Narrow" w:cs="Arial Narrow"/>
              </w:rPr>
            </w:pPr>
            <w:r w:rsidRPr="006865B3">
              <w:rPr>
                <w:rFonts w:ascii="Arial Narrow" w:eastAsia="Arial Narrow" w:hAnsi="Arial Narrow" w:cs="Arial Narrow"/>
              </w:rPr>
              <w:t>Retrospective cohort study</w:t>
            </w:r>
          </w:p>
          <w:p w14:paraId="35DAF4D6" w14:textId="77777777" w:rsidR="00605EF4" w:rsidRPr="006865B3" w:rsidRDefault="00605EF4" w:rsidP="006865B3">
            <w:pPr>
              <w:spacing w:before="0" w:after="120"/>
              <w:rPr>
                <w:rFonts w:ascii="Arial Narrow" w:eastAsia="Arial Narrow" w:hAnsi="Arial Narrow" w:cs="Arial Narrow"/>
              </w:rPr>
            </w:pPr>
            <w:r w:rsidRPr="006865B3">
              <w:rPr>
                <w:rFonts w:ascii="Arial Narrow" w:eastAsia="Arial Narrow" w:hAnsi="Arial Narrow" w:cs="Arial Narrow"/>
              </w:rPr>
              <w:t>Level III-2</w:t>
            </w:r>
          </w:p>
          <w:p w14:paraId="2BEF7EB9" w14:textId="77777777" w:rsidR="00605EF4" w:rsidRPr="006865B3" w:rsidRDefault="00605EF4" w:rsidP="006865B3">
            <w:pPr>
              <w:pStyle w:val="TableText"/>
              <w:rPr>
                <w:snapToGrid w:val="0"/>
              </w:rPr>
            </w:pPr>
            <w:r w:rsidRPr="006865B3">
              <w:rPr>
                <w:rFonts w:eastAsia="Arial Narrow" w:cs="Arial Narrow"/>
              </w:rPr>
              <w:t>Low to moderate risk of bias</w:t>
            </w:r>
          </w:p>
        </w:tc>
        <w:tc>
          <w:tcPr>
            <w:tcW w:w="764" w:type="pct"/>
            <w:shd w:val="clear" w:color="auto" w:fill="auto"/>
          </w:tcPr>
          <w:p w14:paraId="1DDD55E7" w14:textId="77777777" w:rsidR="00605EF4" w:rsidRPr="006865B3" w:rsidRDefault="00605EF4" w:rsidP="006865B3">
            <w:pPr>
              <w:spacing w:before="0" w:after="120"/>
              <w:rPr>
                <w:rFonts w:ascii="Arial Narrow" w:eastAsia="Arial Narrow" w:hAnsi="Arial Narrow" w:cs="Arial Narrow"/>
              </w:rPr>
            </w:pPr>
            <w:r w:rsidRPr="006865B3">
              <w:rPr>
                <w:rFonts w:ascii="Arial Narrow" w:eastAsia="Arial Narrow" w:hAnsi="Arial Narrow" w:cs="Arial Narrow"/>
              </w:rPr>
              <w:t>Patients with advanced lung adenocarcinoma, previously tested for EGFR and ALK</w:t>
            </w:r>
          </w:p>
          <w:p w14:paraId="4F353876" w14:textId="77777777" w:rsidR="00605EF4" w:rsidRPr="006865B3" w:rsidRDefault="00605EF4" w:rsidP="006865B3">
            <w:pPr>
              <w:pStyle w:val="TableText"/>
              <w:rPr>
                <w:snapToGrid w:val="0"/>
              </w:rPr>
            </w:pPr>
            <w:r w:rsidRPr="006865B3">
              <w:rPr>
                <w:rFonts w:eastAsia="Arial Narrow" w:cs="Arial Narrow"/>
              </w:rPr>
              <w:t>Biopsy and cytology specimens</w:t>
            </w:r>
          </w:p>
        </w:tc>
        <w:tc>
          <w:tcPr>
            <w:tcW w:w="800" w:type="pct"/>
          </w:tcPr>
          <w:p w14:paraId="47C3F3E3" w14:textId="77777777" w:rsidR="00605EF4" w:rsidRPr="006865B3" w:rsidRDefault="00605EF4" w:rsidP="006865B3">
            <w:pPr>
              <w:pStyle w:val="TableText"/>
              <w:rPr>
                <w:snapToGrid w:val="0"/>
              </w:rPr>
            </w:pPr>
            <w:r w:rsidRPr="006865B3">
              <w:rPr>
                <w:rFonts w:eastAsia="Arial Narrow" w:cs="Arial Narrow"/>
              </w:rPr>
              <w:t>NGS colon and lung cancer research panel, 22 genes</w:t>
            </w:r>
          </w:p>
        </w:tc>
        <w:tc>
          <w:tcPr>
            <w:tcW w:w="961" w:type="pct"/>
          </w:tcPr>
          <w:p w14:paraId="43703052" w14:textId="77777777" w:rsidR="00605EF4" w:rsidRPr="006865B3" w:rsidRDefault="00605EF4" w:rsidP="006865B3">
            <w:pPr>
              <w:pStyle w:val="TableText"/>
              <w:rPr>
                <w:snapToGrid w:val="0"/>
              </w:rPr>
            </w:pPr>
            <w:r w:rsidRPr="006865B3">
              <w:rPr>
                <w:rFonts w:eastAsia="Arial Narrow" w:cs="Arial Narrow"/>
              </w:rPr>
              <w:t>Sequential testing using SS and FISH for EFGR and ALK</w:t>
            </w:r>
          </w:p>
        </w:tc>
        <w:tc>
          <w:tcPr>
            <w:tcW w:w="572" w:type="pct"/>
            <w:shd w:val="clear" w:color="auto" w:fill="auto"/>
          </w:tcPr>
          <w:p w14:paraId="41FA7FFF" w14:textId="77777777" w:rsidR="00605EF4" w:rsidRPr="006865B3" w:rsidRDefault="00605EF4" w:rsidP="006865B3">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420D3B0B" w14:textId="5FF7B70F" w:rsidR="00605EF4" w:rsidRPr="006865B3" w:rsidRDefault="00504E35" w:rsidP="006865B3">
            <w:pPr>
              <w:pStyle w:val="TableText"/>
              <w:rPr>
                <w:snapToGrid w:val="0"/>
              </w:rPr>
            </w:pPr>
            <w:r>
              <w:rPr>
                <w:snapToGrid w:val="0"/>
              </w:rPr>
              <w:t>Yes</w:t>
            </w:r>
          </w:p>
        </w:tc>
      </w:tr>
      <w:tr w:rsidR="009B5315" w:rsidRPr="006865B3" w14:paraId="4E80FB65" w14:textId="77777777" w:rsidTr="006865B3">
        <w:tc>
          <w:tcPr>
            <w:tcW w:w="646" w:type="pct"/>
            <w:shd w:val="clear" w:color="auto" w:fill="auto"/>
          </w:tcPr>
          <w:p w14:paraId="6A17DB55" w14:textId="58E151A2" w:rsidR="0070591D" w:rsidRPr="006865B3" w:rsidRDefault="00B4668F" w:rsidP="006865B3">
            <w:pPr>
              <w:pStyle w:val="TableFooter"/>
              <w:jc w:val="left"/>
              <w:rPr>
                <w:sz w:val="20"/>
              </w:rPr>
            </w:pPr>
            <w:r>
              <w:rPr>
                <w:sz w:val="20"/>
              </w:rP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rPr>
                <w:sz w:val="20"/>
              </w:rPr>
              <w:instrText xml:space="preserve"> ADDIN EN.CITE </w:instrText>
            </w:r>
            <w:r>
              <w:rPr>
                <w:sz w:val="20"/>
              </w:rP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rPr>
                <w:sz w:val="20"/>
              </w:rPr>
              <w:instrText xml:space="preserve"> ADDIN EN.CITE.DATA </w:instrText>
            </w:r>
            <w:r>
              <w:rPr>
                <w:sz w:val="20"/>
              </w:rPr>
            </w:r>
            <w:r>
              <w:rPr>
                <w:sz w:val="20"/>
              </w:rPr>
              <w:fldChar w:fldCharType="end"/>
            </w:r>
            <w:r>
              <w:rPr>
                <w:sz w:val="20"/>
              </w:rPr>
            </w:r>
            <w:r>
              <w:rPr>
                <w:sz w:val="20"/>
              </w:rPr>
              <w:fldChar w:fldCharType="separate"/>
            </w:r>
            <w:r>
              <w:rPr>
                <w:noProof/>
                <w:sz w:val="20"/>
              </w:rPr>
              <w:t>(Griesinger et al. 2021)</w:t>
            </w:r>
            <w:r>
              <w:rPr>
                <w:sz w:val="20"/>
              </w:rPr>
              <w:fldChar w:fldCharType="end"/>
            </w:r>
          </w:p>
          <w:p w14:paraId="2FA1683D" w14:textId="5F3398DD" w:rsidR="0070591D" w:rsidRPr="006865B3" w:rsidRDefault="0070591D" w:rsidP="006865B3">
            <w:pPr>
              <w:spacing w:before="0"/>
              <w:rPr>
                <w:rFonts w:ascii="Arial Narrow" w:hAnsi="Arial Narrow"/>
              </w:rPr>
            </w:pPr>
            <w:r w:rsidRPr="006865B3">
              <w:rPr>
                <w:rFonts w:ascii="Arial Narrow" w:hAnsi="Arial Narrow"/>
              </w:rPr>
              <w:t>Germany</w:t>
            </w:r>
          </w:p>
        </w:tc>
        <w:tc>
          <w:tcPr>
            <w:tcW w:w="214" w:type="pct"/>
            <w:shd w:val="clear" w:color="auto" w:fill="auto"/>
          </w:tcPr>
          <w:p w14:paraId="5E28A8C7" w14:textId="533F7103" w:rsidR="0070591D" w:rsidRPr="006865B3" w:rsidRDefault="0070591D" w:rsidP="006865B3">
            <w:pPr>
              <w:pStyle w:val="TableText"/>
              <w:rPr>
                <w:snapToGrid w:val="0"/>
              </w:rPr>
            </w:pPr>
            <w:r w:rsidRPr="006865B3">
              <w:rPr>
                <w:snapToGrid w:val="0"/>
              </w:rPr>
              <w:t>3,717</w:t>
            </w:r>
          </w:p>
        </w:tc>
        <w:tc>
          <w:tcPr>
            <w:tcW w:w="587" w:type="pct"/>
            <w:shd w:val="clear" w:color="auto" w:fill="auto"/>
          </w:tcPr>
          <w:p w14:paraId="2646B13F" w14:textId="77777777" w:rsidR="0070591D" w:rsidRPr="006865B3" w:rsidRDefault="0070591D" w:rsidP="006865B3">
            <w:pPr>
              <w:pStyle w:val="Tabletext0"/>
              <w:spacing w:before="0" w:after="120"/>
              <w:jc w:val="left"/>
            </w:pPr>
            <w:r w:rsidRPr="006865B3">
              <w:t>Prospective cohort</w:t>
            </w:r>
          </w:p>
          <w:p w14:paraId="010A78DC" w14:textId="77777777" w:rsidR="0070591D" w:rsidRPr="006865B3" w:rsidRDefault="0070591D" w:rsidP="006865B3">
            <w:pPr>
              <w:pStyle w:val="Tabletext0"/>
              <w:spacing w:before="0" w:after="120"/>
              <w:jc w:val="left"/>
            </w:pPr>
            <w:r w:rsidRPr="006865B3">
              <w:t>Level III-2</w:t>
            </w:r>
          </w:p>
          <w:p w14:paraId="58DFB21C" w14:textId="09CB4187" w:rsidR="0070591D" w:rsidRPr="006865B3" w:rsidRDefault="0070591D" w:rsidP="006865B3">
            <w:pPr>
              <w:spacing w:before="0" w:after="120"/>
              <w:rPr>
                <w:rFonts w:ascii="Arial Narrow" w:eastAsia="Arial Narrow" w:hAnsi="Arial Narrow" w:cs="Arial Narrow"/>
              </w:rPr>
            </w:pPr>
            <w:r w:rsidRPr="006865B3">
              <w:rPr>
                <w:rFonts w:ascii="Arial Narrow" w:hAnsi="Arial Narrow"/>
              </w:rPr>
              <w:t>Low to moderate risk of bias</w:t>
            </w:r>
          </w:p>
        </w:tc>
        <w:tc>
          <w:tcPr>
            <w:tcW w:w="764" w:type="pct"/>
            <w:shd w:val="clear" w:color="auto" w:fill="auto"/>
          </w:tcPr>
          <w:p w14:paraId="18C0B185" w14:textId="5F174F19" w:rsidR="0070591D" w:rsidRPr="006865B3" w:rsidRDefault="0070591D" w:rsidP="006865B3">
            <w:pPr>
              <w:spacing w:before="0" w:after="120"/>
              <w:rPr>
                <w:rFonts w:ascii="Arial Narrow" w:eastAsia="Arial Narrow" w:hAnsi="Arial Narrow" w:cs="Arial Narrow"/>
              </w:rPr>
            </w:pPr>
            <w:r w:rsidRPr="006865B3">
              <w:rPr>
                <w:rFonts w:ascii="Arial Narrow" w:hAnsi="Arial Narrow"/>
                <w:snapToGrid w:val="0"/>
              </w:rPr>
              <w:t>Patients with advanced NSCLC, recruited into the CRISP registry at start of systemic therapy</w:t>
            </w:r>
          </w:p>
        </w:tc>
        <w:tc>
          <w:tcPr>
            <w:tcW w:w="800" w:type="pct"/>
          </w:tcPr>
          <w:p w14:paraId="3366EA86" w14:textId="564A1470" w:rsidR="0070591D" w:rsidRPr="006865B3" w:rsidRDefault="0070591D" w:rsidP="006865B3">
            <w:pPr>
              <w:pStyle w:val="TableText"/>
              <w:rPr>
                <w:rFonts w:eastAsia="Arial Narrow" w:cs="Arial Narrow"/>
              </w:rPr>
            </w:pPr>
            <w:r w:rsidRPr="006865B3">
              <w:t>NGS, no detailed information provided</w:t>
            </w:r>
          </w:p>
        </w:tc>
        <w:tc>
          <w:tcPr>
            <w:tcW w:w="961" w:type="pct"/>
          </w:tcPr>
          <w:p w14:paraId="0E3FDACB" w14:textId="72FEFB21" w:rsidR="0070591D" w:rsidRPr="006865B3" w:rsidRDefault="0070591D" w:rsidP="006865B3">
            <w:pPr>
              <w:pStyle w:val="TableText"/>
              <w:rPr>
                <w:rFonts w:eastAsia="Arial Narrow" w:cs="Arial Narrow"/>
              </w:rPr>
            </w:pPr>
            <w:r w:rsidRPr="006865B3">
              <w:t>IHC, FISH and other sequencing, no detailed information provided</w:t>
            </w:r>
          </w:p>
        </w:tc>
        <w:tc>
          <w:tcPr>
            <w:tcW w:w="572" w:type="pct"/>
            <w:shd w:val="clear" w:color="auto" w:fill="auto"/>
          </w:tcPr>
          <w:p w14:paraId="2CD28431" w14:textId="77777777" w:rsidR="0070591D" w:rsidRPr="006865B3" w:rsidRDefault="0070591D" w:rsidP="006865B3">
            <w:pPr>
              <w:pStyle w:val="TableText"/>
              <w:rPr>
                <w:snapToGrid w:val="0"/>
              </w:rPr>
            </w:pPr>
            <w:r w:rsidRPr="006865B3">
              <w:rPr>
                <w:snapToGrid w:val="0"/>
              </w:rPr>
              <w:t>Rate of concurrent variants</w:t>
            </w:r>
          </w:p>
          <w:p w14:paraId="42B9557E" w14:textId="56B13915" w:rsidR="0070591D" w:rsidRPr="006865B3" w:rsidRDefault="0070591D" w:rsidP="006865B3">
            <w:pPr>
              <w:pStyle w:val="TableText"/>
              <w:rPr>
                <w:snapToGrid w:val="0"/>
              </w:rPr>
            </w:pPr>
            <w:r w:rsidRPr="006865B3">
              <w:rPr>
                <w:snapToGrid w:val="0"/>
              </w:rPr>
              <w:t>Turnaround time</w:t>
            </w:r>
          </w:p>
        </w:tc>
        <w:tc>
          <w:tcPr>
            <w:tcW w:w="456" w:type="pct"/>
            <w:shd w:val="clear" w:color="auto" w:fill="auto"/>
          </w:tcPr>
          <w:p w14:paraId="5B11A202" w14:textId="0C8D4C6D" w:rsidR="0070591D" w:rsidRPr="006865B3" w:rsidRDefault="00504E35" w:rsidP="006865B3">
            <w:pPr>
              <w:pStyle w:val="TableText"/>
              <w:rPr>
                <w:snapToGrid w:val="0"/>
              </w:rPr>
            </w:pPr>
            <w:r>
              <w:rPr>
                <w:snapToGrid w:val="0"/>
              </w:rPr>
              <w:t>No</w:t>
            </w:r>
          </w:p>
        </w:tc>
      </w:tr>
      <w:tr w:rsidR="009B5315" w:rsidRPr="006865B3" w14:paraId="4E0A7FEA" w14:textId="77777777" w:rsidTr="006865B3">
        <w:tc>
          <w:tcPr>
            <w:tcW w:w="646" w:type="pct"/>
            <w:shd w:val="clear" w:color="auto" w:fill="auto"/>
          </w:tcPr>
          <w:p w14:paraId="7F72DDEF" w14:textId="50567A0C" w:rsidR="0070591D" w:rsidRPr="006865B3" w:rsidRDefault="00B4668F" w:rsidP="006865B3">
            <w:pPr>
              <w:spacing w:before="0"/>
              <w:rPr>
                <w:rFonts w:ascii="Arial Narrow" w:hAnsi="Arial Narrow" w:cs="Calibri"/>
                <w:color w:val="000000"/>
              </w:rPr>
            </w:pPr>
            <w:r>
              <w:rPr>
                <w:rFonts w:ascii="Arial Narrow" w:hAnsi="Arial Narrow" w:cs="Calibri"/>
                <w:color w:val="000000"/>
              </w:rPr>
              <w:fldChar w:fldCharType="begin">
                <w:fldData xml:space="preserve">PEVuZE5vdGU+PENpdGU+PEF1dGhvcj5IaW5yaWNoczwvQXV0aG9yPjxZZWFyPjIwMTU8L1llYXI+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</w:fldData>
              </w:fldChar>
            </w:r>
            <w:r>
              <w:rPr>
                <w:rFonts w:ascii="Arial Narrow" w:hAnsi="Arial Narrow" w:cs="Calibri"/>
                <w:color w:val="000000"/>
              </w:rPr>
              <w:instrText xml:space="preserve"> ADDIN EN.CITE </w:instrText>
            </w:r>
            <w:r>
              <w:rPr>
                <w:rFonts w:ascii="Arial Narrow" w:hAnsi="Arial Narrow" w:cs="Calibri"/>
                <w:color w:val="000000"/>
              </w:rPr>
              <w:fldChar w:fldCharType="begin">
                <w:fldData xml:space="preserve">PEVuZE5vdGU+PENpdGU+PEF1dGhvcj5IaW5yaWNoczwvQXV0aG9yPjxZZWFyPjIwMTU8L1llYXI+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</w:fldData>
              </w:fldChar>
            </w:r>
            <w:r>
              <w:rPr>
                <w:rFonts w:ascii="Arial Narrow" w:hAnsi="Arial Narrow" w:cs="Calibri"/>
                <w:color w:val="000000"/>
              </w:rPr>
              <w:instrText xml:space="preserve"> ADDIN EN.CITE.DATA </w:instrText>
            </w:r>
            <w:r>
              <w:rPr>
                <w:rFonts w:ascii="Arial Narrow" w:hAnsi="Arial Narrow" w:cs="Calibri"/>
                <w:color w:val="000000"/>
              </w:rPr>
            </w:r>
            <w:r>
              <w:rPr>
                <w:rFonts w:ascii="Arial Narrow" w:hAnsi="Arial Narrow" w:cs="Calibri"/>
                <w:color w:val="000000"/>
              </w:rPr>
              <w:fldChar w:fldCharType="end"/>
            </w:r>
            <w:r>
              <w:rPr>
                <w:rFonts w:ascii="Arial Narrow" w:hAnsi="Arial Narrow" w:cs="Calibri"/>
                <w:color w:val="000000"/>
              </w:rPr>
            </w:r>
            <w:r>
              <w:rPr>
                <w:rFonts w:ascii="Arial Narrow" w:hAnsi="Arial Narrow" w:cs="Calibri"/>
                <w:color w:val="000000"/>
              </w:rPr>
              <w:fldChar w:fldCharType="separate"/>
            </w:r>
            <w:r>
              <w:rPr>
                <w:rFonts w:ascii="Arial Narrow" w:hAnsi="Arial Narrow" w:cs="Calibri"/>
                <w:noProof/>
                <w:color w:val="000000"/>
              </w:rPr>
              <w:t>(Hinrichs et al. 2015)</w:t>
            </w:r>
            <w:r>
              <w:rPr>
                <w:rFonts w:ascii="Arial Narrow" w:hAnsi="Arial Narrow" w:cs="Calibri"/>
                <w:color w:val="000000"/>
              </w:rPr>
              <w:fldChar w:fldCharType="end"/>
            </w:r>
            <w:r w:rsidR="0070591D" w:rsidRPr="006865B3">
              <w:rPr>
                <w:rFonts w:ascii="Arial Narrow" w:hAnsi="Arial Narrow" w:cs="Calibri"/>
                <w:color w:val="000000"/>
              </w:rPr>
              <w:t xml:space="preserve"> </w:t>
            </w:r>
          </w:p>
          <w:p w14:paraId="63503176" w14:textId="23A4AC4D" w:rsidR="0070591D" w:rsidRPr="006865B3" w:rsidRDefault="0070591D" w:rsidP="006865B3">
            <w:pPr>
              <w:spacing w:before="0"/>
              <w:rPr>
                <w:rFonts w:ascii="Arial Narrow" w:hAnsi="Arial Narrow" w:cs="Calibri"/>
                <w:color w:val="000000"/>
              </w:rPr>
            </w:pPr>
            <w:r w:rsidRPr="006865B3">
              <w:rPr>
                <w:rFonts w:ascii="Arial Narrow" w:hAnsi="Arial Narrow" w:cs="Calibri"/>
                <w:color w:val="000000"/>
              </w:rPr>
              <w:t>The Netherlands</w:t>
            </w:r>
          </w:p>
        </w:tc>
        <w:tc>
          <w:tcPr>
            <w:tcW w:w="214" w:type="pct"/>
            <w:shd w:val="clear" w:color="auto" w:fill="auto"/>
          </w:tcPr>
          <w:p w14:paraId="16866392" w14:textId="77777777" w:rsidR="0070591D" w:rsidRPr="006865B3" w:rsidRDefault="0070591D" w:rsidP="006865B3">
            <w:pPr>
              <w:pStyle w:val="TableText"/>
              <w:rPr>
                <w:snapToGrid w:val="0"/>
              </w:rPr>
            </w:pPr>
            <w:r w:rsidRPr="006865B3">
              <w:rPr>
                <w:snapToGrid w:val="0"/>
              </w:rPr>
              <w:t>25</w:t>
            </w:r>
          </w:p>
        </w:tc>
        <w:tc>
          <w:tcPr>
            <w:tcW w:w="587" w:type="pct"/>
            <w:shd w:val="clear" w:color="auto" w:fill="auto"/>
          </w:tcPr>
          <w:p w14:paraId="3CA69A80" w14:textId="77777777" w:rsidR="0070591D" w:rsidRPr="006865B3" w:rsidRDefault="0070591D" w:rsidP="006865B3">
            <w:pPr>
              <w:pStyle w:val="Tabletext0"/>
              <w:spacing w:before="0" w:after="120"/>
              <w:jc w:val="left"/>
            </w:pPr>
            <w:r w:rsidRPr="006865B3">
              <w:t>Diagnostic case-control</w:t>
            </w:r>
          </w:p>
          <w:p w14:paraId="5E81FEC2" w14:textId="77777777" w:rsidR="0070591D" w:rsidRPr="006865B3" w:rsidRDefault="0070591D" w:rsidP="006865B3">
            <w:pPr>
              <w:pStyle w:val="Tabletext0"/>
              <w:spacing w:before="0" w:after="120"/>
              <w:jc w:val="left"/>
            </w:pPr>
            <w:r w:rsidRPr="006865B3">
              <w:t>Level III-3</w:t>
            </w:r>
          </w:p>
          <w:p w14:paraId="3C1745A6" w14:textId="77777777" w:rsidR="0070591D" w:rsidRPr="006865B3" w:rsidRDefault="0070591D" w:rsidP="006865B3">
            <w:pPr>
              <w:pStyle w:val="TableText"/>
              <w:rPr>
                <w:snapToGrid w:val="0"/>
              </w:rPr>
            </w:pPr>
            <w:r w:rsidRPr="006865B3">
              <w:lastRenderedPageBreak/>
              <w:t>Moderate risk of bias</w:t>
            </w:r>
          </w:p>
        </w:tc>
        <w:tc>
          <w:tcPr>
            <w:tcW w:w="764" w:type="pct"/>
            <w:shd w:val="clear" w:color="auto" w:fill="auto"/>
          </w:tcPr>
          <w:p w14:paraId="63D7BDBB" w14:textId="77777777" w:rsidR="0070591D" w:rsidRPr="006865B3" w:rsidRDefault="0070591D" w:rsidP="006865B3">
            <w:pPr>
              <w:pStyle w:val="Tabletext0"/>
              <w:spacing w:before="0" w:after="120"/>
              <w:jc w:val="left"/>
            </w:pPr>
            <w:r w:rsidRPr="006865B3">
              <w:lastRenderedPageBreak/>
              <w:t xml:space="preserve">FFPE NSCLC primary tumour or metastasis samples selected, with </w:t>
            </w:r>
            <w:r w:rsidRPr="006865B3">
              <w:lastRenderedPageBreak/>
              <w:t xml:space="preserve">known </w:t>
            </w:r>
            <w:r w:rsidRPr="006865B3">
              <w:rPr>
                <w:i/>
              </w:rPr>
              <w:t>KRAS</w:t>
            </w:r>
            <w:r w:rsidRPr="006865B3">
              <w:t xml:space="preserve"> and </w:t>
            </w:r>
            <w:r w:rsidRPr="006865B3">
              <w:rPr>
                <w:i/>
              </w:rPr>
              <w:t>EGFR</w:t>
            </w:r>
            <w:r w:rsidRPr="006865B3">
              <w:t xml:space="preserve"> mutations. </w:t>
            </w:r>
          </w:p>
          <w:p w14:paraId="66969343" w14:textId="77777777" w:rsidR="0070591D" w:rsidRPr="006865B3" w:rsidRDefault="0070591D" w:rsidP="006865B3">
            <w:pPr>
              <w:pStyle w:val="TableText"/>
              <w:rPr>
                <w:snapToGrid w:val="0"/>
              </w:rPr>
            </w:pPr>
            <w:r w:rsidRPr="006865B3">
              <w:t>Biopsy, surgical and fine-needle aspiration cytology specimens</w:t>
            </w:r>
          </w:p>
        </w:tc>
        <w:tc>
          <w:tcPr>
            <w:tcW w:w="800" w:type="pct"/>
          </w:tcPr>
          <w:p w14:paraId="399C537F" w14:textId="77777777" w:rsidR="0070591D" w:rsidRPr="006865B3" w:rsidRDefault="0070591D" w:rsidP="006865B3">
            <w:pPr>
              <w:pStyle w:val="Tabletext0"/>
              <w:spacing w:before="0" w:after="120"/>
              <w:jc w:val="left"/>
            </w:pPr>
            <w:r w:rsidRPr="006865B3">
              <w:lastRenderedPageBreak/>
              <w:t>2 NGS platforms based on clonally amplified templates through emulsion PCR:</w:t>
            </w:r>
          </w:p>
          <w:p w14:paraId="3D3C0707" w14:textId="77777777" w:rsidR="0070591D" w:rsidRPr="006865B3" w:rsidRDefault="0070591D" w:rsidP="006865B3">
            <w:pPr>
              <w:pStyle w:val="Tabletext0"/>
              <w:spacing w:before="0" w:after="120"/>
              <w:jc w:val="left"/>
              <w:rPr>
                <w:snapToGrid w:val="0"/>
              </w:rPr>
            </w:pPr>
            <w:r w:rsidRPr="006865B3">
              <w:lastRenderedPageBreak/>
              <w:t xml:space="preserve">454 Genome Sequencer junior, and Ion Torrent Personal Genome Machine </w:t>
            </w:r>
          </w:p>
        </w:tc>
        <w:tc>
          <w:tcPr>
            <w:tcW w:w="961" w:type="pct"/>
          </w:tcPr>
          <w:p w14:paraId="42E673DB" w14:textId="77777777" w:rsidR="0070591D" w:rsidRPr="006865B3" w:rsidRDefault="0070591D" w:rsidP="006865B3">
            <w:pPr>
              <w:pStyle w:val="Tabletext0"/>
              <w:spacing w:before="0" w:after="120"/>
              <w:jc w:val="left"/>
            </w:pPr>
            <w:r w:rsidRPr="006865B3">
              <w:lastRenderedPageBreak/>
              <w:t xml:space="preserve">High-resolution melting prescreening in combination with Sanger sequencing (detecting clinical hotspot mutations in exons </w:t>
            </w:r>
            <w:r w:rsidRPr="006865B3">
              <w:lastRenderedPageBreak/>
              <w:t xml:space="preserve">2 and 3 of the </w:t>
            </w:r>
            <w:r w:rsidRPr="006865B3">
              <w:rPr>
                <w:i/>
              </w:rPr>
              <w:t>KRAS</w:t>
            </w:r>
            <w:r w:rsidRPr="006865B3">
              <w:t xml:space="preserve"> gene and exons 19, 20, and 21 of the </w:t>
            </w:r>
            <w:r w:rsidRPr="006865B3">
              <w:rPr>
                <w:i/>
              </w:rPr>
              <w:t>EGFR</w:t>
            </w:r>
            <w:r w:rsidRPr="006865B3">
              <w:t xml:space="preserve"> gene) </w:t>
            </w:r>
          </w:p>
          <w:p w14:paraId="1DF76A02" w14:textId="77777777" w:rsidR="0070591D" w:rsidRPr="006865B3" w:rsidRDefault="0070591D" w:rsidP="006865B3">
            <w:pPr>
              <w:pStyle w:val="Tabletext0"/>
              <w:spacing w:before="0" w:after="120"/>
              <w:jc w:val="left"/>
            </w:pPr>
            <w:r w:rsidRPr="006865B3">
              <w:t xml:space="preserve">2 mutation-specific analysis platforms based on real-time PCR technology: </w:t>
            </w:r>
          </w:p>
          <w:p w14:paraId="37AA9336" w14:textId="77777777" w:rsidR="0070591D" w:rsidRPr="006865B3" w:rsidRDefault="0070591D" w:rsidP="006865B3">
            <w:pPr>
              <w:pStyle w:val="Tabletext0"/>
              <w:spacing w:before="0" w:after="120"/>
              <w:jc w:val="left"/>
            </w:pPr>
            <w:r w:rsidRPr="006865B3">
              <w:t xml:space="preserve">cobas z 480, cobas </w:t>
            </w:r>
            <w:r w:rsidRPr="006865B3">
              <w:rPr>
                <w:i/>
              </w:rPr>
              <w:t xml:space="preserve">KRAS </w:t>
            </w:r>
            <w:r w:rsidRPr="006865B3">
              <w:t xml:space="preserve">assay detects 19 </w:t>
            </w:r>
            <w:r w:rsidRPr="006865B3">
              <w:rPr>
                <w:i/>
              </w:rPr>
              <w:t xml:space="preserve">KRAS </w:t>
            </w:r>
            <w:r w:rsidRPr="006865B3">
              <w:t xml:space="preserve">mutations in codons 12, 13 and 61; EGFR assay detects 41 mutation in exons 18, 19, 20 and 21 of the </w:t>
            </w:r>
            <w:r w:rsidRPr="006865B3">
              <w:rPr>
                <w:i/>
              </w:rPr>
              <w:t xml:space="preserve">EGFR </w:t>
            </w:r>
            <w:r w:rsidRPr="006865B3">
              <w:t xml:space="preserve">gene. </w:t>
            </w:r>
          </w:p>
          <w:p w14:paraId="25DE5935" w14:textId="77777777" w:rsidR="0070591D" w:rsidRPr="006865B3" w:rsidRDefault="0070591D" w:rsidP="006865B3">
            <w:pPr>
              <w:pStyle w:val="TableText"/>
              <w:rPr>
                <w:snapToGrid w:val="0"/>
              </w:rPr>
            </w:pPr>
            <w:r w:rsidRPr="006865B3">
              <w:t xml:space="preserve">Rotor-Gene Q, </w:t>
            </w:r>
            <w:r w:rsidRPr="006865B3">
              <w:rPr>
                <w:i/>
              </w:rPr>
              <w:t>KRAS</w:t>
            </w:r>
            <w:r w:rsidRPr="006865B3">
              <w:t xml:space="preserve"> assay detects 7 </w:t>
            </w:r>
            <w:r w:rsidRPr="006865B3">
              <w:rPr>
                <w:i/>
              </w:rPr>
              <w:t>KRAS</w:t>
            </w:r>
            <w:r w:rsidRPr="006865B3">
              <w:t xml:space="preserve"> mutations in codons 12 and 13, and the </w:t>
            </w:r>
            <w:r w:rsidRPr="006865B3">
              <w:rPr>
                <w:i/>
              </w:rPr>
              <w:t>EGFR</w:t>
            </w:r>
            <w:r w:rsidRPr="006865B3">
              <w:t xml:space="preserve"> assay detects 29 mutations in exons 18, 19, 20, and 21 of the </w:t>
            </w:r>
            <w:r w:rsidRPr="006865B3">
              <w:rPr>
                <w:i/>
              </w:rPr>
              <w:t>EGFR</w:t>
            </w:r>
            <w:r w:rsidRPr="006865B3">
              <w:t xml:space="preserve"> gene.</w:t>
            </w:r>
          </w:p>
        </w:tc>
        <w:tc>
          <w:tcPr>
            <w:tcW w:w="572" w:type="pct"/>
            <w:shd w:val="clear" w:color="auto" w:fill="auto"/>
          </w:tcPr>
          <w:p w14:paraId="5E1110E2" w14:textId="77777777" w:rsidR="0070591D" w:rsidRPr="006865B3" w:rsidRDefault="0070591D" w:rsidP="006865B3">
            <w:pPr>
              <w:pStyle w:val="TableText"/>
              <w:rPr>
                <w:snapToGrid w:val="0"/>
              </w:rPr>
            </w:pPr>
            <w:r w:rsidRPr="006865B3">
              <w:rPr>
                <w:snapToGrid w:val="0"/>
              </w:rPr>
              <w:lastRenderedPageBreak/>
              <w:t xml:space="preserve">Concordance for </w:t>
            </w:r>
            <w:r w:rsidRPr="006865B3">
              <w:rPr>
                <w:i/>
                <w:snapToGrid w:val="0"/>
              </w:rPr>
              <w:t>EGFR</w:t>
            </w:r>
          </w:p>
        </w:tc>
        <w:tc>
          <w:tcPr>
            <w:tcW w:w="456" w:type="pct"/>
            <w:shd w:val="clear" w:color="auto" w:fill="auto"/>
          </w:tcPr>
          <w:p w14:paraId="4FC184A5" w14:textId="2F2D3427" w:rsidR="0070591D" w:rsidRPr="006865B3" w:rsidRDefault="00504E35" w:rsidP="006865B3">
            <w:pPr>
              <w:pStyle w:val="TableText"/>
              <w:rPr>
                <w:snapToGrid w:val="0"/>
              </w:rPr>
            </w:pPr>
            <w:r>
              <w:rPr>
                <w:snapToGrid w:val="0"/>
              </w:rPr>
              <w:t>Yes</w:t>
            </w:r>
          </w:p>
        </w:tc>
      </w:tr>
      <w:tr w:rsidR="009B5315" w:rsidRPr="006865B3" w14:paraId="7F1804DF" w14:textId="77777777" w:rsidTr="006865B3">
        <w:tc>
          <w:tcPr>
            <w:tcW w:w="646" w:type="pct"/>
            <w:shd w:val="clear" w:color="auto" w:fill="auto"/>
          </w:tcPr>
          <w:p w14:paraId="03DA02E9" w14:textId="0F2A9A4F" w:rsidR="0070591D" w:rsidRPr="006865B3" w:rsidRDefault="00B4668F" w:rsidP="006865B3">
            <w:pPr>
              <w:spacing w:before="0"/>
              <w:rPr>
                <w:rFonts w:ascii="Arial Narrow" w:hAnsi="Arial Narrow"/>
              </w:rPr>
            </w:pPr>
            <w:r>
              <w:rPr>
                <w:rFonts w:ascii="Arial Narrow" w:hAnsi="Arial Narrow"/>
              </w:rPr>
              <w:fldChar w:fldCharType="begin">
                <w:fldData xml:space="preserve">PEVuZE5vdGU+PENpdGU+PEF1dGhvcj5JbGllPC9BdXRob3I+PFllYXI+MjAyMjwvWWVhcj48UmVj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</w:fldData>
              </w:fldChar>
            </w:r>
            <w:r>
              <w:rPr>
                <w:rFonts w:ascii="Arial Narrow" w:hAnsi="Arial Narrow"/>
              </w:rPr>
              <w:instrText xml:space="preserve"> ADDIN EN.CITE </w:instrText>
            </w:r>
            <w:r>
              <w:rPr>
                <w:rFonts w:ascii="Arial Narrow" w:hAnsi="Arial Narrow"/>
              </w:rPr>
              <w:fldChar w:fldCharType="begin">
                <w:fldData xml:space="preserve">PEVuZE5vdGU+PENpdGU+PEF1dGhvcj5JbGllPC9BdXRob3I+PFllYXI+MjAyMjwvWWVhcj48UmVj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(Ilie et al. 2022)</w:t>
            </w:r>
            <w:r>
              <w:rPr>
                <w:rFonts w:ascii="Arial Narrow" w:hAnsi="Arial Narrow"/>
              </w:rPr>
              <w:fldChar w:fldCharType="end"/>
            </w:r>
          </w:p>
          <w:p w14:paraId="5DAE6262" w14:textId="77777777" w:rsidR="0070591D" w:rsidRPr="006865B3" w:rsidRDefault="0070591D" w:rsidP="006865B3">
            <w:pPr>
              <w:spacing w:before="0"/>
              <w:rPr>
                <w:rFonts w:ascii="Arial Narrow" w:hAnsi="Arial Narrow" w:cs="Calibri"/>
                <w:color w:val="000000"/>
              </w:rPr>
            </w:pPr>
            <w:r w:rsidRPr="006865B3">
              <w:rPr>
                <w:rFonts w:ascii="Arial Narrow" w:hAnsi="Arial Narrow"/>
              </w:rPr>
              <w:t>France</w:t>
            </w:r>
          </w:p>
        </w:tc>
        <w:tc>
          <w:tcPr>
            <w:tcW w:w="214" w:type="pct"/>
            <w:shd w:val="clear" w:color="auto" w:fill="auto"/>
          </w:tcPr>
          <w:p w14:paraId="06013D38" w14:textId="77777777" w:rsidR="0070591D" w:rsidRPr="006865B3" w:rsidRDefault="0070591D" w:rsidP="006865B3">
            <w:pPr>
              <w:pStyle w:val="TableText"/>
              <w:rPr>
                <w:snapToGrid w:val="0"/>
              </w:rPr>
            </w:pPr>
            <w:r w:rsidRPr="006865B3">
              <w:rPr>
                <w:snapToGrid w:val="0"/>
              </w:rPr>
              <w:t>259</w:t>
            </w:r>
          </w:p>
        </w:tc>
        <w:tc>
          <w:tcPr>
            <w:tcW w:w="587" w:type="pct"/>
            <w:shd w:val="clear" w:color="auto" w:fill="auto"/>
          </w:tcPr>
          <w:p w14:paraId="78964B3B" w14:textId="77777777" w:rsidR="0070591D" w:rsidRPr="006865B3" w:rsidRDefault="0070591D" w:rsidP="006865B3">
            <w:pPr>
              <w:pStyle w:val="Tabletext0"/>
              <w:spacing w:before="0" w:after="120"/>
              <w:jc w:val="left"/>
            </w:pPr>
            <w:r w:rsidRPr="006865B3">
              <w:t>Cohort study (retrospective or prospective unknown)</w:t>
            </w:r>
          </w:p>
          <w:p w14:paraId="38D117FC" w14:textId="77777777" w:rsidR="0070591D" w:rsidRPr="006865B3" w:rsidRDefault="0070591D" w:rsidP="006865B3">
            <w:pPr>
              <w:pStyle w:val="Tabletext0"/>
              <w:spacing w:before="0" w:after="120"/>
              <w:jc w:val="left"/>
            </w:pPr>
            <w:r w:rsidRPr="006865B3">
              <w:t>Level III-2</w:t>
            </w:r>
          </w:p>
          <w:p w14:paraId="4891FAA2" w14:textId="77777777" w:rsidR="0070591D" w:rsidRPr="006865B3" w:rsidRDefault="0070591D" w:rsidP="006865B3">
            <w:pPr>
              <w:pStyle w:val="TableText"/>
              <w:rPr>
                <w:snapToGrid w:val="0"/>
              </w:rPr>
            </w:pPr>
            <w:r w:rsidRPr="006865B3">
              <w:t>Low risk of bias</w:t>
            </w:r>
          </w:p>
        </w:tc>
        <w:tc>
          <w:tcPr>
            <w:tcW w:w="764" w:type="pct"/>
            <w:shd w:val="clear" w:color="auto" w:fill="auto"/>
          </w:tcPr>
          <w:p w14:paraId="2348FBC2" w14:textId="77777777" w:rsidR="0070591D" w:rsidRPr="006865B3" w:rsidRDefault="0070591D" w:rsidP="006865B3">
            <w:pPr>
              <w:pStyle w:val="Tabletext0"/>
              <w:spacing w:before="0" w:after="120"/>
              <w:jc w:val="left"/>
            </w:pPr>
            <w:r w:rsidRPr="006865B3">
              <w:t>Consecutive patients diagnosed with non-squamous NSCLC</w:t>
            </w:r>
          </w:p>
          <w:p w14:paraId="41EF1253" w14:textId="77777777" w:rsidR="0070591D" w:rsidRPr="006865B3" w:rsidRDefault="0070591D" w:rsidP="006865B3">
            <w:pPr>
              <w:pStyle w:val="TableText"/>
              <w:rPr>
                <w:snapToGrid w:val="0"/>
              </w:rPr>
            </w:pPr>
            <w:r w:rsidRPr="006865B3">
              <w:t>Biopsy, surgical, pleural effusion (cellblock) and endobronchial ultrasound specimens</w:t>
            </w:r>
          </w:p>
        </w:tc>
        <w:tc>
          <w:tcPr>
            <w:tcW w:w="800" w:type="pct"/>
          </w:tcPr>
          <w:p w14:paraId="0B9ED39F" w14:textId="77777777" w:rsidR="0070591D" w:rsidRPr="006865B3" w:rsidRDefault="0070591D" w:rsidP="006865B3">
            <w:pPr>
              <w:pStyle w:val="TableText"/>
              <w:rPr>
                <w:snapToGrid w:val="0"/>
              </w:rPr>
            </w:pPr>
            <w:r w:rsidRPr="006865B3">
              <w:t>Ion Torrent Genexus Sequencer, DNA- and RNA-based NGS, panel used being Oncomine Precision Assay GX, which includes 50 genes</w:t>
            </w:r>
          </w:p>
        </w:tc>
        <w:tc>
          <w:tcPr>
            <w:tcW w:w="961" w:type="pct"/>
          </w:tcPr>
          <w:p w14:paraId="67292997" w14:textId="77777777" w:rsidR="0070591D" w:rsidRPr="006865B3" w:rsidRDefault="0070591D" w:rsidP="006865B3">
            <w:pPr>
              <w:pStyle w:val="Tabletext0"/>
              <w:spacing w:before="0" w:after="120"/>
              <w:jc w:val="left"/>
            </w:pPr>
            <w:r w:rsidRPr="006865B3">
              <w:t xml:space="preserve">Idylla </w:t>
            </w:r>
            <w:r w:rsidRPr="006865B3">
              <w:rPr>
                <w:i/>
              </w:rPr>
              <w:t xml:space="preserve">EGFR </w:t>
            </w:r>
            <w:r w:rsidRPr="006865B3">
              <w:t>mutation test</w:t>
            </w:r>
          </w:p>
          <w:p w14:paraId="312D73DA" w14:textId="77777777" w:rsidR="0070591D" w:rsidRPr="006865B3" w:rsidRDefault="0070591D" w:rsidP="006865B3">
            <w:pPr>
              <w:pStyle w:val="Tabletext0"/>
              <w:spacing w:before="0" w:after="120"/>
              <w:jc w:val="left"/>
            </w:pPr>
            <w:r w:rsidRPr="006865B3">
              <w:t xml:space="preserve">Idylla </w:t>
            </w:r>
            <w:r w:rsidRPr="006865B3">
              <w:rPr>
                <w:i/>
              </w:rPr>
              <w:t xml:space="preserve">KRAS </w:t>
            </w:r>
            <w:r w:rsidRPr="006865B3">
              <w:t>mutation test</w:t>
            </w:r>
          </w:p>
          <w:p w14:paraId="37C23E8C" w14:textId="77777777" w:rsidR="0070591D" w:rsidRPr="006865B3" w:rsidRDefault="0070591D" w:rsidP="006865B3">
            <w:pPr>
              <w:pStyle w:val="Tabletext0"/>
              <w:spacing w:before="0" w:after="120"/>
              <w:jc w:val="left"/>
            </w:pPr>
            <w:r w:rsidRPr="006865B3">
              <w:rPr>
                <w:i/>
              </w:rPr>
              <w:t xml:space="preserve">ALK </w:t>
            </w:r>
            <w:r w:rsidRPr="006865B3">
              <w:t xml:space="preserve">IHC and/or </w:t>
            </w:r>
            <w:r w:rsidRPr="006865B3">
              <w:rPr>
                <w:i/>
              </w:rPr>
              <w:t xml:space="preserve">ALK </w:t>
            </w:r>
            <w:r w:rsidRPr="006865B3">
              <w:t>FISH</w:t>
            </w:r>
          </w:p>
          <w:p w14:paraId="31E65E39" w14:textId="77777777" w:rsidR="0070591D" w:rsidRPr="006865B3" w:rsidRDefault="0070591D" w:rsidP="006865B3">
            <w:pPr>
              <w:pStyle w:val="Tabletext0"/>
              <w:spacing w:before="0" w:after="120"/>
              <w:jc w:val="left"/>
            </w:pPr>
            <w:r w:rsidRPr="006865B3">
              <w:rPr>
                <w:i/>
              </w:rPr>
              <w:t xml:space="preserve">ROS1 </w:t>
            </w:r>
            <w:r w:rsidRPr="006865B3">
              <w:t>IHC and/or FISH</w:t>
            </w:r>
          </w:p>
          <w:p w14:paraId="6DB9709E" w14:textId="77777777" w:rsidR="0070591D" w:rsidRPr="006865B3" w:rsidRDefault="0070591D" w:rsidP="006865B3">
            <w:pPr>
              <w:pStyle w:val="Tabletext0"/>
              <w:spacing w:before="0" w:after="120"/>
              <w:jc w:val="left"/>
            </w:pPr>
            <w:r w:rsidRPr="006865B3">
              <w:rPr>
                <w:i/>
              </w:rPr>
              <w:t>BRAF</w:t>
            </w:r>
            <w:r w:rsidRPr="006865B3">
              <w:t>V600E</w:t>
            </w:r>
            <w:r w:rsidRPr="006865B3">
              <w:rPr>
                <w:i/>
              </w:rPr>
              <w:t xml:space="preserve"> </w:t>
            </w:r>
            <w:r w:rsidRPr="006865B3">
              <w:t xml:space="preserve">IHC </w:t>
            </w:r>
          </w:p>
          <w:p w14:paraId="7E225B46" w14:textId="1D0136DF" w:rsidR="0070591D" w:rsidRPr="006865B3" w:rsidRDefault="0070591D" w:rsidP="006865B3">
            <w:pPr>
              <w:pStyle w:val="Tabletext0"/>
              <w:spacing w:before="0" w:after="120"/>
              <w:jc w:val="left"/>
            </w:pPr>
            <w:r w:rsidRPr="006865B3">
              <w:t>S5  system (T</w:t>
            </w:r>
            <w:r w:rsidR="00466C4F">
              <w:t>h</w:t>
            </w:r>
            <w:r w:rsidRPr="006865B3">
              <w:t xml:space="preserve">ermo Fisher Scientific) using the DNA Ion AmpliSeq™Cancer Hotspot Panel </w:t>
            </w:r>
          </w:p>
          <w:p w14:paraId="071492A1" w14:textId="77777777" w:rsidR="0070591D" w:rsidRPr="006865B3" w:rsidRDefault="0070591D" w:rsidP="006865B3">
            <w:pPr>
              <w:pStyle w:val="TableText"/>
              <w:rPr>
                <w:snapToGrid w:val="0"/>
              </w:rPr>
            </w:pPr>
            <w:r w:rsidRPr="006865B3">
              <w:t>RNA Oncomine Focus Assay</w:t>
            </w:r>
          </w:p>
        </w:tc>
        <w:tc>
          <w:tcPr>
            <w:tcW w:w="572" w:type="pct"/>
            <w:shd w:val="clear" w:color="auto" w:fill="auto"/>
          </w:tcPr>
          <w:p w14:paraId="3B49EA41" w14:textId="77777777" w:rsidR="0070591D" w:rsidRPr="006865B3" w:rsidRDefault="0070591D" w:rsidP="006865B3">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1DAC8932" w14:textId="54F4132F" w:rsidR="0070591D" w:rsidRPr="006865B3" w:rsidRDefault="00504E35" w:rsidP="006865B3">
            <w:pPr>
              <w:pStyle w:val="TableText"/>
              <w:rPr>
                <w:snapToGrid w:val="0"/>
              </w:rPr>
            </w:pPr>
            <w:r>
              <w:rPr>
                <w:snapToGrid w:val="0"/>
              </w:rPr>
              <w:t>Yes</w:t>
            </w:r>
          </w:p>
        </w:tc>
      </w:tr>
      <w:tr w:rsidR="009B5315" w:rsidRPr="006865B3" w14:paraId="1808650A" w14:textId="77777777" w:rsidTr="006865B3">
        <w:tc>
          <w:tcPr>
            <w:tcW w:w="646" w:type="pct"/>
            <w:shd w:val="clear" w:color="auto" w:fill="auto"/>
          </w:tcPr>
          <w:p w14:paraId="577FEAAD" w14:textId="7A89A2EE" w:rsidR="0070591D" w:rsidRPr="006865B3" w:rsidRDefault="00B4668F" w:rsidP="006865B3">
            <w:pPr>
              <w:spacing w:before="0"/>
              <w:rPr>
                <w:rFonts w:ascii="Arial Narrow" w:hAnsi="Arial Narrow"/>
              </w:rPr>
            </w:pPr>
            <w:r>
              <w:rPr>
                <w:rFonts w:ascii="Arial Narrow" w:hAnsi="Arial Narrow"/>
              </w:rP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rPr>
                <w:rFonts w:ascii="Arial Narrow" w:hAnsi="Arial Narrow"/>
              </w:rPr>
              <w:instrText xml:space="preserve"> ADDIN EN.CITE </w:instrText>
            </w:r>
            <w:r>
              <w:rPr>
                <w:rFonts w:ascii="Arial Narrow" w:hAnsi="Arial Narrow"/>
              </w:rP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(Ji et al. 2019)</w:t>
            </w:r>
            <w:r>
              <w:rPr>
                <w:rFonts w:ascii="Arial Narrow" w:hAnsi="Arial Narrow"/>
              </w:rPr>
              <w:fldChar w:fldCharType="end"/>
            </w:r>
          </w:p>
          <w:p w14:paraId="615ADEDD" w14:textId="77777777" w:rsidR="0070591D" w:rsidRPr="006865B3" w:rsidRDefault="0070591D" w:rsidP="006865B3">
            <w:pPr>
              <w:spacing w:before="0"/>
              <w:rPr>
                <w:rFonts w:ascii="Arial Narrow" w:hAnsi="Arial Narrow" w:cs="Calibri"/>
                <w:color w:val="000000"/>
              </w:rPr>
            </w:pPr>
            <w:r w:rsidRPr="006865B3">
              <w:rPr>
                <w:rFonts w:ascii="Arial Narrow" w:hAnsi="Arial Narrow"/>
              </w:rPr>
              <w:t>China</w:t>
            </w:r>
          </w:p>
        </w:tc>
        <w:tc>
          <w:tcPr>
            <w:tcW w:w="214" w:type="pct"/>
            <w:shd w:val="clear" w:color="auto" w:fill="auto"/>
          </w:tcPr>
          <w:p w14:paraId="7624B353" w14:textId="77777777" w:rsidR="0070591D" w:rsidRPr="006865B3" w:rsidRDefault="0070591D" w:rsidP="006865B3">
            <w:pPr>
              <w:pStyle w:val="TableText"/>
              <w:rPr>
                <w:snapToGrid w:val="0"/>
              </w:rPr>
            </w:pPr>
            <w:r w:rsidRPr="006865B3">
              <w:rPr>
                <w:snapToGrid w:val="0"/>
              </w:rPr>
              <w:t>199</w:t>
            </w:r>
          </w:p>
        </w:tc>
        <w:tc>
          <w:tcPr>
            <w:tcW w:w="587" w:type="pct"/>
            <w:shd w:val="clear" w:color="auto" w:fill="auto"/>
          </w:tcPr>
          <w:p w14:paraId="79007EB2" w14:textId="77777777" w:rsidR="0070591D" w:rsidRPr="006865B3" w:rsidRDefault="0070591D" w:rsidP="006865B3">
            <w:pPr>
              <w:pStyle w:val="Tabletext0"/>
              <w:spacing w:before="0" w:after="120"/>
              <w:jc w:val="left"/>
            </w:pPr>
            <w:r w:rsidRPr="006865B3">
              <w:t>Cohort study (retrospective or prospective unknown)</w:t>
            </w:r>
          </w:p>
          <w:p w14:paraId="23096322" w14:textId="77777777" w:rsidR="0070591D" w:rsidRPr="006865B3" w:rsidRDefault="0070591D" w:rsidP="006865B3">
            <w:pPr>
              <w:pStyle w:val="Tabletext0"/>
              <w:spacing w:before="0" w:after="120"/>
              <w:jc w:val="left"/>
            </w:pPr>
            <w:r w:rsidRPr="006865B3">
              <w:t>Level III-2</w:t>
            </w:r>
          </w:p>
          <w:p w14:paraId="3A2CDB8E" w14:textId="77777777" w:rsidR="0070591D" w:rsidRPr="006865B3" w:rsidRDefault="0070591D" w:rsidP="006865B3">
            <w:pPr>
              <w:pStyle w:val="TableText"/>
              <w:rPr>
                <w:snapToGrid w:val="0"/>
              </w:rPr>
            </w:pPr>
            <w:r w:rsidRPr="006865B3">
              <w:t>Low to moderate risk of bias</w:t>
            </w:r>
          </w:p>
        </w:tc>
        <w:tc>
          <w:tcPr>
            <w:tcW w:w="764" w:type="pct"/>
            <w:shd w:val="clear" w:color="auto" w:fill="auto"/>
          </w:tcPr>
          <w:p w14:paraId="65EFA602" w14:textId="77777777" w:rsidR="0070591D" w:rsidRPr="006865B3" w:rsidRDefault="0070591D" w:rsidP="006865B3">
            <w:pPr>
              <w:pStyle w:val="Tabletext0"/>
              <w:spacing w:before="0" w:after="120"/>
              <w:jc w:val="left"/>
            </w:pPr>
            <w:r w:rsidRPr="006865B3">
              <w:t xml:space="preserve">NSCLC patients with adequate tumour cells in their donated tissue samples </w:t>
            </w:r>
          </w:p>
          <w:p w14:paraId="35C0893F" w14:textId="77777777" w:rsidR="0070591D" w:rsidRPr="006865B3" w:rsidRDefault="0070591D" w:rsidP="006865B3">
            <w:pPr>
              <w:pStyle w:val="TableText"/>
              <w:rPr>
                <w:snapToGrid w:val="0"/>
              </w:rPr>
            </w:pPr>
            <w:r w:rsidRPr="006865B3">
              <w:t>FFPE surgical specimens</w:t>
            </w:r>
          </w:p>
        </w:tc>
        <w:tc>
          <w:tcPr>
            <w:tcW w:w="800" w:type="pct"/>
          </w:tcPr>
          <w:p w14:paraId="365E0CA8" w14:textId="77777777" w:rsidR="0070591D" w:rsidRPr="006865B3" w:rsidRDefault="0070591D" w:rsidP="006865B3">
            <w:pPr>
              <w:pStyle w:val="TableText"/>
              <w:rPr>
                <w:snapToGrid w:val="0"/>
              </w:rPr>
            </w:pPr>
            <w:r w:rsidRPr="006865B3">
              <w:t>10-gene, 32-mutation detection NGS</w:t>
            </w:r>
          </w:p>
        </w:tc>
        <w:tc>
          <w:tcPr>
            <w:tcW w:w="961" w:type="pct"/>
          </w:tcPr>
          <w:p w14:paraId="5118498B" w14:textId="77777777" w:rsidR="0070591D" w:rsidRPr="006865B3" w:rsidRDefault="0070591D" w:rsidP="006865B3">
            <w:pPr>
              <w:pStyle w:val="Tabletext0"/>
              <w:spacing w:before="0" w:after="120"/>
              <w:jc w:val="left"/>
            </w:pPr>
            <w:r w:rsidRPr="006865B3">
              <w:t xml:space="preserve">Sanger sequencing of </w:t>
            </w:r>
            <w:r w:rsidRPr="006865B3">
              <w:rPr>
                <w:i/>
              </w:rPr>
              <w:t>EGFR</w:t>
            </w:r>
            <w:r w:rsidRPr="006865B3">
              <w:t xml:space="preserve"> (DNA samples) and </w:t>
            </w:r>
            <w:r w:rsidRPr="006865B3">
              <w:rPr>
                <w:i/>
              </w:rPr>
              <w:t>ALK</w:t>
            </w:r>
            <w:r w:rsidRPr="006865B3">
              <w:t xml:space="preserve"> (RNA samples)</w:t>
            </w:r>
          </w:p>
          <w:p w14:paraId="2BCA4266" w14:textId="77777777" w:rsidR="0070591D" w:rsidRPr="006865B3" w:rsidRDefault="0070591D" w:rsidP="006865B3">
            <w:pPr>
              <w:pStyle w:val="TableText"/>
              <w:rPr>
                <w:snapToGrid w:val="0"/>
              </w:rPr>
            </w:pPr>
            <w:r w:rsidRPr="006865B3">
              <w:t xml:space="preserve">Amplification Refractory Mutation System (AMRS) PCR (for some inconsistent samples only) </w:t>
            </w:r>
          </w:p>
        </w:tc>
        <w:tc>
          <w:tcPr>
            <w:tcW w:w="572" w:type="pct"/>
            <w:shd w:val="clear" w:color="auto" w:fill="auto"/>
          </w:tcPr>
          <w:p w14:paraId="74C79D43" w14:textId="77777777" w:rsidR="0070591D" w:rsidRPr="006865B3" w:rsidRDefault="0070591D" w:rsidP="006865B3">
            <w:pPr>
              <w:pStyle w:val="TableText"/>
              <w:rPr>
                <w:i/>
                <w:snapToGrid w:val="0"/>
              </w:rPr>
            </w:pPr>
            <w:r w:rsidRPr="006865B3">
              <w:rPr>
                <w:snapToGrid w:val="0"/>
              </w:rPr>
              <w:t xml:space="preserve">Concordance for </w:t>
            </w:r>
            <w:r w:rsidRPr="006865B3">
              <w:rPr>
                <w:i/>
                <w:snapToGrid w:val="0"/>
              </w:rPr>
              <w:t>EGFR</w:t>
            </w:r>
          </w:p>
          <w:p w14:paraId="096201EC" w14:textId="12DF8D3A" w:rsidR="0070591D" w:rsidRPr="006865B3" w:rsidRDefault="0070591D" w:rsidP="006865B3">
            <w:pPr>
              <w:pStyle w:val="TableText"/>
              <w:rPr>
                <w:snapToGrid w:val="0"/>
              </w:rPr>
            </w:pPr>
            <w:r w:rsidRPr="006865B3">
              <w:rPr>
                <w:snapToGrid w:val="0"/>
              </w:rPr>
              <w:t>Rate of concurrent variants</w:t>
            </w:r>
          </w:p>
        </w:tc>
        <w:tc>
          <w:tcPr>
            <w:tcW w:w="456" w:type="pct"/>
            <w:shd w:val="clear" w:color="auto" w:fill="auto"/>
          </w:tcPr>
          <w:p w14:paraId="0FF07D6C" w14:textId="209C99B3" w:rsidR="0070591D" w:rsidRPr="006865B3" w:rsidRDefault="00504E35" w:rsidP="006865B3">
            <w:pPr>
              <w:pStyle w:val="TableText"/>
              <w:rPr>
                <w:snapToGrid w:val="0"/>
              </w:rPr>
            </w:pPr>
            <w:r>
              <w:rPr>
                <w:snapToGrid w:val="0"/>
              </w:rPr>
              <w:t>Yes</w:t>
            </w:r>
          </w:p>
        </w:tc>
      </w:tr>
      <w:tr w:rsidR="009B5315" w:rsidRPr="006865B3" w14:paraId="270DC44F" w14:textId="77777777" w:rsidTr="006865B3">
        <w:tc>
          <w:tcPr>
            <w:tcW w:w="646" w:type="pct"/>
            <w:shd w:val="clear" w:color="auto" w:fill="auto"/>
          </w:tcPr>
          <w:p w14:paraId="1518EB14" w14:textId="292843C0" w:rsidR="0070591D" w:rsidRPr="006865B3" w:rsidRDefault="00B4668F" w:rsidP="006865B3">
            <w:pPr>
              <w:spacing w:before="0"/>
              <w:rPr>
                <w:rFonts w:ascii="Arial Narrow" w:hAnsi="Arial Narrow"/>
              </w:rPr>
            </w:pPr>
            <w:r>
              <w:rPr>
                <w:rFonts w:ascii="Arial Narrow" w:hAnsi="Arial Narrow"/>
              </w:rPr>
              <w:lastRenderedPageBreak/>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rPr>
                <w:rFonts w:ascii="Arial Narrow" w:hAnsi="Arial Narrow"/>
              </w:rPr>
              <w:instrText xml:space="preserve"> ADDIN EN.CITE </w:instrText>
            </w:r>
            <w:r>
              <w:rPr>
                <w:rFonts w:ascii="Arial Narrow" w:hAnsi="Arial Narrow"/>
              </w:rPr>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(Jiang et al. 2020)</w:t>
            </w:r>
            <w:r>
              <w:rPr>
                <w:rFonts w:ascii="Arial Narrow" w:hAnsi="Arial Narrow"/>
              </w:rPr>
              <w:fldChar w:fldCharType="end"/>
            </w:r>
          </w:p>
          <w:p w14:paraId="77FF2BD0" w14:textId="77777777" w:rsidR="0070591D" w:rsidRPr="006865B3" w:rsidRDefault="0070591D" w:rsidP="006865B3">
            <w:pPr>
              <w:spacing w:before="0"/>
              <w:rPr>
                <w:rFonts w:ascii="Arial Narrow" w:hAnsi="Arial Narrow" w:cs="Calibri"/>
                <w:color w:val="000000"/>
              </w:rPr>
            </w:pPr>
            <w:r w:rsidRPr="006865B3">
              <w:rPr>
                <w:rFonts w:ascii="Arial Narrow" w:hAnsi="Arial Narrow"/>
              </w:rPr>
              <w:t>China</w:t>
            </w:r>
          </w:p>
        </w:tc>
        <w:tc>
          <w:tcPr>
            <w:tcW w:w="214" w:type="pct"/>
            <w:shd w:val="clear" w:color="auto" w:fill="auto"/>
          </w:tcPr>
          <w:p w14:paraId="1340CAB1" w14:textId="77777777" w:rsidR="0070591D" w:rsidRPr="006865B3" w:rsidRDefault="0070591D" w:rsidP="006865B3">
            <w:pPr>
              <w:pStyle w:val="TableText"/>
              <w:rPr>
                <w:snapToGrid w:val="0"/>
              </w:rPr>
            </w:pPr>
            <w:r w:rsidRPr="006865B3">
              <w:rPr>
                <w:snapToGrid w:val="0"/>
              </w:rPr>
              <w:t>253</w:t>
            </w:r>
          </w:p>
        </w:tc>
        <w:tc>
          <w:tcPr>
            <w:tcW w:w="587" w:type="pct"/>
            <w:shd w:val="clear" w:color="auto" w:fill="auto"/>
          </w:tcPr>
          <w:p w14:paraId="37ACB328" w14:textId="77777777" w:rsidR="0070591D" w:rsidRPr="006865B3" w:rsidRDefault="0070591D" w:rsidP="006865B3">
            <w:pPr>
              <w:pStyle w:val="Tabletext0"/>
              <w:spacing w:before="0" w:after="120"/>
              <w:jc w:val="left"/>
            </w:pPr>
            <w:r w:rsidRPr="006865B3">
              <w:t>Retrospective cohort study</w:t>
            </w:r>
          </w:p>
          <w:p w14:paraId="7761CA9D" w14:textId="77777777" w:rsidR="0070591D" w:rsidRPr="006865B3" w:rsidRDefault="0070591D" w:rsidP="006865B3">
            <w:pPr>
              <w:pStyle w:val="Tabletext0"/>
              <w:spacing w:before="0" w:after="120"/>
              <w:jc w:val="left"/>
            </w:pPr>
            <w:r w:rsidRPr="006865B3">
              <w:t>Level III-2</w:t>
            </w:r>
          </w:p>
          <w:p w14:paraId="7DA6D501" w14:textId="77777777" w:rsidR="0070591D" w:rsidRPr="006865B3" w:rsidRDefault="0070591D" w:rsidP="006865B3">
            <w:pPr>
              <w:pStyle w:val="TableText"/>
              <w:rPr>
                <w:snapToGrid w:val="0"/>
              </w:rPr>
            </w:pPr>
            <w:r w:rsidRPr="006865B3">
              <w:t>Moderate to high risk of bias</w:t>
            </w:r>
          </w:p>
        </w:tc>
        <w:tc>
          <w:tcPr>
            <w:tcW w:w="764" w:type="pct"/>
            <w:shd w:val="clear" w:color="auto" w:fill="auto"/>
          </w:tcPr>
          <w:p w14:paraId="04467DD4" w14:textId="77777777" w:rsidR="0070591D" w:rsidRPr="006865B3" w:rsidRDefault="0070591D" w:rsidP="006865B3">
            <w:pPr>
              <w:pStyle w:val="Tabletext0"/>
              <w:spacing w:before="0" w:after="120"/>
              <w:jc w:val="left"/>
            </w:pPr>
            <w:r w:rsidRPr="006865B3">
              <w:t>NSCLC samples (a subset of 452 total cases)</w:t>
            </w:r>
          </w:p>
          <w:p w14:paraId="1F55E83D" w14:textId="77777777" w:rsidR="0070591D" w:rsidRPr="006865B3" w:rsidRDefault="0070591D" w:rsidP="006865B3">
            <w:pPr>
              <w:pStyle w:val="TableText"/>
              <w:rPr>
                <w:snapToGrid w:val="0"/>
              </w:rPr>
            </w:pPr>
            <w:r w:rsidRPr="006865B3">
              <w:t>FFPE specimens</w:t>
            </w:r>
          </w:p>
        </w:tc>
        <w:tc>
          <w:tcPr>
            <w:tcW w:w="800" w:type="pct"/>
          </w:tcPr>
          <w:p w14:paraId="3DBB24CE" w14:textId="77777777" w:rsidR="0070591D" w:rsidRPr="006865B3" w:rsidRDefault="0070591D" w:rsidP="006865B3">
            <w:pPr>
              <w:pStyle w:val="TableText"/>
              <w:rPr>
                <w:snapToGrid w:val="0"/>
              </w:rPr>
            </w:pPr>
            <w:r w:rsidRPr="006865B3">
              <w:t>NGS panel OncoAim (Singlera Genomics) covering mutational hotspots of 59 genes</w:t>
            </w:r>
          </w:p>
        </w:tc>
        <w:tc>
          <w:tcPr>
            <w:tcW w:w="961" w:type="pct"/>
          </w:tcPr>
          <w:p w14:paraId="4F7FD8F6" w14:textId="77777777" w:rsidR="0070591D" w:rsidRPr="006865B3" w:rsidRDefault="0070591D" w:rsidP="006865B3">
            <w:pPr>
              <w:pStyle w:val="TableText"/>
              <w:rPr>
                <w:snapToGrid w:val="0"/>
              </w:rPr>
            </w:pPr>
            <w:r w:rsidRPr="006865B3">
              <w:t xml:space="preserve">Amplified Refractory Mutation System (ARMS)-PCR test for </w:t>
            </w:r>
            <w:r w:rsidRPr="006865B3">
              <w:rPr>
                <w:i/>
              </w:rPr>
              <w:t xml:space="preserve">EGFR </w:t>
            </w:r>
            <w:r w:rsidRPr="006865B3">
              <w:t>mutation status</w:t>
            </w:r>
          </w:p>
        </w:tc>
        <w:tc>
          <w:tcPr>
            <w:tcW w:w="572" w:type="pct"/>
            <w:shd w:val="clear" w:color="auto" w:fill="auto"/>
          </w:tcPr>
          <w:p w14:paraId="76B3454F" w14:textId="77777777" w:rsidR="0070591D" w:rsidRPr="006865B3" w:rsidRDefault="0070591D" w:rsidP="006865B3">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5676CFC6" w14:textId="510BB849" w:rsidR="0070591D" w:rsidRPr="006865B3" w:rsidRDefault="00504E35" w:rsidP="006865B3">
            <w:pPr>
              <w:pStyle w:val="TableText"/>
              <w:rPr>
                <w:snapToGrid w:val="0"/>
              </w:rPr>
            </w:pPr>
            <w:r>
              <w:rPr>
                <w:snapToGrid w:val="0"/>
              </w:rPr>
              <w:t>Yes</w:t>
            </w:r>
          </w:p>
        </w:tc>
      </w:tr>
      <w:tr w:rsidR="009B5315" w:rsidRPr="006865B3" w14:paraId="1BB05839" w14:textId="77777777" w:rsidTr="006865B3">
        <w:tc>
          <w:tcPr>
            <w:tcW w:w="646" w:type="pct"/>
            <w:shd w:val="clear" w:color="auto" w:fill="auto"/>
          </w:tcPr>
          <w:p w14:paraId="5630DB52" w14:textId="712176FC" w:rsidR="0070591D" w:rsidRPr="006865B3" w:rsidRDefault="00B4668F" w:rsidP="006865B3">
            <w:pPr>
              <w:spacing w:before="0"/>
              <w:rPr>
                <w:rFonts w:ascii="Arial Narrow" w:hAnsi="Arial Narrow"/>
              </w:rPr>
            </w:pPr>
            <w:r>
              <w:rPr>
                <w:rFonts w:ascii="Arial Narrow" w:hAnsi="Arial Narrow"/>
              </w:rP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rPr>
                <w:rFonts w:ascii="Arial Narrow" w:hAnsi="Arial Narrow"/>
              </w:rPr>
              <w:instrText xml:space="preserve"> ADDIN EN.CITE </w:instrText>
            </w:r>
            <w:r>
              <w:rPr>
                <w:rFonts w:ascii="Arial Narrow" w:hAnsi="Arial Narrow"/>
              </w:rP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(Jing et al. 2018)</w:t>
            </w:r>
            <w:r>
              <w:rPr>
                <w:rFonts w:ascii="Arial Narrow" w:hAnsi="Arial Narrow"/>
              </w:rPr>
              <w:fldChar w:fldCharType="end"/>
            </w:r>
          </w:p>
          <w:p w14:paraId="2B5AC3B7" w14:textId="77777777" w:rsidR="0070591D" w:rsidRPr="006865B3" w:rsidRDefault="0070591D" w:rsidP="006865B3">
            <w:pPr>
              <w:spacing w:before="0"/>
              <w:rPr>
                <w:rFonts w:ascii="Arial Narrow" w:hAnsi="Arial Narrow" w:cs="Calibri"/>
                <w:color w:val="000000"/>
              </w:rPr>
            </w:pPr>
            <w:r w:rsidRPr="006865B3">
              <w:rPr>
                <w:rFonts w:ascii="Arial Narrow" w:hAnsi="Arial Narrow"/>
              </w:rPr>
              <w:t>China</w:t>
            </w:r>
          </w:p>
        </w:tc>
        <w:tc>
          <w:tcPr>
            <w:tcW w:w="214" w:type="pct"/>
            <w:shd w:val="clear" w:color="auto" w:fill="auto"/>
          </w:tcPr>
          <w:p w14:paraId="5412FEAC" w14:textId="77777777" w:rsidR="0070591D" w:rsidRPr="006865B3" w:rsidRDefault="0070591D" w:rsidP="006865B3">
            <w:pPr>
              <w:pStyle w:val="TableText"/>
              <w:rPr>
                <w:snapToGrid w:val="0"/>
              </w:rPr>
            </w:pPr>
            <w:r w:rsidRPr="006865B3">
              <w:rPr>
                <w:snapToGrid w:val="0"/>
              </w:rPr>
              <w:t>112</w:t>
            </w:r>
          </w:p>
        </w:tc>
        <w:tc>
          <w:tcPr>
            <w:tcW w:w="587" w:type="pct"/>
            <w:shd w:val="clear" w:color="auto" w:fill="auto"/>
          </w:tcPr>
          <w:p w14:paraId="77C0F95A" w14:textId="77777777" w:rsidR="0070591D" w:rsidRPr="006865B3" w:rsidRDefault="0070591D" w:rsidP="006865B3">
            <w:pPr>
              <w:pStyle w:val="Tabletext0"/>
              <w:spacing w:before="0" w:after="120"/>
              <w:jc w:val="left"/>
            </w:pPr>
            <w:r w:rsidRPr="006865B3">
              <w:t>Cohort study (retrospective or prospective unknown)</w:t>
            </w:r>
          </w:p>
          <w:p w14:paraId="412AEEFA" w14:textId="77777777" w:rsidR="0070591D" w:rsidRPr="006865B3" w:rsidRDefault="0070591D" w:rsidP="006865B3">
            <w:pPr>
              <w:pStyle w:val="Tabletext0"/>
              <w:spacing w:before="0" w:after="120"/>
              <w:jc w:val="left"/>
            </w:pPr>
            <w:r w:rsidRPr="006865B3">
              <w:t xml:space="preserve">Level III-2 </w:t>
            </w:r>
          </w:p>
          <w:p w14:paraId="271EBB46" w14:textId="77777777" w:rsidR="0070591D" w:rsidRPr="006865B3" w:rsidRDefault="0070591D" w:rsidP="006865B3">
            <w:pPr>
              <w:pStyle w:val="Tabletext0"/>
              <w:spacing w:before="0" w:after="120"/>
              <w:jc w:val="left"/>
            </w:pPr>
            <w:r w:rsidRPr="006865B3">
              <w:t xml:space="preserve">Low risk of bias (NGS </w:t>
            </w:r>
            <w:r w:rsidRPr="006865B3">
              <w:rPr>
                <w:i/>
              </w:rPr>
              <w:t xml:space="preserve">vs. </w:t>
            </w:r>
            <w:r w:rsidRPr="006865B3">
              <w:t>Sanger sequencing)</w:t>
            </w:r>
          </w:p>
          <w:p w14:paraId="610326B9" w14:textId="77777777" w:rsidR="0070591D" w:rsidRPr="006865B3" w:rsidRDefault="0070591D" w:rsidP="006865B3">
            <w:pPr>
              <w:pStyle w:val="Tabletext0"/>
              <w:spacing w:before="0" w:after="120"/>
              <w:jc w:val="left"/>
            </w:pPr>
            <w:r w:rsidRPr="006865B3">
              <w:t xml:space="preserve">Moderate risk of bias (NGS </w:t>
            </w:r>
            <w:r w:rsidRPr="006865B3">
              <w:rPr>
                <w:i/>
              </w:rPr>
              <w:t xml:space="preserve">vs. </w:t>
            </w:r>
            <w:r w:rsidRPr="006865B3">
              <w:t>ddPCR)</w:t>
            </w:r>
          </w:p>
        </w:tc>
        <w:tc>
          <w:tcPr>
            <w:tcW w:w="764" w:type="pct"/>
            <w:shd w:val="clear" w:color="auto" w:fill="auto"/>
          </w:tcPr>
          <w:p w14:paraId="50F16D2F" w14:textId="77777777" w:rsidR="0070591D" w:rsidRPr="006865B3" w:rsidRDefault="0070591D" w:rsidP="006865B3">
            <w:pPr>
              <w:pStyle w:val="Tabletext0"/>
              <w:spacing w:before="0" w:after="120"/>
              <w:jc w:val="left"/>
            </w:pPr>
            <w:r w:rsidRPr="006865B3">
              <w:t xml:space="preserve">Samples from NSCLC patients in a single centre  </w:t>
            </w:r>
          </w:p>
          <w:p w14:paraId="58F68614" w14:textId="77777777" w:rsidR="0070591D" w:rsidRPr="006865B3" w:rsidRDefault="0070591D" w:rsidP="006865B3">
            <w:pPr>
              <w:pStyle w:val="TableText"/>
              <w:rPr>
                <w:snapToGrid w:val="0"/>
              </w:rPr>
            </w:pPr>
            <w:r w:rsidRPr="006865B3">
              <w:t>FFPE specimens, fresh resection specimens, fine needle aspiration specimens, and pleural effusion specimens</w:t>
            </w:r>
          </w:p>
        </w:tc>
        <w:tc>
          <w:tcPr>
            <w:tcW w:w="800" w:type="pct"/>
          </w:tcPr>
          <w:p w14:paraId="04829D96" w14:textId="77777777" w:rsidR="0070591D" w:rsidRPr="006865B3" w:rsidRDefault="0070591D" w:rsidP="006865B3">
            <w:pPr>
              <w:pStyle w:val="TableText"/>
              <w:rPr>
                <w:snapToGrid w:val="0"/>
              </w:rPr>
            </w:pPr>
            <w:r w:rsidRPr="006865B3">
              <w:t xml:space="preserve">NGS lung panel including 7 genes (including </w:t>
            </w:r>
            <w:r w:rsidRPr="006865B3">
              <w:rPr>
                <w:i/>
              </w:rPr>
              <w:t xml:space="preserve">BRAF, EGFR, KRAS, NRAS, PIK3CA, Her-2 and TP53) </w:t>
            </w:r>
            <w:r w:rsidRPr="006865B3">
              <w:t>using the Iontorrent personal genome machine (PGM)</w:t>
            </w:r>
          </w:p>
        </w:tc>
        <w:tc>
          <w:tcPr>
            <w:tcW w:w="961" w:type="pct"/>
          </w:tcPr>
          <w:p w14:paraId="21E441AF" w14:textId="77777777" w:rsidR="0070591D" w:rsidRPr="006865B3" w:rsidRDefault="0070591D" w:rsidP="006865B3">
            <w:pPr>
              <w:pStyle w:val="Tabletext0"/>
              <w:spacing w:before="0" w:after="120"/>
              <w:jc w:val="left"/>
            </w:pPr>
            <w:r w:rsidRPr="006865B3">
              <w:t>Sanger sequencing for detecting, primers used for exon 18</w:t>
            </w:r>
            <w:r w:rsidRPr="006865B3">
              <w:rPr>
                <w:rFonts w:ascii="Cambria Math" w:hAnsi="Cambria Math" w:cs="Cambria Math"/>
              </w:rPr>
              <w:t>‑</w:t>
            </w:r>
            <w:r w:rsidRPr="006865B3">
              <w:t xml:space="preserve">21 of </w:t>
            </w:r>
            <w:r w:rsidRPr="006865B3">
              <w:rPr>
                <w:i/>
              </w:rPr>
              <w:t>EGFR</w:t>
            </w:r>
          </w:p>
          <w:p w14:paraId="4CB8A746" w14:textId="77777777" w:rsidR="0070591D" w:rsidRPr="006865B3" w:rsidRDefault="0070591D" w:rsidP="006865B3">
            <w:pPr>
              <w:pStyle w:val="Tabletext0"/>
              <w:spacing w:before="0" w:after="120"/>
              <w:jc w:val="left"/>
            </w:pPr>
            <w:r w:rsidRPr="006865B3">
              <w:t xml:space="preserve">Droplet digital PCR for detecting </w:t>
            </w:r>
            <w:r w:rsidRPr="006865B3">
              <w:rPr>
                <w:i/>
              </w:rPr>
              <w:t xml:space="preserve">EGFR </w:t>
            </w:r>
            <w:r w:rsidRPr="006865B3">
              <w:t>mutations, genotypes with L858R, exon 19 deletion, T790M or G719S</w:t>
            </w:r>
          </w:p>
          <w:p w14:paraId="62F5F3F5" w14:textId="77777777" w:rsidR="0070591D" w:rsidRPr="006865B3" w:rsidRDefault="0070591D" w:rsidP="006865B3">
            <w:pPr>
              <w:pStyle w:val="TableText"/>
              <w:rPr>
                <w:snapToGrid w:val="0"/>
              </w:rPr>
            </w:pPr>
          </w:p>
        </w:tc>
        <w:tc>
          <w:tcPr>
            <w:tcW w:w="572" w:type="pct"/>
            <w:shd w:val="clear" w:color="auto" w:fill="auto"/>
          </w:tcPr>
          <w:p w14:paraId="1BE8591C" w14:textId="77777777" w:rsidR="0070591D" w:rsidRPr="006865B3" w:rsidRDefault="0070591D" w:rsidP="006865B3">
            <w:pPr>
              <w:pStyle w:val="TableText"/>
              <w:rPr>
                <w:i/>
                <w:snapToGrid w:val="0"/>
              </w:rPr>
            </w:pPr>
            <w:r w:rsidRPr="006865B3">
              <w:rPr>
                <w:snapToGrid w:val="0"/>
              </w:rPr>
              <w:t xml:space="preserve">Concordance for </w:t>
            </w:r>
            <w:r w:rsidRPr="006865B3">
              <w:rPr>
                <w:i/>
                <w:snapToGrid w:val="0"/>
              </w:rPr>
              <w:t>EGFR</w:t>
            </w:r>
          </w:p>
          <w:p w14:paraId="109CDB71" w14:textId="17F12857" w:rsidR="0070591D" w:rsidRPr="006865B3" w:rsidRDefault="0070591D" w:rsidP="006865B3">
            <w:pPr>
              <w:pStyle w:val="TableText"/>
              <w:rPr>
                <w:snapToGrid w:val="0"/>
              </w:rPr>
            </w:pPr>
            <w:r w:rsidRPr="006865B3">
              <w:rPr>
                <w:snapToGrid w:val="0"/>
              </w:rPr>
              <w:t>Rate of concurrent variants</w:t>
            </w:r>
          </w:p>
        </w:tc>
        <w:tc>
          <w:tcPr>
            <w:tcW w:w="456" w:type="pct"/>
            <w:shd w:val="clear" w:color="auto" w:fill="auto"/>
          </w:tcPr>
          <w:p w14:paraId="6C9B44EE" w14:textId="46643BF2" w:rsidR="0070591D" w:rsidRPr="006865B3" w:rsidRDefault="00504E35" w:rsidP="006865B3">
            <w:pPr>
              <w:pStyle w:val="TableText"/>
              <w:rPr>
                <w:snapToGrid w:val="0"/>
              </w:rPr>
            </w:pPr>
            <w:r>
              <w:rPr>
                <w:snapToGrid w:val="0"/>
              </w:rPr>
              <w:t>Yes</w:t>
            </w:r>
          </w:p>
        </w:tc>
      </w:tr>
      <w:tr w:rsidR="009B5315" w:rsidRPr="006865B3" w14:paraId="4A43655B" w14:textId="77777777" w:rsidTr="006865B3">
        <w:tc>
          <w:tcPr>
            <w:tcW w:w="646" w:type="pct"/>
            <w:shd w:val="clear" w:color="auto" w:fill="auto"/>
          </w:tcPr>
          <w:p w14:paraId="6612E1D7" w14:textId="21213F7A" w:rsidR="009B5315" w:rsidRDefault="00B4668F" w:rsidP="009B5315">
            <w:pPr>
              <w:spacing w:before="0"/>
              <w:rPr>
                <w:rFonts w:ascii="Arial Narrow" w:hAnsi="Arial Narrow"/>
              </w:rPr>
            </w:pPr>
            <w:r>
              <w:rPr>
                <w:rFonts w:ascii="Arial Narrow" w:hAnsi="Arial Narrow"/>
              </w:rPr>
              <w:fldChar w:fldCharType="begin">
                <w:fldData xml:space="preserve">PEVuZE5vdGU+PENpdGU+PEF1dGhvcj5KdXJtZWlzdGVyPC9BdXRob3I+PFllYXI+MjAyMTwvWWVh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</w:fldData>
              </w:fldChar>
            </w:r>
            <w:r>
              <w:rPr>
                <w:rFonts w:ascii="Arial Narrow" w:hAnsi="Arial Narrow"/>
              </w:rPr>
              <w:instrText xml:space="preserve"> ADDIN EN.CITE </w:instrText>
            </w:r>
            <w:r>
              <w:rPr>
                <w:rFonts w:ascii="Arial Narrow" w:hAnsi="Arial Narrow"/>
              </w:rPr>
              <w:fldChar w:fldCharType="begin">
                <w:fldData xml:space="preserve">PEVuZE5vdGU+PENpdGU+PEF1dGhvcj5KdXJtZWlzdGVyPC9BdXRob3I+PFllYXI+MjAyMTwvWWVh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(Jurmeister et al. 2021)</w:t>
            </w:r>
            <w:r>
              <w:rPr>
                <w:rFonts w:ascii="Arial Narrow" w:hAnsi="Arial Narrow"/>
              </w:rPr>
              <w:fldChar w:fldCharType="end"/>
            </w:r>
          </w:p>
          <w:p w14:paraId="1A4E238E" w14:textId="5B105CBD" w:rsidR="009B5315" w:rsidRPr="006865B3" w:rsidRDefault="009B5315" w:rsidP="009B5315">
            <w:pPr>
              <w:spacing w:before="0"/>
              <w:rPr>
                <w:rFonts w:ascii="Arial Narrow" w:hAnsi="Arial Narrow"/>
              </w:rPr>
            </w:pPr>
            <w:r>
              <w:rPr>
                <w:rFonts w:ascii="Arial Narrow" w:hAnsi="Arial Narrow"/>
              </w:rPr>
              <w:t>Germany and Switzerland</w:t>
            </w:r>
          </w:p>
        </w:tc>
        <w:tc>
          <w:tcPr>
            <w:tcW w:w="214" w:type="pct"/>
            <w:shd w:val="clear" w:color="auto" w:fill="auto"/>
          </w:tcPr>
          <w:p w14:paraId="42B6C6AB" w14:textId="0C4A694A" w:rsidR="009B5315" w:rsidRPr="006865B3" w:rsidRDefault="009B5315" w:rsidP="009B5315">
            <w:pPr>
              <w:pStyle w:val="TableText"/>
              <w:rPr>
                <w:snapToGrid w:val="0"/>
              </w:rPr>
            </w:pPr>
            <w:r>
              <w:rPr>
                <w:snapToGrid w:val="0"/>
              </w:rPr>
              <w:t>57</w:t>
            </w:r>
          </w:p>
        </w:tc>
        <w:tc>
          <w:tcPr>
            <w:tcW w:w="587" w:type="pct"/>
            <w:shd w:val="clear" w:color="auto" w:fill="auto"/>
          </w:tcPr>
          <w:p w14:paraId="40A38961" w14:textId="77777777" w:rsidR="009B5315" w:rsidRDefault="009B5315" w:rsidP="009B5315">
            <w:pPr>
              <w:pStyle w:val="Tabletext0"/>
              <w:spacing w:before="0" w:after="120"/>
              <w:jc w:val="left"/>
            </w:pPr>
            <w:r>
              <w:t>Prospective cohort</w:t>
            </w:r>
          </w:p>
          <w:p w14:paraId="5CDA23BB" w14:textId="77777777" w:rsidR="009B5315" w:rsidRDefault="009B5315" w:rsidP="009B5315">
            <w:pPr>
              <w:pStyle w:val="Tabletext0"/>
              <w:spacing w:before="0" w:after="120"/>
              <w:jc w:val="left"/>
            </w:pPr>
            <w:r>
              <w:t>Level III-2</w:t>
            </w:r>
          </w:p>
          <w:p w14:paraId="78F05DEB" w14:textId="3799A070" w:rsidR="009B5315" w:rsidRPr="006865B3" w:rsidRDefault="009B5315" w:rsidP="009B5315">
            <w:pPr>
              <w:pStyle w:val="Tabletext0"/>
              <w:spacing w:before="0" w:after="120"/>
              <w:jc w:val="left"/>
            </w:pPr>
            <w:r>
              <w:t>Low risk of bias</w:t>
            </w:r>
          </w:p>
        </w:tc>
        <w:tc>
          <w:tcPr>
            <w:tcW w:w="764" w:type="pct"/>
            <w:shd w:val="clear" w:color="auto" w:fill="auto"/>
          </w:tcPr>
          <w:p w14:paraId="384FEB5F" w14:textId="02BECFF2" w:rsidR="009B5315" w:rsidRPr="006865B3" w:rsidRDefault="009B5315" w:rsidP="009B5315">
            <w:pPr>
              <w:pStyle w:val="Tabletext0"/>
              <w:spacing w:before="0" w:after="120"/>
              <w:jc w:val="left"/>
            </w:pPr>
            <w:r>
              <w:t xml:space="preserve">N=57 participants assessing 10 pretested NSCLC specimens with known </w:t>
            </w:r>
            <w:r>
              <w:rPr>
                <w:i/>
              </w:rPr>
              <w:t xml:space="preserve">ALK </w:t>
            </w:r>
            <w:r>
              <w:t>status</w:t>
            </w:r>
          </w:p>
        </w:tc>
        <w:tc>
          <w:tcPr>
            <w:tcW w:w="800" w:type="pct"/>
          </w:tcPr>
          <w:p w14:paraId="6D055DAC" w14:textId="0469BC7C" w:rsidR="009B5315" w:rsidRPr="006865B3" w:rsidRDefault="009B5315" w:rsidP="009B5315">
            <w:pPr>
              <w:pStyle w:val="TableText"/>
            </w:pPr>
            <w:r>
              <w:t>RNA/DNA NGS</w:t>
            </w:r>
          </w:p>
        </w:tc>
        <w:tc>
          <w:tcPr>
            <w:tcW w:w="961" w:type="pct"/>
          </w:tcPr>
          <w:p w14:paraId="677096FE" w14:textId="77777777" w:rsidR="009B5315" w:rsidRPr="00A01382" w:rsidRDefault="009B5315" w:rsidP="009B5315">
            <w:pPr>
              <w:pStyle w:val="Tabletext0"/>
              <w:spacing w:before="0" w:after="120"/>
              <w:jc w:val="left"/>
            </w:pPr>
            <w:r>
              <w:t xml:space="preserve">ISH </w:t>
            </w:r>
            <w:r>
              <w:rPr>
                <w:i/>
              </w:rPr>
              <w:t xml:space="preserve">ALK </w:t>
            </w:r>
            <w:r>
              <w:t>testing (either FISH or CISH)</w:t>
            </w:r>
          </w:p>
          <w:p w14:paraId="01E7783D" w14:textId="655D8615" w:rsidR="009B5315" w:rsidRPr="006865B3" w:rsidRDefault="009B5315" w:rsidP="009B5315">
            <w:pPr>
              <w:pStyle w:val="Tabletext0"/>
              <w:spacing w:before="0" w:after="120"/>
              <w:jc w:val="left"/>
            </w:pPr>
            <w:r>
              <w:t>IHC</w:t>
            </w:r>
            <w:r>
              <w:rPr>
                <w:i/>
              </w:rPr>
              <w:t xml:space="preserve"> ALK </w:t>
            </w:r>
            <w:r>
              <w:t>testing</w:t>
            </w:r>
          </w:p>
        </w:tc>
        <w:tc>
          <w:tcPr>
            <w:tcW w:w="572" w:type="pct"/>
            <w:shd w:val="clear" w:color="auto" w:fill="auto"/>
          </w:tcPr>
          <w:p w14:paraId="27FC6D3D" w14:textId="56AF4E35" w:rsidR="009B5315" w:rsidRPr="006865B3" w:rsidRDefault="009B5315" w:rsidP="009B5315">
            <w:pPr>
              <w:pStyle w:val="TableText"/>
              <w:rPr>
                <w:snapToGrid w:val="0"/>
              </w:rPr>
            </w:pPr>
            <w:r>
              <w:t>Interrater reliability</w:t>
            </w:r>
          </w:p>
        </w:tc>
        <w:tc>
          <w:tcPr>
            <w:tcW w:w="456" w:type="pct"/>
            <w:shd w:val="clear" w:color="auto" w:fill="auto"/>
          </w:tcPr>
          <w:p w14:paraId="19F79608" w14:textId="62C7B0A0" w:rsidR="009B5315" w:rsidRPr="006865B3" w:rsidRDefault="00504E35" w:rsidP="009B5315">
            <w:pPr>
              <w:pStyle w:val="TableText"/>
              <w:rPr>
                <w:snapToGrid w:val="0"/>
              </w:rPr>
            </w:pPr>
            <w:r>
              <w:rPr>
                <w:snapToGrid w:val="0"/>
              </w:rPr>
              <w:t>No</w:t>
            </w:r>
          </w:p>
        </w:tc>
      </w:tr>
      <w:tr w:rsidR="009B5315" w:rsidRPr="006865B3" w14:paraId="63EF6F97" w14:textId="77777777" w:rsidTr="006865B3">
        <w:tc>
          <w:tcPr>
            <w:tcW w:w="646" w:type="pct"/>
            <w:shd w:val="clear" w:color="auto" w:fill="auto"/>
          </w:tcPr>
          <w:p w14:paraId="57353CA0" w14:textId="2D5702F3" w:rsidR="009B5315" w:rsidRPr="006865B3" w:rsidRDefault="00B4668F" w:rsidP="009B5315">
            <w:pPr>
              <w:pStyle w:val="TableText"/>
            </w:pPr>
            <w:r>
              <w:fldChar w:fldCharType="begin"/>
            </w:r>
            <w:r>
              <w:instrText xml:space="preserve"> ADDIN EN.CITE &lt;EndNote&gt;&lt;Cite&gt;&lt;Author&gt;Kato&lt;/Author&gt;&lt;Year&gt;2021&lt;/Year&gt;&lt;RecNum&gt;164&lt;/RecNum&gt;&lt;IDText&gt;NA-NA&lt;/IDText&gt;&lt;DisplayText&gt;(Kato et al. 2021)&lt;/DisplayText&gt;&lt;record&gt;&lt;rec-number&gt;164&lt;/rec-number&gt;&lt;foreign-keys&gt;&lt;key app="EN" db-id="0tprsse9cpp5r3ea5dz5p0xw2pfwvwxpa5a5" timestamp="1655264278"&gt;164&lt;/key&gt;&lt;/foreign-keys&gt;&lt;ref-type name="Journal Article"&gt;17&lt;/ref-type&gt;&lt;contributors&gt;&lt;authors&gt;&lt;author&gt;Kato, Kikuya&lt;/author&gt;&lt;author&gt;Okami, Jiro&lt;/author&gt;&lt;author&gt;Nakamura, Harumi&lt;/author&gt;&lt;author&gt;Honma, Keiichiro&lt;/author&gt;&lt;author&gt;Sato, Yoshiharu&lt;/author&gt;&lt;author&gt;Nakamura, Seiji&lt;/author&gt;&lt;author&gt;Kukita, Yoji&lt;/author&gt;&lt;author&gt;Nakatsuka, Shuichi&lt;/author&gt;&lt;author&gt;Higashiyama, Masahiko&lt;/author&gt;&lt;/authors&gt;&lt;/contributors&gt;&lt;titles&gt;&lt;title&gt;Analytical performance of a highly sensitive system to detect gene variants using next-generation sequencing for lung cancer companion diagnostics&lt;/title&gt;&lt;secondary-title&gt;NA&lt;/secondary-title&gt;&lt;/titles&gt;&lt;periodical&gt;&lt;full-title&gt;NA&lt;/full-title&gt;&lt;/periodical&gt;&lt;pages&gt;NA-NA&lt;/pages&gt;&lt;volume&gt;NA&lt;/volume&gt;&lt;number&gt;NA&lt;/number&gt;&lt;dates&gt;&lt;year&gt;2021&lt;/year&gt;&lt;/dates&gt;&lt;urls&gt;&lt;related-urls&gt;&lt;url&gt;https://www.medrxiv.org/content/medrxiv/early/2021/10/20/2021.10.13.21264976.full.pdf&lt;/url&gt;&lt;/related-urls&gt;&lt;/urls&gt;&lt;electronic-resource-num&gt;10.1101/2021.10.13.21264976&lt;/electronic-resource-num&gt;&lt;research-notes&gt; p -concordance EGFR, ALK, ROS1, MET&lt;/research-notes&gt;&lt;/record&gt;&lt;/Cite&gt;&lt;/EndNote&gt;</w:instrText>
            </w:r>
            <w:r>
              <w:fldChar w:fldCharType="separate"/>
            </w:r>
            <w:r>
              <w:rPr>
                <w:noProof/>
              </w:rPr>
              <w:t>(Kato et al. 2021)</w:t>
            </w:r>
            <w:r>
              <w:fldChar w:fldCharType="end"/>
            </w:r>
          </w:p>
          <w:p w14:paraId="3063AFA0" w14:textId="77777777" w:rsidR="009B5315" w:rsidRPr="006865B3" w:rsidRDefault="009B5315" w:rsidP="009B5315">
            <w:pPr>
              <w:pStyle w:val="TableText"/>
              <w:rPr>
                <w:snapToGrid w:val="0"/>
              </w:rPr>
            </w:pPr>
            <w:r w:rsidRPr="006865B3">
              <w:t>Japan</w:t>
            </w:r>
          </w:p>
        </w:tc>
        <w:tc>
          <w:tcPr>
            <w:tcW w:w="214" w:type="pct"/>
            <w:shd w:val="clear" w:color="auto" w:fill="auto"/>
          </w:tcPr>
          <w:p w14:paraId="7B555D5F" w14:textId="77777777" w:rsidR="009B5315" w:rsidRPr="006865B3" w:rsidRDefault="009B5315" w:rsidP="009B5315">
            <w:pPr>
              <w:pStyle w:val="TableText"/>
              <w:rPr>
                <w:snapToGrid w:val="0"/>
              </w:rPr>
            </w:pPr>
            <w:r w:rsidRPr="006865B3">
              <w:rPr>
                <w:snapToGrid w:val="0"/>
              </w:rPr>
              <w:t>150</w:t>
            </w:r>
          </w:p>
        </w:tc>
        <w:tc>
          <w:tcPr>
            <w:tcW w:w="587" w:type="pct"/>
            <w:shd w:val="clear" w:color="auto" w:fill="auto"/>
          </w:tcPr>
          <w:p w14:paraId="14EBF3F6" w14:textId="77777777" w:rsidR="009B5315" w:rsidRPr="006865B3" w:rsidRDefault="009B5315" w:rsidP="009B5315">
            <w:pPr>
              <w:pStyle w:val="Tabletext0"/>
              <w:spacing w:before="0" w:after="120"/>
              <w:jc w:val="left"/>
            </w:pPr>
            <w:r w:rsidRPr="006865B3">
              <w:t>Cohort study (retrospective or prospective unknown)</w:t>
            </w:r>
          </w:p>
          <w:p w14:paraId="3AFACDF4" w14:textId="77777777" w:rsidR="009B5315" w:rsidRPr="006865B3" w:rsidRDefault="009B5315" w:rsidP="009B5315">
            <w:pPr>
              <w:pStyle w:val="Tabletext0"/>
              <w:spacing w:before="0" w:after="120"/>
              <w:jc w:val="left"/>
            </w:pPr>
            <w:r w:rsidRPr="006865B3">
              <w:t xml:space="preserve">Level III-2 </w:t>
            </w:r>
          </w:p>
          <w:p w14:paraId="42BBDC36" w14:textId="77777777" w:rsidR="009B5315" w:rsidRPr="006865B3" w:rsidRDefault="009B5315" w:rsidP="009B5315">
            <w:pPr>
              <w:pStyle w:val="Tabletext0"/>
              <w:spacing w:before="0" w:after="120"/>
              <w:jc w:val="left"/>
            </w:pPr>
            <w:r w:rsidRPr="006865B3">
              <w:t>Moderate risk of bias</w:t>
            </w:r>
          </w:p>
        </w:tc>
        <w:tc>
          <w:tcPr>
            <w:tcW w:w="764" w:type="pct"/>
            <w:shd w:val="clear" w:color="auto" w:fill="auto"/>
          </w:tcPr>
          <w:p w14:paraId="3BFBE3E7" w14:textId="77777777" w:rsidR="009B5315" w:rsidRPr="006865B3" w:rsidRDefault="009B5315" w:rsidP="009B5315">
            <w:pPr>
              <w:pStyle w:val="Tabletext0"/>
              <w:spacing w:before="0" w:after="120"/>
              <w:jc w:val="left"/>
              <w:rPr>
                <w:i/>
              </w:rPr>
            </w:pPr>
            <w:r w:rsidRPr="006865B3">
              <w:t xml:space="preserve">N=150 (for </w:t>
            </w:r>
            <w:r w:rsidRPr="006865B3">
              <w:rPr>
                <w:i/>
              </w:rPr>
              <w:t>EGFR)</w:t>
            </w:r>
          </w:p>
          <w:p w14:paraId="4962D80E" w14:textId="77777777" w:rsidR="009B5315" w:rsidRPr="006865B3" w:rsidRDefault="009B5315" w:rsidP="009B5315">
            <w:pPr>
              <w:pStyle w:val="Tabletext0"/>
              <w:spacing w:before="0" w:after="120"/>
              <w:jc w:val="left"/>
              <w:rPr>
                <w:i/>
              </w:rPr>
            </w:pPr>
            <w:r w:rsidRPr="006865B3">
              <w:t xml:space="preserve">N=733 (for </w:t>
            </w:r>
            <w:r w:rsidRPr="006865B3">
              <w:rPr>
                <w:i/>
              </w:rPr>
              <w:t>ALK)</w:t>
            </w:r>
          </w:p>
          <w:p w14:paraId="70076155" w14:textId="77777777" w:rsidR="009B5315" w:rsidRPr="006865B3" w:rsidRDefault="009B5315" w:rsidP="009B5315">
            <w:pPr>
              <w:pStyle w:val="Tabletext0"/>
              <w:spacing w:before="0" w:after="120"/>
              <w:jc w:val="left"/>
              <w:rPr>
                <w:i/>
              </w:rPr>
            </w:pPr>
            <w:r w:rsidRPr="006865B3">
              <w:t xml:space="preserve">N=109 (for </w:t>
            </w:r>
            <w:r w:rsidRPr="006865B3">
              <w:rPr>
                <w:i/>
              </w:rPr>
              <w:t>ROS1)</w:t>
            </w:r>
          </w:p>
          <w:p w14:paraId="662DE852" w14:textId="77777777" w:rsidR="009B5315" w:rsidRPr="006865B3" w:rsidRDefault="009B5315" w:rsidP="009B5315">
            <w:pPr>
              <w:pStyle w:val="Tabletext0"/>
              <w:spacing w:before="0" w:after="120"/>
              <w:jc w:val="left"/>
              <w:rPr>
                <w:i/>
              </w:rPr>
            </w:pPr>
            <w:r w:rsidRPr="006865B3">
              <w:t xml:space="preserve">N=99 (for </w:t>
            </w:r>
            <w:r w:rsidRPr="006865B3">
              <w:rPr>
                <w:i/>
              </w:rPr>
              <w:t>MET)</w:t>
            </w:r>
          </w:p>
          <w:p w14:paraId="0A36881B" w14:textId="77777777" w:rsidR="009B5315" w:rsidRPr="006865B3" w:rsidRDefault="009B5315" w:rsidP="009B5315">
            <w:pPr>
              <w:pStyle w:val="Tabletext0"/>
              <w:spacing w:before="0" w:after="120"/>
              <w:jc w:val="left"/>
            </w:pPr>
            <w:r w:rsidRPr="006865B3">
              <w:t xml:space="preserve">FFPE NSCLC samples </w:t>
            </w:r>
          </w:p>
          <w:p w14:paraId="69102004" w14:textId="77777777" w:rsidR="009B5315" w:rsidRPr="006865B3" w:rsidRDefault="009B5315" w:rsidP="009B5315">
            <w:pPr>
              <w:pStyle w:val="TableText"/>
              <w:rPr>
                <w:snapToGrid w:val="0"/>
              </w:rPr>
            </w:pPr>
          </w:p>
        </w:tc>
        <w:tc>
          <w:tcPr>
            <w:tcW w:w="800" w:type="pct"/>
          </w:tcPr>
          <w:p w14:paraId="2AA919BD" w14:textId="77777777" w:rsidR="009B5315" w:rsidRPr="006865B3" w:rsidRDefault="009B5315" w:rsidP="009B5315">
            <w:pPr>
              <w:pStyle w:val="Tabletext0"/>
              <w:spacing w:before="0" w:after="120"/>
              <w:jc w:val="left"/>
            </w:pPr>
            <w:r w:rsidRPr="006865B3">
              <w:t xml:space="preserve">NGS panel, consists of 2 DNA modules (for </w:t>
            </w:r>
            <w:r w:rsidRPr="006865B3">
              <w:rPr>
                <w:i/>
              </w:rPr>
              <w:t xml:space="preserve">EGFR, BRAF, KRAS Her2, </w:t>
            </w:r>
            <w:r w:rsidRPr="006865B3">
              <w:t xml:space="preserve">and </w:t>
            </w:r>
            <w:r w:rsidRPr="006865B3">
              <w:rPr>
                <w:i/>
              </w:rPr>
              <w:t xml:space="preserve">MET </w:t>
            </w:r>
            <w:r w:rsidRPr="006865B3">
              <w:t>mutations/variants)</w:t>
            </w:r>
            <w:r w:rsidRPr="006865B3">
              <w:rPr>
                <w:i/>
              </w:rPr>
              <w:t xml:space="preserve"> </w:t>
            </w:r>
            <w:r w:rsidRPr="006865B3">
              <w:t xml:space="preserve">and 2 RNA modules (for </w:t>
            </w:r>
            <w:r w:rsidRPr="006865B3">
              <w:rPr>
                <w:i/>
              </w:rPr>
              <w:t>ALK, MET, ROS1</w:t>
            </w:r>
            <w:r w:rsidRPr="006865B3">
              <w:t xml:space="preserve"> and </w:t>
            </w:r>
            <w:r w:rsidRPr="006865B3">
              <w:rPr>
                <w:i/>
              </w:rPr>
              <w:t xml:space="preserve">RET </w:t>
            </w:r>
            <w:r w:rsidRPr="006865B3">
              <w:t>mutations/variants)</w:t>
            </w:r>
          </w:p>
          <w:p w14:paraId="344D2ACC" w14:textId="77777777" w:rsidR="009B5315" w:rsidRPr="006865B3" w:rsidRDefault="009B5315" w:rsidP="009B5315">
            <w:pPr>
              <w:pStyle w:val="TableText"/>
              <w:rPr>
                <w:snapToGrid w:val="0"/>
              </w:rPr>
            </w:pPr>
          </w:p>
        </w:tc>
        <w:tc>
          <w:tcPr>
            <w:tcW w:w="961" w:type="pct"/>
          </w:tcPr>
          <w:p w14:paraId="0F6FA45C" w14:textId="77777777" w:rsidR="009B5315" w:rsidRPr="006865B3" w:rsidRDefault="009B5315" w:rsidP="009B5315">
            <w:pPr>
              <w:pStyle w:val="Tabletext0"/>
              <w:spacing w:before="0" w:after="120"/>
              <w:jc w:val="left"/>
            </w:pPr>
            <w:r w:rsidRPr="006865B3">
              <w:rPr>
                <w:i/>
              </w:rPr>
              <w:t xml:space="preserve">EGFR: </w:t>
            </w:r>
            <w:r w:rsidRPr="006865B3">
              <w:t>Cobas</w:t>
            </w:r>
            <w:r w:rsidRPr="006865B3">
              <w:rPr>
                <w:vertAlign w:val="superscript"/>
              </w:rPr>
              <w:t>®</w:t>
            </w:r>
            <w:r w:rsidRPr="006865B3">
              <w:t xml:space="preserve"> </w:t>
            </w:r>
            <w:r w:rsidRPr="006865B3">
              <w:rPr>
                <w:i/>
              </w:rPr>
              <w:t>EGFR</w:t>
            </w:r>
            <w:r w:rsidRPr="006865B3">
              <w:t xml:space="preserve"> Mutation Test v2 </w:t>
            </w:r>
          </w:p>
          <w:p w14:paraId="49012581" w14:textId="59BA5C16" w:rsidR="009B5315" w:rsidRDefault="009B5315" w:rsidP="009B5315">
            <w:pPr>
              <w:pStyle w:val="Tabletext0"/>
              <w:spacing w:before="0" w:after="120"/>
              <w:jc w:val="left"/>
            </w:pPr>
            <w:r w:rsidRPr="006865B3">
              <w:rPr>
                <w:i/>
              </w:rPr>
              <w:t>ALK</w:t>
            </w:r>
            <w:r w:rsidRPr="006865B3">
              <w:t xml:space="preserve">: Histofine </w:t>
            </w:r>
            <w:r w:rsidRPr="006865B3">
              <w:rPr>
                <w:i/>
              </w:rPr>
              <w:t>ALK</w:t>
            </w:r>
            <w:r w:rsidRPr="006865B3">
              <w:t xml:space="preserve"> iAEP</w:t>
            </w:r>
            <w:r w:rsidRPr="006865B3">
              <w:rPr>
                <w:vertAlign w:val="superscript"/>
              </w:rPr>
              <w:t>®</w:t>
            </w:r>
            <w:r w:rsidRPr="006865B3">
              <w:t xml:space="preserve"> kit and Vysis</w:t>
            </w:r>
            <w:r w:rsidRPr="006865B3">
              <w:rPr>
                <w:vertAlign w:val="superscript"/>
              </w:rPr>
              <w:t>®</w:t>
            </w:r>
            <w:r w:rsidRPr="006865B3">
              <w:t xml:space="preserve"> </w:t>
            </w:r>
            <w:r w:rsidRPr="006865B3">
              <w:rPr>
                <w:i/>
              </w:rPr>
              <w:t>ALK</w:t>
            </w:r>
            <w:r w:rsidRPr="006865B3">
              <w:t xml:space="preserve"> Break Apart FISH</w:t>
            </w:r>
            <w:r w:rsidR="00237745">
              <w:t xml:space="preserve"> </w:t>
            </w:r>
          </w:p>
          <w:p w14:paraId="5D6BA65C" w14:textId="38E1931A" w:rsidR="00237745" w:rsidRPr="006865B3" w:rsidRDefault="00237745" w:rsidP="009B5315">
            <w:pPr>
              <w:pStyle w:val="Tabletext0"/>
              <w:spacing w:before="0" w:after="120"/>
              <w:jc w:val="left"/>
            </w:pPr>
            <w:r>
              <w:t>Threshold for positivity on FISH not defined</w:t>
            </w:r>
          </w:p>
          <w:p w14:paraId="4C0895A9" w14:textId="77777777" w:rsidR="009B5315" w:rsidRPr="006865B3" w:rsidRDefault="009B5315" w:rsidP="009B5315">
            <w:pPr>
              <w:pStyle w:val="Tabletext0"/>
              <w:spacing w:before="0" w:after="120"/>
              <w:jc w:val="left"/>
            </w:pPr>
            <w:r w:rsidRPr="006865B3">
              <w:rPr>
                <w:i/>
              </w:rPr>
              <w:t>ROS1</w:t>
            </w:r>
            <w:r w:rsidRPr="006865B3">
              <w:t>: OncoGuide</w:t>
            </w:r>
            <w:r w:rsidRPr="006865B3">
              <w:rPr>
                <w:vertAlign w:val="superscript"/>
              </w:rPr>
              <w:t>®</w:t>
            </w:r>
            <w:r w:rsidRPr="006865B3">
              <w:t xml:space="preserve"> AmyouDx</w:t>
            </w:r>
            <w:r w:rsidRPr="006865B3">
              <w:rPr>
                <w:vertAlign w:val="superscript"/>
              </w:rPr>
              <w:t>®</w:t>
            </w:r>
            <w:r w:rsidRPr="006865B3">
              <w:t xml:space="preserve"> </w:t>
            </w:r>
            <w:r w:rsidRPr="006865B3">
              <w:rPr>
                <w:i/>
              </w:rPr>
              <w:t>ROS1</w:t>
            </w:r>
          </w:p>
          <w:p w14:paraId="00625F65" w14:textId="77777777" w:rsidR="009B5315" w:rsidRPr="006865B3" w:rsidRDefault="009B5315" w:rsidP="009B5315">
            <w:pPr>
              <w:pStyle w:val="TableText"/>
              <w:rPr>
                <w:snapToGrid w:val="0"/>
              </w:rPr>
            </w:pPr>
            <w:r w:rsidRPr="006865B3">
              <w:rPr>
                <w:i/>
              </w:rPr>
              <w:t xml:space="preserve">MET: </w:t>
            </w:r>
            <w:r w:rsidRPr="006865B3">
              <w:t>Archer</w:t>
            </w:r>
            <w:r w:rsidRPr="006865B3">
              <w:rPr>
                <w:vertAlign w:val="superscript"/>
              </w:rPr>
              <w:t>®</w:t>
            </w:r>
            <w:r w:rsidRPr="006865B3">
              <w:t>MET</w:t>
            </w:r>
          </w:p>
        </w:tc>
        <w:tc>
          <w:tcPr>
            <w:tcW w:w="572" w:type="pct"/>
            <w:shd w:val="clear" w:color="auto" w:fill="auto"/>
          </w:tcPr>
          <w:p w14:paraId="58F267DA" w14:textId="77777777" w:rsidR="009B5315" w:rsidRPr="006865B3" w:rsidRDefault="009B5315" w:rsidP="009B5315">
            <w:pPr>
              <w:pStyle w:val="TableText"/>
              <w:rPr>
                <w:snapToGrid w:val="0"/>
              </w:rPr>
            </w:pPr>
            <w:r w:rsidRPr="006865B3">
              <w:rPr>
                <w:snapToGrid w:val="0"/>
              </w:rPr>
              <w:t xml:space="preserve">Concordance for </w:t>
            </w:r>
            <w:r w:rsidRPr="00956452">
              <w:rPr>
                <w:i/>
                <w:snapToGrid w:val="0"/>
              </w:rPr>
              <w:t>ALK, ROS1</w:t>
            </w:r>
            <w:r w:rsidRPr="006865B3">
              <w:rPr>
                <w:snapToGrid w:val="0"/>
              </w:rPr>
              <w:t xml:space="preserve">, </w:t>
            </w:r>
            <w:r w:rsidRPr="00956452">
              <w:rPr>
                <w:i/>
                <w:snapToGrid w:val="0"/>
              </w:rPr>
              <w:t>MET</w:t>
            </w:r>
            <w:r w:rsidRPr="006865B3">
              <w:rPr>
                <w:snapToGrid w:val="0"/>
              </w:rPr>
              <w:t>ex14sk</w:t>
            </w:r>
          </w:p>
        </w:tc>
        <w:tc>
          <w:tcPr>
            <w:tcW w:w="456" w:type="pct"/>
            <w:shd w:val="clear" w:color="auto" w:fill="auto"/>
          </w:tcPr>
          <w:p w14:paraId="6686FEF2" w14:textId="59DB56F3" w:rsidR="009B5315" w:rsidRPr="006865B3" w:rsidRDefault="00504E35" w:rsidP="009B5315">
            <w:pPr>
              <w:pStyle w:val="TableText"/>
              <w:rPr>
                <w:snapToGrid w:val="0"/>
              </w:rPr>
            </w:pPr>
            <w:r>
              <w:rPr>
                <w:snapToGrid w:val="0"/>
              </w:rPr>
              <w:t>Yes</w:t>
            </w:r>
          </w:p>
        </w:tc>
      </w:tr>
      <w:tr w:rsidR="009B5315" w:rsidRPr="006865B3" w14:paraId="7C9F91C5" w14:textId="77777777" w:rsidTr="006865B3">
        <w:tc>
          <w:tcPr>
            <w:tcW w:w="646" w:type="pct"/>
            <w:shd w:val="clear" w:color="auto" w:fill="auto"/>
          </w:tcPr>
          <w:p w14:paraId="7398E059" w14:textId="3620ACE9" w:rsidR="009B5315" w:rsidRPr="006865B3" w:rsidRDefault="00B4668F" w:rsidP="009B5315">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&lt;EndNote&gt;&lt;Cite&gt;&lt;Author&gt;Kim&lt;/Author&gt;&lt;Year&gt;2021&lt;/Year&gt;&lt;RecNum&gt;165&lt;/RecNum&gt;&lt;IDText&gt;3197-3204&lt;/IDText&gt;&lt;DisplayText&gt;(Kim et al. 2021)&lt;/DisplayText&gt;&lt;record&gt;&lt;rec-number&gt;165&lt;/rec-number&gt;&lt;foreign-keys&gt;&lt;key app="EN" db-id="0tprsse9cpp5r3ea5dz5p0xw2pfwvwxpa5a5" timestamp="1655264278"&gt;165&lt;/key&gt;&lt;/foreign-keys&gt;&lt;ref-type name="Journal Article"&gt;17&lt;/ref-type&gt;&lt;contributors&gt;&lt;authors&gt;&lt;author&gt;Kim, J. H.&lt;/author&gt;&lt;author&gt;Yoon, Shinkyo&lt;/author&gt;&lt;author&gt;Lee, Dae Ho&lt;/author&gt;&lt;author&gt;Jang, Jin&lt;/author&gt;&lt;author&gt;Chun, Sung-Min&lt;/author&gt;&lt;author&gt;Kim, Sang-We&lt;/author&gt;&lt;/authors&gt;&lt;/contributors&gt;&lt;titles&gt;&lt;title&gt;Real-world utility of next-generation sequencing for targeted gene analysis and its application to treatment in lung adenocarcinoma&lt;/title&gt;&lt;secondary-title&gt;Cancer medicine&lt;/secondary-title&gt;&lt;/titles&gt;&lt;periodical&gt;&lt;full-title&gt;Cancer Medicine&lt;/full-title&gt;&lt;/periodical&gt;&lt;pages&gt;3197-3204&lt;/pages&gt;&lt;volume&gt;10&lt;/volume&gt;&lt;number&gt;10&lt;/number&gt;&lt;dates&gt;&lt;year&gt;2021&lt;/year&gt;&lt;/dates&gt;&lt;urls&gt;&lt;related-urls&gt;&lt;url&gt;https://www.ncbi.nlm.nih.gov/pmc/articles/PMC8124124/pdf/CAM4-10-3197.pdf&lt;/url&gt;&lt;/related-urls&gt;&lt;/urls&gt;&lt;electronic-resource-num&gt;10.1002/cam4.3874&lt;/electronic-resource-num&gt;&lt;research-notes&gt;P - Concordance on EGFR&lt;/research-notes&gt;&lt;/record&gt;&lt;/Cite&gt;&lt;/EndNote&gt;</w:instrText>
            </w:r>
            <w:r>
              <w:rPr>
                <w:rFonts w:ascii="Arial Narrow" w:hAnsi="Arial Narrow"/>
              </w:rPr>
              <w:fldChar w:fldCharType="separate"/>
            </w:r>
            <w:r>
              <w:rPr>
                <w:rFonts w:ascii="Arial Narrow" w:hAnsi="Arial Narrow"/>
                <w:noProof/>
              </w:rPr>
              <w:t>(Kim et al. 2021)</w:t>
            </w:r>
            <w:r>
              <w:rPr>
                <w:rFonts w:ascii="Arial Narrow" w:hAnsi="Arial Narrow"/>
              </w:rPr>
              <w:fldChar w:fldCharType="end"/>
            </w:r>
          </w:p>
          <w:p w14:paraId="4AE3B722" w14:textId="77777777" w:rsidR="009B5315" w:rsidRPr="006865B3" w:rsidRDefault="009B5315" w:rsidP="009B5315">
            <w:pPr>
              <w:spacing w:before="0"/>
              <w:rPr>
                <w:rFonts w:ascii="Arial Narrow" w:hAnsi="Arial Narrow" w:cs="Calibri"/>
                <w:color w:val="000000"/>
              </w:rPr>
            </w:pPr>
            <w:r w:rsidRPr="006865B3">
              <w:rPr>
                <w:rFonts w:ascii="Arial Narrow" w:hAnsi="Arial Narrow"/>
              </w:rPr>
              <w:t>Korea</w:t>
            </w:r>
          </w:p>
        </w:tc>
        <w:tc>
          <w:tcPr>
            <w:tcW w:w="214" w:type="pct"/>
            <w:shd w:val="clear" w:color="auto" w:fill="auto"/>
          </w:tcPr>
          <w:p w14:paraId="1CF5767C" w14:textId="77777777" w:rsidR="009B5315" w:rsidRPr="006865B3" w:rsidRDefault="009B5315" w:rsidP="009B5315">
            <w:pPr>
              <w:pStyle w:val="TableText"/>
              <w:rPr>
                <w:snapToGrid w:val="0"/>
              </w:rPr>
            </w:pPr>
            <w:r w:rsidRPr="006865B3">
              <w:rPr>
                <w:snapToGrid w:val="0"/>
              </w:rPr>
              <w:t>391</w:t>
            </w:r>
          </w:p>
        </w:tc>
        <w:tc>
          <w:tcPr>
            <w:tcW w:w="587" w:type="pct"/>
            <w:shd w:val="clear" w:color="auto" w:fill="auto"/>
          </w:tcPr>
          <w:p w14:paraId="0FCF3271" w14:textId="77777777" w:rsidR="009B5315" w:rsidRPr="006865B3" w:rsidRDefault="009B5315" w:rsidP="009B5315">
            <w:pPr>
              <w:pStyle w:val="Tabletext0"/>
              <w:spacing w:before="0" w:after="120"/>
              <w:jc w:val="left"/>
            </w:pPr>
            <w:r w:rsidRPr="006865B3">
              <w:t>Retrospective cohort study</w:t>
            </w:r>
          </w:p>
          <w:p w14:paraId="1ACEBFCB" w14:textId="77777777" w:rsidR="009B5315" w:rsidRPr="006865B3" w:rsidRDefault="009B5315" w:rsidP="009B5315">
            <w:pPr>
              <w:pStyle w:val="Tabletext0"/>
              <w:spacing w:before="0" w:after="120"/>
              <w:jc w:val="left"/>
            </w:pPr>
            <w:r w:rsidRPr="006865B3">
              <w:t>Level III-2</w:t>
            </w:r>
          </w:p>
          <w:p w14:paraId="08A07EB4" w14:textId="77777777" w:rsidR="009B5315" w:rsidRPr="006865B3" w:rsidRDefault="009B5315" w:rsidP="009B5315">
            <w:pPr>
              <w:pStyle w:val="Tabletext0"/>
              <w:spacing w:before="0" w:after="120"/>
              <w:jc w:val="left"/>
            </w:pPr>
            <w:r w:rsidRPr="006865B3">
              <w:lastRenderedPageBreak/>
              <w:t>Moderate risk of bias</w:t>
            </w:r>
          </w:p>
        </w:tc>
        <w:tc>
          <w:tcPr>
            <w:tcW w:w="764" w:type="pct"/>
            <w:shd w:val="clear" w:color="auto" w:fill="auto"/>
          </w:tcPr>
          <w:p w14:paraId="10297C76" w14:textId="77777777" w:rsidR="009B5315" w:rsidRPr="006865B3" w:rsidRDefault="009B5315" w:rsidP="009B5315">
            <w:pPr>
              <w:pStyle w:val="Tabletext0"/>
              <w:spacing w:before="0" w:after="120"/>
              <w:jc w:val="left"/>
              <w:rPr>
                <w:u w:val="single"/>
              </w:rPr>
            </w:pPr>
            <w:r w:rsidRPr="006865B3">
              <w:lastRenderedPageBreak/>
              <w:t>Patients with lung adenocarcinoma who underwent NGS</w:t>
            </w:r>
          </w:p>
          <w:p w14:paraId="4D04952F" w14:textId="729AC9C2" w:rsidR="009B5315" w:rsidRPr="00634F25" w:rsidRDefault="009B5315" w:rsidP="00634F25">
            <w:pPr>
              <w:pStyle w:val="Tabletext0"/>
              <w:spacing w:before="0" w:after="120"/>
              <w:jc w:val="left"/>
              <w:rPr>
                <w:u w:val="single"/>
              </w:rPr>
            </w:pPr>
            <w:r w:rsidRPr="006865B3">
              <w:lastRenderedPageBreak/>
              <w:t>FFPE archival biopsy or surgical specimens</w:t>
            </w:r>
            <w:r w:rsidRPr="006865B3">
              <w:rPr>
                <w:u w:val="single"/>
              </w:rPr>
              <w:t xml:space="preserve"> </w:t>
            </w:r>
          </w:p>
        </w:tc>
        <w:tc>
          <w:tcPr>
            <w:tcW w:w="800" w:type="pct"/>
          </w:tcPr>
          <w:p w14:paraId="43DC03E4" w14:textId="77777777" w:rsidR="009B5315" w:rsidRPr="006865B3" w:rsidRDefault="009B5315" w:rsidP="009B5315">
            <w:pPr>
              <w:pStyle w:val="TableText"/>
              <w:rPr>
                <w:snapToGrid w:val="0"/>
              </w:rPr>
            </w:pPr>
            <w:r w:rsidRPr="006865B3">
              <w:lastRenderedPageBreak/>
              <w:t>Targeted NGS using the MiSeq platform (Illumina) with OncoPanel AMC version 3, targeting a total of 382 genes</w:t>
            </w:r>
          </w:p>
        </w:tc>
        <w:tc>
          <w:tcPr>
            <w:tcW w:w="961" w:type="pct"/>
          </w:tcPr>
          <w:p w14:paraId="6A8E172B" w14:textId="77777777" w:rsidR="009B5315" w:rsidRPr="006865B3" w:rsidRDefault="009B5315" w:rsidP="009B5315">
            <w:pPr>
              <w:pStyle w:val="TableText"/>
              <w:rPr>
                <w:snapToGrid w:val="0"/>
              </w:rPr>
            </w:pPr>
            <w:r w:rsidRPr="006865B3">
              <w:t xml:space="preserve">Conventional single-targeting PCR for </w:t>
            </w:r>
            <w:r w:rsidRPr="006865B3">
              <w:rPr>
                <w:i/>
              </w:rPr>
              <w:t xml:space="preserve">EGFR </w:t>
            </w:r>
            <w:r w:rsidRPr="006865B3">
              <w:t>mutations</w:t>
            </w:r>
          </w:p>
        </w:tc>
        <w:tc>
          <w:tcPr>
            <w:tcW w:w="572" w:type="pct"/>
            <w:shd w:val="clear" w:color="auto" w:fill="auto"/>
          </w:tcPr>
          <w:p w14:paraId="681BC88D" w14:textId="77777777" w:rsidR="009B5315" w:rsidRPr="006865B3" w:rsidRDefault="009B5315" w:rsidP="009B5315">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0CE9B3B3" w14:textId="6A7D4ED1" w:rsidR="009B5315" w:rsidRPr="006865B3" w:rsidRDefault="00504E35" w:rsidP="009B5315">
            <w:pPr>
              <w:pStyle w:val="TableText"/>
              <w:rPr>
                <w:snapToGrid w:val="0"/>
              </w:rPr>
            </w:pPr>
            <w:r>
              <w:rPr>
                <w:snapToGrid w:val="0"/>
              </w:rPr>
              <w:t>Yes</w:t>
            </w:r>
          </w:p>
        </w:tc>
      </w:tr>
      <w:tr w:rsidR="009B5315" w:rsidRPr="006865B3" w14:paraId="7997A96B" w14:textId="77777777" w:rsidTr="006865B3">
        <w:tc>
          <w:tcPr>
            <w:tcW w:w="646" w:type="pct"/>
            <w:shd w:val="clear" w:color="auto" w:fill="auto"/>
          </w:tcPr>
          <w:p w14:paraId="546EDA59" w14:textId="6D18D38B" w:rsidR="009B5315" w:rsidRPr="006865B3" w:rsidRDefault="00B4668F" w:rsidP="009B5315">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&lt;EndNote&gt;&lt;Cite&gt;&lt;Author&gt;Lassalle&lt;/Author&gt;&lt;Year&gt;2020&lt;/Year&gt;&lt;RecNum&gt;167&lt;/RecNum&gt;&lt;IDText&gt;955-NA&lt;/IDText&gt;&lt;DisplayText&gt;(Lassalle et al. 2020)&lt;/DisplayText&gt;&lt;record&gt;&lt;rec-number&gt;167&lt;/rec-number&gt;&lt;foreign-keys&gt;&lt;key app="EN" db-id="0tprsse9cpp5r3ea5dz5p0xw2pfwvwxpa5a5" timestamp="1655264278"&gt;167&lt;/key&gt;&lt;/foreign-keys&gt;&lt;ref-type name="Journal Article"&gt;17&lt;/ref-type&gt;&lt;contributors&gt;&lt;authors&gt;&lt;author&gt;Lassalle, Sandra&lt;/author&gt;&lt;author&gt;Hofman, Véronique&lt;/author&gt;&lt;author&gt;Heeke, Simon&lt;/author&gt;&lt;author&gt;Benzaquen, Jonathan&lt;/author&gt;&lt;author&gt;Long, Elodie&lt;/author&gt;&lt;author&gt;Poudenx, Michel&lt;/author&gt;&lt;author&gt;Lantéri, Elisabeth&lt;/author&gt;&lt;author&gt;Boutros, Jacques&lt;/author&gt;&lt;author&gt;Tanga, Virginie&lt;/author&gt;&lt;author&gt;Zahaf, Katia&lt;/author&gt;&lt;author&gt;Lalvée, Salomé&lt;/author&gt;&lt;author&gt;Lespinet, Virginie&lt;/author&gt;&lt;author&gt;Bordone, Olivier&lt;/author&gt;&lt;author&gt;Félix, Jean-Marc&lt;/author&gt;&lt;author&gt;Bonnetaud, Christelle&lt;/author&gt;&lt;author&gt;Marquette, C. H.&lt;/author&gt;&lt;author&gt;Ilie, Marius&lt;/author&gt;&lt;author&gt;Hofman, Paul&lt;/author&gt;&lt;/authors&gt;&lt;/contributors&gt;&lt;titles&gt;&lt;title&gt;Targeted Assessment of the EGFR Status as Reflex Testing in Treatment-Naive Non-Squamous Cell Lung Carcinoma Patients: A Single Laboratory Experience (LPCE, Nice, France)&lt;/title&gt;&lt;secondary-title&gt;Cancers&lt;/secondary-title&gt;&lt;/titles&gt;&lt;periodical&gt;&lt;full-title&gt;Cancers&lt;/full-title&gt;&lt;/periodical&gt;&lt;pages&gt;955-NA&lt;/pages&gt;&lt;volume&gt;12&lt;/volume&gt;&lt;number&gt;4&lt;/number&gt;&lt;dates&gt;&lt;year&gt;2020&lt;/year&gt;&lt;/dates&gt;&lt;urls&gt;&lt;related-urls&gt;&lt;url&gt;https://mdpi-res.com/d_attachment/cancers/cancers-12-00955/article_deploy/cancers-12-00955.pdf?version=1586755471&lt;/url&gt;&lt;/related-urls&gt;&lt;/urls&gt;&lt;electronic-resource-num&gt;10.3390/cancers12040955&lt;/electronic-resource-num&gt;&lt;research-notes&gt;P - concordance - EGFR &lt;/research-notes&gt;&lt;/record&gt;&lt;/Cite&gt;&lt;/EndNote&gt;</w:instrText>
            </w:r>
            <w:r>
              <w:rPr>
                <w:rFonts w:ascii="Arial Narrow" w:hAnsi="Arial Narrow"/>
              </w:rPr>
              <w:fldChar w:fldCharType="separate"/>
            </w:r>
            <w:r>
              <w:rPr>
                <w:rFonts w:ascii="Arial Narrow" w:hAnsi="Arial Narrow"/>
                <w:noProof/>
              </w:rPr>
              <w:t>(Lassalle et al. 2020)</w:t>
            </w:r>
            <w:r>
              <w:rPr>
                <w:rFonts w:ascii="Arial Narrow" w:hAnsi="Arial Narrow"/>
              </w:rPr>
              <w:fldChar w:fldCharType="end"/>
            </w:r>
          </w:p>
          <w:p w14:paraId="2503C9E8" w14:textId="031DE87A" w:rsidR="009B5315" w:rsidRPr="006865B3" w:rsidRDefault="009B5315" w:rsidP="009B5315">
            <w:pPr>
              <w:spacing w:before="0"/>
              <w:rPr>
                <w:rFonts w:ascii="Arial Narrow" w:hAnsi="Arial Narrow"/>
              </w:rPr>
            </w:pPr>
            <w:r w:rsidRPr="006865B3">
              <w:rPr>
                <w:rFonts w:ascii="Arial Narrow" w:hAnsi="Arial Narrow"/>
              </w:rPr>
              <w:t>France</w:t>
            </w:r>
          </w:p>
        </w:tc>
        <w:tc>
          <w:tcPr>
            <w:tcW w:w="214" w:type="pct"/>
            <w:shd w:val="clear" w:color="auto" w:fill="auto"/>
          </w:tcPr>
          <w:p w14:paraId="1D65A1ED" w14:textId="117B54E0" w:rsidR="009B5315" w:rsidRPr="006865B3" w:rsidRDefault="009B5315" w:rsidP="009B5315">
            <w:pPr>
              <w:pStyle w:val="TableText"/>
              <w:rPr>
                <w:snapToGrid w:val="0"/>
              </w:rPr>
            </w:pPr>
            <w:r w:rsidRPr="006865B3">
              <w:rPr>
                <w:snapToGrid w:val="0"/>
              </w:rPr>
              <w:t>83</w:t>
            </w:r>
          </w:p>
        </w:tc>
        <w:tc>
          <w:tcPr>
            <w:tcW w:w="587" w:type="pct"/>
            <w:shd w:val="clear" w:color="auto" w:fill="auto"/>
          </w:tcPr>
          <w:p w14:paraId="2E437530" w14:textId="77777777" w:rsidR="009B5315" w:rsidRPr="006865B3" w:rsidRDefault="009B5315" w:rsidP="009B5315">
            <w:pPr>
              <w:pStyle w:val="Tabletext0"/>
              <w:spacing w:before="0" w:after="120"/>
              <w:jc w:val="left"/>
            </w:pPr>
            <w:r w:rsidRPr="006865B3">
              <w:t>Prospective case series</w:t>
            </w:r>
          </w:p>
          <w:p w14:paraId="6CF39005" w14:textId="77777777" w:rsidR="009B5315" w:rsidRPr="006865B3" w:rsidRDefault="009B5315" w:rsidP="009B5315">
            <w:pPr>
              <w:pStyle w:val="Tabletext0"/>
              <w:spacing w:before="0" w:after="120"/>
              <w:jc w:val="left"/>
            </w:pPr>
            <w:r w:rsidRPr="006865B3">
              <w:t>Level IV</w:t>
            </w:r>
          </w:p>
          <w:p w14:paraId="5F01B000" w14:textId="56E90AFF" w:rsidR="009B5315" w:rsidRPr="006865B3" w:rsidRDefault="009B5315" w:rsidP="009B5315">
            <w:pPr>
              <w:pStyle w:val="Tabletext0"/>
              <w:spacing w:before="0" w:after="120"/>
              <w:jc w:val="left"/>
            </w:pPr>
            <w:r w:rsidRPr="006865B3">
              <w:t>Low to moderate risk of bias</w:t>
            </w:r>
          </w:p>
        </w:tc>
        <w:tc>
          <w:tcPr>
            <w:tcW w:w="764" w:type="pct"/>
            <w:shd w:val="clear" w:color="auto" w:fill="auto"/>
          </w:tcPr>
          <w:p w14:paraId="3ACCD10C" w14:textId="33840D8A" w:rsidR="009B5315" w:rsidRPr="006865B3" w:rsidRDefault="009B5315" w:rsidP="009B5315">
            <w:pPr>
              <w:pStyle w:val="Tabletext0"/>
              <w:spacing w:before="0" w:after="120"/>
              <w:jc w:val="left"/>
            </w:pPr>
            <w:r w:rsidRPr="006865B3">
              <w:t xml:space="preserve">Patients with non-squamous lung cancer, </w:t>
            </w:r>
            <w:r w:rsidRPr="006865B3">
              <w:rPr>
                <w:i/>
              </w:rPr>
              <w:t>EGFR</w:t>
            </w:r>
            <w:r w:rsidRPr="006865B3">
              <w:t xml:space="preserve"> wild-type determined by Idylla assay</w:t>
            </w:r>
          </w:p>
          <w:p w14:paraId="5EC9E4F6" w14:textId="5E7C9F7C" w:rsidR="009B5315" w:rsidRPr="006865B3" w:rsidRDefault="009B5315" w:rsidP="009B5315">
            <w:pPr>
              <w:pStyle w:val="Tabletext0"/>
              <w:spacing w:before="0" w:after="120"/>
              <w:jc w:val="left"/>
            </w:pPr>
            <w:r w:rsidRPr="006865B3">
              <w:t>Biopsy specimens</w:t>
            </w:r>
          </w:p>
        </w:tc>
        <w:tc>
          <w:tcPr>
            <w:tcW w:w="800" w:type="pct"/>
          </w:tcPr>
          <w:p w14:paraId="02619FF7" w14:textId="1F568789" w:rsidR="009B5315" w:rsidRPr="006865B3" w:rsidRDefault="009B5315" w:rsidP="009B5315">
            <w:pPr>
              <w:pStyle w:val="TableText"/>
            </w:pPr>
            <w:r w:rsidRPr="006865B3">
              <w:t>Hotspot NGS panel</w:t>
            </w:r>
          </w:p>
        </w:tc>
        <w:tc>
          <w:tcPr>
            <w:tcW w:w="961" w:type="pct"/>
          </w:tcPr>
          <w:p w14:paraId="76427E19" w14:textId="6C0810CA" w:rsidR="009B5315" w:rsidRPr="006865B3" w:rsidRDefault="009B5315" w:rsidP="009B5315">
            <w:pPr>
              <w:pStyle w:val="TableText"/>
            </w:pPr>
            <w:r>
              <w:t xml:space="preserve">Rapid </w:t>
            </w:r>
            <w:r w:rsidRPr="006865B3">
              <w:rPr>
                <w:i/>
              </w:rPr>
              <w:t>EGFR</w:t>
            </w:r>
            <w:r>
              <w:t>-specific PCR assay (Idylla)</w:t>
            </w:r>
          </w:p>
        </w:tc>
        <w:tc>
          <w:tcPr>
            <w:tcW w:w="572" w:type="pct"/>
            <w:shd w:val="clear" w:color="auto" w:fill="auto"/>
          </w:tcPr>
          <w:p w14:paraId="6FEC8E33" w14:textId="49668882" w:rsidR="009B5315" w:rsidRPr="006865B3" w:rsidRDefault="009B5315" w:rsidP="009B5315">
            <w:pPr>
              <w:pStyle w:val="TableText"/>
              <w:rPr>
                <w:snapToGrid w:val="0"/>
              </w:rPr>
            </w:pPr>
            <w:r w:rsidRPr="006865B3">
              <w:rPr>
                <w:snapToGrid w:val="0"/>
              </w:rPr>
              <w:t>Turnaround time</w:t>
            </w:r>
          </w:p>
        </w:tc>
        <w:tc>
          <w:tcPr>
            <w:tcW w:w="456" w:type="pct"/>
            <w:shd w:val="clear" w:color="auto" w:fill="auto"/>
          </w:tcPr>
          <w:p w14:paraId="61183AE1" w14:textId="0E18EEDD" w:rsidR="009B5315" w:rsidRPr="006865B3" w:rsidRDefault="00504E35" w:rsidP="009B5315">
            <w:pPr>
              <w:pStyle w:val="TableText"/>
              <w:rPr>
                <w:snapToGrid w:val="0"/>
              </w:rPr>
            </w:pPr>
            <w:r>
              <w:rPr>
                <w:snapToGrid w:val="0"/>
              </w:rPr>
              <w:t>No</w:t>
            </w:r>
          </w:p>
        </w:tc>
      </w:tr>
      <w:tr w:rsidR="009B5315" w:rsidRPr="006865B3" w14:paraId="0081AA45" w14:textId="77777777" w:rsidTr="006865B3">
        <w:tc>
          <w:tcPr>
            <w:tcW w:w="646" w:type="pct"/>
            <w:shd w:val="clear" w:color="auto" w:fill="auto"/>
          </w:tcPr>
          <w:p w14:paraId="74C5AF51" w14:textId="58559A0B" w:rsidR="009B5315" w:rsidRPr="006865B3" w:rsidRDefault="00B4668F" w:rsidP="009B5315">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&lt;EndNote&gt;&lt;Cite&gt;&lt;Author&gt;Legras&lt;/Author&gt;&lt;Year&gt;2018&lt;/Year&gt;&lt;RecNum&gt;168&lt;/RecNum&gt;&lt;IDText&gt;550-564&lt;/IDText&gt;&lt;DisplayText&gt;(Legras et al. 2018)&lt;/DisplayText&gt;&lt;record&gt;&lt;rec-number&gt;168&lt;/rec-number&gt;&lt;foreign-keys&gt;&lt;key app="EN" db-id="0tprsse9cpp5r3ea5dz5p0xw2pfwvwxpa5a5" timestamp="1655264278"&gt;168&lt;/key&gt;&lt;/foreign-keys&gt;&lt;ref-type name="Journal Article"&gt;17&lt;/ref-type&gt;&lt;contributors&gt;&lt;authors&gt;&lt;author&gt;Legras, Antoine&lt;/author&gt;&lt;author&gt;Barritault, Marc&lt;/author&gt;&lt;author&gt;Tallet, Anne&lt;/author&gt;&lt;author&gt;Fabre, Elizabeth&lt;/author&gt;&lt;author&gt;Guyard, Alice&lt;/author&gt;&lt;author&gt;Rance, Bastien&lt;/author&gt;&lt;author&gt;Digan, William&lt;/author&gt;&lt;author&gt;Pécuchet, Nicolas&lt;/author&gt;&lt;author&gt;Giroux-Leprieur, Etienne&lt;/author&gt;&lt;author&gt;Julié, Catherine&lt;/author&gt;&lt;author&gt;Jouveshomme, Stéphane&lt;/author&gt;&lt;author&gt;Duchatelle, Véronique&lt;/author&gt;&lt;author&gt;Giraudet, Véronique&lt;/author&gt;&lt;author&gt;Gibault, Laure&lt;/author&gt;&lt;author&gt;Cazier, Alain&lt;/author&gt;&lt;author&gt;Pastre, Jean&lt;/author&gt;&lt;author&gt;Le Pimpec-Barthes, Françoise&lt;/author&gt;&lt;author&gt;Laurent-Puig, Pierre&lt;/author&gt;&lt;author&gt;Blons, Hélène&lt;/author&gt;&lt;/authors&gt;&lt;/contributors&gt;&lt;titles&gt;&lt;title&gt;Validity of Targeted Next-Generation Sequencing in Routine Care for Identifying Clinically Relevant Molecular Profiles in Non–Small-Cell Lung Cancer: Results of a 2-Year Experience on 1343 Samples&lt;/title&gt;&lt;secondary-title&gt;The Journal of molecular diagnostics : JMD&lt;/secondary-title&gt;&lt;/titles&gt;&lt;periodical&gt;&lt;full-title&gt;J Mol Diagn&lt;/full-title&gt;&lt;abbr-1&gt;The Journal of molecular diagnostics : JMD&lt;/abbr-1&gt;&lt;/periodical&gt;&lt;pages&gt;550-564&lt;/pages&gt;&lt;volume&gt;20&lt;/volume&gt;&lt;number&gt;4&lt;/number&gt;&lt;dates&gt;&lt;year&gt;2018&lt;/year&gt;&lt;/dates&gt;&lt;urls&gt;&lt;related-urls&gt;&lt;url&gt;https://www.sciencedirect.com/science/article/pii/S1525157817305214?via%3Dihub&lt;/url&gt;&lt;/related-urls&gt;&lt;/urls&gt;&lt;electronic-resource-num&gt;10.1016/j.jmoldx.2018.04.002&lt;/electronic-resource-num&gt;&lt;research-notes&gt;P - concordance egfr&lt;/research-notes&gt;&lt;/record&gt;&lt;/Cite&gt;&lt;/EndNote&gt;</w:instrText>
            </w:r>
            <w:r>
              <w:rPr>
                <w:rFonts w:ascii="Arial Narrow" w:hAnsi="Arial Narrow"/>
              </w:rPr>
              <w:fldChar w:fldCharType="separate"/>
            </w:r>
            <w:r>
              <w:rPr>
                <w:rFonts w:ascii="Arial Narrow" w:hAnsi="Arial Narrow"/>
                <w:noProof/>
              </w:rPr>
              <w:t>(Legras et al. 2018)</w:t>
            </w:r>
            <w:r>
              <w:rPr>
                <w:rFonts w:ascii="Arial Narrow" w:hAnsi="Arial Narrow"/>
              </w:rPr>
              <w:fldChar w:fldCharType="end"/>
            </w:r>
          </w:p>
          <w:p w14:paraId="192511DE" w14:textId="01DB1846" w:rsidR="009B5315" w:rsidRPr="006865B3" w:rsidRDefault="009B5315" w:rsidP="009B5315">
            <w:pPr>
              <w:spacing w:before="0"/>
              <w:rPr>
                <w:rFonts w:ascii="Arial Narrow" w:hAnsi="Arial Narrow"/>
              </w:rPr>
            </w:pPr>
            <w:r w:rsidRPr="006865B3">
              <w:rPr>
                <w:rFonts w:ascii="Arial Narrow" w:hAnsi="Arial Narrow"/>
              </w:rPr>
              <w:t>France</w:t>
            </w:r>
          </w:p>
        </w:tc>
        <w:tc>
          <w:tcPr>
            <w:tcW w:w="214" w:type="pct"/>
            <w:shd w:val="clear" w:color="auto" w:fill="auto"/>
          </w:tcPr>
          <w:p w14:paraId="3E2B2F9D" w14:textId="65ED24CD" w:rsidR="009B5315" w:rsidRPr="006865B3" w:rsidRDefault="009B5315" w:rsidP="009B5315">
            <w:pPr>
              <w:pStyle w:val="TableText"/>
              <w:rPr>
                <w:snapToGrid w:val="0"/>
              </w:rPr>
            </w:pPr>
            <w:r w:rsidRPr="006865B3">
              <w:rPr>
                <w:snapToGrid w:val="0"/>
              </w:rPr>
              <w:t>1343</w:t>
            </w:r>
          </w:p>
        </w:tc>
        <w:tc>
          <w:tcPr>
            <w:tcW w:w="587" w:type="pct"/>
            <w:shd w:val="clear" w:color="auto" w:fill="auto"/>
          </w:tcPr>
          <w:p w14:paraId="0A10715F" w14:textId="77777777" w:rsidR="009B5315" w:rsidRPr="006865B3" w:rsidRDefault="009B5315" w:rsidP="009B5315">
            <w:pPr>
              <w:pStyle w:val="Tabletext0"/>
              <w:spacing w:before="0" w:after="120"/>
              <w:jc w:val="left"/>
            </w:pPr>
            <w:r w:rsidRPr="006865B3">
              <w:t>Prospective cohort</w:t>
            </w:r>
          </w:p>
          <w:p w14:paraId="33D9FBCA" w14:textId="77777777" w:rsidR="009B5315" w:rsidRPr="006865B3" w:rsidRDefault="009B5315" w:rsidP="009B5315">
            <w:pPr>
              <w:pStyle w:val="Tabletext0"/>
              <w:spacing w:before="0" w:after="120"/>
              <w:jc w:val="left"/>
            </w:pPr>
            <w:r w:rsidRPr="006865B3">
              <w:t>Level III-2</w:t>
            </w:r>
          </w:p>
          <w:p w14:paraId="19CE7C32" w14:textId="4C9D49A7" w:rsidR="009B5315" w:rsidRPr="006865B3" w:rsidRDefault="009B5315" w:rsidP="009B5315">
            <w:pPr>
              <w:pStyle w:val="Tabletext0"/>
              <w:spacing w:before="0" w:after="120"/>
              <w:jc w:val="left"/>
            </w:pPr>
            <w:r w:rsidRPr="006865B3">
              <w:t>Low to moderate risk of bias</w:t>
            </w:r>
          </w:p>
        </w:tc>
        <w:tc>
          <w:tcPr>
            <w:tcW w:w="764" w:type="pct"/>
            <w:shd w:val="clear" w:color="auto" w:fill="auto"/>
          </w:tcPr>
          <w:p w14:paraId="76BE456D" w14:textId="77777777" w:rsidR="009B5315" w:rsidRPr="006865B3" w:rsidRDefault="009B5315" w:rsidP="009B5315">
            <w:pPr>
              <w:pStyle w:val="Tabletext0"/>
              <w:spacing w:before="0" w:after="120"/>
              <w:jc w:val="left"/>
            </w:pPr>
            <w:r w:rsidRPr="006865B3">
              <w:t>NSCLC samples</w:t>
            </w:r>
          </w:p>
          <w:p w14:paraId="217F3BB2" w14:textId="7C7A655F" w:rsidR="009B5315" w:rsidRPr="006865B3" w:rsidRDefault="009B5315" w:rsidP="009B5315">
            <w:pPr>
              <w:pStyle w:val="Tabletext0"/>
              <w:spacing w:before="0" w:after="120"/>
              <w:jc w:val="left"/>
            </w:pPr>
            <w:r w:rsidRPr="006865B3">
              <w:t>Commercial FFPE samples and genomic DNAs with validated allelic ratio for various mutations</w:t>
            </w:r>
          </w:p>
        </w:tc>
        <w:tc>
          <w:tcPr>
            <w:tcW w:w="800" w:type="pct"/>
          </w:tcPr>
          <w:p w14:paraId="2921D19D" w14:textId="62625A75" w:rsidR="009B5315" w:rsidRPr="006865B3" w:rsidRDefault="009B5315" w:rsidP="009B5315">
            <w:pPr>
              <w:pStyle w:val="TableText"/>
            </w:pPr>
            <w:r w:rsidRPr="006865B3">
              <w:t xml:space="preserve">Dedicated NGS panel of 92 amplicons (Ion AmpliSeq Colon-Lung Cancer Research Panel version 2), covering &gt;500 hotspot mutations in </w:t>
            </w:r>
            <w:r w:rsidRPr="006865B3">
              <w:rPr>
                <w:i/>
              </w:rPr>
              <w:t>KRAS, EGFR, BRAF, ALK etc.</w:t>
            </w:r>
          </w:p>
        </w:tc>
        <w:tc>
          <w:tcPr>
            <w:tcW w:w="961" w:type="pct"/>
          </w:tcPr>
          <w:p w14:paraId="1173457C" w14:textId="72351E75" w:rsidR="009B5315" w:rsidRPr="006865B3" w:rsidRDefault="009B5315" w:rsidP="009B5315">
            <w:pPr>
              <w:pStyle w:val="TableText"/>
            </w:pPr>
            <w:r w:rsidRPr="006865B3">
              <w:t xml:space="preserve">Competitive allele-specific TaqMan technology using TaqMan mutation assays for </w:t>
            </w:r>
            <w:r w:rsidRPr="006865B3">
              <w:rPr>
                <w:i/>
              </w:rPr>
              <w:t>EGFR</w:t>
            </w:r>
            <w:r w:rsidRPr="006865B3">
              <w:t xml:space="preserve"> and TaqMan probes for </w:t>
            </w:r>
            <w:r w:rsidRPr="006865B3">
              <w:rPr>
                <w:i/>
              </w:rPr>
              <w:t>KRAS</w:t>
            </w:r>
            <w:r w:rsidRPr="006865B3">
              <w:t xml:space="preserve"> (Thermo Fisher Scientific).</w:t>
            </w:r>
          </w:p>
        </w:tc>
        <w:tc>
          <w:tcPr>
            <w:tcW w:w="572" w:type="pct"/>
            <w:shd w:val="clear" w:color="auto" w:fill="auto"/>
          </w:tcPr>
          <w:p w14:paraId="2A1733E0" w14:textId="77777777" w:rsidR="009B5315" w:rsidRPr="006865B3" w:rsidRDefault="009B5315" w:rsidP="009B5315">
            <w:pPr>
              <w:pStyle w:val="Tabletext0"/>
              <w:spacing w:before="0" w:after="120"/>
              <w:jc w:val="left"/>
            </w:pPr>
            <w:r w:rsidRPr="006865B3">
              <w:t>Concordance per variant (not per patient)</w:t>
            </w:r>
          </w:p>
          <w:p w14:paraId="0E3D6A89" w14:textId="77777777" w:rsidR="009B5315" w:rsidRPr="006865B3" w:rsidRDefault="009B5315" w:rsidP="009B5315">
            <w:pPr>
              <w:pStyle w:val="TableText"/>
              <w:rPr>
                <w:snapToGrid w:val="0"/>
              </w:rPr>
            </w:pPr>
          </w:p>
        </w:tc>
        <w:tc>
          <w:tcPr>
            <w:tcW w:w="456" w:type="pct"/>
            <w:shd w:val="clear" w:color="auto" w:fill="auto"/>
          </w:tcPr>
          <w:p w14:paraId="652CBDFE" w14:textId="47B2D0D3" w:rsidR="009B5315" w:rsidRPr="006865B3" w:rsidRDefault="00504E35" w:rsidP="009B5315">
            <w:pPr>
              <w:pStyle w:val="TableText"/>
              <w:rPr>
                <w:snapToGrid w:val="0"/>
              </w:rPr>
            </w:pPr>
            <w:r>
              <w:rPr>
                <w:snapToGrid w:val="0"/>
              </w:rPr>
              <w:t>No</w:t>
            </w:r>
          </w:p>
        </w:tc>
      </w:tr>
      <w:tr w:rsidR="009B5315" w:rsidRPr="006865B3" w14:paraId="1FA55156" w14:textId="77777777" w:rsidTr="006865B3">
        <w:tc>
          <w:tcPr>
            <w:tcW w:w="646" w:type="pct"/>
            <w:shd w:val="clear" w:color="auto" w:fill="auto"/>
          </w:tcPr>
          <w:p w14:paraId="10A8382B" w14:textId="58876206" w:rsidR="009B5315" w:rsidRPr="006865B3" w:rsidRDefault="00B4668F" w:rsidP="009B5315">
            <w:pPr>
              <w:pStyle w:val="TableText"/>
            </w:pPr>
            <w:r>
              <w:fldChar w:fldCharType="begin">
                <w:fldData xml:space="preserve">PEVuZE5vdGU+PENpdGU+PEF1dGhvcj5MaTwvQXV0aG9yPjxZZWFyPjIwMjE8L1llYXI+PFJlY051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</w:fldData>
              </w:fldChar>
            </w:r>
            <w:r w:rsidR="006D4612">
              <w:instrText xml:space="preserve"> ADDIN EN.CITE </w:instrText>
            </w:r>
            <w:r w:rsidR="006D4612">
              <w:fldChar w:fldCharType="begin">
                <w:fldData xml:space="preserve">PEVuZE5vdGU+PENpdGU+PEF1dGhvcj5MaTwvQXV0aG9yPjxZZWFyPjIwMjE8L1llYXI+PFJlY051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</w:fldData>
              </w:fldChar>
            </w:r>
            <w:r w:rsidR="006D4612">
              <w:instrText xml:space="preserve"> ADDIN EN.CITE.DATA </w:instrText>
            </w:r>
            <w:r w:rsidR="006D4612">
              <w:fldChar w:fldCharType="end"/>
            </w:r>
            <w:r>
              <w:fldChar w:fldCharType="separate"/>
            </w:r>
            <w:r w:rsidR="006D4612">
              <w:rPr>
                <w:noProof/>
              </w:rPr>
              <w:t>(Li, W, Guo, L, et al. 2021)</w:t>
            </w:r>
            <w:r>
              <w:fldChar w:fldCharType="end"/>
            </w:r>
          </w:p>
          <w:p w14:paraId="207F7801" w14:textId="77777777" w:rsidR="009B5315" w:rsidRPr="006865B3" w:rsidRDefault="009B5315" w:rsidP="009B5315">
            <w:pPr>
              <w:pStyle w:val="TableText"/>
              <w:rPr>
                <w:snapToGrid w:val="0"/>
              </w:rPr>
            </w:pPr>
            <w:r w:rsidRPr="006865B3">
              <w:t>China</w:t>
            </w:r>
          </w:p>
        </w:tc>
        <w:tc>
          <w:tcPr>
            <w:tcW w:w="214" w:type="pct"/>
            <w:shd w:val="clear" w:color="auto" w:fill="auto"/>
          </w:tcPr>
          <w:p w14:paraId="552B828C" w14:textId="77777777" w:rsidR="009B5315" w:rsidRPr="006865B3" w:rsidRDefault="009B5315" w:rsidP="009B5315">
            <w:pPr>
              <w:pStyle w:val="TableText"/>
              <w:rPr>
                <w:snapToGrid w:val="0"/>
              </w:rPr>
            </w:pPr>
            <w:r w:rsidRPr="006865B3">
              <w:rPr>
                <w:snapToGrid w:val="0"/>
              </w:rPr>
              <w:t>109-572</w:t>
            </w:r>
          </w:p>
        </w:tc>
        <w:tc>
          <w:tcPr>
            <w:tcW w:w="587" w:type="pct"/>
            <w:shd w:val="clear" w:color="auto" w:fill="auto"/>
          </w:tcPr>
          <w:p w14:paraId="013C19F1" w14:textId="77777777" w:rsidR="009B5315" w:rsidRPr="006865B3" w:rsidRDefault="009B5315" w:rsidP="009B5315">
            <w:pPr>
              <w:pStyle w:val="Tabletext0"/>
              <w:spacing w:before="0" w:after="120"/>
              <w:jc w:val="left"/>
            </w:pPr>
            <w:r w:rsidRPr="006865B3">
              <w:t>Cohort study (retrospective or prospective unknown)</w:t>
            </w:r>
          </w:p>
          <w:p w14:paraId="79BBE74C" w14:textId="77777777" w:rsidR="009B5315" w:rsidRPr="006865B3" w:rsidRDefault="009B5315" w:rsidP="009B5315">
            <w:pPr>
              <w:pStyle w:val="Tabletext0"/>
              <w:spacing w:before="0" w:after="120"/>
              <w:jc w:val="left"/>
            </w:pPr>
            <w:r w:rsidRPr="006865B3">
              <w:t xml:space="preserve">Level III-2 </w:t>
            </w:r>
          </w:p>
          <w:p w14:paraId="38A54A05" w14:textId="77777777" w:rsidR="009B5315" w:rsidRPr="006865B3" w:rsidRDefault="009B5315" w:rsidP="009B5315">
            <w:pPr>
              <w:pStyle w:val="TableText"/>
              <w:rPr>
                <w:snapToGrid w:val="0"/>
              </w:rPr>
            </w:pPr>
            <w:r w:rsidRPr="006865B3">
              <w:t>Low to moderate risk of bias</w:t>
            </w:r>
          </w:p>
        </w:tc>
        <w:tc>
          <w:tcPr>
            <w:tcW w:w="764" w:type="pct"/>
            <w:shd w:val="clear" w:color="auto" w:fill="auto"/>
          </w:tcPr>
          <w:p w14:paraId="38156720" w14:textId="77777777" w:rsidR="009B5315" w:rsidRPr="006865B3" w:rsidRDefault="009B5315" w:rsidP="009B5315">
            <w:pPr>
              <w:pStyle w:val="Tabletext0"/>
              <w:spacing w:before="0" w:after="120"/>
              <w:jc w:val="left"/>
            </w:pPr>
            <w:r w:rsidRPr="006865B3">
              <w:t>Newly diagnose, treatment-naïve metastatic NSCLC patients with limited tissue sample</w:t>
            </w:r>
          </w:p>
          <w:p w14:paraId="28221124" w14:textId="448A17C1" w:rsidR="009B5315" w:rsidRPr="006865B3" w:rsidRDefault="009B5315" w:rsidP="009B5315">
            <w:pPr>
              <w:pStyle w:val="Tabletext0"/>
              <w:spacing w:before="0" w:after="120"/>
              <w:jc w:val="left"/>
            </w:pPr>
            <w:r w:rsidRPr="006865B3">
              <w:t>FFPE samples from core biopsy, fine-needle aspiration, bronchoscopic biopsy, pleural effusion (cytology specimen), and excisional biopsy</w:t>
            </w:r>
          </w:p>
          <w:p w14:paraId="3DF855BD" w14:textId="77777777" w:rsidR="009B5315" w:rsidRPr="006865B3" w:rsidRDefault="009B5315" w:rsidP="009B5315">
            <w:pPr>
              <w:pStyle w:val="TableText"/>
              <w:rPr>
                <w:snapToGrid w:val="0"/>
              </w:rPr>
            </w:pPr>
          </w:p>
        </w:tc>
        <w:tc>
          <w:tcPr>
            <w:tcW w:w="800" w:type="pct"/>
          </w:tcPr>
          <w:p w14:paraId="7AFE0E52" w14:textId="77777777" w:rsidR="009B5315" w:rsidRPr="006865B3" w:rsidRDefault="009B5315" w:rsidP="009B5315">
            <w:pPr>
              <w:pStyle w:val="Tabletext0"/>
              <w:spacing w:before="0" w:after="120"/>
              <w:jc w:val="left"/>
            </w:pPr>
            <w:r w:rsidRPr="006865B3">
              <w:t>Tissue NGS panel designed against 56 cancer-related genes (Burning Rock Biotech, China), sequenced on the NextSeq N500 platform (Illumina)</w:t>
            </w:r>
          </w:p>
          <w:p w14:paraId="7F7857BF" w14:textId="77777777" w:rsidR="009B5315" w:rsidRPr="006865B3" w:rsidRDefault="009B5315" w:rsidP="009B5315">
            <w:pPr>
              <w:pStyle w:val="TableText"/>
              <w:rPr>
                <w:snapToGrid w:val="0"/>
              </w:rPr>
            </w:pPr>
          </w:p>
        </w:tc>
        <w:tc>
          <w:tcPr>
            <w:tcW w:w="961" w:type="pct"/>
          </w:tcPr>
          <w:p w14:paraId="46CB333F" w14:textId="77777777" w:rsidR="009B5315" w:rsidRPr="006865B3" w:rsidRDefault="009B5315" w:rsidP="009B5315">
            <w:pPr>
              <w:pStyle w:val="Tabletext0"/>
              <w:spacing w:before="0" w:after="120"/>
              <w:jc w:val="left"/>
            </w:pPr>
            <w:r w:rsidRPr="006865B3">
              <w:t xml:space="preserve">Amplification refractory mutation system (ARMS)-PCR for </w:t>
            </w:r>
            <w:r w:rsidRPr="006865B3">
              <w:rPr>
                <w:i/>
              </w:rPr>
              <w:t>EGFR/KRAS/BRAF</w:t>
            </w:r>
            <w:r w:rsidRPr="006865B3">
              <w:t xml:space="preserve">, using human </w:t>
            </w:r>
            <w:r w:rsidRPr="006865B3">
              <w:rPr>
                <w:i/>
              </w:rPr>
              <w:t>EGFR/KRAS/BRAF</w:t>
            </w:r>
            <w:r w:rsidRPr="006865B3">
              <w:t xml:space="preserve"> Gene Mutation Detection Kit (ACCB, China) </w:t>
            </w:r>
          </w:p>
          <w:p w14:paraId="7C79D146" w14:textId="77777777" w:rsidR="009B5315" w:rsidRPr="006865B3" w:rsidRDefault="009B5315" w:rsidP="009B5315">
            <w:pPr>
              <w:pStyle w:val="Tabletext0"/>
              <w:spacing w:before="0" w:after="120"/>
              <w:jc w:val="left"/>
            </w:pPr>
            <w:r w:rsidRPr="006865B3">
              <w:t xml:space="preserve">IHC: Ventana Benchmark XT stainer (Ventana Medical Systems) for </w:t>
            </w:r>
            <w:r w:rsidRPr="006865B3">
              <w:rPr>
                <w:i/>
              </w:rPr>
              <w:t>ALK</w:t>
            </w:r>
            <w:r w:rsidRPr="006865B3">
              <w:t xml:space="preserve"> </w:t>
            </w:r>
          </w:p>
          <w:p w14:paraId="2E31F90E" w14:textId="77777777" w:rsidR="009B5315" w:rsidRDefault="009B5315" w:rsidP="009B5315">
            <w:pPr>
              <w:pStyle w:val="TableText"/>
              <w:rPr>
                <w:i/>
              </w:rPr>
            </w:pPr>
            <w:r w:rsidRPr="006865B3">
              <w:t xml:space="preserve">FISH: Vysis LSI Dual Color and breakapart rearrangement probes specific to the </w:t>
            </w:r>
            <w:r w:rsidRPr="006865B3">
              <w:rPr>
                <w:i/>
              </w:rPr>
              <w:t>ROS1</w:t>
            </w:r>
            <w:r w:rsidRPr="006865B3">
              <w:t xml:space="preserve"> and </w:t>
            </w:r>
            <w:r w:rsidRPr="006865B3">
              <w:rPr>
                <w:i/>
              </w:rPr>
              <w:t>RET</w:t>
            </w:r>
            <w:r w:rsidRPr="006865B3">
              <w:t xml:space="preserve"> genes (Abbott Molecular) for  </w:t>
            </w:r>
            <w:r w:rsidRPr="006865B3">
              <w:rPr>
                <w:i/>
              </w:rPr>
              <w:t>ROS1</w:t>
            </w:r>
            <w:r w:rsidRPr="006865B3">
              <w:t xml:space="preserve"> and </w:t>
            </w:r>
            <w:r w:rsidRPr="006865B3">
              <w:rPr>
                <w:i/>
              </w:rPr>
              <w:t>RET</w:t>
            </w:r>
          </w:p>
          <w:p w14:paraId="685E5F04" w14:textId="3E21B0B1" w:rsidR="00237745" w:rsidRPr="006865B3" w:rsidRDefault="00237745" w:rsidP="009B5315">
            <w:pPr>
              <w:pStyle w:val="TableText"/>
              <w:rPr>
                <w:snapToGrid w:val="0"/>
              </w:rPr>
            </w:pPr>
            <w:r w:rsidRPr="00237745">
              <w:rPr>
                <w:snapToGrid w:val="0"/>
              </w:rPr>
              <w:t>Samples with more than 15% of tumo</w:t>
            </w:r>
            <w:r w:rsidR="00466C4F">
              <w:rPr>
                <w:snapToGrid w:val="0"/>
              </w:rPr>
              <w:t>u</w:t>
            </w:r>
            <w:r w:rsidRPr="00237745">
              <w:rPr>
                <w:snapToGrid w:val="0"/>
              </w:rPr>
              <w:t>r cells with splitting of one or both 5’ and 3’ probe signals or isolated 3’ probe signals were deemed positive.</w:t>
            </w:r>
          </w:p>
        </w:tc>
        <w:tc>
          <w:tcPr>
            <w:tcW w:w="572" w:type="pct"/>
            <w:shd w:val="clear" w:color="auto" w:fill="auto"/>
          </w:tcPr>
          <w:p w14:paraId="70A395F2" w14:textId="77777777" w:rsidR="009B5315" w:rsidRPr="006865B3" w:rsidRDefault="009B5315" w:rsidP="009B5315">
            <w:pPr>
              <w:pStyle w:val="TableText"/>
              <w:rPr>
                <w:snapToGrid w:val="0"/>
              </w:rPr>
            </w:pPr>
            <w:r w:rsidRPr="006865B3">
              <w:rPr>
                <w:snapToGrid w:val="0"/>
              </w:rPr>
              <w:t xml:space="preserve">Concordance for </w:t>
            </w:r>
            <w:r w:rsidRPr="006865B3">
              <w:rPr>
                <w:i/>
                <w:snapToGrid w:val="0"/>
              </w:rPr>
              <w:t>EGFR, ROS1</w:t>
            </w:r>
          </w:p>
          <w:p w14:paraId="2F473A86" w14:textId="77777777" w:rsidR="009B5315" w:rsidRPr="006865B3" w:rsidRDefault="009B5315" w:rsidP="009B5315">
            <w:pPr>
              <w:pStyle w:val="TableText"/>
              <w:rPr>
                <w:snapToGrid w:val="0"/>
              </w:rPr>
            </w:pPr>
            <w:r w:rsidRPr="006865B3">
              <w:rPr>
                <w:snapToGrid w:val="0"/>
              </w:rPr>
              <w:t>Rate of concurrent variants</w:t>
            </w:r>
          </w:p>
          <w:p w14:paraId="07700E93" w14:textId="6EB97879" w:rsidR="009B5315" w:rsidRPr="006865B3" w:rsidRDefault="009B5315" w:rsidP="009B5315">
            <w:pPr>
              <w:pStyle w:val="TableText"/>
              <w:rPr>
                <w:snapToGrid w:val="0"/>
              </w:rPr>
            </w:pPr>
            <w:r w:rsidRPr="006865B3">
              <w:rPr>
                <w:snapToGrid w:val="0"/>
              </w:rPr>
              <w:t>Turnaround time</w:t>
            </w:r>
          </w:p>
        </w:tc>
        <w:tc>
          <w:tcPr>
            <w:tcW w:w="456" w:type="pct"/>
            <w:shd w:val="clear" w:color="auto" w:fill="auto"/>
          </w:tcPr>
          <w:p w14:paraId="70EBC304" w14:textId="36CD5578" w:rsidR="009B5315" w:rsidRPr="006865B3" w:rsidRDefault="00504E35" w:rsidP="009B5315">
            <w:pPr>
              <w:pStyle w:val="TableText"/>
              <w:rPr>
                <w:snapToGrid w:val="0"/>
              </w:rPr>
            </w:pPr>
            <w:r>
              <w:rPr>
                <w:snapToGrid w:val="0"/>
              </w:rPr>
              <w:t>Yes</w:t>
            </w:r>
          </w:p>
        </w:tc>
      </w:tr>
      <w:tr w:rsidR="009B5315" w:rsidRPr="006865B3" w14:paraId="2C64FBE7" w14:textId="77777777" w:rsidTr="006865B3">
        <w:tc>
          <w:tcPr>
            <w:tcW w:w="646" w:type="pct"/>
            <w:shd w:val="clear" w:color="auto" w:fill="auto"/>
          </w:tcPr>
          <w:p w14:paraId="1EC3698C" w14:textId="003A1674" w:rsidR="009B5315" w:rsidRPr="006865B3" w:rsidRDefault="00B4668F" w:rsidP="009B5315">
            <w:pPr>
              <w:pStyle w:val="TableText"/>
            </w:pPr>
            <w:r>
              <w:lastRenderedPageBreak/>
              <w:fldChar w:fldCharType="begin">
                <w:fldData xml:space="preserve">PEVuZE5vdGU+PENpdGU+PEF1dGhvcj5MaW48L0F1dGhvcj48WWVhcj4yMDIyPC9ZZWFyPjxSZWNO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</w:fldData>
              </w:fldChar>
            </w:r>
            <w:r>
              <w:instrText xml:space="preserve"> ADDIN EN.CITE </w:instrText>
            </w:r>
            <w:r>
              <w:fldChar w:fldCharType="begin">
                <w:fldData xml:space="preserve">PEVuZE5vdGU+PENpdGU+PEF1dGhvcj5MaW48L0F1dGhvcj48WWVhcj4yMDIyPC9ZZWFyPjxSZWNO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</w:fldData>
              </w:fldChar>
            </w:r>
            <w:r>
              <w:instrText xml:space="preserve"> ADDIN EN.CITE.DATA </w:instrText>
            </w:r>
            <w:r>
              <w:fldChar w:fldCharType="end"/>
            </w:r>
            <w:r>
              <w:fldChar w:fldCharType="separate"/>
            </w:r>
            <w:r>
              <w:rPr>
                <w:noProof/>
              </w:rPr>
              <w:t>(Lin, HM et al. 2022)</w:t>
            </w:r>
            <w:r>
              <w:fldChar w:fldCharType="end"/>
            </w:r>
          </w:p>
          <w:p w14:paraId="6BE8694E" w14:textId="0113F64F" w:rsidR="009B5315" w:rsidRPr="006865B3" w:rsidRDefault="009B5315" w:rsidP="009B5315">
            <w:pPr>
              <w:pStyle w:val="TableText"/>
            </w:pPr>
            <w:r w:rsidRPr="006865B3">
              <w:t>United States</w:t>
            </w:r>
          </w:p>
        </w:tc>
        <w:tc>
          <w:tcPr>
            <w:tcW w:w="214" w:type="pct"/>
            <w:shd w:val="clear" w:color="auto" w:fill="auto"/>
          </w:tcPr>
          <w:p w14:paraId="4E1CCE6B" w14:textId="325A7B57" w:rsidR="009B5315" w:rsidRPr="006865B3" w:rsidRDefault="009B5315" w:rsidP="009B5315">
            <w:pPr>
              <w:pStyle w:val="TableText"/>
              <w:rPr>
                <w:snapToGrid w:val="0"/>
              </w:rPr>
            </w:pPr>
            <w:r w:rsidRPr="006865B3">
              <w:t>67,281</w:t>
            </w:r>
          </w:p>
        </w:tc>
        <w:tc>
          <w:tcPr>
            <w:tcW w:w="587" w:type="pct"/>
            <w:shd w:val="clear" w:color="auto" w:fill="auto"/>
          </w:tcPr>
          <w:p w14:paraId="4F6E6074" w14:textId="77777777" w:rsidR="009B5315" w:rsidRPr="006865B3" w:rsidRDefault="009B5315" w:rsidP="009B5315">
            <w:pPr>
              <w:pStyle w:val="Tabletext0"/>
              <w:spacing w:before="0" w:after="120"/>
              <w:jc w:val="left"/>
            </w:pPr>
            <w:r w:rsidRPr="006865B3">
              <w:t>Retrospective cohort study</w:t>
            </w:r>
          </w:p>
          <w:p w14:paraId="58772139" w14:textId="77777777" w:rsidR="009B5315" w:rsidRPr="006865B3" w:rsidRDefault="009B5315" w:rsidP="009B5315">
            <w:pPr>
              <w:pStyle w:val="Tabletext0"/>
              <w:spacing w:before="0" w:after="120"/>
              <w:jc w:val="left"/>
            </w:pPr>
            <w:r w:rsidRPr="006865B3">
              <w:t>Level III-3</w:t>
            </w:r>
          </w:p>
          <w:p w14:paraId="4227CD17" w14:textId="6D4274CD" w:rsidR="009B5315" w:rsidRPr="006865B3" w:rsidRDefault="009B5315" w:rsidP="009B5315">
            <w:pPr>
              <w:pStyle w:val="Tabletext0"/>
              <w:spacing w:before="0" w:after="120"/>
              <w:jc w:val="left"/>
            </w:pPr>
            <w:r w:rsidRPr="006865B3">
              <w:t>High risk of bias</w:t>
            </w:r>
          </w:p>
        </w:tc>
        <w:tc>
          <w:tcPr>
            <w:tcW w:w="764" w:type="pct"/>
            <w:shd w:val="clear" w:color="auto" w:fill="auto"/>
          </w:tcPr>
          <w:p w14:paraId="0BF3CC9E" w14:textId="779F9F75" w:rsidR="009B5315" w:rsidRPr="006865B3" w:rsidRDefault="009B5315" w:rsidP="009B5315">
            <w:pPr>
              <w:pStyle w:val="Tabletext0"/>
              <w:spacing w:before="0" w:after="120"/>
              <w:jc w:val="left"/>
            </w:pPr>
            <w:r w:rsidRPr="006865B3">
              <w:t>Advanced NSCLC patients with at least 2 clinic visits who were tested for EGFR mutations.</w:t>
            </w:r>
          </w:p>
        </w:tc>
        <w:tc>
          <w:tcPr>
            <w:tcW w:w="800" w:type="pct"/>
          </w:tcPr>
          <w:p w14:paraId="22FD7409" w14:textId="767F37DF" w:rsidR="009B5315" w:rsidRPr="006865B3" w:rsidRDefault="009B5315" w:rsidP="009B5315">
            <w:pPr>
              <w:pStyle w:val="Tabletext0"/>
              <w:spacing w:before="0" w:after="120"/>
              <w:jc w:val="left"/>
            </w:pPr>
            <w:r w:rsidRPr="006865B3">
              <w:t>Any NGS platform used by 280 cancer clinics across the USA</w:t>
            </w:r>
          </w:p>
        </w:tc>
        <w:tc>
          <w:tcPr>
            <w:tcW w:w="961" w:type="pct"/>
          </w:tcPr>
          <w:p w14:paraId="70593E4E" w14:textId="62E6B3F9" w:rsidR="009B5315" w:rsidRPr="006865B3" w:rsidRDefault="004A3D42" w:rsidP="009B5315">
            <w:pPr>
              <w:pStyle w:val="Tabletext0"/>
              <w:spacing w:before="0" w:after="120"/>
              <w:jc w:val="left"/>
            </w:pPr>
            <w:r>
              <w:t>EGFR</w:t>
            </w:r>
            <w:r w:rsidR="009B5315" w:rsidRPr="006865B3">
              <w:t xml:space="preserve"> specific PCR platforms.</w:t>
            </w:r>
          </w:p>
        </w:tc>
        <w:tc>
          <w:tcPr>
            <w:tcW w:w="572" w:type="pct"/>
            <w:shd w:val="clear" w:color="auto" w:fill="auto"/>
          </w:tcPr>
          <w:p w14:paraId="2AB829A7" w14:textId="4FF4E021" w:rsidR="009B5315" w:rsidRPr="006865B3" w:rsidRDefault="009B5315" w:rsidP="009B5315">
            <w:pPr>
              <w:pStyle w:val="TableText"/>
              <w:rPr>
                <w:snapToGrid w:val="0"/>
              </w:rPr>
            </w:pPr>
            <w:r w:rsidRPr="006865B3">
              <w:rPr>
                <w:snapToGrid w:val="0"/>
              </w:rPr>
              <w:t>Turnaround time</w:t>
            </w:r>
          </w:p>
        </w:tc>
        <w:tc>
          <w:tcPr>
            <w:tcW w:w="456" w:type="pct"/>
            <w:shd w:val="clear" w:color="auto" w:fill="auto"/>
          </w:tcPr>
          <w:p w14:paraId="7622B41F" w14:textId="11BF50A0" w:rsidR="009B5315" w:rsidRPr="006865B3" w:rsidRDefault="00504E35" w:rsidP="009B5315">
            <w:pPr>
              <w:pStyle w:val="TableText"/>
              <w:rPr>
                <w:snapToGrid w:val="0"/>
              </w:rPr>
            </w:pPr>
            <w:r>
              <w:rPr>
                <w:snapToGrid w:val="0"/>
              </w:rPr>
              <w:t>No</w:t>
            </w:r>
          </w:p>
        </w:tc>
      </w:tr>
      <w:tr w:rsidR="009B5315" w:rsidRPr="006865B3" w14:paraId="32879F6D" w14:textId="77777777" w:rsidTr="006865B3">
        <w:tc>
          <w:tcPr>
            <w:tcW w:w="646" w:type="pct"/>
            <w:shd w:val="clear" w:color="auto" w:fill="auto"/>
          </w:tcPr>
          <w:p w14:paraId="242E24D7" w14:textId="20B60E16" w:rsidR="009B5315" w:rsidRPr="006865B3" w:rsidRDefault="00B4668F" w:rsidP="009B5315">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&lt;EndNote&gt;&lt;Cite&gt;&lt;Author&gt;Mehrad&lt;/Author&gt;&lt;Year&gt;2018&lt;/Year&gt;&lt;RecNum&gt;69&lt;/RecNum&gt;&lt;IDText&gt;353-357&lt;/IDText&gt;&lt;DisplayText&gt;(Mehrad et al. 2018)&lt;/DisplayText&gt;&lt;record&gt;&lt;rec-number&gt;69&lt;/rec-number&gt;&lt;foreign-keys&gt;&lt;key app="EN" db-id="0tprsse9cpp5r3ea5dz5p0xw2pfwvwxpa5a5" timestamp="1651814960"&gt;69&lt;/key&gt;&lt;/foreign-keys&gt;&lt;ref-type name="Journal Article"&gt;17&lt;/ref-type&gt;&lt;contributors&gt;&lt;authors&gt;&lt;author&gt;Mehrad, M.&lt;/author&gt;&lt;author&gt;Roy, S.&lt;/author&gt;&lt;author&gt;Bittar, H. T.&lt;/author&gt;&lt;author&gt;Dacic, S.&lt;/author&gt;&lt;/authors&gt;&lt;/contributors&gt;&lt;titles&gt;&lt;title&gt;Next-Generation Sequencing Approach to Non-Small Cell Lung Carcinoma Yields More Actionable Alterations&lt;/title&gt;&lt;secondary-title&gt;Archives of Pathology &amp;amp; Laboratory Medicine&lt;/secondary-title&gt;&lt;/titles&gt;&lt;periodical&gt;&lt;full-title&gt;Archives of Pathology &amp;amp; Laboratory Medicine&lt;/full-title&gt;&lt;/periodical&gt;&lt;pages&gt;353-357&lt;/pages&gt;&lt;volume&gt;142&lt;/volume&gt;&lt;number&gt;3&lt;/number&gt;&lt;dates&gt;&lt;year&gt;2018&lt;/year&gt;&lt;pub-dates&gt;&lt;date&gt;Mar&lt;/date&gt;&lt;/pub-dates&gt;&lt;/dates&gt;&lt;isbn&gt;0003-9985&lt;/isbn&gt;&lt;accession-num&gt;WOS:000427446300010&lt;/accession-num&gt;&lt;urls&gt;&lt;related-urls&gt;&lt;url&gt;&amp;lt;Go to ISI&amp;gt;://WOS:000427446300010&lt;/url&gt;&lt;url&gt;http://www.archivesofpathology.org/doi/pdf/10.5858/arpa.2017-0046-OA&lt;/url&gt;&lt;/related-urls&gt;&lt;/urls&gt;&lt;electronic-resource-num&gt;10.5858/arpa.2017-0046-OA&lt;/electronic-resource-num&gt;&lt;/record&gt;&lt;/Cite&gt;&lt;/EndNote&gt;</w:instrText>
            </w:r>
            <w:r>
              <w:rPr>
                <w:rFonts w:ascii="Arial Narrow" w:hAnsi="Arial Narrow"/>
              </w:rPr>
              <w:fldChar w:fldCharType="separate"/>
            </w:r>
            <w:r>
              <w:rPr>
                <w:rFonts w:ascii="Arial Narrow" w:hAnsi="Arial Narrow"/>
                <w:noProof/>
              </w:rPr>
              <w:t>(Mehrad et al. 2018)</w:t>
            </w:r>
            <w:r>
              <w:rPr>
                <w:rFonts w:ascii="Arial Narrow" w:hAnsi="Arial Narrow"/>
              </w:rPr>
              <w:fldChar w:fldCharType="end"/>
            </w:r>
          </w:p>
          <w:p w14:paraId="1948025B" w14:textId="77777777" w:rsidR="009B5315" w:rsidRPr="006865B3" w:rsidRDefault="009B5315" w:rsidP="009B5315">
            <w:pPr>
              <w:spacing w:before="0"/>
              <w:rPr>
                <w:rFonts w:ascii="Arial Narrow" w:hAnsi="Arial Narrow" w:cs="Calibri"/>
                <w:color w:val="000000"/>
              </w:rPr>
            </w:pPr>
            <w:r w:rsidRPr="006865B3">
              <w:rPr>
                <w:rFonts w:ascii="Arial Narrow" w:hAnsi="Arial Narrow"/>
              </w:rPr>
              <w:t>United States</w:t>
            </w:r>
          </w:p>
        </w:tc>
        <w:tc>
          <w:tcPr>
            <w:tcW w:w="214" w:type="pct"/>
            <w:shd w:val="clear" w:color="auto" w:fill="auto"/>
          </w:tcPr>
          <w:p w14:paraId="7A8F2403" w14:textId="77777777" w:rsidR="009B5315" w:rsidRPr="006865B3" w:rsidRDefault="009B5315" w:rsidP="009B5315">
            <w:pPr>
              <w:pStyle w:val="TableText"/>
              <w:rPr>
                <w:snapToGrid w:val="0"/>
              </w:rPr>
            </w:pPr>
            <w:r w:rsidRPr="006865B3">
              <w:rPr>
                <w:snapToGrid w:val="0"/>
              </w:rPr>
              <w:t>225</w:t>
            </w:r>
          </w:p>
        </w:tc>
        <w:tc>
          <w:tcPr>
            <w:tcW w:w="587" w:type="pct"/>
            <w:shd w:val="clear" w:color="auto" w:fill="auto"/>
          </w:tcPr>
          <w:p w14:paraId="606587D1" w14:textId="77777777" w:rsidR="009B5315" w:rsidRPr="006865B3" w:rsidRDefault="009B5315" w:rsidP="009B5315">
            <w:pPr>
              <w:spacing w:before="0" w:after="120"/>
              <w:rPr>
                <w:rFonts w:ascii="Arial Narrow" w:hAnsi="Arial Narrow"/>
              </w:rPr>
            </w:pPr>
            <w:r w:rsidRPr="006865B3">
              <w:rPr>
                <w:rFonts w:ascii="Arial Narrow" w:hAnsi="Arial Narrow"/>
              </w:rPr>
              <w:t>Retrospective cohort study</w:t>
            </w:r>
          </w:p>
          <w:p w14:paraId="3218392A" w14:textId="77777777" w:rsidR="009B5315" w:rsidRPr="006865B3" w:rsidRDefault="009B5315" w:rsidP="009B5315">
            <w:pPr>
              <w:spacing w:before="0" w:after="120"/>
              <w:rPr>
                <w:rFonts w:ascii="Arial Narrow" w:hAnsi="Arial Narrow"/>
              </w:rPr>
            </w:pPr>
            <w:r w:rsidRPr="006865B3">
              <w:rPr>
                <w:rFonts w:ascii="Arial Narrow" w:hAnsi="Arial Narrow"/>
              </w:rPr>
              <w:t>Level III-2</w:t>
            </w:r>
          </w:p>
          <w:p w14:paraId="6655CABC" w14:textId="77777777" w:rsidR="009B5315" w:rsidRPr="006865B3" w:rsidRDefault="009B5315" w:rsidP="009B5315">
            <w:pPr>
              <w:pStyle w:val="TableText"/>
              <w:rPr>
                <w:snapToGrid w:val="0"/>
              </w:rPr>
            </w:pPr>
          </w:p>
        </w:tc>
        <w:tc>
          <w:tcPr>
            <w:tcW w:w="764" w:type="pct"/>
            <w:shd w:val="clear" w:color="auto" w:fill="auto"/>
          </w:tcPr>
          <w:p w14:paraId="044F7D45" w14:textId="77777777" w:rsidR="009B5315" w:rsidRPr="006865B3" w:rsidRDefault="009B5315" w:rsidP="009B5315">
            <w:pPr>
              <w:pStyle w:val="TableText"/>
              <w:rPr>
                <w:snapToGrid w:val="0"/>
              </w:rPr>
            </w:pPr>
            <w:r w:rsidRPr="006865B3">
              <w:t>Patients with metastatic lung cancer (n= 46 cases ADC and NSCLC, NOS) 29 (63%) samples from metastatic tumours</w:t>
            </w:r>
          </w:p>
        </w:tc>
        <w:tc>
          <w:tcPr>
            <w:tcW w:w="800" w:type="pct"/>
          </w:tcPr>
          <w:p w14:paraId="788573EA" w14:textId="77777777" w:rsidR="009B5315" w:rsidRPr="006865B3" w:rsidRDefault="009B5315" w:rsidP="009B5315">
            <w:pPr>
              <w:pStyle w:val="TableText"/>
              <w:rPr>
                <w:snapToGrid w:val="0"/>
              </w:rPr>
            </w:pPr>
            <w:r w:rsidRPr="006865B3">
              <w:t>NGS 50 gene pane</w:t>
            </w:r>
          </w:p>
        </w:tc>
        <w:tc>
          <w:tcPr>
            <w:tcW w:w="961" w:type="pct"/>
          </w:tcPr>
          <w:p w14:paraId="32BCCC86" w14:textId="77777777" w:rsidR="009B5315" w:rsidRPr="006865B3" w:rsidRDefault="009B5315" w:rsidP="009B5315">
            <w:pPr>
              <w:pStyle w:val="Tabletext0"/>
              <w:spacing w:before="0" w:after="120"/>
              <w:jc w:val="left"/>
            </w:pPr>
            <w:r w:rsidRPr="006865B3">
              <w:t xml:space="preserve">8 gene non-NGS panel including SS for </w:t>
            </w:r>
            <w:r w:rsidRPr="006865B3">
              <w:rPr>
                <w:i/>
              </w:rPr>
              <w:t>EGFR</w:t>
            </w:r>
            <w:r w:rsidRPr="006865B3">
              <w:t>,</w:t>
            </w:r>
          </w:p>
          <w:p w14:paraId="4D32EC12" w14:textId="00BE29CC" w:rsidR="009B5315" w:rsidRDefault="009B5315" w:rsidP="009B5315">
            <w:pPr>
              <w:pStyle w:val="TableText"/>
              <w:rPr>
                <w:i/>
              </w:rPr>
            </w:pPr>
            <w:r w:rsidRPr="006865B3">
              <w:t xml:space="preserve">FISH for </w:t>
            </w:r>
            <w:r w:rsidRPr="006865B3">
              <w:rPr>
                <w:i/>
              </w:rPr>
              <w:t>ALK</w:t>
            </w:r>
            <w:r w:rsidRPr="006865B3">
              <w:t xml:space="preserve"> and </w:t>
            </w:r>
            <w:r w:rsidRPr="006865B3">
              <w:rPr>
                <w:i/>
              </w:rPr>
              <w:t>ROS1</w:t>
            </w:r>
          </w:p>
          <w:p w14:paraId="0FFEF58B" w14:textId="421F7E09" w:rsidR="00237745" w:rsidRPr="006865B3" w:rsidRDefault="00237745" w:rsidP="009B5315">
            <w:pPr>
              <w:pStyle w:val="TableText"/>
              <w:rPr>
                <w:snapToGrid w:val="0"/>
              </w:rPr>
            </w:pPr>
          </w:p>
        </w:tc>
        <w:tc>
          <w:tcPr>
            <w:tcW w:w="572" w:type="pct"/>
            <w:shd w:val="clear" w:color="auto" w:fill="auto"/>
          </w:tcPr>
          <w:p w14:paraId="6B592D44" w14:textId="77777777" w:rsidR="009B5315" w:rsidRPr="006865B3" w:rsidRDefault="009B5315" w:rsidP="009B5315">
            <w:pPr>
              <w:pStyle w:val="TableText"/>
              <w:rPr>
                <w:i/>
                <w:snapToGrid w:val="0"/>
              </w:rPr>
            </w:pPr>
            <w:r w:rsidRPr="006865B3">
              <w:rPr>
                <w:snapToGrid w:val="0"/>
              </w:rPr>
              <w:t xml:space="preserve">Concordance for </w:t>
            </w:r>
            <w:r w:rsidRPr="006865B3">
              <w:rPr>
                <w:i/>
                <w:snapToGrid w:val="0"/>
              </w:rPr>
              <w:t>EGFR</w:t>
            </w:r>
          </w:p>
          <w:p w14:paraId="431E8633" w14:textId="0A4897D8" w:rsidR="009B5315" w:rsidRPr="006865B3" w:rsidRDefault="009B5315" w:rsidP="009B5315">
            <w:pPr>
              <w:pStyle w:val="TableText"/>
              <w:rPr>
                <w:snapToGrid w:val="0"/>
              </w:rPr>
            </w:pPr>
            <w:r w:rsidRPr="006865B3">
              <w:rPr>
                <w:snapToGrid w:val="0"/>
              </w:rPr>
              <w:t>Rate of concurrent variants</w:t>
            </w:r>
          </w:p>
        </w:tc>
        <w:tc>
          <w:tcPr>
            <w:tcW w:w="456" w:type="pct"/>
            <w:shd w:val="clear" w:color="auto" w:fill="auto"/>
          </w:tcPr>
          <w:p w14:paraId="050F2EEB" w14:textId="2FAAAB9A" w:rsidR="009B5315" w:rsidRPr="006865B3" w:rsidRDefault="00504E35" w:rsidP="009B5315">
            <w:pPr>
              <w:pStyle w:val="TableText"/>
              <w:rPr>
                <w:snapToGrid w:val="0"/>
              </w:rPr>
            </w:pPr>
            <w:r>
              <w:rPr>
                <w:snapToGrid w:val="0"/>
              </w:rPr>
              <w:t>Yes</w:t>
            </w:r>
          </w:p>
        </w:tc>
      </w:tr>
      <w:tr w:rsidR="009B5315" w:rsidRPr="006865B3" w14:paraId="197FC8C6" w14:textId="77777777" w:rsidTr="006865B3">
        <w:tc>
          <w:tcPr>
            <w:tcW w:w="646" w:type="pct"/>
            <w:shd w:val="clear" w:color="auto" w:fill="auto"/>
          </w:tcPr>
          <w:p w14:paraId="17FBD8F7" w14:textId="0360EBF5" w:rsidR="009B5315" w:rsidRPr="006865B3" w:rsidRDefault="00B4668F" w:rsidP="009B5315">
            <w:pPr>
              <w:pStyle w:val="TableText"/>
            </w:pP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 </w:instrText>
            </w: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EN.CITE.DATA </w:instrText>
            </w:r>
            <w:r>
              <w:fldChar w:fldCharType="end"/>
            </w:r>
            <w:r>
              <w:fldChar w:fldCharType="separate"/>
            </w:r>
            <w:r>
              <w:rPr>
                <w:noProof/>
              </w:rPr>
              <w:t>(Mehta et al. 2020)</w:t>
            </w:r>
            <w:r>
              <w:fldChar w:fldCharType="end"/>
            </w:r>
          </w:p>
          <w:p w14:paraId="33BF3055" w14:textId="77777777" w:rsidR="009B5315" w:rsidRPr="006865B3" w:rsidRDefault="009B5315" w:rsidP="009B5315">
            <w:pPr>
              <w:pStyle w:val="TableText"/>
              <w:rPr>
                <w:snapToGrid w:val="0"/>
              </w:rPr>
            </w:pPr>
            <w:r w:rsidRPr="006865B3">
              <w:t>India</w:t>
            </w:r>
          </w:p>
        </w:tc>
        <w:tc>
          <w:tcPr>
            <w:tcW w:w="214" w:type="pct"/>
            <w:shd w:val="clear" w:color="auto" w:fill="auto"/>
          </w:tcPr>
          <w:p w14:paraId="48ADF3FC" w14:textId="77777777" w:rsidR="009B5315" w:rsidRPr="006865B3" w:rsidRDefault="009B5315" w:rsidP="009B5315">
            <w:pPr>
              <w:pStyle w:val="TableText"/>
              <w:rPr>
                <w:snapToGrid w:val="0"/>
              </w:rPr>
            </w:pPr>
            <w:r w:rsidRPr="006865B3">
              <w:rPr>
                <w:snapToGrid w:val="0"/>
              </w:rPr>
              <w:t>100</w:t>
            </w:r>
          </w:p>
        </w:tc>
        <w:tc>
          <w:tcPr>
            <w:tcW w:w="587" w:type="pct"/>
            <w:shd w:val="clear" w:color="auto" w:fill="auto"/>
          </w:tcPr>
          <w:p w14:paraId="5475F2D9" w14:textId="77777777" w:rsidR="009B5315" w:rsidRPr="006865B3" w:rsidRDefault="009B5315" w:rsidP="009B5315">
            <w:pPr>
              <w:spacing w:before="0" w:after="120"/>
              <w:rPr>
                <w:rFonts w:ascii="Arial Narrow" w:hAnsi="Arial Narrow"/>
              </w:rPr>
            </w:pPr>
            <w:r w:rsidRPr="006865B3">
              <w:rPr>
                <w:rFonts w:ascii="Arial Narrow" w:hAnsi="Arial Narrow"/>
              </w:rPr>
              <w:t>Prospective cohort study</w:t>
            </w:r>
          </w:p>
          <w:p w14:paraId="4BF242AD" w14:textId="77777777" w:rsidR="009B5315" w:rsidRPr="006865B3" w:rsidRDefault="009B5315" w:rsidP="009B5315">
            <w:pPr>
              <w:spacing w:before="0" w:after="120"/>
              <w:rPr>
                <w:rFonts w:ascii="Arial Narrow" w:hAnsi="Arial Narrow"/>
              </w:rPr>
            </w:pPr>
            <w:r w:rsidRPr="006865B3">
              <w:rPr>
                <w:rFonts w:ascii="Arial Narrow" w:hAnsi="Arial Narrow"/>
              </w:rPr>
              <w:t>Level III-2</w:t>
            </w:r>
          </w:p>
          <w:p w14:paraId="27F4CA81" w14:textId="77777777" w:rsidR="009B5315" w:rsidRPr="006865B3" w:rsidRDefault="009B5315" w:rsidP="009B5315">
            <w:pPr>
              <w:pStyle w:val="TableText"/>
              <w:rPr>
                <w:snapToGrid w:val="0"/>
              </w:rPr>
            </w:pPr>
            <w:r w:rsidRPr="006865B3">
              <w:t>Low risk of bias</w:t>
            </w:r>
          </w:p>
        </w:tc>
        <w:tc>
          <w:tcPr>
            <w:tcW w:w="764" w:type="pct"/>
            <w:shd w:val="clear" w:color="auto" w:fill="auto"/>
          </w:tcPr>
          <w:p w14:paraId="750980AA" w14:textId="1A56330E" w:rsidR="009B5315" w:rsidRPr="006865B3" w:rsidRDefault="00466C4F" w:rsidP="009B5315">
            <w:pPr>
              <w:pStyle w:val="TableText"/>
              <w:rPr>
                <w:snapToGrid w:val="0"/>
              </w:rPr>
            </w:pPr>
            <w:r w:rsidRPr="006865B3">
              <w:t>Patients</w:t>
            </w:r>
            <w:r w:rsidR="009B5315" w:rsidRPr="006865B3">
              <w:t xml:space="preserve"> newly diagnosed with advanced NSCLC underwent predictive biomarker testing with NGS and single gene testing.</w:t>
            </w:r>
          </w:p>
        </w:tc>
        <w:tc>
          <w:tcPr>
            <w:tcW w:w="800" w:type="pct"/>
          </w:tcPr>
          <w:p w14:paraId="0899F6BE" w14:textId="77777777" w:rsidR="009B5315" w:rsidRPr="006865B3" w:rsidRDefault="009B5315" w:rsidP="009B5315">
            <w:pPr>
              <w:pStyle w:val="Tabletext0"/>
              <w:spacing w:before="0" w:after="120"/>
              <w:jc w:val="left"/>
            </w:pPr>
            <w:r w:rsidRPr="006865B3">
              <w:t>Ampliseq Cancer Hotspot panel</w:t>
            </w:r>
          </w:p>
          <w:p w14:paraId="159B899A" w14:textId="77777777" w:rsidR="009B5315" w:rsidRPr="006865B3" w:rsidRDefault="009B5315" w:rsidP="009B5315">
            <w:pPr>
              <w:pStyle w:val="TableText"/>
              <w:rPr>
                <w:snapToGrid w:val="0"/>
              </w:rPr>
            </w:pPr>
            <w:r w:rsidRPr="006865B3">
              <w:t>Oncomine solid tumor DNA and Oncomine Fusion transcript kit</w:t>
            </w:r>
          </w:p>
        </w:tc>
        <w:tc>
          <w:tcPr>
            <w:tcW w:w="961" w:type="pct"/>
          </w:tcPr>
          <w:p w14:paraId="039F9CA4" w14:textId="77777777" w:rsidR="009B5315" w:rsidRDefault="009B5315" w:rsidP="009B5315">
            <w:pPr>
              <w:pStyle w:val="TableText"/>
            </w:pPr>
            <w:r w:rsidRPr="006865B3">
              <w:rPr>
                <w:i/>
              </w:rPr>
              <w:t xml:space="preserve">EGFR </w:t>
            </w:r>
            <w:r w:rsidRPr="006865B3">
              <w:t>testing by RT-PCT, ALK testing with IHC, and</w:t>
            </w:r>
            <w:r w:rsidRPr="006865B3">
              <w:rPr>
                <w:i/>
              </w:rPr>
              <w:t xml:space="preserve"> ROS1</w:t>
            </w:r>
            <w:r w:rsidRPr="006865B3">
              <w:t xml:space="preserve"> testing with FISH</w:t>
            </w:r>
          </w:p>
          <w:p w14:paraId="0AFAA3BA" w14:textId="1A9B5A24" w:rsidR="00237745" w:rsidRPr="00956452" w:rsidRDefault="00237745">
            <w:pPr>
              <w:pStyle w:val="TableText"/>
              <w:rPr>
                <w:rFonts w:ascii="Calibri" w:hAnsi="Calibri" w:cs="Calibri"/>
                <w:color w:val="000000"/>
              </w:rPr>
            </w:pPr>
            <w:r w:rsidRPr="00956452">
              <w:t>Average of ≥15% signals considered positive</w:t>
            </w:r>
          </w:p>
        </w:tc>
        <w:tc>
          <w:tcPr>
            <w:tcW w:w="572" w:type="pct"/>
            <w:shd w:val="clear" w:color="auto" w:fill="auto"/>
          </w:tcPr>
          <w:p w14:paraId="4C67D4AF" w14:textId="77777777" w:rsidR="009B5315" w:rsidRPr="006865B3" w:rsidRDefault="009B5315" w:rsidP="009B5315">
            <w:pPr>
              <w:pStyle w:val="TableText"/>
              <w:rPr>
                <w:snapToGrid w:val="0"/>
              </w:rPr>
            </w:pPr>
            <w:r w:rsidRPr="006865B3">
              <w:rPr>
                <w:snapToGrid w:val="0"/>
              </w:rPr>
              <w:t xml:space="preserve">Concordance for </w:t>
            </w:r>
            <w:r w:rsidRPr="006865B3">
              <w:rPr>
                <w:i/>
                <w:snapToGrid w:val="0"/>
              </w:rPr>
              <w:t>ROS1</w:t>
            </w:r>
          </w:p>
        </w:tc>
        <w:tc>
          <w:tcPr>
            <w:tcW w:w="456" w:type="pct"/>
            <w:shd w:val="clear" w:color="auto" w:fill="auto"/>
          </w:tcPr>
          <w:p w14:paraId="46572DAB" w14:textId="197998D5" w:rsidR="009B5315" w:rsidRPr="006865B3" w:rsidRDefault="00504E35" w:rsidP="009B5315">
            <w:pPr>
              <w:pStyle w:val="TableText"/>
              <w:rPr>
                <w:snapToGrid w:val="0"/>
              </w:rPr>
            </w:pPr>
            <w:r>
              <w:rPr>
                <w:snapToGrid w:val="0"/>
              </w:rPr>
              <w:t>Yes</w:t>
            </w:r>
          </w:p>
        </w:tc>
      </w:tr>
      <w:tr w:rsidR="009B5315" w:rsidRPr="006865B3" w14:paraId="21D02982" w14:textId="77777777" w:rsidTr="006865B3">
        <w:tc>
          <w:tcPr>
            <w:tcW w:w="646" w:type="pct"/>
            <w:shd w:val="clear" w:color="auto" w:fill="auto"/>
          </w:tcPr>
          <w:p w14:paraId="3CEF9F81" w14:textId="1F9D72A6" w:rsidR="009B5315" w:rsidRPr="006865B3" w:rsidRDefault="00B4668F" w:rsidP="009B5315">
            <w:pPr>
              <w:pStyle w:val="TableText"/>
              <w:rPr>
                <w:rStyle w:val="normaltextrun"/>
                <w:color w:val="000000"/>
                <w:shd w:val="clear" w:color="auto" w:fill="FFFFFF"/>
              </w:rPr>
            </w:pPr>
            <w:r>
              <w:rPr>
                <w:rStyle w:val="normaltextrun"/>
                <w:color w:val="000000"/>
                <w:shd w:val="clear" w:color="auto" w:fill="FFFFFF"/>
              </w:rPr>
              <w:fldChar w:fldCharType="begin">
                <w:fldData xml:space="preserve">PEVuZE5vdGU+PENpdGU+PEF1dGhvcj5NaWxsZXI8L0F1dGhvcj48WWVhcj4yMDE4PC9ZZWFyPjxS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=
</w:fldData>
              </w:fldChar>
            </w:r>
            <w:r>
              <w:rPr>
                <w:rStyle w:val="normaltextrun"/>
                <w:color w:val="000000"/>
                <w:shd w:val="clear" w:color="auto" w:fill="FFFFFF"/>
              </w:rPr>
              <w:instrText xml:space="preserve"> ADDIN EN.CITE </w:instrText>
            </w:r>
            <w:r>
              <w:rPr>
                <w:rStyle w:val="normaltextrun"/>
                <w:color w:val="000000"/>
                <w:shd w:val="clear" w:color="auto" w:fill="FFFFFF"/>
              </w:rPr>
              <w:fldChar w:fldCharType="begin">
                <w:fldData xml:space="preserve">PEVuZE5vdGU+PENpdGU+PEF1dGhvcj5NaWxsZXI8L0F1dGhvcj48WWVhcj4yMDE4PC9ZZWFyPjxS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=
</w:fldData>
              </w:fldChar>
            </w:r>
            <w:r>
              <w:rPr>
                <w:rStyle w:val="normaltextrun"/>
                <w:color w:val="000000"/>
                <w:shd w:val="clear" w:color="auto" w:fill="FFFFFF"/>
              </w:rPr>
              <w:instrText xml:space="preserve"> ADDIN EN.CITE.DATA </w:instrText>
            </w:r>
            <w:r>
              <w:rPr>
                <w:rStyle w:val="normaltextrun"/>
                <w:color w:val="000000"/>
                <w:shd w:val="clear" w:color="auto" w:fill="FFFFFF"/>
              </w:rPr>
            </w:r>
            <w:r>
              <w:rPr>
                <w:rStyle w:val="normaltextrun"/>
                <w:color w:val="000000"/>
                <w:shd w:val="clear" w:color="auto" w:fill="FFFFFF"/>
              </w:rPr>
              <w:fldChar w:fldCharType="end"/>
            </w:r>
            <w:r>
              <w:rPr>
                <w:rStyle w:val="normaltextrun"/>
                <w:color w:val="000000"/>
                <w:shd w:val="clear" w:color="auto" w:fill="FFFFFF"/>
              </w:rPr>
            </w:r>
            <w:r>
              <w:rPr>
                <w:rStyle w:val="normaltextrun"/>
                <w:color w:val="000000"/>
                <w:shd w:val="clear" w:color="auto" w:fill="FFFFFF"/>
              </w:rPr>
              <w:fldChar w:fldCharType="separate"/>
            </w:r>
            <w:r>
              <w:rPr>
                <w:rStyle w:val="normaltextrun"/>
                <w:noProof/>
                <w:color w:val="000000"/>
                <w:shd w:val="clear" w:color="auto" w:fill="FFFFFF"/>
              </w:rPr>
              <w:t>(Miller et al. 2018)</w:t>
            </w:r>
            <w:r>
              <w:rPr>
                <w:rStyle w:val="normaltextrun"/>
                <w:color w:val="000000"/>
                <w:shd w:val="clear" w:color="auto" w:fill="FFFFFF"/>
              </w:rPr>
              <w:fldChar w:fldCharType="end"/>
            </w:r>
          </w:p>
          <w:p w14:paraId="06F806AD" w14:textId="12ACFA52" w:rsidR="009B5315" w:rsidRPr="006865B3" w:rsidRDefault="009B5315" w:rsidP="009B5315">
            <w:pPr>
              <w:pStyle w:val="TableText"/>
            </w:pPr>
            <w:r w:rsidRPr="006865B3">
              <w:rPr>
                <w:rStyle w:val="normaltextrun"/>
                <w:color w:val="000000"/>
                <w:shd w:val="clear" w:color="auto" w:fill="FFFFFF"/>
              </w:rPr>
              <w:t>United States</w:t>
            </w:r>
          </w:p>
        </w:tc>
        <w:tc>
          <w:tcPr>
            <w:tcW w:w="214" w:type="pct"/>
            <w:shd w:val="clear" w:color="auto" w:fill="auto"/>
          </w:tcPr>
          <w:p w14:paraId="7424CFE5" w14:textId="10558749" w:rsidR="009B5315" w:rsidRPr="006865B3" w:rsidRDefault="009B5315" w:rsidP="009B5315">
            <w:pPr>
              <w:pStyle w:val="TableText"/>
              <w:rPr>
                <w:snapToGrid w:val="0"/>
              </w:rPr>
            </w:pPr>
            <w:r w:rsidRPr="006865B3">
              <w:rPr>
                <w:snapToGrid w:val="0"/>
              </w:rPr>
              <w:t>302</w:t>
            </w:r>
          </w:p>
        </w:tc>
        <w:tc>
          <w:tcPr>
            <w:tcW w:w="587" w:type="pct"/>
            <w:shd w:val="clear" w:color="auto" w:fill="auto"/>
          </w:tcPr>
          <w:p w14:paraId="723C024C" w14:textId="77777777" w:rsidR="009B5315" w:rsidRPr="006865B3" w:rsidRDefault="009B5315" w:rsidP="009B5315">
            <w:pPr>
              <w:spacing w:before="0" w:after="120"/>
              <w:rPr>
                <w:rFonts w:ascii="Arial Narrow" w:hAnsi="Arial Narrow"/>
              </w:rPr>
            </w:pPr>
            <w:r w:rsidRPr="006865B3">
              <w:rPr>
                <w:rFonts w:ascii="Arial Narrow" w:hAnsi="Arial Narrow"/>
              </w:rPr>
              <w:t>Prospective cohort study</w:t>
            </w:r>
          </w:p>
          <w:p w14:paraId="0331120D" w14:textId="77777777" w:rsidR="009B5315" w:rsidRPr="006865B3" w:rsidRDefault="009B5315" w:rsidP="009B5315">
            <w:pPr>
              <w:spacing w:before="0" w:after="120"/>
              <w:rPr>
                <w:rFonts w:ascii="Arial Narrow" w:hAnsi="Arial Narrow"/>
              </w:rPr>
            </w:pPr>
            <w:r w:rsidRPr="006865B3">
              <w:rPr>
                <w:rFonts w:ascii="Arial Narrow" w:hAnsi="Arial Narrow"/>
              </w:rPr>
              <w:t>Level III-2</w:t>
            </w:r>
          </w:p>
          <w:p w14:paraId="4348751C" w14:textId="0C8E3AB1" w:rsidR="009B5315" w:rsidRPr="006865B3" w:rsidRDefault="009B5315" w:rsidP="009B5315">
            <w:pPr>
              <w:spacing w:before="0" w:after="120"/>
              <w:rPr>
                <w:rFonts w:ascii="Arial Narrow" w:hAnsi="Arial Narrow"/>
              </w:rPr>
            </w:pPr>
            <w:r w:rsidRPr="006865B3">
              <w:rPr>
                <w:rFonts w:ascii="Arial Narrow" w:hAnsi="Arial Narrow"/>
              </w:rPr>
              <w:t>Low risk of bias</w:t>
            </w:r>
          </w:p>
        </w:tc>
        <w:tc>
          <w:tcPr>
            <w:tcW w:w="764" w:type="pct"/>
            <w:shd w:val="clear" w:color="auto" w:fill="auto"/>
          </w:tcPr>
          <w:p w14:paraId="49E659EE" w14:textId="515C4591" w:rsidR="009B5315" w:rsidRPr="006865B3" w:rsidRDefault="009B5315" w:rsidP="009B5315">
            <w:pPr>
              <w:pStyle w:val="Tabletext0"/>
              <w:spacing w:before="0" w:after="120"/>
              <w:jc w:val="left"/>
            </w:pPr>
            <w:r w:rsidRPr="006865B3">
              <w:t>Advanced adenocarcinoma patients.</w:t>
            </w:r>
          </w:p>
          <w:p w14:paraId="4DC182D2" w14:textId="2514D628" w:rsidR="009B5315" w:rsidRPr="006865B3" w:rsidRDefault="009B5315" w:rsidP="009B5315">
            <w:pPr>
              <w:pStyle w:val="TableText"/>
            </w:pPr>
            <w:r w:rsidRPr="006865B3">
              <w:t>After validation of the assay the turnaround time for the first 302 patients was recorded.</w:t>
            </w:r>
          </w:p>
        </w:tc>
        <w:tc>
          <w:tcPr>
            <w:tcW w:w="800" w:type="pct"/>
          </w:tcPr>
          <w:p w14:paraId="13C48F5A" w14:textId="6DCC90D7" w:rsidR="009B5315" w:rsidRPr="006865B3" w:rsidRDefault="009B5315" w:rsidP="009B5315">
            <w:pPr>
              <w:pStyle w:val="Tabletext0"/>
              <w:spacing w:before="0" w:after="120"/>
              <w:jc w:val="left"/>
            </w:pPr>
            <w:r w:rsidRPr="006865B3">
              <w:t>Oncomine Focus Assay targeting 52 genes relevant to solid tumors</w:t>
            </w:r>
          </w:p>
        </w:tc>
        <w:tc>
          <w:tcPr>
            <w:tcW w:w="961" w:type="pct"/>
          </w:tcPr>
          <w:p w14:paraId="5BDD79D8" w14:textId="77777777" w:rsidR="009B5315" w:rsidRPr="006865B3" w:rsidRDefault="009B5315" w:rsidP="009B5315">
            <w:pPr>
              <w:pStyle w:val="Tabletext0"/>
              <w:spacing w:before="0" w:after="120"/>
              <w:jc w:val="left"/>
            </w:pPr>
            <w:r w:rsidRPr="006865B3">
              <w:rPr>
                <w:i/>
                <w:iCs/>
              </w:rPr>
              <w:t>EGFR</w:t>
            </w:r>
            <w:r w:rsidRPr="006865B3">
              <w:t xml:space="preserve"> therascreen</w:t>
            </w:r>
          </w:p>
          <w:p w14:paraId="76BC3A19" w14:textId="5A98497B" w:rsidR="009B5315" w:rsidRPr="006865B3" w:rsidRDefault="009B5315" w:rsidP="009B5315">
            <w:pPr>
              <w:pStyle w:val="TableText"/>
            </w:pPr>
            <w:r w:rsidRPr="006865B3">
              <w:t>FoundationOne testing</w:t>
            </w:r>
          </w:p>
        </w:tc>
        <w:tc>
          <w:tcPr>
            <w:tcW w:w="572" w:type="pct"/>
            <w:shd w:val="clear" w:color="auto" w:fill="auto"/>
          </w:tcPr>
          <w:p w14:paraId="2E0DB915" w14:textId="607161DC" w:rsidR="009B5315" w:rsidRPr="006865B3" w:rsidRDefault="009B5315" w:rsidP="009B5315">
            <w:pPr>
              <w:pStyle w:val="TableText"/>
              <w:rPr>
                <w:snapToGrid w:val="0"/>
              </w:rPr>
            </w:pPr>
            <w:r w:rsidRPr="006865B3">
              <w:rPr>
                <w:snapToGrid w:val="0"/>
              </w:rPr>
              <w:t>Turnaround time</w:t>
            </w:r>
          </w:p>
        </w:tc>
        <w:tc>
          <w:tcPr>
            <w:tcW w:w="456" w:type="pct"/>
            <w:shd w:val="clear" w:color="auto" w:fill="auto"/>
          </w:tcPr>
          <w:p w14:paraId="5F8238F6" w14:textId="499124D2" w:rsidR="009B5315" w:rsidRPr="006865B3" w:rsidRDefault="00504E35" w:rsidP="009B5315">
            <w:pPr>
              <w:pStyle w:val="TableText"/>
              <w:rPr>
                <w:snapToGrid w:val="0"/>
              </w:rPr>
            </w:pPr>
            <w:r>
              <w:rPr>
                <w:snapToGrid w:val="0"/>
              </w:rPr>
              <w:t>No</w:t>
            </w:r>
          </w:p>
        </w:tc>
      </w:tr>
      <w:tr w:rsidR="009B5315" w:rsidRPr="006865B3" w14:paraId="10FBE241" w14:textId="77777777" w:rsidTr="006865B3">
        <w:tc>
          <w:tcPr>
            <w:tcW w:w="646" w:type="pct"/>
            <w:shd w:val="clear" w:color="auto" w:fill="auto"/>
          </w:tcPr>
          <w:p w14:paraId="56460AA0" w14:textId="5A4DA257" w:rsidR="009B5315" w:rsidRPr="006865B3" w:rsidRDefault="00B4668F" w:rsidP="009B5315">
            <w:pPr>
              <w:pStyle w:val="TableText"/>
            </w:pP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 </w:instrText>
            </w: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EN.CITE.DATA </w:instrText>
            </w:r>
            <w:r>
              <w:fldChar w:fldCharType="end"/>
            </w:r>
            <w:r>
              <w:fldChar w:fldCharType="separate"/>
            </w:r>
            <w:r>
              <w:rPr>
                <w:noProof/>
              </w:rPr>
              <w:t>(Park &amp; Shim 2020)</w:t>
            </w:r>
            <w:r>
              <w:fldChar w:fldCharType="end"/>
            </w:r>
            <w:r w:rsidR="009B5315" w:rsidRPr="006865B3">
              <w:t xml:space="preserve"> </w:t>
            </w:r>
          </w:p>
          <w:p w14:paraId="58128CE4" w14:textId="77777777" w:rsidR="009B5315" w:rsidRPr="006865B3" w:rsidRDefault="009B5315" w:rsidP="009B5315">
            <w:pPr>
              <w:pStyle w:val="TableText"/>
              <w:rPr>
                <w:snapToGrid w:val="0"/>
              </w:rPr>
            </w:pPr>
            <w:r w:rsidRPr="006865B3">
              <w:rPr>
                <w:snapToGrid w:val="0"/>
              </w:rPr>
              <w:t>South Korea</w:t>
            </w:r>
          </w:p>
        </w:tc>
        <w:tc>
          <w:tcPr>
            <w:tcW w:w="214" w:type="pct"/>
            <w:shd w:val="clear" w:color="auto" w:fill="auto"/>
          </w:tcPr>
          <w:p w14:paraId="5AB3EED4" w14:textId="77777777" w:rsidR="009B5315" w:rsidRPr="006865B3" w:rsidRDefault="009B5315" w:rsidP="009B5315">
            <w:pPr>
              <w:pStyle w:val="TableText"/>
              <w:rPr>
                <w:snapToGrid w:val="0"/>
              </w:rPr>
            </w:pPr>
            <w:r w:rsidRPr="006865B3">
              <w:rPr>
                <w:snapToGrid w:val="0"/>
              </w:rPr>
              <w:t>241</w:t>
            </w:r>
          </w:p>
        </w:tc>
        <w:tc>
          <w:tcPr>
            <w:tcW w:w="587" w:type="pct"/>
            <w:shd w:val="clear" w:color="auto" w:fill="auto"/>
          </w:tcPr>
          <w:p w14:paraId="43DE195A" w14:textId="77777777" w:rsidR="009B5315" w:rsidRPr="006865B3" w:rsidRDefault="009B5315" w:rsidP="009B5315">
            <w:pPr>
              <w:spacing w:before="0" w:after="120"/>
              <w:rPr>
                <w:rFonts w:ascii="Arial Narrow" w:hAnsi="Arial Narrow"/>
              </w:rPr>
            </w:pPr>
            <w:r w:rsidRPr="006865B3">
              <w:rPr>
                <w:rFonts w:ascii="Arial Narrow" w:hAnsi="Arial Narrow"/>
              </w:rPr>
              <w:t>Retrospective cohort study</w:t>
            </w:r>
          </w:p>
          <w:p w14:paraId="3A7F5F79" w14:textId="77777777" w:rsidR="009B5315" w:rsidRPr="006865B3" w:rsidRDefault="009B5315" w:rsidP="009B5315">
            <w:pPr>
              <w:spacing w:before="0" w:after="120"/>
              <w:rPr>
                <w:rFonts w:ascii="Arial Narrow" w:hAnsi="Arial Narrow"/>
              </w:rPr>
            </w:pPr>
            <w:r w:rsidRPr="006865B3">
              <w:rPr>
                <w:rFonts w:ascii="Arial Narrow" w:hAnsi="Arial Narrow"/>
              </w:rPr>
              <w:t>Level III-2</w:t>
            </w:r>
          </w:p>
          <w:p w14:paraId="437E6D43" w14:textId="77777777" w:rsidR="009B5315" w:rsidRPr="006865B3" w:rsidRDefault="009B5315" w:rsidP="009B5315">
            <w:pPr>
              <w:pStyle w:val="TableText"/>
              <w:rPr>
                <w:snapToGrid w:val="0"/>
              </w:rPr>
            </w:pPr>
            <w:r w:rsidRPr="006865B3">
              <w:t>Moderate to high risk of bias</w:t>
            </w:r>
          </w:p>
        </w:tc>
        <w:tc>
          <w:tcPr>
            <w:tcW w:w="764" w:type="pct"/>
            <w:shd w:val="clear" w:color="auto" w:fill="auto"/>
          </w:tcPr>
          <w:p w14:paraId="6432880B" w14:textId="77777777" w:rsidR="009B5315" w:rsidRPr="006865B3" w:rsidRDefault="009B5315" w:rsidP="009B5315">
            <w:pPr>
              <w:pStyle w:val="TableText"/>
              <w:rPr>
                <w:snapToGrid w:val="0"/>
              </w:rPr>
            </w:pPr>
            <w:r w:rsidRPr="006865B3">
              <w:t>Lung cancer patients who underwent NGS testing</w:t>
            </w:r>
          </w:p>
        </w:tc>
        <w:tc>
          <w:tcPr>
            <w:tcW w:w="800" w:type="pct"/>
          </w:tcPr>
          <w:p w14:paraId="0199ECA2" w14:textId="77777777" w:rsidR="009B5315" w:rsidRPr="006865B3" w:rsidRDefault="009B5315" w:rsidP="009B5315">
            <w:pPr>
              <w:pStyle w:val="Tabletext0"/>
              <w:spacing w:before="0" w:after="120"/>
              <w:jc w:val="left"/>
            </w:pPr>
            <w:r w:rsidRPr="006865B3">
              <w:t>Trusight tumor 170 (illumina) which targets 170 cancer genes.</w:t>
            </w:r>
          </w:p>
          <w:p w14:paraId="0917C624" w14:textId="77777777" w:rsidR="009B5315" w:rsidRPr="006865B3" w:rsidRDefault="009B5315" w:rsidP="009B5315">
            <w:pPr>
              <w:pStyle w:val="TableText"/>
              <w:rPr>
                <w:snapToGrid w:val="0"/>
              </w:rPr>
            </w:pPr>
            <w:r w:rsidRPr="006865B3">
              <w:t>Customised cancer panel which targets 46 cancer genes</w:t>
            </w:r>
          </w:p>
        </w:tc>
        <w:tc>
          <w:tcPr>
            <w:tcW w:w="961" w:type="pct"/>
          </w:tcPr>
          <w:p w14:paraId="70190AE6" w14:textId="5206AC73" w:rsidR="009B5315" w:rsidRPr="006865B3" w:rsidRDefault="009B5315" w:rsidP="009B5315">
            <w:pPr>
              <w:pStyle w:val="Tabletext0"/>
              <w:spacing w:before="0" w:after="120"/>
              <w:jc w:val="left"/>
            </w:pPr>
            <w:r w:rsidRPr="006865B3">
              <w:t xml:space="preserve">RT-qPCR for </w:t>
            </w:r>
            <w:r w:rsidRPr="00727BAE">
              <w:rPr>
                <w:i/>
              </w:rPr>
              <w:t>EGFR</w:t>
            </w:r>
          </w:p>
          <w:p w14:paraId="6A488258" w14:textId="77777777" w:rsidR="009B5315" w:rsidRDefault="009B5315" w:rsidP="009B5315">
            <w:pPr>
              <w:pStyle w:val="TableText"/>
              <w:rPr>
                <w:i/>
              </w:rPr>
            </w:pPr>
            <w:r w:rsidRPr="006865B3">
              <w:t xml:space="preserve">IHC then FISH for </w:t>
            </w:r>
            <w:r w:rsidRPr="00727BAE">
              <w:rPr>
                <w:i/>
              </w:rPr>
              <w:t>ALK</w:t>
            </w:r>
            <w:r w:rsidRPr="006865B3">
              <w:t xml:space="preserve"> and </w:t>
            </w:r>
            <w:r w:rsidRPr="00727BAE">
              <w:rPr>
                <w:i/>
              </w:rPr>
              <w:t>ROS1</w:t>
            </w:r>
          </w:p>
          <w:p w14:paraId="0BC40B43" w14:textId="7DEB189D" w:rsidR="00022D00" w:rsidRPr="00022D00" w:rsidRDefault="00022D00">
            <w:pPr>
              <w:pStyle w:val="TableText"/>
              <w:rPr>
                <w:snapToGrid w:val="0"/>
              </w:rPr>
            </w:pPr>
            <w:r>
              <w:t>Threshold for positivity on FISH average ≥15% signals</w:t>
            </w:r>
          </w:p>
        </w:tc>
        <w:tc>
          <w:tcPr>
            <w:tcW w:w="572" w:type="pct"/>
            <w:shd w:val="clear" w:color="auto" w:fill="auto"/>
          </w:tcPr>
          <w:p w14:paraId="7AF0C235" w14:textId="77777777" w:rsidR="009B5315" w:rsidRPr="006865B3" w:rsidRDefault="009B5315" w:rsidP="009B5315">
            <w:pPr>
              <w:pStyle w:val="TableText"/>
              <w:rPr>
                <w:snapToGrid w:val="0"/>
              </w:rPr>
            </w:pPr>
            <w:r w:rsidRPr="006865B3">
              <w:rPr>
                <w:snapToGrid w:val="0"/>
              </w:rPr>
              <w:t xml:space="preserve">Concordance for </w:t>
            </w:r>
            <w:r w:rsidRPr="00727BAE">
              <w:rPr>
                <w:i/>
                <w:snapToGrid w:val="0"/>
              </w:rPr>
              <w:t>EGFR, ALK, ROS1</w:t>
            </w:r>
          </w:p>
        </w:tc>
        <w:tc>
          <w:tcPr>
            <w:tcW w:w="456" w:type="pct"/>
            <w:shd w:val="clear" w:color="auto" w:fill="auto"/>
          </w:tcPr>
          <w:p w14:paraId="0157664A" w14:textId="136D1254" w:rsidR="009B5315" w:rsidRPr="006865B3" w:rsidRDefault="00504E35" w:rsidP="009B5315">
            <w:pPr>
              <w:pStyle w:val="TableText"/>
              <w:rPr>
                <w:snapToGrid w:val="0"/>
              </w:rPr>
            </w:pPr>
            <w:r>
              <w:rPr>
                <w:snapToGrid w:val="0"/>
              </w:rPr>
              <w:t>Yes</w:t>
            </w:r>
          </w:p>
        </w:tc>
      </w:tr>
      <w:tr w:rsidR="009B5315" w:rsidRPr="006865B3" w14:paraId="3F37E62A" w14:textId="77777777" w:rsidTr="006865B3">
        <w:tc>
          <w:tcPr>
            <w:tcW w:w="646" w:type="pct"/>
            <w:shd w:val="clear" w:color="auto" w:fill="auto"/>
          </w:tcPr>
          <w:p w14:paraId="34D6CAEA" w14:textId="25524AE0" w:rsidR="009B5315" w:rsidRPr="006865B3" w:rsidRDefault="00B4668F" w:rsidP="009B5315">
            <w:pPr>
              <w:pStyle w:val="TableText"/>
            </w:pP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 </w:instrText>
            </w: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EN.CITE.DATA </w:instrText>
            </w:r>
            <w:r>
              <w:fldChar w:fldCharType="end"/>
            </w:r>
            <w:r>
              <w:fldChar w:fldCharType="separate"/>
            </w:r>
            <w:r>
              <w:rPr>
                <w:noProof/>
              </w:rPr>
              <w:t>(Robert et al. 2022)</w:t>
            </w:r>
            <w:r>
              <w:fldChar w:fldCharType="end"/>
            </w:r>
          </w:p>
          <w:p w14:paraId="3F2B9768" w14:textId="38CE0CFD" w:rsidR="009B5315" w:rsidRPr="006865B3" w:rsidRDefault="009B5315" w:rsidP="009B5315">
            <w:pPr>
              <w:pStyle w:val="TableText"/>
            </w:pPr>
            <w:r w:rsidRPr="006865B3">
              <w:t>United States</w:t>
            </w:r>
          </w:p>
        </w:tc>
        <w:tc>
          <w:tcPr>
            <w:tcW w:w="214" w:type="pct"/>
            <w:shd w:val="clear" w:color="auto" w:fill="auto"/>
          </w:tcPr>
          <w:p w14:paraId="065C471A" w14:textId="553A2468" w:rsidR="009B5315" w:rsidRPr="006865B3" w:rsidRDefault="009B5315" w:rsidP="009B5315">
            <w:pPr>
              <w:pStyle w:val="TableText"/>
              <w:rPr>
                <w:snapToGrid w:val="0"/>
              </w:rPr>
            </w:pPr>
            <w:r w:rsidRPr="006865B3">
              <w:rPr>
                <w:snapToGrid w:val="0"/>
              </w:rPr>
              <w:t>3474</w:t>
            </w:r>
          </w:p>
        </w:tc>
        <w:tc>
          <w:tcPr>
            <w:tcW w:w="587" w:type="pct"/>
            <w:shd w:val="clear" w:color="auto" w:fill="auto"/>
          </w:tcPr>
          <w:p w14:paraId="39B6E13D" w14:textId="77777777" w:rsidR="009B5315" w:rsidRPr="006865B3" w:rsidRDefault="009B5315" w:rsidP="009B5315">
            <w:pPr>
              <w:pStyle w:val="Tabletext0"/>
              <w:spacing w:before="0" w:after="120"/>
              <w:jc w:val="left"/>
            </w:pPr>
            <w:r w:rsidRPr="006865B3">
              <w:t>Retrospective cohort study</w:t>
            </w:r>
          </w:p>
          <w:p w14:paraId="37EBC63D" w14:textId="77777777" w:rsidR="009B5315" w:rsidRPr="006865B3" w:rsidRDefault="009B5315" w:rsidP="009B5315">
            <w:pPr>
              <w:pStyle w:val="Tabletext0"/>
              <w:spacing w:before="0" w:after="120"/>
              <w:jc w:val="left"/>
            </w:pPr>
            <w:r w:rsidRPr="006865B3">
              <w:t>Level III-2</w:t>
            </w:r>
          </w:p>
          <w:p w14:paraId="1D206D84" w14:textId="6B20ED45" w:rsidR="009B5315" w:rsidRPr="006865B3" w:rsidRDefault="009B5315" w:rsidP="009B5315">
            <w:pPr>
              <w:spacing w:before="0" w:after="120"/>
              <w:rPr>
                <w:rFonts w:ascii="Arial Narrow" w:hAnsi="Arial Narrow"/>
              </w:rPr>
            </w:pPr>
            <w:r w:rsidRPr="006865B3">
              <w:rPr>
                <w:rFonts w:ascii="Arial Narrow" w:hAnsi="Arial Narrow"/>
              </w:rPr>
              <w:t>Low risk of bias</w:t>
            </w:r>
          </w:p>
        </w:tc>
        <w:tc>
          <w:tcPr>
            <w:tcW w:w="764" w:type="pct"/>
            <w:shd w:val="clear" w:color="auto" w:fill="auto"/>
          </w:tcPr>
          <w:p w14:paraId="001615DB" w14:textId="68121FDC" w:rsidR="009B5315" w:rsidRPr="006865B3" w:rsidRDefault="009B5315" w:rsidP="009B5315">
            <w:pPr>
              <w:pStyle w:val="TableText"/>
            </w:pPr>
            <w:r w:rsidRPr="006865B3">
              <w:t>Patients with mNSCLC that initiated 1</w:t>
            </w:r>
            <w:r w:rsidRPr="006865B3">
              <w:rPr>
                <w:vertAlign w:val="superscript"/>
              </w:rPr>
              <w:t>st</w:t>
            </w:r>
            <w:r w:rsidRPr="006865B3">
              <w:t xml:space="preserve"> line treatment and had not received diagnosis or treatment for another cancer</w:t>
            </w:r>
          </w:p>
        </w:tc>
        <w:tc>
          <w:tcPr>
            <w:tcW w:w="800" w:type="pct"/>
          </w:tcPr>
          <w:p w14:paraId="6A512F2C" w14:textId="508EF639" w:rsidR="009B5315" w:rsidRPr="006865B3" w:rsidRDefault="009B5315" w:rsidP="009B5315">
            <w:pPr>
              <w:pStyle w:val="Tabletext0"/>
              <w:spacing w:before="0" w:after="120"/>
              <w:jc w:val="left"/>
            </w:pPr>
            <w:r w:rsidRPr="006865B3">
              <w:t>Time from testing order to testing result for NGS</w:t>
            </w:r>
          </w:p>
        </w:tc>
        <w:tc>
          <w:tcPr>
            <w:tcW w:w="961" w:type="pct"/>
          </w:tcPr>
          <w:p w14:paraId="478BA92A" w14:textId="5F7A9412" w:rsidR="009B5315" w:rsidRPr="006865B3" w:rsidRDefault="009B5315" w:rsidP="009B5315">
            <w:pPr>
              <w:pStyle w:val="Tabletext0"/>
              <w:spacing w:before="0" w:after="120"/>
              <w:jc w:val="left"/>
            </w:pPr>
            <w:r w:rsidRPr="006865B3">
              <w:t xml:space="preserve">Time from testing order to testing result for </w:t>
            </w:r>
            <w:r>
              <w:t xml:space="preserve">single biomarker testing of </w:t>
            </w:r>
            <w:r w:rsidRPr="00727BAE">
              <w:rPr>
                <w:i/>
              </w:rPr>
              <w:t>EGFR, ALK, ROS1, BRAF</w:t>
            </w:r>
            <w:r w:rsidRPr="006865B3">
              <w:t>, and PD-L1</w:t>
            </w:r>
          </w:p>
        </w:tc>
        <w:tc>
          <w:tcPr>
            <w:tcW w:w="572" w:type="pct"/>
            <w:shd w:val="clear" w:color="auto" w:fill="auto"/>
          </w:tcPr>
          <w:p w14:paraId="53E5933D" w14:textId="2440BBFD" w:rsidR="009B5315" w:rsidRPr="006865B3" w:rsidRDefault="009B5315" w:rsidP="009B5315">
            <w:pPr>
              <w:pStyle w:val="TableText"/>
              <w:rPr>
                <w:snapToGrid w:val="0"/>
              </w:rPr>
            </w:pPr>
            <w:r w:rsidRPr="006865B3">
              <w:rPr>
                <w:snapToGrid w:val="0"/>
              </w:rPr>
              <w:t>Turnaround time</w:t>
            </w:r>
          </w:p>
        </w:tc>
        <w:tc>
          <w:tcPr>
            <w:tcW w:w="456" w:type="pct"/>
            <w:shd w:val="clear" w:color="auto" w:fill="auto"/>
          </w:tcPr>
          <w:p w14:paraId="294E62FA" w14:textId="066BD9AD" w:rsidR="009B5315" w:rsidRPr="006865B3" w:rsidRDefault="00504E35" w:rsidP="009B5315">
            <w:pPr>
              <w:pStyle w:val="TableText"/>
              <w:rPr>
                <w:snapToGrid w:val="0"/>
              </w:rPr>
            </w:pPr>
            <w:r>
              <w:rPr>
                <w:snapToGrid w:val="0"/>
              </w:rPr>
              <w:t>No</w:t>
            </w:r>
          </w:p>
        </w:tc>
      </w:tr>
      <w:tr w:rsidR="009B5315" w:rsidRPr="006865B3" w14:paraId="69FDA841" w14:textId="77777777" w:rsidTr="006865B3">
        <w:tc>
          <w:tcPr>
            <w:tcW w:w="646" w:type="pct"/>
            <w:shd w:val="clear" w:color="auto" w:fill="auto"/>
          </w:tcPr>
          <w:p w14:paraId="2D441DDA" w14:textId="5E0909BC" w:rsidR="009B5315" w:rsidRPr="006865B3" w:rsidRDefault="00B4668F" w:rsidP="009B5315">
            <w:pPr>
              <w:pStyle w:val="TableText"/>
            </w:pP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 </w:instrText>
            </w: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EN.CITE.DATA </w:instrText>
            </w:r>
            <w:r>
              <w:fldChar w:fldCharType="end"/>
            </w:r>
            <w:r>
              <w:fldChar w:fldCharType="separate"/>
            </w:r>
            <w:r>
              <w:rPr>
                <w:noProof/>
              </w:rPr>
              <w:t>(Sakaguchi et al. 2021)</w:t>
            </w:r>
            <w:r>
              <w:fldChar w:fldCharType="end"/>
            </w:r>
          </w:p>
          <w:p w14:paraId="0F73B63E" w14:textId="4E47F72B" w:rsidR="009B5315" w:rsidRPr="006865B3" w:rsidRDefault="009B5315" w:rsidP="009B5315">
            <w:pPr>
              <w:pStyle w:val="TableText"/>
            </w:pPr>
            <w:r w:rsidRPr="006865B3">
              <w:t>Japan</w:t>
            </w:r>
          </w:p>
        </w:tc>
        <w:tc>
          <w:tcPr>
            <w:tcW w:w="214" w:type="pct"/>
            <w:shd w:val="clear" w:color="auto" w:fill="auto"/>
          </w:tcPr>
          <w:p w14:paraId="652328E3" w14:textId="4F3E532B" w:rsidR="009B5315" w:rsidRPr="006865B3" w:rsidRDefault="009B5315" w:rsidP="009B5315">
            <w:pPr>
              <w:pStyle w:val="TableText"/>
              <w:rPr>
                <w:snapToGrid w:val="0"/>
              </w:rPr>
            </w:pPr>
            <w:r w:rsidRPr="006865B3">
              <w:rPr>
                <w:snapToGrid w:val="0"/>
              </w:rPr>
              <w:t>116</w:t>
            </w:r>
          </w:p>
        </w:tc>
        <w:tc>
          <w:tcPr>
            <w:tcW w:w="587" w:type="pct"/>
            <w:shd w:val="clear" w:color="auto" w:fill="auto"/>
          </w:tcPr>
          <w:p w14:paraId="441A29CF" w14:textId="77777777" w:rsidR="009B5315" w:rsidRPr="006865B3" w:rsidRDefault="009B5315" w:rsidP="009B5315">
            <w:pPr>
              <w:pStyle w:val="Tabletext0"/>
              <w:spacing w:before="0" w:after="120"/>
              <w:jc w:val="left"/>
            </w:pPr>
            <w:r w:rsidRPr="006865B3">
              <w:t>Retrospective cohort study</w:t>
            </w:r>
          </w:p>
          <w:p w14:paraId="3AC2B488" w14:textId="77777777" w:rsidR="009B5315" w:rsidRPr="006865B3" w:rsidRDefault="009B5315" w:rsidP="009B5315">
            <w:pPr>
              <w:pStyle w:val="Tabletext0"/>
              <w:spacing w:before="0" w:after="120"/>
              <w:jc w:val="left"/>
            </w:pPr>
            <w:r w:rsidRPr="006865B3">
              <w:lastRenderedPageBreak/>
              <w:t>Level III-3</w:t>
            </w:r>
          </w:p>
          <w:p w14:paraId="10E4676E" w14:textId="5A949714" w:rsidR="009B5315" w:rsidRPr="006865B3" w:rsidRDefault="009B5315" w:rsidP="009B5315">
            <w:pPr>
              <w:pStyle w:val="Tabletext0"/>
              <w:spacing w:before="0" w:after="120"/>
              <w:jc w:val="left"/>
            </w:pPr>
            <w:r w:rsidRPr="006865B3">
              <w:t>Moderate risk of bias</w:t>
            </w:r>
          </w:p>
        </w:tc>
        <w:tc>
          <w:tcPr>
            <w:tcW w:w="764" w:type="pct"/>
            <w:shd w:val="clear" w:color="auto" w:fill="auto"/>
          </w:tcPr>
          <w:p w14:paraId="2560AE12" w14:textId="20C3CADB" w:rsidR="009B5315" w:rsidRPr="006865B3" w:rsidRDefault="009B5315" w:rsidP="009B5315">
            <w:pPr>
              <w:pStyle w:val="TableText"/>
            </w:pPr>
            <w:r w:rsidRPr="006865B3">
              <w:lastRenderedPageBreak/>
              <w:t>NSCLC samples that underwent NGS and</w:t>
            </w:r>
            <w:r>
              <w:t xml:space="preserve"> conventional screening for </w:t>
            </w:r>
            <w:r w:rsidRPr="00727BAE">
              <w:rPr>
                <w:i/>
              </w:rPr>
              <w:lastRenderedPageBreak/>
              <w:t>EGFR</w:t>
            </w:r>
            <w:r w:rsidRPr="006865B3">
              <w:t xml:space="preserve"> mutations simultaneously.</w:t>
            </w:r>
          </w:p>
        </w:tc>
        <w:tc>
          <w:tcPr>
            <w:tcW w:w="800" w:type="pct"/>
          </w:tcPr>
          <w:p w14:paraId="0902AA7B" w14:textId="7F2D0283" w:rsidR="009B5315" w:rsidRPr="006865B3" w:rsidRDefault="009B5315" w:rsidP="009B5315">
            <w:pPr>
              <w:pStyle w:val="Tabletext0"/>
              <w:spacing w:before="0" w:after="120"/>
              <w:jc w:val="left"/>
            </w:pPr>
            <w:r w:rsidRPr="006865B3">
              <w:lastRenderedPageBreak/>
              <w:t>Oncomine Dx target test</w:t>
            </w:r>
          </w:p>
        </w:tc>
        <w:tc>
          <w:tcPr>
            <w:tcW w:w="961" w:type="pct"/>
          </w:tcPr>
          <w:p w14:paraId="4652DE2A" w14:textId="5B754FA7" w:rsidR="009B5315" w:rsidRPr="006865B3" w:rsidRDefault="009B5315" w:rsidP="009B5315">
            <w:pPr>
              <w:pStyle w:val="Tabletext0"/>
              <w:spacing w:before="0" w:after="120"/>
              <w:jc w:val="left"/>
            </w:pPr>
            <w:r w:rsidRPr="006865B3">
              <w:t xml:space="preserve">PNA-LNA PCR (Rt-qPCR) </w:t>
            </w:r>
            <w:r>
              <w:t xml:space="preserve">clamp test for </w:t>
            </w:r>
            <w:r w:rsidRPr="00727BAE">
              <w:rPr>
                <w:i/>
              </w:rPr>
              <w:t>EGFR</w:t>
            </w:r>
            <w:r w:rsidRPr="006865B3">
              <w:t xml:space="preserve"> mutations.</w:t>
            </w:r>
          </w:p>
        </w:tc>
        <w:tc>
          <w:tcPr>
            <w:tcW w:w="572" w:type="pct"/>
            <w:shd w:val="clear" w:color="auto" w:fill="auto"/>
          </w:tcPr>
          <w:p w14:paraId="7421D4E9" w14:textId="2C0E9BDD" w:rsidR="009B5315" w:rsidRPr="006865B3" w:rsidRDefault="009B5315" w:rsidP="009B5315">
            <w:pPr>
              <w:pStyle w:val="TableText"/>
              <w:rPr>
                <w:snapToGrid w:val="0"/>
              </w:rPr>
            </w:pPr>
            <w:r w:rsidRPr="006865B3">
              <w:rPr>
                <w:snapToGrid w:val="0"/>
              </w:rPr>
              <w:t xml:space="preserve">Concordance for </w:t>
            </w:r>
            <w:r w:rsidRPr="006865B3">
              <w:rPr>
                <w:i/>
                <w:snapToGrid w:val="0"/>
              </w:rPr>
              <w:t>EGFR</w:t>
            </w:r>
          </w:p>
        </w:tc>
        <w:tc>
          <w:tcPr>
            <w:tcW w:w="456" w:type="pct"/>
            <w:shd w:val="clear" w:color="auto" w:fill="auto"/>
          </w:tcPr>
          <w:p w14:paraId="50F1DED0" w14:textId="7CC0ADBE" w:rsidR="009B5315" w:rsidRPr="006865B3" w:rsidRDefault="00504E35" w:rsidP="009B5315">
            <w:pPr>
              <w:pStyle w:val="TableText"/>
              <w:rPr>
                <w:snapToGrid w:val="0"/>
              </w:rPr>
            </w:pPr>
            <w:r>
              <w:rPr>
                <w:snapToGrid w:val="0"/>
              </w:rPr>
              <w:t>Yes</w:t>
            </w:r>
          </w:p>
        </w:tc>
      </w:tr>
      <w:tr w:rsidR="009B5315" w:rsidRPr="006865B3" w14:paraId="38695640" w14:textId="77777777" w:rsidTr="006865B3">
        <w:tc>
          <w:tcPr>
            <w:tcW w:w="646" w:type="pct"/>
            <w:shd w:val="clear" w:color="auto" w:fill="auto"/>
          </w:tcPr>
          <w:p w14:paraId="457462F4" w14:textId="2E57FA02" w:rsidR="009B5315" w:rsidRPr="006865B3" w:rsidRDefault="00B4668F" w:rsidP="009B5315">
            <w:pPr>
              <w:spacing w:before="0"/>
              <w:rPr>
                <w:rFonts w:ascii="Arial Narrow" w:hAnsi="Arial Narrow"/>
              </w:rPr>
            </w:pPr>
            <w:r>
              <w:rPr>
                <w:rFonts w:ascii="Arial Narrow" w:hAnsi="Arial Narrow"/>
              </w:rPr>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rPr>
                <w:rFonts w:ascii="Arial Narrow" w:hAnsi="Arial Narrow"/>
              </w:rPr>
              <w:instrText xml:space="preserve"> ADDIN EN.CITE </w:instrText>
            </w:r>
            <w:r>
              <w:rPr>
                <w:rFonts w:ascii="Arial Narrow" w:hAnsi="Arial Narrow"/>
              </w:rPr>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(Simarro et al. 2019)</w:t>
            </w:r>
            <w:r>
              <w:rPr>
                <w:rFonts w:ascii="Arial Narrow" w:hAnsi="Arial Narrow"/>
              </w:rPr>
              <w:fldChar w:fldCharType="end"/>
            </w:r>
            <w:r w:rsidR="009B5315" w:rsidRPr="006865B3">
              <w:rPr>
                <w:rFonts w:ascii="Arial Narrow" w:hAnsi="Arial Narrow"/>
              </w:rPr>
              <w:t xml:space="preserve"> </w:t>
            </w:r>
          </w:p>
          <w:p w14:paraId="2F3FFE2E" w14:textId="238F2468" w:rsidR="009B5315" w:rsidRPr="006865B3" w:rsidRDefault="009B5315" w:rsidP="009B5315">
            <w:pPr>
              <w:spacing w:before="0"/>
              <w:rPr>
                <w:rFonts w:ascii="Arial Narrow" w:hAnsi="Arial Narrow" w:cs="Calibri"/>
                <w:color w:val="000000"/>
              </w:rPr>
            </w:pPr>
            <w:r w:rsidRPr="006865B3">
              <w:rPr>
                <w:rFonts w:ascii="Arial Narrow" w:hAnsi="Arial Narrow" w:cs="Calibri"/>
                <w:color w:val="000000"/>
              </w:rPr>
              <w:t>Spain</w:t>
            </w:r>
          </w:p>
        </w:tc>
        <w:tc>
          <w:tcPr>
            <w:tcW w:w="214" w:type="pct"/>
            <w:shd w:val="clear" w:color="auto" w:fill="auto"/>
          </w:tcPr>
          <w:p w14:paraId="4506EC50" w14:textId="77777777" w:rsidR="009B5315" w:rsidRPr="006865B3" w:rsidRDefault="009B5315" w:rsidP="009B5315">
            <w:pPr>
              <w:pStyle w:val="TableText"/>
              <w:rPr>
                <w:snapToGrid w:val="0"/>
              </w:rPr>
            </w:pPr>
            <w:r w:rsidRPr="006865B3">
              <w:rPr>
                <w:snapToGrid w:val="0"/>
              </w:rPr>
              <w:t>106</w:t>
            </w:r>
          </w:p>
        </w:tc>
        <w:tc>
          <w:tcPr>
            <w:tcW w:w="587" w:type="pct"/>
            <w:shd w:val="clear" w:color="auto" w:fill="auto"/>
          </w:tcPr>
          <w:p w14:paraId="35A480BB" w14:textId="77777777" w:rsidR="009B5315" w:rsidRPr="006865B3" w:rsidRDefault="009B5315" w:rsidP="009B5315">
            <w:pPr>
              <w:pStyle w:val="Tabletext0"/>
              <w:jc w:val="left"/>
            </w:pPr>
            <w:r w:rsidRPr="006865B3">
              <w:t>Cohort study (retrospective or prospective unknown)</w:t>
            </w:r>
          </w:p>
          <w:p w14:paraId="02EB68FE" w14:textId="77777777" w:rsidR="009B5315" w:rsidRPr="006865B3" w:rsidRDefault="009B5315" w:rsidP="009B5315">
            <w:pPr>
              <w:pStyle w:val="Tabletext0"/>
              <w:jc w:val="left"/>
            </w:pPr>
          </w:p>
          <w:p w14:paraId="1C2790B2" w14:textId="77777777" w:rsidR="009B5315" w:rsidRPr="006865B3" w:rsidRDefault="009B5315" w:rsidP="009B5315">
            <w:pPr>
              <w:pStyle w:val="Tabletext0"/>
              <w:jc w:val="left"/>
            </w:pPr>
            <w:r w:rsidRPr="006865B3">
              <w:t>Level III-1</w:t>
            </w:r>
          </w:p>
          <w:p w14:paraId="34E6CDE4" w14:textId="77777777" w:rsidR="009B5315" w:rsidRPr="006865B3" w:rsidRDefault="009B5315" w:rsidP="009B5315">
            <w:pPr>
              <w:pStyle w:val="Tabletext0"/>
              <w:jc w:val="left"/>
            </w:pPr>
          </w:p>
          <w:p w14:paraId="15756A6A" w14:textId="77777777" w:rsidR="009B5315" w:rsidRPr="006865B3" w:rsidRDefault="009B5315" w:rsidP="009B5315">
            <w:pPr>
              <w:pStyle w:val="TableText"/>
              <w:rPr>
                <w:snapToGrid w:val="0"/>
              </w:rPr>
            </w:pPr>
            <w:r w:rsidRPr="006865B3">
              <w:t>Moderate risk of bias</w:t>
            </w:r>
          </w:p>
        </w:tc>
        <w:tc>
          <w:tcPr>
            <w:tcW w:w="764" w:type="pct"/>
            <w:shd w:val="clear" w:color="auto" w:fill="auto"/>
          </w:tcPr>
          <w:p w14:paraId="54801C07" w14:textId="77777777" w:rsidR="009B5315" w:rsidRPr="006865B3" w:rsidRDefault="009B5315" w:rsidP="009B5315">
            <w:pPr>
              <w:pStyle w:val="TableText"/>
              <w:rPr>
                <w:snapToGrid w:val="0"/>
              </w:rPr>
            </w:pPr>
            <w:r w:rsidRPr="006865B3">
              <w:t>Advanced NSCLC patients diagnosed between 2015 and 2017</w:t>
            </w:r>
          </w:p>
        </w:tc>
        <w:tc>
          <w:tcPr>
            <w:tcW w:w="800" w:type="pct"/>
          </w:tcPr>
          <w:p w14:paraId="51C0293C" w14:textId="77777777" w:rsidR="009B5315" w:rsidRPr="006865B3" w:rsidRDefault="009B5315" w:rsidP="009B5315">
            <w:pPr>
              <w:pStyle w:val="TableText"/>
              <w:rPr>
                <w:snapToGrid w:val="0"/>
              </w:rPr>
            </w:pPr>
            <w:r w:rsidRPr="006865B3">
              <w:t>Thermofisher Oncomine solid tumour NGS</w:t>
            </w:r>
          </w:p>
        </w:tc>
        <w:tc>
          <w:tcPr>
            <w:tcW w:w="961" w:type="pct"/>
          </w:tcPr>
          <w:p w14:paraId="65C1E2AE" w14:textId="293D00C8" w:rsidR="009B5315" w:rsidRDefault="009B5315" w:rsidP="009B5315">
            <w:pPr>
              <w:pStyle w:val="TableText"/>
            </w:pPr>
            <w:r>
              <w:t>ddPCR</w:t>
            </w:r>
          </w:p>
          <w:p w14:paraId="53FAC3D4" w14:textId="05032C29" w:rsidR="009B5315" w:rsidRPr="006865B3" w:rsidRDefault="009B5315" w:rsidP="009B5315">
            <w:pPr>
              <w:pStyle w:val="TableText"/>
              <w:rPr>
                <w:snapToGrid w:val="0"/>
              </w:rPr>
            </w:pPr>
            <w:r w:rsidRPr="006865B3">
              <w:t xml:space="preserve">IHC and FISH for </w:t>
            </w:r>
            <w:r w:rsidRPr="00727BAE">
              <w:rPr>
                <w:i/>
              </w:rPr>
              <w:t>ALK</w:t>
            </w:r>
          </w:p>
        </w:tc>
        <w:tc>
          <w:tcPr>
            <w:tcW w:w="572" w:type="pct"/>
            <w:shd w:val="clear" w:color="auto" w:fill="auto"/>
          </w:tcPr>
          <w:p w14:paraId="16D1C1EC" w14:textId="77777777" w:rsidR="009B5315" w:rsidRPr="006865B3" w:rsidRDefault="009B5315" w:rsidP="009B5315">
            <w:pPr>
              <w:pStyle w:val="TableText"/>
              <w:rPr>
                <w:i/>
                <w:snapToGrid w:val="0"/>
              </w:rPr>
            </w:pPr>
            <w:r w:rsidRPr="006865B3">
              <w:rPr>
                <w:snapToGrid w:val="0"/>
              </w:rPr>
              <w:t xml:space="preserve">Concordance for </w:t>
            </w:r>
            <w:r w:rsidRPr="006865B3">
              <w:rPr>
                <w:i/>
                <w:snapToGrid w:val="0"/>
              </w:rPr>
              <w:t>EGFR</w:t>
            </w:r>
          </w:p>
          <w:p w14:paraId="56377E78" w14:textId="50272DDD" w:rsidR="009B5315" w:rsidRPr="006865B3" w:rsidRDefault="009B5315" w:rsidP="009B5315">
            <w:pPr>
              <w:pStyle w:val="TableText"/>
              <w:rPr>
                <w:snapToGrid w:val="0"/>
              </w:rPr>
            </w:pPr>
            <w:r w:rsidRPr="006865B3">
              <w:rPr>
                <w:snapToGrid w:val="0"/>
              </w:rPr>
              <w:t>Rate of concurrent variants</w:t>
            </w:r>
          </w:p>
        </w:tc>
        <w:tc>
          <w:tcPr>
            <w:tcW w:w="456" w:type="pct"/>
            <w:shd w:val="clear" w:color="auto" w:fill="auto"/>
          </w:tcPr>
          <w:p w14:paraId="29FBB55C" w14:textId="7BEC624F" w:rsidR="009B5315" w:rsidRPr="006865B3" w:rsidRDefault="00504E35" w:rsidP="009B5315">
            <w:pPr>
              <w:pStyle w:val="TableText"/>
              <w:rPr>
                <w:snapToGrid w:val="0"/>
              </w:rPr>
            </w:pPr>
            <w:r>
              <w:rPr>
                <w:snapToGrid w:val="0"/>
              </w:rPr>
              <w:t>Yes</w:t>
            </w:r>
          </w:p>
        </w:tc>
      </w:tr>
      <w:tr w:rsidR="009B5315" w:rsidRPr="006865B3" w14:paraId="5E93A15E" w14:textId="77777777" w:rsidTr="006865B3">
        <w:tc>
          <w:tcPr>
            <w:tcW w:w="646" w:type="pct"/>
            <w:shd w:val="clear" w:color="auto" w:fill="auto"/>
          </w:tcPr>
          <w:p w14:paraId="5C0989AB" w14:textId="00EE1E66" w:rsidR="009B5315" w:rsidRPr="006865B3" w:rsidRDefault="00B4668F" w:rsidP="009B5315">
            <w:pPr>
              <w:pStyle w:val="TableText"/>
            </w:pP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 </w:instrText>
            </w:r>
            <w:r>
              <w:fldChar w:fldCharType="begin">
                <w:fldData xml:space="preserve">PEVuZE5vdGU+PENpdGU+PEF1dGhvcj5TdGVlZ2hzPC9BdXRob3I+PFllYXI+MjAyMjwvWWVhcj48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</w:fldData>
              </w:fldChar>
            </w:r>
            <w:r>
              <w:instrText xml:space="preserve"> ADDIN EN.CITE.DATA </w:instrText>
            </w:r>
            <w:r>
              <w:fldChar w:fldCharType="end"/>
            </w:r>
            <w:r>
              <w:fldChar w:fldCharType="separate"/>
            </w:r>
            <w:r>
              <w:rPr>
                <w:noProof/>
              </w:rPr>
              <w:t>(Steeghs et al. 2022)</w:t>
            </w:r>
            <w:r>
              <w:fldChar w:fldCharType="end"/>
            </w:r>
          </w:p>
          <w:p w14:paraId="4B2FEB39" w14:textId="74F35822" w:rsidR="009B5315" w:rsidRPr="006865B3" w:rsidRDefault="009B5315" w:rsidP="009B5315">
            <w:pPr>
              <w:spacing w:before="0"/>
              <w:rPr>
                <w:rFonts w:ascii="Arial Narrow" w:hAnsi="Arial Narrow"/>
              </w:rPr>
            </w:pPr>
            <w:r w:rsidRPr="006865B3">
              <w:rPr>
                <w:rFonts w:ascii="Arial Narrow" w:hAnsi="Arial Narrow"/>
              </w:rPr>
              <w:t>The Netherlands</w:t>
            </w:r>
          </w:p>
        </w:tc>
        <w:tc>
          <w:tcPr>
            <w:tcW w:w="214" w:type="pct"/>
            <w:shd w:val="clear" w:color="auto" w:fill="auto"/>
          </w:tcPr>
          <w:p w14:paraId="085FB563" w14:textId="36890996" w:rsidR="009B5315" w:rsidRPr="006865B3" w:rsidRDefault="009B5315" w:rsidP="009B5315">
            <w:pPr>
              <w:pStyle w:val="TableText"/>
              <w:rPr>
                <w:snapToGrid w:val="0"/>
              </w:rPr>
            </w:pPr>
            <w:r w:rsidRPr="006865B3">
              <w:rPr>
                <w:snapToGrid w:val="0"/>
              </w:rPr>
              <w:t>4,040</w:t>
            </w:r>
          </w:p>
        </w:tc>
        <w:tc>
          <w:tcPr>
            <w:tcW w:w="587" w:type="pct"/>
            <w:shd w:val="clear" w:color="auto" w:fill="auto"/>
          </w:tcPr>
          <w:p w14:paraId="4241956F" w14:textId="77777777" w:rsidR="009B5315" w:rsidRPr="006865B3" w:rsidRDefault="009B5315" w:rsidP="009B5315">
            <w:pPr>
              <w:pStyle w:val="TableText"/>
            </w:pPr>
            <w:r w:rsidRPr="006865B3">
              <w:t>Retrospective cohort study (between patient)</w:t>
            </w:r>
          </w:p>
          <w:p w14:paraId="690EAA46" w14:textId="77777777" w:rsidR="009B5315" w:rsidRPr="006865B3" w:rsidRDefault="009B5315" w:rsidP="009B5315">
            <w:pPr>
              <w:pStyle w:val="TableText"/>
            </w:pPr>
          </w:p>
          <w:p w14:paraId="72A72F4B" w14:textId="77777777" w:rsidR="009B5315" w:rsidRPr="006865B3" w:rsidRDefault="009B5315" w:rsidP="009B5315">
            <w:pPr>
              <w:pStyle w:val="TableText"/>
            </w:pPr>
            <w:r w:rsidRPr="006865B3">
              <w:t>Level III-2</w:t>
            </w:r>
          </w:p>
          <w:p w14:paraId="12CE57B8" w14:textId="77777777" w:rsidR="009B5315" w:rsidRPr="006865B3" w:rsidRDefault="009B5315" w:rsidP="009B5315">
            <w:pPr>
              <w:pStyle w:val="TableText"/>
            </w:pPr>
          </w:p>
          <w:p w14:paraId="5ABE5BF9" w14:textId="1107F0E8" w:rsidR="009B5315" w:rsidRPr="006865B3" w:rsidRDefault="009B5315" w:rsidP="009B5315">
            <w:pPr>
              <w:pStyle w:val="Tabletext0"/>
              <w:jc w:val="left"/>
            </w:pPr>
            <w:r w:rsidRPr="006865B3">
              <w:t>Low to moderate risk of bias</w:t>
            </w:r>
          </w:p>
        </w:tc>
        <w:tc>
          <w:tcPr>
            <w:tcW w:w="764" w:type="pct"/>
            <w:shd w:val="clear" w:color="auto" w:fill="auto"/>
          </w:tcPr>
          <w:p w14:paraId="53DB4476" w14:textId="78B1BD8F" w:rsidR="009B5315" w:rsidRPr="006865B3" w:rsidRDefault="009B5315" w:rsidP="009B5315">
            <w:pPr>
              <w:pStyle w:val="TableText"/>
            </w:pPr>
            <w:r w:rsidRPr="006865B3">
              <w:t>Stage IV NSCLC patients, success rates provided for adenocarcinoma patients</w:t>
            </w:r>
          </w:p>
        </w:tc>
        <w:tc>
          <w:tcPr>
            <w:tcW w:w="800" w:type="pct"/>
          </w:tcPr>
          <w:p w14:paraId="1DDE3704" w14:textId="55C20983" w:rsidR="009B5315" w:rsidRPr="006865B3" w:rsidRDefault="009B5315" w:rsidP="009B5315">
            <w:pPr>
              <w:pStyle w:val="TableText"/>
            </w:pPr>
            <w:r w:rsidRPr="006865B3">
              <w:rPr>
                <w:snapToGrid w:val="0"/>
              </w:rPr>
              <w:t>NGS gene panels</w:t>
            </w:r>
          </w:p>
        </w:tc>
        <w:tc>
          <w:tcPr>
            <w:tcW w:w="961" w:type="pct"/>
          </w:tcPr>
          <w:p w14:paraId="70F14740" w14:textId="0FF3DC75" w:rsidR="009B5315" w:rsidRPr="006865B3" w:rsidRDefault="009B5315" w:rsidP="009B5315">
            <w:pPr>
              <w:pStyle w:val="TableText"/>
            </w:pPr>
            <w:r w:rsidRPr="006865B3">
              <w:t>Predominantly traditional single gene tests (e.g. Sanger sequencing). High sensitive single-gene tests (i.e. ddPCR) only used in &lt;0.5% of analyses)</w:t>
            </w:r>
          </w:p>
        </w:tc>
        <w:tc>
          <w:tcPr>
            <w:tcW w:w="572" w:type="pct"/>
            <w:shd w:val="clear" w:color="auto" w:fill="auto"/>
          </w:tcPr>
          <w:p w14:paraId="195D1D45" w14:textId="77777777" w:rsidR="009B5315" w:rsidRPr="006865B3" w:rsidRDefault="009B5315" w:rsidP="009B5315">
            <w:pPr>
              <w:pStyle w:val="TableText"/>
              <w:rPr>
                <w:snapToGrid w:val="0"/>
              </w:rPr>
            </w:pPr>
            <w:r w:rsidRPr="006865B3">
              <w:rPr>
                <w:snapToGrid w:val="0"/>
              </w:rPr>
              <w:t>Test success rate</w:t>
            </w:r>
          </w:p>
          <w:p w14:paraId="70EF5D5A" w14:textId="77777777" w:rsidR="009B5315" w:rsidRPr="006865B3" w:rsidRDefault="009B5315" w:rsidP="009B5315">
            <w:pPr>
              <w:pStyle w:val="TableText"/>
              <w:rPr>
                <w:snapToGrid w:val="0"/>
              </w:rPr>
            </w:pPr>
            <w:r w:rsidRPr="006865B3">
              <w:rPr>
                <w:snapToGrid w:val="0"/>
              </w:rPr>
              <w:t xml:space="preserve">Comparative yield </w:t>
            </w:r>
          </w:p>
          <w:p w14:paraId="7347684B" w14:textId="1E79B376" w:rsidR="009B5315" w:rsidRPr="006865B3" w:rsidRDefault="009B5315" w:rsidP="009B5315">
            <w:pPr>
              <w:pStyle w:val="TableText"/>
              <w:rPr>
                <w:snapToGrid w:val="0"/>
              </w:rPr>
            </w:pPr>
            <w:r w:rsidRPr="006865B3">
              <w:rPr>
                <w:snapToGrid w:val="0"/>
              </w:rPr>
              <w:t>Turnaround time</w:t>
            </w:r>
          </w:p>
        </w:tc>
        <w:tc>
          <w:tcPr>
            <w:tcW w:w="456" w:type="pct"/>
            <w:shd w:val="clear" w:color="auto" w:fill="auto"/>
          </w:tcPr>
          <w:p w14:paraId="157903CE" w14:textId="27459FAC" w:rsidR="009B5315" w:rsidRPr="006865B3" w:rsidRDefault="009B5315" w:rsidP="009B5315">
            <w:pPr>
              <w:pStyle w:val="TableText"/>
              <w:rPr>
                <w:snapToGrid w:val="0"/>
              </w:rPr>
            </w:pPr>
            <w:r w:rsidRPr="006865B3">
              <w:rPr>
                <w:snapToGrid w:val="0"/>
              </w:rPr>
              <w:t>Yes</w:t>
            </w:r>
          </w:p>
        </w:tc>
      </w:tr>
      <w:tr w:rsidR="009B5315" w:rsidRPr="006865B3" w14:paraId="35EC5B1B" w14:textId="77777777" w:rsidTr="006865B3">
        <w:tc>
          <w:tcPr>
            <w:tcW w:w="646" w:type="pct"/>
            <w:shd w:val="clear" w:color="auto" w:fill="auto"/>
          </w:tcPr>
          <w:p w14:paraId="3C1EA832" w14:textId="0BD0DE38" w:rsidR="009B5315" w:rsidRPr="006865B3" w:rsidRDefault="00B4668F" w:rsidP="009B5315">
            <w:pPr>
              <w:spacing w:before="0"/>
              <w:rPr>
                <w:rFonts w:ascii="Arial Narrow" w:hAnsi="Arial Narrow"/>
              </w:rPr>
            </w:pPr>
            <w:r>
              <w:rPr>
                <w:rFonts w:ascii="Arial Narrow" w:hAnsi="Arial Narrow"/>
              </w:rPr>
              <w:fldChar w:fldCharType="begin">
                <w:fldData xml:space="preserve">PEVuZE5vdGU+PENpdGU+PEF1dGhvcj5UYWNob248L0F1dGhvcj48WWVhcj4yMDE5PC9ZZWFyPjxS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cmQ+PC9DaXRlPjwvRW5kTm90ZT4A
</w:fldData>
              </w:fldChar>
            </w:r>
            <w:r>
              <w:rPr>
                <w:rFonts w:ascii="Arial Narrow" w:hAnsi="Arial Narrow"/>
              </w:rPr>
              <w:instrText xml:space="preserve"> ADDIN EN.CITE </w:instrText>
            </w:r>
            <w:r>
              <w:rPr>
                <w:rFonts w:ascii="Arial Narrow" w:hAnsi="Arial Narrow"/>
              </w:rPr>
              <w:fldChar w:fldCharType="begin">
                <w:fldData xml:space="preserve">PEVuZE5vdGU+PENpdGU+PEF1dGhvcj5UYWNob248L0F1dGhvcj48WWVhcj4yMDE5PC9ZZWFyPjxS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(Tachon et al. 2019)</w:t>
            </w:r>
            <w:r>
              <w:rPr>
                <w:rFonts w:ascii="Arial Narrow" w:hAnsi="Arial Narrow"/>
              </w:rPr>
              <w:fldChar w:fldCharType="end"/>
            </w:r>
          </w:p>
          <w:p w14:paraId="7F2762EC" w14:textId="77777777" w:rsidR="009B5315" w:rsidRPr="006865B3" w:rsidRDefault="009B5315" w:rsidP="009B5315">
            <w:pPr>
              <w:spacing w:before="0"/>
              <w:rPr>
                <w:rFonts w:ascii="Arial Narrow" w:hAnsi="Arial Narrow" w:cs="Calibri"/>
                <w:color w:val="000000"/>
              </w:rPr>
            </w:pPr>
            <w:r w:rsidRPr="006865B3">
              <w:rPr>
                <w:rFonts w:ascii="Arial Narrow" w:hAnsi="Arial Narrow"/>
              </w:rPr>
              <w:t>France</w:t>
            </w:r>
          </w:p>
        </w:tc>
        <w:tc>
          <w:tcPr>
            <w:tcW w:w="214" w:type="pct"/>
            <w:shd w:val="clear" w:color="auto" w:fill="auto"/>
          </w:tcPr>
          <w:p w14:paraId="250AF2FE" w14:textId="77777777" w:rsidR="009B5315" w:rsidRPr="006865B3" w:rsidRDefault="009B5315" w:rsidP="009B5315">
            <w:pPr>
              <w:pStyle w:val="TableText"/>
              <w:rPr>
                <w:snapToGrid w:val="0"/>
              </w:rPr>
            </w:pPr>
            <w:r w:rsidRPr="006865B3">
              <w:rPr>
                <w:snapToGrid w:val="0"/>
              </w:rPr>
              <w:t>37</w:t>
            </w:r>
          </w:p>
        </w:tc>
        <w:tc>
          <w:tcPr>
            <w:tcW w:w="587" w:type="pct"/>
            <w:shd w:val="clear" w:color="auto" w:fill="auto"/>
          </w:tcPr>
          <w:p w14:paraId="3018CC79" w14:textId="77777777" w:rsidR="009B5315" w:rsidRPr="006865B3" w:rsidRDefault="009B5315" w:rsidP="009B5315">
            <w:pPr>
              <w:pStyle w:val="Tabletext0"/>
              <w:jc w:val="left"/>
            </w:pPr>
            <w:r w:rsidRPr="006865B3">
              <w:t>Retrospective cohort study</w:t>
            </w:r>
          </w:p>
          <w:p w14:paraId="4268FB66" w14:textId="77777777" w:rsidR="009B5315" w:rsidRPr="006865B3" w:rsidRDefault="009B5315" w:rsidP="009B5315">
            <w:pPr>
              <w:pStyle w:val="Tabletext0"/>
              <w:jc w:val="left"/>
            </w:pPr>
          </w:p>
          <w:p w14:paraId="50814FCC" w14:textId="77777777" w:rsidR="009B5315" w:rsidRPr="006865B3" w:rsidRDefault="009B5315" w:rsidP="009B5315">
            <w:pPr>
              <w:pStyle w:val="Tabletext0"/>
              <w:jc w:val="left"/>
            </w:pPr>
            <w:r w:rsidRPr="006865B3">
              <w:t>Level III-2</w:t>
            </w:r>
          </w:p>
          <w:p w14:paraId="0BDF137D" w14:textId="77777777" w:rsidR="009B5315" w:rsidRPr="006865B3" w:rsidRDefault="009B5315" w:rsidP="009B5315">
            <w:pPr>
              <w:pStyle w:val="Tabletext0"/>
              <w:jc w:val="left"/>
            </w:pPr>
          </w:p>
          <w:p w14:paraId="07FB55BD" w14:textId="77777777" w:rsidR="009B5315" w:rsidRPr="006865B3" w:rsidRDefault="009B5315" w:rsidP="009B5315">
            <w:pPr>
              <w:pStyle w:val="TableText"/>
              <w:rPr>
                <w:snapToGrid w:val="0"/>
              </w:rPr>
            </w:pPr>
            <w:r w:rsidRPr="006865B3">
              <w:t>Low to Moderate risk of bias</w:t>
            </w:r>
          </w:p>
        </w:tc>
        <w:tc>
          <w:tcPr>
            <w:tcW w:w="764" w:type="pct"/>
            <w:shd w:val="clear" w:color="auto" w:fill="auto"/>
          </w:tcPr>
          <w:p w14:paraId="5014F765" w14:textId="77777777" w:rsidR="009B5315" w:rsidRPr="006865B3" w:rsidRDefault="009B5315" w:rsidP="009B5315">
            <w:pPr>
              <w:pStyle w:val="TableText"/>
              <w:rPr>
                <w:snapToGrid w:val="0"/>
              </w:rPr>
            </w:pPr>
            <w:r w:rsidRPr="006865B3">
              <w:t>NSCLC samples that underwent routine molecular testing</w:t>
            </w:r>
          </w:p>
        </w:tc>
        <w:tc>
          <w:tcPr>
            <w:tcW w:w="800" w:type="pct"/>
          </w:tcPr>
          <w:p w14:paraId="4F63BF53" w14:textId="77777777" w:rsidR="009B5315" w:rsidRPr="006865B3" w:rsidRDefault="009B5315" w:rsidP="009B5315">
            <w:pPr>
              <w:pStyle w:val="TableText"/>
              <w:rPr>
                <w:snapToGrid w:val="0"/>
              </w:rPr>
            </w:pPr>
            <w:r w:rsidRPr="006865B3">
              <w:t>Archer fusionplex and Qiagen human lung cancer panel</w:t>
            </w:r>
          </w:p>
        </w:tc>
        <w:tc>
          <w:tcPr>
            <w:tcW w:w="961" w:type="pct"/>
          </w:tcPr>
          <w:p w14:paraId="51BAC7C5" w14:textId="77777777" w:rsidR="009B5315" w:rsidRDefault="009B5315" w:rsidP="009B5315">
            <w:pPr>
              <w:pStyle w:val="TableText"/>
              <w:rPr>
                <w:i/>
              </w:rPr>
            </w:pPr>
            <w:r w:rsidRPr="006865B3">
              <w:t>IHC and FISH for</w:t>
            </w:r>
            <w:r w:rsidRPr="00727BAE">
              <w:rPr>
                <w:i/>
              </w:rPr>
              <w:t xml:space="preserve"> </w:t>
            </w:r>
            <w:r w:rsidRPr="000E3F6B">
              <w:rPr>
                <w:iCs/>
              </w:rPr>
              <w:t>ALK</w:t>
            </w:r>
            <w:r w:rsidRPr="006865B3">
              <w:t xml:space="preserve"> and </w:t>
            </w:r>
            <w:r w:rsidRPr="00727BAE">
              <w:rPr>
                <w:i/>
              </w:rPr>
              <w:t>ROS1</w:t>
            </w:r>
          </w:p>
          <w:p w14:paraId="40AFA0A1" w14:textId="4E93CC93" w:rsidR="000E3F6B" w:rsidRPr="000E3F6B" w:rsidRDefault="000E3F6B" w:rsidP="009B5315">
            <w:pPr>
              <w:pStyle w:val="TableText"/>
              <w:rPr>
                <w:iCs/>
                <w:snapToGrid w:val="0"/>
              </w:rPr>
            </w:pPr>
            <w:r w:rsidRPr="005A46D4">
              <w:t>ALK positivity defined as ≥15% of tumor cells showing signal or split red and green signals</w:t>
            </w:r>
            <w:r>
              <w:t xml:space="preserve"> </w:t>
            </w:r>
          </w:p>
        </w:tc>
        <w:tc>
          <w:tcPr>
            <w:tcW w:w="572" w:type="pct"/>
            <w:shd w:val="clear" w:color="auto" w:fill="auto"/>
          </w:tcPr>
          <w:p w14:paraId="2CB21349" w14:textId="77777777" w:rsidR="009B5315" w:rsidRPr="006865B3" w:rsidRDefault="009B5315" w:rsidP="009B5315">
            <w:pPr>
              <w:pStyle w:val="TableText"/>
              <w:rPr>
                <w:snapToGrid w:val="0"/>
              </w:rPr>
            </w:pPr>
            <w:r w:rsidRPr="006865B3">
              <w:rPr>
                <w:snapToGrid w:val="0"/>
              </w:rPr>
              <w:t xml:space="preserve">Concordance for </w:t>
            </w:r>
            <w:r w:rsidRPr="00727BAE">
              <w:rPr>
                <w:i/>
                <w:snapToGrid w:val="0"/>
              </w:rPr>
              <w:t>ALK</w:t>
            </w:r>
          </w:p>
        </w:tc>
        <w:tc>
          <w:tcPr>
            <w:tcW w:w="456" w:type="pct"/>
            <w:shd w:val="clear" w:color="auto" w:fill="auto"/>
          </w:tcPr>
          <w:p w14:paraId="469AA658" w14:textId="7D52F8B6" w:rsidR="009B5315" w:rsidRPr="006865B3" w:rsidRDefault="00504E35" w:rsidP="009B5315">
            <w:pPr>
              <w:pStyle w:val="TableText"/>
              <w:rPr>
                <w:snapToGrid w:val="0"/>
              </w:rPr>
            </w:pPr>
            <w:r>
              <w:rPr>
                <w:snapToGrid w:val="0"/>
              </w:rPr>
              <w:t>Yes</w:t>
            </w:r>
          </w:p>
        </w:tc>
      </w:tr>
      <w:tr w:rsidR="009B5315" w:rsidRPr="006865B3" w14:paraId="5B57CEB3" w14:textId="77777777" w:rsidTr="006865B3">
        <w:tc>
          <w:tcPr>
            <w:tcW w:w="646" w:type="pct"/>
            <w:shd w:val="clear" w:color="auto" w:fill="auto"/>
          </w:tcPr>
          <w:p w14:paraId="476FEC2E" w14:textId="0C04195F" w:rsidR="009B5315" w:rsidRPr="006865B3" w:rsidRDefault="00B4668F" w:rsidP="009B5315">
            <w:pPr>
              <w:pStyle w:val="TableText"/>
            </w:pP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 </w:instrText>
            </w: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EN.CITE.DATA </w:instrText>
            </w:r>
            <w:r>
              <w:fldChar w:fldCharType="end"/>
            </w:r>
            <w:r>
              <w:fldChar w:fldCharType="separate"/>
            </w:r>
            <w:r>
              <w:rPr>
                <w:noProof/>
              </w:rPr>
              <w:t>(Tan et al. 2020)</w:t>
            </w:r>
            <w:r>
              <w:fldChar w:fldCharType="end"/>
            </w:r>
          </w:p>
          <w:p w14:paraId="2BC48498" w14:textId="77777777" w:rsidR="009B5315" w:rsidRPr="006865B3" w:rsidRDefault="009B5315" w:rsidP="009B5315">
            <w:pPr>
              <w:pStyle w:val="TableText"/>
              <w:rPr>
                <w:snapToGrid w:val="0"/>
              </w:rPr>
            </w:pPr>
            <w:r w:rsidRPr="006865B3">
              <w:t>Singapore</w:t>
            </w:r>
          </w:p>
        </w:tc>
        <w:tc>
          <w:tcPr>
            <w:tcW w:w="214" w:type="pct"/>
            <w:shd w:val="clear" w:color="auto" w:fill="auto"/>
          </w:tcPr>
          <w:p w14:paraId="2D1F7391" w14:textId="77777777" w:rsidR="009B5315" w:rsidRPr="006865B3" w:rsidRDefault="009B5315" w:rsidP="009B5315">
            <w:pPr>
              <w:pStyle w:val="TableText"/>
              <w:rPr>
                <w:snapToGrid w:val="0"/>
              </w:rPr>
            </w:pPr>
            <w:r w:rsidRPr="006865B3">
              <w:rPr>
                <w:snapToGrid w:val="0"/>
              </w:rPr>
              <w:t>174</w:t>
            </w:r>
          </w:p>
        </w:tc>
        <w:tc>
          <w:tcPr>
            <w:tcW w:w="587" w:type="pct"/>
            <w:shd w:val="clear" w:color="auto" w:fill="auto"/>
          </w:tcPr>
          <w:p w14:paraId="2AA14BEE" w14:textId="77777777" w:rsidR="009B5315" w:rsidRPr="006865B3" w:rsidRDefault="009B5315" w:rsidP="009B5315">
            <w:pPr>
              <w:pStyle w:val="Tabletext0"/>
              <w:jc w:val="left"/>
            </w:pPr>
            <w:r w:rsidRPr="006865B3">
              <w:t>Retrospective cohort study</w:t>
            </w:r>
          </w:p>
          <w:p w14:paraId="08EAC387" w14:textId="77777777" w:rsidR="009B5315" w:rsidRPr="006865B3" w:rsidRDefault="009B5315" w:rsidP="009B5315">
            <w:pPr>
              <w:pStyle w:val="Tabletext0"/>
              <w:jc w:val="left"/>
            </w:pPr>
          </w:p>
          <w:p w14:paraId="315BD242" w14:textId="77777777" w:rsidR="009B5315" w:rsidRPr="006865B3" w:rsidRDefault="009B5315" w:rsidP="009B5315">
            <w:pPr>
              <w:pStyle w:val="Tabletext0"/>
              <w:jc w:val="left"/>
            </w:pPr>
            <w:r w:rsidRPr="006865B3">
              <w:t>Level III-2</w:t>
            </w:r>
          </w:p>
          <w:p w14:paraId="2A9DFB01" w14:textId="77777777" w:rsidR="009B5315" w:rsidRPr="006865B3" w:rsidRDefault="009B5315" w:rsidP="009B5315">
            <w:pPr>
              <w:pStyle w:val="Tabletext0"/>
              <w:jc w:val="left"/>
            </w:pPr>
          </w:p>
          <w:p w14:paraId="09B324B7" w14:textId="77777777" w:rsidR="009B5315" w:rsidRPr="006865B3" w:rsidRDefault="009B5315" w:rsidP="009B5315">
            <w:pPr>
              <w:pStyle w:val="TableText"/>
              <w:rPr>
                <w:snapToGrid w:val="0"/>
              </w:rPr>
            </w:pPr>
            <w:r w:rsidRPr="006865B3">
              <w:t>Low risk of bias</w:t>
            </w:r>
          </w:p>
        </w:tc>
        <w:tc>
          <w:tcPr>
            <w:tcW w:w="764" w:type="pct"/>
            <w:shd w:val="clear" w:color="auto" w:fill="auto"/>
          </w:tcPr>
          <w:p w14:paraId="389441AB" w14:textId="77777777" w:rsidR="009B5315" w:rsidRPr="006865B3" w:rsidRDefault="009B5315" w:rsidP="009B5315">
            <w:pPr>
              <w:pStyle w:val="TableText"/>
              <w:rPr>
                <w:snapToGrid w:val="0"/>
              </w:rPr>
            </w:pPr>
            <w:r w:rsidRPr="006865B3">
              <w:t>Patients with newly diagnosed NSLC that underwent routine molecular testing.</w:t>
            </w:r>
          </w:p>
        </w:tc>
        <w:tc>
          <w:tcPr>
            <w:tcW w:w="800" w:type="pct"/>
          </w:tcPr>
          <w:p w14:paraId="2AA81803" w14:textId="77777777" w:rsidR="009B5315" w:rsidRPr="006865B3" w:rsidRDefault="009B5315" w:rsidP="009B5315">
            <w:pPr>
              <w:pStyle w:val="TableText"/>
              <w:rPr>
                <w:snapToGrid w:val="0"/>
              </w:rPr>
            </w:pPr>
            <w:r w:rsidRPr="006865B3">
              <w:t xml:space="preserve">NGS DNA panel for 29 selected genes and a RNA fusion panel for </w:t>
            </w:r>
            <w:r w:rsidRPr="00727BAE">
              <w:rPr>
                <w:i/>
              </w:rPr>
              <w:t xml:space="preserve">ALK, ROS1, </w:t>
            </w:r>
            <w:r w:rsidRPr="00727BAE">
              <w:t>and</w:t>
            </w:r>
            <w:r w:rsidRPr="00727BAE">
              <w:rPr>
                <w:i/>
              </w:rPr>
              <w:t xml:space="preserve"> RET.</w:t>
            </w:r>
          </w:p>
        </w:tc>
        <w:tc>
          <w:tcPr>
            <w:tcW w:w="961" w:type="pct"/>
          </w:tcPr>
          <w:p w14:paraId="4140A4D2" w14:textId="77777777" w:rsidR="009B5315" w:rsidRDefault="009B5315" w:rsidP="009B5315">
            <w:pPr>
              <w:pStyle w:val="TableText"/>
              <w:rPr>
                <w:i/>
              </w:rPr>
            </w:pPr>
            <w:r w:rsidRPr="006865B3">
              <w:t>Standard mole</w:t>
            </w:r>
            <w:r>
              <w:t>cular testing of RT-PCR for</w:t>
            </w:r>
            <w:r w:rsidRPr="00727BAE">
              <w:rPr>
                <w:i/>
              </w:rPr>
              <w:t xml:space="preserve"> EGFR </w:t>
            </w:r>
            <w:r w:rsidRPr="006865B3">
              <w:t xml:space="preserve">and FISH for </w:t>
            </w:r>
            <w:r w:rsidRPr="00727BAE">
              <w:rPr>
                <w:i/>
              </w:rPr>
              <w:t xml:space="preserve">ALK, ROS1, MET, </w:t>
            </w:r>
            <w:r w:rsidRPr="00727BAE">
              <w:t>and</w:t>
            </w:r>
            <w:r w:rsidRPr="00727BAE">
              <w:rPr>
                <w:i/>
              </w:rPr>
              <w:t xml:space="preserve"> RET</w:t>
            </w:r>
          </w:p>
          <w:p w14:paraId="0DADEB3B" w14:textId="0E0126FA" w:rsidR="00022D00" w:rsidRPr="00022D00" w:rsidRDefault="00022D00" w:rsidP="009B5315">
            <w:pPr>
              <w:pStyle w:val="TableText"/>
              <w:rPr>
                <w:snapToGrid w:val="0"/>
              </w:rPr>
            </w:pPr>
            <w:r>
              <w:t>Threshold for positivity on FISH ≥15%</w:t>
            </w:r>
          </w:p>
        </w:tc>
        <w:tc>
          <w:tcPr>
            <w:tcW w:w="572" w:type="pct"/>
            <w:shd w:val="clear" w:color="auto" w:fill="auto"/>
          </w:tcPr>
          <w:p w14:paraId="5ADE3F80" w14:textId="77777777" w:rsidR="009B5315" w:rsidRPr="006865B3" w:rsidRDefault="009B5315" w:rsidP="009B5315">
            <w:pPr>
              <w:pStyle w:val="TableText"/>
              <w:rPr>
                <w:snapToGrid w:val="0"/>
              </w:rPr>
            </w:pPr>
            <w:r w:rsidRPr="006865B3">
              <w:rPr>
                <w:snapToGrid w:val="0"/>
              </w:rPr>
              <w:t xml:space="preserve">Concordance for </w:t>
            </w:r>
            <w:r w:rsidRPr="00727BAE">
              <w:rPr>
                <w:i/>
                <w:snapToGrid w:val="0"/>
              </w:rPr>
              <w:t>ALK, ROS1</w:t>
            </w:r>
          </w:p>
          <w:p w14:paraId="78C75B22" w14:textId="77777777" w:rsidR="009B5315" w:rsidRPr="006865B3" w:rsidRDefault="009B5315" w:rsidP="009B5315">
            <w:pPr>
              <w:pStyle w:val="TableText"/>
              <w:rPr>
                <w:snapToGrid w:val="0"/>
              </w:rPr>
            </w:pPr>
            <w:r w:rsidRPr="006865B3">
              <w:rPr>
                <w:snapToGrid w:val="0"/>
              </w:rPr>
              <w:t>Rate of concurrent variants</w:t>
            </w:r>
          </w:p>
          <w:p w14:paraId="6425FC7D" w14:textId="396E6AC2" w:rsidR="009B5315" w:rsidRPr="006865B3" w:rsidRDefault="009B5315" w:rsidP="009B5315">
            <w:pPr>
              <w:pStyle w:val="TableText"/>
              <w:rPr>
                <w:snapToGrid w:val="0"/>
              </w:rPr>
            </w:pPr>
            <w:r w:rsidRPr="006865B3">
              <w:rPr>
                <w:snapToGrid w:val="0"/>
              </w:rPr>
              <w:t>Turnaround time</w:t>
            </w:r>
          </w:p>
        </w:tc>
        <w:tc>
          <w:tcPr>
            <w:tcW w:w="456" w:type="pct"/>
            <w:shd w:val="clear" w:color="auto" w:fill="auto"/>
          </w:tcPr>
          <w:p w14:paraId="2054413F" w14:textId="046BCA30" w:rsidR="009B5315" w:rsidRPr="006865B3" w:rsidRDefault="00504E35" w:rsidP="009B5315">
            <w:pPr>
              <w:pStyle w:val="TableText"/>
              <w:rPr>
                <w:snapToGrid w:val="0"/>
              </w:rPr>
            </w:pPr>
            <w:r>
              <w:rPr>
                <w:snapToGrid w:val="0"/>
              </w:rPr>
              <w:t>Yes</w:t>
            </w:r>
          </w:p>
        </w:tc>
      </w:tr>
      <w:tr w:rsidR="009B5315" w:rsidRPr="006865B3" w14:paraId="69E45EBA" w14:textId="77777777" w:rsidTr="006865B3">
        <w:tc>
          <w:tcPr>
            <w:tcW w:w="646" w:type="pct"/>
            <w:shd w:val="clear" w:color="auto" w:fill="auto"/>
          </w:tcPr>
          <w:p w14:paraId="52A18770" w14:textId="035EF2DD" w:rsidR="009B5315" w:rsidRPr="006865B3" w:rsidRDefault="00B4668F" w:rsidP="009B5315">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&lt;EndNote&gt;&lt;Cite&gt;&lt;Author&gt;Vendrell&lt;/Author&gt;&lt;Year&gt;2017&lt;/Year&gt;&lt;RecNum&gt;176&lt;/RecNum&gt;&lt;IDText&gt;12510-12510&lt;/IDText&gt;&lt;DisplayText&gt;(Vendrell et al. 2017)&lt;/DisplayText&gt;&lt;record&gt;&lt;rec-number&gt;176&lt;/rec-number&gt;&lt;foreign-keys&gt;&lt;key app="EN" db-id="0tprsse9cpp5r3ea5dz5p0xw2pfwvwxpa5a5" timestamp="1655264279"&gt;176&lt;/key&gt;&lt;/foreign-keys&gt;&lt;ref-type name="Journal Article"&gt;17&lt;/ref-type&gt;&lt;contributors&gt;&lt;authors&gt;&lt;author&gt;Vendrell, Julie A.&lt;/author&gt;&lt;author&gt;Taviaux, Sylvie&lt;/author&gt;&lt;author&gt;Béganton, Beno </w:instrText>
            </w:r>
            <w:r>
              <w:rPr>
                <w:rFonts w:ascii="Cambria Math" w:hAnsi="Cambria Math" w:cs="Cambria Math"/>
              </w:rPr>
              <w:instrText>ⁱ</w:instrText>
            </w:r>
            <w:r>
              <w:rPr>
                <w:rFonts w:ascii="Arial Narrow" w:hAnsi="Arial Narrow"/>
              </w:rPr>
              <w:instrText>t&lt;/author&gt;&lt;author&gt;Godreuil, Sylvain&lt;/author&gt;&lt;author&gt;Audran, Patricia&lt;/author&gt;&lt;author&gt;Grand, David&lt;/author&gt;&lt;author&gt;Clermont, Estelle&lt;/author&gt;&lt;author&gt;Serre, Isabelle&lt;/author&gt;&lt;author&gt;Szablewski, Vanessa&lt;/author&gt;&lt;author&gt;Coopman, Peter&lt;/author&gt;&lt;author&gt;Mazieres, Julien&lt;/author&gt;&lt;author&gt;Costes, Valérie&lt;/author&gt;&lt;author&gt;Pujol, Jean-Louis&lt;/author&gt;&lt;author&gt;Brousset, Pierre&lt;/author&gt;&lt;author&gt;Rouquette, Isabelle&lt;/author&gt;&lt;author&gt;Solassol, Jérôme&lt;/author&gt;&lt;/authors&gt;&lt;/contributors&gt;&lt;titles&gt;&lt;title&gt;Detection of known and novel ALK fusion transcripts in lung cancer patients using next-generation sequencing approaches&lt;/title&gt;&lt;secondary-title&gt;Scientific reports&lt;/secondary-title&gt;&lt;/titles&gt;&lt;periodical&gt;&lt;full-title&gt;Scientific reports&lt;/full-title&gt;&lt;/periodical&gt;&lt;pages&gt;12510-12510&lt;/pages&gt;&lt;volume&gt;7&lt;/volume&gt;&lt;number&gt;1&lt;/number&gt;&lt;dates&gt;&lt;year&gt;2017&lt;/year&gt;&lt;/dates&gt;&lt;urls&gt;&lt;related-urls&gt;&lt;url&gt;https://www.ncbi.nlm.nih.gov/pmc/articles/PMC5624911/pdf/41598_2017_Article_12679.pdf&lt;/url&gt;&lt;/related-urls&gt;&lt;/urls&gt;&lt;electronic-resource-num&gt;10.1038/s41598-017-12679-8&lt;/electronic-resource-num&gt;&lt;research-notes&gt;P - comparator IHC and FISH &lt;/research-notes&gt;&lt;/record&gt;&lt;/Cite&gt;&lt;/EndNote&gt;</w:instrText>
            </w:r>
            <w:r>
              <w:rPr>
                <w:rFonts w:ascii="Arial Narrow" w:hAnsi="Arial Narrow"/>
              </w:rPr>
              <w:fldChar w:fldCharType="separate"/>
            </w:r>
            <w:r>
              <w:rPr>
                <w:rFonts w:ascii="Arial Narrow" w:hAnsi="Arial Narrow"/>
                <w:noProof/>
              </w:rPr>
              <w:t>(Vendrell et al. 2017)</w:t>
            </w:r>
            <w:r>
              <w:rPr>
                <w:rFonts w:ascii="Arial Narrow" w:hAnsi="Arial Narrow"/>
              </w:rPr>
              <w:fldChar w:fldCharType="end"/>
            </w:r>
          </w:p>
          <w:p w14:paraId="19D5A86F" w14:textId="77777777" w:rsidR="009B5315" w:rsidRPr="006865B3" w:rsidRDefault="009B5315" w:rsidP="009B5315">
            <w:pPr>
              <w:spacing w:before="0"/>
              <w:rPr>
                <w:rFonts w:ascii="Arial Narrow" w:hAnsi="Arial Narrow" w:cs="Calibri"/>
                <w:color w:val="000000"/>
              </w:rPr>
            </w:pPr>
            <w:r w:rsidRPr="006865B3">
              <w:rPr>
                <w:rFonts w:ascii="Arial Narrow" w:hAnsi="Arial Narrow"/>
              </w:rPr>
              <w:t>France</w:t>
            </w:r>
          </w:p>
        </w:tc>
        <w:tc>
          <w:tcPr>
            <w:tcW w:w="214" w:type="pct"/>
            <w:shd w:val="clear" w:color="auto" w:fill="auto"/>
          </w:tcPr>
          <w:p w14:paraId="34AB6E83" w14:textId="77777777" w:rsidR="009B5315" w:rsidRPr="006865B3" w:rsidRDefault="009B5315" w:rsidP="009B5315">
            <w:pPr>
              <w:pStyle w:val="TableText"/>
              <w:rPr>
                <w:snapToGrid w:val="0"/>
              </w:rPr>
            </w:pPr>
            <w:r w:rsidRPr="006865B3">
              <w:rPr>
                <w:snapToGrid w:val="0"/>
              </w:rPr>
              <w:t>37</w:t>
            </w:r>
          </w:p>
        </w:tc>
        <w:tc>
          <w:tcPr>
            <w:tcW w:w="587" w:type="pct"/>
            <w:shd w:val="clear" w:color="auto" w:fill="auto"/>
          </w:tcPr>
          <w:p w14:paraId="2FBB564E" w14:textId="77777777" w:rsidR="009B5315" w:rsidRPr="006865B3" w:rsidRDefault="009B5315" w:rsidP="009B5315">
            <w:pPr>
              <w:pStyle w:val="Tabletext0"/>
              <w:jc w:val="left"/>
            </w:pPr>
            <w:r w:rsidRPr="006865B3">
              <w:t>Retrospective cohort study</w:t>
            </w:r>
          </w:p>
          <w:p w14:paraId="40EAC973" w14:textId="77777777" w:rsidR="009B5315" w:rsidRPr="006865B3" w:rsidRDefault="009B5315" w:rsidP="009B5315">
            <w:pPr>
              <w:pStyle w:val="Tabletext0"/>
              <w:jc w:val="left"/>
            </w:pPr>
          </w:p>
          <w:p w14:paraId="0A3F15D3" w14:textId="77777777" w:rsidR="009B5315" w:rsidRPr="006865B3" w:rsidRDefault="009B5315" w:rsidP="009B5315">
            <w:pPr>
              <w:pStyle w:val="Tabletext0"/>
              <w:jc w:val="left"/>
            </w:pPr>
            <w:r w:rsidRPr="006865B3">
              <w:t>Level III-2</w:t>
            </w:r>
          </w:p>
          <w:p w14:paraId="3134F959" w14:textId="77777777" w:rsidR="009B5315" w:rsidRPr="006865B3" w:rsidRDefault="009B5315" w:rsidP="009B5315">
            <w:pPr>
              <w:pStyle w:val="Tabletext0"/>
              <w:jc w:val="left"/>
            </w:pPr>
          </w:p>
          <w:p w14:paraId="584E9FED" w14:textId="77777777" w:rsidR="009B5315" w:rsidRPr="006865B3" w:rsidRDefault="009B5315" w:rsidP="009B5315">
            <w:pPr>
              <w:pStyle w:val="TableText"/>
              <w:rPr>
                <w:snapToGrid w:val="0"/>
              </w:rPr>
            </w:pPr>
            <w:r w:rsidRPr="006865B3">
              <w:t>Low risk of bias</w:t>
            </w:r>
          </w:p>
        </w:tc>
        <w:tc>
          <w:tcPr>
            <w:tcW w:w="764" w:type="pct"/>
            <w:shd w:val="clear" w:color="auto" w:fill="auto"/>
          </w:tcPr>
          <w:p w14:paraId="5B5A23B5" w14:textId="77777777" w:rsidR="009B5315" w:rsidRPr="006865B3" w:rsidRDefault="009B5315" w:rsidP="009B5315">
            <w:pPr>
              <w:pStyle w:val="TableText"/>
              <w:rPr>
                <w:snapToGrid w:val="0"/>
              </w:rPr>
            </w:pPr>
            <w:r w:rsidRPr="006865B3">
              <w:lastRenderedPageBreak/>
              <w:t xml:space="preserve">Samples submitted for detection of ALK mutations, </w:t>
            </w:r>
            <w:r w:rsidRPr="006865B3">
              <w:lastRenderedPageBreak/>
              <w:t>n=37 were randomly chosen (15 ALK positive, 22 ALK negative) to undergo NGS screening</w:t>
            </w:r>
          </w:p>
        </w:tc>
        <w:tc>
          <w:tcPr>
            <w:tcW w:w="800" w:type="pct"/>
          </w:tcPr>
          <w:p w14:paraId="2C18C413" w14:textId="01EB83CC" w:rsidR="009B5315" w:rsidRPr="006865B3" w:rsidRDefault="009B5315" w:rsidP="009B5315">
            <w:pPr>
              <w:pStyle w:val="TableText"/>
              <w:rPr>
                <w:snapToGrid w:val="0"/>
              </w:rPr>
            </w:pPr>
            <w:r w:rsidRPr="006865B3">
              <w:lastRenderedPageBreak/>
              <w:t xml:space="preserve">Ampliseg and Archer </w:t>
            </w:r>
            <w:r w:rsidR="00466C4F" w:rsidRPr="006865B3">
              <w:t>fusionsplex NGS</w:t>
            </w:r>
            <w:r w:rsidRPr="006865B3">
              <w:t xml:space="preserve"> assays </w:t>
            </w:r>
            <w:r w:rsidR="00466C4F" w:rsidRPr="006865B3">
              <w:lastRenderedPageBreak/>
              <w:t>targeted</w:t>
            </w:r>
            <w:r w:rsidRPr="006865B3">
              <w:t xml:space="preserve"> at 70 known mutations across the </w:t>
            </w:r>
            <w:r w:rsidRPr="00727BAE">
              <w:rPr>
                <w:i/>
              </w:rPr>
              <w:t xml:space="preserve">ALK, RET, ROS1, </w:t>
            </w:r>
            <w:r w:rsidRPr="00727BAE">
              <w:t>and</w:t>
            </w:r>
            <w:r w:rsidRPr="00727BAE">
              <w:rPr>
                <w:i/>
              </w:rPr>
              <w:t xml:space="preserve"> NTRK1</w:t>
            </w:r>
            <w:r w:rsidRPr="006865B3">
              <w:t xml:space="preserve"> genes.</w:t>
            </w:r>
          </w:p>
        </w:tc>
        <w:tc>
          <w:tcPr>
            <w:tcW w:w="961" w:type="pct"/>
          </w:tcPr>
          <w:p w14:paraId="559C6ECE" w14:textId="77777777" w:rsidR="009B5315" w:rsidRDefault="009B5315" w:rsidP="009B5315">
            <w:pPr>
              <w:pStyle w:val="TableText"/>
            </w:pPr>
            <w:r w:rsidRPr="006865B3">
              <w:lastRenderedPageBreak/>
              <w:t xml:space="preserve">ALK IHC and </w:t>
            </w:r>
            <w:r w:rsidRPr="00727BAE">
              <w:rPr>
                <w:i/>
              </w:rPr>
              <w:t>ALK</w:t>
            </w:r>
            <w:r w:rsidRPr="006865B3">
              <w:t xml:space="preserve"> FISH</w:t>
            </w:r>
          </w:p>
          <w:p w14:paraId="4D26E744" w14:textId="43787954" w:rsidR="000E3F6B" w:rsidRPr="006865B3" w:rsidRDefault="000E3F6B" w:rsidP="009B5315">
            <w:pPr>
              <w:pStyle w:val="TableText"/>
              <w:rPr>
                <w:snapToGrid w:val="0"/>
              </w:rPr>
            </w:pPr>
            <w:r>
              <w:lastRenderedPageBreak/>
              <w:t xml:space="preserve">Threshold for positivity on FISH ≥15% </w:t>
            </w:r>
          </w:p>
        </w:tc>
        <w:tc>
          <w:tcPr>
            <w:tcW w:w="572" w:type="pct"/>
            <w:shd w:val="clear" w:color="auto" w:fill="auto"/>
          </w:tcPr>
          <w:p w14:paraId="6882F7CA" w14:textId="77777777" w:rsidR="009B5315" w:rsidRPr="006865B3" w:rsidRDefault="009B5315" w:rsidP="009B5315">
            <w:pPr>
              <w:pStyle w:val="TableText"/>
              <w:rPr>
                <w:snapToGrid w:val="0"/>
              </w:rPr>
            </w:pPr>
            <w:r w:rsidRPr="006865B3">
              <w:rPr>
                <w:snapToGrid w:val="0"/>
              </w:rPr>
              <w:lastRenderedPageBreak/>
              <w:t xml:space="preserve">Concordance for </w:t>
            </w:r>
            <w:r w:rsidRPr="00727BAE">
              <w:rPr>
                <w:i/>
                <w:snapToGrid w:val="0"/>
              </w:rPr>
              <w:t>ALK</w:t>
            </w:r>
          </w:p>
        </w:tc>
        <w:tc>
          <w:tcPr>
            <w:tcW w:w="456" w:type="pct"/>
            <w:shd w:val="clear" w:color="auto" w:fill="auto"/>
          </w:tcPr>
          <w:p w14:paraId="0368E34B" w14:textId="5B206BDF" w:rsidR="009B5315" w:rsidRPr="006865B3" w:rsidRDefault="00504E35" w:rsidP="009B5315">
            <w:pPr>
              <w:pStyle w:val="TableText"/>
              <w:rPr>
                <w:snapToGrid w:val="0"/>
              </w:rPr>
            </w:pPr>
            <w:r>
              <w:rPr>
                <w:snapToGrid w:val="0"/>
              </w:rPr>
              <w:t>Yes</w:t>
            </w:r>
          </w:p>
        </w:tc>
      </w:tr>
      <w:tr w:rsidR="009B5315" w:rsidRPr="006865B3" w14:paraId="0E47E9CA" w14:textId="77777777" w:rsidTr="006865B3">
        <w:tc>
          <w:tcPr>
            <w:tcW w:w="646" w:type="pct"/>
            <w:shd w:val="clear" w:color="auto" w:fill="auto"/>
          </w:tcPr>
          <w:p w14:paraId="79130565" w14:textId="090E2813" w:rsidR="009B5315" w:rsidRPr="006865B3" w:rsidRDefault="00B4668F" w:rsidP="009B5315">
            <w:pPr>
              <w:spacing w:before="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&lt;EndNote&gt;&lt;Cite&gt;&lt;Author&gt;Vollbrecht&lt;/Author&gt;&lt;Year&gt;2018&lt;/Year&gt;&lt;RecNum&gt;177&lt;/RecNum&gt;&lt;IDText&gt;1158-1158&lt;/IDText&gt;&lt;DisplayText&gt;(Vollbrecht et al. 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rPr>
                <w:rFonts w:ascii="Arial Narrow" w:hAnsi="Arial Narrow"/>
              </w:rPr>
              <w:fldChar w:fldCharType="separate"/>
            </w:r>
            <w:r>
              <w:rPr>
                <w:rFonts w:ascii="Arial Narrow" w:hAnsi="Arial Narrow"/>
                <w:noProof/>
              </w:rPr>
              <w:t>(Vollbrecht et al. 2018)</w:t>
            </w:r>
            <w:r>
              <w:rPr>
                <w:rFonts w:ascii="Arial Narrow" w:hAnsi="Arial Narrow"/>
              </w:rPr>
              <w:fldChar w:fldCharType="end"/>
            </w:r>
          </w:p>
          <w:p w14:paraId="69C2EF3F" w14:textId="77777777" w:rsidR="009B5315" w:rsidRPr="006865B3" w:rsidRDefault="009B5315" w:rsidP="009B5315">
            <w:pPr>
              <w:spacing w:before="0"/>
              <w:rPr>
                <w:rFonts w:ascii="Arial Narrow" w:hAnsi="Arial Narrow" w:cs="Calibri"/>
                <w:color w:val="000000"/>
              </w:rPr>
            </w:pPr>
            <w:r w:rsidRPr="006865B3">
              <w:rPr>
                <w:rFonts w:ascii="Arial Narrow" w:hAnsi="Arial Narrow"/>
              </w:rPr>
              <w:t>Germany</w:t>
            </w:r>
          </w:p>
        </w:tc>
        <w:tc>
          <w:tcPr>
            <w:tcW w:w="214" w:type="pct"/>
            <w:shd w:val="clear" w:color="auto" w:fill="auto"/>
          </w:tcPr>
          <w:p w14:paraId="766131F4" w14:textId="77777777" w:rsidR="009B5315" w:rsidRPr="006865B3" w:rsidRDefault="009B5315" w:rsidP="009B5315">
            <w:pPr>
              <w:pStyle w:val="TableText"/>
              <w:rPr>
                <w:snapToGrid w:val="0"/>
              </w:rPr>
            </w:pPr>
            <w:r w:rsidRPr="006865B3">
              <w:rPr>
                <w:snapToGrid w:val="0"/>
              </w:rPr>
              <w:t>33</w:t>
            </w:r>
          </w:p>
        </w:tc>
        <w:tc>
          <w:tcPr>
            <w:tcW w:w="587" w:type="pct"/>
            <w:shd w:val="clear" w:color="auto" w:fill="auto"/>
          </w:tcPr>
          <w:p w14:paraId="09C65754" w14:textId="77777777" w:rsidR="009B5315" w:rsidRPr="006865B3" w:rsidRDefault="009B5315" w:rsidP="009B5315">
            <w:pPr>
              <w:pStyle w:val="Tabletext0"/>
              <w:spacing w:before="0" w:after="120"/>
              <w:jc w:val="left"/>
            </w:pPr>
            <w:r w:rsidRPr="006865B3">
              <w:t>Diagnostic case control study</w:t>
            </w:r>
          </w:p>
          <w:p w14:paraId="1910E465" w14:textId="77777777" w:rsidR="009B5315" w:rsidRPr="006865B3" w:rsidRDefault="009B5315" w:rsidP="009B5315">
            <w:pPr>
              <w:pStyle w:val="Tabletext0"/>
              <w:spacing w:before="0" w:after="120"/>
              <w:jc w:val="left"/>
            </w:pPr>
            <w:r w:rsidRPr="006865B3">
              <w:t>Level III-3</w:t>
            </w:r>
          </w:p>
          <w:p w14:paraId="3816B6FB" w14:textId="77777777" w:rsidR="009B5315" w:rsidRPr="006865B3" w:rsidRDefault="009B5315" w:rsidP="009B5315">
            <w:pPr>
              <w:pStyle w:val="TableText"/>
              <w:rPr>
                <w:snapToGrid w:val="0"/>
              </w:rPr>
            </w:pPr>
            <w:r w:rsidRPr="006865B3">
              <w:t>Moderate risk of bias</w:t>
            </w:r>
          </w:p>
        </w:tc>
        <w:tc>
          <w:tcPr>
            <w:tcW w:w="764" w:type="pct"/>
            <w:shd w:val="clear" w:color="auto" w:fill="auto"/>
          </w:tcPr>
          <w:p w14:paraId="5A768F2D" w14:textId="77777777" w:rsidR="009B5315" w:rsidRPr="006865B3" w:rsidRDefault="009B5315" w:rsidP="009B5315">
            <w:pPr>
              <w:pStyle w:val="Tabletext0"/>
              <w:spacing w:before="0" w:after="120"/>
              <w:jc w:val="left"/>
            </w:pPr>
            <w:r w:rsidRPr="006865B3">
              <w:t xml:space="preserve">NSCLC samples, already by </w:t>
            </w:r>
            <w:r w:rsidRPr="006865B3">
              <w:rPr>
                <w:i/>
              </w:rPr>
              <w:t>ALK</w:t>
            </w:r>
            <w:r w:rsidRPr="006865B3">
              <w:t xml:space="preserve"> IHC and FISH</w:t>
            </w:r>
          </w:p>
          <w:p w14:paraId="115FA2F1" w14:textId="77777777" w:rsidR="009B5315" w:rsidRPr="006865B3" w:rsidRDefault="009B5315" w:rsidP="009B5315">
            <w:pPr>
              <w:pStyle w:val="TableText"/>
              <w:rPr>
                <w:snapToGrid w:val="0"/>
              </w:rPr>
            </w:pPr>
            <w:r w:rsidRPr="006865B3">
              <w:t>FFPE operative or biopsy specimens</w:t>
            </w:r>
          </w:p>
        </w:tc>
        <w:tc>
          <w:tcPr>
            <w:tcW w:w="800" w:type="pct"/>
          </w:tcPr>
          <w:p w14:paraId="1CFAB91E" w14:textId="77777777" w:rsidR="009B5315" w:rsidRPr="006865B3" w:rsidRDefault="009B5315" w:rsidP="009B5315">
            <w:pPr>
              <w:pStyle w:val="TableText"/>
              <w:rPr>
                <w:snapToGrid w:val="0"/>
              </w:rPr>
            </w:pPr>
            <w:r w:rsidRPr="006865B3">
              <w:t>RNA-based analysis using a targeted multiplex-PCR panel followed by IonTorrent sequencing and by direct transcript counting using a digital probe-based assay (NanoString)</w:t>
            </w:r>
          </w:p>
        </w:tc>
        <w:tc>
          <w:tcPr>
            <w:tcW w:w="961" w:type="pct"/>
          </w:tcPr>
          <w:p w14:paraId="56E33F58" w14:textId="77777777" w:rsidR="009B5315" w:rsidRDefault="009B5315" w:rsidP="009B5315">
            <w:pPr>
              <w:pStyle w:val="TableText"/>
            </w:pPr>
            <w:r w:rsidRPr="00727BAE">
              <w:t>ALK</w:t>
            </w:r>
            <w:r w:rsidRPr="006865B3">
              <w:t xml:space="preserve"> IHC (VENTANA ALK (D5F3) CDx Assay, Ventana Medical Systems) and </w:t>
            </w:r>
            <w:r w:rsidRPr="006865B3">
              <w:rPr>
                <w:i/>
              </w:rPr>
              <w:t xml:space="preserve">ALK </w:t>
            </w:r>
            <w:r w:rsidRPr="006865B3">
              <w:t xml:space="preserve">FISH (Vysis LSI ALK Dual Color, Abbott Molecular) </w:t>
            </w:r>
          </w:p>
          <w:p w14:paraId="599C64E6" w14:textId="559F51DE" w:rsidR="00022D00" w:rsidRPr="006865B3" w:rsidRDefault="00022D00" w:rsidP="009B5315">
            <w:pPr>
              <w:pStyle w:val="TableText"/>
              <w:rPr>
                <w:snapToGrid w:val="0"/>
              </w:rPr>
            </w:pPr>
            <w:r>
              <w:t>Threshold for positivity ≥15% on FISH</w:t>
            </w:r>
          </w:p>
        </w:tc>
        <w:tc>
          <w:tcPr>
            <w:tcW w:w="572" w:type="pct"/>
            <w:shd w:val="clear" w:color="auto" w:fill="auto"/>
          </w:tcPr>
          <w:p w14:paraId="5FD7C3D0" w14:textId="77777777" w:rsidR="009B5315" w:rsidRPr="006865B3" w:rsidRDefault="009B5315" w:rsidP="009B5315">
            <w:pPr>
              <w:pStyle w:val="TableText"/>
              <w:rPr>
                <w:snapToGrid w:val="0"/>
              </w:rPr>
            </w:pPr>
            <w:r w:rsidRPr="006865B3">
              <w:rPr>
                <w:snapToGrid w:val="0"/>
              </w:rPr>
              <w:t xml:space="preserve">Concordance for </w:t>
            </w:r>
            <w:r w:rsidRPr="00727BAE">
              <w:rPr>
                <w:i/>
                <w:snapToGrid w:val="0"/>
              </w:rPr>
              <w:t>ALK</w:t>
            </w:r>
          </w:p>
        </w:tc>
        <w:tc>
          <w:tcPr>
            <w:tcW w:w="456" w:type="pct"/>
            <w:shd w:val="clear" w:color="auto" w:fill="auto"/>
          </w:tcPr>
          <w:p w14:paraId="737FF0DB" w14:textId="13911316" w:rsidR="009B5315" w:rsidRPr="006865B3" w:rsidRDefault="00504E35" w:rsidP="009B5315">
            <w:pPr>
              <w:pStyle w:val="TableText"/>
              <w:rPr>
                <w:snapToGrid w:val="0"/>
              </w:rPr>
            </w:pPr>
            <w:r>
              <w:rPr>
                <w:snapToGrid w:val="0"/>
              </w:rPr>
              <w:t>Yes</w:t>
            </w:r>
          </w:p>
        </w:tc>
      </w:tr>
      <w:tr w:rsidR="009B5315" w:rsidRPr="006865B3" w14:paraId="5AFA1453" w14:textId="77777777" w:rsidTr="006865B3">
        <w:tc>
          <w:tcPr>
            <w:tcW w:w="646" w:type="pct"/>
            <w:shd w:val="clear" w:color="auto" w:fill="auto"/>
          </w:tcPr>
          <w:p w14:paraId="77E090F8" w14:textId="15C6FBFC" w:rsidR="009B5315" w:rsidRPr="006865B3" w:rsidRDefault="00B4668F" w:rsidP="009B5315">
            <w:pPr>
              <w:pStyle w:val="TableText"/>
            </w:pPr>
            <w:r>
              <w:fldChar w:fldCharType="begin">
                <w:fldData xml:space="preserve">PEVuZE5vdGU+PENpdGU+PEF1dGhvcj5XZWk8L0F1dGhvcj48WWVhcj4yMDIxPC9ZZWFyPjxSZWNO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</w:fldData>
              </w:fldChar>
            </w:r>
            <w:r>
              <w:instrText xml:space="preserve"> ADDIN EN.CITE </w:instrText>
            </w:r>
            <w:r>
              <w:fldChar w:fldCharType="begin">
                <w:fldData xml:space="preserve">PEVuZE5vdGU+PENpdGU+PEF1dGhvcj5XZWk8L0F1dGhvcj48WWVhcj4yMDIxPC9ZZWFyPjxSZWNO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</w:fldData>
              </w:fldChar>
            </w:r>
            <w:r>
              <w:instrText xml:space="preserve"> ADDIN EN.CITE.DATA </w:instrText>
            </w:r>
            <w:r>
              <w:fldChar w:fldCharType="end"/>
            </w:r>
            <w:r>
              <w:fldChar w:fldCharType="separate"/>
            </w:r>
            <w:r>
              <w:rPr>
                <w:noProof/>
              </w:rPr>
              <w:t>(Wei et al. 2021)</w:t>
            </w:r>
            <w:r>
              <w:fldChar w:fldCharType="end"/>
            </w:r>
          </w:p>
          <w:p w14:paraId="7D2668D6" w14:textId="77777777" w:rsidR="009B5315" w:rsidRPr="006865B3" w:rsidRDefault="009B5315" w:rsidP="009B5315">
            <w:pPr>
              <w:pStyle w:val="TableText"/>
              <w:rPr>
                <w:snapToGrid w:val="0"/>
              </w:rPr>
            </w:pPr>
            <w:r w:rsidRPr="006865B3">
              <w:t>The Netherlands</w:t>
            </w:r>
          </w:p>
        </w:tc>
        <w:tc>
          <w:tcPr>
            <w:tcW w:w="214" w:type="pct"/>
            <w:shd w:val="clear" w:color="auto" w:fill="auto"/>
          </w:tcPr>
          <w:p w14:paraId="4590C590" w14:textId="77777777" w:rsidR="009B5315" w:rsidRPr="006865B3" w:rsidRDefault="009B5315" w:rsidP="009B5315">
            <w:pPr>
              <w:pStyle w:val="TableText"/>
              <w:rPr>
                <w:snapToGrid w:val="0"/>
              </w:rPr>
            </w:pPr>
            <w:r w:rsidRPr="006865B3">
              <w:rPr>
                <w:snapToGrid w:val="0"/>
              </w:rPr>
              <w:t>49</w:t>
            </w:r>
          </w:p>
        </w:tc>
        <w:tc>
          <w:tcPr>
            <w:tcW w:w="587" w:type="pct"/>
            <w:shd w:val="clear" w:color="auto" w:fill="auto"/>
          </w:tcPr>
          <w:p w14:paraId="5DF80DD6" w14:textId="77777777" w:rsidR="009B5315" w:rsidRPr="006865B3" w:rsidRDefault="009B5315" w:rsidP="009B5315">
            <w:pPr>
              <w:pStyle w:val="Tabletext0"/>
              <w:spacing w:before="0" w:after="120"/>
              <w:jc w:val="left"/>
            </w:pPr>
            <w:r w:rsidRPr="006865B3">
              <w:t>Diagnostic case-control study</w:t>
            </w:r>
          </w:p>
          <w:p w14:paraId="1037B37F" w14:textId="77777777" w:rsidR="009B5315" w:rsidRPr="006865B3" w:rsidRDefault="009B5315" w:rsidP="009B5315">
            <w:pPr>
              <w:pStyle w:val="Tabletext0"/>
              <w:spacing w:before="0" w:after="120"/>
              <w:jc w:val="left"/>
            </w:pPr>
            <w:r w:rsidRPr="006865B3">
              <w:t>Level III-3</w:t>
            </w:r>
          </w:p>
          <w:p w14:paraId="43EDC011" w14:textId="77777777" w:rsidR="009B5315" w:rsidRPr="006865B3" w:rsidRDefault="009B5315" w:rsidP="009B5315">
            <w:pPr>
              <w:pStyle w:val="Tabletext0"/>
              <w:spacing w:before="0" w:after="120"/>
              <w:jc w:val="left"/>
            </w:pPr>
            <w:r w:rsidRPr="006865B3">
              <w:t>Moderate to high risk of bias</w:t>
            </w:r>
          </w:p>
        </w:tc>
        <w:tc>
          <w:tcPr>
            <w:tcW w:w="764" w:type="pct"/>
            <w:shd w:val="clear" w:color="auto" w:fill="auto"/>
          </w:tcPr>
          <w:p w14:paraId="12EE171B" w14:textId="77777777" w:rsidR="009B5315" w:rsidRPr="006865B3" w:rsidRDefault="009B5315" w:rsidP="009B5315">
            <w:pPr>
              <w:pStyle w:val="TableText"/>
              <w:rPr>
                <w:snapToGrid w:val="0"/>
              </w:rPr>
            </w:pPr>
            <w:r w:rsidRPr="006865B3">
              <w:t>729  NSCLC samples from</w:t>
            </w:r>
          </w:p>
        </w:tc>
        <w:tc>
          <w:tcPr>
            <w:tcW w:w="800" w:type="pct"/>
          </w:tcPr>
          <w:p w14:paraId="52F932DC" w14:textId="77777777" w:rsidR="009B5315" w:rsidRPr="006865B3" w:rsidRDefault="009B5315" w:rsidP="009B5315">
            <w:pPr>
              <w:pStyle w:val="TableText"/>
              <w:rPr>
                <w:snapToGrid w:val="0"/>
              </w:rPr>
            </w:pPr>
            <w:r w:rsidRPr="006865B3">
              <w:t>Amplicon-based NGS, 2 custom-designed AmpliSeq™ panels (amplicons for 11 genes and 36 genes), resulting libraries generated and processed for sequencing on the IonTorrent PGM sequencing system (Life Technologies)</w:t>
            </w:r>
          </w:p>
        </w:tc>
        <w:tc>
          <w:tcPr>
            <w:tcW w:w="961" w:type="pct"/>
          </w:tcPr>
          <w:p w14:paraId="403A5A3A" w14:textId="77777777" w:rsidR="009B5315" w:rsidRDefault="009B5315" w:rsidP="009B5315">
            <w:pPr>
              <w:pStyle w:val="TableText"/>
            </w:pPr>
            <w:r w:rsidRPr="006865B3">
              <w:t>Multiplex ligation-dependent probe amplification,  using the SALSA MLPA P105 Glioma-2 probe mix (MRC Holland)</w:t>
            </w:r>
          </w:p>
          <w:p w14:paraId="3D2109C6" w14:textId="452F9F4C" w:rsidR="00022D00" w:rsidRPr="006865B3" w:rsidRDefault="00022D00" w:rsidP="009B5315">
            <w:pPr>
              <w:pStyle w:val="TableText"/>
              <w:rPr>
                <w:snapToGrid w:val="0"/>
              </w:rPr>
            </w:pPr>
            <w:r>
              <w:t>Threshold for positivity on FISH not stated</w:t>
            </w:r>
          </w:p>
        </w:tc>
        <w:tc>
          <w:tcPr>
            <w:tcW w:w="572" w:type="pct"/>
            <w:shd w:val="clear" w:color="auto" w:fill="auto"/>
          </w:tcPr>
          <w:p w14:paraId="3780C154" w14:textId="77777777" w:rsidR="009B5315" w:rsidRPr="006865B3" w:rsidRDefault="009B5315" w:rsidP="009B5315">
            <w:pPr>
              <w:pStyle w:val="TableText"/>
              <w:rPr>
                <w:snapToGrid w:val="0"/>
              </w:rPr>
            </w:pPr>
            <w:r w:rsidRPr="006865B3">
              <w:rPr>
                <w:snapToGrid w:val="0"/>
              </w:rPr>
              <w:t xml:space="preserve">Concordance for </w:t>
            </w:r>
            <w:r w:rsidRPr="006865B3">
              <w:rPr>
                <w:i/>
                <w:snapToGrid w:val="0"/>
              </w:rPr>
              <w:t>EGFR</w:t>
            </w:r>
            <w:r w:rsidRPr="006865B3">
              <w:rPr>
                <w:snapToGrid w:val="0"/>
              </w:rPr>
              <w:t xml:space="preserve"> and</w:t>
            </w:r>
            <w:r w:rsidRPr="006865B3">
              <w:rPr>
                <w:i/>
                <w:snapToGrid w:val="0"/>
              </w:rPr>
              <w:t xml:space="preserve"> ROS1</w:t>
            </w:r>
          </w:p>
        </w:tc>
        <w:tc>
          <w:tcPr>
            <w:tcW w:w="456" w:type="pct"/>
            <w:shd w:val="clear" w:color="auto" w:fill="auto"/>
          </w:tcPr>
          <w:p w14:paraId="61858988" w14:textId="6B554509" w:rsidR="009B5315" w:rsidRPr="006865B3" w:rsidRDefault="00504E35" w:rsidP="009B5315">
            <w:pPr>
              <w:pStyle w:val="TableText"/>
              <w:rPr>
                <w:snapToGrid w:val="0"/>
              </w:rPr>
            </w:pPr>
            <w:r>
              <w:rPr>
                <w:snapToGrid w:val="0"/>
              </w:rPr>
              <w:t>Yes</w:t>
            </w:r>
          </w:p>
        </w:tc>
      </w:tr>
      <w:tr w:rsidR="009B5315" w:rsidRPr="006865B3" w14:paraId="15682989" w14:textId="77777777" w:rsidTr="006865B3">
        <w:tc>
          <w:tcPr>
            <w:tcW w:w="646" w:type="pct"/>
            <w:shd w:val="clear" w:color="auto" w:fill="auto"/>
          </w:tcPr>
          <w:p w14:paraId="46EA9FE6" w14:textId="37A00DE1" w:rsidR="009B5315" w:rsidRPr="006865B3" w:rsidRDefault="00B4668F" w:rsidP="009B5315">
            <w:pPr>
              <w:spacing w:before="0"/>
              <w:rPr>
                <w:rFonts w:ascii="Arial Narrow" w:hAnsi="Arial Narrow"/>
              </w:rPr>
            </w:pPr>
            <w:r>
              <w:rPr>
                <w:rFonts w:ascii="Arial Narrow" w:hAnsi="Arial Narrow"/>
              </w:rP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rPr>
                <w:rFonts w:ascii="Arial Narrow" w:hAnsi="Arial Narrow"/>
              </w:rPr>
              <w:instrText xml:space="preserve"> ADDIN EN.CITE </w:instrText>
            </w:r>
            <w:r>
              <w:rPr>
                <w:rFonts w:ascii="Arial Narrow" w:hAnsi="Arial Narrow"/>
              </w:rP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(Xie et al. 2019)</w:t>
            </w:r>
            <w:r>
              <w:rPr>
                <w:rFonts w:ascii="Arial Narrow" w:hAnsi="Arial Narrow"/>
              </w:rPr>
              <w:fldChar w:fldCharType="end"/>
            </w:r>
          </w:p>
          <w:p w14:paraId="32051C0A" w14:textId="77777777" w:rsidR="009B5315" w:rsidRPr="006865B3" w:rsidRDefault="009B5315" w:rsidP="009B5315">
            <w:pPr>
              <w:spacing w:before="0"/>
              <w:rPr>
                <w:rFonts w:ascii="Arial Narrow" w:hAnsi="Arial Narrow" w:cs="Calibri"/>
                <w:color w:val="000000"/>
              </w:rPr>
            </w:pPr>
            <w:r w:rsidRPr="006865B3">
              <w:rPr>
                <w:rFonts w:ascii="Arial Narrow" w:hAnsi="Arial Narrow"/>
              </w:rPr>
              <w:t>China</w:t>
            </w:r>
          </w:p>
        </w:tc>
        <w:tc>
          <w:tcPr>
            <w:tcW w:w="214" w:type="pct"/>
            <w:shd w:val="clear" w:color="auto" w:fill="auto"/>
          </w:tcPr>
          <w:p w14:paraId="09116B2D" w14:textId="77777777" w:rsidR="009B5315" w:rsidRPr="006865B3" w:rsidRDefault="009B5315" w:rsidP="009B5315">
            <w:pPr>
              <w:pStyle w:val="TableText"/>
              <w:rPr>
                <w:snapToGrid w:val="0"/>
              </w:rPr>
            </w:pPr>
            <w:r w:rsidRPr="006865B3">
              <w:rPr>
                <w:snapToGrid w:val="0"/>
              </w:rPr>
              <w:t>77</w:t>
            </w:r>
          </w:p>
        </w:tc>
        <w:tc>
          <w:tcPr>
            <w:tcW w:w="587" w:type="pct"/>
            <w:shd w:val="clear" w:color="auto" w:fill="auto"/>
          </w:tcPr>
          <w:p w14:paraId="7C495205" w14:textId="77777777" w:rsidR="009B5315" w:rsidRPr="006865B3" w:rsidRDefault="009B5315" w:rsidP="009B5315">
            <w:pPr>
              <w:pStyle w:val="Tabletext0"/>
              <w:spacing w:before="0" w:after="120"/>
              <w:jc w:val="left"/>
            </w:pPr>
            <w:r w:rsidRPr="006865B3">
              <w:t>Prospective cohort study</w:t>
            </w:r>
          </w:p>
          <w:p w14:paraId="23DC7E42" w14:textId="77777777" w:rsidR="009B5315" w:rsidRPr="006865B3" w:rsidRDefault="009B5315" w:rsidP="009B5315">
            <w:pPr>
              <w:pStyle w:val="Tabletext0"/>
              <w:spacing w:before="0" w:after="120"/>
              <w:jc w:val="left"/>
            </w:pPr>
            <w:r w:rsidRPr="006865B3">
              <w:t>Low to moderate risk of bias</w:t>
            </w:r>
          </w:p>
          <w:p w14:paraId="5CE467F1" w14:textId="77777777" w:rsidR="009B5315" w:rsidRPr="006865B3" w:rsidRDefault="009B5315" w:rsidP="009B5315">
            <w:pPr>
              <w:pStyle w:val="Tabletext0"/>
              <w:spacing w:before="0" w:after="120"/>
              <w:jc w:val="left"/>
            </w:pPr>
            <w:r w:rsidRPr="006865B3">
              <w:t>Level III-2</w:t>
            </w:r>
          </w:p>
          <w:p w14:paraId="41746AB5" w14:textId="77777777" w:rsidR="009B5315" w:rsidRPr="006865B3" w:rsidRDefault="009B5315" w:rsidP="009B5315">
            <w:pPr>
              <w:pStyle w:val="TableText"/>
              <w:rPr>
                <w:snapToGrid w:val="0"/>
              </w:rPr>
            </w:pPr>
          </w:p>
        </w:tc>
        <w:tc>
          <w:tcPr>
            <w:tcW w:w="764" w:type="pct"/>
            <w:shd w:val="clear" w:color="auto" w:fill="auto"/>
          </w:tcPr>
          <w:p w14:paraId="2A2E79A5" w14:textId="77777777" w:rsidR="009B5315" w:rsidRPr="006865B3" w:rsidRDefault="009B5315" w:rsidP="009B5315">
            <w:pPr>
              <w:pStyle w:val="Tabletext0"/>
              <w:spacing w:before="0" w:after="120"/>
              <w:jc w:val="left"/>
            </w:pPr>
            <w:r w:rsidRPr="006865B3">
              <w:t>Patients with advanced non-squamous NSCLC</w:t>
            </w:r>
          </w:p>
          <w:p w14:paraId="53FD8B41" w14:textId="77777777" w:rsidR="009B5315" w:rsidRPr="006865B3" w:rsidRDefault="009B5315" w:rsidP="009B5315">
            <w:pPr>
              <w:pStyle w:val="Tabletext0"/>
              <w:spacing w:before="0" w:after="120"/>
              <w:jc w:val="left"/>
            </w:pPr>
            <w:r w:rsidRPr="006865B3">
              <w:t>FFPE  samples from endobronchial ultrasound-guided transbronchial needle aspiration (EBUS-TBNA)</w:t>
            </w:r>
          </w:p>
          <w:p w14:paraId="40D40E10" w14:textId="77777777" w:rsidR="009B5315" w:rsidRPr="006865B3" w:rsidRDefault="009B5315" w:rsidP="009B5315">
            <w:pPr>
              <w:pStyle w:val="TableText"/>
              <w:rPr>
                <w:snapToGrid w:val="0"/>
              </w:rPr>
            </w:pPr>
          </w:p>
        </w:tc>
        <w:tc>
          <w:tcPr>
            <w:tcW w:w="800" w:type="pct"/>
          </w:tcPr>
          <w:p w14:paraId="222C404D" w14:textId="77777777" w:rsidR="009B5315" w:rsidRPr="006865B3" w:rsidRDefault="009B5315" w:rsidP="009B5315">
            <w:pPr>
              <w:pStyle w:val="TableText"/>
              <w:rPr>
                <w:snapToGrid w:val="0"/>
              </w:rPr>
            </w:pPr>
            <w:r w:rsidRPr="006865B3">
              <w:t>Capture-base targeted sequencing was performed with the Lung core 56 Gene Panel (Burning Rock Dx, China), indexed samples sequenced on Nextseq500 sequencer (Illumina)</w:t>
            </w:r>
          </w:p>
        </w:tc>
        <w:tc>
          <w:tcPr>
            <w:tcW w:w="961" w:type="pct"/>
          </w:tcPr>
          <w:p w14:paraId="16AB7E33" w14:textId="77777777" w:rsidR="009B5315" w:rsidRPr="006865B3" w:rsidRDefault="009B5315" w:rsidP="009B5315">
            <w:pPr>
              <w:pStyle w:val="Tabletext0"/>
              <w:spacing w:before="0" w:after="120"/>
              <w:jc w:val="left"/>
              <w:rPr>
                <w:i/>
              </w:rPr>
            </w:pPr>
            <w:r w:rsidRPr="006865B3">
              <w:t xml:space="preserve">Routine testing, amplification refractory mutation system (ARMS) PCR for </w:t>
            </w:r>
            <w:r w:rsidRPr="006865B3">
              <w:rPr>
                <w:i/>
              </w:rPr>
              <w:t xml:space="preserve">EGFR, </w:t>
            </w:r>
            <w:r w:rsidRPr="006865B3">
              <w:t xml:space="preserve">using </w:t>
            </w:r>
            <w:r w:rsidRPr="006865B3">
              <w:rPr>
                <w:i/>
              </w:rPr>
              <w:t xml:space="preserve">EGFR </w:t>
            </w:r>
            <w:r w:rsidRPr="006865B3">
              <w:t>21 Mutation Detection Kit (Amoy Diagnostics, China)</w:t>
            </w:r>
          </w:p>
          <w:p w14:paraId="4C153528" w14:textId="1A8E1EDB" w:rsidR="009B5315" w:rsidRPr="006865B3" w:rsidRDefault="009B5315" w:rsidP="009B5315">
            <w:pPr>
              <w:pStyle w:val="Tabletext0"/>
              <w:spacing w:before="0" w:after="120"/>
              <w:jc w:val="left"/>
            </w:pPr>
            <w:r w:rsidRPr="006865B3">
              <w:t xml:space="preserve">IHC for </w:t>
            </w:r>
            <w:r w:rsidRPr="006865B3">
              <w:rPr>
                <w:i/>
              </w:rPr>
              <w:t>ALK</w:t>
            </w:r>
            <w:r w:rsidRPr="006865B3">
              <w:t xml:space="preserve">  with the use of VENTANA </w:t>
            </w:r>
            <w:r w:rsidRPr="006865B3">
              <w:rPr>
                <w:i/>
              </w:rPr>
              <w:t>ALK</w:t>
            </w:r>
            <w:r w:rsidRPr="006865B3">
              <w:t xml:space="preserve"> (D5F3) assay (F. Hoffmann-La Roche, AZ), confirmed by FISH with the use of Vysis ALK Break Apart FISH Probe Kit (Abbott Molecular) </w:t>
            </w:r>
            <w:r w:rsidR="00022D00">
              <w:t xml:space="preserve"> Threshold for positivity on FISH not stated</w:t>
            </w:r>
          </w:p>
          <w:p w14:paraId="64A51612" w14:textId="77777777" w:rsidR="009B5315" w:rsidRPr="006865B3" w:rsidRDefault="009B5315" w:rsidP="009B5315">
            <w:pPr>
              <w:pStyle w:val="TableText"/>
              <w:rPr>
                <w:snapToGrid w:val="0"/>
              </w:rPr>
            </w:pPr>
            <w:r w:rsidRPr="006865B3">
              <w:t xml:space="preserve">Quantitative reverse transcription PCR for </w:t>
            </w:r>
            <w:r w:rsidRPr="006865B3">
              <w:rPr>
                <w:i/>
              </w:rPr>
              <w:t xml:space="preserve">ROS1 </w:t>
            </w:r>
            <w:r w:rsidRPr="006865B3">
              <w:t xml:space="preserve">with use of </w:t>
            </w:r>
            <w:r w:rsidRPr="006865B3">
              <w:rPr>
                <w:i/>
              </w:rPr>
              <w:t>ROS1</w:t>
            </w:r>
            <w:r w:rsidRPr="006865B3">
              <w:t xml:space="preserve"> Gene Fusions Detection Kit (Amoy Diagnostics)</w:t>
            </w:r>
          </w:p>
        </w:tc>
        <w:tc>
          <w:tcPr>
            <w:tcW w:w="572" w:type="pct"/>
            <w:shd w:val="clear" w:color="auto" w:fill="auto"/>
          </w:tcPr>
          <w:p w14:paraId="3FC88A75" w14:textId="735B07BD" w:rsidR="009B5315" w:rsidRPr="006865B3" w:rsidRDefault="009B5315" w:rsidP="009B5315">
            <w:pPr>
              <w:pStyle w:val="TableText"/>
              <w:rPr>
                <w:snapToGrid w:val="0"/>
              </w:rPr>
            </w:pPr>
            <w:r w:rsidRPr="006865B3">
              <w:rPr>
                <w:snapToGrid w:val="0"/>
              </w:rPr>
              <w:t>Test success rate</w:t>
            </w:r>
          </w:p>
          <w:p w14:paraId="573257CB" w14:textId="784D126B" w:rsidR="009B5315" w:rsidRPr="006865B3" w:rsidRDefault="009B5315" w:rsidP="009B5315">
            <w:pPr>
              <w:pStyle w:val="TableText"/>
              <w:rPr>
                <w:i/>
                <w:snapToGrid w:val="0"/>
              </w:rPr>
            </w:pPr>
            <w:r w:rsidRPr="006865B3">
              <w:rPr>
                <w:snapToGrid w:val="0"/>
              </w:rPr>
              <w:t xml:space="preserve">Concordance for </w:t>
            </w:r>
            <w:r w:rsidRPr="006865B3">
              <w:rPr>
                <w:i/>
                <w:snapToGrid w:val="0"/>
              </w:rPr>
              <w:t>EGFR</w:t>
            </w:r>
            <w:r w:rsidRPr="006865B3">
              <w:rPr>
                <w:snapToGrid w:val="0"/>
              </w:rPr>
              <w:t xml:space="preserve"> and </w:t>
            </w:r>
            <w:r w:rsidRPr="006865B3">
              <w:rPr>
                <w:i/>
                <w:snapToGrid w:val="0"/>
              </w:rPr>
              <w:t>ALK</w:t>
            </w:r>
          </w:p>
          <w:p w14:paraId="2C4CA8E0" w14:textId="23D1A9BD" w:rsidR="009B5315" w:rsidRPr="006865B3" w:rsidRDefault="009B5315" w:rsidP="009B5315">
            <w:pPr>
              <w:pStyle w:val="TableText"/>
              <w:rPr>
                <w:snapToGrid w:val="0"/>
              </w:rPr>
            </w:pPr>
            <w:r w:rsidRPr="006865B3">
              <w:rPr>
                <w:snapToGrid w:val="0"/>
              </w:rPr>
              <w:t>Rate of concurrent variants</w:t>
            </w:r>
          </w:p>
        </w:tc>
        <w:tc>
          <w:tcPr>
            <w:tcW w:w="456" w:type="pct"/>
            <w:shd w:val="clear" w:color="auto" w:fill="auto"/>
          </w:tcPr>
          <w:p w14:paraId="13F76847" w14:textId="6BD8A4A2" w:rsidR="009B5315" w:rsidRPr="006865B3" w:rsidRDefault="00504E35" w:rsidP="009B5315">
            <w:pPr>
              <w:pStyle w:val="TableText"/>
              <w:rPr>
                <w:snapToGrid w:val="0"/>
              </w:rPr>
            </w:pPr>
            <w:r>
              <w:rPr>
                <w:snapToGrid w:val="0"/>
              </w:rPr>
              <w:t>Yes</w:t>
            </w:r>
          </w:p>
        </w:tc>
      </w:tr>
      <w:tr w:rsidR="009B5315" w:rsidRPr="006865B3" w14:paraId="5E2FC112" w14:textId="77777777" w:rsidTr="006865B3">
        <w:tc>
          <w:tcPr>
            <w:tcW w:w="646" w:type="pct"/>
            <w:shd w:val="clear" w:color="auto" w:fill="auto"/>
          </w:tcPr>
          <w:p w14:paraId="580E3A05" w14:textId="1B51DB4B" w:rsidR="009B5315" w:rsidRPr="006865B3" w:rsidRDefault="00B4668F" w:rsidP="009B5315">
            <w:pPr>
              <w:spacing w:before="0"/>
              <w:rPr>
                <w:rFonts w:ascii="Arial Narrow" w:hAnsi="Arial Narrow"/>
              </w:rPr>
            </w:pPr>
            <w:r>
              <w:rPr>
                <w:rFonts w:ascii="Arial Narrow" w:hAnsi="Arial Narrow"/>
              </w:rPr>
              <w:lastRenderedPageBreak/>
              <w:fldChar w:fldCharType="begin">
                <w:fldData xml:space="preserve">PEVuZE5vdGU+PENpdGU+PEF1dGhvcj5YdTwvQXV0aG9yPjxZZWFyPjIwMTY8L1llYXI+PFJlY051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</w:fldData>
              </w:fldChar>
            </w:r>
            <w:r w:rsidR="006D4612">
              <w:rPr>
                <w:rFonts w:ascii="Arial Narrow" w:hAnsi="Arial Narrow"/>
              </w:rPr>
              <w:instrText xml:space="preserve"> ADDIN EN.CITE </w:instrText>
            </w:r>
            <w:r w:rsidR="006D4612">
              <w:rPr>
                <w:rFonts w:ascii="Arial Narrow" w:hAnsi="Arial Narrow"/>
              </w:rPr>
              <w:fldChar w:fldCharType="begin">
                <w:fldData xml:space="preserve">PEVuZE5vdGU+PENpdGU+PEF1dGhvcj5YdTwvQXV0aG9yPjxZZWFyPjIwMTY8L1llYXI+PFJlY051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</w:fldData>
              </w:fldChar>
            </w:r>
            <w:r w:rsidR="006D4612">
              <w:rPr>
                <w:rFonts w:ascii="Arial Narrow" w:hAnsi="Arial Narrow"/>
              </w:rPr>
              <w:instrText xml:space="preserve"> ADDIN EN.CITE.DATA </w:instrText>
            </w:r>
            <w:r w:rsidR="006D4612">
              <w:rPr>
                <w:rFonts w:ascii="Arial Narrow" w:hAnsi="Arial Narrow"/>
              </w:rPr>
            </w:r>
            <w:r w:rsidR="006D4612">
              <w:rPr>
                <w:rFonts w:ascii="Arial Narrow" w:hAnsi="Arial Narrow"/>
              </w:rPr>
              <w:fldChar w:fldCharType="end"/>
            </w:r>
            <w:r>
              <w:rPr>
                <w:rFonts w:ascii="Arial Narrow" w:hAnsi="Arial Narrow"/>
              </w:rPr>
            </w:r>
            <w:r>
              <w:rPr>
                <w:rFonts w:ascii="Arial Narrow" w:hAnsi="Arial Narrow"/>
              </w:rPr>
              <w:fldChar w:fldCharType="separate"/>
            </w:r>
            <w:r w:rsidR="006D4612">
              <w:rPr>
                <w:rFonts w:ascii="Arial Narrow" w:hAnsi="Arial Narrow"/>
                <w:noProof/>
              </w:rPr>
              <w:t>(Xu, X. et al. 2016)</w:t>
            </w:r>
            <w:r>
              <w:rPr>
                <w:rFonts w:ascii="Arial Narrow" w:hAnsi="Arial Narrow"/>
              </w:rPr>
              <w:fldChar w:fldCharType="end"/>
            </w:r>
          </w:p>
          <w:p w14:paraId="34D4B612" w14:textId="77777777" w:rsidR="009B5315" w:rsidRPr="006865B3" w:rsidRDefault="009B5315" w:rsidP="009B5315">
            <w:pPr>
              <w:spacing w:before="0"/>
              <w:rPr>
                <w:rFonts w:ascii="Arial Narrow" w:hAnsi="Arial Narrow" w:cs="Calibri"/>
                <w:color w:val="000000"/>
              </w:rPr>
            </w:pPr>
            <w:r w:rsidRPr="006865B3">
              <w:rPr>
                <w:rFonts w:ascii="Arial Narrow" w:hAnsi="Arial Narrow" w:cs="Calibri"/>
                <w:color w:val="000000"/>
              </w:rPr>
              <w:t>China</w:t>
            </w:r>
          </w:p>
        </w:tc>
        <w:tc>
          <w:tcPr>
            <w:tcW w:w="214" w:type="pct"/>
            <w:shd w:val="clear" w:color="auto" w:fill="auto"/>
          </w:tcPr>
          <w:p w14:paraId="5F59ABBA" w14:textId="77777777" w:rsidR="009B5315" w:rsidRPr="006865B3" w:rsidRDefault="009B5315" w:rsidP="009B5315">
            <w:pPr>
              <w:pStyle w:val="TableText"/>
              <w:rPr>
                <w:snapToGrid w:val="0"/>
              </w:rPr>
            </w:pPr>
            <w:r w:rsidRPr="006865B3">
              <w:rPr>
                <w:snapToGrid w:val="0"/>
              </w:rPr>
              <w:t>188</w:t>
            </w:r>
          </w:p>
        </w:tc>
        <w:tc>
          <w:tcPr>
            <w:tcW w:w="587" w:type="pct"/>
            <w:shd w:val="clear" w:color="auto" w:fill="auto"/>
          </w:tcPr>
          <w:p w14:paraId="0E1DDA96" w14:textId="77777777" w:rsidR="009B5315" w:rsidRPr="006865B3" w:rsidRDefault="009B5315" w:rsidP="009B5315">
            <w:pPr>
              <w:pStyle w:val="Tabletext0"/>
              <w:spacing w:before="0" w:after="120"/>
              <w:jc w:val="left"/>
            </w:pPr>
            <w:r w:rsidRPr="006865B3">
              <w:t xml:space="preserve">Prospective cohort study </w:t>
            </w:r>
          </w:p>
          <w:p w14:paraId="2A576211" w14:textId="77777777" w:rsidR="009B5315" w:rsidRPr="006865B3" w:rsidRDefault="009B5315" w:rsidP="009B5315">
            <w:pPr>
              <w:pStyle w:val="Tabletext0"/>
              <w:spacing w:before="0" w:after="120"/>
              <w:jc w:val="left"/>
            </w:pPr>
            <w:r w:rsidRPr="006865B3">
              <w:t>Level II</w:t>
            </w:r>
          </w:p>
          <w:p w14:paraId="7559FB24" w14:textId="77777777" w:rsidR="009B5315" w:rsidRPr="006865B3" w:rsidRDefault="009B5315" w:rsidP="009B5315">
            <w:pPr>
              <w:pStyle w:val="TableText"/>
              <w:rPr>
                <w:snapToGrid w:val="0"/>
              </w:rPr>
            </w:pPr>
            <w:r w:rsidRPr="006865B3">
              <w:t>Low to moderate risk of bias</w:t>
            </w:r>
          </w:p>
        </w:tc>
        <w:tc>
          <w:tcPr>
            <w:tcW w:w="764" w:type="pct"/>
            <w:shd w:val="clear" w:color="auto" w:fill="auto"/>
          </w:tcPr>
          <w:p w14:paraId="18049389" w14:textId="77777777" w:rsidR="009B5315" w:rsidRPr="006865B3" w:rsidRDefault="009B5315" w:rsidP="009B5315">
            <w:pPr>
              <w:pStyle w:val="Tabletext0"/>
              <w:spacing w:before="0" w:after="120"/>
              <w:jc w:val="left"/>
            </w:pPr>
            <w:r w:rsidRPr="006865B3">
              <w:t>Consecutive samples from patients with NSCLC who underwent radical surgical resection of primary lung cancer</w:t>
            </w:r>
          </w:p>
          <w:p w14:paraId="029CA133" w14:textId="77777777" w:rsidR="009B5315" w:rsidRPr="006865B3" w:rsidRDefault="009B5315" w:rsidP="009B5315">
            <w:pPr>
              <w:pStyle w:val="TableText"/>
              <w:rPr>
                <w:snapToGrid w:val="0"/>
              </w:rPr>
            </w:pPr>
            <w:r w:rsidRPr="006865B3">
              <w:t>FFPE specimens or fresh tissues</w:t>
            </w:r>
          </w:p>
        </w:tc>
        <w:tc>
          <w:tcPr>
            <w:tcW w:w="800" w:type="pct"/>
          </w:tcPr>
          <w:p w14:paraId="4DE0DE5E" w14:textId="77777777" w:rsidR="009B5315" w:rsidRPr="006865B3" w:rsidRDefault="009B5315" w:rsidP="009B5315">
            <w:pPr>
              <w:pStyle w:val="TableText"/>
              <w:rPr>
                <w:snapToGrid w:val="0"/>
              </w:rPr>
            </w:pPr>
            <w:r w:rsidRPr="006865B3">
              <w:t>NextDaySeq Lung Panel on Ion Torrent</w:t>
            </w:r>
            <w:r w:rsidRPr="006865B3">
              <w:rPr>
                <w:vertAlign w:val="superscript"/>
              </w:rPr>
              <w:t xml:space="preserve">TM </w:t>
            </w:r>
            <w:r w:rsidRPr="006865B3">
              <w:t>System (Beijing ACCB Biotech), targeting 4 gene (</w:t>
            </w:r>
            <w:r w:rsidRPr="006865B3">
              <w:rPr>
                <w:i/>
                <w:iCs/>
              </w:rPr>
              <w:t xml:space="preserve">EGFR, KRAS, BRAF </w:t>
            </w:r>
            <w:r w:rsidRPr="006865B3">
              <w:t>and</w:t>
            </w:r>
            <w:r w:rsidRPr="006865B3">
              <w:rPr>
                <w:i/>
                <w:iCs/>
              </w:rPr>
              <w:t xml:space="preserve"> PIK3CA</w:t>
            </w:r>
            <w:r w:rsidRPr="006865B3">
              <w:rPr>
                <w:iCs/>
              </w:rPr>
              <w:t>),</w:t>
            </w:r>
            <w:r w:rsidRPr="006865B3">
              <w:t xml:space="preserve"> library pool sequenced using Ion Torrent PGM system (Thermo Fisher Scientific)</w:t>
            </w:r>
          </w:p>
        </w:tc>
        <w:tc>
          <w:tcPr>
            <w:tcW w:w="961" w:type="pct"/>
          </w:tcPr>
          <w:p w14:paraId="46BFA8DF" w14:textId="77777777" w:rsidR="009B5315" w:rsidRPr="006865B3" w:rsidRDefault="009B5315" w:rsidP="009B5315">
            <w:pPr>
              <w:pStyle w:val="TableText"/>
              <w:rPr>
                <w:snapToGrid w:val="0"/>
              </w:rPr>
            </w:pPr>
            <w:r w:rsidRPr="006865B3">
              <w:t xml:space="preserve">Quantitative Real-Time PCR(qPCR),  mutation status of </w:t>
            </w:r>
            <w:r w:rsidRPr="006865B3">
              <w:rPr>
                <w:i/>
              </w:rPr>
              <w:t>EGFR, KRAS, PIK3CA and BRAF</w:t>
            </w:r>
            <w:r w:rsidRPr="006865B3">
              <w:t xml:space="preserve"> examined using the Human </w:t>
            </w:r>
            <w:r w:rsidRPr="006865B3">
              <w:rPr>
                <w:i/>
              </w:rPr>
              <w:t>EGFR</w:t>
            </w:r>
            <w:r w:rsidRPr="006865B3">
              <w:t xml:space="preserve"> Gene Mutations Detection Kit, Human </w:t>
            </w:r>
            <w:r w:rsidRPr="006865B3">
              <w:rPr>
                <w:i/>
              </w:rPr>
              <w:t>KRAS</w:t>
            </w:r>
            <w:r w:rsidRPr="006865B3">
              <w:t xml:space="preserve"> Gene Mutations Detection Kit, Human </w:t>
            </w:r>
            <w:r w:rsidRPr="006865B3">
              <w:rPr>
                <w:i/>
              </w:rPr>
              <w:t>PIK3CA</w:t>
            </w:r>
            <w:r w:rsidRPr="006865B3">
              <w:t xml:space="preserve"> Gene Mutations Detection Kit, and Human </w:t>
            </w:r>
            <w:r w:rsidRPr="006865B3">
              <w:rPr>
                <w:i/>
              </w:rPr>
              <w:t>BRAF</w:t>
            </w:r>
            <w:r w:rsidRPr="006865B3">
              <w:t xml:space="preserve"> Gene Mutations Detection Kit ACCB Biotech, China)</w:t>
            </w:r>
          </w:p>
        </w:tc>
        <w:tc>
          <w:tcPr>
            <w:tcW w:w="572" w:type="pct"/>
            <w:shd w:val="clear" w:color="auto" w:fill="auto"/>
          </w:tcPr>
          <w:p w14:paraId="1D81849E" w14:textId="77777777" w:rsidR="009B5315" w:rsidRPr="006865B3" w:rsidRDefault="009B5315" w:rsidP="009B5315">
            <w:pPr>
              <w:pStyle w:val="TableText"/>
              <w:rPr>
                <w:i/>
                <w:snapToGrid w:val="0"/>
              </w:rPr>
            </w:pPr>
            <w:r w:rsidRPr="006865B3">
              <w:rPr>
                <w:snapToGrid w:val="0"/>
              </w:rPr>
              <w:t xml:space="preserve">Concordance for </w:t>
            </w:r>
            <w:r w:rsidRPr="006865B3">
              <w:rPr>
                <w:i/>
                <w:snapToGrid w:val="0"/>
              </w:rPr>
              <w:t>EGFR</w:t>
            </w:r>
          </w:p>
          <w:p w14:paraId="41BE52FF" w14:textId="2CE2CF35" w:rsidR="009B5315" w:rsidRPr="006865B3" w:rsidRDefault="009B5315" w:rsidP="009B5315">
            <w:pPr>
              <w:pStyle w:val="TableText"/>
              <w:rPr>
                <w:snapToGrid w:val="0"/>
              </w:rPr>
            </w:pPr>
            <w:r w:rsidRPr="006865B3">
              <w:rPr>
                <w:snapToGrid w:val="0"/>
              </w:rPr>
              <w:t>Rate of concurrent variants</w:t>
            </w:r>
          </w:p>
        </w:tc>
        <w:tc>
          <w:tcPr>
            <w:tcW w:w="456" w:type="pct"/>
            <w:shd w:val="clear" w:color="auto" w:fill="auto"/>
          </w:tcPr>
          <w:p w14:paraId="3D82CE43" w14:textId="34DC0404" w:rsidR="009B5315" w:rsidRPr="006865B3" w:rsidRDefault="00504E35" w:rsidP="009B5315">
            <w:pPr>
              <w:pStyle w:val="TableText"/>
              <w:rPr>
                <w:snapToGrid w:val="0"/>
              </w:rPr>
            </w:pPr>
            <w:r>
              <w:rPr>
                <w:snapToGrid w:val="0"/>
              </w:rPr>
              <w:t>Yes</w:t>
            </w:r>
          </w:p>
        </w:tc>
      </w:tr>
      <w:tr w:rsidR="009B5315" w:rsidRPr="006865B3" w14:paraId="2D108B1F" w14:textId="77777777" w:rsidTr="006865B3">
        <w:tc>
          <w:tcPr>
            <w:tcW w:w="646" w:type="pct"/>
            <w:shd w:val="clear" w:color="auto" w:fill="auto"/>
          </w:tcPr>
          <w:p w14:paraId="2F9A6B11" w14:textId="0A8EFA99" w:rsidR="009B5315" w:rsidRPr="006865B3" w:rsidRDefault="00B4668F" w:rsidP="009B5315">
            <w:pPr>
              <w:pStyle w:val="TableText"/>
              <w:rPr>
                <w:snapToGrid w:val="0"/>
              </w:rPr>
            </w:pPr>
            <w:r>
              <w:rPr>
                <w:snapToGrid w:val="0"/>
              </w:rPr>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rPr>
                <w:snapToGrid w:val="0"/>
              </w:rPr>
              <w:instrText xml:space="preserve"> ADDIN EN.CITE </w:instrText>
            </w:r>
            <w:r>
              <w:rPr>
                <w:snapToGrid w:val="0"/>
              </w:rPr>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rPr>
                <w:snapToGrid w:val="0"/>
              </w:rPr>
              <w:instrText xml:space="preserve"> ADDIN EN.CITE.DATA </w:instrText>
            </w:r>
            <w:r>
              <w:rPr>
                <w:snapToGrid w:val="0"/>
              </w:rPr>
            </w:r>
            <w:r>
              <w:rPr>
                <w:snapToGrid w:val="0"/>
              </w:rPr>
              <w:fldChar w:fldCharType="end"/>
            </w:r>
            <w:r>
              <w:rPr>
                <w:snapToGrid w:val="0"/>
              </w:rPr>
            </w:r>
            <w:r>
              <w:rPr>
                <w:snapToGrid w:val="0"/>
              </w:rPr>
              <w:fldChar w:fldCharType="separate"/>
            </w:r>
            <w:r>
              <w:rPr>
                <w:noProof/>
                <w:snapToGrid w:val="0"/>
              </w:rPr>
              <w:t>(Yu et al. 2019)</w:t>
            </w:r>
            <w:r>
              <w:rPr>
                <w:snapToGrid w:val="0"/>
              </w:rPr>
              <w:fldChar w:fldCharType="end"/>
            </w:r>
          </w:p>
          <w:p w14:paraId="4E7A7B66" w14:textId="520A441D" w:rsidR="009B5315" w:rsidRPr="006865B3" w:rsidRDefault="009B5315" w:rsidP="009B5315">
            <w:pPr>
              <w:spacing w:before="0"/>
              <w:rPr>
                <w:rFonts w:ascii="Arial Narrow" w:hAnsi="Arial Narrow"/>
              </w:rPr>
            </w:pPr>
            <w:r w:rsidRPr="006865B3">
              <w:rPr>
                <w:rFonts w:ascii="Arial Narrow" w:hAnsi="Arial Narrow"/>
                <w:snapToGrid w:val="0"/>
              </w:rPr>
              <w:t>United States</w:t>
            </w:r>
          </w:p>
        </w:tc>
        <w:tc>
          <w:tcPr>
            <w:tcW w:w="214" w:type="pct"/>
            <w:shd w:val="clear" w:color="auto" w:fill="auto"/>
          </w:tcPr>
          <w:p w14:paraId="4BDCC48E" w14:textId="6EE3FDAD" w:rsidR="009B5315" w:rsidRPr="006865B3" w:rsidRDefault="009B5315" w:rsidP="009B5315">
            <w:pPr>
              <w:pStyle w:val="TableText"/>
              <w:rPr>
                <w:snapToGrid w:val="0"/>
              </w:rPr>
            </w:pPr>
            <w:r w:rsidRPr="006865B3">
              <w:rPr>
                <w:snapToGrid w:val="0"/>
              </w:rPr>
              <w:t>1,571</w:t>
            </w:r>
          </w:p>
        </w:tc>
        <w:tc>
          <w:tcPr>
            <w:tcW w:w="587" w:type="pct"/>
            <w:shd w:val="clear" w:color="auto" w:fill="auto"/>
          </w:tcPr>
          <w:p w14:paraId="3B87BA54" w14:textId="77777777" w:rsidR="009B5315" w:rsidRPr="006865B3" w:rsidRDefault="009B5315" w:rsidP="009B5315">
            <w:pPr>
              <w:pStyle w:val="TableText"/>
            </w:pPr>
            <w:r w:rsidRPr="006865B3">
              <w:t>Comparative study without concurrent controls</w:t>
            </w:r>
          </w:p>
          <w:p w14:paraId="6103F251" w14:textId="77777777" w:rsidR="009B5315" w:rsidRPr="006865B3" w:rsidRDefault="009B5315" w:rsidP="009B5315">
            <w:pPr>
              <w:pStyle w:val="TableText"/>
            </w:pPr>
            <w:r w:rsidRPr="006865B3">
              <w:t>Level III-3</w:t>
            </w:r>
          </w:p>
          <w:p w14:paraId="6F6D66E1" w14:textId="6F740A67" w:rsidR="009B5315" w:rsidRPr="006865B3" w:rsidRDefault="009B5315" w:rsidP="009B5315">
            <w:pPr>
              <w:pStyle w:val="Tabletext0"/>
              <w:spacing w:before="0" w:after="120"/>
              <w:jc w:val="left"/>
            </w:pPr>
            <w:r w:rsidRPr="006865B3">
              <w:t>Moderate risk of bias</w:t>
            </w:r>
          </w:p>
        </w:tc>
        <w:tc>
          <w:tcPr>
            <w:tcW w:w="764" w:type="pct"/>
            <w:shd w:val="clear" w:color="auto" w:fill="auto"/>
          </w:tcPr>
          <w:p w14:paraId="5310CA23" w14:textId="63B45BF7" w:rsidR="009B5315" w:rsidRPr="006865B3" w:rsidRDefault="009B5315" w:rsidP="009B5315">
            <w:pPr>
              <w:pStyle w:val="Tabletext0"/>
              <w:spacing w:before="0" w:after="120"/>
              <w:jc w:val="left"/>
            </w:pPr>
            <w:r w:rsidRPr="006865B3">
              <w:rPr>
                <w:snapToGrid w:val="0"/>
              </w:rPr>
              <w:t>Lung tumour samples from patients with a</w:t>
            </w:r>
            <w:r w:rsidR="00466C4F">
              <w:rPr>
                <w:snapToGrid w:val="0"/>
              </w:rPr>
              <w:t xml:space="preserve">dvanced </w:t>
            </w:r>
            <w:r w:rsidRPr="006865B3">
              <w:rPr>
                <w:snapToGrid w:val="0"/>
              </w:rPr>
              <w:t xml:space="preserve">NSCLC submitted for sequential single gene testing in a single centre  </w:t>
            </w:r>
          </w:p>
        </w:tc>
        <w:tc>
          <w:tcPr>
            <w:tcW w:w="800" w:type="pct"/>
          </w:tcPr>
          <w:p w14:paraId="4627790E" w14:textId="504E540F" w:rsidR="009B5315" w:rsidRPr="006865B3" w:rsidRDefault="009B5315" w:rsidP="009B5315">
            <w:pPr>
              <w:pStyle w:val="TableText"/>
            </w:pPr>
            <w:r w:rsidRPr="006865B3">
              <w:rPr>
                <w:snapToGrid w:val="0"/>
              </w:rPr>
              <w:t>Oncomine Dx Target multigene panel test (n=169) (intervention)</w:t>
            </w:r>
          </w:p>
        </w:tc>
        <w:tc>
          <w:tcPr>
            <w:tcW w:w="961" w:type="pct"/>
          </w:tcPr>
          <w:p w14:paraId="67FBAEE5" w14:textId="77777777" w:rsidR="009B5315" w:rsidRPr="006865B3" w:rsidRDefault="009B5315" w:rsidP="009B5315">
            <w:pPr>
              <w:pStyle w:val="TableText"/>
            </w:pPr>
            <w:r w:rsidRPr="006865B3">
              <w:t xml:space="preserve">Therascreen </w:t>
            </w:r>
            <w:r w:rsidRPr="006865B3">
              <w:rPr>
                <w:i/>
              </w:rPr>
              <w:t>EGFR</w:t>
            </w:r>
            <w:r w:rsidRPr="006865B3">
              <w:t xml:space="preserve"> RGQ PCR Kit (QIAGEN Manchester)</w:t>
            </w:r>
          </w:p>
          <w:p w14:paraId="3D71732A" w14:textId="77777777" w:rsidR="009B5315" w:rsidRPr="006865B3" w:rsidRDefault="009B5315" w:rsidP="009B5315">
            <w:pPr>
              <w:pStyle w:val="TableText"/>
            </w:pPr>
            <w:r w:rsidRPr="006865B3">
              <w:t xml:space="preserve">Vysis IntelliFISH for </w:t>
            </w:r>
            <w:r w:rsidRPr="006865B3">
              <w:rPr>
                <w:i/>
              </w:rPr>
              <w:t xml:space="preserve">ALK </w:t>
            </w:r>
            <w:r w:rsidRPr="006865B3">
              <w:t>(Abbott Laboratory)</w:t>
            </w:r>
          </w:p>
          <w:p w14:paraId="445BE248" w14:textId="77777777" w:rsidR="009B5315" w:rsidRPr="006865B3" w:rsidRDefault="009B5315" w:rsidP="009B5315">
            <w:pPr>
              <w:pStyle w:val="TableText"/>
            </w:pPr>
            <w:r w:rsidRPr="006865B3">
              <w:t xml:space="preserve">cobas 4800 </w:t>
            </w:r>
            <w:r w:rsidRPr="006865B3">
              <w:rPr>
                <w:i/>
              </w:rPr>
              <w:t>BRAF</w:t>
            </w:r>
            <w:r w:rsidRPr="006865B3">
              <w:t xml:space="preserve"> V600 Mutation Test (Roche)</w:t>
            </w:r>
          </w:p>
          <w:p w14:paraId="735BEDD7" w14:textId="1404BDB3" w:rsidR="009B5315" w:rsidRPr="006865B3" w:rsidRDefault="009B5315" w:rsidP="009B5315">
            <w:pPr>
              <w:pStyle w:val="TableText"/>
            </w:pPr>
            <w:r w:rsidRPr="006865B3">
              <w:t xml:space="preserve">Laboratory-developed tests (LDTs) for </w:t>
            </w:r>
            <w:r w:rsidRPr="006865B3">
              <w:rPr>
                <w:i/>
              </w:rPr>
              <w:t>BRAF, KRAS, MET</w:t>
            </w:r>
            <w:r w:rsidRPr="006865B3">
              <w:t xml:space="preserve"> amplification, </w:t>
            </w:r>
            <w:r w:rsidRPr="006865B3">
              <w:rPr>
                <w:i/>
              </w:rPr>
              <w:t>RET, ERBB2, FGFR1, and ROS1</w:t>
            </w:r>
            <w:r w:rsidRPr="006865B3">
              <w:t xml:space="preserve">. </w:t>
            </w:r>
            <w:r w:rsidRPr="006865B3">
              <w:rPr>
                <w:i/>
              </w:rPr>
              <w:t>BRAF</w:t>
            </w:r>
            <w:r w:rsidRPr="006865B3">
              <w:t xml:space="preserve"> and </w:t>
            </w:r>
            <w:r w:rsidRPr="006865B3">
              <w:rPr>
                <w:i/>
              </w:rPr>
              <w:t>KRAS</w:t>
            </w:r>
            <w:r w:rsidRPr="006865B3">
              <w:t xml:space="preserve"> LDTs used real-time, or quantitative, PCR. All other LDTs used FISH.</w:t>
            </w:r>
          </w:p>
        </w:tc>
        <w:tc>
          <w:tcPr>
            <w:tcW w:w="572" w:type="pct"/>
            <w:shd w:val="clear" w:color="auto" w:fill="auto"/>
          </w:tcPr>
          <w:p w14:paraId="14EE31D4" w14:textId="77777777" w:rsidR="009B5315" w:rsidRPr="006865B3" w:rsidRDefault="009B5315" w:rsidP="009B5315">
            <w:pPr>
              <w:pStyle w:val="TableText"/>
              <w:rPr>
                <w:snapToGrid w:val="0"/>
              </w:rPr>
            </w:pPr>
            <w:r w:rsidRPr="006865B3">
              <w:rPr>
                <w:snapToGrid w:val="0"/>
              </w:rPr>
              <w:t>Test success rate</w:t>
            </w:r>
          </w:p>
          <w:p w14:paraId="28C0568E" w14:textId="10FA5587" w:rsidR="009B5315" w:rsidRPr="006865B3" w:rsidRDefault="009B5315" w:rsidP="009B5315">
            <w:pPr>
              <w:pStyle w:val="TableText"/>
              <w:rPr>
                <w:snapToGrid w:val="0"/>
              </w:rPr>
            </w:pPr>
            <w:r w:rsidRPr="006865B3">
              <w:rPr>
                <w:snapToGrid w:val="0"/>
              </w:rPr>
              <w:t xml:space="preserve">Volume of tissue required </w:t>
            </w:r>
          </w:p>
        </w:tc>
        <w:tc>
          <w:tcPr>
            <w:tcW w:w="456" w:type="pct"/>
            <w:shd w:val="clear" w:color="auto" w:fill="auto"/>
          </w:tcPr>
          <w:p w14:paraId="75C54C64" w14:textId="6EAFE8C4" w:rsidR="009B5315" w:rsidRPr="006865B3" w:rsidRDefault="009B5315" w:rsidP="009B5315">
            <w:pPr>
              <w:pStyle w:val="TableText"/>
              <w:rPr>
                <w:snapToGrid w:val="0"/>
              </w:rPr>
            </w:pPr>
            <w:r w:rsidRPr="006865B3">
              <w:rPr>
                <w:snapToGrid w:val="0"/>
              </w:rPr>
              <w:t>No</w:t>
            </w:r>
          </w:p>
        </w:tc>
      </w:tr>
      <w:tr w:rsidR="009B5315" w:rsidRPr="006865B3" w14:paraId="7DD92EB0" w14:textId="77777777" w:rsidTr="006865B3">
        <w:tc>
          <w:tcPr>
            <w:tcW w:w="646" w:type="pct"/>
            <w:shd w:val="clear" w:color="auto" w:fill="auto"/>
          </w:tcPr>
          <w:p w14:paraId="6D81A767" w14:textId="7AE7B8FE" w:rsidR="009B5315" w:rsidRPr="006865B3" w:rsidRDefault="00B4668F" w:rsidP="009B5315">
            <w:pPr>
              <w:pStyle w:val="TableText"/>
              <w:rPr>
                <w:snapToGrid w:val="0"/>
              </w:rPr>
            </w:pPr>
            <w:r>
              <w:rPr>
                <w:snapToGrid w:val="0"/>
              </w:rPr>
              <w:fldChar w:fldCharType="begin"/>
            </w:r>
            <w:r>
              <w:rPr>
                <w:snapToGrid w:val="0"/>
              </w:rPr>
              <w:instrText xml:space="preserve"> ADDIN EN.CITE &lt;EndNote&gt;&lt;Cite&gt;&lt;Author&gt;Zugazagoitia&lt;/Author&gt;&lt;Year&gt;2018&lt;/Year&gt;&lt;RecNum&gt;72&lt;/RecNum&gt;&lt;IDText&gt;65-73.e7&lt;/IDText&gt;&lt;DisplayText&gt;(Zugazagoitia et al. 2018)&lt;/DisplayText&gt;&lt;record&gt;&lt;rec-number&gt;72&lt;/rec-number&gt;&lt;foreign-keys&gt;&lt;key app="EN" db-id="0tprsse9cpp5r3ea5dz5p0xw2pfwvwxpa5a5" timestamp="1651815038"&gt;72&lt;/key&gt;&lt;/foreign-keys&gt;&lt;ref-type name="Journal Article"&gt;17&lt;/ref-type&gt;&lt;contributors&gt;&lt;authors&gt;&lt;author&gt;Zugazagoitia, J.&lt;/author&gt;&lt;author&gt;Rueda, D.&lt;/author&gt;&lt;author&gt;Carrizo, N.&lt;/author&gt;&lt;author&gt;Enguita, A. B.&lt;/author&gt;&lt;author&gt;Gómez-Sánchez, D.&lt;/author&gt;&lt;author&gt;Díaz-Serrano, A.&lt;/author&gt;&lt;author&gt;Jiménez, E.&lt;/author&gt;&lt;author&gt;Mérida, A.&lt;/author&gt;&lt;author&gt;Calero, R.&lt;/author&gt;&lt;author&gt;Lujan, R.&lt;/author&gt;&lt;author&gt;De Miguel, E.&lt;/author&gt;&lt;author&gt;Gámez, P.&lt;/author&gt;&lt;author&gt;Díaz-Hellín, V.&lt;/author&gt;&lt;author&gt;Nuñez, J. A.&lt;/author&gt;&lt;author&gt;Iglesias, L.&lt;/author&gt;&lt;author&gt;Ferrer, I.&lt;/author&gt;&lt;author&gt;Paz-Ares, L.&lt;/author&gt;&lt;author&gt;Ponce-Aix, S.&lt;/author&gt;&lt;/authors&gt;&lt;/contributors&gt;&lt;titles&gt;&lt;title&gt;Prospective Clinical Integration of an Amplicon-Based Next-Generation Sequencing Method to Select Advanced Non–Small-Cell Lung Cancer Patients for Genotype-Tailored Treatments&lt;/title&gt;&lt;secondary-title&gt;Clinical Lung Cancer&lt;/secondary-title&gt;&lt;/titles&gt;&lt;periodical&gt;&lt;full-title&gt;Clinical Lung Cancer&lt;/full-title&gt;&lt;/periodical&gt;&lt;pages&gt;65-73.e7&lt;/pages&gt;&lt;volume&gt;19&lt;/volume&gt;&lt;number&gt;1&lt;/number&gt;&lt;dates&gt;&lt;year&gt;2018&lt;/year&gt;&lt;/dates&gt;&lt;work-type&gt;Article&lt;/work-type&gt;&lt;urls&gt;&lt;related-urls&gt;&lt;url&gt;https://www.scopus.com/inward/record.uri?eid=2-s2.0-85026785920&amp;amp;doi=10.1016%2fj.cllc.2017.06.008&amp;amp;partnerID=40&amp;amp;md5=ad14a108ae1fb13bf5f730a5f90b7327&lt;/url&gt;&lt;url&gt;https://ac.els-cdn.com/S152573041730181X/1-s2.0-S152573041730181X-main.pdf?_tid=4bb1d394-9894-4f53-8f69-522c3178264f&amp;amp;acdnat=1550019426_9f5124462db1835eca1c86b520c48e73&lt;/url&gt;&lt;/related-urls&gt;&lt;/urls&gt;&lt;electronic-resource-num&gt;10.1016/j.cllc.2017.06.008&lt;/electronic-resource-num&gt;&lt;remote-database-name&gt;Scopus&lt;/remote-database-name&gt;&lt;/record&gt;&lt;/Cite&gt;&lt;/EndNote&gt;</w:instrText>
            </w:r>
            <w:r>
              <w:rPr>
                <w:snapToGrid w:val="0"/>
              </w:rPr>
              <w:fldChar w:fldCharType="separate"/>
            </w:r>
            <w:r>
              <w:rPr>
                <w:noProof/>
                <w:snapToGrid w:val="0"/>
              </w:rPr>
              <w:t>(Zugazagoitia et al. 2018)</w:t>
            </w:r>
            <w:r>
              <w:rPr>
                <w:snapToGrid w:val="0"/>
              </w:rPr>
              <w:fldChar w:fldCharType="end"/>
            </w:r>
          </w:p>
          <w:p w14:paraId="622D46B2" w14:textId="22001288" w:rsidR="009B5315" w:rsidRPr="006865B3" w:rsidRDefault="009B5315" w:rsidP="009B5315">
            <w:pPr>
              <w:spacing w:before="0"/>
              <w:rPr>
                <w:rFonts w:ascii="Arial Narrow" w:hAnsi="Arial Narrow"/>
              </w:rPr>
            </w:pPr>
            <w:r w:rsidRPr="006865B3">
              <w:rPr>
                <w:rFonts w:ascii="Arial Narrow" w:hAnsi="Arial Narrow"/>
                <w:snapToGrid w:val="0"/>
              </w:rPr>
              <w:t>Spain</w:t>
            </w:r>
          </w:p>
        </w:tc>
        <w:tc>
          <w:tcPr>
            <w:tcW w:w="214" w:type="pct"/>
            <w:shd w:val="clear" w:color="auto" w:fill="auto"/>
          </w:tcPr>
          <w:p w14:paraId="7DFE1205" w14:textId="77D3A579" w:rsidR="009B5315" w:rsidRPr="006865B3" w:rsidRDefault="009B5315" w:rsidP="009B5315">
            <w:pPr>
              <w:pStyle w:val="TableText"/>
              <w:rPr>
                <w:snapToGrid w:val="0"/>
              </w:rPr>
            </w:pPr>
            <w:r w:rsidRPr="006865B3">
              <w:rPr>
                <w:snapToGrid w:val="0"/>
              </w:rPr>
              <w:t>109</w:t>
            </w:r>
          </w:p>
        </w:tc>
        <w:tc>
          <w:tcPr>
            <w:tcW w:w="587" w:type="pct"/>
            <w:shd w:val="clear" w:color="auto" w:fill="auto"/>
          </w:tcPr>
          <w:p w14:paraId="0D800A65" w14:textId="77777777" w:rsidR="009B5315" w:rsidRPr="006865B3" w:rsidRDefault="009B5315" w:rsidP="009B5315">
            <w:pPr>
              <w:pStyle w:val="Tabletext0"/>
              <w:jc w:val="left"/>
            </w:pPr>
            <w:r w:rsidRPr="006865B3">
              <w:t>Retrospective cohort study</w:t>
            </w:r>
          </w:p>
          <w:p w14:paraId="041B8CDA" w14:textId="77777777" w:rsidR="009B5315" w:rsidRPr="006865B3" w:rsidRDefault="009B5315" w:rsidP="009B5315">
            <w:pPr>
              <w:pStyle w:val="Tabletext0"/>
              <w:jc w:val="left"/>
            </w:pPr>
            <w:r w:rsidRPr="006865B3">
              <w:t>Level III-2</w:t>
            </w:r>
          </w:p>
          <w:p w14:paraId="17065795" w14:textId="77777777" w:rsidR="009B5315" w:rsidRPr="006865B3" w:rsidRDefault="009B5315" w:rsidP="009B5315">
            <w:pPr>
              <w:pStyle w:val="Tabletext0"/>
              <w:spacing w:before="0" w:after="120"/>
              <w:jc w:val="left"/>
            </w:pPr>
          </w:p>
        </w:tc>
        <w:tc>
          <w:tcPr>
            <w:tcW w:w="764" w:type="pct"/>
            <w:shd w:val="clear" w:color="auto" w:fill="auto"/>
          </w:tcPr>
          <w:p w14:paraId="695ABC14" w14:textId="2FF7379A" w:rsidR="009B5315" w:rsidRPr="006865B3" w:rsidRDefault="009B5315" w:rsidP="009B5315">
            <w:pPr>
              <w:pStyle w:val="Tabletext0"/>
              <w:spacing w:before="0" w:after="120"/>
              <w:jc w:val="left"/>
            </w:pPr>
            <w:r w:rsidRPr="006865B3">
              <w:rPr>
                <w:snapToGrid w:val="0"/>
              </w:rPr>
              <w:t xml:space="preserve">Consecutive advanced stage NSCLC patients reviewed in a single centre </w:t>
            </w:r>
          </w:p>
        </w:tc>
        <w:tc>
          <w:tcPr>
            <w:tcW w:w="800" w:type="pct"/>
          </w:tcPr>
          <w:p w14:paraId="58EE3A02" w14:textId="3A1CCF76" w:rsidR="009B5315" w:rsidRPr="006865B3" w:rsidRDefault="009B5315" w:rsidP="009B5315">
            <w:pPr>
              <w:pStyle w:val="TableText"/>
            </w:pPr>
            <w:r w:rsidRPr="006865B3">
              <w:t>NGS DNA analysis for hot spots in 22 genes, RNA analysis for 72 fusion variants</w:t>
            </w:r>
          </w:p>
        </w:tc>
        <w:tc>
          <w:tcPr>
            <w:tcW w:w="961" w:type="pct"/>
          </w:tcPr>
          <w:p w14:paraId="46344A66" w14:textId="7E4FA466" w:rsidR="009B5315" w:rsidRPr="006865B3" w:rsidRDefault="009B5315" w:rsidP="009B5315">
            <w:pPr>
              <w:pStyle w:val="TableText"/>
            </w:pPr>
            <w:r w:rsidRPr="006865B3">
              <w:t xml:space="preserve">Cobas for </w:t>
            </w:r>
            <w:r w:rsidRPr="006865B3">
              <w:rPr>
                <w:i/>
              </w:rPr>
              <w:t>EGFR</w:t>
            </w:r>
            <w:r w:rsidRPr="006865B3">
              <w:t>, IHC for ALK and ROS1</w:t>
            </w:r>
          </w:p>
        </w:tc>
        <w:tc>
          <w:tcPr>
            <w:tcW w:w="572" w:type="pct"/>
            <w:shd w:val="clear" w:color="auto" w:fill="auto"/>
          </w:tcPr>
          <w:p w14:paraId="5F170591" w14:textId="5062E8A5" w:rsidR="009B5315" w:rsidRPr="006865B3" w:rsidRDefault="009B5315" w:rsidP="009B5315">
            <w:pPr>
              <w:pStyle w:val="TableText"/>
              <w:rPr>
                <w:snapToGrid w:val="0"/>
              </w:rPr>
            </w:pPr>
            <w:r w:rsidRPr="006865B3">
              <w:rPr>
                <w:snapToGrid w:val="0"/>
              </w:rPr>
              <w:t>Test success rate</w:t>
            </w:r>
          </w:p>
        </w:tc>
        <w:tc>
          <w:tcPr>
            <w:tcW w:w="456" w:type="pct"/>
            <w:shd w:val="clear" w:color="auto" w:fill="auto"/>
          </w:tcPr>
          <w:p w14:paraId="113D75B4" w14:textId="7D83EB10" w:rsidR="009B5315" w:rsidRPr="006865B3" w:rsidRDefault="009B5315" w:rsidP="009B5315">
            <w:pPr>
              <w:pStyle w:val="TableText"/>
              <w:rPr>
                <w:snapToGrid w:val="0"/>
              </w:rPr>
            </w:pPr>
            <w:r w:rsidRPr="006865B3">
              <w:rPr>
                <w:snapToGrid w:val="0"/>
              </w:rPr>
              <w:t>No</w:t>
            </w:r>
          </w:p>
        </w:tc>
      </w:tr>
    </w:tbl>
    <w:p w14:paraId="60EA0958" w14:textId="77777777" w:rsidR="00605EF4" w:rsidRDefault="00605EF4" w:rsidP="00605EF4">
      <w:pPr>
        <w:pStyle w:val="Tablenotes"/>
      </w:pPr>
      <w:r w:rsidRPr="007C7AB1">
        <w:rPr>
          <w:i/>
        </w:rPr>
        <w:t>ALK</w:t>
      </w:r>
      <w:r>
        <w:t xml:space="preserve"> = </w:t>
      </w:r>
      <w:r w:rsidRPr="00561C5F">
        <w:t>anaplastic lymphoma kinase</w:t>
      </w:r>
      <w:r>
        <w:t xml:space="preserve">; aNSCLC = advanced non-small cell lung cancer; ARMS-PCR = amplification-refractory mutation system polymerase chain reaction; </w:t>
      </w:r>
      <w:r w:rsidRPr="00152F12">
        <w:rPr>
          <w:i/>
        </w:rPr>
        <w:t>BRAF</w:t>
      </w:r>
      <w:r>
        <w:t xml:space="preserve"> = proto-oncogene B-Raf and v-Raf murine sarcoma viral oncogene homolog B; </w:t>
      </w:r>
      <w:r w:rsidRPr="002412BE">
        <w:t xml:space="preserve">DNA = deoxyribonucleic acid;  </w:t>
      </w:r>
      <w:r w:rsidRPr="007C7AB1">
        <w:rPr>
          <w:i/>
        </w:rPr>
        <w:t>EGFR</w:t>
      </w:r>
      <w:r>
        <w:t xml:space="preserve"> = epidermal growth factor receptor; </w:t>
      </w:r>
      <w:r w:rsidRPr="00152F12">
        <w:rPr>
          <w:i/>
        </w:rPr>
        <w:t>ERBB2</w:t>
      </w:r>
      <w:r>
        <w:t xml:space="preserve"> = erb-b2 receptor tyrosine kinase 2; FISH = fluorescent in situ hybridisation; IHC = immunohistochemistry; ISH = in situ hybridisation; </w:t>
      </w:r>
      <w:r w:rsidRPr="00152F12">
        <w:rPr>
          <w:i/>
        </w:rPr>
        <w:t>KRAS</w:t>
      </w:r>
      <w:r>
        <w:t xml:space="preserve"> = Kirsten rat sarcoma; LDTs = laboratory developed tests; MLPA = Multiplex ligation-dependent probe amplification; </w:t>
      </w:r>
      <w:r w:rsidRPr="00CE4DC5">
        <w:rPr>
          <w:i/>
        </w:rPr>
        <w:t>MET</w:t>
      </w:r>
      <w:r w:rsidRPr="00CE4DC5">
        <w:t xml:space="preserve"> =</w:t>
      </w:r>
      <w:r>
        <w:t xml:space="preserve"> </w:t>
      </w:r>
      <w:r w:rsidRPr="008F67AF">
        <w:rPr>
          <w:szCs w:val="18"/>
        </w:rPr>
        <w:t>mesenchymal-epithelial transition</w:t>
      </w:r>
      <w:r>
        <w:rPr>
          <w:szCs w:val="18"/>
        </w:rPr>
        <w:t xml:space="preserve">; </w:t>
      </w:r>
      <w:r>
        <w:t xml:space="preserve">NGS = next generation sequencing; NOS = not otherwise specified; NSCLC = non-small cell lung cancer; </w:t>
      </w:r>
      <w:r w:rsidRPr="00152F12">
        <w:rPr>
          <w:i/>
        </w:rPr>
        <w:t>RET</w:t>
      </w:r>
      <w:r>
        <w:t xml:space="preserve"> = rearranged during transfection; RNA = ribonucleic acid; </w:t>
      </w:r>
      <w:r w:rsidRPr="00380685">
        <w:rPr>
          <w:i/>
        </w:rPr>
        <w:t>ROS1</w:t>
      </w:r>
      <w:r>
        <w:t xml:space="preserve"> = ROS proto-oncogene 1; RT-PCR = real time polymerase chain reaction; SISH = silver in situ hybridisation; SS = Sanger sequencing;</w:t>
      </w:r>
    </w:p>
    <w:p w14:paraId="690EBC7C" w14:textId="0EBE3F69" w:rsidR="00B233D2" w:rsidRDefault="00B233D2" w:rsidP="00B233D2">
      <w:pPr>
        <w:pStyle w:val="TableFigureFooter"/>
        <w:rPr>
          <w:color w:val="258221"/>
        </w:rPr>
      </w:pPr>
    </w:p>
    <w:p w14:paraId="0B47A8FF" w14:textId="7F2FB33F" w:rsidR="00B233D2" w:rsidRPr="00CE28E3" w:rsidRDefault="00B233D2" w:rsidP="00B233D2">
      <w:pPr>
        <w:pStyle w:val="Caption"/>
      </w:pPr>
      <w:r w:rsidRPr="00CE28E3">
        <w:lastRenderedPageBreak/>
        <w:t>Table</w:t>
      </w:r>
      <w:r>
        <w:t> </w:t>
      </w:r>
      <w:fldSimple w:instr=" SEQ Table \* ARABIC ">
        <w:r w:rsidR="00C857F3">
          <w:rPr>
            <w:noProof/>
          </w:rPr>
          <w:t>79</w:t>
        </w:r>
      </w:fldSimple>
      <w:r w:rsidRPr="00CE28E3">
        <w:tab/>
        <w:t>Risk of bias of test accuracy studies (</w:t>
      </w:r>
      <w:r>
        <w:t xml:space="preserve">using </w:t>
      </w:r>
      <w:r w:rsidRPr="00CE28E3">
        <w:t>QUADAS 2 checklist)</w:t>
      </w:r>
    </w:p>
    <w:tbl>
      <w:tblPr>
        <w:tblStyle w:val="TableGrid1"/>
        <w:tblW w:w="5000" w:type="pct"/>
        <w:tblBorders>
          <w:top w:val="outset" w:sz="6" w:space="0" w:color="auto"/>
          <w:left w:val="outset" w:sz="6" w:space="0" w:color="auto"/>
          <w:bottom w:val="outset" w:sz="6" w:space="0" w:color="auto"/>
          <w:right w:val="outset" w:sz="6"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Caption w:val="Risk of bias of test accuracy studies (using QUADAS 2 checklist)"/>
        <w:tblDescription w:val="Risk of bias of test accuracy studies (using QUADAS 2 checklist)"/>
      </w:tblPr>
      <w:tblGrid>
        <w:gridCol w:w="781"/>
        <w:gridCol w:w="692"/>
        <w:gridCol w:w="692"/>
        <w:gridCol w:w="692"/>
        <w:gridCol w:w="692"/>
        <w:gridCol w:w="692"/>
        <w:gridCol w:w="692"/>
        <w:gridCol w:w="692"/>
        <w:gridCol w:w="692"/>
        <w:gridCol w:w="691"/>
        <w:gridCol w:w="691"/>
        <w:gridCol w:w="691"/>
        <w:gridCol w:w="691"/>
        <w:gridCol w:w="691"/>
        <w:gridCol w:w="691"/>
        <w:gridCol w:w="691"/>
        <w:gridCol w:w="691"/>
        <w:gridCol w:w="691"/>
        <w:gridCol w:w="691"/>
        <w:gridCol w:w="715"/>
      </w:tblGrid>
      <w:tr w:rsidR="00712378" w:rsidRPr="00712378" w14:paraId="6B4E0A16" w14:textId="77777777" w:rsidTr="00712378">
        <w:trPr>
          <w:cnfStyle w:val="100000000000" w:firstRow="1" w:lastRow="0" w:firstColumn="0" w:lastColumn="0" w:oddVBand="0" w:evenVBand="0" w:oddHBand="0" w:evenHBand="0" w:firstRowFirstColumn="0" w:firstRowLastColumn="0" w:lastRowFirstColumn="0" w:lastRowLastColumn="0"/>
          <w:trHeight w:val="31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49EF8F8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Study</w:t>
            </w:r>
            <w:r w:rsidRPr="00712378">
              <w:rPr>
                <w:rFonts w:ascii="Arial Narrow" w:hAnsi="Arial Narrow" w:cs="Segoe UI"/>
              </w:rPr>
              <w:t> </w:t>
            </w:r>
          </w:p>
        </w:tc>
        <w:tc>
          <w:tcPr>
            <w:tcW w:w="3956" w:type="pct"/>
            <w:gridSpan w:val="16"/>
            <w:tcBorders>
              <w:top w:val="single" w:sz="6" w:space="0" w:color="auto"/>
              <w:left w:val="single" w:sz="6" w:space="0" w:color="auto"/>
              <w:bottom w:val="single" w:sz="6" w:space="0" w:color="auto"/>
              <w:right w:val="single" w:sz="6" w:space="0" w:color="auto"/>
            </w:tcBorders>
            <w:shd w:val="clear" w:color="auto" w:fill="FFFFFF"/>
            <w:hideMark/>
          </w:tcPr>
          <w:p w14:paraId="06628AE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RISK OF BIAS</w:t>
            </w:r>
            <w:r w:rsidRPr="00712378">
              <w:rPr>
                <w:rFonts w:ascii="Arial Narrow" w:hAnsi="Arial Narrow" w:cs="Segoe UI"/>
              </w:rPr>
              <w:t> </w:t>
            </w:r>
          </w:p>
        </w:tc>
        <w:tc>
          <w:tcPr>
            <w:tcW w:w="750"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D78B89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APPLICABILITY CONCERNS</w:t>
            </w:r>
            <w:r w:rsidRPr="00712378">
              <w:rPr>
                <w:rFonts w:ascii="Arial Narrow" w:hAnsi="Arial Narrow" w:cs="Segoe UI"/>
              </w:rPr>
              <w:t> </w:t>
            </w:r>
          </w:p>
        </w:tc>
      </w:tr>
      <w:tr w:rsidR="00712378" w:rsidRPr="00712378" w14:paraId="604BBA3E" w14:textId="77777777" w:rsidTr="00712378">
        <w:trPr>
          <w:trHeight w:val="31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BE5E5A7"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DA814A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Patient selection</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242D347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Index test</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7542A55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Reference standard</w:t>
            </w:r>
            <w:r w:rsidRPr="00712378">
              <w:rPr>
                <w:rFonts w:ascii="Arial Narrow" w:hAnsi="Arial Narrow" w:cs="Segoe UI"/>
              </w:rPr>
              <w:t> </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18CE4BA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Flow and timing</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D393D7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Patient selection</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7F85C2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Index test</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6DF4B83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Reference standard</w:t>
            </w:r>
            <w:r w:rsidRPr="00712378">
              <w:rPr>
                <w:rFonts w:ascii="Arial Narrow" w:hAnsi="Arial Narrow" w:cs="Segoe UI"/>
              </w:rPr>
              <w:t> </w:t>
            </w:r>
          </w:p>
        </w:tc>
      </w:tr>
      <w:tr w:rsidR="00712378" w:rsidRPr="00712378" w14:paraId="46200B25"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434D96E" w14:textId="77777777" w:rsidR="00712378" w:rsidRPr="00712378" w:rsidRDefault="00712378" w:rsidP="00712378">
            <w:pPr>
              <w:spacing w:before="0" w:after="0"/>
              <w:rPr>
                <w:rFonts w:ascii="Segoe UI" w:hAnsi="Segoe UI" w:cs="Segoe UI"/>
                <w:sz w:val="18"/>
                <w:szCs w:val="18"/>
              </w:rPr>
            </w:pP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A8622F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1</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6F6F9B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2</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BD7124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3</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4E6545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4</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33D655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1</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564AF9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2</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2B1F61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3</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03BE62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1</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4F9D07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2</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BF650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3</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F94C5A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1</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96F129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2</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5285DC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3</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8A1927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4</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97D126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5</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E371F0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6</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3AF33A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1</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35E5AA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1</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15C8743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b/>
                <w:bCs/>
              </w:rPr>
              <w:t>1</w:t>
            </w:r>
            <w:r w:rsidRPr="00712378">
              <w:rPr>
                <w:rFonts w:ascii="Arial Narrow" w:hAnsi="Arial Narrow" w:cs="Segoe UI"/>
              </w:rPr>
              <w:t> </w:t>
            </w:r>
          </w:p>
        </w:tc>
      </w:tr>
      <w:tr w:rsidR="00712378" w:rsidRPr="00712378" w14:paraId="51A3F84B"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5658731D" w14:textId="359E2E49" w:rsidR="00712378" w:rsidRPr="00712378" w:rsidRDefault="00634F25" w:rsidP="00712378">
            <w:pPr>
              <w:spacing w:before="0" w:after="0"/>
              <w:textAlignment w:val="baseline"/>
              <w:rPr>
                <w:rFonts w:ascii="Segoe UI" w:hAnsi="Segoe UI" w:cs="Segoe UI"/>
                <w:sz w:val="18"/>
                <w:szCs w:val="18"/>
              </w:rPr>
            </w:pPr>
            <w:r>
              <w:rPr>
                <w:rFonts w:ascii="Arial Narrow" w:hAnsi="Arial Narrow" w:cs="Segoe UI"/>
              </w:rPr>
              <w:t xml:space="preserve">Study </w:t>
            </w:r>
          </w:p>
        </w:tc>
        <w:tc>
          <w:tcPr>
            <w:tcW w:w="247" w:type="pct"/>
            <w:tcBorders>
              <w:top w:val="single" w:sz="6" w:space="0" w:color="auto"/>
              <w:left w:val="single" w:sz="6" w:space="0" w:color="auto"/>
              <w:bottom w:val="nil"/>
              <w:right w:val="single" w:sz="6" w:space="0" w:color="auto"/>
            </w:tcBorders>
            <w:shd w:val="clear" w:color="auto" w:fill="FFFFFF"/>
            <w:hideMark/>
          </w:tcPr>
          <w:p w14:paraId="1A45163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77257C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89D792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C3DB88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6DD6B2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763F1D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0425E1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D2051A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EA320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28E7B7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F22F87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BA2D99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181E64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6BC74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4C98D7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3450CC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B084CE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87B9B6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904A11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 </w:t>
            </w:r>
          </w:p>
        </w:tc>
      </w:tr>
      <w:tr w:rsidR="00712378" w:rsidRPr="00712378" w14:paraId="6D21EFBD"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A793D66"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383537F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D6E3BC"/>
              </w:rPr>
              <w:t>/</w:t>
            </w:r>
            <w:r w:rsidRPr="00712378">
              <w:rPr>
                <w:rFonts w:ascii="Wingdings" w:hAnsi="Wingdings" w:cs="Segoe UI"/>
                <w:shd w:val="clear" w:color="auto" w:fill="FBD4B4"/>
              </w:rPr>
              <w:sym w:font="Wingdings" w:char="F04C"/>
            </w:r>
            <w:r w:rsidRPr="00712378">
              <w:rPr>
                <w:rFonts w:ascii="Arial Narrow" w:hAnsi="Arial Narrow" w:cs="Segoe UI"/>
                <w:shd w:val="clear" w:color="auto" w:fill="FBD4B4"/>
              </w:rPr>
              <w:t>/</w:t>
            </w: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6CB0C44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D6E3BC"/>
              </w:rPr>
              <w:t>/</w:t>
            </w:r>
            <w:r w:rsidRPr="00712378">
              <w:rPr>
                <w:rFonts w:ascii="Wingdings" w:hAnsi="Wingdings" w:cs="Segoe UI"/>
                <w:shd w:val="clear" w:color="auto" w:fill="FBD4B4"/>
              </w:rPr>
              <w:sym w:font="Wingdings" w:char="F04C"/>
            </w:r>
            <w:r w:rsidRPr="00712378">
              <w:rPr>
                <w:rFonts w:ascii="Arial Narrow" w:hAnsi="Arial Narrow" w:cs="Segoe UI"/>
                <w:shd w:val="clear" w:color="auto" w:fill="FBD4B4"/>
              </w:rPr>
              <w:t>/</w:t>
            </w: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54662DC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D6E3BC"/>
              </w:rPr>
              <w:t>/</w:t>
            </w:r>
            <w:r w:rsidRPr="00712378">
              <w:rPr>
                <w:rFonts w:ascii="Wingdings" w:hAnsi="Wingdings" w:cs="Segoe UI"/>
                <w:shd w:val="clear" w:color="auto" w:fill="FBD4B4"/>
              </w:rPr>
              <w:sym w:font="Wingdings" w:char="F04C"/>
            </w:r>
            <w:r w:rsidRPr="00712378">
              <w:rPr>
                <w:rFonts w:ascii="Arial Narrow" w:hAnsi="Arial Narrow" w:cs="Segoe UI"/>
                <w:shd w:val="clear" w:color="auto" w:fill="FBD4B4"/>
              </w:rPr>
              <w:t>/</w:t>
            </w:r>
            <w:r w:rsidRPr="00712378">
              <w:rPr>
                <w:rFonts w:ascii="Arial Narrow" w:hAnsi="Arial Narrow" w:cs="Segoe UI"/>
                <w:shd w:val="clear" w:color="auto" w:fill="B6DDE8"/>
              </w:rPr>
              <w:t>  ?</w:t>
            </w:r>
            <w:r w:rsidRPr="00712378">
              <w:rPr>
                <w:rFonts w:ascii="Arial Narrow" w:hAnsi="Arial Narrow" w:cs="Segoe UI"/>
              </w:rPr>
              <w:t> </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6EF6493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D6E3BC"/>
              </w:rPr>
              <w:t>/</w:t>
            </w:r>
            <w:r w:rsidRPr="00712378">
              <w:rPr>
                <w:rFonts w:ascii="Wingdings" w:hAnsi="Wingdings" w:cs="Segoe UI"/>
                <w:shd w:val="clear" w:color="auto" w:fill="FBD4B4"/>
              </w:rPr>
              <w:sym w:font="Wingdings" w:char="F04C"/>
            </w:r>
            <w:r w:rsidRPr="00712378">
              <w:rPr>
                <w:rFonts w:ascii="Arial Narrow" w:hAnsi="Arial Narrow" w:cs="Segoe UI"/>
                <w:shd w:val="clear" w:color="auto" w:fill="FBD4B4"/>
              </w:rPr>
              <w:t>/</w:t>
            </w: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9637F5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D6E3BC"/>
              </w:rPr>
              <w:t>/</w:t>
            </w:r>
            <w:r w:rsidRPr="00712378">
              <w:rPr>
                <w:rFonts w:ascii="Wingdings" w:hAnsi="Wingdings" w:cs="Segoe UI"/>
                <w:shd w:val="clear" w:color="auto" w:fill="FBD4B4"/>
              </w:rPr>
              <w:sym w:font="Wingdings" w:char="F04C"/>
            </w:r>
            <w:r w:rsidRPr="00712378">
              <w:rPr>
                <w:rFonts w:ascii="Arial Narrow" w:hAnsi="Arial Narrow" w:cs="Segoe UI"/>
                <w:shd w:val="clear" w:color="auto" w:fill="FBD4B4"/>
              </w:rPr>
              <w:t>/</w:t>
            </w: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91A48E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D6E3BC"/>
              </w:rPr>
              <w:t>/</w:t>
            </w:r>
            <w:r w:rsidRPr="00712378">
              <w:rPr>
                <w:rFonts w:ascii="Wingdings" w:hAnsi="Wingdings" w:cs="Segoe UI"/>
                <w:shd w:val="clear" w:color="auto" w:fill="FBD4B4"/>
              </w:rPr>
              <w:sym w:font="Wingdings" w:char="F04C"/>
            </w:r>
            <w:r w:rsidRPr="00712378">
              <w:rPr>
                <w:rFonts w:ascii="Arial Narrow" w:hAnsi="Arial Narrow" w:cs="Segoe UI"/>
                <w:shd w:val="clear" w:color="auto" w:fill="FBD4B4"/>
              </w:rPr>
              <w:t>/</w:t>
            </w: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006CE88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D6E3BC"/>
              </w:rPr>
              <w:t>/</w:t>
            </w:r>
            <w:r w:rsidRPr="00712378">
              <w:rPr>
                <w:rFonts w:ascii="Wingdings" w:hAnsi="Wingdings" w:cs="Segoe UI"/>
                <w:shd w:val="clear" w:color="auto" w:fill="FBD4B4"/>
              </w:rPr>
              <w:sym w:font="Wingdings" w:char="F04C"/>
            </w:r>
            <w:r w:rsidRPr="00712378">
              <w:rPr>
                <w:rFonts w:ascii="Arial Narrow" w:hAnsi="Arial Narrow" w:cs="Segoe UI"/>
                <w:shd w:val="clear" w:color="auto" w:fill="FBD4B4"/>
              </w:rPr>
              <w:t>/</w:t>
            </w:r>
            <w:r w:rsidRPr="00712378">
              <w:rPr>
                <w:rFonts w:ascii="Arial Narrow" w:hAnsi="Arial Narrow" w:cs="Segoe UI"/>
                <w:shd w:val="clear" w:color="auto" w:fill="B6DDE8"/>
              </w:rPr>
              <w:t>  ?</w:t>
            </w:r>
            <w:r w:rsidRPr="00712378">
              <w:rPr>
                <w:rFonts w:ascii="Arial Narrow" w:hAnsi="Arial Narrow" w:cs="Segoe UI"/>
              </w:rPr>
              <w:t> </w:t>
            </w:r>
          </w:p>
        </w:tc>
      </w:tr>
      <w:tr w:rsidR="00712378" w:rsidRPr="00712378" w14:paraId="22879705"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49F71E4C" w14:textId="4F3A250E"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r>
            <w:r>
              <w:rPr>
                <w:rFonts w:ascii="Arial Narrow" w:hAnsi="Arial Narrow" w:cs="Segoe UI"/>
              </w:rPr>
              <w:instrText xml:space="preserve"> ADDIN EN.CITE &lt;EndNote&gt;&lt;Cite&gt;&lt;Author&gt;Canterbury&lt;/Author&gt;&lt;Year&gt;2021&lt;/Year&gt;&lt;RecNum&gt;157&lt;/RecNum&gt;&lt;IDText&gt;100223-100223&lt;/IDText&gt;&lt;DisplayText&gt;(Canterbury et al. 2021)&lt;/DisplayText&gt;&lt;record&gt;&lt;rec-number&gt;157&lt;/rec-number&gt;&lt;foreign-keys&gt;&lt;key app="EN" db-id="0tprsse9cpp5r3ea5dz5p0xw2pfwvwxpa5a5" timestamp="1655264277"&gt;157&lt;/key&gt;&lt;/foreign-keys&gt;&lt;ref-type name="Journal Article"&gt;17&lt;/ref-type&gt;&lt;contributors&gt;&lt;authors&gt;&lt;author&gt;Canterbury, Carleigh R.&lt;/author&gt;&lt;author&gt;Fernandes, Helen&lt;/author&gt;&lt;author&gt;Crapanzano, John P.&lt;/author&gt;&lt;author&gt;Murty, Vundavalli V.&lt;/author&gt;&lt;author&gt;Mansukhani, Mahesh M.&lt;/author&gt;&lt;author&gt;Shu, Catherine A.&lt;/author&gt;&lt;author&gt;Szabolcs, Matthias&lt;/author&gt;&lt;author&gt;Saqi, Anjali&lt;/author&gt;&lt;/authors&gt;&lt;/contributors&gt;&lt;titles&gt;&lt;title&gt;ALK Gene Rearrangements in Lung Adenocarcinomas: Concordance of Immunohistochemistry, Fluorescence In Situ Hybridization, RNA In Situ Hybridization, and RNA Next-Generation Sequencing Testing&lt;/title&gt;&lt;secondary-title&gt;JTO clinical and research reports&lt;/secondary-title&gt;&lt;/titles&gt;&lt;periodical&gt;&lt;full-title&gt;JTO Clin Res Rep&lt;/full-title&gt;&lt;abbr-1&gt;JTO clinical and research reports&lt;/abbr-1&gt;&lt;/periodical&gt;&lt;pages&gt;100223-100223&lt;/pages&gt;&lt;volume&gt;2&lt;/volume&gt;&lt;number&gt;10&lt;/number&gt;&lt;dates&gt;&lt;year&gt;2021&lt;/year&gt;&lt;/dates&gt;&lt;urls&gt;&lt;related-urls&gt;&lt;url&gt;https://www.ncbi.nlm.nih.gov/pmc/articles/PMC8552107/pdf/main.pdf&lt;/url&gt;&lt;/related-urls&gt;&lt;/urls&gt;&lt;electronic-resource-num&gt;10.1016/j.jtocrr.2021.100223&lt;/electronic-resource-num&gt;&lt;research-notes&gt; P - Include - concordance ALK&lt;/research-notes&gt;&lt;/record&gt;&lt;/Cite&gt;&lt;/EndNote&gt;</w:instrText>
            </w:r>
            <w:r>
              <w:rPr>
                <w:rFonts w:ascii="Arial Narrow" w:hAnsi="Arial Narrow" w:cs="Segoe UI"/>
              </w:rPr>
              <w:fldChar w:fldCharType="separate"/>
            </w:r>
            <w:r>
              <w:rPr>
                <w:rFonts w:ascii="Arial Narrow" w:hAnsi="Arial Narrow" w:cs="Segoe UI"/>
                <w:noProof/>
              </w:rPr>
              <w:t>(Canterbury et al. 2021)</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2852198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0AB558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7FCAF9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3E96A2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C9A57D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828049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244942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BF5908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6B7B4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09C803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EEF662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12E5AB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A5A8D3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E98C4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0B6F98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68E737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1EFD55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8D8979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383D4B8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3378CA8B"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6B962E6"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5113E15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2B924B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13C182D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01C4C16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43C7AB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3C805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5F1493D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41A1E97E"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3BFF00C0" w14:textId="3925D429"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r>
            <w:r>
              <w:rPr>
                <w:rFonts w:ascii="Arial Narrow" w:hAnsi="Arial Narrow" w:cs="Segoe UI"/>
              </w:rPr>
              <w:instrText xml:space="preserve"> ADDIN EN.CITE &lt;EndNote&gt;&lt;Cite&gt;&lt;Author&gt;de Biase&lt;/Author&gt;&lt;Year&gt;2013&lt;/Year&gt;&lt;RecNum&gt;158&lt;/RecNum&gt;&lt;IDText&gt;e83607-NA&lt;/IDText&gt;&lt;DisplayText&gt;(de Biase et al. 2013)&lt;/DisplayText&gt;&lt;record&gt;&lt;rec-number&gt;158&lt;/rec-number&gt;&lt;foreign-keys&gt;&lt;key app="EN" db-id="0tprsse9cpp5r3ea5dz5p0xw2pfwvwxpa5a5" timestamp="1655264277"&gt;158&lt;/key&gt;&lt;/foreign-keys&gt;&lt;ref-type name="Journal Article"&gt;17&lt;/ref-type&gt;&lt;contributors&gt;&lt;authors&gt;&lt;author&gt;de Biase, Dario&lt;/author&gt;&lt;author&gt;Visani, Michela&lt;/author&gt;&lt;author&gt;Malapelle, Umberto&lt;/author&gt;&lt;author&gt;Simonato, Francesca&lt;/author&gt;&lt;author&gt;Cesari, Valentina&lt;/author&gt;&lt;author&gt;Bellevicine, Claudio&lt;/author&gt;&lt;author&gt;Pession, Annalisa&lt;/author&gt;&lt;author&gt;Troncone, Giancarlo&lt;/author&gt;&lt;author&gt;Fassina, Ambrogio&lt;/author&gt;&lt;author&gt;Tallini, Giovanni&lt;/author&gt;&lt;/authors&gt;&lt;/contributors&gt;&lt;titles&gt;&lt;title&gt;Next-Generation Sequencing of Lung Cancer EGFR Exons 18-21 Allows Effective Molecular Diagnosis of Small Routine Samples (Cytology and Biopsy)&lt;/title&gt;&lt;secondary-title&gt;PloS one&lt;/secondary-title&gt;&lt;/titles&gt;&lt;periodical&gt;&lt;full-title&gt;PLoS One&lt;/full-title&gt;&lt;/periodical&gt;&lt;pages&gt;e83607-NA&lt;/pages&gt;&lt;volume&gt;8&lt;/volume&gt;&lt;number&gt;12&lt;/number&gt;&lt;dates&gt;&lt;year&gt;2013&lt;/year&gt;&lt;/dates&gt;&lt;urls&gt;&lt;/urls&gt;&lt;electronic-resource-num&gt;10.1371/journal.pone.0083607&lt;/electronic-resource-num&gt;&lt;research-notes&gt;P - Include. concordance in predictions of clinical relevance. &lt;/research-notes&gt;&lt;/record&gt;&lt;/Cite&gt;&lt;/EndNote&gt;</w:instrText>
            </w:r>
            <w:r>
              <w:rPr>
                <w:rFonts w:ascii="Arial Narrow" w:hAnsi="Arial Narrow" w:cs="Segoe UI"/>
              </w:rPr>
              <w:fldChar w:fldCharType="separate"/>
            </w:r>
            <w:r>
              <w:rPr>
                <w:rFonts w:ascii="Arial Narrow" w:hAnsi="Arial Narrow" w:cs="Segoe UI"/>
                <w:noProof/>
              </w:rPr>
              <w:t>(de Biase et al. 2013)</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40CC9FD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51BD52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7CC931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E34422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5DAE01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8D3608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02A8E7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BA7E49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2F83BD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81D2EB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29589A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DCFAD5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339568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9B9E30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4800F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4594FF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15D302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0C892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2EF6803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7AA18490"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B8757FE"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1247A79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61F4BFC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56E9F3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7FDF045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9B5F45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46A8D2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6B7220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551BEB18"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21678B97" w14:textId="6832BC11"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(DiBardino et al. 2017)</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1C62DC5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7AB260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DEDE7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00A5C9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88EFE5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0C1637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611CE1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41BCD2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99A1C9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848D63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D4F606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9337BB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71DB27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9550FD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4CBDC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E19A16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852075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DF1934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07AB63A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32287BB7"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B16CC3D"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4A615C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129F4AE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409CD0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070A324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D366C0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DB643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AA1899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1050FBA4"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561ED9BF" w14:textId="111021E8"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r>
            <w:r>
              <w:rPr>
                <w:rFonts w:ascii="Arial Narrow" w:hAnsi="Arial Narrow" w:cs="Segoe UI"/>
              </w:rPr>
              <w:instrText xml:space="preserve"> ADDIN EN.CITE &lt;EndNote&gt;&lt;Cite&gt;&lt;Author&gt;DiBardino&lt;/Author&gt;&lt;Year&gt;2016&lt;/Year&gt;&lt;RecNum&gt;66&lt;/RecNum&gt;&lt;IDText&gt;517-+&lt;/IDText&gt;&lt;DisplayText&gt;(DiBardino et al. 2016)&lt;/DisplayText&gt;&lt;record&gt;&lt;rec-number&gt;66&lt;/rec-number&gt;&lt;foreign-keys&gt;&lt;key app="EN" db-id="0tprsse9cpp5r3ea5dz5p0xw2pfwvwxpa5a5" timestamp="1651814838"&gt;66&lt;/key&gt;&lt;/foreign-keys&gt;&lt;ref-type name="Journal Article"&gt;17&lt;/ref-type&gt;&lt;contributors&gt;&lt;authors&gt;&lt;author&gt;DiBardino, D. M.&lt;/author&gt;&lt;author&gt;Saqi, A.&lt;/author&gt;&lt;author&gt;Elvin, J. A.&lt;/author&gt;&lt;author&gt;Greenbowe, J.&lt;/author&gt;&lt;author&gt;Suh, J. H.&lt;/author&gt;&lt;author&gt;Miller, V. A.&lt;/author&gt;&lt;author&gt;Ali, S. M.&lt;/author&gt;&lt;author&gt;Stoopler, M.&lt;/author&gt;&lt;author&gt;Bulman, W. A.&lt;/author&gt;&lt;/authors&gt;&lt;/contributors&gt;&lt;titles&gt;&lt;title&gt;Yield and Clinical Utility of Next-Generation Sequencing in Selected Patients With Lung Adenocarcinoma&lt;/title&gt;&lt;secondary-title&gt;Clinical Lung Cancer&lt;/secondary-title&gt;&lt;/titles&gt;&lt;periodical&gt;&lt;full-title&gt;Clinical Lung Cancer&lt;/full-title&gt;&lt;/periodical&gt;&lt;pages&gt;517-+&lt;/pages&gt;&lt;volume&gt;17&lt;/volume&gt;&lt;number&gt;6&lt;/number&gt;&lt;dates&gt;&lt;year&gt;2016&lt;/year&gt;&lt;pub-dates&gt;&lt;date&gt;Nov&lt;/date&gt;&lt;/pub-dates&gt;&lt;/dates&gt;&lt;isbn&gt;1525-7304&lt;/isbn&gt;&lt;accession-num&gt;WOS:000386329500006&lt;/accession-num&gt;&lt;urls&gt;&lt;related-urls&gt;&lt;url&gt;&lt;style face="underline" font="default" size="100%"&gt;&amp;lt;Go to ISI&amp;gt;://WOS:000386329500006&lt;/style&gt;&lt;/url&gt;&lt;url&gt;&lt;style face="underline" font="default" size="100%"&gt;https://ac.els-cdn.com/S1525730416301334/1-s2.0-S1525730416301334-main.pdf?_tid=88836b01-beeb-4440-9c4c-11e1353c1d27&amp;amp;acdnat=1548814245_225f28b86c26e094b8379606d5e03732&lt;/style&gt;&lt;/url&gt;&lt;/related-urls&gt;&lt;/urls&gt;&lt;electronic-resource-num&gt;10.1016/j.cllc.2016.05.017&lt;/electronic-resource-num&gt;&lt;research-notes&gt;management data. can&amp;apos;t extract 2x2 concordance. &lt;/research-notes&gt;&lt;/record&gt;&lt;/Cite&gt;&lt;/EndNote&gt;</w:instrText>
            </w:r>
            <w:r>
              <w:rPr>
                <w:rFonts w:ascii="Arial Narrow" w:hAnsi="Arial Narrow" w:cs="Segoe UI"/>
              </w:rPr>
              <w:fldChar w:fldCharType="separate"/>
            </w:r>
            <w:r>
              <w:rPr>
                <w:rFonts w:ascii="Arial Narrow" w:hAnsi="Arial Narrow" w:cs="Segoe UI"/>
                <w:noProof/>
              </w:rPr>
              <w:t>(DiBardino et al. 2016)</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78944C0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C367C7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152CBA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05BDCC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F32661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B8429F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84AFB3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F944AF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70BD0D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B57F1B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7E1E8D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0AEE36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0581D4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67DB5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55D14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D4A55A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7C4BEB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1D60EA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6BFE27F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75AF2FFE"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DD27742"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5E35C6B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5014321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31D37D1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1973C80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9CDB67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3DDF21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649CFD5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4D0C4CEC" w14:textId="77777777" w:rsidTr="00712378">
        <w:trPr>
          <w:trHeight w:val="90"/>
        </w:trPr>
        <w:tc>
          <w:tcPr>
            <w:tcW w:w="294" w:type="pct"/>
            <w:tcBorders>
              <w:top w:val="single" w:sz="6" w:space="0" w:color="auto"/>
              <w:left w:val="single" w:sz="6" w:space="0" w:color="auto"/>
              <w:bottom w:val="single" w:sz="6" w:space="0" w:color="auto"/>
              <w:right w:val="single" w:sz="6" w:space="0" w:color="auto"/>
            </w:tcBorders>
            <w:shd w:val="clear" w:color="auto" w:fill="FFFFFF"/>
            <w:hideMark/>
          </w:tcPr>
          <w:p w14:paraId="5CD1111E" w14:textId="77777777" w:rsidR="00712378" w:rsidRPr="00712378" w:rsidRDefault="00712378" w:rsidP="00712378">
            <w:pPr>
              <w:spacing w:before="0" w:after="0"/>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5B8A90D3"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DE2E230"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40C4F16"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742DE60"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B59EB7B"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3ABA906"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B800EC3"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AC348E6"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0D0755A"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832B058"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BA41814"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13C97B2"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C947F1A"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7DCD09A"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D3B7AB6"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DDF7EFE"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217BF2D"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40DE037"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135F60AB" w14:textId="77777777" w:rsidR="00712378" w:rsidRPr="00712378" w:rsidRDefault="00712378" w:rsidP="00712378">
            <w:pPr>
              <w:spacing w:before="0" w:after="0"/>
              <w:ind w:left="720"/>
              <w:jc w:val="center"/>
              <w:textAlignment w:val="baseline"/>
              <w:rPr>
                <w:rFonts w:ascii="Segoe UI" w:hAnsi="Segoe UI" w:cs="Segoe UI"/>
                <w:sz w:val="18"/>
                <w:szCs w:val="18"/>
              </w:rPr>
            </w:pPr>
            <w:r w:rsidRPr="00712378">
              <w:rPr>
                <w:rFonts w:ascii="Arial Narrow" w:hAnsi="Arial Narrow" w:cs="Segoe UI"/>
              </w:rPr>
              <w:t> </w:t>
            </w:r>
          </w:p>
        </w:tc>
      </w:tr>
      <w:tr w:rsidR="00712378" w:rsidRPr="00712378" w14:paraId="3E631986"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6BEFDA8A" w14:textId="2EA9A609"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PEVuZE5vdGU+PENpdGU+PEF1dGhvcj5IaW5yaWNoczwvQXV0aG9yPjxZZWFyPjIwMTU8L1llYXI+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PEVuZE5vdGU+PENpdGU+PEF1dGhvcj5IaW5yaWNoczwvQXV0aG9yPjxZZWFyPjIwMTU8L1llYXI+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(Hinrichs et al. 2015)</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6B9FD40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D96AA3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80C384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7D7B5D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High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968B05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042816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26C21C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959318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DCCE3A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846439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A9B4A4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27E350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EC52B3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D1745A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0D8EB3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CC58AD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16CCB8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Ltd info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5C8B6F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601FC8B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6420BCB4"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AD700BE"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5447BC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4F4D336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5FBA7D9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106FFA8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2EA87C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A6881E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64BC71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10EC495E"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56F423F3" w14:textId="5DF40187"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PEVuZE5vdGU+PENpdGU+PEF1dGhvcj5JbGllPC9BdXRob3I+PFllYXI+MjAyMjwvWWVhcj48UmVj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PEVuZE5vdGU+PENpdGU+PEF1dGhvcj5JbGllPC9BdXRob3I+PFllYXI+MjAyMjwvWWVhcj48UmVj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(Ilie et al. 2022)</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6F1403F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DE8B04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2C0AC8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4A78B3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A93899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912B8A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41D09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DEC952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823315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928C29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BBD77C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EA959E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1EB8EE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4D5D11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9C245E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D009FC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BFDC47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16623A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671A5A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11E0878E"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3C75059"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0623ED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7410EBF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4839F96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732138E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C9021D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06F637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6C4799B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B6DDE8"/>
              </w:rPr>
              <w:t> </w:t>
            </w:r>
            <w:r w:rsidRPr="00712378">
              <w:rPr>
                <w:rFonts w:ascii="Arial Narrow" w:hAnsi="Arial Narrow" w:cs="Segoe UI"/>
              </w:rPr>
              <w:t> </w:t>
            </w:r>
          </w:p>
        </w:tc>
      </w:tr>
      <w:tr w:rsidR="00712378" w:rsidRPr="00712378" w14:paraId="73CFD28A"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6DBCFB1F" w14:textId="30389D35" w:rsidR="00712378" w:rsidRPr="00712378" w:rsidRDefault="00B4668F" w:rsidP="00B4668F">
            <w:pPr>
              <w:spacing w:before="0" w:after="0"/>
              <w:ind w:right="-60"/>
              <w:textAlignment w:val="baseline"/>
              <w:rPr>
                <w:rFonts w:ascii="Segoe UI" w:hAnsi="Segoe UI" w:cs="Segoe UI"/>
                <w:sz w:val="18"/>
                <w:szCs w:val="18"/>
              </w:rPr>
            </w:pPr>
            <w:r>
              <w:rPr>
                <w:rFonts w:ascii="Arial Narrow" w:hAnsi="Arial Narrow" w:cs="Segoe UI"/>
              </w:rP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(Ji et al. 2019)</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05FAB85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E7FBB6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5451C5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75BDE0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A61E93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93CDD0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EF89E5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2DFB4B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B25B2F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04F94A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807C73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D72EB3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CB5789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8DFFEC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43D6AB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3349D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493532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SQ NSCLC included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2E967D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Unclear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3F4276A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Unclear </w:t>
            </w:r>
          </w:p>
        </w:tc>
      </w:tr>
      <w:tr w:rsidR="00712378" w:rsidRPr="00712378" w14:paraId="51C78891"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6CCF677"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0017F04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316A6EE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5B2C43F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4C394CB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D41532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2032B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1445B89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62EE2F98"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6ECF0B59" w14:textId="7DAE9FDC" w:rsidR="00712378" w:rsidRPr="00712378" w:rsidRDefault="00B4668F" w:rsidP="00B4668F">
            <w:pPr>
              <w:spacing w:before="0" w:after="0"/>
              <w:ind w:right="-60"/>
              <w:textAlignment w:val="baseline"/>
              <w:rPr>
                <w:rFonts w:ascii="Segoe UI" w:hAnsi="Segoe UI" w:cs="Segoe UI"/>
                <w:sz w:val="18"/>
                <w:szCs w:val="18"/>
              </w:rPr>
            </w:pPr>
            <w:r>
              <w:rPr>
                <w:rFonts w:ascii="Arial Narrow" w:hAnsi="Arial Narrow" w:cs="Segoe UI"/>
              </w:rPr>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(Jiang et al. 2020)</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17F34C0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BB82AD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351525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1D025A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9422A6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A62638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B8FFF6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E465E25" w14:textId="77777777" w:rsidR="00712378" w:rsidRPr="00712378" w:rsidRDefault="00712378" w:rsidP="00712378">
            <w:pPr>
              <w:spacing w:before="0" w:after="0"/>
              <w:ind w:left="-60" w:right="-6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C96AD1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B7A80A7" w14:textId="77777777" w:rsidR="00712378" w:rsidRPr="00712378" w:rsidRDefault="00712378" w:rsidP="00712378">
            <w:pPr>
              <w:spacing w:before="0" w:after="0"/>
              <w:ind w:left="-60" w:right="-60"/>
              <w:jc w:val="center"/>
              <w:textAlignment w:val="baseline"/>
              <w:rPr>
                <w:rFonts w:ascii="Segoe UI" w:hAnsi="Segoe UI" w:cs="Segoe UI"/>
                <w:sz w:val="18"/>
                <w:szCs w:val="18"/>
              </w:rPr>
            </w:pPr>
            <w:r w:rsidRPr="00712378">
              <w:rPr>
                <w:rFonts w:ascii="Arial Narrow" w:hAnsi="Arial Narrow" w:cs="Segoe UI"/>
              </w:rPr>
              <w:t>Ltd info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5A65CD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A44533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A3A084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F5D543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A742DB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60BF71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4130D1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Ltd info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9EAF09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Unclear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051DCA7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6C86B46F"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6A4C2AB"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59CCFBE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27E8A85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238E8F6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2F2164E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F28A1A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4CE2BD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34744BA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7A5E77FE"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06C4E8B5" w14:textId="12290520" w:rsidR="00712378" w:rsidRPr="00712378" w:rsidRDefault="00B4668F" w:rsidP="00B4668F">
            <w:pPr>
              <w:spacing w:before="0" w:after="0"/>
              <w:ind w:right="-60"/>
              <w:textAlignment w:val="baseline"/>
              <w:rPr>
                <w:rFonts w:ascii="Segoe UI" w:hAnsi="Segoe UI" w:cs="Segoe UI"/>
                <w:sz w:val="18"/>
                <w:szCs w:val="18"/>
              </w:rPr>
            </w:pPr>
            <w:r>
              <w:rPr>
                <w:rFonts w:ascii="Arial Narrow" w:hAnsi="Arial Narrow" w:cs="Segoe UI"/>
              </w:rP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(Jing et al. 2018)</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4B202E4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C9B974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8068D6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6C6F4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0F4F69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0A4E0D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053483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6073C2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E9C796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3E9D2A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C43755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2FA2DB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2B81F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CA59AB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82CC28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82FBEC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AB6132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SQ NSCLC included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608E67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3E7DC79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2A3990EB"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52E3573"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8C53F1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321225A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7D3C534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FFFFFF"/>
              </w:rPr>
              <w:t xml:space="preserve"> (for Sanger)/ (</w:t>
            </w:r>
            <w:r w:rsidRPr="00712378">
              <w:rPr>
                <w:rFonts w:ascii="Arial Narrow" w:hAnsi="Arial Narrow" w:cs="Segoe UI"/>
                <w:shd w:val="clear" w:color="auto" w:fill="B6DDE8"/>
              </w:rPr>
              <w:t>  ?</w:t>
            </w:r>
            <w:r w:rsidRPr="00712378">
              <w:rPr>
                <w:rFonts w:ascii="Arial Narrow" w:hAnsi="Arial Narrow" w:cs="Segoe UI"/>
                <w:shd w:val="clear" w:color="auto" w:fill="FFFFFF"/>
              </w:rPr>
              <w:t xml:space="preserve"> for ddPCR)</w:t>
            </w:r>
            <w:r w:rsidRPr="00712378">
              <w:rPr>
                <w:rFonts w:ascii="Arial Narrow" w:hAnsi="Arial Narrow" w:cs="Segoe UI"/>
              </w:rPr>
              <w:t> </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0E52FD0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Arial Narrow" w:hAnsi="Arial Narrow" w:cs="Segoe UI"/>
                <w:shd w:val="clear" w:color="auto" w:fill="FFFFFF"/>
              </w:rPr>
              <w:t xml:space="preserve"> (for Sanger)/</w:t>
            </w:r>
            <w:r w:rsidRPr="00712378">
              <w:rPr>
                <w:rFonts w:ascii="Arial Narrow" w:hAnsi="Arial Narrow" w:cs="Segoe UI"/>
                <w:shd w:val="clear" w:color="auto" w:fill="B6DDE8"/>
              </w:rPr>
              <w:t>  ?</w:t>
            </w:r>
            <w:r w:rsidRPr="00712378">
              <w:rPr>
                <w:rFonts w:ascii="Arial Narrow" w:hAnsi="Arial Narrow" w:cs="Segoe UI"/>
                <w:shd w:val="clear" w:color="auto" w:fill="FFFFFF"/>
              </w:rPr>
              <w:t xml:space="preserve"> (for ddPCR)</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0C16DF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7A4DC6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AA800F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58B1E950"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7D796002" w14:textId="2E638BD5"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r>
            <w:r>
              <w:rPr>
                <w:rFonts w:ascii="Arial Narrow" w:hAnsi="Arial Narrow" w:cs="Segoe UI"/>
              </w:rPr>
              <w:instrText xml:space="preserve"> ADDIN EN.CITE &lt;EndNote&gt;&lt;Cite&gt;&lt;Author&gt;Kato&lt;/Author&gt;&lt;Year&gt;2021&lt;/Year&gt;&lt;RecNum&gt;164&lt;/RecNum&gt;&lt;IDText&gt;NA-NA&lt;/IDText&gt;&lt;DisplayText&gt;(Kato et al. 2021)&lt;/DisplayText&gt;&lt;record&gt;&lt;rec-number&gt;164&lt;/rec-number&gt;&lt;foreign-keys&gt;&lt;key app="EN" db-id="0tprsse9cpp5r3ea5dz5p0xw2pfwvwxpa5a5" timestamp="1655264278"&gt;164&lt;/key&gt;&lt;/foreign-keys&gt;&lt;ref-type name="Journal Article"&gt;17&lt;/ref-type&gt;&lt;contributors&gt;&lt;authors&gt;&lt;author&gt;Kato, Kikuya&lt;/author&gt;&lt;author&gt;Okami, Jiro&lt;/author&gt;&lt;author&gt;Nakamura, Harumi&lt;/author&gt;&lt;author&gt;Honma, Keiichiro&lt;/author&gt;&lt;author&gt;Sato, Yoshiharu&lt;/author&gt;&lt;author&gt;Nakamura, Seiji&lt;/author&gt;&lt;author&gt;Kukita, Yoji&lt;/author&gt;&lt;author&gt;Nakatsuka, Shuichi&lt;/author&gt;&lt;author&gt;Higashiyama, Masahiko&lt;/author&gt;&lt;/authors&gt;&lt;/contributors&gt;&lt;titles&gt;&lt;title&gt;Analytical performance of a highly sensitive system to detect gene variants using next-generation sequencing for lung cancer companion diagnostics&lt;/title&gt;&lt;secondary-title&gt;NA&lt;/secondary-title&gt;&lt;/titles&gt;&lt;periodical&gt;&lt;full-title&gt;NA&lt;/full-title&gt;&lt;/periodical&gt;&lt;pages&gt;NA-NA&lt;/pages&gt;&lt;volume&gt;NA&lt;/volume&gt;&lt;number&gt;NA&lt;/number&gt;&lt;dates&gt;&lt;year&gt;2021&lt;/year&gt;&lt;/dates&gt;&lt;urls&gt;&lt;related-urls&gt;&lt;url&gt;https://www.medrxiv.org/content/medrxiv/early/2021/10/20/2021.10.13.21264976.full.pdf&lt;/url&gt;&lt;/related-urls&gt;&lt;/urls&gt;&lt;electronic-resource-num&gt;10.1101/2021.10.13.21264976&lt;/electronic-resource-num&gt;&lt;research-notes&gt; p -concordance EGFR, ALK, ROS1, MET&lt;/research-notes&gt;&lt;/record&gt;&lt;/Cite&gt;&lt;/EndNote&gt;</w:instrText>
            </w:r>
            <w:r>
              <w:rPr>
                <w:rFonts w:ascii="Arial Narrow" w:hAnsi="Arial Narrow" w:cs="Segoe UI"/>
              </w:rPr>
              <w:fldChar w:fldCharType="separate"/>
            </w:r>
            <w:r>
              <w:rPr>
                <w:rFonts w:ascii="Arial Narrow" w:hAnsi="Arial Narrow" w:cs="Segoe UI"/>
                <w:noProof/>
              </w:rPr>
              <w:t>(Kato et al. 2021)</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3465285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7CA202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0410E2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AC8C3A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3070DE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0AD12C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AB687F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78A7AE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698B80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BD9619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D812D9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BF47A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82DDD2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2897C6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F75680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624F01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21BA5D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Ltd info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9B693E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Unclear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0C55F55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0839BE27" w14:textId="77777777" w:rsidTr="00712378">
        <w:trPr>
          <w:trHeight w:val="19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C5092AE"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7A17F74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4761F0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42905CD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3746075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4942B5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34E50F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3E84D05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5E454E24"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2A408D26" w14:textId="4F708CA3" w:rsidR="00712378" w:rsidRPr="00712378" w:rsidRDefault="00B4668F" w:rsidP="00B4668F">
            <w:pPr>
              <w:spacing w:before="0" w:after="0"/>
              <w:ind w:right="-60"/>
              <w:textAlignment w:val="baseline"/>
              <w:rPr>
                <w:rFonts w:ascii="Segoe UI" w:hAnsi="Segoe UI" w:cs="Segoe UI"/>
                <w:sz w:val="18"/>
                <w:szCs w:val="18"/>
              </w:rPr>
            </w:pPr>
            <w:r>
              <w:rPr>
                <w:rFonts w:ascii="Arial Narrow" w:hAnsi="Arial Narrow" w:cs="Segoe UI"/>
              </w:rPr>
              <w:fldChar w:fldCharType="begin"/>
            </w:r>
            <w:r>
              <w:rPr>
                <w:rFonts w:ascii="Arial Narrow" w:hAnsi="Arial Narrow" w:cs="Segoe UI"/>
              </w:rPr>
              <w:instrText xml:space="preserve"> ADDIN EN.CITE &lt;EndNote&gt;&lt;Cite&gt;&lt;Author&gt;Kim&lt;/Author&gt;&lt;Year&gt;2021&lt;/Year&gt;&lt;RecNum&gt;165&lt;/RecNum&gt;&lt;IDText&gt;3197-3204&lt;/IDText&gt;&lt;DisplayText&gt;(Kim et al. 2021)&lt;/DisplayText&gt;&lt;record&gt;&lt;rec-number&gt;165&lt;/rec-number&gt;&lt;foreign-keys&gt;&lt;key app="EN" db-id="0tprsse9cpp5r3ea5dz5p0xw2pfwvwxpa5a5" timestamp="1655264278"&gt;165&lt;/key&gt;&lt;/foreign-keys&gt;&lt;ref-type name="Journal Article"&gt;17&lt;/ref-type&gt;&lt;contributors&gt;&lt;authors&gt;&lt;author&gt;Kim, J. H.&lt;/author&gt;&lt;author&gt;Yoon, Shinkyo&lt;/author&gt;&lt;author&gt;Lee, Dae Ho&lt;/author&gt;&lt;author&gt;Jang, Jin&lt;/author&gt;&lt;author&gt;Chun, Sung-Min&lt;/author&gt;&lt;author&gt;Kim, Sang-We&lt;/author&gt;&lt;/authors&gt;&lt;/contributors&gt;&lt;titles&gt;&lt;title&gt;Real-world utility of next-generation sequencing for targeted gene analysis and its application to treatment in lung adenocarcinoma&lt;/title&gt;&lt;secondary-title&gt;Cancer medicine&lt;/secondary-title&gt;&lt;/titles&gt;&lt;periodical&gt;&lt;full-title&gt;Cancer Medicine&lt;/full-title&gt;&lt;/periodical&gt;&lt;pages&gt;3197-3204&lt;/pages&gt;&lt;volume&gt;10&lt;/volume&gt;&lt;number&gt;10&lt;/number&gt;&lt;dates&gt;&lt;year&gt;2021&lt;/year&gt;&lt;/dates&gt;&lt;urls&gt;&lt;related-urls&gt;&lt;url&gt;https://www.ncbi.nlm.nih.gov/pmc/articles/PMC8124124/pdf/CAM4-10-3197.pdf&lt;/url&gt;&lt;/related-urls&gt;&lt;/urls&gt;&lt;electronic-resource-num&gt;10.1002/cam4.3874&lt;/electronic-resource-num&gt;&lt;research-notes&gt;P - Concordance on EGFR&lt;/research-notes&gt;&lt;/record&gt;&lt;/Cite&gt;&lt;/EndNote&gt;</w:instrText>
            </w:r>
            <w:r>
              <w:rPr>
                <w:rFonts w:ascii="Arial Narrow" w:hAnsi="Arial Narrow" w:cs="Segoe UI"/>
              </w:rPr>
              <w:fldChar w:fldCharType="separate"/>
            </w:r>
            <w:r>
              <w:rPr>
                <w:rFonts w:ascii="Arial Narrow" w:hAnsi="Arial Narrow" w:cs="Segoe UI"/>
                <w:noProof/>
              </w:rPr>
              <w:t>(Kim et al. 2021)</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0973C06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8A7E6F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C552FA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B121F4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146485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053481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601838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320B95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9727D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84DCA2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50C03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3EBB2F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43E4AB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4C3ECF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B65E3C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EE0C17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F6A6FC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Unclear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14E3F8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51E877B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1D72AC83"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3D3B0CB"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0B321CF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1C8CD7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623C479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3D9464D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0EC9FC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0B9BCA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087311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30A69ABD"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5350F076" w14:textId="4B865873"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r>
            <w:r>
              <w:rPr>
                <w:rFonts w:ascii="Arial Narrow" w:hAnsi="Arial Narrow" w:cs="Segoe UI"/>
              </w:rPr>
              <w:instrText xml:space="preserve"> ADDIN EN.CITE &lt;EndNote&gt;&lt;Cite&gt;&lt;Author&gt;Legras&lt;/Author&gt;&lt;Year&gt;2018&lt;/Year&gt;&lt;RecNum&gt;168&lt;/RecNum&gt;&lt;IDText&gt;550-564&lt;/IDText&gt;&lt;DisplayText&gt;(Legras et al. 2018)&lt;/DisplayText&gt;&lt;record&gt;&lt;rec-number&gt;168&lt;/rec-number&gt;&lt;foreign-keys&gt;&lt;key app="EN" db-id="0tprsse9cpp5r3ea5dz5p0xw2pfwvwxpa5a5" timestamp="1655264278"&gt;168&lt;/key&gt;&lt;/foreign-keys&gt;&lt;ref-type name="Journal Article"&gt;17&lt;/ref-type&gt;&lt;contributors&gt;&lt;authors&gt;&lt;author&gt;Legras, Antoine&lt;/author&gt;&lt;author&gt;Barritault, Marc&lt;/author&gt;&lt;author&gt;Tallet, Anne&lt;/author&gt;&lt;author&gt;Fabre, Elizabeth&lt;/author&gt;&lt;author&gt;Guyard, Alice&lt;/author&gt;&lt;author&gt;Rance, Bastien&lt;/author&gt;&lt;author&gt;Digan, William&lt;/author&gt;&lt;author&gt;Pécuchet, Nicolas&lt;/author&gt;&lt;author&gt;Giroux-Leprieur, Etienne&lt;/author&gt;&lt;author&gt;Julié, Catherine&lt;/author&gt;&lt;author&gt;Jouveshomme, Stéphane&lt;/author&gt;&lt;author&gt;Duchatelle, Véronique&lt;/author&gt;&lt;author&gt;Giraudet, Véronique&lt;/author&gt;&lt;author&gt;Gibault, Laure&lt;/author&gt;&lt;author&gt;Cazier, Alain&lt;/author&gt;&lt;author&gt;Pastre, Jean&lt;/author&gt;&lt;author&gt;Le Pimpec-Barthes, Françoise&lt;/author&gt;&lt;author&gt;Laurent-Puig, Pierre&lt;/author&gt;&lt;author&gt;Blons, Hélène&lt;/author&gt;&lt;/authors&gt;&lt;/contributors&gt;&lt;titles&gt;&lt;title&gt;Validity of Targeted Next-Generation Sequencing in Routine Care for Identifying Clinically Relevant Molecular Profiles in Non–Small-Cell Lung Cancer: Results of a 2-Year Experience on 1343 Samples&lt;/title&gt;&lt;secondary-title&gt;The Journal of molecular diagnostics : JMD&lt;/secondary-title&gt;&lt;/titles&gt;&lt;periodical&gt;&lt;full-title&gt;J Mol Diagn&lt;/full-title&gt;&lt;abbr-1&gt;The Journal of molecular diagnostics : JMD&lt;/abbr-1&gt;&lt;/periodical&gt;&lt;pages&gt;550-564&lt;/pages&gt;&lt;volume&gt;20&lt;/volume&gt;&lt;number&gt;4&lt;/number&gt;&lt;dates&gt;&lt;year&gt;2018&lt;/year&gt;&lt;/dates&gt;&lt;urls&gt;&lt;related-urls&gt;&lt;url&gt;https://www.sciencedirect.com/science/article/pii/S1525157817305214?via%3Dihub&lt;/url&gt;&lt;/related-urls&gt;&lt;/urls&gt;&lt;electronic-resource-num&gt;10.1016/j.jmoldx.2018.04.002&lt;/electronic-resource-num&gt;&lt;research-notes&gt;P - concordance egfr&lt;/research-notes&gt;&lt;/record&gt;&lt;/Cite&gt;&lt;/EndNote&gt;</w:instrText>
            </w:r>
            <w:r>
              <w:rPr>
                <w:rFonts w:ascii="Arial Narrow" w:hAnsi="Arial Narrow" w:cs="Segoe UI"/>
              </w:rPr>
              <w:fldChar w:fldCharType="separate"/>
            </w:r>
            <w:r>
              <w:rPr>
                <w:rFonts w:ascii="Arial Narrow" w:hAnsi="Arial Narrow" w:cs="Segoe UI"/>
                <w:noProof/>
              </w:rPr>
              <w:t>(Legras et al. 2018)</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6325B4A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890906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D00DDE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54D543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2A37F8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560C3A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C3D999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239B56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AF12D2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15EDB6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F1315B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A35FD6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446468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70CB68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DC270A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76928F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85635B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Ltd info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E57BC7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56E52AC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6006CA3D"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28B0FF8"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BF03F4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3AB7C09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366423C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3ABCF7E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E7F7A1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B7B930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EC4694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26822376"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7F896803" w14:textId="58017964" w:rsidR="00712378" w:rsidRPr="00712378" w:rsidRDefault="00B4668F" w:rsidP="006D4612">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PEVuZE5vdGU+PENpdGU+PEF1dGhvcj5MaTwvQXV0aG9yPjxZZWFyPjIwMjE8L1llYXI+PFJlY051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</w:fldData>
              </w:fldChar>
            </w:r>
            <w:r w:rsidR="006D4612">
              <w:rPr>
                <w:rFonts w:ascii="Arial Narrow" w:hAnsi="Arial Narrow" w:cs="Segoe UI"/>
              </w:rPr>
              <w:instrText xml:space="preserve"> ADDIN EN.CITE </w:instrText>
            </w:r>
            <w:r w:rsidR="006D4612">
              <w:rPr>
                <w:rFonts w:ascii="Arial Narrow" w:hAnsi="Arial Narrow" w:cs="Segoe UI"/>
              </w:rPr>
              <w:fldChar w:fldCharType="begin">
                <w:fldData xml:space="preserve">PEVuZE5vdGU+PENpdGU+PEF1dGhvcj5MaTwvQXV0aG9yPjxZZWFyPjIwMjE8L1llYXI+PFJlY051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</w:fldData>
              </w:fldChar>
            </w:r>
            <w:r w:rsidR="006D4612">
              <w:rPr>
                <w:rFonts w:ascii="Arial Narrow" w:hAnsi="Arial Narrow" w:cs="Segoe UI"/>
              </w:rPr>
              <w:instrText xml:space="preserve"> ADDIN EN.CITE.DATA </w:instrText>
            </w:r>
            <w:r w:rsidR="006D4612">
              <w:rPr>
                <w:rFonts w:ascii="Arial Narrow" w:hAnsi="Arial Narrow" w:cs="Segoe UI"/>
              </w:rPr>
            </w:r>
            <w:r w:rsidR="006D4612">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sidR="006D4612">
              <w:rPr>
                <w:rFonts w:ascii="Arial Narrow" w:hAnsi="Arial Narrow" w:cs="Segoe UI"/>
                <w:noProof/>
              </w:rPr>
              <w:t>(Li, W, Guo, L, et al. 2021)</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556843D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FF2F4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7C4812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89C1D1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8141C3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68A902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CC8971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658F0F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D20587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CEEC44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EED3CD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E44353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9BB27E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BF75C8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BA49D8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53CF83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0B7FE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73732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6BA14FE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Unclear </w:t>
            </w:r>
          </w:p>
        </w:tc>
      </w:tr>
      <w:tr w:rsidR="00712378" w:rsidRPr="00712378" w14:paraId="58AB8C9B"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9972CAC"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6799B54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ECC22C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485E4EA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64FB74B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DBA795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5CDA9B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0DF3AFC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r>
      <w:tr w:rsidR="00712378" w:rsidRPr="00712378" w14:paraId="1C28E05A"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483E074D" w14:textId="0DED1D3A"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(Lin, C et al. 2019)</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0EAAEB8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E19F8E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56F6AF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E689CB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E51F24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8C84BA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70C53E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EFBFB9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3EFC9E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121EBB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D5D109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653534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5AE37D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7A0E84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2FCD0D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7E41C5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520592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509DAD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061CDBC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2305988F"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7339BDC"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41EF257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E7DC25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09964C1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65F1F42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E31832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C80F4A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1A35F50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3C6AC899"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28BA7453" w14:textId="78975FFB"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r>
            <w:r>
              <w:rPr>
                <w:rFonts w:ascii="Arial Narrow" w:hAnsi="Arial Narrow" w:cs="Segoe UI"/>
              </w:rPr>
              <w:instrText xml:space="preserve"> ADDIN EN.CITE &lt;EndNote&gt;&lt;Cite&gt;&lt;Author&gt;Vollbrecht&lt;/Author&gt;&lt;Year&gt;2018&lt;/Year&gt;&lt;RecNum&gt;177&lt;/RecNum&gt;&lt;IDText&gt;1158-1158&lt;/IDText&gt;&lt;DisplayText&gt;(Vollbrecht et al. 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rPr>
                <w:rFonts w:ascii="Arial Narrow" w:hAnsi="Arial Narrow" w:cs="Segoe UI"/>
              </w:rPr>
              <w:fldChar w:fldCharType="separate"/>
            </w:r>
            <w:r>
              <w:rPr>
                <w:rFonts w:ascii="Arial Narrow" w:hAnsi="Arial Narrow" w:cs="Segoe UI"/>
                <w:noProof/>
              </w:rPr>
              <w:t>(Vollbrecht et al. 2018)</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140D6DD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23BBB3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8899B8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220312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High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80A9E5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A68CB5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14DA5B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ADC3B7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DE2557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F4AAA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B43203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93767C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D95CF2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739076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1DDB40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150B14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FAD11B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D8D39B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2DEB716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r>
      <w:tr w:rsidR="00712378" w:rsidRPr="00712378" w14:paraId="306D57C0"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79E6E4C"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43FA35D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70F0904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57DD15A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57951B6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E49604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FFED15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5DB2D39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r>
      <w:tr w:rsidR="00712378" w:rsidRPr="00712378" w14:paraId="2350D491" w14:textId="77777777" w:rsidTr="00712378">
        <w:trPr>
          <w:trHeight w:val="135"/>
        </w:trPr>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6DCC242F" w14:textId="60E5633A"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PEVuZE5vdGU+PENpdGU+PEF1dGhvcj5XZWk8L0F1dGhvcj48WWVhcj4yMDIxPC9ZZWFyPjxSZWNO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PEVuZE5vdGU+PENpdGU+PEF1dGhvcj5XZWk8L0F1dGhvcj48WWVhcj4yMDIxPC9ZZWFyPjxSZWNO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(Wei et al. 2021)</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4B950B3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FDB5B3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D468BC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66DC38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High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F341F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36DA2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95CDFB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AFE5FF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BB5734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B1378A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5096C8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5961FB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B4A5AD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E8B8A8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A4F0FA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61837A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A1B240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E41389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1725E1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r>
      <w:tr w:rsidR="00712378" w:rsidRPr="00712378" w14:paraId="7DFDFB36" w14:textId="77777777" w:rsidTr="00712378">
        <w:trPr>
          <w:trHeight w:val="135"/>
        </w:trPr>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EF78328"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86F967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5BECDDC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2903EC4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168B943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FBD4B4"/>
              </w:rPr>
              <w:sym w:font="Wingdings" w:char="F04C"/>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03C0EB1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B07187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7A432C0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w:t>
            </w:r>
            <w:r w:rsidRPr="00712378">
              <w:rPr>
                <w:rFonts w:ascii="Arial Narrow" w:hAnsi="Arial Narrow" w:cs="Segoe UI"/>
              </w:rPr>
              <w:t> </w:t>
            </w:r>
          </w:p>
        </w:tc>
      </w:tr>
      <w:tr w:rsidR="00712378" w:rsidRPr="00712378" w14:paraId="3C45B0F3" w14:textId="77777777" w:rsidTr="00712378">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139B36A3" w14:textId="66866D66" w:rsidR="00712378" w:rsidRPr="00712378" w:rsidRDefault="00B4668F" w:rsidP="00B4668F">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rPr>
                <w:rFonts w:ascii="Arial Narrow" w:hAnsi="Arial Narrow" w:cs="Segoe UI"/>
              </w:rPr>
              <w:instrText xml:space="preserve"> ADDIN EN.CITE </w:instrText>
            </w:r>
            <w:r>
              <w:rPr>
                <w:rFonts w:ascii="Arial Narrow" w:hAnsi="Arial Narrow" w:cs="Segoe UI"/>
              </w:rP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rPr>
                <w:rFonts w:ascii="Arial Narrow" w:hAnsi="Arial Narrow" w:cs="Segoe UI"/>
              </w:rPr>
              <w:instrText xml:space="preserve"> ADDIN EN.CITE.DATA </w:instrText>
            </w:r>
            <w:r>
              <w:rPr>
                <w:rFonts w:ascii="Arial Narrow" w:hAnsi="Arial Narrow" w:cs="Segoe UI"/>
              </w:rPr>
            </w:r>
            <w:r>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Pr>
                <w:rFonts w:ascii="Arial Narrow" w:hAnsi="Arial Narrow" w:cs="Segoe UI"/>
                <w:noProof/>
              </w:rPr>
              <w:t>(Xie et al. 2019)</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448BD3F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34FB93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4826BC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A6E36A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13320F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185B45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165835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E6C90D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5FDB26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0B287C5"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C0F3C5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F8A18F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FED7DC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4FEE2E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154A1A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6CB1BD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8F74D6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261943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3480623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r>
      <w:tr w:rsidR="00712378" w:rsidRPr="00712378" w14:paraId="1E8ED731" w14:textId="77777777" w:rsidTr="00712378">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8A23E9B"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6348A27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748D871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74858C9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426EB4D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C1CD3C2"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8F474A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052CB0FF"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r>
      <w:tr w:rsidR="00712378" w:rsidRPr="00712378" w14:paraId="43D0F95A" w14:textId="77777777" w:rsidTr="00712378">
        <w:tc>
          <w:tcPr>
            <w:tcW w:w="294" w:type="pct"/>
            <w:vMerge w:val="restart"/>
            <w:tcBorders>
              <w:top w:val="single" w:sz="6" w:space="0" w:color="auto"/>
              <w:left w:val="single" w:sz="6" w:space="0" w:color="auto"/>
              <w:bottom w:val="single" w:sz="6" w:space="0" w:color="auto"/>
              <w:right w:val="single" w:sz="6" w:space="0" w:color="auto"/>
            </w:tcBorders>
            <w:shd w:val="clear" w:color="auto" w:fill="FFFFFF"/>
            <w:hideMark/>
          </w:tcPr>
          <w:p w14:paraId="68E24140" w14:textId="69429BC0" w:rsidR="00712378" w:rsidRPr="00712378" w:rsidRDefault="00B4668F" w:rsidP="006D4612">
            <w:pPr>
              <w:spacing w:before="0" w:after="0"/>
              <w:textAlignment w:val="baseline"/>
              <w:rPr>
                <w:rFonts w:ascii="Segoe UI" w:hAnsi="Segoe UI" w:cs="Segoe UI"/>
                <w:sz w:val="18"/>
                <w:szCs w:val="18"/>
              </w:rPr>
            </w:pPr>
            <w:r>
              <w:rPr>
                <w:rFonts w:ascii="Arial Narrow" w:hAnsi="Arial Narrow" w:cs="Segoe UI"/>
              </w:rPr>
              <w:fldChar w:fldCharType="begin">
                <w:fldData xml:space="preserve">PEVuZE5vdGU+PENpdGU+PEF1dGhvcj5YdTwvQXV0aG9yPjxZZWFyPjIwMTY8L1llYXI+PFJlY051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</w:fldData>
              </w:fldChar>
            </w:r>
            <w:r w:rsidR="006D4612">
              <w:rPr>
                <w:rFonts w:ascii="Arial Narrow" w:hAnsi="Arial Narrow" w:cs="Segoe UI"/>
              </w:rPr>
              <w:instrText xml:space="preserve"> ADDIN EN.CITE </w:instrText>
            </w:r>
            <w:r w:rsidR="006D4612">
              <w:rPr>
                <w:rFonts w:ascii="Arial Narrow" w:hAnsi="Arial Narrow" w:cs="Segoe UI"/>
              </w:rPr>
              <w:fldChar w:fldCharType="begin">
                <w:fldData xml:space="preserve">PEVuZE5vdGU+PENpdGU+PEF1dGhvcj5YdTwvQXV0aG9yPjxZZWFyPjIwMTY8L1llYXI+PFJlY051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</w:fldData>
              </w:fldChar>
            </w:r>
            <w:r w:rsidR="006D4612">
              <w:rPr>
                <w:rFonts w:ascii="Arial Narrow" w:hAnsi="Arial Narrow" w:cs="Segoe UI"/>
              </w:rPr>
              <w:instrText xml:space="preserve"> ADDIN EN.CITE.DATA </w:instrText>
            </w:r>
            <w:r w:rsidR="006D4612">
              <w:rPr>
                <w:rFonts w:ascii="Arial Narrow" w:hAnsi="Arial Narrow" w:cs="Segoe UI"/>
              </w:rPr>
            </w:r>
            <w:r w:rsidR="006D4612">
              <w:rPr>
                <w:rFonts w:ascii="Arial Narrow" w:hAnsi="Arial Narrow" w:cs="Segoe UI"/>
              </w:rPr>
              <w:fldChar w:fldCharType="end"/>
            </w:r>
            <w:r>
              <w:rPr>
                <w:rFonts w:ascii="Arial Narrow" w:hAnsi="Arial Narrow" w:cs="Segoe UI"/>
              </w:rPr>
            </w:r>
            <w:r>
              <w:rPr>
                <w:rFonts w:ascii="Arial Narrow" w:hAnsi="Arial Narrow" w:cs="Segoe UI"/>
              </w:rPr>
              <w:fldChar w:fldCharType="separate"/>
            </w:r>
            <w:r w:rsidR="006D4612">
              <w:rPr>
                <w:rFonts w:ascii="Arial Narrow" w:hAnsi="Arial Narrow" w:cs="Segoe UI"/>
                <w:noProof/>
              </w:rPr>
              <w:t>(Xu, X. et al. 2016)</w:t>
            </w:r>
            <w:r>
              <w:rPr>
                <w:rFonts w:ascii="Arial Narrow" w:hAnsi="Arial Narrow" w:cs="Segoe UI"/>
              </w:rPr>
              <w:fldChar w:fldCharType="end"/>
            </w:r>
            <w:r w:rsidR="00712378" w:rsidRPr="00712378">
              <w:rPr>
                <w:rFonts w:ascii="Arial Narrow" w:hAnsi="Arial Narrow" w:cs="Segoe UI"/>
              </w:rPr>
              <w:t> </w:t>
            </w:r>
          </w:p>
        </w:tc>
        <w:tc>
          <w:tcPr>
            <w:tcW w:w="247" w:type="pct"/>
            <w:tcBorders>
              <w:top w:val="single" w:sz="6" w:space="0" w:color="auto"/>
              <w:left w:val="single" w:sz="6" w:space="0" w:color="auto"/>
              <w:bottom w:val="nil"/>
              <w:right w:val="single" w:sz="6" w:space="0" w:color="auto"/>
            </w:tcBorders>
            <w:shd w:val="clear" w:color="auto" w:fill="FFFFFF"/>
            <w:hideMark/>
          </w:tcPr>
          <w:p w14:paraId="4AEE14E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AA4EE43"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4553BF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4EAFC8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5E59F0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513ACC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NA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ED8668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5EE2E64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1A9B87E"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7178D2C"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Low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D8F8AD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6CDC98D"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6FB9D43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70FA32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3DF26F7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Y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8AB552B"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N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7FEF0EC9"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SQ NSCLC included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11172FC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418FC6F8"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rPr>
              <w:t>U </w:t>
            </w:r>
          </w:p>
        </w:tc>
      </w:tr>
      <w:tr w:rsidR="00712378" w:rsidRPr="00712378" w14:paraId="484F7171" w14:textId="77777777" w:rsidTr="00712378">
        <w:tc>
          <w:tcPr>
            <w:tcW w:w="294"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2FAC2B1" w14:textId="77777777" w:rsidR="00712378" w:rsidRPr="00712378" w:rsidRDefault="00712378" w:rsidP="00712378">
            <w:pPr>
              <w:spacing w:before="0" w:after="0"/>
              <w:rPr>
                <w:rFonts w:ascii="Segoe UI" w:hAnsi="Segoe UI" w:cs="Segoe UI"/>
                <w:sz w:val="18"/>
                <w:szCs w:val="18"/>
              </w:rPr>
            </w:pPr>
          </w:p>
        </w:tc>
        <w:tc>
          <w:tcPr>
            <w:tcW w:w="990" w:type="pct"/>
            <w:gridSpan w:val="4"/>
            <w:tcBorders>
              <w:top w:val="single" w:sz="6" w:space="0" w:color="auto"/>
              <w:left w:val="single" w:sz="6" w:space="0" w:color="auto"/>
              <w:bottom w:val="single" w:sz="6" w:space="0" w:color="auto"/>
              <w:right w:val="single" w:sz="6" w:space="0" w:color="auto"/>
            </w:tcBorders>
            <w:shd w:val="clear" w:color="auto" w:fill="FFFFFF"/>
            <w:hideMark/>
          </w:tcPr>
          <w:p w14:paraId="290BE7B4"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48C4B15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742" w:type="pct"/>
            <w:gridSpan w:val="3"/>
            <w:tcBorders>
              <w:top w:val="single" w:sz="6" w:space="0" w:color="auto"/>
              <w:left w:val="single" w:sz="6" w:space="0" w:color="auto"/>
              <w:bottom w:val="single" w:sz="6" w:space="0" w:color="auto"/>
              <w:right w:val="single" w:sz="6" w:space="0" w:color="auto"/>
            </w:tcBorders>
            <w:shd w:val="clear" w:color="auto" w:fill="FFFFFF"/>
            <w:hideMark/>
          </w:tcPr>
          <w:p w14:paraId="3CD4455A"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1483" w:type="pct"/>
            <w:gridSpan w:val="6"/>
            <w:tcBorders>
              <w:top w:val="single" w:sz="6" w:space="0" w:color="auto"/>
              <w:left w:val="single" w:sz="6" w:space="0" w:color="auto"/>
              <w:bottom w:val="single" w:sz="6" w:space="0" w:color="auto"/>
              <w:right w:val="single" w:sz="6" w:space="0" w:color="auto"/>
            </w:tcBorders>
            <w:shd w:val="clear" w:color="auto" w:fill="FFFFFF"/>
            <w:hideMark/>
          </w:tcPr>
          <w:p w14:paraId="36755301"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Wingdings" w:hAnsi="Wingdings" w:cs="Segoe UI"/>
                <w:shd w:val="clear" w:color="auto" w:fill="D6E3BC"/>
              </w:rPr>
              <w:sym w:font="Wingdings" w:char="F04A"/>
            </w:r>
            <w:r w:rsidRPr="00712378">
              <w:rPr>
                <w:rFonts w:ascii="Wingdings" w:hAnsi="Wingdings" w:cs="Segoe UI"/>
              </w:rPr>
              <w:t></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4DFE27E0"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47" w:type="pct"/>
            <w:tcBorders>
              <w:top w:val="single" w:sz="6" w:space="0" w:color="auto"/>
              <w:left w:val="single" w:sz="6" w:space="0" w:color="auto"/>
              <w:bottom w:val="single" w:sz="6" w:space="0" w:color="auto"/>
              <w:right w:val="single" w:sz="6" w:space="0" w:color="auto"/>
            </w:tcBorders>
            <w:shd w:val="clear" w:color="auto" w:fill="FFFFFF"/>
            <w:hideMark/>
          </w:tcPr>
          <w:p w14:paraId="2A4CA666"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c>
          <w:tcPr>
            <w:tcW w:w="256" w:type="pct"/>
            <w:tcBorders>
              <w:top w:val="single" w:sz="6" w:space="0" w:color="auto"/>
              <w:left w:val="single" w:sz="6" w:space="0" w:color="auto"/>
              <w:bottom w:val="single" w:sz="6" w:space="0" w:color="auto"/>
              <w:right w:val="single" w:sz="6" w:space="0" w:color="auto"/>
            </w:tcBorders>
            <w:shd w:val="clear" w:color="auto" w:fill="FFFFFF"/>
            <w:hideMark/>
          </w:tcPr>
          <w:p w14:paraId="599871B7" w14:textId="77777777" w:rsidR="00712378" w:rsidRPr="00712378" w:rsidRDefault="00712378" w:rsidP="00712378">
            <w:pPr>
              <w:spacing w:before="0" w:after="0"/>
              <w:jc w:val="center"/>
              <w:textAlignment w:val="baseline"/>
              <w:rPr>
                <w:rFonts w:ascii="Segoe UI" w:hAnsi="Segoe UI" w:cs="Segoe UI"/>
                <w:sz w:val="18"/>
                <w:szCs w:val="18"/>
              </w:rPr>
            </w:pPr>
            <w:r w:rsidRPr="00712378">
              <w:rPr>
                <w:rFonts w:ascii="Arial Narrow" w:hAnsi="Arial Narrow" w:cs="Segoe UI"/>
                <w:shd w:val="clear" w:color="auto" w:fill="B6DDE8"/>
              </w:rPr>
              <w:t>  ?</w:t>
            </w:r>
            <w:r w:rsidRPr="00712378">
              <w:rPr>
                <w:rFonts w:ascii="Arial Narrow" w:hAnsi="Arial Narrow" w:cs="Segoe UI"/>
              </w:rPr>
              <w:t> </w:t>
            </w:r>
          </w:p>
        </w:tc>
      </w:tr>
    </w:tbl>
    <w:p w14:paraId="33935B17" w14:textId="6C6C4111" w:rsidR="000D2368" w:rsidRPr="000D2368" w:rsidRDefault="00B233D2" w:rsidP="000D2368">
      <w:pPr>
        <w:pStyle w:val="TableFigureFooter"/>
        <w:spacing w:after="600"/>
      </w:pPr>
      <w:r w:rsidRPr="00CE28E3">
        <w:rPr>
          <w:rFonts w:cs="Calibri"/>
          <w:sz w:val="28"/>
          <w:szCs w:val="28"/>
          <w:shd w:val="clear" w:color="auto" w:fill="D6E3BC"/>
          <w:lang w:eastAsia="en-GB"/>
        </w:rPr>
        <w:sym w:font="Wingdings" w:char="F04A"/>
      </w:r>
      <w:r w:rsidRPr="00CE28E3">
        <w:t xml:space="preserve">Low </w:t>
      </w:r>
      <w:r>
        <w:t>r</w:t>
      </w:r>
      <w:r w:rsidRPr="00CE28E3">
        <w:t>isk</w:t>
      </w:r>
      <w:r w:rsidRPr="00CE28E3">
        <w:tab/>
      </w:r>
      <w:r w:rsidRPr="00CE28E3">
        <w:rPr>
          <w:rFonts w:cs="Calibri"/>
          <w:sz w:val="28"/>
          <w:szCs w:val="28"/>
          <w:shd w:val="clear" w:color="auto" w:fill="FBD4B4"/>
          <w:lang w:eastAsia="en-GB"/>
        </w:rPr>
        <w:sym w:font="Wingdings" w:char="F04C"/>
      </w:r>
      <w:r w:rsidRPr="00CE28E3">
        <w:t xml:space="preserve">High </w:t>
      </w:r>
      <w:r>
        <w:t>r</w:t>
      </w:r>
      <w:r w:rsidRPr="00CE28E3">
        <w:t>isk</w:t>
      </w:r>
      <w:r w:rsidRPr="00CE28E3">
        <w:tab/>
      </w:r>
      <w:r w:rsidRPr="00CE28E3">
        <w:rPr>
          <w:rFonts w:cs="Calibri"/>
          <w:szCs w:val="28"/>
          <w:shd w:val="clear" w:color="auto" w:fill="B6DDE8"/>
          <w:lang w:eastAsia="en-GB"/>
        </w:rPr>
        <w:t xml:space="preserve"> ?</w:t>
      </w:r>
      <w:r w:rsidRPr="00CE28E3">
        <w:t xml:space="preserve"> Unclear </w:t>
      </w:r>
      <w:r>
        <w:t>r</w:t>
      </w:r>
      <w:r w:rsidR="000D2368">
        <w:t>isk</w:t>
      </w:r>
    </w:p>
    <w:p w14:paraId="5721D9E0" w14:textId="77777777" w:rsidR="000D2368" w:rsidRDefault="000D2368" w:rsidP="00B233D2">
      <w:pPr>
        <w:pStyle w:val="TableFigureFooter"/>
        <w:rPr>
          <w:color w:val="258221"/>
        </w:rPr>
        <w:sectPr w:rsidR="000D2368" w:rsidSect="002C01BD">
          <w:pgSz w:w="16838" w:h="11906" w:orient="landscape"/>
          <w:pgMar w:top="1440" w:right="1440" w:bottom="1440" w:left="1440" w:header="708" w:footer="708" w:gutter="0"/>
          <w:cols w:space="708"/>
          <w:titlePg/>
          <w:docGrid w:linePitch="360"/>
        </w:sectPr>
      </w:pPr>
    </w:p>
    <w:p w14:paraId="3323C960" w14:textId="3BA0E8BA" w:rsidR="0002052A" w:rsidRDefault="0002052A" w:rsidP="0002052A">
      <w:pPr>
        <w:pStyle w:val="Heading3"/>
      </w:pPr>
      <w:bookmarkStart w:id="298" w:name="_Toc148531211"/>
      <w:r>
        <w:lastRenderedPageBreak/>
        <w:t>Results</w:t>
      </w:r>
      <w:bookmarkEnd w:id="298"/>
    </w:p>
    <w:p w14:paraId="0A30B781" w14:textId="52517787" w:rsidR="000D2368" w:rsidRDefault="000D2368" w:rsidP="000D2368">
      <w:pPr>
        <w:pStyle w:val="Heading4"/>
      </w:pPr>
      <w:r>
        <w:t>Comparative rate of success</w:t>
      </w:r>
      <w:r w:rsidR="00857124">
        <w:t>ful</w:t>
      </w:r>
      <w:r>
        <w:t xml:space="preserve"> testing </w:t>
      </w:r>
    </w:p>
    <w:p w14:paraId="1A635B46" w14:textId="7EF05073" w:rsidR="00857124" w:rsidRPr="00857124" w:rsidRDefault="00857124" w:rsidP="00857124">
      <w:r>
        <w:t xml:space="preserve">One of the key benefits of NGS is claimed to be the ability to make efficient use of tumour tissue to test multiple genes at once, whereas the success of sequential single-gene testing can decrease, the more genes are analysed. Three within-patient studies provided the overall success rates of small gene panel testing with NGS, versus the overall success of sequential single gene testing. These are shown in </w:t>
      </w:r>
      <w:r>
        <w:fldChar w:fldCharType="begin"/>
      </w:r>
      <w:r>
        <w:instrText xml:space="preserve"> REF _Ref108871850 \h </w:instrText>
      </w:r>
      <w:r>
        <w:fldChar w:fldCharType="separate"/>
      </w:r>
      <w:r w:rsidR="00C857F3">
        <w:t xml:space="preserve">Table </w:t>
      </w:r>
      <w:r w:rsidR="00C857F3">
        <w:rPr>
          <w:noProof/>
        </w:rPr>
        <w:t>80</w:t>
      </w:r>
      <w:r>
        <w:fldChar w:fldCharType="end"/>
      </w:r>
      <w:r>
        <w:t xml:space="preserve">. </w:t>
      </w:r>
    </w:p>
    <w:p w14:paraId="65A9A603" w14:textId="0138031D" w:rsidR="00857124" w:rsidRDefault="00857124" w:rsidP="00857124">
      <w:pPr>
        <w:pStyle w:val="Caption"/>
      </w:pPr>
      <w:bookmarkStart w:id="299" w:name="_Ref108871850"/>
      <w:r>
        <w:t xml:space="preserve">Table </w:t>
      </w:r>
      <w:fldSimple w:instr=" SEQ Table \* ARABIC ">
        <w:r w:rsidR="00C857F3">
          <w:rPr>
            <w:noProof/>
          </w:rPr>
          <w:t>80</w:t>
        </w:r>
      </w:fldSimple>
      <w:bookmarkEnd w:id="299"/>
      <w:r>
        <w:tab/>
        <w:t>Success rates of sequential single-gene testing and NGS (within patient comparisons)</w:t>
      </w:r>
    </w:p>
    <w:tbl>
      <w:tblPr>
        <w:tblStyle w:val="TableGrid"/>
        <w:tblW w:w="0" w:type="auto"/>
        <w:tblLook w:val="04A0" w:firstRow="1" w:lastRow="0" w:firstColumn="1" w:lastColumn="0" w:noHBand="0" w:noVBand="1"/>
        <w:tblCaption w:val="Success rates of sequential single-gene testing and NGS (within patient comparisons)"/>
        <w:tblDescription w:val="Success rates of sequential single-gene testing and NGS (within patient comparisons)"/>
      </w:tblPr>
      <w:tblGrid>
        <w:gridCol w:w="1357"/>
        <w:gridCol w:w="1778"/>
        <w:gridCol w:w="1165"/>
        <w:gridCol w:w="1149"/>
        <w:gridCol w:w="1229"/>
        <w:gridCol w:w="1104"/>
        <w:gridCol w:w="1234"/>
      </w:tblGrid>
      <w:tr w:rsidR="00857124" w14:paraId="3963B621" w14:textId="77777777" w:rsidTr="003A6029">
        <w:trPr>
          <w:trHeight w:val="481"/>
          <w:tblHeader/>
        </w:trPr>
        <w:tc>
          <w:tcPr>
            <w:tcW w:w="1357" w:type="dxa"/>
            <w:vMerge w:val="restart"/>
          </w:tcPr>
          <w:p w14:paraId="3852A44C" w14:textId="77777777" w:rsidR="00857124" w:rsidRDefault="00857124" w:rsidP="00B01AD7">
            <w:pPr>
              <w:pStyle w:val="TableHeading"/>
            </w:pPr>
            <w:r>
              <w:t>Study</w:t>
            </w:r>
          </w:p>
        </w:tc>
        <w:tc>
          <w:tcPr>
            <w:tcW w:w="1778" w:type="dxa"/>
            <w:vMerge w:val="restart"/>
          </w:tcPr>
          <w:p w14:paraId="5575BDF7" w14:textId="77777777" w:rsidR="00857124" w:rsidRDefault="00857124" w:rsidP="00B01AD7">
            <w:pPr>
              <w:pStyle w:val="TableHeading"/>
            </w:pPr>
            <w:r>
              <w:t>Population</w:t>
            </w:r>
          </w:p>
        </w:tc>
        <w:tc>
          <w:tcPr>
            <w:tcW w:w="4647" w:type="dxa"/>
            <w:gridSpan w:val="4"/>
          </w:tcPr>
          <w:p w14:paraId="21059C13" w14:textId="77777777" w:rsidR="00857124" w:rsidRDefault="00857124" w:rsidP="00B01AD7">
            <w:pPr>
              <w:pStyle w:val="TableHeading"/>
            </w:pPr>
            <w:r>
              <w:t>Success of sequential single-gene analyses</w:t>
            </w:r>
          </w:p>
        </w:tc>
        <w:tc>
          <w:tcPr>
            <w:tcW w:w="1234" w:type="dxa"/>
            <w:vMerge w:val="restart"/>
          </w:tcPr>
          <w:p w14:paraId="6F415B98" w14:textId="77777777" w:rsidR="00857124" w:rsidRDefault="00857124" w:rsidP="00B01AD7">
            <w:pPr>
              <w:pStyle w:val="TableHeading"/>
            </w:pPr>
            <w:r>
              <w:t>Success of NGS</w:t>
            </w:r>
          </w:p>
        </w:tc>
      </w:tr>
      <w:tr w:rsidR="00857124" w14:paraId="5DE4DB7B" w14:textId="77777777" w:rsidTr="003A6029">
        <w:trPr>
          <w:tblHeader/>
        </w:trPr>
        <w:tc>
          <w:tcPr>
            <w:tcW w:w="1357" w:type="dxa"/>
            <w:vMerge/>
          </w:tcPr>
          <w:p w14:paraId="414ED6A5" w14:textId="77777777" w:rsidR="00857124" w:rsidRDefault="00857124" w:rsidP="00B01AD7">
            <w:pPr>
              <w:pStyle w:val="TableHeading"/>
            </w:pPr>
          </w:p>
        </w:tc>
        <w:tc>
          <w:tcPr>
            <w:tcW w:w="1778" w:type="dxa"/>
            <w:vMerge/>
          </w:tcPr>
          <w:p w14:paraId="088D5CCC" w14:textId="77777777" w:rsidR="00857124" w:rsidRDefault="00857124" w:rsidP="00B01AD7">
            <w:pPr>
              <w:pStyle w:val="TableHeading"/>
              <w:rPr>
                <w:i/>
              </w:rPr>
            </w:pPr>
          </w:p>
        </w:tc>
        <w:tc>
          <w:tcPr>
            <w:tcW w:w="1165" w:type="dxa"/>
          </w:tcPr>
          <w:p w14:paraId="322DC451" w14:textId="77777777" w:rsidR="00857124" w:rsidRDefault="00857124" w:rsidP="00B01AD7">
            <w:pPr>
              <w:pStyle w:val="TableHeading"/>
              <w:rPr>
                <w:i/>
              </w:rPr>
            </w:pPr>
            <w:r>
              <w:rPr>
                <w:i/>
              </w:rPr>
              <w:t>EGFR</w:t>
            </w:r>
          </w:p>
        </w:tc>
        <w:tc>
          <w:tcPr>
            <w:tcW w:w="1149" w:type="dxa"/>
          </w:tcPr>
          <w:p w14:paraId="20D138D6" w14:textId="77777777" w:rsidR="00857124" w:rsidRDefault="00857124" w:rsidP="00B01AD7">
            <w:pPr>
              <w:pStyle w:val="TableHeading"/>
              <w:rPr>
                <w:i/>
              </w:rPr>
            </w:pPr>
            <w:r>
              <w:rPr>
                <w:i/>
              </w:rPr>
              <w:t>ALK</w:t>
            </w:r>
          </w:p>
        </w:tc>
        <w:tc>
          <w:tcPr>
            <w:tcW w:w="1229" w:type="dxa"/>
          </w:tcPr>
          <w:p w14:paraId="157E2251" w14:textId="77777777" w:rsidR="00857124" w:rsidRPr="007A46BF" w:rsidRDefault="00857124" w:rsidP="00B01AD7">
            <w:pPr>
              <w:pStyle w:val="TableHeading"/>
              <w:rPr>
                <w:i/>
              </w:rPr>
            </w:pPr>
            <w:r w:rsidRPr="007A46BF">
              <w:rPr>
                <w:i/>
              </w:rPr>
              <w:t>ROS1</w:t>
            </w:r>
          </w:p>
        </w:tc>
        <w:tc>
          <w:tcPr>
            <w:tcW w:w="1104" w:type="dxa"/>
          </w:tcPr>
          <w:p w14:paraId="22F73639" w14:textId="77777777" w:rsidR="00857124" w:rsidRDefault="00857124" w:rsidP="00B01AD7">
            <w:pPr>
              <w:pStyle w:val="TableHeading"/>
            </w:pPr>
            <w:r>
              <w:t>Overall</w:t>
            </w:r>
          </w:p>
        </w:tc>
        <w:tc>
          <w:tcPr>
            <w:tcW w:w="1234" w:type="dxa"/>
            <w:vMerge/>
          </w:tcPr>
          <w:p w14:paraId="00E7F669" w14:textId="77777777" w:rsidR="00857124" w:rsidRDefault="00857124" w:rsidP="00B01AD7">
            <w:pPr>
              <w:pStyle w:val="TableHeading"/>
            </w:pPr>
          </w:p>
        </w:tc>
      </w:tr>
      <w:tr w:rsidR="00857124" w14:paraId="31B51734" w14:textId="77777777" w:rsidTr="00B01AD7">
        <w:tc>
          <w:tcPr>
            <w:tcW w:w="1357" w:type="dxa"/>
          </w:tcPr>
          <w:p w14:paraId="2FC4E683" w14:textId="6DD8669C" w:rsidR="00857124" w:rsidRDefault="00B4668F" w:rsidP="00B01AD7">
            <w:pPr>
              <w:pStyle w:val="TableText"/>
            </w:pP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 </w:instrText>
            </w: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EN.CITE.DATA </w:instrText>
            </w:r>
            <w:r>
              <w:fldChar w:fldCharType="end"/>
            </w:r>
            <w:r>
              <w:fldChar w:fldCharType="separate"/>
            </w:r>
            <w:r>
              <w:rPr>
                <w:noProof/>
              </w:rPr>
              <w:t>(Xie et al. 2019)</w:t>
            </w:r>
            <w:r>
              <w:fldChar w:fldCharType="end"/>
            </w:r>
          </w:p>
          <w:p w14:paraId="2FCBF2F4" w14:textId="77777777" w:rsidR="00857124" w:rsidRPr="003A3CB0" w:rsidRDefault="00857124" w:rsidP="00B01AD7">
            <w:pPr>
              <w:pStyle w:val="TableText"/>
            </w:pPr>
            <w:r>
              <w:t>China</w:t>
            </w:r>
          </w:p>
        </w:tc>
        <w:tc>
          <w:tcPr>
            <w:tcW w:w="1778" w:type="dxa"/>
          </w:tcPr>
          <w:p w14:paraId="3E34396E" w14:textId="77777777" w:rsidR="00857124" w:rsidRDefault="00857124" w:rsidP="00B01AD7">
            <w:pPr>
              <w:pStyle w:val="paragraph"/>
              <w:spacing w:before="0" w:beforeAutospacing="0" w:after="0" w:afterAutospacing="0"/>
              <w:jc w:val="both"/>
              <w:textAlignment w:val="baseline"/>
              <w:rPr>
                <w:rFonts w:ascii="Segoe UI" w:hAnsi="Segoe UI" w:cs="Segoe UI"/>
                <w:sz w:val="18"/>
                <w:szCs w:val="18"/>
              </w:rPr>
            </w:pPr>
            <w:r>
              <w:rPr>
                <w:rStyle w:val="normaltextrun"/>
                <w:rFonts w:ascii="Arial Narrow" w:hAnsi="Arial Narrow" w:cs="Segoe UI"/>
                <w:sz w:val="20"/>
                <w:szCs w:val="20"/>
              </w:rPr>
              <w:t>85 patients with advanced non-squamous NSCLC</w:t>
            </w:r>
            <w:r>
              <w:rPr>
                <w:rStyle w:val="eop"/>
                <w:rFonts w:ascii="Arial Narrow" w:hAnsi="Arial Narrow" w:cs="Segoe UI"/>
                <w:sz w:val="20"/>
                <w:szCs w:val="20"/>
              </w:rPr>
              <w:t> </w:t>
            </w:r>
          </w:p>
          <w:p w14:paraId="748C130A" w14:textId="77777777" w:rsidR="00857124" w:rsidRPr="00083DDB" w:rsidRDefault="00857124" w:rsidP="00B01AD7">
            <w:pPr>
              <w:pStyle w:val="paragraph"/>
              <w:spacing w:before="0" w:beforeAutospacing="0" w:after="0" w:afterAutospacing="0"/>
              <w:jc w:val="both"/>
              <w:textAlignment w:val="baseline"/>
              <w:rPr>
                <w:rFonts w:ascii="Segoe UI" w:hAnsi="Segoe UI" w:cs="Segoe UI"/>
                <w:sz w:val="18"/>
                <w:szCs w:val="18"/>
              </w:rPr>
            </w:pPr>
            <w:r>
              <w:rPr>
                <w:rStyle w:val="normaltextrun"/>
                <w:rFonts w:ascii="Arial Narrow" w:hAnsi="Arial Narrow" w:cs="Segoe UI"/>
                <w:sz w:val="20"/>
                <w:szCs w:val="20"/>
              </w:rPr>
              <w:t>FFPE  samples from endobronchial ultrasound-guided transbronchial needle aspiration (EBUS-TBNA)</w:t>
            </w:r>
            <w:r>
              <w:rPr>
                <w:rStyle w:val="eop"/>
                <w:rFonts w:ascii="Arial Narrow" w:hAnsi="Arial Narrow" w:cs="Segoe UI"/>
                <w:sz w:val="20"/>
                <w:szCs w:val="20"/>
              </w:rPr>
              <w:t> </w:t>
            </w:r>
          </w:p>
        </w:tc>
        <w:tc>
          <w:tcPr>
            <w:tcW w:w="1165" w:type="dxa"/>
          </w:tcPr>
          <w:p w14:paraId="3CC35DEB" w14:textId="77777777" w:rsidR="00857124" w:rsidRPr="003A3CB0" w:rsidRDefault="00857124" w:rsidP="00B01AD7">
            <w:pPr>
              <w:pStyle w:val="TableText"/>
            </w:pPr>
            <w:r>
              <w:t>ARMS-PCR using 10-15 FFPE sections 5 μm thick</w:t>
            </w:r>
          </w:p>
        </w:tc>
        <w:tc>
          <w:tcPr>
            <w:tcW w:w="1149" w:type="dxa"/>
          </w:tcPr>
          <w:p w14:paraId="2DF6E0CE" w14:textId="77777777" w:rsidR="00857124" w:rsidRDefault="00857124" w:rsidP="00B01AD7">
            <w:pPr>
              <w:pStyle w:val="Tabletext0"/>
              <w:jc w:val="left"/>
            </w:pPr>
            <w:r>
              <w:t>IHC performed on 71/85 (83.5%)</w:t>
            </w:r>
          </w:p>
        </w:tc>
        <w:tc>
          <w:tcPr>
            <w:tcW w:w="1229" w:type="dxa"/>
          </w:tcPr>
          <w:p w14:paraId="731B0FE8" w14:textId="77777777" w:rsidR="00857124" w:rsidRDefault="00857124" w:rsidP="00B01AD7">
            <w:pPr>
              <w:pStyle w:val="Tabletext0"/>
              <w:jc w:val="left"/>
            </w:pPr>
            <w:r>
              <w:t>Quantitative reverse transcription PCR. Total RNA extracted from 10-15 FFPE sections 5 μm thick</w:t>
            </w:r>
          </w:p>
        </w:tc>
        <w:tc>
          <w:tcPr>
            <w:tcW w:w="1104" w:type="dxa"/>
          </w:tcPr>
          <w:p w14:paraId="703E25A6" w14:textId="77777777" w:rsidR="00857124" w:rsidRDefault="00857124" w:rsidP="00B01AD7">
            <w:pPr>
              <w:pStyle w:val="Tabletext0"/>
              <w:jc w:val="left"/>
            </w:pPr>
            <w:r>
              <w:t>80/85 (94.1%)</w:t>
            </w:r>
          </w:p>
        </w:tc>
        <w:tc>
          <w:tcPr>
            <w:tcW w:w="1234" w:type="dxa"/>
          </w:tcPr>
          <w:p w14:paraId="1B374093" w14:textId="77777777" w:rsidR="00857124" w:rsidRDefault="00857124" w:rsidP="00B01AD7">
            <w:pPr>
              <w:pStyle w:val="Tabletext0"/>
              <w:jc w:val="left"/>
            </w:pPr>
            <w:r>
              <w:t>77/80 (96.2%) of those successfully tested single-gene tests</w:t>
            </w:r>
          </w:p>
        </w:tc>
      </w:tr>
      <w:tr w:rsidR="00857124" w14:paraId="2F3A0455" w14:textId="77777777" w:rsidTr="00B01AD7">
        <w:tc>
          <w:tcPr>
            <w:tcW w:w="1357" w:type="dxa"/>
          </w:tcPr>
          <w:p w14:paraId="0B47EA87" w14:textId="49618BFC" w:rsidR="00857124" w:rsidRDefault="00B4668F" w:rsidP="00B01AD7">
            <w:pPr>
              <w:pStyle w:val="TableText"/>
            </w:pPr>
            <w:r>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instrText xml:space="preserve"> ADDIN EN.CITE </w:instrText>
            </w:r>
            <w:r>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instrText xml:space="preserve"> ADDIN EN.CITE.DATA </w:instrText>
            </w:r>
            <w:r>
              <w:fldChar w:fldCharType="end"/>
            </w:r>
            <w:r>
              <w:fldChar w:fldCharType="separate"/>
            </w:r>
            <w:r>
              <w:rPr>
                <w:noProof/>
              </w:rPr>
              <w:t>(Yu et al. 2019)</w:t>
            </w:r>
            <w:r>
              <w:fldChar w:fldCharType="end"/>
            </w:r>
          </w:p>
          <w:p w14:paraId="60FCFF34" w14:textId="77777777" w:rsidR="00857124" w:rsidRPr="003A3CB0" w:rsidRDefault="00857124" w:rsidP="00B01AD7">
            <w:pPr>
              <w:pStyle w:val="TableText"/>
            </w:pPr>
            <w:r>
              <w:t>United States</w:t>
            </w:r>
          </w:p>
        </w:tc>
        <w:tc>
          <w:tcPr>
            <w:tcW w:w="1778" w:type="dxa"/>
          </w:tcPr>
          <w:p w14:paraId="64D756A3" w14:textId="77777777" w:rsidR="00857124" w:rsidRDefault="00857124" w:rsidP="00B01AD7">
            <w:pPr>
              <w:pStyle w:val="Tabletext0"/>
              <w:spacing w:before="0" w:after="120"/>
              <w:jc w:val="left"/>
            </w:pPr>
            <w:r>
              <w:t>N=169 investigational Oncomine Dx Target Tests on archived FFPE NSCLC tissue samples (index test)</w:t>
            </w:r>
          </w:p>
          <w:p w14:paraId="3423A8DF" w14:textId="77777777" w:rsidR="00857124" w:rsidRPr="003A3CB0" w:rsidRDefault="00857124" w:rsidP="00B01AD7">
            <w:pPr>
              <w:pStyle w:val="TableText"/>
            </w:pPr>
            <w:r>
              <w:t>N=3,659 single-gene tests across 1,402 clinician-submitted samples (comparator tests)</w:t>
            </w:r>
          </w:p>
        </w:tc>
        <w:tc>
          <w:tcPr>
            <w:tcW w:w="1165" w:type="dxa"/>
          </w:tcPr>
          <w:p w14:paraId="57123DF0" w14:textId="77777777" w:rsidR="00857124" w:rsidRPr="003A3CB0" w:rsidRDefault="00857124" w:rsidP="00B01AD7">
            <w:pPr>
              <w:pStyle w:val="TableText"/>
            </w:pPr>
            <w:r w:rsidRPr="003A3CB0">
              <w:t>~83%,</w:t>
            </w:r>
          </w:p>
        </w:tc>
        <w:tc>
          <w:tcPr>
            <w:tcW w:w="1149" w:type="dxa"/>
          </w:tcPr>
          <w:p w14:paraId="71DF129A" w14:textId="77777777" w:rsidR="00857124" w:rsidRDefault="00857124" w:rsidP="00B01AD7">
            <w:pPr>
              <w:pStyle w:val="Tabletext0"/>
              <w:jc w:val="left"/>
            </w:pPr>
            <w:r>
              <w:t>FISH:</w:t>
            </w:r>
          </w:p>
          <w:p w14:paraId="15D985CD" w14:textId="77777777" w:rsidR="00857124" w:rsidRDefault="00857124" w:rsidP="00B01AD7">
            <w:pPr>
              <w:pStyle w:val="Tabletext0"/>
              <w:jc w:val="left"/>
            </w:pPr>
            <w:r>
              <w:t>89.1%</w:t>
            </w:r>
          </w:p>
        </w:tc>
        <w:tc>
          <w:tcPr>
            <w:tcW w:w="1229" w:type="dxa"/>
          </w:tcPr>
          <w:p w14:paraId="54EEB3A8" w14:textId="77777777" w:rsidR="00857124" w:rsidRDefault="00857124" w:rsidP="00B01AD7">
            <w:pPr>
              <w:pStyle w:val="Tabletext0"/>
              <w:jc w:val="left"/>
            </w:pPr>
            <w:r>
              <w:t>76.6%</w:t>
            </w:r>
          </w:p>
        </w:tc>
        <w:tc>
          <w:tcPr>
            <w:tcW w:w="1104" w:type="dxa"/>
          </w:tcPr>
          <w:p w14:paraId="646F17FC" w14:textId="77777777" w:rsidR="00857124" w:rsidRDefault="00857124" w:rsidP="00B01AD7">
            <w:pPr>
              <w:pStyle w:val="Tabletext0"/>
              <w:jc w:val="left"/>
            </w:pPr>
            <w:r>
              <w:t>88.4% for ≥1 biomarkers</w:t>
            </w:r>
          </w:p>
          <w:p w14:paraId="14F8043A" w14:textId="77777777" w:rsidR="00857124" w:rsidRDefault="00857124" w:rsidP="00B01AD7">
            <w:pPr>
              <w:pStyle w:val="Tabletext0"/>
              <w:jc w:val="left"/>
            </w:pPr>
            <w:r>
              <w:t>76.6% for ≥4 biomarkers</w:t>
            </w:r>
          </w:p>
        </w:tc>
        <w:tc>
          <w:tcPr>
            <w:tcW w:w="1234" w:type="dxa"/>
          </w:tcPr>
          <w:p w14:paraId="09C6EB35" w14:textId="77777777" w:rsidR="00857124" w:rsidRDefault="00857124" w:rsidP="00B01AD7">
            <w:pPr>
              <w:pStyle w:val="Tabletext0"/>
              <w:jc w:val="left"/>
            </w:pPr>
            <w:r>
              <w:t xml:space="preserve">98.9% in surgical resection samples, 75.4% in CNB and 69.2% in FNA </w:t>
            </w:r>
          </w:p>
        </w:tc>
      </w:tr>
      <w:tr w:rsidR="00857124" w14:paraId="34402CD6" w14:textId="77777777" w:rsidTr="00B01AD7">
        <w:tc>
          <w:tcPr>
            <w:tcW w:w="1357" w:type="dxa"/>
          </w:tcPr>
          <w:p w14:paraId="5FC4ED92" w14:textId="6AD1F401" w:rsidR="00857124" w:rsidRDefault="00B4668F" w:rsidP="00B01AD7">
            <w:pPr>
              <w:pStyle w:val="Tabletext0"/>
            </w:pPr>
            <w:r>
              <w:fldChar w:fldCharType="begin"/>
            </w:r>
            <w:r>
              <w:instrText xml:space="preserve"> ADDIN EN.CITE &lt;EndNote&gt;&lt;Cite&gt;&lt;Author&gt;Zugazagoitia&lt;/Author&gt;&lt;Year&gt;2018&lt;/Year&gt;&lt;RecNum&gt;72&lt;/RecNum&gt;&lt;IDText&gt;65-73.e7&lt;/IDText&gt;&lt;DisplayText&gt;(Zugazagoitia et al. 2018)&lt;/DisplayText&gt;&lt;record&gt;&lt;rec-number&gt;72&lt;/rec-number&gt;&lt;foreign-keys&gt;&lt;key app="EN" db-id="0tprsse9cpp5r3ea5dz5p0xw2pfwvwxpa5a5" timestamp="1651815038"&gt;72&lt;/key&gt;&lt;/foreign-keys&gt;&lt;ref-type name="Journal Article"&gt;17&lt;/ref-type&gt;&lt;contributors&gt;&lt;authors&gt;&lt;author&gt;Zugazagoitia, J.&lt;/author&gt;&lt;author&gt;Rueda, D.&lt;/author&gt;&lt;author&gt;Carrizo, N.&lt;/author&gt;&lt;author&gt;Enguita, A. B.&lt;/author&gt;&lt;author&gt;Gómez-Sánchez, D.&lt;/author&gt;&lt;author&gt;Díaz-Serrano, A.&lt;/author&gt;&lt;author&gt;Jiménez, E.&lt;/author&gt;&lt;author&gt;Mérida, A.&lt;/author&gt;&lt;author&gt;Calero, R.&lt;/author&gt;&lt;author&gt;Lujan, R.&lt;/author&gt;&lt;author&gt;De Miguel, E.&lt;/author&gt;&lt;author&gt;Gámez, P.&lt;/author&gt;&lt;author&gt;Díaz-Hellín, V.&lt;/author&gt;&lt;author&gt;Nuñez, J. A.&lt;/author&gt;&lt;author&gt;Iglesias, L.&lt;/author&gt;&lt;author&gt;Ferrer, I.&lt;/author&gt;&lt;author&gt;Paz-Ares, L.&lt;/author&gt;&lt;author&gt;Ponce-Aix, S.&lt;/author&gt;&lt;/authors&gt;&lt;/contributors&gt;&lt;titles&gt;&lt;title&gt;Prospective Clinical Integration of an Amplicon-Based Next-Generation Sequencing Method to Select Advanced Non–Small-Cell Lung Cancer Patients for Genotype-Tailored Treatments&lt;/title&gt;&lt;secondary-title&gt;Clinical Lung Cancer&lt;/secondary-title&gt;&lt;/titles&gt;&lt;periodical&gt;&lt;full-title&gt;Clinical Lung Cancer&lt;/full-title&gt;&lt;/periodical&gt;&lt;pages&gt;65-73.e7&lt;/pages&gt;&lt;volume&gt;19&lt;/volume&gt;&lt;number&gt;1&lt;/number&gt;&lt;dates&gt;&lt;year&gt;2018&lt;/year&gt;&lt;/dates&gt;&lt;work-type&gt;Article&lt;/work-type&gt;&lt;urls&gt;&lt;related-urls&gt;&lt;url&gt;https://www.scopus.com/inward/record.uri?eid=2-s2.0-85026785920&amp;amp;doi=10.1016%2fj.cllc.2017.06.008&amp;amp;partnerID=40&amp;amp;md5=ad14a108ae1fb13bf5f730a5f90b7327&lt;/url&gt;&lt;url&gt;https://ac.els-cdn.com/S152573041730181X/1-s2.0-S152573041730181X-main.pdf?_tid=4bb1d394-9894-4f53-8f69-522c3178264f&amp;amp;acdnat=1550019426_9f5124462db1835eca1c86b520c48e73&lt;/url&gt;&lt;/related-urls&gt;&lt;/urls&gt;&lt;electronic-resource-num&gt;10.1016/j.cllc.2017.06.008&lt;/electronic-resource-num&gt;&lt;remote-database-name&gt;Scopus&lt;/remote-database-name&gt;&lt;/record&gt;&lt;/Cite&gt;&lt;/EndNote&gt;</w:instrText>
            </w:r>
            <w:r>
              <w:fldChar w:fldCharType="separate"/>
            </w:r>
            <w:r>
              <w:rPr>
                <w:noProof/>
              </w:rPr>
              <w:t>(Zugazagoitia et al. 2018)</w:t>
            </w:r>
            <w:r>
              <w:fldChar w:fldCharType="end"/>
            </w:r>
          </w:p>
          <w:p w14:paraId="20DAD8D3" w14:textId="77777777" w:rsidR="00857124" w:rsidRPr="00607499" w:rsidRDefault="00857124" w:rsidP="00B01AD7">
            <w:pPr>
              <w:pStyle w:val="Tabletext0"/>
            </w:pPr>
            <w:r>
              <w:t>Spain</w:t>
            </w:r>
          </w:p>
        </w:tc>
        <w:tc>
          <w:tcPr>
            <w:tcW w:w="1778" w:type="dxa"/>
          </w:tcPr>
          <w:p w14:paraId="06BCE7E1" w14:textId="77777777" w:rsidR="00857124" w:rsidRDefault="00857124" w:rsidP="00B01AD7">
            <w:pPr>
              <w:pStyle w:val="Tabletext0"/>
              <w:jc w:val="left"/>
            </w:pPr>
            <w:r>
              <w:t>N=109 c</w:t>
            </w:r>
            <w:r w:rsidRPr="00466470">
              <w:t xml:space="preserve">onsecutive advanced stage </w:t>
            </w:r>
            <w:r>
              <w:rPr>
                <w:snapToGrid w:val="0"/>
              </w:rPr>
              <w:t xml:space="preserve">(mostly stage IV) </w:t>
            </w:r>
            <w:r w:rsidRPr="00466470">
              <w:t>NSCLC patients reviewed in a single centre</w:t>
            </w:r>
          </w:p>
        </w:tc>
        <w:tc>
          <w:tcPr>
            <w:tcW w:w="1165" w:type="dxa"/>
          </w:tcPr>
          <w:p w14:paraId="18185252" w14:textId="77777777" w:rsidR="00857124" w:rsidRDefault="00857124" w:rsidP="00B01AD7">
            <w:pPr>
              <w:pStyle w:val="Tabletext0"/>
              <w:jc w:val="left"/>
            </w:pPr>
            <w:r>
              <w:t>87/92 (94.5%)</w:t>
            </w:r>
          </w:p>
          <w:p w14:paraId="781AD460" w14:textId="77777777" w:rsidR="00857124" w:rsidRDefault="00857124" w:rsidP="00B01AD7">
            <w:pPr>
              <w:pStyle w:val="Tabletext0"/>
              <w:jc w:val="left"/>
            </w:pPr>
            <w:r>
              <w:t>5 non-informative results</w:t>
            </w:r>
          </w:p>
        </w:tc>
        <w:tc>
          <w:tcPr>
            <w:tcW w:w="1149" w:type="dxa"/>
          </w:tcPr>
          <w:p w14:paraId="385256BE" w14:textId="77777777" w:rsidR="00857124" w:rsidRDefault="00857124" w:rsidP="00B01AD7">
            <w:pPr>
              <w:pStyle w:val="Tabletext0"/>
              <w:jc w:val="left"/>
            </w:pPr>
            <w:r>
              <w:t>85/92 (92.3%)</w:t>
            </w:r>
          </w:p>
          <w:p w14:paraId="49D69835" w14:textId="77777777" w:rsidR="00857124" w:rsidRDefault="00857124" w:rsidP="00B01AD7">
            <w:pPr>
              <w:pStyle w:val="Tabletext0"/>
              <w:jc w:val="left"/>
            </w:pPr>
            <w:r>
              <w:t>7 insufficient tissue for IHC (including 5 cytologies)</w:t>
            </w:r>
          </w:p>
        </w:tc>
        <w:tc>
          <w:tcPr>
            <w:tcW w:w="1229" w:type="dxa"/>
          </w:tcPr>
          <w:p w14:paraId="4899F348" w14:textId="77777777" w:rsidR="00857124" w:rsidRDefault="00857124" w:rsidP="00B01AD7">
            <w:pPr>
              <w:pStyle w:val="Tabletext0"/>
              <w:jc w:val="left"/>
            </w:pPr>
            <w:r>
              <w:t>82/92 (89.1)</w:t>
            </w:r>
          </w:p>
          <w:p w14:paraId="5516FCAD" w14:textId="77777777" w:rsidR="00857124" w:rsidRDefault="00857124" w:rsidP="00B01AD7">
            <w:pPr>
              <w:pStyle w:val="Tabletext0"/>
              <w:jc w:val="left"/>
            </w:pPr>
            <w:r>
              <w:t>10 insufficient tissue for IHC (including 2 cytologies)</w:t>
            </w:r>
          </w:p>
        </w:tc>
        <w:tc>
          <w:tcPr>
            <w:tcW w:w="1104" w:type="dxa"/>
          </w:tcPr>
          <w:p w14:paraId="6DE86BC9" w14:textId="77777777" w:rsidR="00857124" w:rsidRDefault="00857124" w:rsidP="00B01AD7">
            <w:pPr>
              <w:pStyle w:val="Tabletext0"/>
              <w:jc w:val="left"/>
            </w:pPr>
            <w:r>
              <w:t>75/92 (81.5%)</w:t>
            </w:r>
          </w:p>
        </w:tc>
        <w:tc>
          <w:tcPr>
            <w:tcW w:w="1234" w:type="dxa"/>
          </w:tcPr>
          <w:p w14:paraId="087BF04A" w14:textId="77777777" w:rsidR="00857124" w:rsidRDefault="00857124" w:rsidP="00B01AD7">
            <w:pPr>
              <w:pStyle w:val="Tabletext0"/>
              <w:jc w:val="left"/>
            </w:pPr>
            <w:r>
              <w:t>95/109 (87.1%)</w:t>
            </w:r>
          </w:p>
          <w:p w14:paraId="15BDFA83" w14:textId="77777777" w:rsidR="00857124" w:rsidRDefault="00857124" w:rsidP="00B01AD7">
            <w:pPr>
              <w:pStyle w:val="Tabletext0"/>
              <w:jc w:val="left"/>
            </w:pPr>
            <w:r>
              <w:t>7 unsuccessful due to insufficient tissue, 4 had poor DNA quality, 3 due to analytical reasons</w:t>
            </w:r>
          </w:p>
        </w:tc>
      </w:tr>
    </w:tbl>
    <w:p w14:paraId="1D04DEE4" w14:textId="77777777" w:rsidR="00857124" w:rsidRDefault="00857124" w:rsidP="00857124">
      <w:pPr>
        <w:pStyle w:val="TableFooter"/>
      </w:pPr>
      <w:r w:rsidRPr="007C7AB1">
        <w:rPr>
          <w:i/>
        </w:rPr>
        <w:t>ALK</w:t>
      </w:r>
      <w:r>
        <w:t xml:space="preserve"> = </w:t>
      </w:r>
      <w:r w:rsidRPr="00561C5F">
        <w:t>anaplastic lymphoma kinase</w:t>
      </w:r>
      <w:r>
        <w:t xml:space="preserve">; CNB = core needle biopsy; </w:t>
      </w:r>
      <w:r w:rsidRPr="007C7AB1">
        <w:rPr>
          <w:i/>
        </w:rPr>
        <w:t>EGFR</w:t>
      </w:r>
      <w:r>
        <w:t xml:space="preserve"> = epidermal growth factor receptor; FFPE = formalin-fixed paraffin embedded; FISH = fluorescent in situ hybridisation; FNA = fine needle aspirate; IHC = immunohistochemistry; NGS = next generation sequencing; NSCLC = non-small cell lung cancer; RNA = ribonucleic acid; </w:t>
      </w:r>
      <w:r w:rsidRPr="00380685">
        <w:rPr>
          <w:i/>
        </w:rPr>
        <w:t>ROS1</w:t>
      </w:r>
      <w:r>
        <w:t xml:space="preserve"> = ROS proto-oncogene 1</w:t>
      </w:r>
    </w:p>
    <w:p w14:paraId="1F539C8E" w14:textId="77777777" w:rsidR="00857124" w:rsidRPr="00857124" w:rsidRDefault="00857124" w:rsidP="00857124"/>
    <w:p w14:paraId="09FC76E8" w14:textId="38C09F8F" w:rsidR="000D2368" w:rsidRDefault="000D2368" w:rsidP="000D2368">
      <w:r>
        <w:t xml:space="preserve">Studies which reported the success of NGS versus a single-gene test for individual genes are shown in </w:t>
      </w:r>
      <w:r>
        <w:fldChar w:fldCharType="begin"/>
      </w:r>
      <w:r>
        <w:instrText xml:space="preserve"> REF _Ref106806001 \h </w:instrText>
      </w:r>
      <w:r>
        <w:fldChar w:fldCharType="separate"/>
      </w:r>
      <w:r w:rsidR="00C857F3">
        <w:t xml:space="preserve">Table </w:t>
      </w:r>
      <w:r w:rsidR="00C857F3">
        <w:rPr>
          <w:noProof/>
        </w:rPr>
        <w:t>81</w:t>
      </w:r>
      <w:r>
        <w:fldChar w:fldCharType="end"/>
      </w:r>
      <w:r>
        <w:t xml:space="preserve">. The success of </w:t>
      </w:r>
      <w:r>
        <w:rPr>
          <w:i/>
        </w:rPr>
        <w:t>EGFR</w:t>
      </w:r>
      <w:r>
        <w:t xml:space="preserve"> testing alone was better performed by single-gene testing than NGS in nearly every study. However, if patients have wildtype </w:t>
      </w:r>
      <w:r>
        <w:rPr>
          <w:i/>
        </w:rPr>
        <w:t xml:space="preserve">EGFR, </w:t>
      </w:r>
      <w:r>
        <w:t xml:space="preserve">they would be </w:t>
      </w:r>
      <w:r>
        <w:lastRenderedPageBreak/>
        <w:t xml:space="preserve">indicated for further testing, so the success rates of </w:t>
      </w:r>
      <w:r>
        <w:rPr>
          <w:i/>
        </w:rPr>
        <w:t>EGFR</w:t>
      </w:r>
      <w:r>
        <w:t xml:space="preserve"> alone by single-gene testing do not represent the overall success. Two studies which reported on the success rates of </w:t>
      </w:r>
      <w:r>
        <w:rPr>
          <w:i/>
        </w:rPr>
        <w:t>ALK</w:t>
      </w:r>
      <w:r>
        <w:t xml:space="preserve"> testing favoured NGS rather than single-gene testing using FISH. </w:t>
      </w:r>
    </w:p>
    <w:p w14:paraId="356A47BF" w14:textId="7C1BD09D" w:rsidR="000D2368" w:rsidRPr="00500DC1" w:rsidRDefault="000D2368" w:rsidP="000D2368">
      <w:r>
        <w:t>For the comparative success of the whole testing strategy (EGFR ± ALK ± ROS1) by sequential single-gene testing versus NGS, see ‘</w:t>
      </w:r>
      <w:r>
        <w:fldChar w:fldCharType="begin"/>
      </w:r>
      <w:r>
        <w:instrText xml:space="preserve"> REF _Ref106806294 \h </w:instrText>
      </w:r>
      <w:r>
        <w:fldChar w:fldCharType="separate"/>
      </w:r>
      <w:r w:rsidR="00C857F3">
        <w:t>Success rate of testing/rate of sufficient tissue</w:t>
      </w:r>
      <w:r>
        <w:fldChar w:fldCharType="end"/>
      </w:r>
      <w:r>
        <w:t xml:space="preserve">’, pg </w:t>
      </w:r>
      <w:r>
        <w:fldChar w:fldCharType="begin"/>
      </w:r>
      <w:r>
        <w:instrText xml:space="preserve"> PAGEREF _Ref106806294 \h </w:instrText>
      </w:r>
      <w:r>
        <w:fldChar w:fldCharType="separate"/>
      </w:r>
      <w:r w:rsidR="00C857F3">
        <w:rPr>
          <w:noProof/>
        </w:rPr>
        <w:t>58</w:t>
      </w:r>
      <w:r>
        <w:fldChar w:fldCharType="end"/>
      </w:r>
      <w:r>
        <w:t xml:space="preserve"> in the main body. </w:t>
      </w:r>
    </w:p>
    <w:p w14:paraId="494F3D55" w14:textId="7CEED1B9" w:rsidR="000D2368" w:rsidRDefault="000D2368" w:rsidP="000D2368">
      <w:pPr>
        <w:pStyle w:val="Caption"/>
      </w:pPr>
      <w:bookmarkStart w:id="300" w:name="_Ref106806001"/>
      <w:r>
        <w:t xml:space="preserve">Table </w:t>
      </w:r>
      <w:fldSimple w:instr=" SEQ Table \* ARABIC ">
        <w:r w:rsidR="00C857F3">
          <w:rPr>
            <w:noProof/>
          </w:rPr>
          <w:t>81</w:t>
        </w:r>
      </w:fldSimple>
      <w:bookmarkEnd w:id="300"/>
      <w:r>
        <w:tab/>
        <w:t xml:space="preserve">Success rates of NGS and single-gene testing for individual genes </w:t>
      </w:r>
    </w:p>
    <w:tbl>
      <w:tblPr>
        <w:tblStyle w:val="TableGrid"/>
        <w:tblW w:w="0" w:type="auto"/>
        <w:tblLook w:val="04A0" w:firstRow="1" w:lastRow="0" w:firstColumn="1" w:lastColumn="0" w:noHBand="0" w:noVBand="1"/>
        <w:tblCaption w:val="Success rates of NGS and single-gene testing for individual genes "/>
        <w:tblDescription w:val="Success rates of NGS and single-gene testing for individual genes "/>
      </w:tblPr>
      <w:tblGrid>
        <w:gridCol w:w="1221"/>
        <w:gridCol w:w="1387"/>
        <w:gridCol w:w="1711"/>
        <w:gridCol w:w="1642"/>
        <w:gridCol w:w="2037"/>
        <w:gridCol w:w="1018"/>
      </w:tblGrid>
      <w:tr w:rsidR="000D2368" w:rsidRPr="00500DC1" w14:paraId="477D5EC2" w14:textId="77777777" w:rsidTr="004C2653">
        <w:trPr>
          <w:tblHeader/>
        </w:trPr>
        <w:tc>
          <w:tcPr>
            <w:tcW w:w="1221" w:type="dxa"/>
          </w:tcPr>
          <w:p w14:paraId="7FF0C2A3" w14:textId="77777777" w:rsidR="000D2368" w:rsidRPr="00AA184B" w:rsidRDefault="000D2368" w:rsidP="00B01AD7">
            <w:pPr>
              <w:pStyle w:val="TableHeading"/>
            </w:pPr>
            <w:r w:rsidRPr="00AA184B">
              <w:t>Study</w:t>
            </w:r>
          </w:p>
        </w:tc>
        <w:tc>
          <w:tcPr>
            <w:tcW w:w="1387" w:type="dxa"/>
          </w:tcPr>
          <w:p w14:paraId="5267E279" w14:textId="77777777" w:rsidR="000D2368" w:rsidRPr="00AA184B" w:rsidRDefault="000D2368" w:rsidP="00B01AD7">
            <w:pPr>
              <w:pStyle w:val="TableHeading"/>
            </w:pPr>
            <w:r w:rsidRPr="00AA184B">
              <w:t>Intervention</w:t>
            </w:r>
          </w:p>
        </w:tc>
        <w:tc>
          <w:tcPr>
            <w:tcW w:w="1711" w:type="dxa"/>
          </w:tcPr>
          <w:p w14:paraId="76680E26" w14:textId="77777777" w:rsidR="000D2368" w:rsidRPr="00AA184B" w:rsidRDefault="000D2368" w:rsidP="00B01AD7">
            <w:pPr>
              <w:pStyle w:val="TableHeading"/>
            </w:pPr>
            <w:r w:rsidRPr="00AA184B">
              <w:t>Comparator</w:t>
            </w:r>
          </w:p>
        </w:tc>
        <w:tc>
          <w:tcPr>
            <w:tcW w:w="1642" w:type="dxa"/>
          </w:tcPr>
          <w:p w14:paraId="10F3D1FA" w14:textId="77777777" w:rsidR="000D2368" w:rsidRPr="00AA184B" w:rsidRDefault="000D2368" w:rsidP="00B01AD7">
            <w:pPr>
              <w:pStyle w:val="TableHeading"/>
            </w:pPr>
            <w:r w:rsidRPr="00AA184B">
              <w:t>Intervention success</w:t>
            </w:r>
            <w:r>
              <w:t xml:space="preserve"> (NGS)</w:t>
            </w:r>
          </w:p>
        </w:tc>
        <w:tc>
          <w:tcPr>
            <w:tcW w:w="2037" w:type="dxa"/>
          </w:tcPr>
          <w:p w14:paraId="74CB1532" w14:textId="77777777" w:rsidR="000D2368" w:rsidRPr="00AA184B" w:rsidRDefault="000D2368" w:rsidP="00B01AD7">
            <w:pPr>
              <w:pStyle w:val="TableHeading"/>
            </w:pPr>
            <w:r w:rsidRPr="00AA184B">
              <w:t>Comparator success</w:t>
            </w:r>
            <w:r>
              <w:t xml:space="preserve"> (single-gene testing)</w:t>
            </w:r>
          </w:p>
        </w:tc>
        <w:tc>
          <w:tcPr>
            <w:tcW w:w="1018" w:type="dxa"/>
          </w:tcPr>
          <w:p w14:paraId="2DF913E7" w14:textId="77777777" w:rsidR="000D2368" w:rsidRPr="00AA184B" w:rsidRDefault="000D2368" w:rsidP="00B01AD7">
            <w:pPr>
              <w:pStyle w:val="TableHeading"/>
            </w:pPr>
            <w:r w:rsidRPr="00AA184B">
              <w:t>Difference</w:t>
            </w:r>
          </w:p>
        </w:tc>
      </w:tr>
      <w:tr w:rsidR="000D2368" w:rsidRPr="00500DC1" w14:paraId="02F72D33" w14:textId="77777777" w:rsidTr="00B01AD7">
        <w:tc>
          <w:tcPr>
            <w:tcW w:w="9016" w:type="dxa"/>
            <w:gridSpan w:val="6"/>
          </w:tcPr>
          <w:p w14:paraId="2FA90A26" w14:textId="77777777" w:rsidR="000D2368" w:rsidRPr="000B481D" w:rsidRDefault="000D2368" w:rsidP="00B01AD7">
            <w:pPr>
              <w:pStyle w:val="In-tableHeading"/>
              <w:rPr>
                <w:i/>
              </w:rPr>
            </w:pPr>
            <w:r w:rsidRPr="000B481D">
              <w:rPr>
                <w:i/>
              </w:rPr>
              <w:t>EGFR</w:t>
            </w:r>
          </w:p>
        </w:tc>
      </w:tr>
      <w:tr w:rsidR="000D2368" w:rsidRPr="00500DC1" w14:paraId="4F510FAF" w14:textId="77777777" w:rsidTr="004C2653">
        <w:tc>
          <w:tcPr>
            <w:tcW w:w="1221" w:type="dxa"/>
          </w:tcPr>
          <w:p w14:paraId="5F8DA563" w14:textId="77777777" w:rsidR="000D2368" w:rsidRPr="00500DC1" w:rsidRDefault="000D2368" w:rsidP="00B01AD7">
            <w:pPr>
              <w:pStyle w:val="TableText"/>
              <w:rPr>
                <w:highlight w:val="yellow"/>
              </w:rPr>
            </w:pPr>
            <w:r>
              <w:t>Ariyasu, 2021</w:t>
            </w:r>
          </w:p>
        </w:tc>
        <w:tc>
          <w:tcPr>
            <w:tcW w:w="1387" w:type="dxa"/>
          </w:tcPr>
          <w:p w14:paraId="580EB915" w14:textId="77777777" w:rsidR="000D2368" w:rsidRPr="00500DC1" w:rsidRDefault="000D2368" w:rsidP="00B01AD7">
            <w:pPr>
              <w:pStyle w:val="TableText"/>
              <w:rPr>
                <w:highlight w:val="yellow"/>
              </w:rPr>
            </w:pPr>
            <w:r>
              <w:t>Oncomine Dx Target test</w:t>
            </w:r>
          </w:p>
        </w:tc>
        <w:tc>
          <w:tcPr>
            <w:tcW w:w="1711" w:type="dxa"/>
          </w:tcPr>
          <w:p w14:paraId="47DF3D9C" w14:textId="77777777" w:rsidR="000D2368" w:rsidRPr="00500DC1" w:rsidRDefault="000D2368" w:rsidP="00B01AD7">
            <w:pPr>
              <w:pStyle w:val="TableText"/>
              <w:rPr>
                <w:highlight w:val="yellow"/>
              </w:rPr>
            </w:pPr>
            <w:r>
              <w:t xml:space="preserve">cobas for </w:t>
            </w:r>
            <w:r w:rsidRPr="004C2653">
              <w:rPr>
                <w:i/>
              </w:rPr>
              <w:t>EGFR</w:t>
            </w:r>
          </w:p>
        </w:tc>
        <w:tc>
          <w:tcPr>
            <w:tcW w:w="1642" w:type="dxa"/>
          </w:tcPr>
          <w:p w14:paraId="5A4B617D" w14:textId="77777777" w:rsidR="000D2368" w:rsidRPr="00197A05" w:rsidRDefault="000D2368" w:rsidP="00B01AD7">
            <w:pPr>
              <w:pStyle w:val="TableText"/>
            </w:pPr>
            <w:r w:rsidRPr="00197A05">
              <w:t>110/134 (82.1%)</w:t>
            </w:r>
          </w:p>
        </w:tc>
        <w:tc>
          <w:tcPr>
            <w:tcW w:w="2037" w:type="dxa"/>
          </w:tcPr>
          <w:p w14:paraId="18E7CDC2" w14:textId="77777777" w:rsidR="000D2368" w:rsidRPr="00197A05" w:rsidRDefault="000D2368" w:rsidP="00B01AD7">
            <w:pPr>
              <w:pStyle w:val="TableText"/>
            </w:pPr>
            <w:r>
              <w:t>137/142 (96.5%)</w:t>
            </w:r>
          </w:p>
        </w:tc>
        <w:tc>
          <w:tcPr>
            <w:tcW w:w="1018" w:type="dxa"/>
          </w:tcPr>
          <w:p w14:paraId="0FCD3AAF" w14:textId="77777777" w:rsidR="000D2368" w:rsidRPr="003713E6" w:rsidRDefault="000D2368" w:rsidP="00B01AD7">
            <w:pPr>
              <w:pStyle w:val="TableText"/>
            </w:pPr>
            <w:r w:rsidRPr="003713E6">
              <w:t>-14.4%</w:t>
            </w:r>
          </w:p>
        </w:tc>
      </w:tr>
      <w:tr w:rsidR="000D2368" w:rsidRPr="00500DC1" w14:paraId="1402E8C6" w14:textId="77777777" w:rsidTr="004C2653">
        <w:tc>
          <w:tcPr>
            <w:tcW w:w="1221" w:type="dxa"/>
          </w:tcPr>
          <w:p w14:paraId="73D38AAE" w14:textId="77777777" w:rsidR="000D2368" w:rsidRPr="00500DC1" w:rsidRDefault="000D2368" w:rsidP="00B01AD7">
            <w:pPr>
              <w:pStyle w:val="TableText"/>
              <w:rPr>
                <w:highlight w:val="yellow"/>
              </w:rPr>
            </w:pPr>
            <w:r>
              <w:t xml:space="preserve">D'Haene, 2015 </w:t>
            </w:r>
          </w:p>
        </w:tc>
        <w:tc>
          <w:tcPr>
            <w:tcW w:w="1387" w:type="dxa"/>
          </w:tcPr>
          <w:p w14:paraId="157C3AD0" w14:textId="77777777" w:rsidR="000D2368" w:rsidRPr="00500DC1" w:rsidRDefault="000D2368" w:rsidP="00B01AD7">
            <w:pPr>
              <w:pStyle w:val="TableText"/>
              <w:rPr>
                <w:highlight w:val="yellow"/>
              </w:rPr>
            </w:pPr>
            <w:r>
              <w:t xml:space="preserve">Ion Ampliseq Colon and Lung cancer panel </w:t>
            </w:r>
          </w:p>
        </w:tc>
        <w:tc>
          <w:tcPr>
            <w:tcW w:w="1711" w:type="dxa"/>
          </w:tcPr>
          <w:p w14:paraId="59E8EBF1" w14:textId="77777777" w:rsidR="000D2368" w:rsidRPr="00500DC1" w:rsidRDefault="000D2368" w:rsidP="00B01AD7">
            <w:pPr>
              <w:pStyle w:val="TableText"/>
              <w:rPr>
                <w:highlight w:val="yellow"/>
              </w:rPr>
            </w:pPr>
            <w:r>
              <w:t xml:space="preserve">quantitative PCR for </w:t>
            </w:r>
            <w:r w:rsidRPr="004C2653">
              <w:rPr>
                <w:i/>
              </w:rPr>
              <w:t>EGFR</w:t>
            </w:r>
          </w:p>
        </w:tc>
        <w:tc>
          <w:tcPr>
            <w:tcW w:w="1642" w:type="dxa"/>
          </w:tcPr>
          <w:p w14:paraId="57B06719" w14:textId="77777777" w:rsidR="000D2368" w:rsidRPr="00197A05" w:rsidRDefault="000D2368" w:rsidP="00B01AD7">
            <w:pPr>
              <w:pStyle w:val="TableText"/>
            </w:pPr>
            <w:r>
              <w:t>38/39 (97.4%)</w:t>
            </w:r>
          </w:p>
        </w:tc>
        <w:tc>
          <w:tcPr>
            <w:tcW w:w="2037" w:type="dxa"/>
          </w:tcPr>
          <w:p w14:paraId="25700F2A" w14:textId="77777777" w:rsidR="000D2368" w:rsidRPr="00197A05" w:rsidRDefault="000D2368" w:rsidP="00B01AD7">
            <w:pPr>
              <w:pStyle w:val="TableText"/>
            </w:pPr>
            <w:r>
              <w:t>35/39 (89.7%)</w:t>
            </w:r>
          </w:p>
        </w:tc>
        <w:tc>
          <w:tcPr>
            <w:tcW w:w="1018" w:type="dxa"/>
          </w:tcPr>
          <w:p w14:paraId="57027302" w14:textId="77777777" w:rsidR="000D2368" w:rsidRPr="003713E6" w:rsidRDefault="000D2368" w:rsidP="00B01AD7">
            <w:pPr>
              <w:pStyle w:val="TableText"/>
            </w:pPr>
            <w:r>
              <w:t>7.7%</w:t>
            </w:r>
          </w:p>
        </w:tc>
      </w:tr>
      <w:tr w:rsidR="000D2368" w:rsidRPr="00500DC1" w14:paraId="64A24E0C" w14:textId="77777777" w:rsidTr="004C2653">
        <w:tc>
          <w:tcPr>
            <w:tcW w:w="1221" w:type="dxa"/>
          </w:tcPr>
          <w:p w14:paraId="4EA8ADA0" w14:textId="77777777" w:rsidR="000D2368" w:rsidRDefault="000D2368" w:rsidP="00B01AD7">
            <w:pPr>
              <w:pStyle w:val="TableText"/>
            </w:pPr>
            <w:r>
              <w:t>Fernandes, 2019</w:t>
            </w:r>
          </w:p>
        </w:tc>
        <w:tc>
          <w:tcPr>
            <w:tcW w:w="1387" w:type="dxa"/>
          </w:tcPr>
          <w:p w14:paraId="3819A7B8" w14:textId="77777777" w:rsidR="000D2368" w:rsidRDefault="000D2368" w:rsidP="00B01AD7">
            <w:pPr>
              <w:pStyle w:val="TableText"/>
            </w:pPr>
            <w:r>
              <w:t>NGS</w:t>
            </w:r>
          </w:p>
        </w:tc>
        <w:tc>
          <w:tcPr>
            <w:tcW w:w="1711" w:type="dxa"/>
          </w:tcPr>
          <w:p w14:paraId="4B441A74" w14:textId="77777777" w:rsidR="000D2368" w:rsidRDefault="000D2368" w:rsidP="00B01AD7">
            <w:pPr>
              <w:pStyle w:val="TableText"/>
            </w:pPr>
            <w:r>
              <w:t>SS</w:t>
            </w:r>
          </w:p>
        </w:tc>
        <w:tc>
          <w:tcPr>
            <w:tcW w:w="1642" w:type="dxa"/>
          </w:tcPr>
          <w:p w14:paraId="0EB7C177" w14:textId="77777777" w:rsidR="000D2368" w:rsidRDefault="000D2368" w:rsidP="00B01AD7">
            <w:pPr>
              <w:pStyle w:val="TableText"/>
            </w:pPr>
            <w:r>
              <w:t>117/121 (96.7%)</w:t>
            </w:r>
          </w:p>
          <w:p w14:paraId="3A85A63B" w14:textId="77777777" w:rsidR="000D2368" w:rsidRDefault="000D2368" w:rsidP="00B01AD7">
            <w:pPr>
              <w:pStyle w:val="TableText"/>
            </w:pPr>
            <w:r>
              <w:t>4 insufficient samples</w:t>
            </w:r>
          </w:p>
        </w:tc>
        <w:tc>
          <w:tcPr>
            <w:tcW w:w="2037" w:type="dxa"/>
          </w:tcPr>
          <w:p w14:paraId="34470186" w14:textId="77777777" w:rsidR="000D2368" w:rsidRDefault="000D2368" w:rsidP="00B01AD7">
            <w:pPr>
              <w:pStyle w:val="TableText"/>
            </w:pPr>
            <w:r>
              <w:t>122/125 (97.6%)</w:t>
            </w:r>
          </w:p>
          <w:p w14:paraId="23122E39" w14:textId="77777777" w:rsidR="000D2368" w:rsidRDefault="000D2368" w:rsidP="00B01AD7">
            <w:pPr>
              <w:pStyle w:val="TableText"/>
            </w:pPr>
            <w:r>
              <w:t>3 insufficient samples</w:t>
            </w:r>
          </w:p>
        </w:tc>
        <w:tc>
          <w:tcPr>
            <w:tcW w:w="1018" w:type="dxa"/>
          </w:tcPr>
          <w:p w14:paraId="0B84118F" w14:textId="77777777" w:rsidR="000D2368" w:rsidRPr="003713E6" w:rsidRDefault="000D2368" w:rsidP="00B01AD7">
            <w:pPr>
              <w:pStyle w:val="TableText"/>
            </w:pPr>
            <w:r>
              <w:t>-0.9%</w:t>
            </w:r>
          </w:p>
        </w:tc>
      </w:tr>
      <w:tr w:rsidR="000D2368" w:rsidRPr="00500DC1" w14:paraId="65A5DEBB" w14:textId="77777777" w:rsidTr="004C2653">
        <w:tc>
          <w:tcPr>
            <w:tcW w:w="1221" w:type="dxa"/>
          </w:tcPr>
          <w:p w14:paraId="41991DEB" w14:textId="77777777" w:rsidR="000D2368" w:rsidRDefault="000D2368" w:rsidP="00B01AD7">
            <w:pPr>
              <w:pStyle w:val="TableText"/>
            </w:pPr>
            <w:r>
              <w:t>Hamblin, 2017</w:t>
            </w:r>
          </w:p>
        </w:tc>
        <w:tc>
          <w:tcPr>
            <w:tcW w:w="1387" w:type="dxa"/>
          </w:tcPr>
          <w:p w14:paraId="2A1D8801" w14:textId="77777777" w:rsidR="000D2368" w:rsidRDefault="000D2368" w:rsidP="00B01AD7">
            <w:pPr>
              <w:pStyle w:val="TableText"/>
            </w:pPr>
            <w:r>
              <w:t>NGS</w:t>
            </w:r>
          </w:p>
        </w:tc>
        <w:tc>
          <w:tcPr>
            <w:tcW w:w="1711" w:type="dxa"/>
          </w:tcPr>
          <w:p w14:paraId="49F75AB7" w14:textId="77777777" w:rsidR="000D2368" w:rsidRDefault="000D2368" w:rsidP="00B01AD7">
            <w:pPr>
              <w:pStyle w:val="TableText"/>
            </w:pPr>
            <w:r>
              <w:t>cobas</w:t>
            </w:r>
          </w:p>
        </w:tc>
        <w:tc>
          <w:tcPr>
            <w:tcW w:w="1642" w:type="dxa"/>
          </w:tcPr>
          <w:p w14:paraId="315FFBD8" w14:textId="77777777" w:rsidR="000D2368" w:rsidRDefault="000D2368" w:rsidP="00B01AD7">
            <w:pPr>
              <w:pStyle w:val="TableText"/>
            </w:pPr>
            <w:r>
              <w:t>342/351 (97.4%)</w:t>
            </w:r>
          </w:p>
        </w:tc>
        <w:tc>
          <w:tcPr>
            <w:tcW w:w="2037" w:type="dxa"/>
          </w:tcPr>
          <w:p w14:paraId="4A4D4D62" w14:textId="77777777" w:rsidR="000D2368" w:rsidRDefault="000D2368" w:rsidP="00B01AD7">
            <w:pPr>
              <w:pStyle w:val="TableText"/>
            </w:pPr>
            <w:r>
              <w:t>275/278 (98.9%)</w:t>
            </w:r>
          </w:p>
        </w:tc>
        <w:tc>
          <w:tcPr>
            <w:tcW w:w="1018" w:type="dxa"/>
          </w:tcPr>
          <w:p w14:paraId="129E801F" w14:textId="77777777" w:rsidR="000D2368" w:rsidRPr="003713E6" w:rsidRDefault="000D2368" w:rsidP="00B01AD7">
            <w:pPr>
              <w:pStyle w:val="TableText"/>
            </w:pPr>
            <w:r>
              <w:t>-1.5%</w:t>
            </w:r>
          </w:p>
        </w:tc>
      </w:tr>
      <w:tr w:rsidR="000D2368" w:rsidRPr="00500DC1" w14:paraId="6519BBA6" w14:textId="77777777" w:rsidTr="004C2653">
        <w:tc>
          <w:tcPr>
            <w:tcW w:w="1221" w:type="dxa"/>
          </w:tcPr>
          <w:p w14:paraId="275E91FD" w14:textId="77777777" w:rsidR="000D2368" w:rsidRPr="00500DC1" w:rsidRDefault="000D2368" w:rsidP="00B01AD7">
            <w:pPr>
              <w:pStyle w:val="TableText"/>
              <w:rPr>
                <w:highlight w:val="yellow"/>
              </w:rPr>
            </w:pPr>
            <w:r>
              <w:t>Hinrichs, 2015</w:t>
            </w:r>
          </w:p>
        </w:tc>
        <w:tc>
          <w:tcPr>
            <w:tcW w:w="1387" w:type="dxa"/>
          </w:tcPr>
          <w:p w14:paraId="72135985" w14:textId="77777777" w:rsidR="000D2368" w:rsidRPr="00500DC1" w:rsidRDefault="000D2368" w:rsidP="00B01AD7">
            <w:pPr>
              <w:pStyle w:val="TableText"/>
              <w:rPr>
                <w:highlight w:val="yellow"/>
              </w:rPr>
            </w:pPr>
            <w:r>
              <w:t>NGS 454</w:t>
            </w:r>
          </w:p>
        </w:tc>
        <w:tc>
          <w:tcPr>
            <w:tcW w:w="1711" w:type="dxa"/>
          </w:tcPr>
          <w:p w14:paraId="6B5E2F83" w14:textId="77777777" w:rsidR="000D2368" w:rsidRPr="00500DC1" w:rsidRDefault="000D2368" w:rsidP="00B01AD7">
            <w:pPr>
              <w:pStyle w:val="TableText"/>
              <w:rPr>
                <w:highlight w:val="yellow"/>
              </w:rPr>
            </w:pPr>
            <w:r>
              <w:t xml:space="preserve">cobas for </w:t>
            </w:r>
            <w:r w:rsidRPr="004C2653">
              <w:rPr>
                <w:i/>
              </w:rPr>
              <w:t>EGFR</w:t>
            </w:r>
          </w:p>
        </w:tc>
        <w:tc>
          <w:tcPr>
            <w:tcW w:w="1642" w:type="dxa"/>
          </w:tcPr>
          <w:p w14:paraId="17519985" w14:textId="77777777" w:rsidR="000D2368" w:rsidRPr="00197A05" w:rsidRDefault="000D2368" w:rsidP="00B01AD7">
            <w:pPr>
              <w:pStyle w:val="TableText"/>
            </w:pPr>
            <w:r>
              <w:t>20/25 (80.0%)</w:t>
            </w:r>
          </w:p>
        </w:tc>
        <w:tc>
          <w:tcPr>
            <w:tcW w:w="2037" w:type="dxa"/>
          </w:tcPr>
          <w:p w14:paraId="307B5092" w14:textId="77777777" w:rsidR="000D2368" w:rsidRPr="00197A05" w:rsidRDefault="000D2368" w:rsidP="00B01AD7">
            <w:pPr>
              <w:pStyle w:val="TableText"/>
            </w:pPr>
            <w:r>
              <w:t>25/25 (100%)</w:t>
            </w:r>
          </w:p>
        </w:tc>
        <w:tc>
          <w:tcPr>
            <w:tcW w:w="1018" w:type="dxa"/>
          </w:tcPr>
          <w:p w14:paraId="05CEAEEF" w14:textId="77777777" w:rsidR="000D2368" w:rsidRPr="003713E6" w:rsidRDefault="000D2368" w:rsidP="00B01AD7">
            <w:pPr>
              <w:pStyle w:val="TableText"/>
            </w:pPr>
            <w:r>
              <w:t>-20%</w:t>
            </w:r>
          </w:p>
        </w:tc>
      </w:tr>
      <w:tr w:rsidR="000D2368" w:rsidRPr="00500DC1" w14:paraId="489BEAA5" w14:textId="77777777" w:rsidTr="004C2653">
        <w:tc>
          <w:tcPr>
            <w:tcW w:w="1221" w:type="dxa"/>
          </w:tcPr>
          <w:p w14:paraId="2740AB52" w14:textId="0FEB358D" w:rsidR="000D2368" w:rsidRDefault="00B4668F" w:rsidP="00B4668F">
            <w:pPr>
              <w:pStyle w:val="TableText"/>
            </w:pPr>
            <w: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 </w:instrText>
            </w:r>
            <w: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EN.CITE.DATA </w:instrText>
            </w:r>
            <w:r>
              <w:fldChar w:fldCharType="end"/>
            </w:r>
            <w:r>
              <w:fldChar w:fldCharType="separate"/>
            </w:r>
            <w:r>
              <w:rPr>
                <w:noProof/>
              </w:rPr>
              <w:t>(Ji et al. 2019)</w:t>
            </w:r>
            <w:r>
              <w:fldChar w:fldCharType="end"/>
            </w:r>
          </w:p>
        </w:tc>
        <w:tc>
          <w:tcPr>
            <w:tcW w:w="1387" w:type="dxa"/>
          </w:tcPr>
          <w:p w14:paraId="76F91E5C" w14:textId="77777777" w:rsidR="000D2368" w:rsidRDefault="000D2368" w:rsidP="00B01AD7">
            <w:pPr>
              <w:pStyle w:val="TableText"/>
            </w:pPr>
            <w:r>
              <w:t>NGS</w:t>
            </w:r>
          </w:p>
        </w:tc>
        <w:tc>
          <w:tcPr>
            <w:tcW w:w="1711" w:type="dxa"/>
          </w:tcPr>
          <w:p w14:paraId="4E0EAAC1" w14:textId="77777777" w:rsidR="000D2368" w:rsidRDefault="000D2368" w:rsidP="00B01AD7">
            <w:pPr>
              <w:pStyle w:val="TableText"/>
            </w:pPr>
            <w:r>
              <w:t>Sanger sequencing</w:t>
            </w:r>
          </w:p>
        </w:tc>
        <w:tc>
          <w:tcPr>
            <w:tcW w:w="1642" w:type="dxa"/>
          </w:tcPr>
          <w:p w14:paraId="23B9875B" w14:textId="77777777" w:rsidR="000D2368" w:rsidRDefault="000D2368" w:rsidP="00B01AD7">
            <w:pPr>
              <w:pStyle w:val="TableText"/>
            </w:pPr>
            <w:r>
              <w:t>194/199 (97.4%)</w:t>
            </w:r>
          </w:p>
          <w:p w14:paraId="1F8A6E59" w14:textId="77777777" w:rsidR="000D2368" w:rsidRDefault="000D2368" w:rsidP="00B01AD7">
            <w:pPr>
              <w:pStyle w:val="TableText"/>
            </w:pPr>
            <w:r>
              <w:t>4 excluded due to low amount of DNA sample, 1 due to low DNA quality</w:t>
            </w:r>
          </w:p>
        </w:tc>
        <w:tc>
          <w:tcPr>
            <w:tcW w:w="2037" w:type="dxa"/>
          </w:tcPr>
          <w:p w14:paraId="1CB82054" w14:textId="77777777" w:rsidR="000D2368" w:rsidRDefault="000D2368" w:rsidP="00B01AD7">
            <w:pPr>
              <w:pStyle w:val="TableText"/>
            </w:pPr>
            <w:r>
              <w:t>191/194 (98.4%)</w:t>
            </w:r>
          </w:p>
          <w:p w14:paraId="5EBD01BE" w14:textId="77777777" w:rsidR="000D2368" w:rsidRDefault="000D2368" w:rsidP="00B01AD7">
            <w:pPr>
              <w:pStyle w:val="TableText"/>
            </w:pPr>
            <w:r>
              <w:t>3 insufficient samples after NGS</w:t>
            </w:r>
          </w:p>
        </w:tc>
        <w:tc>
          <w:tcPr>
            <w:tcW w:w="1018" w:type="dxa"/>
          </w:tcPr>
          <w:p w14:paraId="13F8BDF4" w14:textId="77777777" w:rsidR="000D2368" w:rsidRDefault="000D2368" w:rsidP="00B01AD7">
            <w:pPr>
              <w:pStyle w:val="TableText"/>
            </w:pPr>
            <w:r>
              <w:t>-1.0%</w:t>
            </w:r>
          </w:p>
        </w:tc>
      </w:tr>
      <w:tr w:rsidR="000D2368" w:rsidRPr="00500DC1" w14:paraId="796E6C2F" w14:textId="77777777" w:rsidTr="004C2653">
        <w:tc>
          <w:tcPr>
            <w:tcW w:w="1221" w:type="dxa"/>
          </w:tcPr>
          <w:p w14:paraId="20858DD7" w14:textId="77777777" w:rsidR="000D2368" w:rsidRDefault="000D2368" w:rsidP="00B01AD7">
            <w:pPr>
              <w:pStyle w:val="TableText"/>
            </w:pPr>
            <w:r>
              <w:t>Lassalle, 2020</w:t>
            </w:r>
          </w:p>
        </w:tc>
        <w:tc>
          <w:tcPr>
            <w:tcW w:w="1387" w:type="dxa"/>
          </w:tcPr>
          <w:p w14:paraId="3E9F3909" w14:textId="77777777" w:rsidR="000D2368" w:rsidRDefault="000D2368" w:rsidP="00B01AD7">
            <w:pPr>
              <w:pStyle w:val="TableText"/>
            </w:pPr>
            <w:r>
              <w:t>NGS</w:t>
            </w:r>
          </w:p>
        </w:tc>
        <w:tc>
          <w:tcPr>
            <w:tcW w:w="1711" w:type="dxa"/>
          </w:tcPr>
          <w:p w14:paraId="7D5BF67E" w14:textId="77777777" w:rsidR="000D2368" w:rsidRDefault="000D2368" w:rsidP="00B01AD7">
            <w:pPr>
              <w:pStyle w:val="TableText"/>
            </w:pPr>
            <w:r>
              <w:t xml:space="preserve">Idylla </w:t>
            </w:r>
            <w:r>
              <w:rPr>
                <w:i/>
                <w:iCs/>
              </w:rPr>
              <w:t>EGFR</w:t>
            </w:r>
            <w:r>
              <w:t xml:space="preserve"> test panel</w:t>
            </w:r>
          </w:p>
        </w:tc>
        <w:tc>
          <w:tcPr>
            <w:tcW w:w="1642" w:type="dxa"/>
          </w:tcPr>
          <w:p w14:paraId="4C0C3303" w14:textId="77777777" w:rsidR="000D2368" w:rsidRDefault="000D2368" w:rsidP="00B01AD7">
            <w:pPr>
              <w:pStyle w:val="TableText"/>
            </w:pPr>
            <w:r>
              <w:t>66/83 (79.5%)</w:t>
            </w:r>
          </w:p>
        </w:tc>
        <w:tc>
          <w:tcPr>
            <w:tcW w:w="2037" w:type="dxa"/>
          </w:tcPr>
          <w:p w14:paraId="0B0DE205" w14:textId="77777777" w:rsidR="000D2368" w:rsidRDefault="000D2368" w:rsidP="00B01AD7">
            <w:pPr>
              <w:pStyle w:val="TableText"/>
            </w:pPr>
            <w:r>
              <w:t>889/901 (98.7%) (Note: only included 901/1368 which had more than 10% tumour cell content)</w:t>
            </w:r>
          </w:p>
        </w:tc>
        <w:tc>
          <w:tcPr>
            <w:tcW w:w="1018" w:type="dxa"/>
          </w:tcPr>
          <w:p w14:paraId="2EA48AD2" w14:textId="77777777" w:rsidR="000D2368" w:rsidRDefault="000D2368" w:rsidP="00B01AD7">
            <w:pPr>
              <w:pStyle w:val="TableText"/>
            </w:pPr>
            <w:r>
              <w:t>-19.2%</w:t>
            </w:r>
          </w:p>
        </w:tc>
      </w:tr>
      <w:tr w:rsidR="000D2368" w:rsidRPr="00500DC1" w14:paraId="2AD84944" w14:textId="77777777" w:rsidTr="004C2653">
        <w:tc>
          <w:tcPr>
            <w:tcW w:w="1221" w:type="dxa"/>
          </w:tcPr>
          <w:p w14:paraId="1C39355F" w14:textId="77777777" w:rsidR="000D2368" w:rsidRDefault="000D2368" w:rsidP="00B01AD7">
            <w:pPr>
              <w:pStyle w:val="TableText"/>
            </w:pPr>
            <w:r>
              <w:t>Legras, 2018</w:t>
            </w:r>
          </w:p>
        </w:tc>
        <w:tc>
          <w:tcPr>
            <w:tcW w:w="1387" w:type="dxa"/>
          </w:tcPr>
          <w:p w14:paraId="59C13F5F" w14:textId="77777777" w:rsidR="000D2368" w:rsidRDefault="000D2368" w:rsidP="00B01AD7">
            <w:pPr>
              <w:pStyle w:val="TableText"/>
            </w:pPr>
            <w:r>
              <w:t>NGS</w:t>
            </w:r>
          </w:p>
        </w:tc>
        <w:tc>
          <w:tcPr>
            <w:tcW w:w="1711" w:type="dxa"/>
          </w:tcPr>
          <w:p w14:paraId="65A912C0" w14:textId="77777777" w:rsidR="000D2368" w:rsidRDefault="000D2368" w:rsidP="00B01AD7">
            <w:pPr>
              <w:pStyle w:val="TableText"/>
            </w:pPr>
            <w:r>
              <w:t>TaqMan real-time qPCR</w:t>
            </w:r>
          </w:p>
        </w:tc>
        <w:tc>
          <w:tcPr>
            <w:tcW w:w="1642" w:type="dxa"/>
          </w:tcPr>
          <w:p w14:paraId="22413787" w14:textId="77777777" w:rsidR="000D2368" w:rsidRDefault="000D2368" w:rsidP="00B01AD7">
            <w:pPr>
              <w:pStyle w:val="TableText"/>
            </w:pPr>
            <w:r>
              <w:t>1268/1343 (94.4%)</w:t>
            </w:r>
          </w:p>
        </w:tc>
        <w:tc>
          <w:tcPr>
            <w:tcW w:w="2037" w:type="dxa"/>
          </w:tcPr>
          <w:p w14:paraId="3AFBFF79" w14:textId="77777777" w:rsidR="000D2368" w:rsidRDefault="000D2368" w:rsidP="00B01AD7">
            <w:pPr>
              <w:pStyle w:val="TableText"/>
            </w:pPr>
            <w:r>
              <w:t>1207/1274 (94.7%)</w:t>
            </w:r>
          </w:p>
        </w:tc>
        <w:tc>
          <w:tcPr>
            <w:tcW w:w="1018" w:type="dxa"/>
          </w:tcPr>
          <w:p w14:paraId="70849F18" w14:textId="77777777" w:rsidR="000D2368" w:rsidRPr="003713E6" w:rsidRDefault="000D2368" w:rsidP="00B01AD7">
            <w:pPr>
              <w:pStyle w:val="TableText"/>
            </w:pPr>
            <w:r>
              <w:t>-0.3%</w:t>
            </w:r>
          </w:p>
        </w:tc>
      </w:tr>
      <w:tr w:rsidR="000D2368" w:rsidRPr="00500DC1" w14:paraId="5A8149C6" w14:textId="77777777" w:rsidTr="004C2653">
        <w:tc>
          <w:tcPr>
            <w:tcW w:w="1221" w:type="dxa"/>
          </w:tcPr>
          <w:p w14:paraId="467F7EC2" w14:textId="77777777" w:rsidR="000D2368" w:rsidRPr="00500DC1" w:rsidRDefault="000D2368" w:rsidP="00B01AD7">
            <w:pPr>
              <w:pStyle w:val="TableText"/>
              <w:rPr>
                <w:highlight w:val="yellow"/>
              </w:rPr>
            </w:pPr>
            <w:r>
              <w:t>Li, 2021</w:t>
            </w:r>
          </w:p>
        </w:tc>
        <w:tc>
          <w:tcPr>
            <w:tcW w:w="1387" w:type="dxa"/>
          </w:tcPr>
          <w:p w14:paraId="242EB624" w14:textId="77777777" w:rsidR="000D2368" w:rsidRPr="00500DC1" w:rsidRDefault="000D2368" w:rsidP="00B01AD7">
            <w:pPr>
              <w:pStyle w:val="TableText"/>
              <w:rPr>
                <w:highlight w:val="yellow"/>
              </w:rPr>
            </w:pPr>
            <w:r>
              <w:t>Tissue NGS</w:t>
            </w:r>
          </w:p>
        </w:tc>
        <w:tc>
          <w:tcPr>
            <w:tcW w:w="1711" w:type="dxa"/>
          </w:tcPr>
          <w:p w14:paraId="2F0E3881" w14:textId="77777777" w:rsidR="000D2368" w:rsidRPr="00500DC1" w:rsidRDefault="000D2368" w:rsidP="00B01AD7">
            <w:pPr>
              <w:pStyle w:val="TableText"/>
              <w:rPr>
                <w:highlight w:val="yellow"/>
              </w:rPr>
            </w:pPr>
            <w:r>
              <w:t xml:space="preserve">ARMS-PCR for </w:t>
            </w:r>
            <w:r w:rsidRPr="004C2653">
              <w:rPr>
                <w:i/>
              </w:rPr>
              <w:t>EGFR</w:t>
            </w:r>
          </w:p>
        </w:tc>
        <w:tc>
          <w:tcPr>
            <w:tcW w:w="1642" w:type="dxa"/>
          </w:tcPr>
          <w:p w14:paraId="4F9A73E5" w14:textId="77777777" w:rsidR="000D2368" w:rsidRDefault="000D2368" w:rsidP="00B01AD7">
            <w:pPr>
              <w:pStyle w:val="TableText"/>
            </w:pPr>
            <w:r>
              <w:t>930/1184 (78.5%)</w:t>
            </w:r>
          </w:p>
          <w:p w14:paraId="735CF985" w14:textId="77777777" w:rsidR="000D2368" w:rsidRPr="00197A05" w:rsidRDefault="000D2368" w:rsidP="00B01AD7">
            <w:pPr>
              <w:pStyle w:val="TableText"/>
            </w:pPr>
            <w:r>
              <w:t>73 had insufficient tissue, 71 had insufficient DNA, 3 with failed library, 7 with low-quality sequences</w:t>
            </w:r>
          </w:p>
        </w:tc>
        <w:tc>
          <w:tcPr>
            <w:tcW w:w="2037" w:type="dxa"/>
          </w:tcPr>
          <w:p w14:paraId="50DD61A5" w14:textId="77777777" w:rsidR="000D2368" w:rsidRPr="00197A05" w:rsidRDefault="000D2368" w:rsidP="00B01AD7">
            <w:pPr>
              <w:pStyle w:val="TableText"/>
            </w:pPr>
            <w:r>
              <w:t>78/81 (96.3%) in NGS-failed samples</w:t>
            </w:r>
          </w:p>
        </w:tc>
        <w:tc>
          <w:tcPr>
            <w:tcW w:w="1018" w:type="dxa"/>
          </w:tcPr>
          <w:p w14:paraId="57F7DA5F" w14:textId="77777777" w:rsidR="000D2368" w:rsidRPr="003713E6" w:rsidRDefault="000D2368" w:rsidP="00B01AD7">
            <w:pPr>
              <w:pStyle w:val="TableText"/>
            </w:pPr>
            <w:r>
              <w:t>-17.8%</w:t>
            </w:r>
          </w:p>
        </w:tc>
      </w:tr>
      <w:tr w:rsidR="000D2368" w:rsidRPr="00500DC1" w14:paraId="4A944342" w14:textId="77777777" w:rsidTr="004C2653">
        <w:tc>
          <w:tcPr>
            <w:tcW w:w="1221" w:type="dxa"/>
          </w:tcPr>
          <w:p w14:paraId="2CF813E9" w14:textId="77777777" w:rsidR="000D2368" w:rsidRPr="00500DC1" w:rsidRDefault="000D2368" w:rsidP="00B01AD7">
            <w:pPr>
              <w:pStyle w:val="TableText"/>
              <w:rPr>
                <w:highlight w:val="yellow"/>
              </w:rPr>
            </w:pPr>
            <w:r>
              <w:t>Sakaguchi, 2021</w:t>
            </w:r>
          </w:p>
        </w:tc>
        <w:tc>
          <w:tcPr>
            <w:tcW w:w="1387" w:type="dxa"/>
          </w:tcPr>
          <w:p w14:paraId="4420A976" w14:textId="77777777" w:rsidR="000D2368" w:rsidRPr="00500DC1" w:rsidRDefault="000D2368" w:rsidP="00B01AD7">
            <w:pPr>
              <w:pStyle w:val="TableText"/>
              <w:rPr>
                <w:highlight w:val="yellow"/>
              </w:rPr>
            </w:pPr>
            <w:r>
              <w:t>Oncomine Dx Target Test</w:t>
            </w:r>
          </w:p>
        </w:tc>
        <w:tc>
          <w:tcPr>
            <w:tcW w:w="1711" w:type="dxa"/>
          </w:tcPr>
          <w:p w14:paraId="3411E936" w14:textId="77777777" w:rsidR="000D2368" w:rsidRPr="00500DC1" w:rsidRDefault="000D2368" w:rsidP="00B01AD7">
            <w:pPr>
              <w:pStyle w:val="TableText"/>
              <w:rPr>
                <w:highlight w:val="yellow"/>
              </w:rPr>
            </w:pPr>
            <w:r>
              <w:t xml:space="preserve">PNA-LNA PCR clamp for </w:t>
            </w:r>
            <w:r w:rsidRPr="004C2653">
              <w:rPr>
                <w:i/>
              </w:rPr>
              <w:t>EGFR</w:t>
            </w:r>
          </w:p>
        </w:tc>
        <w:tc>
          <w:tcPr>
            <w:tcW w:w="1642" w:type="dxa"/>
          </w:tcPr>
          <w:p w14:paraId="2E2C9230" w14:textId="77777777" w:rsidR="000D2368" w:rsidRDefault="000D2368" w:rsidP="00B01AD7">
            <w:pPr>
              <w:pStyle w:val="TableText"/>
            </w:pPr>
            <w:r>
              <w:t>82/85 (96.5%)</w:t>
            </w:r>
          </w:p>
          <w:p w14:paraId="7EF0FF8B" w14:textId="77777777" w:rsidR="000D2368" w:rsidRPr="00197A05" w:rsidRDefault="000D2368" w:rsidP="00B01AD7">
            <w:pPr>
              <w:pStyle w:val="TableText"/>
            </w:pPr>
            <w:r>
              <w:t>2 ineligible for NGS due to insufficient tumour content, 1 had insufficient DNA)</w:t>
            </w:r>
          </w:p>
        </w:tc>
        <w:tc>
          <w:tcPr>
            <w:tcW w:w="2037" w:type="dxa"/>
          </w:tcPr>
          <w:p w14:paraId="7E887BF7" w14:textId="77777777" w:rsidR="000D2368" w:rsidRPr="00197A05" w:rsidRDefault="000D2368" w:rsidP="00B01AD7">
            <w:pPr>
              <w:pStyle w:val="TableText"/>
            </w:pPr>
            <w:r>
              <w:t xml:space="preserve">80/85 (94.1%) </w:t>
            </w:r>
          </w:p>
        </w:tc>
        <w:tc>
          <w:tcPr>
            <w:tcW w:w="1018" w:type="dxa"/>
          </w:tcPr>
          <w:p w14:paraId="5508B854" w14:textId="77777777" w:rsidR="000D2368" w:rsidRPr="003713E6" w:rsidRDefault="000D2368" w:rsidP="00B01AD7">
            <w:pPr>
              <w:pStyle w:val="TableText"/>
            </w:pPr>
            <w:r>
              <w:t>-10.3%</w:t>
            </w:r>
          </w:p>
        </w:tc>
      </w:tr>
      <w:tr w:rsidR="000D2368" w:rsidRPr="00500DC1" w14:paraId="0AC4431A" w14:textId="77777777" w:rsidTr="004C2653">
        <w:tc>
          <w:tcPr>
            <w:tcW w:w="1221" w:type="dxa"/>
          </w:tcPr>
          <w:p w14:paraId="34E52587" w14:textId="77777777" w:rsidR="000D2368" w:rsidRDefault="000D2368" w:rsidP="00B01AD7">
            <w:pPr>
              <w:pStyle w:val="TableText"/>
            </w:pPr>
          </w:p>
        </w:tc>
        <w:tc>
          <w:tcPr>
            <w:tcW w:w="1387" w:type="dxa"/>
          </w:tcPr>
          <w:p w14:paraId="55DD6AC2" w14:textId="77777777" w:rsidR="000D2368" w:rsidRDefault="000D2368" w:rsidP="00B01AD7">
            <w:pPr>
              <w:pStyle w:val="TableText"/>
            </w:pPr>
          </w:p>
        </w:tc>
        <w:tc>
          <w:tcPr>
            <w:tcW w:w="1711" w:type="dxa"/>
          </w:tcPr>
          <w:p w14:paraId="2A556F97" w14:textId="77777777" w:rsidR="000D2368" w:rsidRDefault="000D2368" w:rsidP="00B01AD7">
            <w:pPr>
              <w:pStyle w:val="TableText"/>
            </w:pPr>
            <w:r>
              <w:t xml:space="preserve">Overall success of </w:t>
            </w:r>
            <w:r w:rsidRPr="004C2653">
              <w:rPr>
                <w:i/>
              </w:rPr>
              <w:t>EGFR</w:t>
            </w:r>
            <w:r>
              <w:t xml:space="preserve"> testing</w:t>
            </w:r>
          </w:p>
        </w:tc>
        <w:tc>
          <w:tcPr>
            <w:tcW w:w="1642" w:type="dxa"/>
          </w:tcPr>
          <w:p w14:paraId="2AA6C8E7" w14:textId="77777777" w:rsidR="000D2368" w:rsidRDefault="000D2368" w:rsidP="00B01AD7">
            <w:pPr>
              <w:pStyle w:val="TableText"/>
            </w:pPr>
            <w:r>
              <w:t>3189/3595 (88.7%)</w:t>
            </w:r>
          </w:p>
        </w:tc>
        <w:tc>
          <w:tcPr>
            <w:tcW w:w="2037" w:type="dxa"/>
          </w:tcPr>
          <w:p w14:paraId="5B75FF9D" w14:textId="77777777" w:rsidR="000D2368" w:rsidRDefault="000D2368" w:rsidP="00B01AD7">
            <w:pPr>
              <w:pStyle w:val="TableText"/>
            </w:pPr>
            <w:r>
              <w:t>3075/3175 (96.9%)</w:t>
            </w:r>
          </w:p>
        </w:tc>
        <w:tc>
          <w:tcPr>
            <w:tcW w:w="1018" w:type="dxa"/>
          </w:tcPr>
          <w:p w14:paraId="58DBFEA1" w14:textId="77777777" w:rsidR="000D2368" w:rsidRPr="007E30D1" w:rsidRDefault="000D2368" w:rsidP="00B01AD7">
            <w:pPr>
              <w:pStyle w:val="TableText"/>
            </w:pPr>
            <w:r w:rsidRPr="007E30D1">
              <w:t>-8.1%</w:t>
            </w:r>
          </w:p>
        </w:tc>
      </w:tr>
      <w:tr w:rsidR="000D2368" w:rsidRPr="00500DC1" w14:paraId="404260C8" w14:textId="77777777" w:rsidTr="00B01AD7">
        <w:tc>
          <w:tcPr>
            <w:tcW w:w="9016" w:type="dxa"/>
            <w:gridSpan w:val="6"/>
          </w:tcPr>
          <w:p w14:paraId="264F0368" w14:textId="77777777" w:rsidR="000D2368" w:rsidRPr="004C2653" w:rsidRDefault="000D2368" w:rsidP="00B01AD7">
            <w:pPr>
              <w:pStyle w:val="In-tableHeading"/>
              <w:rPr>
                <w:i/>
              </w:rPr>
            </w:pPr>
            <w:r w:rsidRPr="004C2653">
              <w:rPr>
                <w:i/>
              </w:rPr>
              <w:lastRenderedPageBreak/>
              <w:t>ALK</w:t>
            </w:r>
          </w:p>
        </w:tc>
      </w:tr>
      <w:tr w:rsidR="000D2368" w:rsidRPr="00500DC1" w14:paraId="7F15E6EB" w14:textId="77777777" w:rsidTr="004C2653">
        <w:tc>
          <w:tcPr>
            <w:tcW w:w="1221" w:type="dxa"/>
          </w:tcPr>
          <w:p w14:paraId="4D87B4BE" w14:textId="6E4530BF" w:rsidR="000D2368" w:rsidRDefault="00B4668F" w:rsidP="00B4668F">
            <w:pPr>
              <w:pStyle w:val="TableText"/>
            </w:pPr>
            <w:r>
              <w:fldChar w:fldCharType="begin">
                <w:fldData xml:space="preserve">PEVuZE5vdGU+PENpdGU+PEF1dGhvcj5CYXRyYTwvQXV0aG9yPjxZZWFyPjIwMjE8L1llYXI+PFJl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</w:fldData>
              </w:fldChar>
            </w:r>
            <w:r>
              <w:instrText xml:space="preserve"> ADDIN EN.CITE </w:instrText>
            </w:r>
            <w:r>
              <w:fldChar w:fldCharType="begin">
                <w:fldData xml:space="preserve">PEVuZE5vdGU+PENpdGU+PEF1dGhvcj5CYXRyYTwvQXV0aG9yPjxZZWFyPjIwMjE8L1llYXI+PFJl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</w:fldData>
              </w:fldChar>
            </w:r>
            <w:r>
              <w:instrText xml:space="preserve"> ADDIN EN.CITE.DATA </w:instrText>
            </w:r>
            <w:r>
              <w:fldChar w:fldCharType="end"/>
            </w:r>
            <w:r>
              <w:fldChar w:fldCharType="separate"/>
            </w:r>
            <w:r>
              <w:rPr>
                <w:noProof/>
              </w:rPr>
              <w:t>(Batra et al. 2021)</w:t>
            </w:r>
            <w:r>
              <w:fldChar w:fldCharType="end"/>
            </w:r>
          </w:p>
        </w:tc>
        <w:tc>
          <w:tcPr>
            <w:tcW w:w="1387" w:type="dxa"/>
          </w:tcPr>
          <w:p w14:paraId="6A2DBFED" w14:textId="77777777" w:rsidR="000D2368" w:rsidRDefault="000D2368" w:rsidP="00B01AD7">
            <w:pPr>
              <w:pStyle w:val="TableText"/>
            </w:pPr>
            <w:r>
              <w:t>NGS</w:t>
            </w:r>
          </w:p>
        </w:tc>
        <w:tc>
          <w:tcPr>
            <w:tcW w:w="1711" w:type="dxa"/>
          </w:tcPr>
          <w:p w14:paraId="7828DE4E" w14:textId="77777777" w:rsidR="000D2368" w:rsidRDefault="000D2368" w:rsidP="00B01AD7">
            <w:pPr>
              <w:pStyle w:val="TableText"/>
            </w:pPr>
            <w:r w:rsidRPr="004C2653">
              <w:rPr>
                <w:i/>
              </w:rPr>
              <w:t>ALK</w:t>
            </w:r>
            <w:r>
              <w:t xml:space="preserve"> FISH</w:t>
            </w:r>
          </w:p>
        </w:tc>
        <w:tc>
          <w:tcPr>
            <w:tcW w:w="1642" w:type="dxa"/>
          </w:tcPr>
          <w:p w14:paraId="52E5562A" w14:textId="77777777" w:rsidR="000D2368" w:rsidRDefault="000D2368" w:rsidP="00B01AD7">
            <w:pPr>
              <w:pStyle w:val="TableText"/>
            </w:pPr>
            <w:r>
              <w:t>58/58 (100%)</w:t>
            </w:r>
          </w:p>
        </w:tc>
        <w:tc>
          <w:tcPr>
            <w:tcW w:w="2037" w:type="dxa"/>
          </w:tcPr>
          <w:p w14:paraId="43275E9A" w14:textId="77777777" w:rsidR="000D2368" w:rsidRDefault="000D2368" w:rsidP="00B01AD7">
            <w:pPr>
              <w:pStyle w:val="TableText"/>
            </w:pPr>
            <w:r>
              <w:t>58/71 (81.7%)</w:t>
            </w:r>
          </w:p>
          <w:p w14:paraId="58650F83" w14:textId="77777777" w:rsidR="000D2368" w:rsidRDefault="000D2368" w:rsidP="00B01AD7">
            <w:pPr>
              <w:pStyle w:val="TableText"/>
            </w:pPr>
            <w:r>
              <w:t>13 FISH unevaluable due to depleted tissue/ signal problems</w:t>
            </w:r>
          </w:p>
        </w:tc>
        <w:tc>
          <w:tcPr>
            <w:tcW w:w="1018" w:type="dxa"/>
          </w:tcPr>
          <w:p w14:paraId="3810FF10" w14:textId="77777777" w:rsidR="000D2368" w:rsidRPr="007E30D1" w:rsidRDefault="000D2368" w:rsidP="00B01AD7">
            <w:pPr>
              <w:pStyle w:val="TableText"/>
            </w:pPr>
            <w:r>
              <w:t>18.3%</w:t>
            </w:r>
          </w:p>
        </w:tc>
      </w:tr>
      <w:tr w:rsidR="000D2368" w:rsidRPr="00500DC1" w14:paraId="3EDE2215" w14:textId="77777777" w:rsidTr="004C2653">
        <w:tc>
          <w:tcPr>
            <w:tcW w:w="1221" w:type="dxa"/>
          </w:tcPr>
          <w:p w14:paraId="0648CAF9" w14:textId="418D8A5B" w:rsidR="000D2368" w:rsidRDefault="00B4668F" w:rsidP="00B4668F">
            <w:pPr>
              <w:pStyle w:val="TableText"/>
            </w:pP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 </w:instrText>
            </w:r>
            <w:r>
              <w:fldChar w:fldCharType="begin">
                <w:fldData xml:space="preserve">PEVuZE5vdGU+PENpdGU+PEF1dGhvcj5MaW48L0F1dGhvcj48WWVhcj4yMDE5PC9ZZWFyPjxSZWNO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</w:fldData>
              </w:fldChar>
            </w:r>
            <w:r>
              <w:instrText xml:space="preserve"> ADDIN EN.CITE.DATA </w:instrText>
            </w:r>
            <w:r>
              <w:fldChar w:fldCharType="end"/>
            </w:r>
            <w:r>
              <w:fldChar w:fldCharType="separate"/>
            </w:r>
            <w:r>
              <w:rPr>
                <w:noProof/>
              </w:rPr>
              <w:t>(Lin, C et al. 2019)</w:t>
            </w:r>
            <w:r>
              <w:fldChar w:fldCharType="end"/>
            </w:r>
          </w:p>
        </w:tc>
        <w:tc>
          <w:tcPr>
            <w:tcW w:w="1387" w:type="dxa"/>
          </w:tcPr>
          <w:p w14:paraId="319F60D7" w14:textId="77777777" w:rsidR="000D2368" w:rsidRDefault="000D2368" w:rsidP="00B01AD7">
            <w:pPr>
              <w:pStyle w:val="TableText"/>
            </w:pPr>
            <w:r>
              <w:t>NGS</w:t>
            </w:r>
          </w:p>
        </w:tc>
        <w:tc>
          <w:tcPr>
            <w:tcW w:w="1711" w:type="dxa"/>
          </w:tcPr>
          <w:p w14:paraId="4A52DC4A" w14:textId="77777777" w:rsidR="000D2368" w:rsidRDefault="000D2368" w:rsidP="00B01AD7">
            <w:pPr>
              <w:pStyle w:val="TableText"/>
            </w:pPr>
            <w:r w:rsidRPr="004C2653">
              <w:rPr>
                <w:i/>
              </w:rPr>
              <w:t>ALK</w:t>
            </w:r>
            <w:r>
              <w:t xml:space="preserve"> FISH</w:t>
            </w:r>
          </w:p>
        </w:tc>
        <w:tc>
          <w:tcPr>
            <w:tcW w:w="1642" w:type="dxa"/>
          </w:tcPr>
          <w:p w14:paraId="67D9E7F5" w14:textId="77777777" w:rsidR="000D2368" w:rsidRDefault="000D2368" w:rsidP="00B01AD7">
            <w:pPr>
              <w:pStyle w:val="TableText"/>
            </w:pPr>
            <w:r>
              <w:t>55/55 (100%)</w:t>
            </w:r>
          </w:p>
        </w:tc>
        <w:tc>
          <w:tcPr>
            <w:tcW w:w="2037" w:type="dxa"/>
          </w:tcPr>
          <w:p w14:paraId="2DA4A37B" w14:textId="77777777" w:rsidR="000D2368" w:rsidRDefault="000D2368" w:rsidP="00B01AD7">
            <w:pPr>
              <w:pStyle w:val="TableText"/>
            </w:pPr>
            <w:r>
              <w:t>34/45 (75.6%)</w:t>
            </w:r>
          </w:p>
          <w:p w14:paraId="20207ABB" w14:textId="77777777" w:rsidR="000D2368" w:rsidRDefault="000D2368" w:rsidP="00B01AD7">
            <w:pPr>
              <w:pStyle w:val="TableText"/>
            </w:pPr>
            <w:r>
              <w:t>11 did not show appropriate hybridisation signals</w:t>
            </w:r>
          </w:p>
        </w:tc>
        <w:tc>
          <w:tcPr>
            <w:tcW w:w="1018" w:type="dxa"/>
          </w:tcPr>
          <w:p w14:paraId="191111A2" w14:textId="77777777" w:rsidR="000D2368" w:rsidRPr="007E30D1" w:rsidRDefault="000D2368" w:rsidP="00B01AD7">
            <w:pPr>
              <w:pStyle w:val="TableText"/>
            </w:pPr>
            <w:r>
              <w:t>24.4%</w:t>
            </w:r>
          </w:p>
        </w:tc>
      </w:tr>
      <w:tr w:rsidR="000D2368" w:rsidRPr="00500DC1" w14:paraId="2EA6C1EC" w14:textId="77777777" w:rsidTr="004C2653">
        <w:tc>
          <w:tcPr>
            <w:tcW w:w="1221" w:type="dxa"/>
          </w:tcPr>
          <w:p w14:paraId="6ACE5C3D" w14:textId="77777777" w:rsidR="000D2368" w:rsidRDefault="000D2368" w:rsidP="00B01AD7">
            <w:pPr>
              <w:pStyle w:val="TableText"/>
            </w:pPr>
          </w:p>
        </w:tc>
        <w:tc>
          <w:tcPr>
            <w:tcW w:w="1387" w:type="dxa"/>
          </w:tcPr>
          <w:p w14:paraId="09B57D7C" w14:textId="77777777" w:rsidR="000D2368" w:rsidRDefault="000D2368" w:rsidP="00B01AD7">
            <w:pPr>
              <w:pStyle w:val="TableText"/>
            </w:pPr>
          </w:p>
        </w:tc>
        <w:tc>
          <w:tcPr>
            <w:tcW w:w="1711" w:type="dxa"/>
          </w:tcPr>
          <w:p w14:paraId="129BB220" w14:textId="77777777" w:rsidR="000D2368" w:rsidRDefault="000D2368" w:rsidP="00B01AD7">
            <w:pPr>
              <w:pStyle w:val="TableText"/>
            </w:pPr>
            <w:r>
              <w:t xml:space="preserve">Overall success of </w:t>
            </w:r>
            <w:r w:rsidRPr="004C2653">
              <w:rPr>
                <w:i/>
              </w:rPr>
              <w:t>ALK</w:t>
            </w:r>
            <w:r>
              <w:t xml:space="preserve"> testing</w:t>
            </w:r>
          </w:p>
        </w:tc>
        <w:tc>
          <w:tcPr>
            <w:tcW w:w="1642" w:type="dxa"/>
          </w:tcPr>
          <w:p w14:paraId="7A0D3250" w14:textId="77777777" w:rsidR="000D2368" w:rsidRDefault="000D2368" w:rsidP="00B01AD7">
            <w:pPr>
              <w:pStyle w:val="TableText"/>
            </w:pPr>
            <w:r>
              <w:t>113/113 (100%)</w:t>
            </w:r>
          </w:p>
        </w:tc>
        <w:tc>
          <w:tcPr>
            <w:tcW w:w="2037" w:type="dxa"/>
          </w:tcPr>
          <w:p w14:paraId="67502C35" w14:textId="77777777" w:rsidR="000D2368" w:rsidRDefault="000D2368" w:rsidP="00B01AD7">
            <w:pPr>
              <w:pStyle w:val="TableText"/>
            </w:pPr>
            <w:r>
              <w:t>92/116 (79.3%)</w:t>
            </w:r>
          </w:p>
        </w:tc>
        <w:tc>
          <w:tcPr>
            <w:tcW w:w="1018" w:type="dxa"/>
          </w:tcPr>
          <w:p w14:paraId="09BCE4EB" w14:textId="77777777" w:rsidR="000D2368" w:rsidRDefault="000D2368" w:rsidP="00B01AD7">
            <w:pPr>
              <w:pStyle w:val="TableText"/>
            </w:pPr>
            <w:r>
              <w:t>20.7%</w:t>
            </w:r>
          </w:p>
        </w:tc>
      </w:tr>
    </w:tbl>
    <w:p w14:paraId="296645AF" w14:textId="0B13FCFC" w:rsidR="00857124" w:rsidRDefault="004C2653" w:rsidP="004C2653">
      <w:pPr>
        <w:pStyle w:val="TableFooter"/>
      </w:pPr>
      <w:r w:rsidRPr="007C7AB1">
        <w:rPr>
          <w:i/>
        </w:rPr>
        <w:t>ALK</w:t>
      </w:r>
      <w:r>
        <w:t xml:space="preserve"> = </w:t>
      </w:r>
      <w:r w:rsidRPr="00561C5F">
        <w:t>anaplastic lymphoma kinase</w:t>
      </w:r>
      <w:r w:rsidRPr="00902EC2">
        <w:t xml:space="preserve">; </w:t>
      </w:r>
      <w:r>
        <w:t xml:space="preserve">DNA = deoxyribonucleic acid; </w:t>
      </w:r>
      <w:r w:rsidRPr="00902EC2">
        <w:rPr>
          <w:i/>
        </w:rPr>
        <w:t>EGFR</w:t>
      </w:r>
      <w:r w:rsidRPr="00902EC2">
        <w:t xml:space="preserve"> = epidermal growth factor receptor;</w:t>
      </w:r>
      <w:r w:rsidRPr="004C2653">
        <w:t xml:space="preserve"> </w:t>
      </w:r>
      <w:r w:rsidRPr="00902EC2">
        <w:t xml:space="preserve">FISH = fluorescent in situ hybridisation; IHC = immunohistochemistry; IQR = inter quartile range; FNA = fine needle aspirate; ISH = in situ hybridisation; </w:t>
      </w:r>
      <w:r w:rsidRPr="00902EC2">
        <w:rPr>
          <w:i/>
        </w:rPr>
        <w:t>KRAS</w:t>
      </w:r>
      <w:r w:rsidRPr="00902EC2">
        <w:t xml:space="preserve"> = Kirsten rat </w:t>
      </w:r>
      <w:r w:rsidRPr="002D3261">
        <w:t>NGS = next generation sequencing;</w:t>
      </w:r>
      <w:r w:rsidRPr="004C2653">
        <w:t xml:space="preserve"> </w:t>
      </w:r>
      <w:r w:rsidRPr="002D3261">
        <w:t xml:space="preserve">PNA-LNA = peptide nucleic acid, locked nucleic acid polymerase chain reaction; </w:t>
      </w:r>
      <w:r>
        <w:t>q</w:t>
      </w:r>
      <w:r w:rsidRPr="002D3261">
        <w:t xml:space="preserve">PCR = </w:t>
      </w:r>
      <w:r>
        <w:t>quantitative polymerase chain reaction</w:t>
      </w:r>
    </w:p>
    <w:p w14:paraId="538C01CC" w14:textId="1ED106C0" w:rsidR="00857124" w:rsidRDefault="00857124" w:rsidP="00857124">
      <w:r>
        <w:t xml:space="preserve">The likelihood of successful testing is related to the amount of tissue required for testing, and tissue availability. Yu et al. </w:t>
      </w:r>
      <w:r w:rsidR="00B4668F">
        <w:fldChar w:fldCharType="begin">
          <w:fldData xml:space="preserve">PEVuZE5vdGU+PENpdGUgRXhjbHVkZUF1dGg9IjEiPjxBdXRob3I+WXU8L0F1dGhvcj48WWVhcj4y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</w:fldData>
        </w:fldChar>
      </w:r>
      <w:r w:rsidR="00B4668F">
        <w:instrText xml:space="preserve"> ADDIN EN.CITE </w:instrText>
      </w:r>
      <w:r w:rsidR="00B4668F">
        <w:fldChar w:fldCharType="begin">
          <w:fldData xml:space="preserve">PEVuZE5vdGU+PENpdGUgRXhjbHVkZUF1dGg9IjEiPjxBdXRob3I+WXU8L0F1dGhvcj48WWVhcj4y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</w:fldData>
        </w:fldChar>
      </w:r>
      <w:r w:rsidR="00B4668F">
        <w:instrText xml:space="preserve"> ADDIN EN.CITE.DATA </w:instrText>
      </w:r>
      <w:r w:rsidR="00B4668F">
        <w:fldChar w:fldCharType="end"/>
      </w:r>
      <w:r w:rsidR="00B4668F">
        <w:fldChar w:fldCharType="separate"/>
      </w:r>
      <w:r w:rsidR="00B4668F">
        <w:rPr>
          <w:noProof/>
        </w:rPr>
        <w:t>(2019)</w:t>
      </w:r>
      <w:r w:rsidR="00B4668F">
        <w:fldChar w:fldCharType="end"/>
      </w:r>
      <w:r w:rsidR="00504E35">
        <w:t xml:space="preserve"> </w:t>
      </w:r>
      <w:r>
        <w:t xml:space="preserve">reported that on average, the </w:t>
      </w:r>
      <w:r>
        <w:rPr>
          <w:i/>
        </w:rPr>
        <w:t xml:space="preserve">EGFR </w:t>
      </w:r>
      <w:r>
        <w:t xml:space="preserve">therascreen used 2.7 slides per test (n=1107), </w:t>
      </w:r>
      <w:r w:rsidRPr="0043545B">
        <w:rPr>
          <w:i/>
        </w:rPr>
        <w:t xml:space="preserve">ALK </w:t>
      </w:r>
      <w:r>
        <w:t xml:space="preserve">FISH required an average of 1.1 slides per test (n=979), </w:t>
      </w:r>
      <w:r>
        <w:rPr>
          <w:i/>
        </w:rPr>
        <w:t xml:space="preserve">MET </w:t>
      </w:r>
      <w:r>
        <w:t xml:space="preserve">amplification required 1.3 slides per test (n=614). The tests which required the largest number of slides was </w:t>
      </w:r>
      <w:r>
        <w:rPr>
          <w:i/>
        </w:rPr>
        <w:t>BRAF</w:t>
      </w:r>
      <w:r>
        <w:t xml:space="preserve"> testing (mean of 7.1 slides per test, n=20), and </w:t>
      </w:r>
      <w:r>
        <w:rPr>
          <w:i/>
        </w:rPr>
        <w:t xml:space="preserve">KRAS </w:t>
      </w:r>
      <w:r>
        <w:t xml:space="preserve">(mean 6.8 slides per test, n=190). The more single-gene tests ordered, the lower the probability of success across all biomarkers ordered. The success rate for ≥1 test was 88.4%, whereas for samples where </w:t>
      </w:r>
      <w:r>
        <w:rPr>
          <w:sz w:val="24"/>
        </w:rPr>
        <w:t xml:space="preserve">≥4 </w:t>
      </w:r>
      <w:r w:rsidRPr="0043545B">
        <w:t xml:space="preserve">tests </w:t>
      </w:r>
      <w:r>
        <w:t xml:space="preserve">were ordered, the success rate for all the biomarkers was 76.6% </w:t>
      </w:r>
      <w:r w:rsidR="00B4668F">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rsidR="00B4668F">
        <w:instrText xml:space="preserve"> ADDIN EN.CITE </w:instrText>
      </w:r>
      <w:r w:rsidR="00B4668F">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rsidR="00B4668F">
        <w:instrText xml:space="preserve"> ADDIN EN.CITE.DATA </w:instrText>
      </w:r>
      <w:r w:rsidR="00B4668F">
        <w:fldChar w:fldCharType="end"/>
      </w:r>
      <w:r w:rsidR="00B4668F">
        <w:fldChar w:fldCharType="separate"/>
      </w:r>
      <w:r w:rsidR="00B4668F">
        <w:rPr>
          <w:noProof/>
        </w:rPr>
        <w:t>(Yu et al. 2019)</w:t>
      </w:r>
      <w:r w:rsidR="00B4668F">
        <w:fldChar w:fldCharType="end"/>
      </w:r>
      <w:r>
        <w:t xml:space="preserve">. In this study, the use of the Oncomine Dx Target Test was artificially restricted to a single slide based on the investigational nature of the test. In the real-world setting, the number of slides is limited by the sample retrieved, and likely to be much higher than a single slide. The success rates of the Oncomine Dx Target Test was 98.9% in surgical resection samples, 75.4% in core needle biopsy (CNB) samples and 69.2% in fine needle aspirate (FNA) samples  </w:t>
      </w:r>
      <w:r w:rsidR="00B4668F">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rsidR="00B4668F">
        <w:instrText xml:space="preserve"> ADDIN EN.CITE </w:instrText>
      </w:r>
      <w:r w:rsidR="00B4668F">
        <w:fldChar w:fldCharType="begin">
          <w:fldData xml:space="preserve">PEVuZE5vdGU+PENpdGU+PEF1dGhvcj5ZdTwvQXV0aG9yPjxZZWFyPjIwMTk8L1llYXI+PFJlY051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</w:fldData>
        </w:fldChar>
      </w:r>
      <w:r w:rsidR="00B4668F">
        <w:instrText xml:space="preserve"> ADDIN EN.CITE.DATA </w:instrText>
      </w:r>
      <w:r w:rsidR="00B4668F">
        <w:fldChar w:fldCharType="end"/>
      </w:r>
      <w:r w:rsidR="00B4668F">
        <w:fldChar w:fldCharType="separate"/>
      </w:r>
      <w:r w:rsidR="00B4668F">
        <w:rPr>
          <w:noProof/>
        </w:rPr>
        <w:t>(Yu et al. 2019)</w:t>
      </w:r>
      <w:r w:rsidR="00B4668F">
        <w:fldChar w:fldCharType="end"/>
      </w:r>
      <w:r>
        <w:t xml:space="preserve">. These success rates of the 23 gene Oncomine Dx test were similar to single-gene testing of 1 to 2 biomarkers on tumour tissue, 4 to 5 biomarkers on CNB samples, and 3 to 4 biomarkers on FNA samples. </w:t>
      </w:r>
    </w:p>
    <w:p w14:paraId="077693AD" w14:textId="77777777" w:rsidR="005B1B91" w:rsidRDefault="00B4668F" w:rsidP="00857124">
      <w:pPr>
        <w:sectPr w:rsidR="005B1B91" w:rsidSect="005B1B91">
          <w:pgSz w:w="11906" w:h="16838"/>
          <w:pgMar w:top="1440" w:right="1440" w:bottom="1440" w:left="1440" w:header="708" w:footer="708" w:gutter="0"/>
          <w:cols w:space="708"/>
          <w:titlePg/>
          <w:docGrid w:linePitch="360"/>
        </w:sectPr>
      </w:pP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 </w:instrText>
      </w: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EN.CITE.DATA </w:instrText>
      </w:r>
      <w:r>
        <w:fldChar w:fldCharType="end"/>
      </w:r>
      <w:r>
        <w:fldChar w:fldCharType="separate"/>
      </w:r>
      <w:r>
        <w:rPr>
          <w:noProof/>
        </w:rPr>
        <w:t>(Dall'Olio et al. 2020)</w:t>
      </w:r>
      <w:r>
        <w:fldChar w:fldCharType="end"/>
      </w:r>
      <w:r w:rsidR="00857124">
        <w:t xml:space="preserve"> reported that for extraction of DNA and RNA for NGS, 25 μm of biopsied tumour tissue, or 10 μm of surgical sample was required. The total quantity of extracted DNA would not be sufficient for all PCR genes if testing in a sequential method. Each FISH and IHC analysis required another 3 μm. Using a sequential step-wise algorithm, they estimated that ~33</w:t>
      </w:r>
      <w:r w:rsidR="00857124" w:rsidRPr="00607499">
        <w:t xml:space="preserve"> </w:t>
      </w:r>
      <w:r w:rsidR="00857124">
        <w:t xml:space="preserve">μm thick tumour cell sections were require to complete a panel of predictive biomarkers (PCR tests for </w:t>
      </w:r>
      <w:r w:rsidR="00857124" w:rsidRPr="004C2653">
        <w:rPr>
          <w:i/>
        </w:rPr>
        <w:t>EGFR, KRAS, BRAF</w:t>
      </w:r>
      <w:r w:rsidR="00857124">
        <w:t xml:space="preserve"> and </w:t>
      </w:r>
      <w:r w:rsidR="00857124" w:rsidRPr="004C2653">
        <w:rPr>
          <w:i/>
        </w:rPr>
        <w:t>MET</w:t>
      </w:r>
      <w:r w:rsidR="00857124">
        <w:t xml:space="preserve">, and </w:t>
      </w:r>
      <w:r w:rsidR="00857124" w:rsidRPr="004C2653">
        <w:rPr>
          <w:i/>
        </w:rPr>
        <w:t xml:space="preserve">IHC </w:t>
      </w:r>
      <w:r w:rsidR="00857124">
        <w:t xml:space="preserve">for </w:t>
      </w:r>
      <w:r w:rsidR="00857124" w:rsidRPr="004C2653">
        <w:rPr>
          <w:i/>
        </w:rPr>
        <w:t>ALK, ROS1, RET</w:t>
      </w:r>
      <w:r w:rsidR="00857124">
        <w:t xml:space="preserve"> and </w:t>
      </w:r>
      <w:r w:rsidR="00857124" w:rsidRPr="004C2653">
        <w:rPr>
          <w:i/>
        </w:rPr>
        <w:t>HER2</w:t>
      </w:r>
      <w:r w:rsidR="00857124">
        <w:t xml:space="preserve">). This did not include FISH for </w:t>
      </w:r>
      <w:r w:rsidR="00857124" w:rsidRPr="004C2653">
        <w:rPr>
          <w:i/>
        </w:rPr>
        <w:t xml:space="preserve">ALK </w:t>
      </w:r>
      <w:r w:rsidR="00857124">
        <w:t xml:space="preserve">and </w:t>
      </w:r>
      <w:r w:rsidR="00857124" w:rsidRPr="004C2653">
        <w:rPr>
          <w:i/>
        </w:rPr>
        <w:t>ROS1</w:t>
      </w:r>
      <w:r w:rsidR="00857124">
        <w:t xml:space="preserve">, so would have underestimated the amount of tissue required had sequential testing followed the Australian algorithm. </w:t>
      </w:r>
    </w:p>
    <w:p w14:paraId="7677DB00" w14:textId="1A75D88D" w:rsidR="002C01BD" w:rsidRDefault="000B481D" w:rsidP="000D2368">
      <w:pPr>
        <w:pStyle w:val="Heading4"/>
      </w:pPr>
      <w:r>
        <w:lastRenderedPageBreak/>
        <w:t>Concordance of NGS compared to sequential single-gene testing</w:t>
      </w:r>
    </w:p>
    <w:p w14:paraId="3F25688A" w14:textId="3C6C69C2" w:rsidR="00634F25" w:rsidRPr="00634F25" w:rsidRDefault="00634F25" w:rsidP="00634F25">
      <w:r>
        <w:t xml:space="preserve">The forest plots for the concordance of small gene panel testing (using NGS) against single gene testing are shown in </w:t>
      </w:r>
      <w:r>
        <w:fldChar w:fldCharType="begin"/>
      </w:r>
      <w:r>
        <w:instrText xml:space="preserve"> REF _Ref108871128 \h </w:instrText>
      </w:r>
      <w:r>
        <w:fldChar w:fldCharType="separate"/>
      </w:r>
      <w:r w:rsidR="00C857F3">
        <w:t xml:space="preserve">Figure </w:t>
      </w:r>
      <w:r w:rsidR="00C857F3">
        <w:rPr>
          <w:noProof/>
        </w:rPr>
        <w:t>22</w:t>
      </w:r>
      <w:r>
        <w:fldChar w:fldCharType="end"/>
      </w:r>
      <w:r>
        <w:t xml:space="preserve"> to </w:t>
      </w:r>
      <w:r>
        <w:fldChar w:fldCharType="begin"/>
      </w:r>
      <w:r>
        <w:instrText xml:space="preserve"> REF _Ref108871129 \h </w:instrText>
      </w:r>
      <w:r>
        <w:fldChar w:fldCharType="separate"/>
      </w:r>
      <w:r w:rsidR="00C857F3">
        <w:t xml:space="preserve">Figure </w:t>
      </w:r>
      <w:r w:rsidR="00C857F3">
        <w:rPr>
          <w:noProof/>
        </w:rPr>
        <w:t>26</w:t>
      </w:r>
      <w:r>
        <w:fldChar w:fldCharType="end"/>
      </w:r>
      <w:r>
        <w:t>.</w:t>
      </w:r>
    </w:p>
    <w:p w14:paraId="0C3167F7" w14:textId="77777777" w:rsidR="002C01BD" w:rsidRDefault="002C01BD" w:rsidP="002C01BD">
      <w:pPr>
        <w:pStyle w:val="Instructionaltext"/>
        <w:keepNext/>
      </w:pPr>
      <w:r w:rsidRPr="00CB26C8">
        <w:rPr>
          <w:noProof/>
          <w:color w:val="auto"/>
          <w:lang w:eastAsia="en-AU"/>
        </w:rPr>
        <w:lastRenderedPageBreak/>
        <w:drawing>
          <wp:inline distT="0" distB="0" distL="0" distR="0" wp14:anchorId="3FFB35C2" wp14:editId="20F8013D">
            <wp:extent cx="8510022" cy="5335905"/>
            <wp:effectExtent l="0" t="0" r="5715" b="0"/>
            <wp:docPr id="14" name="Picture 14" descr="PPA and NPA of NGS compared to single-gene testing for EGFR variants" title="PPA and NPA of NGS compared to single-gene testing for EGFR 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542426" cy="5356223"/>
                    </a:xfrm>
                    <a:prstGeom prst="rect">
                      <a:avLst/>
                    </a:prstGeom>
                  </pic:spPr>
                </pic:pic>
              </a:graphicData>
            </a:graphic>
          </wp:inline>
        </w:drawing>
      </w:r>
    </w:p>
    <w:p w14:paraId="5E6E13D2" w14:textId="1497B4F9" w:rsidR="002C01BD" w:rsidRDefault="002C01BD" w:rsidP="002C01BD">
      <w:pPr>
        <w:pStyle w:val="Caption"/>
      </w:pPr>
      <w:bookmarkStart w:id="301" w:name="_Ref108871128"/>
      <w:r>
        <w:t xml:space="preserve">Figure </w:t>
      </w:r>
      <w:fldSimple w:instr=" SEQ Figure \* ARABIC ">
        <w:r w:rsidR="00C857F3">
          <w:rPr>
            <w:noProof/>
          </w:rPr>
          <w:t>22</w:t>
        </w:r>
      </w:fldSimple>
      <w:bookmarkEnd w:id="301"/>
      <w:r>
        <w:tab/>
        <w:t xml:space="preserve">PPA and NPA of NGS compared to single-gene testing for </w:t>
      </w:r>
      <w:r w:rsidRPr="004A4C88">
        <w:rPr>
          <w:i/>
        </w:rPr>
        <w:t>EGFR</w:t>
      </w:r>
      <w:r>
        <w:t xml:space="preserve"> variants</w:t>
      </w:r>
    </w:p>
    <w:p w14:paraId="31C387FB" w14:textId="77777777" w:rsidR="002C01BD" w:rsidRDefault="002C01BD" w:rsidP="002C01BD">
      <w:pPr>
        <w:keepNext/>
      </w:pPr>
      <w:r w:rsidRPr="002C01BD">
        <w:rPr>
          <w:noProof/>
          <w:lang w:eastAsia="en-AU"/>
        </w:rPr>
        <w:lastRenderedPageBreak/>
        <w:drawing>
          <wp:inline distT="0" distB="0" distL="0" distR="0" wp14:anchorId="36E02115" wp14:editId="263BB3AC">
            <wp:extent cx="8272780" cy="4996977"/>
            <wp:effectExtent l="0" t="0" r="0" b="0"/>
            <wp:docPr id="15" name="Picture 15" descr="PPA and NPA of NGS compared to single-gene testing for ALK fusions (comparator a mix of IHC + FISH or FISH alone)" title="PPA and NPA of NGS compared to single-gene testing for ALK fusions (comparator a mix of IHC + FISH or FISH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77321" cy="4999720"/>
                    </a:xfrm>
                    <a:prstGeom prst="rect">
                      <a:avLst/>
                    </a:prstGeom>
                  </pic:spPr>
                </pic:pic>
              </a:graphicData>
            </a:graphic>
          </wp:inline>
        </w:drawing>
      </w:r>
    </w:p>
    <w:p w14:paraId="6997A9EF" w14:textId="5CA3B415" w:rsidR="002C01BD" w:rsidRDefault="002C01BD" w:rsidP="002C01BD">
      <w:pPr>
        <w:pStyle w:val="Caption"/>
      </w:pPr>
      <w:r>
        <w:t xml:space="preserve">Figure </w:t>
      </w:r>
      <w:fldSimple w:instr=" SEQ Figure \* ARABIC ">
        <w:r w:rsidR="00C857F3">
          <w:rPr>
            <w:noProof/>
          </w:rPr>
          <w:t>23</w:t>
        </w:r>
      </w:fldSimple>
      <w:r>
        <w:tab/>
        <w:t xml:space="preserve">PPA and NPA of NGS compared to single-gene testing for </w:t>
      </w:r>
      <w:r w:rsidRPr="004A4C88">
        <w:rPr>
          <w:i/>
        </w:rPr>
        <w:t>ALK</w:t>
      </w:r>
      <w:r>
        <w:t xml:space="preserve"> fusions</w:t>
      </w:r>
      <w:r w:rsidR="00795E5A">
        <w:t xml:space="preserve"> (comparator a mix of IHC + FISH or FISH alone)</w:t>
      </w:r>
    </w:p>
    <w:p w14:paraId="17E0E7CC" w14:textId="77777777" w:rsidR="00795E5A" w:rsidRDefault="00795E5A" w:rsidP="00795E5A">
      <w:pPr>
        <w:keepNext/>
      </w:pPr>
      <w:r w:rsidRPr="00795E5A">
        <w:rPr>
          <w:noProof/>
          <w:lang w:eastAsia="en-AU"/>
        </w:rPr>
        <w:lastRenderedPageBreak/>
        <w:drawing>
          <wp:inline distT="0" distB="0" distL="0" distR="0" wp14:anchorId="2F7D09AA" wp14:editId="4218D3CF">
            <wp:extent cx="8863330" cy="4906645"/>
            <wp:effectExtent l="0" t="0" r="0" b="8255"/>
            <wp:docPr id="26" name="Picture 26" descr="PPA and NPA of NGS compared to single-gene testing for ALK fusions (comparator IHC + FISH)" title="PPA and NPA of NGS compared to single-gene testing for ALK fusions (comparator IHC +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863330" cy="4906645"/>
                    </a:xfrm>
                    <a:prstGeom prst="rect">
                      <a:avLst/>
                    </a:prstGeom>
                  </pic:spPr>
                </pic:pic>
              </a:graphicData>
            </a:graphic>
          </wp:inline>
        </w:drawing>
      </w:r>
    </w:p>
    <w:p w14:paraId="6C21F844" w14:textId="1E6B25AF" w:rsidR="00795E5A" w:rsidRDefault="00795E5A" w:rsidP="00795E5A">
      <w:pPr>
        <w:pStyle w:val="Caption"/>
      </w:pPr>
      <w:bookmarkStart w:id="302" w:name="_Ref107565738"/>
      <w:r>
        <w:t xml:space="preserve">Figure </w:t>
      </w:r>
      <w:fldSimple w:instr=" SEQ Figure \* ARABIC ">
        <w:r w:rsidR="00C857F3">
          <w:rPr>
            <w:noProof/>
          </w:rPr>
          <w:t>24</w:t>
        </w:r>
      </w:fldSimple>
      <w:bookmarkEnd w:id="302"/>
      <w:r>
        <w:tab/>
        <w:t xml:space="preserve">PPA and NPA of NGS compared to single-gene testing for </w:t>
      </w:r>
      <w:r w:rsidRPr="004A4C88">
        <w:rPr>
          <w:i/>
        </w:rPr>
        <w:t>ALK</w:t>
      </w:r>
      <w:r>
        <w:t xml:space="preserve"> fusions (comparator IHC + FISH)</w:t>
      </w:r>
    </w:p>
    <w:p w14:paraId="38BB12A3" w14:textId="40FED68B" w:rsidR="00795E5A" w:rsidRPr="00795E5A" w:rsidRDefault="00795E5A" w:rsidP="00795E5A">
      <w:r w:rsidRPr="00795E5A">
        <w:rPr>
          <w:noProof/>
          <w:lang w:eastAsia="en-AU"/>
        </w:rPr>
        <w:lastRenderedPageBreak/>
        <w:drawing>
          <wp:inline distT="0" distB="0" distL="0" distR="0" wp14:anchorId="0B797C86" wp14:editId="7290A458">
            <wp:extent cx="8863330" cy="5166995"/>
            <wp:effectExtent l="0" t="0" r="0" b="0"/>
            <wp:docPr id="27" name="Picture 27" descr="PPA and NPA of NGS compared to single-gene testing for ALK fusions (comparator FISH)" title="PPA and NPA of NGS compared to single-gene testing for ALK fusions (comparato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63330" cy="5166995"/>
                    </a:xfrm>
                    <a:prstGeom prst="rect">
                      <a:avLst/>
                    </a:prstGeom>
                  </pic:spPr>
                </pic:pic>
              </a:graphicData>
            </a:graphic>
          </wp:inline>
        </w:drawing>
      </w:r>
    </w:p>
    <w:p w14:paraId="7EFE2AD1" w14:textId="38FB6746" w:rsidR="00795E5A" w:rsidRDefault="00795E5A" w:rsidP="00795E5A">
      <w:pPr>
        <w:pStyle w:val="Caption"/>
      </w:pPr>
      <w:bookmarkStart w:id="303" w:name="_Ref107565740"/>
      <w:r>
        <w:lastRenderedPageBreak/>
        <w:t xml:space="preserve">Figure </w:t>
      </w:r>
      <w:fldSimple w:instr=" SEQ Figure \* ARABIC ">
        <w:r w:rsidR="00C857F3">
          <w:rPr>
            <w:noProof/>
          </w:rPr>
          <w:t>25</w:t>
        </w:r>
      </w:fldSimple>
      <w:bookmarkEnd w:id="303"/>
      <w:r>
        <w:tab/>
        <w:t xml:space="preserve">PPA and NPA of NGS compared to single-gene testing for </w:t>
      </w:r>
      <w:r w:rsidRPr="004A4C88">
        <w:rPr>
          <w:i/>
        </w:rPr>
        <w:t>ALK</w:t>
      </w:r>
      <w:r>
        <w:t xml:space="preserve"> fusions (comparator FISH)</w:t>
      </w:r>
    </w:p>
    <w:p w14:paraId="549BEA79" w14:textId="1D65B8D2" w:rsidR="00795E5A" w:rsidRDefault="00795E5A" w:rsidP="00795E5A"/>
    <w:p w14:paraId="627016A5" w14:textId="27A9789F" w:rsidR="005756A2" w:rsidRPr="00795E5A" w:rsidRDefault="005756A2" w:rsidP="00795E5A">
      <w:r>
        <w:t xml:space="preserve">There was a higher rate of “false positives” detected by NGS when compared to the clinical utility standard of FISH, than when compared to the Australian comparator, IHC ± FISH. </w:t>
      </w:r>
    </w:p>
    <w:p w14:paraId="35B73FD2" w14:textId="1BBE4F8B" w:rsidR="005756A2" w:rsidRDefault="003D0722" w:rsidP="003D0722">
      <w:r>
        <w:t xml:space="preserve">Vollbrecht et al. (2018) explored the concordance of massive parallel sequencing (MPS; IonTorrent) with IHC and FISH, including in patients with discordant IHC and FISH results. The clinical utility standard for drugs targeting </w:t>
      </w:r>
      <w:r>
        <w:rPr>
          <w:i/>
        </w:rPr>
        <w:t>ALK</w:t>
      </w:r>
      <w:r>
        <w:t xml:space="preserve"> fusion is FISH, whereas in Australia, IHC triage testing occurs prior to FISH. Vollbrecht reported that although there were cases of discordance between FISH and MPS, there was complete concordance when both IHC and FISH were positive </w:t>
      </w:r>
      <w:r w:rsidR="00B4668F">
        <w:fldChar w:fldCharType="begin"/>
      </w:r>
      <w:r w:rsidR="00B4668F">
        <w:instrText xml:space="preserve"> ADDIN EN.CITE &lt;EndNote&gt;&lt;Cite&gt;&lt;Author&gt;Vollbrecht&lt;/Author&gt;&lt;Year&gt;2018&lt;/Year&gt;&lt;RecNum&gt;177&lt;/RecNum&gt;&lt;IDText&gt;1158-1158&lt;/IDText&gt;&lt;DisplayText&gt;(Vollbrecht et al. 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rsidR="00B4668F">
        <w:fldChar w:fldCharType="separate"/>
      </w:r>
      <w:r w:rsidR="00B4668F">
        <w:rPr>
          <w:noProof/>
        </w:rPr>
        <w:t>(Vollbrecht et al. 2018)</w:t>
      </w:r>
      <w:r w:rsidR="00B4668F">
        <w:fldChar w:fldCharType="end"/>
      </w:r>
      <w:r>
        <w:t xml:space="preserve">. </w:t>
      </w:r>
    </w:p>
    <w:p w14:paraId="30BBCA36" w14:textId="6E9682ED" w:rsidR="005756A2" w:rsidRPr="005756A2" w:rsidRDefault="005756A2" w:rsidP="003D0722">
      <w:r>
        <w:t xml:space="preserve">It is hypothesised that cases who are positive on IHC and borderline on FISH might have a higher chance of being considered to have the </w:t>
      </w:r>
      <w:r>
        <w:rPr>
          <w:i/>
        </w:rPr>
        <w:t>ALK</w:t>
      </w:r>
      <w:r>
        <w:t xml:space="preserve"> fusion, than those considered borderline on FISH, without the additional information. This may explain the differences in results found in the subgroup analyses in </w:t>
      </w:r>
      <w:r>
        <w:fldChar w:fldCharType="begin"/>
      </w:r>
      <w:r>
        <w:instrText xml:space="preserve"> REF _Ref107565738 \h </w:instrText>
      </w:r>
      <w:r>
        <w:fldChar w:fldCharType="separate"/>
      </w:r>
      <w:r w:rsidR="00C857F3">
        <w:t xml:space="preserve">Figure </w:t>
      </w:r>
      <w:r w:rsidR="00C857F3">
        <w:rPr>
          <w:noProof/>
        </w:rPr>
        <w:t>24</w:t>
      </w:r>
      <w:r>
        <w:fldChar w:fldCharType="end"/>
      </w:r>
      <w:r>
        <w:t xml:space="preserve"> and </w:t>
      </w:r>
      <w:r>
        <w:fldChar w:fldCharType="begin"/>
      </w:r>
      <w:r>
        <w:instrText xml:space="preserve"> REF _Ref107565740 \h </w:instrText>
      </w:r>
      <w:r>
        <w:fldChar w:fldCharType="separate"/>
      </w:r>
      <w:r w:rsidR="00C857F3">
        <w:t xml:space="preserve">Figure </w:t>
      </w:r>
      <w:r w:rsidR="00C857F3">
        <w:rPr>
          <w:noProof/>
        </w:rPr>
        <w:t>25</w:t>
      </w:r>
      <w:r>
        <w:fldChar w:fldCharType="end"/>
      </w:r>
      <w:r>
        <w:t>.</w:t>
      </w:r>
    </w:p>
    <w:p w14:paraId="283701A0" w14:textId="1FAE5411" w:rsidR="003D0722" w:rsidRPr="00D6001D" w:rsidRDefault="003D0722" w:rsidP="003D0722">
      <w:pPr>
        <w:pStyle w:val="Caption"/>
      </w:pPr>
      <w:r>
        <w:t xml:space="preserve">Table </w:t>
      </w:r>
      <w:fldSimple w:instr=" SEQ Table \* ARABIC ">
        <w:r w:rsidR="00C857F3">
          <w:rPr>
            <w:noProof/>
          </w:rPr>
          <w:t>82</w:t>
        </w:r>
      </w:fldSimple>
      <w:r>
        <w:tab/>
        <w:t xml:space="preserve">Concordance of massive parallel sequencing NGS with IHC and FISH for detecting </w:t>
      </w:r>
      <w:r>
        <w:rPr>
          <w:i/>
        </w:rPr>
        <w:t>ALK</w:t>
      </w:r>
      <w:r>
        <w:t xml:space="preserve"> fusions</w:t>
      </w:r>
    </w:p>
    <w:tbl>
      <w:tblPr>
        <w:tblStyle w:val="TableGrid"/>
        <w:tblW w:w="0" w:type="auto"/>
        <w:tblLook w:val="04A0" w:firstRow="1" w:lastRow="0" w:firstColumn="1" w:lastColumn="0" w:noHBand="0" w:noVBand="1"/>
        <w:tblCaption w:val="Concordance of massive parallel sequencing NGS with IHC and FISH for detecting ALK fusions"/>
        <w:tblDescription w:val="Concordance of massive parallel sequencing NGS with IHC and FISH for detecting ALK fusions"/>
      </w:tblPr>
      <w:tblGrid>
        <w:gridCol w:w="1980"/>
        <w:gridCol w:w="2977"/>
        <w:gridCol w:w="1417"/>
        <w:gridCol w:w="1276"/>
        <w:gridCol w:w="1366"/>
      </w:tblGrid>
      <w:tr w:rsidR="003D0722" w14:paraId="3057AE59" w14:textId="77777777" w:rsidTr="003A6029">
        <w:trPr>
          <w:tblHeader/>
        </w:trPr>
        <w:tc>
          <w:tcPr>
            <w:tcW w:w="1980" w:type="dxa"/>
          </w:tcPr>
          <w:p w14:paraId="61461C5B" w14:textId="77777777" w:rsidR="003D0722" w:rsidRDefault="003D0722" w:rsidP="00C51E4B">
            <w:pPr>
              <w:pStyle w:val="TableHeading"/>
            </w:pPr>
            <w:r>
              <w:t>Study</w:t>
            </w:r>
          </w:p>
        </w:tc>
        <w:tc>
          <w:tcPr>
            <w:tcW w:w="2977" w:type="dxa"/>
          </w:tcPr>
          <w:p w14:paraId="59BAC8F7" w14:textId="77777777" w:rsidR="003D0722" w:rsidRDefault="003D0722" w:rsidP="00C51E4B">
            <w:pPr>
              <w:pStyle w:val="TableHeading"/>
            </w:pPr>
            <w:r>
              <w:t>Standard test results</w:t>
            </w:r>
          </w:p>
        </w:tc>
        <w:tc>
          <w:tcPr>
            <w:tcW w:w="1417" w:type="dxa"/>
          </w:tcPr>
          <w:p w14:paraId="6DBC99DF" w14:textId="6E236967" w:rsidR="003D0722" w:rsidRDefault="005756A2" w:rsidP="00C51E4B">
            <w:pPr>
              <w:pStyle w:val="TableHeading"/>
            </w:pPr>
            <w:r>
              <w:t>NGS</w:t>
            </w:r>
            <w:r w:rsidR="003D0722">
              <w:t xml:space="preserve"> +</w:t>
            </w:r>
          </w:p>
        </w:tc>
        <w:tc>
          <w:tcPr>
            <w:tcW w:w="1276" w:type="dxa"/>
          </w:tcPr>
          <w:p w14:paraId="776800A9" w14:textId="0B6C4E76" w:rsidR="003D0722" w:rsidRDefault="005756A2" w:rsidP="00C51E4B">
            <w:pPr>
              <w:pStyle w:val="TableHeading"/>
            </w:pPr>
            <w:r>
              <w:t>NGS</w:t>
            </w:r>
            <w:r w:rsidR="003D0722">
              <w:t xml:space="preserve"> -</w:t>
            </w:r>
          </w:p>
        </w:tc>
        <w:tc>
          <w:tcPr>
            <w:tcW w:w="1366" w:type="dxa"/>
          </w:tcPr>
          <w:p w14:paraId="6BEE4EF3" w14:textId="3048BC92" w:rsidR="003D0722" w:rsidRDefault="005756A2" w:rsidP="00C51E4B">
            <w:pPr>
              <w:pStyle w:val="TableHeading"/>
            </w:pPr>
            <w:r>
              <w:t>NGS</w:t>
            </w:r>
            <w:r w:rsidR="003D0722">
              <w:t xml:space="preserve"> not analysable</w:t>
            </w:r>
          </w:p>
        </w:tc>
      </w:tr>
      <w:tr w:rsidR="003D0722" w14:paraId="237861DD" w14:textId="77777777" w:rsidTr="005756A2">
        <w:tc>
          <w:tcPr>
            <w:tcW w:w="1980" w:type="dxa"/>
            <w:vMerge w:val="restart"/>
          </w:tcPr>
          <w:p w14:paraId="2EC85FBB" w14:textId="4E3D94DB" w:rsidR="003D0722" w:rsidRDefault="00B4668F" w:rsidP="00B4668F">
            <w:pPr>
              <w:pStyle w:val="Tabletext0"/>
            </w:pPr>
            <w:r>
              <w:fldChar w:fldCharType="begin"/>
            </w:r>
            <w:r>
              <w:instrText xml:space="preserve"> ADDIN EN.CITE &lt;EndNote&gt;&lt;Cite&gt;&lt;Author&gt;Vollbrecht&lt;/Author&gt;&lt;Year&gt;2018&lt;/Year&gt;&lt;RecNum&gt;177&lt;/RecNum&gt;&lt;IDText&gt;1158-1158&lt;/IDText&gt;&lt;DisplayText&gt;(Vollbrecht et al. 2018)&lt;/DisplayText&gt;&lt;record&gt;&lt;rec-number&gt;177&lt;/rec-number&gt;&lt;foreign-keys&gt;&lt;key app="EN" db-id="0tprsse9cpp5r3ea5dz5p0xw2pfwvwxpa5a5" timestamp="1655264280"&gt;177&lt;/key&gt;&lt;/foreign-keys&gt;&lt;ref-type name="Journal Article"&gt;17&lt;/ref-type&gt;&lt;contributors&gt;&lt;authors&gt;&lt;author&gt;Vollbrecht, Claudia&lt;/author&gt;&lt;author&gt;Lenze, Dido&lt;/author&gt;&lt;author&gt;Hummel, Michael&lt;/author&gt;&lt;author&gt;Lehmann, Annika&lt;/author&gt;&lt;author&gt;Moebs, Markus&lt;/author&gt;&lt;author&gt;Frost, Nikolaj&lt;/author&gt;&lt;author&gt;Jurmeister, Philipp&lt;/author&gt;&lt;author&gt;Schweizer, Leonille&lt;/author&gt;&lt;author&gt;Kellner, Udo&lt;/author&gt;&lt;author&gt;Dietel, Manfred&lt;/author&gt;&lt;author&gt;von Laffert, Maximilian&lt;/author&gt;&lt;/authors&gt;&lt;/contributors&gt;&lt;titles&gt;&lt;title&gt;RNA-based analysis of ALK fusions in non-small cell lung cancer cases showing IHC/FISH discordance&lt;/title&gt;&lt;secondary-title&gt;BMC cancer&lt;/secondary-title&gt;&lt;/titles&gt;&lt;periodical&gt;&lt;full-title&gt;BMC Cancer&lt;/full-title&gt;&lt;/periodical&gt;&lt;pages&gt;1158-1158&lt;/pages&gt;&lt;volume&gt;18&lt;/volume&gt;&lt;number&gt;1&lt;/number&gt;&lt;dates&gt;&lt;year&gt;2018&lt;/year&gt;&lt;/dates&gt;&lt;urls&gt;&lt;related-urls&gt;&lt;url&gt;https://www.ncbi.nlm.nih.gov/pmc/articles/PMC6251223/pdf/12885_2018_Article_5070.pdf&lt;/url&gt;&lt;/related-urls&gt;&lt;/urls&gt;&lt;electronic-resource-num&gt;10.1186/s12885-018-5070-6&lt;/electronic-resource-num&gt;&lt;research-notes&gt;P - concordance with IHC and FISH&lt;/research-notes&gt;&lt;/record&gt;&lt;/Cite&gt;&lt;/EndNote&gt;</w:instrText>
            </w:r>
            <w:r>
              <w:fldChar w:fldCharType="separate"/>
            </w:r>
            <w:r>
              <w:rPr>
                <w:noProof/>
              </w:rPr>
              <w:t>(Vollbrecht et al. 2018)</w:t>
            </w:r>
            <w:r>
              <w:fldChar w:fldCharType="end"/>
            </w:r>
          </w:p>
        </w:tc>
        <w:tc>
          <w:tcPr>
            <w:tcW w:w="2977" w:type="dxa"/>
          </w:tcPr>
          <w:p w14:paraId="580D42C7" w14:textId="77777777" w:rsidR="003D0722" w:rsidRDefault="003D0722" w:rsidP="00C51E4B">
            <w:pPr>
              <w:pStyle w:val="Tabletext0"/>
            </w:pPr>
            <w:r>
              <w:t>IHC- / FISH-</w:t>
            </w:r>
          </w:p>
        </w:tc>
        <w:tc>
          <w:tcPr>
            <w:tcW w:w="1417" w:type="dxa"/>
          </w:tcPr>
          <w:p w14:paraId="0FC7AED4" w14:textId="77777777" w:rsidR="003D0722" w:rsidRPr="00D6001D" w:rsidRDefault="003D0722" w:rsidP="00C51E4B">
            <w:pPr>
              <w:pStyle w:val="Tabletext0"/>
            </w:pPr>
            <w:r w:rsidRPr="00D6001D">
              <w:t>0</w:t>
            </w:r>
          </w:p>
        </w:tc>
        <w:tc>
          <w:tcPr>
            <w:tcW w:w="1276" w:type="dxa"/>
          </w:tcPr>
          <w:p w14:paraId="7A8AA905" w14:textId="77777777" w:rsidR="003D0722" w:rsidRPr="00D6001D" w:rsidRDefault="003D0722" w:rsidP="00C51E4B">
            <w:pPr>
              <w:pStyle w:val="Tabletext0"/>
            </w:pPr>
            <w:r w:rsidRPr="00D6001D">
              <w:t>11</w:t>
            </w:r>
          </w:p>
        </w:tc>
        <w:tc>
          <w:tcPr>
            <w:tcW w:w="1366" w:type="dxa"/>
          </w:tcPr>
          <w:p w14:paraId="348312E3" w14:textId="77777777" w:rsidR="003D0722" w:rsidRDefault="003D0722" w:rsidP="00C51E4B">
            <w:pPr>
              <w:pStyle w:val="Tabletext0"/>
            </w:pPr>
            <w:r>
              <w:t>1</w:t>
            </w:r>
          </w:p>
        </w:tc>
      </w:tr>
      <w:tr w:rsidR="003D0722" w14:paraId="76E20A94" w14:textId="77777777" w:rsidTr="005756A2">
        <w:tc>
          <w:tcPr>
            <w:tcW w:w="1980" w:type="dxa"/>
            <w:vMerge/>
          </w:tcPr>
          <w:p w14:paraId="5C4F1521" w14:textId="77777777" w:rsidR="003D0722" w:rsidRDefault="003D0722" w:rsidP="00C51E4B">
            <w:pPr>
              <w:pStyle w:val="Tabletext0"/>
            </w:pPr>
          </w:p>
        </w:tc>
        <w:tc>
          <w:tcPr>
            <w:tcW w:w="2977" w:type="dxa"/>
          </w:tcPr>
          <w:p w14:paraId="60EA7584" w14:textId="77777777" w:rsidR="003D0722" w:rsidRDefault="003D0722" w:rsidP="00C51E4B">
            <w:pPr>
              <w:pStyle w:val="Tabletext0"/>
            </w:pPr>
            <w:r>
              <w:t>IHC+ / FISH+</w:t>
            </w:r>
          </w:p>
        </w:tc>
        <w:tc>
          <w:tcPr>
            <w:tcW w:w="1417" w:type="dxa"/>
          </w:tcPr>
          <w:p w14:paraId="1DAB43B0" w14:textId="77777777" w:rsidR="003D0722" w:rsidRPr="00D6001D" w:rsidRDefault="003D0722" w:rsidP="00C51E4B">
            <w:pPr>
              <w:pStyle w:val="Tabletext0"/>
            </w:pPr>
            <w:r w:rsidRPr="00D6001D">
              <w:t>6</w:t>
            </w:r>
          </w:p>
        </w:tc>
        <w:tc>
          <w:tcPr>
            <w:tcW w:w="1276" w:type="dxa"/>
          </w:tcPr>
          <w:p w14:paraId="4E507EA5" w14:textId="77777777" w:rsidR="003D0722" w:rsidRPr="00D6001D" w:rsidRDefault="003D0722" w:rsidP="00C51E4B">
            <w:pPr>
              <w:pStyle w:val="Tabletext0"/>
            </w:pPr>
            <w:r w:rsidRPr="00D6001D">
              <w:t>0</w:t>
            </w:r>
          </w:p>
        </w:tc>
        <w:tc>
          <w:tcPr>
            <w:tcW w:w="1366" w:type="dxa"/>
          </w:tcPr>
          <w:p w14:paraId="01175344" w14:textId="77777777" w:rsidR="003D0722" w:rsidRDefault="003D0722" w:rsidP="00C51E4B">
            <w:pPr>
              <w:pStyle w:val="Tabletext0"/>
            </w:pPr>
            <w:r>
              <w:t>0</w:t>
            </w:r>
          </w:p>
        </w:tc>
      </w:tr>
      <w:tr w:rsidR="003D0722" w14:paraId="0BFD0D55" w14:textId="77777777" w:rsidTr="005756A2">
        <w:tc>
          <w:tcPr>
            <w:tcW w:w="1980" w:type="dxa"/>
            <w:vMerge/>
          </w:tcPr>
          <w:p w14:paraId="58BCB66B" w14:textId="77777777" w:rsidR="003D0722" w:rsidRDefault="003D0722" w:rsidP="00C51E4B">
            <w:pPr>
              <w:pStyle w:val="Tabletext0"/>
            </w:pPr>
          </w:p>
        </w:tc>
        <w:tc>
          <w:tcPr>
            <w:tcW w:w="2977" w:type="dxa"/>
          </w:tcPr>
          <w:p w14:paraId="5AAF0667" w14:textId="77777777" w:rsidR="003D0722" w:rsidRDefault="003D0722" w:rsidP="00C51E4B">
            <w:pPr>
              <w:pStyle w:val="Tabletext0"/>
            </w:pPr>
            <w:r>
              <w:t>IHC uncertain/ FISH borderline +</w:t>
            </w:r>
          </w:p>
        </w:tc>
        <w:tc>
          <w:tcPr>
            <w:tcW w:w="1417" w:type="dxa"/>
          </w:tcPr>
          <w:p w14:paraId="07958DF7" w14:textId="77777777" w:rsidR="003D0722" w:rsidRDefault="003D0722" w:rsidP="00C51E4B">
            <w:pPr>
              <w:pStyle w:val="Tabletext0"/>
            </w:pPr>
            <w:r>
              <w:t>0</w:t>
            </w:r>
          </w:p>
        </w:tc>
        <w:tc>
          <w:tcPr>
            <w:tcW w:w="1276" w:type="dxa"/>
          </w:tcPr>
          <w:p w14:paraId="0F73E977" w14:textId="77777777" w:rsidR="003D0722" w:rsidRDefault="003D0722" w:rsidP="00C51E4B">
            <w:pPr>
              <w:pStyle w:val="Tabletext0"/>
            </w:pPr>
            <w:r>
              <w:t>1</w:t>
            </w:r>
          </w:p>
        </w:tc>
        <w:tc>
          <w:tcPr>
            <w:tcW w:w="1366" w:type="dxa"/>
          </w:tcPr>
          <w:p w14:paraId="6CD03E90" w14:textId="77777777" w:rsidR="003D0722" w:rsidRDefault="003D0722" w:rsidP="00C51E4B">
            <w:pPr>
              <w:pStyle w:val="Tabletext0"/>
            </w:pPr>
            <w:r>
              <w:t>0</w:t>
            </w:r>
          </w:p>
        </w:tc>
      </w:tr>
      <w:tr w:rsidR="003D0722" w14:paraId="1DCC06DC" w14:textId="77777777" w:rsidTr="005756A2">
        <w:tc>
          <w:tcPr>
            <w:tcW w:w="1980" w:type="dxa"/>
            <w:vMerge/>
          </w:tcPr>
          <w:p w14:paraId="05F52277" w14:textId="77777777" w:rsidR="003D0722" w:rsidRDefault="003D0722" w:rsidP="00C51E4B">
            <w:pPr>
              <w:pStyle w:val="Tabletext0"/>
            </w:pPr>
          </w:p>
        </w:tc>
        <w:tc>
          <w:tcPr>
            <w:tcW w:w="2977" w:type="dxa"/>
          </w:tcPr>
          <w:p w14:paraId="2837E5A1" w14:textId="77777777" w:rsidR="003D0722" w:rsidRDefault="003D0722" w:rsidP="00C51E4B">
            <w:pPr>
              <w:pStyle w:val="Tabletext0"/>
            </w:pPr>
            <w:r>
              <w:t>IHC + / FISH borderline +</w:t>
            </w:r>
          </w:p>
        </w:tc>
        <w:tc>
          <w:tcPr>
            <w:tcW w:w="1417" w:type="dxa"/>
          </w:tcPr>
          <w:p w14:paraId="03712663" w14:textId="77777777" w:rsidR="003D0722" w:rsidRDefault="003D0722" w:rsidP="00C51E4B">
            <w:pPr>
              <w:pStyle w:val="Tabletext0"/>
            </w:pPr>
            <w:r>
              <w:t>2</w:t>
            </w:r>
          </w:p>
        </w:tc>
        <w:tc>
          <w:tcPr>
            <w:tcW w:w="1276" w:type="dxa"/>
          </w:tcPr>
          <w:p w14:paraId="26DA4FBA" w14:textId="77777777" w:rsidR="003D0722" w:rsidRDefault="003D0722" w:rsidP="00C51E4B">
            <w:pPr>
              <w:pStyle w:val="Tabletext0"/>
            </w:pPr>
            <w:r>
              <w:t>0</w:t>
            </w:r>
          </w:p>
        </w:tc>
        <w:tc>
          <w:tcPr>
            <w:tcW w:w="1366" w:type="dxa"/>
          </w:tcPr>
          <w:p w14:paraId="2031490C" w14:textId="77777777" w:rsidR="003D0722" w:rsidRDefault="003D0722" w:rsidP="00C51E4B">
            <w:pPr>
              <w:pStyle w:val="Tabletext0"/>
            </w:pPr>
            <w:r>
              <w:t>0</w:t>
            </w:r>
          </w:p>
        </w:tc>
      </w:tr>
      <w:tr w:rsidR="003D0722" w14:paraId="5F0BA550" w14:textId="77777777" w:rsidTr="005756A2">
        <w:tc>
          <w:tcPr>
            <w:tcW w:w="1980" w:type="dxa"/>
            <w:vMerge/>
          </w:tcPr>
          <w:p w14:paraId="372FF3EC" w14:textId="77777777" w:rsidR="003D0722" w:rsidRDefault="003D0722" w:rsidP="00C51E4B">
            <w:pPr>
              <w:pStyle w:val="Tabletext0"/>
            </w:pPr>
          </w:p>
        </w:tc>
        <w:tc>
          <w:tcPr>
            <w:tcW w:w="2977" w:type="dxa"/>
          </w:tcPr>
          <w:p w14:paraId="45AD81F2" w14:textId="77777777" w:rsidR="003D0722" w:rsidRDefault="003D0722" w:rsidP="00C51E4B">
            <w:pPr>
              <w:pStyle w:val="Tabletext0"/>
            </w:pPr>
            <w:r>
              <w:t>IHC - / FISH borderline +</w:t>
            </w:r>
          </w:p>
        </w:tc>
        <w:tc>
          <w:tcPr>
            <w:tcW w:w="1417" w:type="dxa"/>
          </w:tcPr>
          <w:p w14:paraId="2C5EF942" w14:textId="77777777" w:rsidR="003D0722" w:rsidRDefault="003D0722" w:rsidP="00C51E4B">
            <w:pPr>
              <w:pStyle w:val="Tabletext0"/>
            </w:pPr>
            <w:r>
              <w:t>0</w:t>
            </w:r>
          </w:p>
        </w:tc>
        <w:tc>
          <w:tcPr>
            <w:tcW w:w="1276" w:type="dxa"/>
          </w:tcPr>
          <w:p w14:paraId="528D125F" w14:textId="77777777" w:rsidR="003D0722" w:rsidRDefault="003D0722" w:rsidP="00C51E4B">
            <w:pPr>
              <w:pStyle w:val="Tabletext0"/>
            </w:pPr>
            <w:r>
              <w:t>5</w:t>
            </w:r>
          </w:p>
        </w:tc>
        <w:tc>
          <w:tcPr>
            <w:tcW w:w="1366" w:type="dxa"/>
          </w:tcPr>
          <w:p w14:paraId="0906A599" w14:textId="77777777" w:rsidR="003D0722" w:rsidRDefault="003D0722" w:rsidP="00C51E4B">
            <w:pPr>
              <w:pStyle w:val="Tabletext0"/>
            </w:pPr>
            <w:r>
              <w:t>0</w:t>
            </w:r>
          </w:p>
        </w:tc>
      </w:tr>
      <w:tr w:rsidR="003D0722" w14:paraId="2E86CD4C" w14:textId="77777777" w:rsidTr="005756A2">
        <w:tc>
          <w:tcPr>
            <w:tcW w:w="1980" w:type="dxa"/>
            <w:vMerge/>
          </w:tcPr>
          <w:p w14:paraId="5CD1D9E2" w14:textId="77777777" w:rsidR="003D0722" w:rsidRDefault="003D0722" w:rsidP="00C51E4B">
            <w:pPr>
              <w:pStyle w:val="Tabletext0"/>
            </w:pPr>
          </w:p>
        </w:tc>
        <w:tc>
          <w:tcPr>
            <w:tcW w:w="2977" w:type="dxa"/>
          </w:tcPr>
          <w:p w14:paraId="79A09B8C" w14:textId="77777777" w:rsidR="003D0722" w:rsidRDefault="003D0722" w:rsidP="00C51E4B">
            <w:pPr>
              <w:pStyle w:val="Tabletext0"/>
            </w:pPr>
            <w:r>
              <w:t xml:space="preserve">IHC - / FISH borderline - </w:t>
            </w:r>
          </w:p>
        </w:tc>
        <w:tc>
          <w:tcPr>
            <w:tcW w:w="1417" w:type="dxa"/>
          </w:tcPr>
          <w:p w14:paraId="217C5202" w14:textId="77777777" w:rsidR="003D0722" w:rsidRDefault="003D0722" w:rsidP="00C51E4B">
            <w:pPr>
              <w:pStyle w:val="Tabletext0"/>
            </w:pPr>
            <w:r>
              <w:t>0</w:t>
            </w:r>
          </w:p>
        </w:tc>
        <w:tc>
          <w:tcPr>
            <w:tcW w:w="1276" w:type="dxa"/>
          </w:tcPr>
          <w:p w14:paraId="3962CBDA" w14:textId="77777777" w:rsidR="003D0722" w:rsidRDefault="003D0722" w:rsidP="00C51E4B">
            <w:pPr>
              <w:pStyle w:val="Tabletext0"/>
            </w:pPr>
            <w:r>
              <w:t>4</w:t>
            </w:r>
          </w:p>
        </w:tc>
        <w:tc>
          <w:tcPr>
            <w:tcW w:w="1366" w:type="dxa"/>
          </w:tcPr>
          <w:p w14:paraId="1E333BB8" w14:textId="77777777" w:rsidR="003D0722" w:rsidRDefault="003D0722" w:rsidP="00C51E4B">
            <w:pPr>
              <w:pStyle w:val="Tabletext0"/>
            </w:pPr>
            <w:r>
              <w:t>0</w:t>
            </w:r>
          </w:p>
        </w:tc>
      </w:tr>
      <w:tr w:rsidR="003D0722" w14:paraId="0FD78EAF" w14:textId="77777777" w:rsidTr="005756A2">
        <w:tc>
          <w:tcPr>
            <w:tcW w:w="1980" w:type="dxa"/>
            <w:vMerge/>
          </w:tcPr>
          <w:p w14:paraId="047EB315" w14:textId="77777777" w:rsidR="003D0722" w:rsidRDefault="003D0722" w:rsidP="00C51E4B">
            <w:pPr>
              <w:pStyle w:val="Tabletext0"/>
            </w:pPr>
          </w:p>
        </w:tc>
        <w:tc>
          <w:tcPr>
            <w:tcW w:w="2977" w:type="dxa"/>
          </w:tcPr>
          <w:p w14:paraId="0BA8D146" w14:textId="77777777" w:rsidR="003D0722" w:rsidRDefault="003D0722" w:rsidP="00C51E4B">
            <w:pPr>
              <w:pStyle w:val="Tabletext0"/>
            </w:pPr>
            <w:r>
              <w:t>IHC - / FISH +</w:t>
            </w:r>
          </w:p>
        </w:tc>
        <w:tc>
          <w:tcPr>
            <w:tcW w:w="1417" w:type="dxa"/>
          </w:tcPr>
          <w:p w14:paraId="66711716" w14:textId="77777777" w:rsidR="003D0722" w:rsidRDefault="003D0722" w:rsidP="00C51E4B">
            <w:pPr>
              <w:pStyle w:val="Tabletext0"/>
            </w:pPr>
            <w:r>
              <w:t>0</w:t>
            </w:r>
          </w:p>
        </w:tc>
        <w:tc>
          <w:tcPr>
            <w:tcW w:w="1276" w:type="dxa"/>
          </w:tcPr>
          <w:p w14:paraId="1B8F8AB9" w14:textId="77777777" w:rsidR="003D0722" w:rsidRDefault="003D0722" w:rsidP="00C51E4B">
            <w:pPr>
              <w:pStyle w:val="Tabletext0"/>
            </w:pPr>
            <w:r>
              <w:t>3</w:t>
            </w:r>
          </w:p>
        </w:tc>
        <w:tc>
          <w:tcPr>
            <w:tcW w:w="1366" w:type="dxa"/>
          </w:tcPr>
          <w:p w14:paraId="6CC9ABFA" w14:textId="77777777" w:rsidR="003D0722" w:rsidRDefault="003D0722" w:rsidP="00C51E4B">
            <w:pPr>
              <w:pStyle w:val="Tabletext0"/>
            </w:pPr>
            <w:r>
              <w:t>0</w:t>
            </w:r>
          </w:p>
        </w:tc>
      </w:tr>
    </w:tbl>
    <w:p w14:paraId="5B898299" w14:textId="75B8751F" w:rsidR="003D0722" w:rsidRDefault="00EF5DC7" w:rsidP="00783F89">
      <w:pPr>
        <w:pStyle w:val="TableFooter"/>
      </w:pPr>
      <w:r w:rsidRPr="007C7AB1">
        <w:rPr>
          <w:i/>
        </w:rPr>
        <w:t>ALK</w:t>
      </w:r>
      <w:r>
        <w:t xml:space="preserve"> = </w:t>
      </w:r>
      <w:r w:rsidRPr="00561C5F">
        <w:t>anaplastic lymphoma kinase</w:t>
      </w:r>
      <w:r>
        <w:t>; IHC = immunohistochemistry;</w:t>
      </w:r>
      <w:r w:rsidRPr="00EF5DC7">
        <w:t xml:space="preserve"> </w:t>
      </w:r>
      <w:r>
        <w:t>FISH = fluorescent in situ hybridisation;</w:t>
      </w:r>
      <w:r w:rsidRPr="006D7211">
        <w:t xml:space="preserve"> </w:t>
      </w:r>
      <w:r>
        <w:t>NGS = next generation sequencing;</w:t>
      </w:r>
    </w:p>
    <w:p w14:paraId="2DDA080F" w14:textId="2073EA83" w:rsidR="002C01BD" w:rsidRDefault="002C01BD" w:rsidP="002C01BD"/>
    <w:p w14:paraId="2F33609E" w14:textId="15B23C9B" w:rsidR="004A4C88" w:rsidRDefault="004A4C88" w:rsidP="004A4C88">
      <w:pPr>
        <w:pStyle w:val="Caption"/>
      </w:pPr>
      <w:r w:rsidRPr="004A4C88">
        <w:rPr>
          <w:noProof/>
          <w:lang w:eastAsia="en-AU"/>
        </w:rPr>
        <w:lastRenderedPageBreak/>
        <w:drawing>
          <wp:inline distT="0" distB="0" distL="0" distR="0" wp14:anchorId="23635241" wp14:editId="0E465808">
            <wp:extent cx="7620000" cy="4312796"/>
            <wp:effectExtent l="0" t="0" r="0" b="0"/>
            <wp:docPr id="17" name="Picture 17" descr="PPA and NPA of NGS compared to single-gene testing for ROS1 fusions" title="PPA and NPA of NGS compared to single-gene testing for ROS1 f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620000" cy="4312796"/>
                    </a:xfrm>
                    <a:prstGeom prst="rect">
                      <a:avLst/>
                    </a:prstGeom>
                  </pic:spPr>
                </pic:pic>
              </a:graphicData>
            </a:graphic>
          </wp:inline>
        </w:drawing>
      </w:r>
    </w:p>
    <w:p w14:paraId="66789FC8" w14:textId="168DAAB2" w:rsidR="004A4C88" w:rsidRDefault="004A4C88" w:rsidP="004A4C88">
      <w:pPr>
        <w:pStyle w:val="Caption"/>
      </w:pPr>
      <w:bookmarkStart w:id="304" w:name="_Ref108871129"/>
      <w:r>
        <w:t xml:space="preserve">Figure </w:t>
      </w:r>
      <w:fldSimple w:instr=" SEQ Figure \* ARABIC ">
        <w:r w:rsidR="00C857F3">
          <w:rPr>
            <w:noProof/>
          </w:rPr>
          <w:t>26</w:t>
        </w:r>
      </w:fldSimple>
      <w:bookmarkEnd w:id="304"/>
      <w:r>
        <w:tab/>
        <w:t>PPA and NPA of NGS compared to single-gene testing for</w:t>
      </w:r>
      <w:r w:rsidRPr="004A4C88">
        <w:rPr>
          <w:i/>
        </w:rPr>
        <w:t xml:space="preserve"> ROS1</w:t>
      </w:r>
      <w:r>
        <w:t xml:space="preserve"> fusions</w:t>
      </w:r>
    </w:p>
    <w:p w14:paraId="7D582BA5" w14:textId="40767AD2" w:rsidR="002C01BD" w:rsidRDefault="004A4C88" w:rsidP="005B1B91">
      <w:r>
        <w:t xml:space="preserve">Note: Wei et al. (2021) and Kato et al. (2021) used reverse transcription or real time PCR for single-gene testing rather than FISH. These studies were retained as STATA did not allow meta-analysis of fewer than 4 studies. A small additional study ‘Mehta et al. 2021’ was also included, but had no true positives, and caused errors. </w:t>
      </w:r>
      <w:r w:rsidRPr="004A4C88">
        <w:t xml:space="preserve"> </w:t>
      </w:r>
    </w:p>
    <w:p w14:paraId="390FE9FA" w14:textId="3527C981" w:rsidR="004A4C88" w:rsidRDefault="004A4C88" w:rsidP="002C01BD"/>
    <w:p w14:paraId="526A216B" w14:textId="2A0161F6" w:rsidR="003D0722" w:rsidRDefault="003D0722" w:rsidP="002C01BD">
      <w:pPr>
        <w:sectPr w:rsidR="003D0722" w:rsidSect="005B1B91">
          <w:pgSz w:w="16838" w:h="11906" w:orient="landscape"/>
          <w:pgMar w:top="1440" w:right="1440" w:bottom="1440" w:left="1440" w:header="708" w:footer="708" w:gutter="0"/>
          <w:cols w:space="708"/>
          <w:titlePg/>
          <w:docGrid w:linePitch="360"/>
        </w:sectPr>
      </w:pPr>
    </w:p>
    <w:p w14:paraId="786209B9" w14:textId="5236596A" w:rsidR="004B27A1" w:rsidRDefault="004B27A1" w:rsidP="004B27A1">
      <w:pPr>
        <w:pStyle w:val="Caption"/>
      </w:pPr>
      <w:bookmarkStart w:id="305" w:name="_Ref106610379"/>
      <w:r>
        <w:lastRenderedPageBreak/>
        <w:t xml:space="preserve">Table </w:t>
      </w:r>
      <w:fldSimple w:instr=" SEQ Table \* ARABIC ">
        <w:r w:rsidR="00C857F3">
          <w:rPr>
            <w:noProof/>
          </w:rPr>
          <w:t>83</w:t>
        </w:r>
      </w:fldSimple>
      <w:bookmarkEnd w:id="305"/>
      <w:r>
        <w:tab/>
        <w:t>Comments on discordance</w:t>
      </w:r>
    </w:p>
    <w:tbl>
      <w:tblPr>
        <w:tblStyle w:val="TableGrid"/>
        <w:tblW w:w="5000" w:type="pct"/>
        <w:tblLook w:val="04A0" w:firstRow="1" w:lastRow="0" w:firstColumn="1" w:lastColumn="0" w:noHBand="0" w:noVBand="1"/>
        <w:tblCaption w:val="Comments on discordance"/>
        <w:tblDescription w:val="Comments on discordance"/>
      </w:tblPr>
      <w:tblGrid>
        <w:gridCol w:w="673"/>
        <w:gridCol w:w="1232"/>
        <w:gridCol w:w="1298"/>
        <w:gridCol w:w="1322"/>
        <w:gridCol w:w="2753"/>
        <w:gridCol w:w="1738"/>
      </w:tblGrid>
      <w:tr w:rsidR="004B27A1" w:rsidRPr="00796D44" w14:paraId="1FF98C8A" w14:textId="77777777" w:rsidTr="003A6029">
        <w:trPr>
          <w:trHeight w:val="731"/>
          <w:tblHeader/>
        </w:trPr>
        <w:tc>
          <w:tcPr>
            <w:tcW w:w="373" w:type="pct"/>
          </w:tcPr>
          <w:p w14:paraId="641BEBAD" w14:textId="77777777" w:rsidR="004B27A1" w:rsidRPr="00796D44" w:rsidRDefault="004B27A1" w:rsidP="009631BD">
            <w:pPr>
              <w:pStyle w:val="TableHeading"/>
            </w:pPr>
            <w:r>
              <w:t>Gene</w:t>
            </w:r>
          </w:p>
        </w:tc>
        <w:tc>
          <w:tcPr>
            <w:tcW w:w="683" w:type="pct"/>
          </w:tcPr>
          <w:p w14:paraId="1E2D343A" w14:textId="77777777" w:rsidR="004B27A1" w:rsidRDefault="004B27A1" w:rsidP="009631BD">
            <w:pPr>
              <w:pStyle w:val="TableHeading"/>
            </w:pPr>
            <w:r>
              <w:t xml:space="preserve">Reference </w:t>
            </w:r>
          </w:p>
        </w:tc>
        <w:tc>
          <w:tcPr>
            <w:tcW w:w="720" w:type="pct"/>
          </w:tcPr>
          <w:p w14:paraId="47394985" w14:textId="77777777" w:rsidR="004B27A1" w:rsidRDefault="004B27A1" w:rsidP="009631BD">
            <w:pPr>
              <w:pStyle w:val="TableHeading"/>
            </w:pPr>
            <w:r>
              <w:t>Intervention (NGS)</w:t>
            </w:r>
          </w:p>
        </w:tc>
        <w:tc>
          <w:tcPr>
            <w:tcW w:w="733" w:type="pct"/>
          </w:tcPr>
          <w:p w14:paraId="7BC652D9" w14:textId="77777777" w:rsidR="004B27A1" w:rsidRDefault="004B27A1" w:rsidP="009631BD">
            <w:pPr>
              <w:pStyle w:val="TableHeading"/>
            </w:pPr>
            <w:r>
              <w:t>Comparator (SG)</w:t>
            </w:r>
          </w:p>
        </w:tc>
        <w:tc>
          <w:tcPr>
            <w:tcW w:w="1527" w:type="pct"/>
          </w:tcPr>
          <w:p w14:paraId="02653F61" w14:textId="77777777" w:rsidR="004B27A1" w:rsidRDefault="004B27A1" w:rsidP="009631BD">
            <w:pPr>
              <w:pStyle w:val="TableHeading"/>
            </w:pPr>
            <w:r>
              <w:t>Reasons for NGS+/SG-</w:t>
            </w:r>
          </w:p>
        </w:tc>
        <w:tc>
          <w:tcPr>
            <w:tcW w:w="964" w:type="pct"/>
          </w:tcPr>
          <w:p w14:paraId="013D1920" w14:textId="77777777" w:rsidR="004B27A1" w:rsidRPr="00796D44" w:rsidRDefault="004B27A1" w:rsidP="009631BD">
            <w:pPr>
              <w:pStyle w:val="TableHeading"/>
            </w:pPr>
            <w:r>
              <w:t>Reasons for NGS-/SG+</w:t>
            </w:r>
          </w:p>
        </w:tc>
      </w:tr>
      <w:tr w:rsidR="004B27A1" w:rsidRPr="00796D44" w14:paraId="1FEA8D59" w14:textId="77777777" w:rsidTr="009631BD">
        <w:tc>
          <w:tcPr>
            <w:tcW w:w="373" w:type="pct"/>
          </w:tcPr>
          <w:p w14:paraId="43913F2D" w14:textId="77777777" w:rsidR="004B27A1" w:rsidRPr="006F53B4" w:rsidRDefault="004B27A1" w:rsidP="009631BD">
            <w:pPr>
              <w:pStyle w:val="Tabletext0"/>
              <w:rPr>
                <w:i/>
              </w:rPr>
            </w:pPr>
          </w:p>
        </w:tc>
        <w:tc>
          <w:tcPr>
            <w:tcW w:w="683" w:type="pct"/>
          </w:tcPr>
          <w:p w14:paraId="36317F1F" w14:textId="2481B529" w:rsidR="004B27A1" w:rsidRPr="00606456" w:rsidRDefault="00B4668F" w:rsidP="00B4668F">
            <w:pPr>
              <w:pStyle w:val="TableText"/>
            </w:pPr>
            <w:r>
              <w:fldChar w:fldCharType="begin"/>
            </w:r>
            <w:r>
              <w:instrText xml:space="preserve"> ADDIN EN.CITE &lt;EndNote&gt;&lt;Cite&gt;&lt;Author&gt;de Biase&lt;/Author&gt;&lt;Year&gt;2013&lt;/Year&gt;&lt;RecNum&gt;158&lt;/RecNum&gt;&lt;IDText&gt;e83607-NA&lt;/IDText&gt;&lt;DisplayText&gt;(de Biase et al. 2013)&lt;/DisplayText&gt;&lt;record&gt;&lt;rec-number&gt;158&lt;/rec-number&gt;&lt;foreign-keys&gt;&lt;key app="EN" db-id="0tprsse9cpp5r3ea5dz5p0xw2pfwvwxpa5a5" timestamp="1655264277"&gt;158&lt;/key&gt;&lt;/foreign-keys&gt;&lt;ref-type name="Journal Article"&gt;17&lt;/ref-type&gt;&lt;contributors&gt;&lt;authors&gt;&lt;author&gt;de Biase, Dario&lt;/author&gt;&lt;author&gt;Visani, Michela&lt;/author&gt;&lt;author&gt;Malapelle, Umberto&lt;/author&gt;&lt;author&gt;Simonato, Francesca&lt;/author&gt;&lt;author&gt;Cesari, Valentina&lt;/author&gt;&lt;author&gt;Bellevicine, Claudio&lt;/author&gt;&lt;author&gt;Pession, Annalisa&lt;/author&gt;&lt;author&gt;Troncone, Giancarlo&lt;/author&gt;&lt;author&gt;Fassina, Ambrogio&lt;/author&gt;&lt;author&gt;Tallini, Giovanni&lt;/author&gt;&lt;/authors&gt;&lt;/contributors&gt;&lt;titles&gt;&lt;title&gt;Next-Generation Sequencing of Lung Cancer EGFR Exons 18-21 Allows Effective Molecular Diagnosis of Small Routine Samples (Cytology and Biopsy)&lt;/title&gt;&lt;secondary-title&gt;PloS one&lt;/secondary-title&gt;&lt;/titles&gt;&lt;periodical&gt;&lt;full-title&gt;PLoS One&lt;/full-title&gt;&lt;/periodical&gt;&lt;pages&gt;e83607-NA&lt;/pages&gt;&lt;volume&gt;8&lt;/volume&gt;&lt;number&gt;12&lt;/number&gt;&lt;dates&gt;&lt;year&gt;2013&lt;/year&gt;&lt;/dates&gt;&lt;urls&gt;&lt;/urls&gt;&lt;electronic-resource-num&gt;10.1371/journal.pone.0083607&lt;/electronic-resource-num&gt;&lt;research-notes&gt;P - Include. concordance in predictions of clinical relevance. &lt;/research-notes&gt;&lt;/record&gt;&lt;/Cite&gt;&lt;/EndNote&gt;</w:instrText>
            </w:r>
            <w:r>
              <w:fldChar w:fldCharType="separate"/>
            </w:r>
            <w:r>
              <w:rPr>
                <w:noProof/>
              </w:rPr>
              <w:t>(de Biase et al. 2013)</w:t>
            </w:r>
            <w:r>
              <w:fldChar w:fldCharType="end"/>
            </w:r>
          </w:p>
        </w:tc>
        <w:tc>
          <w:tcPr>
            <w:tcW w:w="720" w:type="pct"/>
            <w:vAlign w:val="bottom"/>
          </w:tcPr>
          <w:p w14:paraId="23E69B49" w14:textId="77777777" w:rsidR="004B27A1" w:rsidRPr="00606456" w:rsidRDefault="004B27A1" w:rsidP="009631BD">
            <w:pPr>
              <w:pStyle w:val="TableText"/>
            </w:pPr>
            <w:r>
              <w:t xml:space="preserve">NGS (454 NGS) </w:t>
            </w:r>
          </w:p>
        </w:tc>
        <w:tc>
          <w:tcPr>
            <w:tcW w:w="733" w:type="pct"/>
            <w:vAlign w:val="bottom"/>
          </w:tcPr>
          <w:p w14:paraId="60DFFCE2" w14:textId="77777777" w:rsidR="004B27A1" w:rsidRPr="00606456" w:rsidRDefault="004B27A1" w:rsidP="009631BD">
            <w:pPr>
              <w:pStyle w:val="TableText"/>
            </w:pPr>
            <w:r>
              <w:t>Sanger sequencing</w:t>
            </w:r>
          </w:p>
        </w:tc>
        <w:tc>
          <w:tcPr>
            <w:tcW w:w="1527" w:type="pct"/>
          </w:tcPr>
          <w:p w14:paraId="0BF5613E" w14:textId="77777777" w:rsidR="004B27A1" w:rsidRPr="00606456" w:rsidRDefault="004B27A1" w:rsidP="009631BD">
            <w:pPr>
              <w:pStyle w:val="TableText"/>
            </w:pPr>
            <w:r>
              <w:t>Variant reads were below the analytical sensitivity threshold of Sanger sequencing.</w:t>
            </w:r>
          </w:p>
        </w:tc>
        <w:tc>
          <w:tcPr>
            <w:tcW w:w="964" w:type="pct"/>
          </w:tcPr>
          <w:p w14:paraId="5FA033A8" w14:textId="77777777" w:rsidR="004B27A1" w:rsidRPr="00606456" w:rsidRDefault="004B27A1" w:rsidP="009631BD">
            <w:pPr>
              <w:pStyle w:val="TableText"/>
            </w:pPr>
          </w:p>
        </w:tc>
      </w:tr>
      <w:tr w:rsidR="004B27A1" w:rsidRPr="00796D44" w14:paraId="7532AE46" w14:textId="77777777" w:rsidTr="009631BD">
        <w:tc>
          <w:tcPr>
            <w:tcW w:w="373" w:type="pct"/>
            <w:vMerge w:val="restart"/>
          </w:tcPr>
          <w:p w14:paraId="043D5698" w14:textId="77777777" w:rsidR="004B27A1" w:rsidRPr="006F53B4" w:rsidRDefault="004B27A1" w:rsidP="009631BD">
            <w:pPr>
              <w:pStyle w:val="Tabletext0"/>
              <w:rPr>
                <w:i/>
              </w:rPr>
            </w:pPr>
            <w:r w:rsidRPr="006F53B4">
              <w:rPr>
                <w:i/>
              </w:rPr>
              <w:t>EGFR</w:t>
            </w:r>
          </w:p>
        </w:tc>
        <w:tc>
          <w:tcPr>
            <w:tcW w:w="683" w:type="pct"/>
          </w:tcPr>
          <w:p w14:paraId="402FAEBB" w14:textId="5C04EC71" w:rsidR="004B27A1" w:rsidRPr="00606456" w:rsidRDefault="00B4668F" w:rsidP="00B4668F">
            <w:pPr>
              <w:pStyle w:val="TableText"/>
            </w:pPr>
            <w: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(DiBardino et al. 2017)</w:t>
            </w:r>
            <w:r>
              <w:fldChar w:fldCharType="end"/>
            </w:r>
          </w:p>
        </w:tc>
        <w:tc>
          <w:tcPr>
            <w:tcW w:w="720" w:type="pct"/>
            <w:vAlign w:val="bottom"/>
          </w:tcPr>
          <w:p w14:paraId="004F078A" w14:textId="77777777" w:rsidR="004B27A1" w:rsidRPr="00606456" w:rsidRDefault="004B27A1" w:rsidP="009631BD">
            <w:pPr>
              <w:pStyle w:val="TableText"/>
            </w:pPr>
            <w:r w:rsidRPr="00606456">
              <w:t>NGS</w:t>
            </w:r>
          </w:p>
        </w:tc>
        <w:tc>
          <w:tcPr>
            <w:tcW w:w="733" w:type="pct"/>
            <w:vAlign w:val="bottom"/>
          </w:tcPr>
          <w:p w14:paraId="72E0F72C" w14:textId="77777777" w:rsidR="004B27A1" w:rsidRPr="00606456" w:rsidRDefault="004B27A1" w:rsidP="009631BD">
            <w:pPr>
              <w:pStyle w:val="TableText"/>
            </w:pPr>
            <w:r w:rsidRPr="00606456">
              <w:t>Single-gene</w:t>
            </w:r>
            <w:r>
              <w:t xml:space="preserve"> PCR</w:t>
            </w:r>
          </w:p>
        </w:tc>
        <w:tc>
          <w:tcPr>
            <w:tcW w:w="1527" w:type="pct"/>
          </w:tcPr>
          <w:p w14:paraId="3B773C1C" w14:textId="77777777" w:rsidR="004B27A1" w:rsidRPr="00606456" w:rsidRDefault="004B27A1" w:rsidP="009631BD">
            <w:pPr>
              <w:pStyle w:val="TableText"/>
            </w:pPr>
            <w:r w:rsidRPr="00606456">
              <w:t>Single-gene testing missed a</w:t>
            </w:r>
            <w:r>
              <w:t xml:space="preserve"> second-variant in one patient (</w:t>
            </w:r>
            <w:r w:rsidRPr="00606456">
              <w:t>T790M</w:t>
            </w:r>
            <w:r>
              <w:t xml:space="preserve">) </w:t>
            </w:r>
            <w:r w:rsidRPr="00606456">
              <w:t>and patient was put on erlotinib</w:t>
            </w:r>
            <w:r>
              <w:t xml:space="preserve">. This underlying variant was present at a variant frequency below the sensitivity of the single-gene PCR. </w:t>
            </w:r>
          </w:p>
        </w:tc>
        <w:tc>
          <w:tcPr>
            <w:tcW w:w="964" w:type="pct"/>
          </w:tcPr>
          <w:p w14:paraId="6849E067" w14:textId="77777777" w:rsidR="004B27A1" w:rsidRPr="00606456" w:rsidRDefault="004B27A1" w:rsidP="009631BD">
            <w:pPr>
              <w:pStyle w:val="TableText"/>
            </w:pPr>
            <w:r w:rsidRPr="00606456">
              <w:t>-</w:t>
            </w:r>
          </w:p>
        </w:tc>
      </w:tr>
      <w:tr w:rsidR="004B27A1" w:rsidRPr="00796D44" w14:paraId="39D3F293" w14:textId="77777777" w:rsidTr="009631BD">
        <w:tc>
          <w:tcPr>
            <w:tcW w:w="373" w:type="pct"/>
            <w:vMerge/>
          </w:tcPr>
          <w:p w14:paraId="3454B1FC" w14:textId="77777777" w:rsidR="004B27A1" w:rsidRPr="006F53B4" w:rsidRDefault="004B27A1" w:rsidP="009631BD">
            <w:pPr>
              <w:pStyle w:val="Tabletext0"/>
              <w:rPr>
                <w:i/>
              </w:rPr>
            </w:pPr>
          </w:p>
        </w:tc>
        <w:tc>
          <w:tcPr>
            <w:tcW w:w="683" w:type="pct"/>
          </w:tcPr>
          <w:p w14:paraId="303CE272" w14:textId="65A2D8B4" w:rsidR="004B27A1" w:rsidRPr="00606456" w:rsidRDefault="00B4668F" w:rsidP="00B4668F">
            <w:pPr>
              <w:pStyle w:val="TableText"/>
            </w:pPr>
            <w: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 </w:instrText>
            </w:r>
            <w: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EN.CITE.DATA </w:instrText>
            </w:r>
            <w:r>
              <w:fldChar w:fldCharType="end"/>
            </w:r>
            <w:r>
              <w:fldChar w:fldCharType="separate"/>
            </w:r>
            <w:r>
              <w:rPr>
                <w:noProof/>
              </w:rPr>
              <w:t>(Ji et al. 2019)</w:t>
            </w:r>
            <w:r>
              <w:fldChar w:fldCharType="end"/>
            </w:r>
          </w:p>
        </w:tc>
        <w:tc>
          <w:tcPr>
            <w:tcW w:w="720" w:type="pct"/>
            <w:vAlign w:val="bottom"/>
          </w:tcPr>
          <w:p w14:paraId="2AC7F759" w14:textId="77777777" w:rsidR="004B27A1" w:rsidRPr="00606456" w:rsidRDefault="004B27A1" w:rsidP="009631BD">
            <w:pPr>
              <w:pStyle w:val="TableText"/>
            </w:pPr>
            <w:r w:rsidRPr="00606456">
              <w:t>NGS</w:t>
            </w:r>
          </w:p>
        </w:tc>
        <w:tc>
          <w:tcPr>
            <w:tcW w:w="733" w:type="pct"/>
            <w:vAlign w:val="bottom"/>
          </w:tcPr>
          <w:p w14:paraId="5468D331" w14:textId="77777777" w:rsidR="004B27A1" w:rsidRPr="00606456" w:rsidRDefault="004B27A1" w:rsidP="009631BD">
            <w:pPr>
              <w:pStyle w:val="TableText"/>
            </w:pPr>
            <w:r w:rsidRPr="00606456">
              <w:t>Sanger Sequencing and/or ARMS-PCR</w:t>
            </w:r>
          </w:p>
        </w:tc>
        <w:tc>
          <w:tcPr>
            <w:tcW w:w="1527" w:type="pct"/>
          </w:tcPr>
          <w:p w14:paraId="547AF20A" w14:textId="77777777" w:rsidR="004B27A1" w:rsidRPr="00606456" w:rsidRDefault="004B27A1" w:rsidP="009631BD">
            <w:pPr>
              <w:pStyle w:val="TableText"/>
            </w:pPr>
            <w:r w:rsidRPr="00606456">
              <w:t>SS and/or ARMS-PCR missed 2 resistance-conferring variants</w:t>
            </w:r>
          </w:p>
        </w:tc>
        <w:tc>
          <w:tcPr>
            <w:tcW w:w="964" w:type="pct"/>
          </w:tcPr>
          <w:p w14:paraId="0BA45169" w14:textId="77777777" w:rsidR="004B27A1" w:rsidRPr="00606456" w:rsidRDefault="004B27A1" w:rsidP="009631BD">
            <w:pPr>
              <w:pStyle w:val="TableText"/>
            </w:pPr>
            <w:r w:rsidRPr="00606456">
              <w:t xml:space="preserve">4 cases with a low abundance of </w:t>
            </w:r>
            <w:r w:rsidRPr="004C2653">
              <w:rPr>
                <w:i/>
              </w:rPr>
              <w:t xml:space="preserve">EGFR </w:t>
            </w:r>
            <w:r w:rsidRPr="00606456">
              <w:t>were missed by NGS</w:t>
            </w:r>
          </w:p>
        </w:tc>
      </w:tr>
      <w:tr w:rsidR="004B27A1" w:rsidRPr="00796D44" w14:paraId="28DA21CA" w14:textId="77777777" w:rsidTr="009631BD">
        <w:tc>
          <w:tcPr>
            <w:tcW w:w="373" w:type="pct"/>
            <w:vMerge/>
          </w:tcPr>
          <w:p w14:paraId="130DCB8B" w14:textId="77777777" w:rsidR="004B27A1" w:rsidRPr="006F53B4" w:rsidRDefault="004B27A1" w:rsidP="009631BD">
            <w:pPr>
              <w:pStyle w:val="Tabletext0"/>
              <w:rPr>
                <w:i/>
              </w:rPr>
            </w:pPr>
          </w:p>
        </w:tc>
        <w:tc>
          <w:tcPr>
            <w:tcW w:w="683" w:type="pct"/>
          </w:tcPr>
          <w:p w14:paraId="13465AAE" w14:textId="08BD2BE1" w:rsidR="004B27A1" w:rsidRPr="00606456" w:rsidRDefault="00B4668F" w:rsidP="00B4668F">
            <w:pPr>
              <w:pStyle w:val="TableText"/>
            </w:pPr>
            <w:r>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instrText xml:space="preserve"> ADDIN EN.CITE </w:instrText>
            </w:r>
            <w:r>
              <w:fldChar w:fldCharType="begin">
                <w:fldData xml:space="preserve">PEVuZE5vdGU+PENpdGU+PEF1dGhvcj5KaWFuZzwvQXV0aG9yPjxZZWFyPjIwMjA8L1llYXI+PFJl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</w:fldData>
              </w:fldChar>
            </w:r>
            <w:r>
              <w:instrText xml:space="preserve"> ADDIN EN.CITE.DATA </w:instrText>
            </w:r>
            <w:r>
              <w:fldChar w:fldCharType="end"/>
            </w:r>
            <w:r>
              <w:fldChar w:fldCharType="separate"/>
            </w:r>
            <w:r>
              <w:rPr>
                <w:noProof/>
              </w:rPr>
              <w:t>(Jiang et al. 2020)</w:t>
            </w:r>
            <w:r>
              <w:fldChar w:fldCharType="end"/>
            </w:r>
          </w:p>
        </w:tc>
        <w:tc>
          <w:tcPr>
            <w:tcW w:w="720" w:type="pct"/>
            <w:vAlign w:val="bottom"/>
          </w:tcPr>
          <w:p w14:paraId="0D118E1F" w14:textId="77777777" w:rsidR="004B27A1" w:rsidRPr="00606456" w:rsidRDefault="004B27A1" w:rsidP="009631BD">
            <w:pPr>
              <w:pStyle w:val="TableText"/>
            </w:pPr>
            <w:r w:rsidRPr="00606456">
              <w:t xml:space="preserve">OncoAim </w:t>
            </w:r>
          </w:p>
        </w:tc>
        <w:tc>
          <w:tcPr>
            <w:tcW w:w="733" w:type="pct"/>
            <w:vAlign w:val="bottom"/>
          </w:tcPr>
          <w:p w14:paraId="7585E49F" w14:textId="77777777" w:rsidR="004B27A1" w:rsidRPr="00606456" w:rsidRDefault="004B27A1" w:rsidP="009631BD">
            <w:pPr>
              <w:pStyle w:val="TableText"/>
            </w:pPr>
            <w:r w:rsidRPr="00606456">
              <w:t>ARMS-PCR</w:t>
            </w:r>
          </w:p>
        </w:tc>
        <w:tc>
          <w:tcPr>
            <w:tcW w:w="1527" w:type="pct"/>
          </w:tcPr>
          <w:p w14:paraId="2CA08BCB" w14:textId="77777777" w:rsidR="004B27A1" w:rsidRPr="00606456" w:rsidRDefault="004B27A1" w:rsidP="009631BD">
            <w:pPr>
              <w:pStyle w:val="TableText"/>
            </w:pPr>
            <w:r w:rsidRPr="00606456">
              <w:t>NGS detected a variant missed by ARMS-PCR (variant confirmed on SS)</w:t>
            </w:r>
          </w:p>
        </w:tc>
        <w:tc>
          <w:tcPr>
            <w:tcW w:w="964" w:type="pct"/>
          </w:tcPr>
          <w:p w14:paraId="261FB11B" w14:textId="77777777" w:rsidR="004B27A1" w:rsidRPr="00606456" w:rsidRDefault="004B27A1" w:rsidP="009631BD">
            <w:pPr>
              <w:pStyle w:val="TableText"/>
            </w:pPr>
            <w:r w:rsidRPr="00606456">
              <w:t>NGS missed cases with low allele frequency (ARMS-PCR could detect 1%, whereas NGS could detect &gt;5%)</w:t>
            </w:r>
          </w:p>
        </w:tc>
      </w:tr>
      <w:tr w:rsidR="004B27A1" w:rsidRPr="00796D44" w14:paraId="79B09352" w14:textId="77777777" w:rsidTr="009631BD">
        <w:trPr>
          <w:trHeight w:val="818"/>
        </w:trPr>
        <w:tc>
          <w:tcPr>
            <w:tcW w:w="373" w:type="pct"/>
            <w:vMerge/>
          </w:tcPr>
          <w:p w14:paraId="534F1913" w14:textId="77777777" w:rsidR="004B27A1" w:rsidRPr="006F53B4" w:rsidRDefault="004B27A1" w:rsidP="009631BD">
            <w:pPr>
              <w:pStyle w:val="Tabletext0"/>
              <w:rPr>
                <w:i/>
              </w:rPr>
            </w:pPr>
          </w:p>
        </w:tc>
        <w:tc>
          <w:tcPr>
            <w:tcW w:w="683" w:type="pct"/>
          </w:tcPr>
          <w:p w14:paraId="1C81CDD0" w14:textId="3EE24F0A" w:rsidR="004B27A1" w:rsidRPr="00606456" w:rsidRDefault="00B4668F" w:rsidP="00B4668F">
            <w:pPr>
              <w:pStyle w:val="TableText"/>
            </w:pPr>
            <w: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(Jing et al. 2018)</w:t>
            </w:r>
            <w:r>
              <w:fldChar w:fldCharType="end"/>
            </w:r>
          </w:p>
        </w:tc>
        <w:tc>
          <w:tcPr>
            <w:tcW w:w="720" w:type="pct"/>
            <w:vAlign w:val="bottom"/>
          </w:tcPr>
          <w:p w14:paraId="3AC16B38" w14:textId="77777777" w:rsidR="004B27A1" w:rsidRPr="00606456" w:rsidRDefault="004B27A1" w:rsidP="009631BD">
            <w:pPr>
              <w:pStyle w:val="TableText"/>
            </w:pPr>
            <w:r w:rsidRPr="00606456">
              <w:t>Lung panel on Iontorrent personal genome machine (Thermo Fisher) (7 genes)</w:t>
            </w:r>
          </w:p>
        </w:tc>
        <w:tc>
          <w:tcPr>
            <w:tcW w:w="733" w:type="pct"/>
            <w:vAlign w:val="bottom"/>
          </w:tcPr>
          <w:p w14:paraId="293B2833" w14:textId="77777777" w:rsidR="004B27A1" w:rsidRPr="00606456" w:rsidRDefault="004B27A1" w:rsidP="009631BD">
            <w:pPr>
              <w:pStyle w:val="TableText"/>
            </w:pPr>
            <w:r w:rsidRPr="00606456">
              <w:t>Sanger Sequencing</w:t>
            </w:r>
          </w:p>
        </w:tc>
        <w:tc>
          <w:tcPr>
            <w:tcW w:w="1527" w:type="pct"/>
          </w:tcPr>
          <w:p w14:paraId="5D81F2BC" w14:textId="77777777" w:rsidR="004B27A1" w:rsidRPr="00606456" w:rsidRDefault="004B27A1" w:rsidP="009631BD">
            <w:pPr>
              <w:pStyle w:val="TableText"/>
            </w:pPr>
            <w:r w:rsidRPr="00606456">
              <w:t>SS had sensitivity of 10% whereas NGS had sensitivity of 0.1% (NGS picked up low frequency variants)</w:t>
            </w:r>
          </w:p>
        </w:tc>
        <w:tc>
          <w:tcPr>
            <w:tcW w:w="964" w:type="pct"/>
          </w:tcPr>
          <w:p w14:paraId="5D49F7B4" w14:textId="77777777" w:rsidR="004B27A1" w:rsidRPr="00606456" w:rsidRDefault="004B27A1" w:rsidP="009631BD">
            <w:pPr>
              <w:pStyle w:val="TableText"/>
            </w:pPr>
          </w:p>
        </w:tc>
      </w:tr>
      <w:tr w:rsidR="004B27A1" w:rsidRPr="00796D44" w14:paraId="62C681D4" w14:textId="77777777" w:rsidTr="009631BD">
        <w:trPr>
          <w:trHeight w:val="818"/>
        </w:trPr>
        <w:tc>
          <w:tcPr>
            <w:tcW w:w="373" w:type="pct"/>
            <w:vMerge/>
          </w:tcPr>
          <w:p w14:paraId="0610B651" w14:textId="77777777" w:rsidR="004B27A1" w:rsidRPr="006F53B4" w:rsidRDefault="004B27A1" w:rsidP="009631BD">
            <w:pPr>
              <w:pStyle w:val="Tabletext0"/>
              <w:rPr>
                <w:i/>
              </w:rPr>
            </w:pPr>
          </w:p>
        </w:tc>
        <w:tc>
          <w:tcPr>
            <w:tcW w:w="683" w:type="pct"/>
          </w:tcPr>
          <w:p w14:paraId="4A2EE8EA" w14:textId="42BD81A9" w:rsidR="004B27A1" w:rsidRPr="00606456" w:rsidRDefault="00B4668F" w:rsidP="00B4668F">
            <w:pPr>
              <w:pStyle w:val="TableText"/>
            </w:pPr>
            <w:r>
              <w:fldChar w:fldCharType="begin"/>
            </w:r>
            <w:r>
              <w:instrText xml:space="preserve"> ADDIN EN.CITE &lt;EndNote&gt;&lt;Cite&gt;&lt;Author&gt;Kato&lt;/Author&gt;&lt;Year&gt;2021&lt;/Year&gt;&lt;RecNum&gt;164&lt;/RecNum&gt;&lt;IDText&gt;NA-NA&lt;/IDText&gt;&lt;DisplayText&gt;(Kato et al. 2021)&lt;/DisplayText&gt;&lt;record&gt;&lt;rec-number&gt;164&lt;/rec-number&gt;&lt;foreign-keys&gt;&lt;key app="EN" db-id="0tprsse9cpp5r3ea5dz5p0xw2pfwvwxpa5a5" timestamp="1655264278"&gt;164&lt;/key&gt;&lt;/foreign-keys&gt;&lt;ref-type name="Journal Article"&gt;17&lt;/ref-type&gt;&lt;contributors&gt;&lt;authors&gt;&lt;author&gt;Kato, Kikuya&lt;/author&gt;&lt;author&gt;Okami, Jiro&lt;/author&gt;&lt;author&gt;Nakamura, Harumi&lt;/author&gt;&lt;author&gt;Honma, Keiichiro&lt;/author&gt;&lt;author&gt;Sato, Yoshiharu&lt;/author&gt;&lt;author&gt;Nakamura, Seiji&lt;/author&gt;&lt;author&gt;Kukita, Yoji&lt;/author&gt;&lt;author&gt;Nakatsuka, Shuichi&lt;/author&gt;&lt;author&gt;Higashiyama, Masahiko&lt;/author&gt;&lt;/authors&gt;&lt;/contributors&gt;&lt;titles&gt;&lt;title&gt;Analytical performance of a highly sensitive system to detect gene variants using next-generation sequencing for lung cancer companion diagnostics&lt;/title&gt;&lt;secondary-title&gt;NA&lt;/secondary-title&gt;&lt;/titles&gt;&lt;periodical&gt;&lt;full-title&gt;NA&lt;/full-title&gt;&lt;/periodical&gt;&lt;pages&gt;NA-NA&lt;/pages&gt;&lt;volume&gt;NA&lt;/volume&gt;&lt;number&gt;NA&lt;/number&gt;&lt;dates&gt;&lt;year&gt;2021&lt;/year&gt;&lt;/dates&gt;&lt;urls&gt;&lt;related-urls&gt;&lt;url&gt;https://www.medrxiv.org/content/medrxiv/early/2021/10/20/2021.10.13.21264976.full.pdf&lt;/url&gt;&lt;/related-urls&gt;&lt;/urls&gt;&lt;electronic-resource-num&gt;10.1101/2021.10.13.21264976&lt;/electronic-resource-num&gt;&lt;research-notes&gt; p -concordance EGFR, ALK, ROS1, MET&lt;/research-notes&gt;&lt;/record&gt;&lt;/Cite&gt;&lt;/EndNote&gt;</w:instrText>
            </w:r>
            <w:r>
              <w:fldChar w:fldCharType="separate"/>
            </w:r>
            <w:r>
              <w:rPr>
                <w:noProof/>
              </w:rPr>
              <w:t>(Kato et al. 2021)</w:t>
            </w:r>
            <w:r>
              <w:fldChar w:fldCharType="end"/>
            </w:r>
          </w:p>
        </w:tc>
        <w:tc>
          <w:tcPr>
            <w:tcW w:w="720" w:type="pct"/>
            <w:vAlign w:val="bottom"/>
          </w:tcPr>
          <w:p w14:paraId="04AA2849" w14:textId="77777777" w:rsidR="004B27A1" w:rsidRPr="00606456" w:rsidRDefault="004B27A1" w:rsidP="009631BD">
            <w:pPr>
              <w:pStyle w:val="TableText"/>
            </w:pPr>
            <w:r w:rsidRPr="00606456">
              <w:t>Compact NGS panel</w:t>
            </w:r>
          </w:p>
        </w:tc>
        <w:tc>
          <w:tcPr>
            <w:tcW w:w="733" w:type="pct"/>
            <w:vAlign w:val="bottom"/>
          </w:tcPr>
          <w:p w14:paraId="0ED832BE" w14:textId="77777777" w:rsidR="004B27A1" w:rsidRPr="00606456" w:rsidRDefault="004B27A1" w:rsidP="009631BD">
            <w:pPr>
              <w:pStyle w:val="TableText"/>
            </w:pPr>
            <w:r w:rsidRPr="00606456">
              <w:t>cobas EGFR mutation test v2</w:t>
            </w:r>
          </w:p>
        </w:tc>
        <w:tc>
          <w:tcPr>
            <w:tcW w:w="1527" w:type="pct"/>
          </w:tcPr>
          <w:p w14:paraId="171F5BAC" w14:textId="77777777" w:rsidR="004B27A1" w:rsidRPr="00606456" w:rsidRDefault="004B27A1" w:rsidP="009631BD">
            <w:pPr>
              <w:pStyle w:val="TableText"/>
            </w:pPr>
            <w:r w:rsidRPr="00606456">
              <w:t>7 “false positive” variants by NGS confirmed by digital PCR</w:t>
            </w:r>
          </w:p>
        </w:tc>
        <w:tc>
          <w:tcPr>
            <w:tcW w:w="964" w:type="pct"/>
          </w:tcPr>
          <w:p w14:paraId="290C9540" w14:textId="77777777" w:rsidR="004B27A1" w:rsidRPr="00606456" w:rsidRDefault="004B27A1" w:rsidP="009631BD">
            <w:pPr>
              <w:pStyle w:val="TableText"/>
            </w:pPr>
          </w:p>
        </w:tc>
      </w:tr>
      <w:tr w:rsidR="004B27A1" w:rsidRPr="00796D44" w14:paraId="58D209A5" w14:textId="77777777" w:rsidTr="009631BD">
        <w:trPr>
          <w:trHeight w:val="818"/>
        </w:trPr>
        <w:tc>
          <w:tcPr>
            <w:tcW w:w="373" w:type="pct"/>
            <w:vMerge/>
          </w:tcPr>
          <w:p w14:paraId="746F8A17" w14:textId="77777777" w:rsidR="004B27A1" w:rsidRPr="006F53B4" w:rsidRDefault="004B27A1" w:rsidP="009631BD">
            <w:pPr>
              <w:pStyle w:val="Tabletext0"/>
              <w:rPr>
                <w:i/>
              </w:rPr>
            </w:pPr>
          </w:p>
        </w:tc>
        <w:tc>
          <w:tcPr>
            <w:tcW w:w="683" w:type="pct"/>
          </w:tcPr>
          <w:p w14:paraId="761179A8" w14:textId="100FD59A" w:rsidR="004B27A1" w:rsidRPr="00606456" w:rsidRDefault="00B4668F" w:rsidP="00B4668F">
            <w:pPr>
              <w:pStyle w:val="TableText"/>
            </w:pPr>
            <w:r>
              <w:fldChar w:fldCharType="begin"/>
            </w:r>
            <w:r>
              <w:instrText xml:space="preserve"> ADDIN EN.CITE &lt;EndNote&gt;&lt;Cite&gt;&lt;Author&gt;Legras&lt;/Author&gt;&lt;Year&gt;2018&lt;/Year&gt;&lt;RecNum&gt;168&lt;/RecNum&gt;&lt;IDText&gt;550-564&lt;/IDText&gt;&lt;DisplayText&gt;(Legras et al. 2018)&lt;/DisplayText&gt;&lt;record&gt;&lt;rec-number&gt;168&lt;/rec-number&gt;&lt;foreign-keys&gt;&lt;key app="EN" db-id="0tprsse9cpp5r3ea5dz5p0xw2pfwvwxpa5a5" timestamp="1655264278"&gt;168&lt;/key&gt;&lt;/foreign-keys&gt;&lt;ref-type name="Journal Article"&gt;17&lt;/ref-type&gt;&lt;contributors&gt;&lt;authors&gt;&lt;author&gt;Legras, Antoine&lt;/author&gt;&lt;author&gt;Barritault, Marc&lt;/author&gt;&lt;author&gt;Tallet, Anne&lt;/author&gt;&lt;author&gt;Fabre, Elizabeth&lt;/author&gt;&lt;author&gt;Guyard, Alice&lt;/author&gt;&lt;author&gt;Rance, Bastien&lt;/author&gt;&lt;author&gt;Digan, William&lt;/author&gt;&lt;author&gt;Pécuchet, Nicolas&lt;/author&gt;&lt;author&gt;Giroux-Leprieur, Etienne&lt;/author&gt;&lt;author&gt;Julié, Catherine&lt;/author&gt;&lt;author&gt;Jouveshomme, Stéphane&lt;/author&gt;&lt;author&gt;Duchatelle, Véronique&lt;/author&gt;&lt;author&gt;Giraudet, Véronique&lt;/author&gt;&lt;author&gt;Gibault, Laure&lt;/author&gt;&lt;author&gt;Cazier, Alain&lt;/author&gt;&lt;author&gt;Pastre, Jean&lt;/author&gt;&lt;author&gt;Le Pimpec-Barthes, Françoise&lt;/author&gt;&lt;author&gt;Laurent-Puig, Pierre&lt;/author&gt;&lt;author&gt;Blons, Hélène&lt;/author&gt;&lt;/authors&gt;&lt;/contributors&gt;&lt;titles&gt;&lt;title&gt;Validity of Targeted Next-Generation Sequencing in Routine Care for Identifying Clinically Relevant Molecular Profiles in Non–Small-Cell Lung Cancer: Results of a 2-Year Experience on 1343 Samples&lt;/title&gt;&lt;secondary-title&gt;The Journal of molecular diagnostics : JMD&lt;/secondary-title&gt;&lt;/titles&gt;&lt;periodical&gt;&lt;full-title&gt;J Mol Diagn&lt;/full-title&gt;&lt;abbr-1&gt;The Journal of molecular diagnostics : JMD&lt;/abbr-1&gt;&lt;/periodical&gt;&lt;pages&gt;550-564&lt;/pages&gt;&lt;volume&gt;20&lt;/volume&gt;&lt;number&gt;4&lt;/number&gt;&lt;dates&gt;&lt;year&gt;2018&lt;/year&gt;&lt;/dates&gt;&lt;urls&gt;&lt;related-urls&gt;&lt;url&gt;https://www.sciencedirect.com/science/article/pii/S1525157817305214?via%3Dihub&lt;/url&gt;&lt;/related-urls&gt;&lt;/urls&gt;&lt;electronic-resource-num&gt;10.1016/j.jmoldx.2018.04.002&lt;/electronic-resource-num&gt;&lt;research-notes&gt;P - concordance egfr&lt;/research-notes&gt;&lt;/record&gt;&lt;/Cite&gt;&lt;/EndNote&gt;</w:instrText>
            </w:r>
            <w:r>
              <w:fldChar w:fldCharType="separate"/>
            </w:r>
            <w:r>
              <w:rPr>
                <w:noProof/>
              </w:rPr>
              <w:t>(Legras et al. 2018)</w:t>
            </w:r>
            <w:r>
              <w:fldChar w:fldCharType="end"/>
            </w:r>
          </w:p>
        </w:tc>
        <w:tc>
          <w:tcPr>
            <w:tcW w:w="720" w:type="pct"/>
            <w:vAlign w:val="bottom"/>
          </w:tcPr>
          <w:p w14:paraId="1775120D" w14:textId="77777777" w:rsidR="004B27A1" w:rsidRPr="00606456" w:rsidRDefault="004B27A1" w:rsidP="009631BD">
            <w:pPr>
              <w:pStyle w:val="TableText"/>
            </w:pPr>
            <w:r w:rsidRPr="00606456">
              <w:t>NGS</w:t>
            </w:r>
          </w:p>
        </w:tc>
        <w:tc>
          <w:tcPr>
            <w:tcW w:w="733" w:type="pct"/>
            <w:vAlign w:val="bottom"/>
          </w:tcPr>
          <w:p w14:paraId="0142457B" w14:textId="77777777" w:rsidR="004B27A1" w:rsidRPr="00606456" w:rsidRDefault="004B27A1" w:rsidP="009631BD">
            <w:pPr>
              <w:pStyle w:val="TableText"/>
            </w:pPr>
            <w:r w:rsidRPr="00606456">
              <w:t>TaqMan real-time qPCR</w:t>
            </w:r>
          </w:p>
        </w:tc>
        <w:tc>
          <w:tcPr>
            <w:tcW w:w="1527" w:type="pct"/>
          </w:tcPr>
          <w:p w14:paraId="66704178" w14:textId="77777777" w:rsidR="004B27A1" w:rsidRPr="00606456" w:rsidRDefault="004B27A1" w:rsidP="009631BD">
            <w:pPr>
              <w:pStyle w:val="TableText"/>
            </w:pPr>
            <w:r w:rsidRPr="00606456">
              <w:t xml:space="preserve">40 rare variants not included in TaqMan real-time PCR </w:t>
            </w:r>
          </w:p>
        </w:tc>
        <w:tc>
          <w:tcPr>
            <w:tcW w:w="964" w:type="pct"/>
          </w:tcPr>
          <w:p w14:paraId="7B8C84DD" w14:textId="77777777" w:rsidR="004B27A1" w:rsidRPr="00606456" w:rsidRDefault="004B27A1" w:rsidP="009631BD">
            <w:pPr>
              <w:pStyle w:val="TableText"/>
            </w:pPr>
          </w:p>
        </w:tc>
      </w:tr>
      <w:tr w:rsidR="004B27A1" w:rsidRPr="00796D44" w14:paraId="2A749DD2" w14:textId="77777777" w:rsidTr="009631BD">
        <w:trPr>
          <w:trHeight w:val="818"/>
        </w:trPr>
        <w:tc>
          <w:tcPr>
            <w:tcW w:w="373" w:type="pct"/>
            <w:vMerge/>
          </w:tcPr>
          <w:p w14:paraId="0CC8E66C" w14:textId="77777777" w:rsidR="004B27A1" w:rsidRPr="006F53B4" w:rsidRDefault="004B27A1" w:rsidP="009631BD">
            <w:pPr>
              <w:pStyle w:val="Tabletext0"/>
              <w:rPr>
                <w:i/>
              </w:rPr>
            </w:pPr>
          </w:p>
        </w:tc>
        <w:tc>
          <w:tcPr>
            <w:tcW w:w="683" w:type="pct"/>
          </w:tcPr>
          <w:p w14:paraId="123C6ACB" w14:textId="3EE2FDC7" w:rsidR="004B27A1" w:rsidRPr="00606456" w:rsidRDefault="00B4668F" w:rsidP="009631BD">
            <w:pPr>
              <w:pStyle w:val="TableText"/>
            </w:pP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 </w:instrText>
            </w: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EN.CITE.DATA </w:instrText>
            </w:r>
            <w:r>
              <w:fldChar w:fldCharType="end"/>
            </w:r>
            <w:r>
              <w:fldChar w:fldCharType="separate"/>
            </w:r>
            <w:r>
              <w:rPr>
                <w:noProof/>
              </w:rPr>
              <w:t>(Mehta et al. 2020)</w:t>
            </w:r>
            <w:r>
              <w:fldChar w:fldCharType="end"/>
            </w:r>
          </w:p>
          <w:p w14:paraId="32D9B202" w14:textId="77777777" w:rsidR="004B27A1" w:rsidRPr="00606456" w:rsidRDefault="004B27A1" w:rsidP="009631BD">
            <w:pPr>
              <w:pStyle w:val="TableText"/>
            </w:pPr>
          </w:p>
        </w:tc>
        <w:tc>
          <w:tcPr>
            <w:tcW w:w="720" w:type="pct"/>
            <w:vAlign w:val="bottom"/>
          </w:tcPr>
          <w:p w14:paraId="648EBC68" w14:textId="77777777" w:rsidR="004B27A1" w:rsidRPr="00606456" w:rsidRDefault="004B27A1" w:rsidP="009631BD">
            <w:pPr>
              <w:pStyle w:val="TableText"/>
            </w:pPr>
            <w:r w:rsidRPr="00606456">
              <w:t>Ion Ampliseq Cancer Hotspot Panel V2</w:t>
            </w:r>
          </w:p>
        </w:tc>
        <w:tc>
          <w:tcPr>
            <w:tcW w:w="733" w:type="pct"/>
            <w:vAlign w:val="bottom"/>
          </w:tcPr>
          <w:p w14:paraId="52DEDF23" w14:textId="77777777" w:rsidR="004B27A1" w:rsidRPr="00606456" w:rsidRDefault="004B27A1" w:rsidP="009631BD">
            <w:pPr>
              <w:pStyle w:val="TableText"/>
            </w:pPr>
            <w:r w:rsidRPr="00606456">
              <w:t xml:space="preserve">Qiagen EGFR Therascreen PCR </w:t>
            </w:r>
          </w:p>
        </w:tc>
        <w:tc>
          <w:tcPr>
            <w:tcW w:w="1527" w:type="pct"/>
          </w:tcPr>
          <w:p w14:paraId="4B231722" w14:textId="77777777" w:rsidR="004B27A1" w:rsidRPr="00606456" w:rsidRDefault="004B27A1" w:rsidP="009631BD">
            <w:pPr>
              <w:pStyle w:val="TableText"/>
            </w:pPr>
          </w:p>
        </w:tc>
        <w:tc>
          <w:tcPr>
            <w:tcW w:w="964" w:type="pct"/>
          </w:tcPr>
          <w:p w14:paraId="1C3B4FE4" w14:textId="77777777" w:rsidR="004B27A1" w:rsidRPr="00606456" w:rsidRDefault="004B27A1" w:rsidP="009631BD">
            <w:pPr>
              <w:pStyle w:val="TableText"/>
            </w:pPr>
          </w:p>
        </w:tc>
      </w:tr>
      <w:tr w:rsidR="004B27A1" w:rsidRPr="00796D44" w14:paraId="6A90F8F6" w14:textId="77777777" w:rsidTr="009631BD">
        <w:trPr>
          <w:trHeight w:val="818"/>
        </w:trPr>
        <w:tc>
          <w:tcPr>
            <w:tcW w:w="373" w:type="pct"/>
            <w:vMerge/>
          </w:tcPr>
          <w:p w14:paraId="56D73969" w14:textId="77777777" w:rsidR="004B27A1" w:rsidRPr="006F53B4" w:rsidRDefault="004B27A1" w:rsidP="009631BD">
            <w:pPr>
              <w:pStyle w:val="Tabletext0"/>
              <w:rPr>
                <w:i/>
              </w:rPr>
            </w:pPr>
          </w:p>
        </w:tc>
        <w:tc>
          <w:tcPr>
            <w:tcW w:w="683" w:type="pct"/>
            <w:vAlign w:val="bottom"/>
          </w:tcPr>
          <w:p w14:paraId="19C24CDC" w14:textId="73684E1B" w:rsidR="004B27A1" w:rsidRPr="00606456" w:rsidRDefault="00B4668F" w:rsidP="00B4668F">
            <w:pPr>
              <w:pStyle w:val="TableText"/>
            </w:pP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 </w:instrText>
            </w: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EN.CITE.DATA </w:instrText>
            </w:r>
            <w:r>
              <w:fldChar w:fldCharType="end"/>
            </w:r>
            <w:r>
              <w:fldChar w:fldCharType="separate"/>
            </w:r>
            <w:r>
              <w:rPr>
                <w:noProof/>
              </w:rPr>
              <w:t>(Park &amp; Shim 2020)</w:t>
            </w:r>
            <w:r>
              <w:fldChar w:fldCharType="end"/>
            </w:r>
          </w:p>
        </w:tc>
        <w:tc>
          <w:tcPr>
            <w:tcW w:w="720" w:type="pct"/>
            <w:vAlign w:val="bottom"/>
          </w:tcPr>
          <w:p w14:paraId="4E0B53FC" w14:textId="77777777" w:rsidR="004B27A1" w:rsidRPr="00606456" w:rsidRDefault="004B27A1" w:rsidP="009631BD">
            <w:pPr>
              <w:pStyle w:val="TableText"/>
            </w:pPr>
            <w:r w:rsidRPr="00606456">
              <w:t>TruSight Tumour 170 (DNA and RNA sequencing)</w:t>
            </w:r>
          </w:p>
        </w:tc>
        <w:tc>
          <w:tcPr>
            <w:tcW w:w="733" w:type="pct"/>
            <w:vAlign w:val="bottom"/>
          </w:tcPr>
          <w:p w14:paraId="23A1D000" w14:textId="77777777" w:rsidR="004B27A1" w:rsidRPr="00606456" w:rsidRDefault="004B27A1" w:rsidP="009631BD">
            <w:pPr>
              <w:pStyle w:val="TableText"/>
            </w:pPr>
            <w:r w:rsidRPr="00606456">
              <w:t>PCR</w:t>
            </w:r>
          </w:p>
        </w:tc>
        <w:tc>
          <w:tcPr>
            <w:tcW w:w="1527" w:type="pct"/>
          </w:tcPr>
          <w:p w14:paraId="11B56798" w14:textId="77777777" w:rsidR="004B27A1" w:rsidRPr="00606456" w:rsidRDefault="004B27A1" w:rsidP="009631BD">
            <w:pPr>
              <w:pStyle w:val="TableText"/>
            </w:pPr>
            <w:r w:rsidRPr="00606456">
              <w:t>8 hotspot variants missed by PCR, as well as 8 rare variants not able to be detected by PCR</w:t>
            </w:r>
          </w:p>
        </w:tc>
        <w:tc>
          <w:tcPr>
            <w:tcW w:w="964" w:type="pct"/>
          </w:tcPr>
          <w:p w14:paraId="7753F2A7" w14:textId="77777777" w:rsidR="004B27A1" w:rsidRPr="00606456" w:rsidRDefault="004B27A1" w:rsidP="009631BD">
            <w:pPr>
              <w:pStyle w:val="TableText"/>
            </w:pPr>
          </w:p>
        </w:tc>
      </w:tr>
      <w:tr w:rsidR="004B27A1" w:rsidRPr="00796D44" w14:paraId="1E5A748D" w14:textId="77777777" w:rsidTr="009631BD">
        <w:trPr>
          <w:trHeight w:val="818"/>
        </w:trPr>
        <w:tc>
          <w:tcPr>
            <w:tcW w:w="373" w:type="pct"/>
            <w:vMerge/>
          </w:tcPr>
          <w:p w14:paraId="56ABDECA" w14:textId="77777777" w:rsidR="004B27A1" w:rsidRPr="006F53B4" w:rsidRDefault="004B27A1" w:rsidP="009631BD">
            <w:pPr>
              <w:pStyle w:val="Tabletext0"/>
              <w:rPr>
                <w:i/>
              </w:rPr>
            </w:pPr>
          </w:p>
        </w:tc>
        <w:tc>
          <w:tcPr>
            <w:tcW w:w="683" w:type="pct"/>
            <w:vAlign w:val="bottom"/>
          </w:tcPr>
          <w:p w14:paraId="1A8EDB07" w14:textId="0069676F" w:rsidR="004B27A1" w:rsidRPr="00606456" w:rsidRDefault="00B4668F" w:rsidP="00B4668F">
            <w:pPr>
              <w:pStyle w:val="TableText"/>
            </w:pP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 </w:instrText>
            </w:r>
            <w:r>
              <w:fldChar w:fldCharType="begin">
                <w:fldData xml:space="preserve">PEVuZE5vdGU+PENpdGU+PEF1dGhvcj5TYWthZ3VjaGk8L0F1dGhvcj48WWVhcj4yMDIxPC9ZZWFy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</w:fldData>
              </w:fldChar>
            </w:r>
            <w:r>
              <w:instrText xml:space="preserve"> ADDIN EN.CITE.DATA </w:instrText>
            </w:r>
            <w:r>
              <w:fldChar w:fldCharType="end"/>
            </w:r>
            <w:r>
              <w:fldChar w:fldCharType="separate"/>
            </w:r>
            <w:r>
              <w:rPr>
                <w:noProof/>
              </w:rPr>
              <w:t>(Sakaguchi et al. 2021)</w:t>
            </w:r>
            <w:r>
              <w:fldChar w:fldCharType="end"/>
            </w:r>
          </w:p>
        </w:tc>
        <w:tc>
          <w:tcPr>
            <w:tcW w:w="720" w:type="pct"/>
            <w:vAlign w:val="bottom"/>
          </w:tcPr>
          <w:p w14:paraId="757567BE" w14:textId="77777777" w:rsidR="004B27A1" w:rsidRPr="00606456" w:rsidRDefault="004B27A1" w:rsidP="009631BD">
            <w:pPr>
              <w:pStyle w:val="TableText"/>
            </w:pPr>
            <w:r w:rsidRPr="00606456">
              <w:t>Oncomine Dx Target Test</w:t>
            </w:r>
          </w:p>
        </w:tc>
        <w:tc>
          <w:tcPr>
            <w:tcW w:w="733" w:type="pct"/>
            <w:vAlign w:val="bottom"/>
          </w:tcPr>
          <w:p w14:paraId="3419D9D0" w14:textId="77777777" w:rsidR="004B27A1" w:rsidRPr="00606456" w:rsidRDefault="004B27A1" w:rsidP="009631BD">
            <w:pPr>
              <w:pStyle w:val="TableText"/>
            </w:pPr>
            <w:r w:rsidRPr="00606456">
              <w:t>PNA-LNA PCR clamp</w:t>
            </w:r>
          </w:p>
        </w:tc>
        <w:tc>
          <w:tcPr>
            <w:tcW w:w="1527" w:type="pct"/>
          </w:tcPr>
          <w:p w14:paraId="5EC5C8B8" w14:textId="77777777" w:rsidR="004B27A1" w:rsidRPr="00606456" w:rsidRDefault="004B27A1" w:rsidP="009631BD">
            <w:pPr>
              <w:pStyle w:val="TableText"/>
            </w:pPr>
          </w:p>
        </w:tc>
        <w:tc>
          <w:tcPr>
            <w:tcW w:w="964" w:type="pct"/>
          </w:tcPr>
          <w:p w14:paraId="64B2119C" w14:textId="77777777" w:rsidR="004B27A1" w:rsidRPr="00606456" w:rsidRDefault="004B27A1" w:rsidP="009631BD">
            <w:pPr>
              <w:pStyle w:val="TableText"/>
            </w:pPr>
            <w:r w:rsidRPr="00606456">
              <w:t>PNA-LNA PCR clamp able to detect a lower concentration than NGS</w:t>
            </w:r>
          </w:p>
        </w:tc>
      </w:tr>
      <w:tr w:rsidR="004B27A1" w:rsidRPr="00796D44" w14:paraId="7E73A0C5" w14:textId="77777777" w:rsidTr="009631BD">
        <w:trPr>
          <w:trHeight w:val="818"/>
        </w:trPr>
        <w:tc>
          <w:tcPr>
            <w:tcW w:w="373" w:type="pct"/>
            <w:vMerge/>
          </w:tcPr>
          <w:p w14:paraId="0F3607C3" w14:textId="77777777" w:rsidR="004B27A1" w:rsidRPr="006F53B4" w:rsidRDefault="004B27A1" w:rsidP="009631BD">
            <w:pPr>
              <w:pStyle w:val="Tabletext0"/>
              <w:rPr>
                <w:i/>
              </w:rPr>
            </w:pPr>
          </w:p>
        </w:tc>
        <w:tc>
          <w:tcPr>
            <w:tcW w:w="683" w:type="pct"/>
            <w:vAlign w:val="bottom"/>
          </w:tcPr>
          <w:p w14:paraId="26D482B5" w14:textId="61095DDA" w:rsidR="004B27A1" w:rsidRPr="00606456" w:rsidRDefault="00B4668F" w:rsidP="00B4668F">
            <w:pPr>
              <w:pStyle w:val="TableText"/>
            </w:pPr>
            <w:r>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instrText xml:space="preserve"> ADDIN EN.CITE </w:instrText>
            </w:r>
            <w:r>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instrText xml:space="preserve"> ADDIN EN.CITE.DATA </w:instrText>
            </w:r>
            <w:r>
              <w:fldChar w:fldCharType="end"/>
            </w:r>
            <w:r>
              <w:fldChar w:fldCharType="separate"/>
            </w:r>
            <w:r>
              <w:rPr>
                <w:noProof/>
              </w:rPr>
              <w:t>(Simarro et al. 2019)</w:t>
            </w:r>
            <w:r>
              <w:fldChar w:fldCharType="end"/>
            </w:r>
          </w:p>
        </w:tc>
        <w:tc>
          <w:tcPr>
            <w:tcW w:w="720" w:type="pct"/>
            <w:vAlign w:val="bottom"/>
          </w:tcPr>
          <w:p w14:paraId="41A71C71" w14:textId="77777777" w:rsidR="004B27A1" w:rsidRPr="00606456" w:rsidRDefault="004B27A1" w:rsidP="009631BD">
            <w:pPr>
              <w:pStyle w:val="TableText"/>
            </w:pPr>
            <w:r w:rsidRPr="00606456">
              <w:t>DNA NGS</w:t>
            </w:r>
          </w:p>
        </w:tc>
        <w:tc>
          <w:tcPr>
            <w:tcW w:w="733" w:type="pct"/>
            <w:vAlign w:val="bottom"/>
          </w:tcPr>
          <w:p w14:paraId="42FAE7DA" w14:textId="77777777" w:rsidR="004B27A1" w:rsidRPr="00606456" w:rsidRDefault="004B27A1" w:rsidP="009631BD">
            <w:pPr>
              <w:pStyle w:val="TableText"/>
            </w:pPr>
            <w:r w:rsidRPr="00606456">
              <w:t>RT-PCR</w:t>
            </w:r>
          </w:p>
        </w:tc>
        <w:tc>
          <w:tcPr>
            <w:tcW w:w="1527" w:type="pct"/>
          </w:tcPr>
          <w:p w14:paraId="2E9D7701" w14:textId="77777777" w:rsidR="004B27A1" w:rsidRPr="00606456" w:rsidRDefault="004B27A1" w:rsidP="009631BD">
            <w:pPr>
              <w:pStyle w:val="TableText"/>
            </w:pPr>
          </w:p>
        </w:tc>
        <w:tc>
          <w:tcPr>
            <w:tcW w:w="964" w:type="pct"/>
          </w:tcPr>
          <w:p w14:paraId="69EB2EE9" w14:textId="77777777" w:rsidR="004B27A1" w:rsidRPr="00606456" w:rsidRDefault="004B27A1" w:rsidP="009631BD">
            <w:pPr>
              <w:pStyle w:val="TableText"/>
            </w:pPr>
            <w:r w:rsidRPr="00606456">
              <w:t>One T790M variant not detected by NGS</w:t>
            </w:r>
          </w:p>
        </w:tc>
      </w:tr>
      <w:tr w:rsidR="004B27A1" w:rsidRPr="00796D44" w14:paraId="12E5EC45" w14:textId="77777777" w:rsidTr="009631BD">
        <w:trPr>
          <w:trHeight w:val="818"/>
        </w:trPr>
        <w:tc>
          <w:tcPr>
            <w:tcW w:w="373" w:type="pct"/>
            <w:vMerge/>
          </w:tcPr>
          <w:p w14:paraId="34EB96A2" w14:textId="77777777" w:rsidR="004B27A1" w:rsidRPr="00606456" w:rsidRDefault="004B27A1" w:rsidP="009631BD">
            <w:pPr>
              <w:pStyle w:val="Tabletext0"/>
            </w:pPr>
          </w:p>
        </w:tc>
        <w:tc>
          <w:tcPr>
            <w:tcW w:w="683" w:type="pct"/>
            <w:vAlign w:val="bottom"/>
          </w:tcPr>
          <w:p w14:paraId="4CFEA270" w14:textId="58FD9138" w:rsidR="004B27A1" w:rsidRPr="00606456" w:rsidRDefault="00B4668F" w:rsidP="00B4668F">
            <w:pPr>
              <w:pStyle w:val="TableText"/>
            </w:pP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 </w:instrText>
            </w: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EN.CITE.DATA </w:instrText>
            </w:r>
            <w:r>
              <w:fldChar w:fldCharType="end"/>
            </w:r>
            <w:r>
              <w:fldChar w:fldCharType="separate"/>
            </w:r>
            <w:r>
              <w:rPr>
                <w:noProof/>
              </w:rPr>
              <w:t>(Xie et al. 2019)</w:t>
            </w:r>
            <w:r>
              <w:fldChar w:fldCharType="end"/>
            </w:r>
          </w:p>
        </w:tc>
        <w:tc>
          <w:tcPr>
            <w:tcW w:w="720" w:type="pct"/>
            <w:vAlign w:val="bottom"/>
          </w:tcPr>
          <w:p w14:paraId="5FAA7781" w14:textId="77777777" w:rsidR="004B27A1" w:rsidRPr="00606456" w:rsidRDefault="004B27A1" w:rsidP="009631BD">
            <w:pPr>
              <w:pStyle w:val="TableText"/>
            </w:pPr>
            <w:r w:rsidRPr="00606456">
              <w:t>NGS (Lung core 56 gene panel)</w:t>
            </w:r>
          </w:p>
        </w:tc>
        <w:tc>
          <w:tcPr>
            <w:tcW w:w="733" w:type="pct"/>
            <w:vAlign w:val="bottom"/>
          </w:tcPr>
          <w:p w14:paraId="29B78162" w14:textId="77777777" w:rsidR="004B27A1" w:rsidRPr="00606456" w:rsidRDefault="004B27A1" w:rsidP="009631BD">
            <w:pPr>
              <w:pStyle w:val="TableText"/>
            </w:pPr>
            <w:r w:rsidRPr="00606456">
              <w:t>ARMS-PCR with EGFR 21 Mutations Detection Kit</w:t>
            </w:r>
          </w:p>
        </w:tc>
        <w:tc>
          <w:tcPr>
            <w:tcW w:w="1527" w:type="pct"/>
          </w:tcPr>
          <w:p w14:paraId="7FEB4731" w14:textId="77777777" w:rsidR="004B27A1" w:rsidRPr="00606456" w:rsidRDefault="004B27A1" w:rsidP="009631BD">
            <w:pPr>
              <w:pStyle w:val="TableText"/>
            </w:pPr>
            <w:r w:rsidRPr="00606456">
              <w:t>NGS detected variants not covered by ARMS-PCR</w:t>
            </w:r>
          </w:p>
        </w:tc>
        <w:tc>
          <w:tcPr>
            <w:tcW w:w="964" w:type="pct"/>
          </w:tcPr>
          <w:p w14:paraId="001724A8" w14:textId="77777777" w:rsidR="004B27A1" w:rsidRPr="00606456" w:rsidRDefault="004B27A1" w:rsidP="009631BD">
            <w:pPr>
              <w:pStyle w:val="TableText"/>
            </w:pPr>
          </w:p>
        </w:tc>
      </w:tr>
      <w:tr w:rsidR="004B27A1" w:rsidRPr="00796D44" w14:paraId="7A517642" w14:textId="77777777" w:rsidTr="009631BD">
        <w:trPr>
          <w:trHeight w:val="818"/>
        </w:trPr>
        <w:tc>
          <w:tcPr>
            <w:tcW w:w="373" w:type="pct"/>
            <w:vMerge w:val="restart"/>
          </w:tcPr>
          <w:p w14:paraId="19A5BF21" w14:textId="77777777" w:rsidR="004B27A1" w:rsidRPr="00FC3D13" w:rsidRDefault="004B27A1" w:rsidP="009631BD">
            <w:pPr>
              <w:pStyle w:val="Tabletext0"/>
              <w:rPr>
                <w:i/>
              </w:rPr>
            </w:pPr>
            <w:r w:rsidRPr="00FC3D13">
              <w:rPr>
                <w:i/>
              </w:rPr>
              <w:t>ALK</w:t>
            </w:r>
          </w:p>
        </w:tc>
        <w:tc>
          <w:tcPr>
            <w:tcW w:w="683" w:type="pct"/>
            <w:vAlign w:val="bottom"/>
          </w:tcPr>
          <w:p w14:paraId="06A20EA1" w14:textId="71E79623" w:rsidR="004B27A1" w:rsidRPr="00606456" w:rsidRDefault="00B4668F" w:rsidP="00B4668F">
            <w:pPr>
              <w:pStyle w:val="TableText"/>
            </w:pP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 </w:instrText>
            </w: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EN.CITE.DATA </w:instrText>
            </w:r>
            <w:r>
              <w:fldChar w:fldCharType="end"/>
            </w:r>
            <w:r>
              <w:fldChar w:fldCharType="separate"/>
            </w:r>
            <w:r>
              <w:rPr>
                <w:noProof/>
              </w:rPr>
              <w:t>(Park &amp; Shim 2020)</w:t>
            </w:r>
            <w:r>
              <w:fldChar w:fldCharType="end"/>
            </w:r>
          </w:p>
        </w:tc>
        <w:tc>
          <w:tcPr>
            <w:tcW w:w="720" w:type="pct"/>
            <w:vAlign w:val="bottom"/>
          </w:tcPr>
          <w:p w14:paraId="1217FC45" w14:textId="77777777" w:rsidR="004B27A1" w:rsidRPr="00606456" w:rsidRDefault="004B27A1" w:rsidP="009631BD">
            <w:pPr>
              <w:pStyle w:val="TableText"/>
            </w:pPr>
            <w:r w:rsidRPr="00606456">
              <w:t>TruSight Tumour 170 (DNA and RNA sequencing)</w:t>
            </w:r>
          </w:p>
        </w:tc>
        <w:tc>
          <w:tcPr>
            <w:tcW w:w="733" w:type="pct"/>
            <w:vAlign w:val="bottom"/>
          </w:tcPr>
          <w:p w14:paraId="3D3592D1" w14:textId="77777777" w:rsidR="004B27A1" w:rsidRPr="00606456" w:rsidRDefault="004B27A1" w:rsidP="009631BD">
            <w:pPr>
              <w:pStyle w:val="TableText"/>
            </w:pPr>
            <w:r w:rsidRPr="00606456">
              <w:t>FISH</w:t>
            </w:r>
          </w:p>
        </w:tc>
        <w:tc>
          <w:tcPr>
            <w:tcW w:w="1527" w:type="pct"/>
          </w:tcPr>
          <w:p w14:paraId="4B4E229A" w14:textId="77777777" w:rsidR="004B27A1" w:rsidRPr="00606456" w:rsidRDefault="004B27A1" w:rsidP="009631BD">
            <w:pPr>
              <w:pStyle w:val="TableText"/>
            </w:pPr>
            <w:r w:rsidRPr="00606456">
              <w:t>2 cases positive on IHC but not on FISH were positive on NGS</w:t>
            </w:r>
          </w:p>
        </w:tc>
        <w:tc>
          <w:tcPr>
            <w:tcW w:w="964" w:type="pct"/>
          </w:tcPr>
          <w:p w14:paraId="0F924AEF" w14:textId="77777777" w:rsidR="004B27A1" w:rsidRPr="00606456" w:rsidRDefault="004B27A1" w:rsidP="009631BD">
            <w:pPr>
              <w:pStyle w:val="TableText"/>
            </w:pPr>
          </w:p>
        </w:tc>
      </w:tr>
      <w:tr w:rsidR="004B27A1" w:rsidRPr="00796D44" w14:paraId="2766E224" w14:textId="77777777" w:rsidTr="009631BD">
        <w:trPr>
          <w:trHeight w:val="818"/>
        </w:trPr>
        <w:tc>
          <w:tcPr>
            <w:tcW w:w="373" w:type="pct"/>
            <w:vMerge/>
          </w:tcPr>
          <w:p w14:paraId="2232AE1A" w14:textId="77777777" w:rsidR="004B27A1" w:rsidRPr="00FC3D13" w:rsidRDefault="004B27A1" w:rsidP="009631BD">
            <w:pPr>
              <w:pStyle w:val="Tabletext0"/>
              <w:rPr>
                <w:i/>
              </w:rPr>
            </w:pPr>
          </w:p>
        </w:tc>
        <w:tc>
          <w:tcPr>
            <w:tcW w:w="683" w:type="pct"/>
            <w:vAlign w:val="bottom"/>
          </w:tcPr>
          <w:p w14:paraId="0D4DD31F" w14:textId="77777777" w:rsidR="004B27A1" w:rsidRPr="00606456" w:rsidRDefault="004B27A1" w:rsidP="009631BD">
            <w:pPr>
              <w:pStyle w:val="TableText"/>
            </w:pPr>
            <w:r w:rsidRPr="00606456">
              <w:t>Kato, 2021</w:t>
            </w:r>
          </w:p>
        </w:tc>
        <w:tc>
          <w:tcPr>
            <w:tcW w:w="720" w:type="pct"/>
            <w:vAlign w:val="bottom"/>
          </w:tcPr>
          <w:p w14:paraId="7DA8FE29" w14:textId="77777777" w:rsidR="004B27A1" w:rsidRPr="00606456" w:rsidRDefault="004B27A1" w:rsidP="009631BD">
            <w:pPr>
              <w:pStyle w:val="TableText"/>
            </w:pPr>
            <w:r w:rsidRPr="00606456">
              <w:t>Compact NGS panel</w:t>
            </w:r>
          </w:p>
        </w:tc>
        <w:tc>
          <w:tcPr>
            <w:tcW w:w="733" w:type="pct"/>
            <w:vAlign w:val="bottom"/>
          </w:tcPr>
          <w:p w14:paraId="572B6A0C" w14:textId="77777777" w:rsidR="004B27A1" w:rsidRPr="00606456" w:rsidRDefault="004B27A1" w:rsidP="009631BD">
            <w:pPr>
              <w:pStyle w:val="TableText"/>
            </w:pPr>
            <w:r w:rsidRPr="00606456">
              <w:t>FISH</w:t>
            </w:r>
          </w:p>
        </w:tc>
        <w:tc>
          <w:tcPr>
            <w:tcW w:w="1527" w:type="pct"/>
          </w:tcPr>
          <w:p w14:paraId="379031A4" w14:textId="77777777" w:rsidR="004B27A1" w:rsidRPr="00606456" w:rsidRDefault="004B27A1" w:rsidP="009631BD">
            <w:pPr>
              <w:pStyle w:val="TableText"/>
            </w:pPr>
          </w:p>
        </w:tc>
        <w:tc>
          <w:tcPr>
            <w:tcW w:w="964" w:type="pct"/>
          </w:tcPr>
          <w:p w14:paraId="31CD2DE8" w14:textId="77777777" w:rsidR="004B27A1" w:rsidRPr="00606456" w:rsidRDefault="004B27A1" w:rsidP="009631BD">
            <w:pPr>
              <w:pStyle w:val="TableText"/>
            </w:pPr>
            <w:r w:rsidRPr="00606456">
              <w:t>1 rare type of fusion not covered on compact NGS panel</w:t>
            </w:r>
          </w:p>
        </w:tc>
      </w:tr>
      <w:tr w:rsidR="004B27A1" w:rsidRPr="00796D44" w14:paraId="48FFE17B" w14:textId="77777777" w:rsidTr="009631BD">
        <w:trPr>
          <w:trHeight w:val="818"/>
        </w:trPr>
        <w:tc>
          <w:tcPr>
            <w:tcW w:w="373" w:type="pct"/>
          </w:tcPr>
          <w:p w14:paraId="30FE5625" w14:textId="77777777" w:rsidR="004B27A1" w:rsidRPr="00FC3D13" w:rsidRDefault="004B27A1" w:rsidP="009631BD">
            <w:pPr>
              <w:pStyle w:val="Tabletext0"/>
              <w:rPr>
                <w:i/>
              </w:rPr>
            </w:pPr>
            <w:r w:rsidRPr="00FC3D13">
              <w:rPr>
                <w:i/>
              </w:rPr>
              <w:t>ROS1</w:t>
            </w:r>
          </w:p>
        </w:tc>
        <w:tc>
          <w:tcPr>
            <w:tcW w:w="683" w:type="pct"/>
            <w:vAlign w:val="bottom"/>
          </w:tcPr>
          <w:p w14:paraId="283BA5D4" w14:textId="1CD1CE19" w:rsidR="004B27A1" w:rsidRPr="00606456" w:rsidRDefault="00B4668F" w:rsidP="00B4668F">
            <w:pPr>
              <w:pStyle w:val="TableText"/>
            </w:pP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 </w:instrText>
            </w:r>
            <w:r>
              <w:fldChar w:fldCharType="begin">
                <w:fldData xml:space="preserve">PEVuZE5vdGU+PENpdGU+PEF1dGhvcj5QYXJrPC9BdXRob3I+PFllYXI+MjAyMDwvWWVhcj48UmVj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</w:fldData>
              </w:fldChar>
            </w:r>
            <w:r>
              <w:instrText xml:space="preserve"> ADDIN EN.CITE.DATA </w:instrText>
            </w:r>
            <w:r>
              <w:fldChar w:fldCharType="end"/>
            </w:r>
            <w:r>
              <w:fldChar w:fldCharType="separate"/>
            </w:r>
            <w:r>
              <w:rPr>
                <w:noProof/>
              </w:rPr>
              <w:t>(Park &amp; Shim 2020)</w:t>
            </w:r>
            <w:r>
              <w:fldChar w:fldCharType="end"/>
            </w:r>
          </w:p>
        </w:tc>
        <w:tc>
          <w:tcPr>
            <w:tcW w:w="720" w:type="pct"/>
            <w:vAlign w:val="bottom"/>
          </w:tcPr>
          <w:p w14:paraId="13558E6F" w14:textId="77777777" w:rsidR="004B27A1" w:rsidRPr="00606456" w:rsidRDefault="004B27A1" w:rsidP="009631BD">
            <w:pPr>
              <w:pStyle w:val="TableText"/>
            </w:pPr>
            <w:r w:rsidRPr="00606456">
              <w:t>TruSight Tumour 170 (DNA and RNA sequencing)</w:t>
            </w:r>
          </w:p>
        </w:tc>
        <w:tc>
          <w:tcPr>
            <w:tcW w:w="733" w:type="pct"/>
            <w:vAlign w:val="bottom"/>
          </w:tcPr>
          <w:p w14:paraId="5445F8B0" w14:textId="77777777" w:rsidR="004B27A1" w:rsidRPr="00606456" w:rsidRDefault="004B27A1" w:rsidP="009631BD">
            <w:pPr>
              <w:pStyle w:val="TableText"/>
            </w:pPr>
            <w:r w:rsidRPr="00606456">
              <w:t>FISH</w:t>
            </w:r>
          </w:p>
        </w:tc>
        <w:tc>
          <w:tcPr>
            <w:tcW w:w="1527" w:type="pct"/>
          </w:tcPr>
          <w:p w14:paraId="1B6252E7" w14:textId="77777777" w:rsidR="004B27A1" w:rsidRPr="00606456" w:rsidRDefault="004B27A1" w:rsidP="009631BD">
            <w:pPr>
              <w:pStyle w:val="TableText"/>
            </w:pPr>
          </w:p>
        </w:tc>
        <w:tc>
          <w:tcPr>
            <w:tcW w:w="964" w:type="pct"/>
          </w:tcPr>
          <w:p w14:paraId="26132F07" w14:textId="77777777" w:rsidR="004B27A1" w:rsidRPr="00606456" w:rsidRDefault="004B27A1" w:rsidP="009631BD">
            <w:pPr>
              <w:pStyle w:val="TableText"/>
            </w:pPr>
            <w:r w:rsidRPr="00606456">
              <w:t xml:space="preserve">ROS1 IHC returned diffuse moderate protein expression, whereas NGS identified non-functional ROS1 fusion </w:t>
            </w:r>
          </w:p>
        </w:tc>
      </w:tr>
    </w:tbl>
    <w:p w14:paraId="1B79FF88" w14:textId="3CC975E2" w:rsidR="004B27A1" w:rsidRDefault="004B27A1" w:rsidP="005B1B91">
      <w:pPr>
        <w:pStyle w:val="TableFooter"/>
      </w:pPr>
      <w:r>
        <w:t xml:space="preserve">ARMS-PCR = </w:t>
      </w:r>
      <w:r w:rsidR="007D0D08">
        <w:t>amplification-refractory mutation system polymerase chain reaction</w:t>
      </w:r>
      <w:r>
        <w:t xml:space="preserve">; DNA = </w:t>
      </w:r>
      <w:r w:rsidR="007D0D08" w:rsidRPr="002412BE">
        <w:t>deoxyribonucleic acid</w:t>
      </w:r>
      <w:r w:rsidR="007D0D08">
        <w:t xml:space="preserve">; </w:t>
      </w:r>
      <w:r>
        <w:t xml:space="preserve">IHC = </w:t>
      </w:r>
      <w:r w:rsidR="007D0D08" w:rsidRPr="007D0D08">
        <w:t xml:space="preserve"> </w:t>
      </w:r>
      <w:r w:rsidR="007D0D08">
        <w:t>immunohistochemistry;</w:t>
      </w:r>
      <w:r>
        <w:t xml:space="preserve"> FISH = </w:t>
      </w:r>
      <w:r w:rsidR="007D0D08" w:rsidRPr="00364DA4">
        <w:t xml:space="preserve">fluorescence </w:t>
      </w:r>
      <w:r w:rsidR="007D0D08" w:rsidRPr="00121580">
        <w:rPr>
          <w:i/>
          <w:iCs/>
        </w:rPr>
        <w:t>in situ</w:t>
      </w:r>
      <w:r w:rsidR="007D0D08" w:rsidRPr="00364DA4">
        <w:t xml:space="preserve"> hybridi</w:t>
      </w:r>
      <w:r w:rsidR="007D0D08">
        <w:t>s</w:t>
      </w:r>
      <w:r w:rsidR="007D0D08" w:rsidRPr="00364DA4">
        <w:t>ation</w:t>
      </w:r>
      <w:r>
        <w:t xml:space="preserve">; NGS = next generation sequencing; PCR = </w:t>
      </w:r>
      <w:r w:rsidR="007D0D08">
        <w:t xml:space="preserve">polymerase chain reaction; </w:t>
      </w:r>
      <w:r>
        <w:t xml:space="preserve">PNA-LNA = </w:t>
      </w:r>
      <w:r w:rsidR="007D0D08">
        <w:t xml:space="preserve">peptide nucleic acid, locked nucleic acid polymerase chain reaction; </w:t>
      </w:r>
      <w:r>
        <w:t xml:space="preserve">RNA =  </w:t>
      </w:r>
      <w:r w:rsidR="007D0D08" w:rsidRPr="007D0D08">
        <w:t>ribonucleic acid</w:t>
      </w:r>
      <w:r w:rsidR="007D0D08">
        <w:t xml:space="preserve">; </w:t>
      </w:r>
      <w:r>
        <w:t xml:space="preserve">RT-PCR = </w:t>
      </w:r>
      <w:r w:rsidR="007D0D08" w:rsidRPr="007D0D08">
        <w:t>real time polymerase chain reaction</w:t>
      </w:r>
      <w:r w:rsidR="007D0D08">
        <w:t>;</w:t>
      </w:r>
      <w:r w:rsidR="007D0D08" w:rsidRPr="007D0D08">
        <w:t xml:space="preserve"> </w:t>
      </w:r>
      <w:r>
        <w:t>SG = single-gene testing; SS = Sanger Sequencing</w:t>
      </w:r>
    </w:p>
    <w:p w14:paraId="5B534BFF" w14:textId="78426FF7" w:rsidR="006F20D3" w:rsidRDefault="006F20D3" w:rsidP="000D2368">
      <w:pPr>
        <w:pStyle w:val="Heading4"/>
      </w:pPr>
      <w:r>
        <w:t>Concordance per variant (rather than per gene/patient)</w:t>
      </w:r>
    </w:p>
    <w:p w14:paraId="4B330B67" w14:textId="22B0571A" w:rsidR="006F20D3" w:rsidRDefault="006F20D3" w:rsidP="006F20D3">
      <w:r>
        <w:t xml:space="preserve">Two studies reported on the concordance of NGS against single-gene testing (Sanger sequencing, cobas real time-PCR or TaqMan real-time PCR) separately for different variants (rather than per patient) </w:t>
      </w:r>
      <w:r w:rsidR="00B4668F">
        <w:fldChar w:fldCharType="begin">
          <w:fldData xml:space="preserve">PEVuZE5vdGU+PENpdGU+PEF1dGhvcj5UYW48L0F1dGhvcj48WWVhcj4yMDIwPC9ZZWFyPjxSZWNO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</w:fldData>
        </w:fldChar>
      </w:r>
      <w:r w:rsidR="00B4668F">
        <w:instrText xml:space="preserve"> ADDIN EN.CITE </w:instrText>
      </w:r>
      <w:r w:rsidR="00B4668F">
        <w:fldChar w:fldCharType="begin">
          <w:fldData xml:space="preserve">PEVuZE5vdGU+PENpdGU+PEF1dGhvcj5UYW48L0F1dGhvcj48WWVhcj4yMDIwPC9ZZWFyPjxSZWNO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</w:fldData>
        </w:fldChar>
      </w:r>
      <w:r w:rsidR="00B4668F">
        <w:instrText xml:space="preserve"> ADDIN EN.CITE.DATA </w:instrText>
      </w:r>
      <w:r w:rsidR="00B4668F">
        <w:fldChar w:fldCharType="end"/>
      </w:r>
      <w:r w:rsidR="00B4668F">
        <w:fldChar w:fldCharType="separate"/>
      </w:r>
      <w:r w:rsidR="00B4668F">
        <w:rPr>
          <w:noProof/>
        </w:rPr>
        <w:t>(Legras et al. 2018; Tan et al. 2020)</w:t>
      </w:r>
      <w:r w:rsidR="00B4668F">
        <w:fldChar w:fldCharType="end"/>
      </w:r>
      <w:r>
        <w:t xml:space="preserve">. Tan et al. (2020) reported that in a sample of 173 patients from Singapore, NGS identified an additional 12 variants which single-gene testing did not, including 4 targetable </w:t>
      </w:r>
      <w:r>
        <w:rPr>
          <w:i/>
        </w:rPr>
        <w:t>EGFR</w:t>
      </w:r>
      <w:r>
        <w:t xml:space="preserve"> sensitising variants, 3 T790M variants, and 5 ‘other’ (unknown if the variants would confer sensitivity or resistance to TKIs). In this study, the addition of NGS would therefore have influenced the treatment of 7/173 patients (4.0%). </w:t>
      </w:r>
    </w:p>
    <w:p w14:paraId="00495CCB" w14:textId="66BC1CE2" w:rsidR="006F20D3" w:rsidRDefault="006F20D3" w:rsidP="006F20D3">
      <w:r>
        <w:t xml:space="preserve">Legras et al. (2018) reported on a case </w:t>
      </w:r>
      <w:r w:rsidR="00DC1D2C">
        <w:t xml:space="preserve">series </w:t>
      </w:r>
      <w:r>
        <w:t xml:space="preserve">of 1274 patients with NSCLC from France, </w:t>
      </w:r>
      <w:r w:rsidR="00DC1D2C">
        <w:t xml:space="preserve">with tumours </w:t>
      </w:r>
      <w:r>
        <w:t xml:space="preserve">tested with both NGS and single-gene testing for </w:t>
      </w:r>
      <w:r>
        <w:rPr>
          <w:i/>
        </w:rPr>
        <w:t>EGFR</w:t>
      </w:r>
      <w:r>
        <w:t xml:space="preserve"> variants. When focusing only on sensitising </w:t>
      </w:r>
      <w:r>
        <w:rPr>
          <w:i/>
        </w:rPr>
        <w:t>EGFR</w:t>
      </w:r>
      <w:r>
        <w:t xml:space="preserve"> variants, NGS identified an additional 44/1175 (3.7%) sensitising </w:t>
      </w:r>
      <w:r>
        <w:rPr>
          <w:i/>
        </w:rPr>
        <w:t xml:space="preserve">EGFR </w:t>
      </w:r>
      <w:r>
        <w:t xml:space="preserve">variants (exon 19 deletions or L858A variants), and an additional 2 cases of T790M variants. It is unknown how cases were selected for testing of T790M variants, or how representative they were of the whole sample.  </w:t>
      </w:r>
    </w:p>
    <w:p w14:paraId="19797A37" w14:textId="0A2AAC5B" w:rsidR="006F20D3" w:rsidRDefault="006F20D3" w:rsidP="006F20D3">
      <w:pPr>
        <w:pStyle w:val="Caption"/>
      </w:pPr>
      <w:r>
        <w:t xml:space="preserve">Table </w:t>
      </w:r>
      <w:fldSimple w:instr=" SEQ Table \* ARABIC ">
        <w:r w:rsidR="00C857F3">
          <w:rPr>
            <w:noProof/>
          </w:rPr>
          <w:t>84</w:t>
        </w:r>
      </w:fldSimple>
      <w:r>
        <w:tab/>
        <w:t xml:space="preserve">Per variant analyses of concordance </w:t>
      </w:r>
    </w:p>
    <w:tbl>
      <w:tblPr>
        <w:tblStyle w:val="TableGrid"/>
        <w:tblW w:w="5000" w:type="pct"/>
        <w:tblLook w:val="04A0" w:firstRow="1" w:lastRow="0" w:firstColumn="1" w:lastColumn="0" w:noHBand="0" w:noVBand="1"/>
        <w:tblCaption w:val="Per variant analyses of concordance "/>
        <w:tblDescription w:val="Per variant analyses of concordance "/>
      </w:tblPr>
      <w:tblGrid>
        <w:gridCol w:w="845"/>
        <w:gridCol w:w="1156"/>
        <w:gridCol w:w="1147"/>
        <w:gridCol w:w="1266"/>
        <w:gridCol w:w="826"/>
        <w:gridCol w:w="1277"/>
        <w:gridCol w:w="1132"/>
        <w:gridCol w:w="1367"/>
      </w:tblGrid>
      <w:tr w:rsidR="006F20D3" w:rsidRPr="00606456" w14:paraId="0C30CDA3" w14:textId="77777777" w:rsidTr="005B1B91">
        <w:trPr>
          <w:trHeight w:val="818"/>
          <w:tblHeader/>
        </w:trPr>
        <w:tc>
          <w:tcPr>
            <w:tcW w:w="469" w:type="pct"/>
          </w:tcPr>
          <w:p w14:paraId="645258BC" w14:textId="77777777" w:rsidR="006F20D3" w:rsidRPr="00606456" w:rsidRDefault="006F20D3" w:rsidP="007C5A36">
            <w:pPr>
              <w:pStyle w:val="TableHeading"/>
            </w:pPr>
            <w:r>
              <w:t>Study</w:t>
            </w:r>
          </w:p>
        </w:tc>
        <w:tc>
          <w:tcPr>
            <w:tcW w:w="641" w:type="pct"/>
          </w:tcPr>
          <w:p w14:paraId="46231AD1" w14:textId="77777777" w:rsidR="006F20D3" w:rsidRPr="00606456" w:rsidRDefault="006F20D3" w:rsidP="007C5A36">
            <w:pPr>
              <w:pStyle w:val="TableHeading"/>
            </w:pPr>
            <w:r>
              <w:t>Intervention (NGS)</w:t>
            </w:r>
          </w:p>
        </w:tc>
        <w:tc>
          <w:tcPr>
            <w:tcW w:w="636" w:type="pct"/>
          </w:tcPr>
          <w:p w14:paraId="4BC88CE8" w14:textId="77777777" w:rsidR="006F20D3" w:rsidRPr="00606456" w:rsidRDefault="006F20D3" w:rsidP="007C5A36">
            <w:pPr>
              <w:pStyle w:val="TableHeading"/>
            </w:pPr>
            <w:r>
              <w:t>Comparator (SG)</w:t>
            </w:r>
          </w:p>
        </w:tc>
        <w:tc>
          <w:tcPr>
            <w:tcW w:w="702" w:type="pct"/>
          </w:tcPr>
          <w:p w14:paraId="67D276F9" w14:textId="77777777" w:rsidR="006F20D3" w:rsidRPr="00606456" w:rsidRDefault="006F20D3" w:rsidP="007C5A36">
            <w:pPr>
              <w:pStyle w:val="TableHeading"/>
            </w:pPr>
            <w:r>
              <w:rPr>
                <w:i/>
              </w:rPr>
              <w:t xml:space="preserve">EGFR </w:t>
            </w:r>
            <w:r>
              <w:t>Variant</w:t>
            </w:r>
          </w:p>
        </w:tc>
        <w:tc>
          <w:tcPr>
            <w:tcW w:w="458" w:type="pct"/>
          </w:tcPr>
          <w:p w14:paraId="102B0E5E" w14:textId="77777777" w:rsidR="006F20D3" w:rsidRPr="00606456" w:rsidRDefault="006F20D3" w:rsidP="007C5A36">
            <w:pPr>
              <w:pStyle w:val="TableHeading"/>
            </w:pPr>
            <w:r>
              <w:t>NGS+ /SG+</w:t>
            </w:r>
          </w:p>
        </w:tc>
        <w:tc>
          <w:tcPr>
            <w:tcW w:w="708" w:type="pct"/>
          </w:tcPr>
          <w:p w14:paraId="5ED2F2CE" w14:textId="77777777" w:rsidR="006F20D3" w:rsidRPr="00606456" w:rsidRDefault="006F20D3" w:rsidP="007C5A36">
            <w:pPr>
              <w:pStyle w:val="TableHeading"/>
            </w:pPr>
            <w:r>
              <w:t>NGS+ /SG-</w:t>
            </w:r>
          </w:p>
        </w:tc>
        <w:tc>
          <w:tcPr>
            <w:tcW w:w="628" w:type="pct"/>
          </w:tcPr>
          <w:p w14:paraId="5DB9ADB0" w14:textId="77777777" w:rsidR="006F20D3" w:rsidRPr="00606456" w:rsidRDefault="006F20D3" w:rsidP="007C5A36">
            <w:pPr>
              <w:pStyle w:val="TableHeading"/>
            </w:pPr>
            <w:r>
              <w:t>NGS- / SG+</w:t>
            </w:r>
          </w:p>
        </w:tc>
        <w:tc>
          <w:tcPr>
            <w:tcW w:w="758" w:type="pct"/>
          </w:tcPr>
          <w:p w14:paraId="37492582" w14:textId="77777777" w:rsidR="006F20D3" w:rsidRPr="00606456" w:rsidRDefault="006F20D3" w:rsidP="007C5A36">
            <w:pPr>
              <w:pStyle w:val="TableHeading"/>
            </w:pPr>
            <w:r>
              <w:t>NGS- /SG-</w:t>
            </w:r>
          </w:p>
        </w:tc>
      </w:tr>
      <w:tr w:rsidR="006F20D3" w:rsidRPr="00606456" w14:paraId="724B82A4" w14:textId="77777777" w:rsidTr="007C5A36">
        <w:trPr>
          <w:trHeight w:val="243"/>
        </w:trPr>
        <w:tc>
          <w:tcPr>
            <w:tcW w:w="469" w:type="pct"/>
            <w:vMerge w:val="restart"/>
          </w:tcPr>
          <w:p w14:paraId="474D9EC9" w14:textId="77777777" w:rsidR="006F20D3" w:rsidRPr="00606456" w:rsidRDefault="006F20D3" w:rsidP="007C5A36">
            <w:pPr>
              <w:pStyle w:val="TableText"/>
            </w:pPr>
            <w:r>
              <w:t>Tan et al. 2020</w:t>
            </w:r>
          </w:p>
        </w:tc>
        <w:tc>
          <w:tcPr>
            <w:tcW w:w="641" w:type="pct"/>
            <w:vMerge w:val="restart"/>
          </w:tcPr>
          <w:p w14:paraId="07D1642F" w14:textId="77777777" w:rsidR="006F20D3" w:rsidRPr="00606456" w:rsidRDefault="006F20D3" w:rsidP="007C5A36">
            <w:pPr>
              <w:pStyle w:val="TableText"/>
            </w:pPr>
            <w:r>
              <w:t>NGS</w:t>
            </w:r>
          </w:p>
        </w:tc>
        <w:tc>
          <w:tcPr>
            <w:tcW w:w="636" w:type="pct"/>
            <w:vMerge w:val="restart"/>
          </w:tcPr>
          <w:p w14:paraId="06FD066A" w14:textId="77777777" w:rsidR="006F20D3" w:rsidRPr="00606456" w:rsidRDefault="006F20D3" w:rsidP="007C5A36">
            <w:pPr>
              <w:pStyle w:val="TableText"/>
            </w:pPr>
            <w:r>
              <w:t>SS or Cobas® RT-PCR</w:t>
            </w:r>
          </w:p>
        </w:tc>
        <w:tc>
          <w:tcPr>
            <w:tcW w:w="702" w:type="pct"/>
            <w:vAlign w:val="bottom"/>
          </w:tcPr>
          <w:p w14:paraId="33EBD1D9" w14:textId="77777777" w:rsidR="006F20D3" w:rsidRPr="00606456" w:rsidRDefault="006F20D3" w:rsidP="007C5A36">
            <w:pPr>
              <w:pStyle w:val="TableText"/>
            </w:pPr>
            <w:r>
              <w:t>Exon 19 deletion</w:t>
            </w:r>
          </w:p>
        </w:tc>
        <w:tc>
          <w:tcPr>
            <w:tcW w:w="458" w:type="pct"/>
            <w:vAlign w:val="bottom"/>
          </w:tcPr>
          <w:p w14:paraId="78DE344A" w14:textId="77777777" w:rsidR="006F20D3" w:rsidRPr="00606456" w:rsidRDefault="006F20D3" w:rsidP="007C5A36">
            <w:pPr>
              <w:pStyle w:val="TableText"/>
            </w:pPr>
            <w:r>
              <w:t>42</w:t>
            </w:r>
          </w:p>
        </w:tc>
        <w:tc>
          <w:tcPr>
            <w:tcW w:w="708" w:type="pct"/>
            <w:vAlign w:val="bottom"/>
          </w:tcPr>
          <w:p w14:paraId="7F88FF81" w14:textId="77777777" w:rsidR="006F20D3" w:rsidRPr="00606456" w:rsidRDefault="006F20D3" w:rsidP="007C5A36">
            <w:pPr>
              <w:pStyle w:val="TableText"/>
            </w:pPr>
            <w:r>
              <w:t>3</w:t>
            </w:r>
          </w:p>
        </w:tc>
        <w:tc>
          <w:tcPr>
            <w:tcW w:w="628" w:type="pct"/>
            <w:vAlign w:val="bottom"/>
          </w:tcPr>
          <w:p w14:paraId="45BEE52F" w14:textId="77777777" w:rsidR="006F20D3" w:rsidRPr="00606456" w:rsidRDefault="006F20D3" w:rsidP="007C5A36">
            <w:pPr>
              <w:pStyle w:val="TableText"/>
            </w:pPr>
            <w:r>
              <w:t>3</w:t>
            </w:r>
          </w:p>
        </w:tc>
        <w:tc>
          <w:tcPr>
            <w:tcW w:w="758" w:type="pct"/>
            <w:vAlign w:val="bottom"/>
          </w:tcPr>
          <w:p w14:paraId="476B1683" w14:textId="77777777" w:rsidR="006F20D3" w:rsidRPr="00606456" w:rsidRDefault="006F20D3" w:rsidP="007C5A36">
            <w:pPr>
              <w:pStyle w:val="TableText"/>
            </w:pPr>
            <w:r>
              <w:t>122</w:t>
            </w:r>
          </w:p>
        </w:tc>
      </w:tr>
      <w:tr w:rsidR="006F20D3" w:rsidRPr="00606456" w14:paraId="1AF6DACA" w14:textId="77777777" w:rsidTr="007C5A36">
        <w:trPr>
          <w:trHeight w:val="407"/>
        </w:trPr>
        <w:tc>
          <w:tcPr>
            <w:tcW w:w="469" w:type="pct"/>
            <w:vMerge/>
            <w:vAlign w:val="bottom"/>
          </w:tcPr>
          <w:p w14:paraId="55DFD2BA" w14:textId="77777777" w:rsidR="006F20D3" w:rsidRPr="00606456" w:rsidRDefault="006F20D3" w:rsidP="007C5A36">
            <w:pPr>
              <w:pStyle w:val="TableText"/>
            </w:pPr>
          </w:p>
        </w:tc>
        <w:tc>
          <w:tcPr>
            <w:tcW w:w="641" w:type="pct"/>
            <w:vMerge/>
            <w:vAlign w:val="bottom"/>
          </w:tcPr>
          <w:p w14:paraId="06A3FADF" w14:textId="77777777" w:rsidR="006F20D3" w:rsidRPr="00606456" w:rsidRDefault="006F20D3" w:rsidP="007C5A36">
            <w:pPr>
              <w:pStyle w:val="TableText"/>
            </w:pPr>
          </w:p>
        </w:tc>
        <w:tc>
          <w:tcPr>
            <w:tcW w:w="636" w:type="pct"/>
            <w:vMerge/>
            <w:vAlign w:val="bottom"/>
          </w:tcPr>
          <w:p w14:paraId="5BDBF38F" w14:textId="77777777" w:rsidR="006F20D3" w:rsidRPr="00606456" w:rsidRDefault="006F20D3" w:rsidP="007C5A36">
            <w:pPr>
              <w:pStyle w:val="TableText"/>
            </w:pPr>
          </w:p>
        </w:tc>
        <w:tc>
          <w:tcPr>
            <w:tcW w:w="702" w:type="pct"/>
            <w:vAlign w:val="bottom"/>
          </w:tcPr>
          <w:p w14:paraId="201B97C8" w14:textId="77777777" w:rsidR="006F20D3" w:rsidRPr="00606456" w:rsidRDefault="006F20D3" w:rsidP="007C5A36">
            <w:pPr>
              <w:pStyle w:val="TableText"/>
            </w:pPr>
            <w:r>
              <w:t>L858R mutation</w:t>
            </w:r>
          </w:p>
        </w:tc>
        <w:tc>
          <w:tcPr>
            <w:tcW w:w="458" w:type="pct"/>
            <w:vAlign w:val="bottom"/>
          </w:tcPr>
          <w:p w14:paraId="5D9A9D89" w14:textId="77777777" w:rsidR="006F20D3" w:rsidRPr="00606456" w:rsidRDefault="006F20D3" w:rsidP="007C5A36">
            <w:pPr>
              <w:pStyle w:val="TableText"/>
            </w:pPr>
            <w:r>
              <w:t>34</w:t>
            </w:r>
          </w:p>
        </w:tc>
        <w:tc>
          <w:tcPr>
            <w:tcW w:w="708" w:type="pct"/>
            <w:vAlign w:val="bottom"/>
          </w:tcPr>
          <w:p w14:paraId="0F9A6E5C" w14:textId="77777777" w:rsidR="006F20D3" w:rsidRPr="00606456" w:rsidRDefault="006F20D3" w:rsidP="007C5A36">
            <w:pPr>
              <w:pStyle w:val="TableText"/>
            </w:pPr>
            <w:r>
              <w:t>1</w:t>
            </w:r>
          </w:p>
        </w:tc>
        <w:tc>
          <w:tcPr>
            <w:tcW w:w="628" w:type="pct"/>
            <w:vAlign w:val="bottom"/>
          </w:tcPr>
          <w:p w14:paraId="32886DE1" w14:textId="77777777" w:rsidR="006F20D3" w:rsidRPr="00606456" w:rsidRDefault="006F20D3" w:rsidP="007C5A36">
            <w:pPr>
              <w:pStyle w:val="TableText"/>
            </w:pPr>
            <w:r>
              <w:t>1</w:t>
            </w:r>
          </w:p>
        </w:tc>
        <w:tc>
          <w:tcPr>
            <w:tcW w:w="758" w:type="pct"/>
            <w:vAlign w:val="bottom"/>
          </w:tcPr>
          <w:p w14:paraId="36EC1BE4" w14:textId="77777777" w:rsidR="006F20D3" w:rsidRPr="00606456" w:rsidRDefault="006F20D3" w:rsidP="007C5A36">
            <w:pPr>
              <w:pStyle w:val="TableText"/>
            </w:pPr>
            <w:r>
              <w:t>138</w:t>
            </w:r>
          </w:p>
        </w:tc>
      </w:tr>
      <w:tr w:rsidR="006F20D3" w:rsidRPr="00606456" w14:paraId="68E15B3D" w14:textId="77777777" w:rsidTr="007C5A36">
        <w:trPr>
          <w:trHeight w:val="571"/>
        </w:trPr>
        <w:tc>
          <w:tcPr>
            <w:tcW w:w="469" w:type="pct"/>
            <w:vMerge/>
            <w:vAlign w:val="bottom"/>
          </w:tcPr>
          <w:p w14:paraId="0B342C83" w14:textId="77777777" w:rsidR="006F20D3" w:rsidRPr="00606456" w:rsidRDefault="006F20D3" w:rsidP="007C5A36">
            <w:pPr>
              <w:pStyle w:val="TableText"/>
            </w:pPr>
          </w:p>
        </w:tc>
        <w:tc>
          <w:tcPr>
            <w:tcW w:w="641" w:type="pct"/>
            <w:vMerge/>
            <w:vAlign w:val="bottom"/>
          </w:tcPr>
          <w:p w14:paraId="6B9C48BF" w14:textId="77777777" w:rsidR="006F20D3" w:rsidRPr="00606456" w:rsidRDefault="006F20D3" w:rsidP="007C5A36">
            <w:pPr>
              <w:pStyle w:val="TableText"/>
            </w:pPr>
          </w:p>
        </w:tc>
        <w:tc>
          <w:tcPr>
            <w:tcW w:w="636" w:type="pct"/>
            <w:vMerge/>
            <w:vAlign w:val="bottom"/>
          </w:tcPr>
          <w:p w14:paraId="659FB933" w14:textId="77777777" w:rsidR="006F20D3" w:rsidRPr="00606456" w:rsidRDefault="006F20D3" w:rsidP="007C5A36">
            <w:pPr>
              <w:pStyle w:val="TableText"/>
            </w:pPr>
          </w:p>
        </w:tc>
        <w:tc>
          <w:tcPr>
            <w:tcW w:w="702" w:type="pct"/>
            <w:vAlign w:val="bottom"/>
          </w:tcPr>
          <w:p w14:paraId="3B90D66F" w14:textId="77777777" w:rsidR="006F20D3" w:rsidRPr="00606456" w:rsidRDefault="006F20D3" w:rsidP="007C5A36">
            <w:pPr>
              <w:pStyle w:val="TableText"/>
            </w:pPr>
            <w:r>
              <w:t>T790M mutation</w:t>
            </w:r>
          </w:p>
        </w:tc>
        <w:tc>
          <w:tcPr>
            <w:tcW w:w="458" w:type="pct"/>
            <w:vAlign w:val="bottom"/>
          </w:tcPr>
          <w:p w14:paraId="3E7F324C" w14:textId="77777777" w:rsidR="006F20D3" w:rsidRPr="00606456" w:rsidRDefault="006F20D3" w:rsidP="007C5A36">
            <w:pPr>
              <w:pStyle w:val="TableText"/>
            </w:pPr>
            <w:r>
              <w:t>0</w:t>
            </w:r>
          </w:p>
        </w:tc>
        <w:tc>
          <w:tcPr>
            <w:tcW w:w="708" w:type="pct"/>
            <w:vAlign w:val="bottom"/>
          </w:tcPr>
          <w:p w14:paraId="30B95C83" w14:textId="77777777" w:rsidR="006F20D3" w:rsidRPr="00606456" w:rsidRDefault="006F20D3" w:rsidP="007C5A36">
            <w:pPr>
              <w:pStyle w:val="TableText"/>
            </w:pPr>
            <w:r>
              <w:t>3</w:t>
            </w:r>
          </w:p>
        </w:tc>
        <w:tc>
          <w:tcPr>
            <w:tcW w:w="628" w:type="pct"/>
            <w:vAlign w:val="bottom"/>
          </w:tcPr>
          <w:p w14:paraId="521ECB54" w14:textId="77777777" w:rsidR="006F20D3" w:rsidRPr="00606456" w:rsidRDefault="006F20D3" w:rsidP="007C5A36">
            <w:pPr>
              <w:pStyle w:val="TableText"/>
            </w:pPr>
            <w:r>
              <w:t>0</w:t>
            </w:r>
          </w:p>
        </w:tc>
        <w:tc>
          <w:tcPr>
            <w:tcW w:w="758" w:type="pct"/>
            <w:vAlign w:val="bottom"/>
          </w:tcPr>
          <w:p w14:paraId="026B4922" w14:textId="77777777" w:rsidR="006F20D3" w:rsidRPr="00606456" w:rsidRDefault="006F20D3" w:rsidP="007C5A36">
            <w:pPr>
              <w:pStyle w:val="TableText"/>
            </w:pPr>
            <w:r>
              <w:t>171</w:t>
            </w:r>
          </w:p>
        </w:tc>
      </w:tr>
      <w:tr w:rsidR="006F20D3" w:rsidRPr="00606456" w14:paraId="62A77BB4" w14:textId="77777777" w:rsidTr="007C5A36">
        <w:trPr>
          <w:trHeight w:val="818"/>
        </w:trPr>
        <w:tc>
          <w:tcPr>
            <w:tcW w:w="469" w:type="pct"/>
            <w:vMerge/>
            <w:vAlign w:val="bottom"/>
          </w:tcPr>
          <w:p w14:paraId="287634B7" w14:textId="77777777" w:rsidR="006F20D3" w:rsidRPr="00606456" w:rsidRDefault="006F20D3" w:rsidP="007C5A36">
            <w:pPr>
              <w:pStyle w:val="TableText"/>
            </w:pPr>
          </w:p>
        </w:tc>
        <w:tc>
          <w:tcPr>
            <w:tcW w:w="641" w:type="pct"/>
            <w:vMerge/>
            <w:vAlign w:val="bottom"/>
          </w:tcPr>
          <w:p w14:paraId="59D11D22" w14:textId="77777777" w:rsidR="006F20D3" w:rsidRPr="00606456" w:rsidRDefault="006F20D3" w:rsidP="007C5A36">
            <w:pPr>
              <w:pStyle w:val="TableText"/>
            </w:pPr>
          </w:p>
        </w:tc>
        <w:tc>
          <w:tcPr>
            <w:tcW w:w="636" w:type="pct"/>
            <w:vMerge/>
            <w:vAlign w:val="bottom"/>
          </w:tcPr>
          <w:p w14:paraId="46577439" w14:textId="77777777" w:rsidR="006F20D3" w:rsidRPr="00606456" w:rsidRDefault="006F20D3" w:rsidP="007C5A36">
            <w:pPr>
              <w:pStyle w:val="TableText"/>
            </w:pPr>
          </w:p>
        </w:tc>
        <w:tc>
          <w:tcPr>
            <w:tcW w:w="702" w:type="pct"/>
            <w:vAlign w:val="bottom"/>
          </w:tcPr>
          <w:p w14:paraId="24128481" w14:textId="77777777" w:rsidR="006F20D3" w:rsidRPr="00606456" w:rsidRDefault="006F20D3" w:rsidP="007C5A36">
            <w:pPr>
              <w:pStyle w:val="TableText"/>
            </w:pPr>
            <w:r>
              <w:t>other mutations</w:t>
            </w:r>
          </w:p>
        </w:tc>
        <w:tc>
          <w:tcPr>
            <w:tcW w:w="458" w:type="pct"/>
            <w:vAlign w:val="bottom"/>
          </w:tcPr>
          <w:p w14:paraId="7571FB83" w14:textId="77777777" w:rsidR="006F20D3" w:rsidRPr="00606456" w:rsidRDefault="006F20D3" w:rsidP="007C5A36">
            <w:pPr>
              <w:pStyle w:val="TableText"/>
            </w:pPr>
            <w:r>
              <w:t>10</w:t>
            </w:r>
          </w:p>
        </w:tc>
        <w:tc>
          <w:tcPr>
            <w:tcW w:w="708" w:type="pct"/>
            <w:vAlign w:val="bottom"/>
          </w:tcPr>
          <w:p w14:paraId="30CAC8B3" w14:textId="77777777" w:rsidR="006F20D3" w:rsidRPr="00606456" w:rsidRDefault="006F20D3" w:rsidP="007C5A36">
            <w:pPr>
              <w:pStyle w:val="TableText"/>
            </w:pPr>
            <w:r>
              <w:t>5</w:t>
            </w:r>
          </w:p>
        </w:tc>
        <w:tc>
          <w:tcPr>
            <w:tcW w:w="628" w:type="pct"/>
            <w:vAlign w:val="bottom"/>
          </w:tcPr>
          <w:p w14:paraId="6E825B75" w14:textId="77777777" w:rsidR="006F20D3" w:rsidRPr="00606456" w:rsidRDefault="006F20D3" w:rsidP="007C5A36">
            <w:pPr>
              <w:pStyle w:val="TableText"/>
            </w:pPr>
            <w:r>
              <w:t>1</w:t>
            </w:r>
          </w:p>
        </w:tc>
        <w:tc>
          <w:tcPr>
            <w:tcW w:w="758" w:type="pct"/>
            <w:vAlign w:val="bottom"/>
          </w:tcPr>
          <w:p w14:paraId="19FB8EF1" w14:textId="77777777" w:rsidR="006F20D3" w:rsidRPr="00606456" w:rsidRDefault="006F20D3" w:rsidP="007C5A36">
            <w:pPr>
              <w:pStyle w:val="TableText"/>
            </w:pPr>
            <w:r>
              <w:t>158</w:t>
            </w:r>
          </w:p>
        </w:tc>
      </w:tr>
      <w:tr w:rsidR="006F20D3" w:rsidRPr="00606456" w14:paraId="17D3A833" w14:textId="77777777" w:rsidTr="007C5A36">
        <w:trPr>
          <w:trHeight w:val="818"/>
        </w:trPr>
        <w:tc>
          <w:tcPr>
            <w:tcW w:w="469" w:type="pct"/>
            <w:vMerge w:val="restart"/>
          </w:tcPr>
          <w:p w14:paraId="4E41A585" w14:textId="77777777" w:rsidR="006F20D3" w:rsidRPr="00606456" w:rsidRDefault="006F20D3" w:rsidP="007C5A36">
            <w:pPr>
              <w:pStyle w:val="TableText"/>
            </w:pPr>
            <w:r>
              <w:t>Legras et al. 2018</w:t>
            </w:r>
          </w:p>
        </w:tc>
        <w:tc>
          <w:tcPr>
            <w:tcW w:w="641" w:type="pct"/>
            <w:vMerge w:val="restart"/>
          </w:tcPr>
          <w:p w14:paraId="4777C631" w14:textId="77777777" w:rsidR="006F20D3" w:rsidRPr="00606456" w:rsidRDefault="006F20D3" w:rsidP="007C5A36">
            <w:pPr>
              <w:pStyle w:val="TableText"/>
            </w:pPr>
            <w:r>
              <w:t>NGS (Massive parallel sequencing of 92 amplicons, Ion AmpliSeq Colon-Lung Cancer Research Panel)</w:t>
            </w:r>
          </w:p>
        </w:tc>
        <w:tc>
          <w:tcPr>
            <w:tcW w:w="636" w:type="pct"/>
            <w:vMerge w:val="restart"/>
          </w:tcPr>
          <w:p w14:paraId="58FB2EB3" w14:textId="77777777" w:rsidR="006F20D3" w:rsidRPr="00606456" w:rsidRDefault="006F20D3" w:rsidP="007C5A36">
            <w:pPr>
              <w:pStyle w:val="TableText"/>
            </w:pPr>
            <w:r>
              <w:t>TaqMan real-time qPCR</w:t>
            </w:r>
          </w:p>
        </w:tc>
        <w:tc>
          <w:tcPr>
            <w:tcW w:w="702" w:type="pct"/>
            <w:vAlign w:val="bottom"/>
          </w:tcPr>
          <w:p w14:paraId="373B6E42" w14:textId="77777777" w:rsidR="006F20D3" w:rsidRPr="00606456" w:rsidRDefault="006F20D3" w:rsidP="007C5A36">
            <w:pPr>
              <w:pStyle w:val="TableText"/>
            </w:pPr>
            <w:r>
              <w:t>EGFR L858A and Exon 19 deletion</w:t>
            </w:r>
          </w:p>
        </w:tc>
        <w:tc>
          <w:tcPr>
            <w:tcW w:w="458" w:type="pct"/>
            <w:vAlign w:val="bottom"/>
          </w:tcPr>
          <w:p w14:paraId="7E019CA9" w14:textId="77777777" w:rsidR="006F20D3" w:rsidRPr="00606456" w:rsidRDefault="006F20D3" w:rsidP="007C5A36">
            <w:pPr>
              <w:pStyle w:val="TableText"/>
            </w:pPr>
            <w:r>
              <w:t>182</w:t>
            </w:r>
          </w:p>
        </w:tc>
        <w:tc>
          <w:tcPr>
            <w:tcW w:w="708" w:type="pct"/>
            <w:vAlign w:val="bottom"/>
          </w:tcPr>
          <w:p w14:paraId="1EE3F290" w14:textId="77777777" w:rsidR="006F20D3" w:rsidRPr="00606456" w:rsidRDefault="006F20D3" w:rsidP="007C5A36">
            <w:pPr>
              <w:pStyle w:val="TableText"/>
            </w:pPr>
            <w:r>
              <w:t>44</w:t>
            </w:r>
          </w:p>
        </w:tc>
        <w:tc>
          <w:tcPr>
            <w:tcW w:w="628" w:type="pct"/>
            <w:vAlign w:val="bottom"/>
          </w:tcPr>
          <w:p w14:paraId="29DD38D5" w14:textId="77777777" w:rsidR="006F20D3" w:rsidRPr="00606456" w:rsidRDefault="006F20D3" w:rsidP="007C5A36">
            <w:pPr>
              <w:pStyle w:val="TableText"/>
            </w:pPr>
            <w:r>
              <w:t>0</w:t>
            </w:r>
          </w:p>
        </w:tc>
        <w:tc>
          <w:tcPr>
            <w:tcW w:w="758" w:type="pct"/>
            <w:vAlign w:val="bottom"/>
          </w:tcPr>
          <w:p w14:paraId="26DA17E6" w14:textId="77777777" w:rsidR="006F20D3" w:rsidRPr="00606456" w:rsidRDefault="006F20D3" w:rsidP="007C5A36">
            <w:pPr>
              <w:pStyle w:val="TableText"/>
            </w:pPr>
            <w:r>
              <w:t>949</w:t>
            </w:r>
          </w:p>
        </w:tc>
      </w:tr>
      <w:tr w:rsidR="006F20D3" w:rsidRPr="00606456" w14:paraId="1648BBCE" w14:textId="77777777" w:rsidTr="007C5A36">
        <w:trPr>
          <w:trHeight w:val="158"/>
        </w:trPr>
        <w:tc>
          <w:tcPr>
            <w:tcW w:w="469" w:type="pct"/>
            <w:vMerge/>
            <w:vAlign w:val="bottom"/>
          </w:tcPr>
          <w:p w14:paraId="2DE8779B" w14:textId="77777777" w:rsidR="006F20D3" w:rsidRDefault="006F20D3" w:rsidP="007C5A36">
            <w:pPr>
              <w:pStyle w:val="TableText"/>
            </w:pPr>
          </w:p>
        </w:tc>
        <w:tc>
          <w:tcPr>
            <w:tcW w:w="641" w:type="pct"/>
            <w:vMerge/>
            <w:vAlign w:val="bottom"/>
          </w:tcPr>
          <w:p w14:paraId="4A414F4C" w14:textId="77777777" w:rsidR="006F20D3" w:rsidRDefault="006F20D3" w:rsidP="007C5A36">
            <w:pPr>
              <w:pStyle w:val="TableText"/>
            </w:pPr>
          </w:p>
        </w:tc>
        <w:tc>
          <w:tcPr>
            <w:tcW w:w="636" w:type="pct"/>
            <w:vMerge/>
            <w:vAlign w:val="bottom"/>
          </w:tcPr>
          <w:p w14:paraId="468BF638" w14:textId="77777777" w:rsidR="006F20D3" w:rsidRDefault="006F20D3" w:rsidP="007C5A36">
            <w:pPr>
              <w:pStyle w:val="TableText"/>
            </w:pPr>
          </w:p>
        </w:tc>
        <w:tc>
          <w:tcPr>
            <w:tcW w:w="702" w:type="pct"/>
            <w:vAlign w:val="bottom"/>
          </w:tcPr>
          <w:p w14:paraId="0271937F" w14:textId="77777777" w:rsidR="006F20D3" w:rsidRPr="00606456" w:rsidRDefault="006F20D3" w:rsidP="007C5A36">
            <w:pPr>
              <w:pStyle w:val="TableText"/>
            </w:pPr>
            <w:r>
              <w:t>T790M mutation</w:t>
            </w:r>
          </w:p>
        </w:tc>
        <w:tc>
          <w:tcPr>
            <w:tcW w:w="458" w:type="pct"/>
            <w:vAlign w:val="bottom"/>
          </w:tcPr>
          <w:p w14:paraId="5A3417BF" w14:textId="77777777" w:rsidR="006F20D3" w:rsidRPr="00606456" w:rsidRDefault="006F20D3" w:rsidP="007C5A36">
            <w:pPr>
              <w:pStyle w:val="TableText"/>
            </w:pPr>
            <w:r>
              <w:t>11</w:t>
            </w:r>
          </w:p>
        </w:tc>
        <w:tc>
          <w:tcPr>
            <w:tcW w:w="708" w:type="pct"/>
            <w:vAlign w:val="bottom"/>
          </w:tcPr>
          <w:p w14:paraId="1B7FE577" w14:textId="77777777" w:rsidR="006F20D3" w:rsidRPr="00606456" w:rsidRDefault="006F20D3" w:rsidP="007C5A36">
            <w:pPr>
              <w:pStyle w:val="TableText"/>
            </w:pPr>
            <w:r>
              <w:t>2</w:t>
            </w:r>
          </w:p>
        </w:tc>
        <w:tc>
          <w:tcPr>
            <w:tcW w:w="628" w:type="pct"/>
            <w:vAlign w:val="bottom"/>
          </w:tcPr>
          <w:p w14:paraId="1492C001" w14:textId="77777777" w:rsidR="006F20D3" w:rsidRPr="00606456" w:rsidRDefault="006F20D3" w:rsidP="007C5A36">
            <w:pPr>
              <w:pStyle w:val="TableText"/>
            </w:pPr>
            <w:r>
              <w:t>3</w:t>
            </w:r>
          </w:p>
        </w:tc>
        <w:tc>
          <w:tcPr>
            <w:tcW w:w="758" w:type="pct"/>
            <w:vAlign w:val="bottom"/>
          </w:tcPr>
          <w:p w14:paraId="5CDC9B90" w14:textId="77777777" w:rsidR="006F20D3" w:rsidRPr="00606456" w:rsidRDefault="006F20D3" w:rsidP="007C5A36">
            <w:pPr>
              <w:pStyle w:val="TableText"/>
            </w:pPr>
            <w:r>
              <w:t>4</w:t>
            </w:r>
          </w:p>
        </w:tc>
      </w:tr>
    </w:tbl>
    <w:p w14:paraId="2ABC6977" w14:textId="25F7975C" w:rsidR="006F20D3" w:rsidRDefault="004C2653" w:rsidP="004C2653">
      <w:pPr>
        <w:pStyle w:val="TableFooter"/>
      </w:pPr>
      <w:r w:rsidRPr="00902EC2">
        <w:rPr>
          <w:i/>
        </w:rPr>
        <w:t>EGFR</w:t>
      </w:r>
      <w:r w:rsidRPr="00902EC2">
        <w:t xml:space="preserve"> = epidermal growth factor receptor;</w:t>
      </w:r>
      <w:r w:rsidRPr="004C2653">
        <w:t xml:space="preserve"> </w:t>
      </w:r>
      <w:r w:rsidRPr="002D3261">
        <w:t>NGS = next generation sequencing;</w:t>
      </w:r>
      <w:r w:rsidRPr="004C2653">
        <w:t xml:space="preserve"> </w:t>
      </w:r>
      <w:r w:rsidRPr="002D3261">
        <w:t xml:space="preserve">RT-PCR = real time polymerase chain reaction; </w:t>
      </w:r>
      <w:r>
        <w:t>SG = single-gene testing</w:t>
      </w:r>
    </w:p>
    <w:p w14:paraId="716F7784" w14:textId="77777777" w:rsidR="000D2368" w:rsidRPr="00060959" w:rsidRDefault="000D2368" w:rsidP="000D2368">
      <w:pPr>
        <w:pStyle w:val="Heading4"/>
      </w:pPr>
      <w:r w:rsidRPr="00060959">
        <w:t>Interrater reliability</w:t>
      </w:r>
    </w:p>
    <w:p w14:paraId="5C49070D" w14:textId="42A45F16" w:rsidR="000D2368" w:rsidRDefault="000D2368" w:rsidP="000D2368">
      <w:r>
        <w:t xml:space="preserve">One study was identified which reported on how reliable RNA/DNA sequencing using NGS was, compared to in situ hybridisation (ISH) and IHC, for detection </w:t>
      </w:r>
      <w:r>
        <w:rPr>
          <w:i/>
        </w:rPr>
        <w:t>ALK</w:t>
      </w:r>
      <w:r>
        <w:t xml:space="preserve"> alterations in tumour sections from NSCLC </w:t>
      </w:r>
      <w:r w:rsidR="00B4668F">
        <w:fldChar w:fldCharType="begin">
          <w:fldData xml:space="preserve">PEVuZE5vdGU+PENpdGU+PEF1dGhvcj5KdXJtZWlzdGVyPC9BdXRob3I+PFllYXI+MjAyMTwvWWVh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</w:fldData>
        </w:fldChar>
      </w:r>
      <w:r w:rsidR="00B4668F">
        <w:instrText xml:space="preserve"> ADDIN EN.CITE </w:instrText>
      </w:r>
      <w:r w:rsidR="00B4668F">
        <w:fldChar w:fldCharType="begin">
          <w:fldData xml:space="preserve">PEVuZE5vdGU+PENpdGU+PEF1dGhvcj5KdXJtZWlzdGVyPC9BdXRob3I+PFllYXI+MjAyMTwvWWVh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</w:fldData>
        </w:fldChar>
      </w:r>
      <w:r w:rsidR="00B4668F">
        <w:instrText xml:space="preserve"> ADDIN EN.CITE.DATA </w:instrText>
      </w:r>
      <w:r w:rsidR="00B4668F">
        <w:fldChar w:fldCharType="end"/>
      </w:r>
      <w:r w:rsidR="00B4668F">
        <w:fldChar w:fldCharType="separate"/>
      </w:r>
      <w:r w:rsidR="00B4668F">
        <w:rPr>
          <w:noProof/>
        </w:rPr>
        <w:t>(Jurmeister et al. 2021)</w:t>
      </w:r>
      <w:r w:rsidR="00B4668F">
        <w:fldChar w:fldCharType="end"/>
      </w:r>
      <w:r>
        <w:t xml:space="preserve">.  A total of 57 participants analysed tissue from 10 different specimens. The highest interrater agreement (Fleiss’ kappa) was reported for RNA/DNA sequencing (0.975), followed by ISH (0.898) and IHC (0.888). </w:t>
      </w:r>
    </w:p>
    <w:p w14:paraId="682B8DA5" w14:textId="77777777" w:rsidR="000D2368" w:rsidRDefault="000D2368" w:rsidP="000D2368">
      <w:pPr>
        <w:pStyle w:val="Heading4"/>
      </w:pPr>
      <w:bookmarkStart w:id="306" w:name="_Toc54689055"/>
      <w:bookmarkStart w:id="307" w:name="_Toc54940826"/>
      <w:r>
        <w:t>Identification of concurrent variants</w:t>
      </w:r>
    </w:p>
    <w:p w14:paraId="69E5DFA9" w14:textId="5B7BA156" w:rsidR="000D2368" w:rsidRPr="001331B5" w:rsidRDefault="000D2368" w:rsidP="000D2368">
      <w:pPr>
        <w:pStyle w:val="TableFooter"/>
        <w:jc w:val="left"/>
        <w:rPr>
          <w:rFonts w:ascii="Franklin Gothic Book" w:eastAsiaTheme="minorHAnsi" w:hAnsi="Franklin Gothic Book" w:cstheme="minorBidi"/>
          <w:sz w:val="22"/>
          <w:szCs w:val="22"/>
        </w:rPr>
      </w:pPr>
      <w:r w:rsidRPr="00EA3676">
        <w:rPr>
          <w:rFonts w:ascii="Franklin Gothic Book" w:eastAsiaTheme="minorHAnsi" w:hAnsi="Franklin Gothic Book" w:cstheme="minorBidi"/>
          <w:sz w:val="22"/>
          <w:szCs w:val="22"/>
        </w:rPr>
        <w:t xml:space="preserve">In addition to </w:t>
      </w:r>
      <w:r>
        <w:rPr>
          <w:rFonts w:ascii="Franklin Gothic Book" w:eastAsiaTheme="minorHAnsi" w:hAnsi="Franklin Gothic Book" w:cstheme="minorBidi"/>
          <w:sz w:val="22"/>
          <w:szCs w:val="22"/>
        </w:rPr>
        <w:t xml:space="preserve">more patients having been identified with pathological variants by NGS than single-gene testing, there is also the benefit that NGS may identify concurrent variants in multiple genes at once. </w:t>
      </w:r>
      <w:r w:rsidRPr="006F20D3">
        <w:rPr>
          <w:rFonts w:ascii="Franklin Gothic Book" w:eastAsiaTheme="minorHAnsi" w:hAnsi="Franklin Gothic Book" w:cstheme="minorBidi"/>
          <w:sz w:val="22"/>
          <w:szCs w:val="22"/>
        </w:rPr>
        <w:t xml:space="preserve">Studies reported additional variants in combination with </w:t>
      </w:r>
      <w:r w:rsidR="0056117A" w:rsidRPr="006F20D3">
        <w:rPr>
          <w:rFonts w:ascii="Franklin Gothic Book" w:eastAsiaTheme="minorHAnsi" w:hAnsi="Franklin Gothic Book" w:cstheme="minorBidi"/>
          <w:i/>
          <w:sz w:val="22"/>
          <w:szCs w:val="22"/>
        </w:rPr>
        <w:t>EGFR</w:t>
      </w:r>
      <w:r w:rsidR="0056117A" w:rsidRPr="006F20D3">
        <w:rPr>
          <w:rFonts w:ascii="Franklin Gothic Book" w:eastAsiaTheme="minorHAnsi" w:hAnsi="Franklin Gothic Book" w:cstheme="minorBidi"/>
          <w:sz w:val="22"/>
          <w:szCs w:val="22"/>
        </w:rPr>
        <w:t xml:space="preserve"> and</w:t>
      </w:r>
      <w:r w:rsidRPr="006F20D3">
        <w:rPr>
          <w:rFonts w:ascii="Franklin Gothic Book" w:eastAsiaTheme="minorHAnsi" w:hAnsi="Franklin Gothic Book" w:cstheme="minorBidi"/>
          <w:sz w:val="22"/>
          <w:szCs w:val="22"/>
        </w:rPr>
        <w:t xml:space="preserve"> reported worse health outcomes on average than those with only </w:t>
      </w:r>
      <w:r w:rsidRPr="006F20D3">
        <w:rPr>
          <w:rFonts w:ascii="Franklin Gothic Book" w:eastAsiaTheme="minorHAnsi" w:hAnsi="Franklin Gothic Book" w:cstheme="minorBidi"/>
          <w:i/>
          <w:sz w:val="22"/>
          <w:szCs w:val="22"/>
        </w:rPr>
        <w:t>EGFR</w:t>
      </w:r>
      <w:r w:rsidRPr="006F20D3">
        <w:rPr>
          <w:rFonts w:ascii="Franklin Gothic Book" w:eastAsiaTheme="minorHAnsi" w:hAnsi="Franklin Gothic Book" w:cstheme="minorBidi"/>
          <w:sz w:val="22"/>
          <w:szCs w:val="22"/>
        </w:rPr>
        <w:t xml:space="preserve"> variants. However, it is unclear whether this information would alter management, although the prognostic implications may be val</w:t>
      </w:r>
      <w:r>
        <w:rPr>
          <w:rFonts w:ascii="Franklin Gothic Book" w:eastAsiaTheme="minorHAnsi" w:hAnsi="Franklin Gothic Book" w:cstheme="minorBidi"/>
          <w:sz w:val="22"/>
          <w:szCs w:val="22"/>
        </w:rPr>
        <w:t>ue for the individuals to know.</w:t>
      </w:r>
    </w:p>
    <w:p w14:paraId="32C245BD" w14:textId="77777777" w:rsidR="000D2368" w:rsidRDefault="000D2368" w:rsidP="000D2368">
      <w:r>
        <w:t xml:space="preserve">One of the claimed benefits of NGS is the ability to detect multiple variants at once. Conversely, with sequential testing, a limited range of genes are tested, and further single-gene tests would not be performed if a causative variant is identified, even if a targeted treatment is not available for that variant. No studies were identified which compared the rate of concurrent variants identified by NGS and sequential single-gene testing strategies. Therefore, single-arm data (from NGS) are presented. Further single-arm studies were not sought.  </w:t>
      </w:r>
    </w:p>
    <w:p w14:paraId="61FA3A5A" w14:textId="74C610E5" w:rsidR="000D2368" w:rsidRPr="001C1065" w:rsidRDefault="000D2368" w:rsidP="000D2368">
      <w:r>
        <w:t xml:space="preserve">Nine cohort studies provided information on the rate of concurrent variants identified by NGS, although it was not always explicit whether the multiple variants were within the same or different genes, and therefore whether they would have been detected by single-gene testing or not. When genes such as TP53 were included in the analysis, the rate of concurrent variants was high. However, when limited to the genes proposed to be listed as the minimum variants for the </w:t>
      </w:r>
      <w:r>
        <w:lastRenderedPageBreak/>
        <w:t>NGS panel(s) (</w:t>
      </w:r>
      <w:r w:rsidR="0056117A">
        <w:t>i.e.,</w:t>
      </w:r>
      <w:r>
        <w:t xml:space="preserve"> </w:t>
      </w:r>
      <w:r>
        <w:rPr>
          <w:i/>
        </w:rPr>
        <w:t xml:space="preserve">EGFR, BRAF, KRAS, MET </w:t>
      </w:r>
      <w:r>
        <w:t xml:space="preserve">exon 14, </w:t>
      </w:r>
      <w:r>
        <w:rPr>
          <w:i/>
        </w:rPr>
        <w:t xml:space="preserve">ALK, ROS1, RET </w:t>
      </w:r>
      <w:r>
        <w:t xml:space="preserve">and </w:t>
      </w:r>
      <w:r>
        <w:rPr>
          <w:i/>
        </w:rPr>
        <w:t>NTRK</w:t>
      </w:r>
      <w:r>
        <w:t xml:space="preserve">), the rate of concurrent variants between genes was low is all except one study. In the eight studies shown in </w:t>
      </w:r>
      <w:r>
        <w:fldChar w:fldCharType="begin"/>
      </w:r>
      <w:r>
        <w:instrText xml:space="preserve"> REF _Ref107823584 \h </w:instrText>
      </w:r>
      <w:r>
        <w:fldChar w:fldCharType="separate"/>
      </w:r>
      <w:r w:rsidR="00C857F3">
        <w:t xml:space="preserve">Table </w:t>
      </w:r>
      <w:r w:rsidR="00C857F3">
        <w:rPr>
          <w:noProof/>
        </w:rPr>
        <w:t>85</w:t>
      </w:r>
      <w:r>
        <w:fldChar w:fldCharType="end"/>
      </w:r>
      <w:r>
        <w:t xml:space="preserve"> which provided details on the rate of concurrent variants in different genes, from a total of 962 patients, there were 50 patients with concurrent variants in the genes specifically listed (5.2%). Three patients (from three separate studies) had variants in both </w:t>
      </w:r>
      <w:r>
        <w:rPr>
          <w:i/>
        </w:rPr>
        <w:t xml:space="preserve">EGFR </w:t>
      </w:r>
      <w:r>
        <w:t xml:space="preserve">and </w:t>
      </w:r>
      <w:r>
        <w:rPr>
          <w:i/>
        </w:rPr>
        <w:t>ALK</w:t>
      </w:r>
      <w:r>
        <w:t xml:space="preserve"> genes (0.3% of patients), and one patient had variants in both </w:t>
      </w:r>
      <w:r>
        <w:rPr>
          <w:i/>
        </w:rPr>
        <w:t>ALK</w:t>
      </w:r>
      <w:r>
        <w:t xml:space="preserve"> and </w:t>
      </w:r>
      <w:r>
        <w:rPr>
          <w:i/>
        </w:rPr>
        <w:t xml:space="preserve">ROS1 </w:t>
      </w:r>
      <w:r>
        <w:t>(0.1%)</w:t>
      </w:r>
      <w:r>
        <w:rPr>
          <w:i/>
        </w:rPr>
        <w:t xml:space="preserve">. </w:t>
      </w:r>
      <w:r>
        <w:t xml:space="preserve">It is unclear how the additional concurrent variants identified by NGS would impact on the clinical management of the patient. </w:t>
      </w:r>
    </w:p>
    <w:p w14:paraId="579D6E9A" w14:textId="3F5791B2" w:rsidR="000D2368" w:rsidRDefault="000D2368" w:rsidP="000D2368">
      <w:pPr>
        <w:pStyle w:val="Caption"/>
      </w:pPr>
      <w:bookmarkStart w:id="308" w:name="_Ref107823584"/>
      <w:r>
        <w:t xml:space="preserve">Table </w:t>
      </w:r>
      <w:fldSimple w:instr=" SEQ Table \* ARABIC ">
        <w:r w:rsidR="00C857F3">
          <w:rPr>
            <w:noProof/>
          </w:rPr>
          <w:t>85</w:t>
        </w:r>
      </w:fldSimple>
      <w:bookmarkEnd w:id="308"/>
      <w:r>
        <w:tab/>
        <w:t xml:space="preserve">Rate of concurrent variants identified by NGS </w:t>
      </w:r>
    </w:p>
    <w:tbl>
      <w:tblPr>
        <w:tblStyle w:val="TableGrid"/>
        <w:tblW w:w="5000" w:type="pct"/>
        <w:tblLook w:val="04A0" w:firstRow="1" w:lastRow="0" w:firstColumn="1" w:lastColumn="0" w:noHBand="0" w:noVBand="1"/>
        <w:tblCaption w:val="Rate of concurrent variants identified by NGS "/>
        <w:tblDescription w:val="Rate of concurrent variants identified by NGS "/>
      </w:tblPr>
      <w:tblGrid>
        <w:gridCol w:w="1379"/>
        <w:gridCol w:w="1419"/>
        <w:gridCol w:w="1753"/>
        <w:gridCol w:w="1428"/>
        <w:gridCol w:w="3037"/>
      </w:tblGrid>
      <w:tr w:rsidR="000D2368" w:rsidRPr="00606456" w14:paraId="0BDF5A24" w14:textId="77777777" w:rsidTr="005B1B91">
        <w:trPr>
          <w:trHeight w:val="818"/>
          <w:tblHeader/>
        </w:trPr>
        <w:tc>
          <w:tcPr>
            <w:tcW w:w="765" w:type="pct"/>
          </w:tcPr>
          <w:p w14:paraId="4DA8F6F7" w14:textId="77777777" w:rsidR="000D2368" w:rsidRPr="00606456" w:rsidRDefault="000D2368" w:rsidP="00B01AD7">
            <w:pPr>
              <w:pStyle w:val="TableHeading"/>
            </w:pPr>
            <w:r>
              <w:t>Study</w:t>
            </w:r>
          </w:p>
        </w:tc>
        <w:tc>
          <w:tcPr>
            <w:tcW w:w="787" w:type="pct"/>
          </w:tcPr>
          <w:p w14:paraId="66174695" w14:textId="77777777" w:rsidR="000D2368" w:rsidRDefault="000D2368" w:rsidP="00B01AD7">
            <w:pPr>
              <w:pStyle w:val="TableHeading"/>
            </w:pPr>
            <w:r>
              <w:t>Population</w:t>
            </w:r>
          </w:p>
        </w:tc>
        <w:tc>
          <w:tcPr>
            <w:tcW w:w="972" w:type="pct"/>
          </w:tcPr>
          <w:p w14:paraId="25FBAEB4" w14:textId="77777777" w:rsidR="000D2368" w:rsidRPr="00606456" w:rsidRDefault="000D2368" w:rsidP="00B01AD7">
            <w:pPr>
              <w:pStyle w:val="TableHeading"/>
            </w:pPr>
            <w:r>
              <w:t xml:space="preserve">Intervention </w:t>
            </w:r>
          </w:p>
        </w:tc>
        <w:tc>
          <w:tcPr>
            <w:tcW w:w="792" w:type="pct"/>
          </w:tcPr>
          <w:p w14:paraId="4369EA6F" w14:textId="77777777" w:rsidR="000D2368" w:rsidRPr="00606456" w:rsidRDefault="000D2368" w:rsidP="00B01AD7">
            <w:pPr>
              <w:pStyle w:val="TableHeading"/>
            </w:pPr>
            <w:r>
              <w:t>Overall rate of concurrent variants identified</w:t>
            </w:r>
          </w:p>
        </w:tc>
        <w:tc>
          <w:tcPr>
            <w:tcW w:w="1684" w:type="pct"/>
          </w:tcPr>
          <w:p w14:paraId="51538342" w14:textId="77777777" w:rsidR="000D2368" w:rsidRPr="00606456" w:rsidRDefault="000D2368" w:rsidP="00B01AD7">
            <w:pPr>
              <w:pStyle w:val="TableHeading"/>
            </w:pPr>
            <w:r>
              <w:t xml:space="preserve">Rate of concurrent variants </w:t>
            </w:r>
          </w:p>
        </w:tc>
      </w:tr>
      <w:tr w:rsidR="000D2368" w:rsidRPr="00606456" w14:paraId="7728D583" w14:textId="77777777" w:rsidTr="00B01AD7">
        <w:trPr>
          <w:trHeight w:val="243"/>
        </w:trPr>
        <w:tc>
          <w:tcPr>
            <w:tcW w:w="765" w:type="pct"/>
          </w:tcPr>
          <w:p w14:paraId="1291BE6B" w14:textId="5C6A0375" w:rsidR="000D2368" w:rsidRPr="00606456" w:rsidRDefault="00B4668F" w:rsidP="00B4668F">
            <w:pPr>
              <w:pStyle w:val="TableText"/>
            </w:pPr>
            <w: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PEVuZE5vdGU+PENpdGU+PEF1dGhvcj5EaUJhcmRpbm88L0F1dGhvcj48WWVhcj4yMDE3PC9ZZWFy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(DiBardino et al. 2017)</w:t>
            </w:r>
            <w:r>
              <w:fldChar w:fldCharType="end"/>
            </w:r>
          </w:p>
        </w:tc>
        <w:tc>
          <w:tcPr>
            <w:tcW w:w="787" w:type="pct"/>
          </w:tcPr>
          <w:p w14:paraId="7C42D035" w14:textId="77777777" w:rsidR="000D2368" w:rsidRDefault="000D2368" w:rsidP="00B01AD7">
            <w:pPr>
              <w:pStyle w:val="TableText"/>
            </w:pPr>
            <w:r>
              <w:t xml:space="preserve">20 patients with NSCLC </w:t>
            </w:r>
          </w:p>
        </w:tc>
        <w:tc>
          <w:tcPr>
            <w:tcW w:w="972" w:type="pct"/>
          </w:tcPr>
          <w:p w14:paraId="2A3A6A15" w14:textId="77777777" w:rsidR="000D2368" w:rsidRDefault="000D2368" w:rsidP="00B01AD7">
            <w:pPr>
              <w:pStyle w:val="TableText"/>
            </w:pPr>
            <w:r>
              <w:t>Targeted NGS of tumour DNA (Colombia Combined Cancer Panel)</w:t>
            </w:r>
          </w:p>
        </w:tc>
        <w:tc>
          <w:tcPr>
            <w:tcW w:w="792" w:type="pct"/>
          </w:tcPr>
          <w:p w14:paraId="1E045F9A" w14:textId="77777777" w:rsidR="000D2368" w:rsidRPr="00606456" w:rsidRDefault="000D2368" w:rsidP="00B01AD7">
            <w:pPr>
              <w:pStyle w:val="TableText"/>
            </w:pPr>
            <w:r>
              <w:t>1/20 (5%) had multiple variants</w:t>
            </w:r>
          </w:p>
        </w:tc>
        <w:tc>
          <w:tcPr>
            <w:tcW w:w="1684" w:type="pct"/>
          </w:tcPr>
          <w:p w14:paraId="28D464B9" w14:textId="77777777" w:rsidR="000D2368" w:rsidRPr="00606456" w:rsidRDefault="000D2368" w:rsidP="00B01AD7">
            <w:pPr>
              <w:pStyle w:val="TableText"/>
            </w:pPr>
            <w:r>
              <w:t xml:space="preserve">1 case had 2 </w:t>
            </w:r>
            <w:r>
              <w:rPr>
                <w:i/>
              </w:rPr>
              <w:t>EGFR</w:t>
            </w:r>
            <w:r>
              <w:t xml:space="preserve"> variants (L858R and T790M) </w:t>
            </w:r>
          </w:p>
        </w:tc>
      </w:tr>
      <w:tr w:rsidR="000D2368" w:rsidRPr="00606456" w14:paraId="48FAC43F" w14:textId="77777777" w:rsidTr="00B01AD7">
        <w:trPr>
          <w:trHeight w:val="243"/>
        </w:trPr>
        <w:tc>
          <w:tcPr>
            <w:tcW w:w="765" w:type="pct"/>
          </w:tcPr>
          <w:p w14:paraId="7493E74A" w14:textId="1605405B" w:rsidR="000D2368" w:rsidRPr="00606456" w:rsidRDefault="00B4668F" w:rsidP="00B4668F">
            <w:pPr>
              <w:pStyle w:val="TableText"/>
            </w:pPr>
            <w: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 </w:instrText>
            </w:r>
            <w:r>
              <w:fldChar w:fldCharType="begin">
                <w:fldData xml:space="preserve">PEVuZE5vdGU+PENpdGU+PEF1dGhvcj5KaTwvQXV0aG9yPjxZZWFyPjIwMTk8L1llYXI+PFJlY051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</w:fldData>
              </w:fldChar>
            </w:r>
            <w:r>
              <w:instrText xml:space="preserve"> ADDIN EN.CITE.DATA </w:instrText>
            </w:r>
            <w:r>
              <w:fldChar w:fldCharType="end"/>
            </w:r>
            <w:r>
              <w:fldChar w:fldCharType="separate"/>
            </w:r>
            <w:r>
              <w:rPr>
                <w:noProof/>
              </w:rPr>
              <w:t>(Ji et al. 2019)</w:t>
            </w:r>
            <w:r>
              <w:fldChar w:fldCharType="end"/>
            </w:r>
          </w:p>
        </w:tc>
        <w:tc>
          <w:tcPr>
            <w:tcW w:w="787" w:type="pct"/>
          </w:tcPr>
          <w:p w14:paraId="691D06E1" w14:textId="77777777" w:rsidR="000D2368" w:rsidRDefault="000D2368" w:rsidP="00B01AD7">
            <w:pPr>
              <w:pStyle w:val="TableText"/>
            </w:pPr>
            <w:r>
              <w:t>199 patients with NSCLC</w:t>
            </w:r>
          </w:p>
        </w:tc>
        <w:tc>
          <w:tcPr>
            <w:tcW w:w="972" w:type="pct"/>
          </w:tcPr>
          <w:p w14:paraId="199DCF77" w14:textId="77777777" w:rsidR="000D2368" w:rsidRPr="000E023E" w:rsidRDefault="000D2368" w:rsidP="00B01AD7">
            <w:pPr>
              <w:pStyle w:val="TableText"/>
            </w:pPr>
            <w:r>
              <w:t>NGS assessing 10 genes, DNA and RNA</w:t>
            </w:r>
          </w:p>
        </w:tc>
        <w:tc>
          <w:tcPr>
            <w:tcW w:w="792" w:type="pct"/>
          </w:tcPr>
          <w:p w14:paraId="562CC705" w14:textId="77777777" w:rsidR="000D2368" w:rsidRDefault="000D2368" w:rsidP="00B01AD7">
            <w:pPr>
              <w:pStyle w:val="TableText"/>
            </w:pPr>
            <w:r>
              <w:t xml:space="preserve">5/199 (2.5%) double variants in </w:t>
            </w:r>
            <w:r>
              <w:rPr>
                <w:i/>
              </w:rPr>
              <w:t xml:space="preserve">EGFR </w:t>
            </w:r>
            <w:r>
              <w:t>gene</w:t>
            </w:r>
          </w:p>
          <w:p w14:paraId="0EDBECE7" w14:textId="77777777" w:rsidR="000D2368" w:rsidRPr="000C670F" w:rsidRDefault="000D2368" w:rsidP="00B01AD7">
            <w:pPr>
              <w:pStyle w:val="TableText"/>
            </w:pPr>
            <w:r>
              <w:t>4/199 (2.0%) had 2 genes with variants</w:t>
            </w:r>
          </w:p>
        </w:tc>
        <w:tc>
          <w:tcPr>
            <w:tcW w:w="1684" w:type="pct"/>
          </w:tcPr>
          <w:p w14:paraId="261C047B" w14:textId="77777777" w:rsidR="000D2368" w:rsidRDefault="000D2368" w:rsidP="00B01AD7">
            <w:pPr>
              <w:pStyle w:val="TableText"/>
            </w:pPr>
            <w:r>
              <w:t xml:space="preserve">1 case with </w:t>
            </w:r>
            <w:r w:rsidRPr="003763CE">
              <w:rPr>
                <w:i/>
              </w:rPr>
              <w:t>EGFR</w:t>
            </w:r>
            <w:r>
              <w:t xml:space="preserve">-T790M + </w:t>
            </w:r>
            <w:r w:rsidRPr="003763CE">
              <w:rPr>
                <w:i/>
              </w:rPr>
              <w:t>ALK</w:t>
            </w:r>
            <w:r>
              <w:t xml:space="preserve"> M1</w:t>
            </w:r>
          </w:p>
          <w:p w14:paraId="1BE49CC1" w14:textId="77777777" w:rsidR="000D2368" w:rsidRDefault="000D2368" w:rsidP="00B01AD7">
            <w:pPr>
              <w:pStyle w:val="TableText"/>
            </w:pPr>
            <w:r>
              <w:t>1 case</w:t>
            </w:r>
            <w:r w:rsidRPr="003763CE">
              <w:rPr>
                <w:i/>
              </w:rPr>
              <w:t xml:space="preserve"> KRAS</w:t>
            </w:r>
            <w:r>
              <w:t xml:space="preserve"> G12A + </w:t>
            </w:r>
            <w:r w:rsidRPr="003763CE">
              <w:rPr>
                <w:i/>
              </w:rPr>
              <w:t>EGFR</w:t>
            </w:r>
            <w:r>
              <w:t xml:space="preserve"> G719A</w:t>
            </w:r>
          </w:p>
          <w:p w14:paraId="2C5E6930" w14:textId="77777777" w:rsidR="000D2368" w:rsidRDefault="000D2368" w:rsidP="00B01AD7">
            <w:pPr>
              <w:pStyle w:val="TableText"/>
            </w:pPr>
            <w:r>
              <w:t>1 case</w:t>
            </w:r>
            <w:r w:rsidRPr="003763CE">
              <w:rPr>
                <w:i/>
              </w:rPr>
              <w:t xml:space="preserve"> KRAS</w:t>
            </w:r>
            <w:r>
              <w:t xml:space="preserve"> G12C + </w:t>
            </w:r>
            <w:r w:rsidRPr="003763CE">
              <w:rPr>
                <w:i/>
              </w:rPr>
              <w:t>ALK</w:t>
            </w:r>
            <w:r>
              <w:t xml:space="preserve"> M2</w:t>
            </w:r>
          </w:p>
          <w:p w14:paraId="3CF61E72" w14:textId="77777777" w:rsidR="000D2368" w:rsidRPr="00606456" w:rsidRDefault="000D2368" w:rsidP="00B01AD7">
            <w:pPr>
              <w:pStyle w:val="TableText"/>
            </w:pPr>
            <w:r>
              <w:t xml:space="preserve">1 case </w:t>
            </w:r>
            <w:r w:rsidRPr="003763CE">
              <w:rPr>
                <w:i/>
              </w:rPr>
              <w:t xml:space="preserve">KRAS </w:t>
            </w:r>
            <w:r>
              <w:t xml:space="preserve">G12V + </w:t>
            </w:r>
            <w:r w:rsidRPr="003763CE">
              <w:rPr>
                <w:i/>
              </w:rPr>
              <w:t xml:space="preserve">PIK3CA </w:t>
            </w:r>
            <w:r>
              <w:t>H1047R</w:t>
            </w:r>
          </w:p>
        </w:tc>
      </w:tr>
      <w:tr w:rsidR="000D2368" w:rsidRPr="00606456" w14:paraId="210660B1" w14:textId="77777777" w:rsidTr="00B01AD7">
        <w:trPr>
          <w:trHeight w:val="243"/>
        </w:trPr>
        <w:tc>
          <w:tcPr>
            <w:tcW w:w="765" w:type="pct"/>
          </w:tcPr>
          <w:p w14:paraId="57476DA4" w14:textId="32AE6675" w:rsidR="000D2368" w:rsidRPr="00A81BCC" w:rsidRDefault="00B4668F" w:rsidP="00B4668F">
            <w:pPr>
              <w:pStyle w:val="TableText"/>
            </w:pPr>
            <w: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PEVuZE5vdGU+PENpdGU+PEF1dGhvcj5KaW5nPC9BdXRob3I+PFllYXI+MjAxODwvWWVhcj48UmVj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YWx0LXBlcmlvZGljYWw+PHBhZ2VzPjIxOTEtMjE5NzwvcGFnZXM+PHZvbHVtZT4xODwvdm9sdW1l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(Jing et al. 2018)</w:t>
            </w:r>
            <w:r>
              <w:fldChar w:fldCharType="end"/>
            </w:r>
          </w:p>
        </w:tc>
        <w:tc>
          <w:tcPr>
            <w:tcW w:w="787" w:type="pct"/>
          </w:tcPr>
          <w:p w14:paraId="6A4614BA" w14:textId="77777777" w:rsidR="000D2368" w:rsidRDefault="000D2368" w:rsidP="00B01AD7">
            <w:pPr>
              <w:pStyle w:val="TableText"/>
            </w:pPr>
            <w:r>
              <w:t>112 patients with NSCLC</w:t>
            </w:r>
          </w:p>
        </w:tc>
        <w:tc>
          <w:tcPr>
            <w:tcW w:w="972" w:type="pct"/>
          </w:tcPr>
          <w:p w14:paraId="1D960FD8" w14:textId="77777777" w:rsidR="000D2368" w:rsidRPr="001C4339" w:rsidRDefault="000D2368" w:rsidP="00B01AD7">
            <w:pPr>
              <w:pStyle w:val="TableText"/>
            </w:pPr>
            <w:r>
              <w:t xml:space="preserve">NGS: The Lung Panel including </w:t>
            </w:r>
            <w:r>
              <w:rPr>
                <w:i/>
              </w:rPr>
              <w:t xml:space="preserve">BRAF, EGFR, KRAS, NRAS, PIK3CA, Her-2 </w:t>
            </w:r>
            <w:r>
              <w:t xml:space="preserve">and </w:t>
            </w:r>
            <w:r>
              <w:rPr>
                <w:i/>
              </w:rPr>
              <w:t>TP53</w:t>
            </w:r>
            <w:r>
              <w:t xml:space="preserve"> from DNA</w:t>
            </w:r>
          </w:p>
        </w:tc>
        <w:tc>
          <w:tcPr>
            <w:tcW w:w="792" w:type="pct"/>
          </w:tcPr>
          <w:p w14:paraId="20EA9701" w14:textId="77777777" w:rsidR="000D2368" w:rsidRDefault="000D2368" w:rsidP="00B01AD7">
            <w:pPr>
              <w:pStyle w:val="TableText"/>
            </w:pPr>
            <w:r>
              <w:t>24/112 (21.4%) with variants in 2 or more genes</w:t>
            </w:r>
          </w:p>
          <w:p w14:paraId="62AFCA6B" w14:textId="77777777" w:rsidR="000D2368" w:rsidRDefault="000D2368" w:rsidP="00B01AD7">
            <w:pPr>
              <w:pStyle w:val="TableText"/>
            </w:pPr>
            <w:r>
              <w:t>2 with variants in 3 genes</w:t>
            </w:r>
          </w:p>
        </w:tc>
        <w:tc>
          <w:tcPr>
            <w:tcW w:w="1684" w:type="pct"/>
          </w:tcPr>
          <w:p w14:paraId="0CF54889" w14:textId="77777777" w:rsidR="000D2368" w:rsidRDefault="000D2368" w:rsidP="00B01AD7">
            <w:pPr>
              <w:pStyle w:val="TableText"/>
              <w:rPr>
                <w:i/>
              </w:rPr>
            </w:pPr>
            <w:r>
              <w:t xml:space="preserve">13 cases of </w:t>
            </w:r>
            <w:r>
              <w:rPr>
                <w:i/>
              </w:rPr>
              <w:t xml:space="preserve">EGFR </w:t>
            </w:r>
            <w:r>
              <w:t xml:space="preserve">+ </w:t>
            </w:r>
            <w:r w:rsidRPr="001C4339">
              <w:rPr>
                <w:i/>
              </w:rPr>
              <w:t>TP53</w:t>
            </w:r>
          </w:p>
          <w:p w14:paraId="38EC6532" w14:textId="77777777" w:rsidR="000D2368" w:rsidRDefault="000D2368" w:rsidP="00B01AD7">
            <w:pPr>
              <w:pStyle w:val="TableText"/>
            </w:pPr>
            <w:r>
              <w:t xml:space="preserve">3 cases </w:t>
            </w:r>
            <w:r>
              <w:rPr>
                <w:i/>
              </w:rPr>
              <w:t>KRAS +</w:t>
            </w:r>
            <w:r w:rsidRPr="001C4339">
              <w:rPr>
                <w:i/>
              </w:rPr>
              <w:t xml:space="preserve"> TP53</w:t>
            </w:r>
          </w:p>
          <w:p w14:paraId="5FF2F632" w14:textId="77777777" w:rsidR="000D2368" w:rsidRDefault="000D2368" w:rsidP="00B01AD7">
            <w:pPr>
              <w:pStyle w:val="TableText"/>
            </w:pPr>
            <w:r>
              <w:t xml:space="preserve">2 cases </w:t>
            </w:r>
            <w:r w:rsidRPr="003763CE">
              <w:rPr>
                <w:i/>
              </w:rPr>
              <w:t>TP53</w:t>
            </w:r>
            <w:r>
              <w:t xml:space="preserve"> + </w:t>
            </w:r>
            <w:r w:rsidRPr="003763CE">
              <w:rPr>
                <w:i/>
              </w:rPr>
              <w:t>PIK3CA</w:t>
            </w:r>
          </w:p>
          <w:p w14:paraId="06DBBD80" w14:textId="77777777" w:rsidR="000D2368" w:rsidRDefault="000D2368" w:rsidP="00B01AD7">
            <w:pPr>
              <w:pStyle w:val="TableText"/>
            </w:pPr>
            <w:r>
              <w:t xml:space="preserve">1 case </w:t>
            </w:r>
            <w:r w:rsidRPr="003763CE">
              <w:rPr>
                <w:i/>
              </w:rPr>
              <w:t>EGFR</w:t>
            </w:r>
            <w:r>
              <w:t xml:space="preserve"> + </w:t>
            </w:r>
            <w:r w:rsidRPr="003763CE">
              <w:rPr>
                <w:i/>
              </w:rPr>
              <w:t>PIK3CA</w:t>
            </w:r>
          </w:p>
          <w:p w14:paraId="3701891A" w14:textId="77777777" w:rsidR="000D2368" w:rsidRDefault="000D2368" w:rsidP="00B01AD7">
            <w:pPr>
              <w:pStyle w:val="TableText"/>
            </w:pPr>
            <w:r>
              <w:t xml:space="preserve">1 case </w:t>
            </w:r>
            <w:r w:rsidRPr="003763CE">
              <w:rPr>
                <w:i/>
              </w:rPr>
              <w:t>EGFR</w:t>
            </w:r>
            <w:r>
              <w:t xml:space="preserve"> +</w:t>
            </w:r>
            <w:r w:rsidRPr="003763CE">
              <w:rPr>
                <w:i/>
              </w:rPr>
              <w:t xml:space="preserve"> KRAS</w:t>
            </w:r>
          </w:p>
          <w:p w14:paraId="50F58DB9" w14:textId="77777777" w:rsidR="000D2368" w:rsidRDefault="000D2368" w:rsidP="00B01AD7">
            <w:pPr>
              <w:pStyle w:val="TableText"/>
            </w:pPr>
            <w:r>
              <w:t xml:space="preserve">1 case </w:t>
            </w:r>
            <w:r w:rsidRPr="003763CE">
              <w:rPr>
                <w:i/>
              </w:rPr>
              <w:t>EGFR</w:t>
            </w:r>
            <w:r>
              <w:t xml:space="preserve"> + </w:t>
            </w:r>
            <w:r w:rsidRPr="003763CE">
              <w:rPr>
                <w:i/>
              </w:rPr>
              <w:t>NRAS</w:t>
            </w:r>
          </w:p>
          <w:p w14:paraId="774AE5E5" w14:textId="77777777" w:rsidR="000D2368" w:rsidRDefault="000D2368" w:rsidP="00B01AD7">
            <w:pPr>
              <w:pStyle w:val="TableText"/>
            </w:pPr>
            <w:r>
              <w:t xml:space="preserve">1 case </w:t>
            </w:r>
            <w:r w:rsidRPr="003763CE">
              <w:rPr>
                <w:i/>
              </w:rPr>
              <w:t>EGFR</w:t>
            </w:r>
            <w:r>
              <w:t xml:space="preserve"> +  </w:t>
            </w:r>
            <w:r w:rsidRPr="003763CE">
              <w:rPr>
                <w:i/>
              </w:rPr>
              <w:t>Her-2</w:t>
            </w:r>
          </w:p>
          <w:p w14:paraId="0F626D6B" w14:textId="77777777" w:rsidR="000D2368" w:rsidRPr="003763CE" w:rsidRDefault="000D2368" w:rsidP="00B01AD7">
            <w:pPr>
              <w:pStyle w:val="TableText"/>
              <w:rPr>
                <w:i/>
              </w:rPr>
            </w:pPr>
            <w:r>
              <w:t>1 case</w:t>
            </w:r>
            <w:r w:rsidRPr="003763CE">
              <w:rPr>
                <w:i/>
              </w:rPr>
              <w:t xml:space="preserve"> BRAF +</w:t>
            </w:r>
          </w:p>
          <w:p w14:paraId="4E0C52A6" w14:textId="77777777" w:rsidR="000D2368" w:rsidRPr="003763CE" w:rsidRDefault="000D2368" w:rsidP="00B01AD7">
            <w:pPr>
              <w:pStyle w:val="TableText"/>
              <w:rPr>
                <w:i/>
              </w:rPr>
            </w:pPr>
            <w:r w:rsidRPr="003763CE">
              <w:rPr>
                <w:i/>
              </w:rPr>
              <w:t xml:space="preserve">TP53 </w:t>
            </w:r>
          </w:p>
          <w:p w14:paraId="49CB8DA9" w14:textId="77777777" w:rsidR="000D2368" w:rsidRPr="001C4339" w:rsidRDefault="000D2368" w:rsidP="00B01AD7">
            <w:pPr>
              <w:pStyle w:val="TableText"/>
            </w:pPr>
            <w:r>
              <w:t xml:space="preserve">1 case </w:t>
            </w:r>
            <w:r w:rsidRPr="003763CE">
              <w:rPr>
                <w:i/>
              </w:rPr>
              <w:t>BRAF + PIK3CA</w:t>
            </w:r>
          </w:p>
        </w:tc>
      </w:tr>
      <w:tr w:rsidR="000D2368" w:rsidRPr="00606456" w14:paraId="71B038AC" w14:textId="77777777" w:rsidTr="00B01AD7">
        <w:trPr>
          <w:trHeight w:val="243"/>
        </w:trPr>
        <w:tc>
          <w:tcPr>
            <w:tcW w:w="765" w:type="pct"/>
          </w:tcPr>
          <w:p w14:paraId="0CB8270B" w14:textId="629C176B" w:rsidR="000D2368" w:rsidRPr="001C4339" w:rsidRDefault="00B4668F" w:rsidP="006D4612">
            <w:pPr>
              <w:pStyle w:val="TableText"/>
            </w:pPr>
            <w:r>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 </w:instrText>
            </w:r>
            <w:r w:rsidR="006D4612">
              <w:fldChar w:fldCharType="begin">
                <w:fldData xml:space="preserve">PEVuZE5vdGU+PENpdGU+PEF1dGhvcj5MaTwvQXV0aG9yPjxZZWFyPjIwMjE8L1llYXI+PFJlY051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</w:fldData>
              </w:fldChar>
            </w:r>
            <w:r w:rsidR="006D4612">
              <w:instrText xml:space="preserve"> ADDIN EN.CITE.DATA </w:instrText>
            </w:r>
            <w:r w:rsidR="006D4612">
              <w:fldChar w:fldCharType="end"/>
            </w:r>
            <w:r>
              <w:fldChar w:fldCharType="separate"/>
            </w:r>
            <w:r w:rsidR="006D4612">
              <w:rPr>
                <w:noProof/>
              </w:rPr>
              <w:t>(Li, W, Li, Y, et al. 2021)</w:t>
            </w:r>
            <w:r>
              <w:fldChar w:fldCharType="end"/>
            </w:r>
          </w:p>
        </w:tc>
        <w:tc>
          <w:tcPr>
            <w:tcW w:w="787" w:type="pct"/>
          </w:tcPr>
          <w:p w14:paraId="0FBE8214" w14:textId="77777777" w:rsidR="000D2368" w:rsidRDefault="000D2368" w:rsidP="00B01AD7">
            <w:pPr>
              <w:pStyle w:val="TableText"/>
            </w:pPr>
            <w:r>
              <w:t>166 patients with NSCLC</w:t>
            </w:r>
          </w:p>
        </w:tc>
        <w:tc>
          <w:tcPr>
            <w:tcW w:w="972" w:type="pct"/>
          </w:tcPr>
          <w:p w14:paraId="1A90EBC5" w14:textId="77777777" w:rsidR="000D2368" w:rsidRPr="002A1DB7" w:rsidRDefault="000D2368" w:rsidP="00B01AD7">
            <w:pPr>
              <w:pStyle w:val="TableText"/>
              <w:rPr>
                <w:i/>
              </w:rPr>
            </w:pPr>
            <w:r>
              <w:t xml:space="preserve">NGS of DNA of </w:t>
            </w:r>
            <w:r>
              <w:rPr>
                <w:i/>
              </w:rPr>
              <w:t>EGFR, ALK, ROS1, KRAS, BRAF V600E, HER2, RET, MET</w:t>
            </w:r>
            <w:r>
              <w:t xml:space="preserve">ex14sk, </w:t>
            </w:r>
            <w:r>
              <w:rPr>
                <w:i/>
              </w:rPr>
              <w:t xml:space="preserve">MET </w:t>
            </w:r>
            <w:r>
              <w:t xml:space="preserve">amplification, and </w:t>
            </w:r>
            <w:r>
              <w:rPr>
                <w:i/>
              </w:rPr>
              <w:t>NTRK</w:t>
            </w:r>
          </w:p>
        </w:tc>
        <w:tc>
          <w:tcPr>
            <w:tcW w:w="792" w:type="pct"/>
          </w:tcPr>
          <w:p w14:paraId="44B1A860" w14:textId="77777777" w:rsidR="000D2368" w:rsidRDefault="000D2368" w:rsidP="00B01AD7">
            <w:pPr>
              <w:pStyle w:val="TableText"/>
            </w:pPr>
            <w:r>
              <w:t>1/166 (0.6%)</w:t>
            </w:r>
          </w:p>
        </w:tc>
        <w:tc>
          <w:tcPr>
            <w:tcW w:w="1684" w:type="pct"/>
          </w:tcPr>
          <w:p w14:paraId="6E955379" w14:textId="77777777" w:rsidR="000D2368" w:rsidRPr="002A1DB7" w:rsidRDefault="000D2368" w:rsidP="00B01AD7">
            <w:pPr>
              <w:pStyle w:val="TableText"/>
            </w:pPr>
            <w:r>
              <w:t xml:space="preserve">1 case of </w:t>
            </w:r>
            <w:r>
              <w:rPr>
                <w:i/>
              </w:rPr>
              <w:t>EGFR + MET</w:t>
            </w:r>
            <w:r>
              <w:t xml:space="preserve"> amplification</w:t>
            </w:r>
          </w:p>
        </w:tc>
      </w:tr>
      <w:tr w:rsidR="000D2368" w:rsidRPr="00606456" w14:paraId="573ABAA9" w14:textId="77777777" w:rsidTr="00B01AD7">
        <w:trPr>
          <w:trHeight w:val="243"/>
        </w:trPr>
        <w:tc>
          <w:tcPr>
            <w:tcW w:w="765" w:type="pct"/>
          </w:tcPr>
          <w:p w14:paraId="107B1819" w14:textId="23C53540" w:rsidR="000D2368" w:rsidRPr="002A1DB7" w:rsidRDefault="00B4668F" w:rsidP="00B4668F">
            <w:pPr>
              <w:pStyle w:val="TableText"/>
            </w:pP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 </w:instrText>
            </w:r>
            <w:r>
              <w:fldChar w:fldCharType="begin">
                <w:fldData xml:space="preserve">PEVuZE5vdGU+PENpdGU+PEF1dGhvcj5NZWh0YTwvQXV0aG9yPjxZZWFyPjIwMjA8L1llYXI+PFJl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</w:fldData>
              </w:fldChar>
            </w:r>
            <w:r>
              <w:instrText xml:space="preserve"> ADDIN EN.CITE.DATA </w:instrText>
            </w:r>
            <w:r>
              <w:fldChar w:fldCharType="end"/>
            </w:r>
            <w:r>
              <w:fldChar w:fldCharType="separate"/>
            </w:r>
            <w:r>
              <w:rPr>
                <w:noProof/>
              </w:rPr>
              <w:t>(Mehta et al. 2020)</w:t>
            </w:r>
            <w:r>
              <w:fldChar w:fldCharType="end"/>
            </w:r>
          </w:p>
        </w:tc>
        <w:tc>
          <w:tcPr>
            <w:tcW w:w="787" w:type="pct"/>
          </w:tcPr>
          <w:p w14:paraId="5D582310" w14:textId="77777777" w:rsidR="000D2368" w:rsidRDefault="000D2368" w:rsidP="00B01AD7">
            <w:pPr>
              <w:pStyle w:val="TableText"/>
            </w:pPr>
            <w:r>
              <w:t>100 patients with NSCLC</w:t>
            </w:r>
          </w:p>
        </w:tc>
        <w:tc>
          <w:tcPr>
            <w:tcW w:w="972" w:type="pct"/>
          </w:tcPr>
          <w:p w14:paraId="19460E8E" w14:textId="77777777" w:rsidR="000D2368" w:rsidRPr="002A1DB7" w:rsidRDefault="000D2368" w:rsidP="00B01AD7">
            <w:pPr>
              <w:pStyle w:val="TableText"/>
            </w:pPr>
            <w:r>
              <w:t xml:space="preserve">NGS of 28 different genes including fusions for </w:t>
            </w:r>
            <w:r>
              <w:rPr>
                <w:i/>
              </w:rPr>
              <w:t xml:space="preserve">ALK, ROS1, RET </w:t>
            </w:r>
            <w:r>
              <w:t xml:space="preserve">and </w:t>
            </w:r>
            <w:r>
              <w:rPr>
                <w:i/>
              </w:rPr>
              <w:t xml:space="preserve">NTRK </w:t>
            </w:r>
            <w:r>
              <w:t>(in 70/100 tumours)</w:t>
            </w:r>
          </w:p>
        </w:tc>
        <w:tc>
          <w:tcPr>
            <w:tcW w:w="792" w:type="pct"/>
          </w:tcPr>
          <w:p w14:paraId="2FA92D16" w14:textId="77777777" w:rsidR="000D2368" w:rsidRDefault="000D2368" w:rsidP="00B01AD7">
            <w:pPr>
              <w:pStyle w:val="TableText"/>
            </w:pPr>
            <w:r>
              <w:t>27/100 (27%) variants in 2 genes (most common gene TP53)</w:t>
            </w:r>
          </w:p>
          <w:p w14:paraId="0833741F" w14:textId="77777777" w:rsidR="000D2368" w:rsidRDefault="000D2368" w:rsidP="00B01AD7">
            <w:pPr>
              <w:pStyle w:val="TableText"/>
            </w:pPr>
            <w:r>
              <w:t>10 variants in 3 genes</w:t>
            </w:r>
          </w:p>
          <w:p w14:paraId="38FA758C" w14:textId="77777777" w:rsidR="000D2368" w:rsidRDefault="000D2368" w:rsidP="00B01AD7">
            <w:pPr>
              <w:pStyle w:val="TableText"/>
            </w:pPr>
            <w:r>
              <w:t>5 variants in &gt;3 genes</w:t>
            </w:r>
          </w:p>
        </w:tc>
        <w:tc>
          <w:tcPr>
            <w:tcW w:w="1684" w:type="pct"/>
          </w:tcPr>
          <w:p w14:paraId="7B7C3CBE" w14:textId="77777777" w:rsidR="000D2368" w:rsidRDefault="000D2368" w:rsidP="00B01AD7">
            <w:pPr>
              <w:pStyle w:val="TableText"/>
            </w:pPr>
            <w:r>
              <w:t xml:space="preserve">8 cases </w:t>
            </w:r>
            <w:r w:rsidRPr="003763CE">
              <w:rPr>
                <w:i/>
              </w:rPr>
              <w:t>EGFR + TP53</w:t>
            </w:r>
          </w:p>
          <w:p w14:paraId="683350C3" w14:textId="77777777" w:rsidR="000D2368" w:rsidRDefault="000D2368" w:rsidP="00B01AD7">
            <w:pPr>
              <w:pStyle w:val="TableText"/>
            </w:pPr>
            <w:r>
              <w:t xml:space="preserve">2 cases </w:t>
            </w:r>
            <w:r w:rsidRPr="003763CE">
              <w:rPr>
                <w:i/>
              </w:rPr>
              <w:t>EGFR + KRAS</w:t>
            </w:r>
          </w:p>
          <w:p w14:paraId="13AE3FE7" w14:textId="77777777" w:rsidR="000D2368" w:rsidRDefault="000D2368" w:rsidP="00B01AD7">
            <w:pPr>
              <w:pStyle w:val="TableText"/>
            </w:pPr>
            <w:r>
              <w:t xml:space="preserve">1 case </w:t>
            </w:r>
            <w:r w:rsidRPr="003763CE">
              <w:rPr>
                <w:i/>
              </w:rPr>
              <w:t>EGFR + BRAF</w:t>
            </w:r>
          </w:p>
          <w:p w14:paraId="1ED64C73" w14:textId="77777777" w:rsidR="000D2368" w:rsidRDefault="000D2368" w:rsidP="00B01AD7">
            <w:pPr>
              <w:pStyle w:val="TableText"/>
            </w:pPr>
            <w:r>
              <w:t xml:space="preserve">2 cases </w:t>
            </w:r>
            <w:r w:rsidRPr="003763CE">
              <w:rPr>
                <w:i/>
              </w:rPr>
              <w:t>EGFR + PIK3CA</w:t>
            </w:r>
          </w:p>
          <w:p w14:paraId="1E3F8EDA" w14:textId="77777777" w:rsidR="000D2368" w:rsidRDefault="000D2368" w:rsidP="00B01AD7">
            <w:pPr>
              <w:pStyle w:val="TableText"/>
            </w:pPr>
            <w:r>
              <w:t xml:space="preserve">1 case </w:t>
            </w:r>
            <w:r w:rsidRPr="003763CE">
              <w:rPr>
                <w:i/>
              </w:rPr>
              <w:t>EGFR + PTEN</w:t>
            </w:r>
          </w:p>
          <w:p w14:paraId="07580815" w14:textId="77777777" w:rsidR="000D2368" w:rsidRDefault="000D2368" w:rsidP="00B01AD7">
            <w:pPr>
              <w:pStyle w:val="TableText"/>
            </w:pPr>
            <w:r>
              <w:t>Unclear what concurrent variants did not occur with EGFR</w:t>
            </w:r>
          </w:p>
        </w:tc>
      </w:tr>
      <w:tr w:rsidR="000D2368" w:rsidRPr="00606456" w14:paraId="29F5431C" w14:textId="77777777" w:rsidTr="00B01AD7">
        <w:trPr>
          <w:trHeight w:val="243"/>
        </w:trPr>
        <w:tc>
          <w:tcPr>
            <w:tcW w:w="765" w:type="pct"/>
          </w:tcPr>
          <w:p w14:paraId="0317C59B" w14:textId="26287AF8" w:rsidR="000D2368" w:rsidRPr="002A1DB7" w:rsidRDefault="00B4668F" w:rsidP="00B4668F">
            <w:pPr>
              <w:pStyle w:val="TableText"/>
            </w:pPr>
            <w:r>
              <w:lastRenderedPageBreak/>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instrText xml:space="preserve"> ADDIN EN.CITE </w:instrText>
            </w:r>
            <w:r>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instrText xml:space="preserve"> ADDIN EN.CITE.DATA </w:instrText>
            </w:r>
            <w:r>
              <w:fldChar w:fldCharType="end"/>
            </w:r>
            <w:r>
              <w:fldChar w:fldCharType="separate"/>
            </w:r>
            <w:r>
              <w:rPr>
                <w:noProof/>
              </w:rPr>
              <w:t>(Simarro et al. 2019)</w:t>
            </w:r>
            <w:r>
              <w:fldChar w:fldCharType="end"/>
            </w:r>
          </w:p>
        </w:tc>
        <w:tc>
          <w:tcPr>
            <w:tcW w:w="787" w:type="pct"/>
          </w:tcPr>
          <w:p w14:paraId="4204877A" w14:textId="77777777" w:rsidR="000D2368" w:rsidRDefault="000D2368" w:rsidP="00B01AD7">
            <w:pPr>
              <w:pStyle w:val="TableText"/>
            </w:pPr>
            <w:r>
              <w:t>106 patients with NSCLC</w:t>
            </w:r>
          </w:p>
        </w:tc>
        <w:tc>
          <w:tcPr>
            <w:tcW w:w="972" w:type="pct"/>
          </w:tcPr>
          <w:p w14:paraId="42CE27B1" w14:textId="77777777" w:rsidR="000D2368" w:rsidRDefault="000D2368" w:rsidP="00B01AD7">
            <w:pPr>
              <w:pStyle w:val="TableText"/>
            </w:pPr>
            <w:r>
              <w:t>Oncomine Solid Tumor kit (DNA) and Oncomine Solid Tumor Fusion Transcript kit (RNA)</w:t>
            </w:r>
          </w:p>
        </w:tc>
        <w:tc>
          <w:tcPr>
            <w:tcW w:w="792" w:type="pct"/>
          </w:tcPr>
          <w:p w14:paraId="79D59002" w14:textId="77777777" w:rsidR="000D2368" w:rsidRDefault="000D2368" w:rsidP="00B01AD7">
            <w:pPr>
              <w:pStyle w:val="TableText"/>
            </w:pPr>
            <w:r>
              <w:t>35/106 (33%) with concurrent variants</w:t>
            </w:r>
          </w:p>
        </w:tc>
        <w:tc>
          <w:tcPr>
            <w:tcW w:w="1684" w:type="pct"/>
          </w:tcPr>
          <w:p w14:paraId="11028D59" w14:textId="6E82852D" w:rsidR="000D2368" w:rsidRDefault="000D2368" w:rsidP="00B01AD7">
            <w:pPr>
              <w:pStyle w:val="TableText"/>
            </w:pPr>
            <w:r>
              <w:t xml:space="preserve">see </w:t>
            </w:r>
            <w:r>
              <w:fldChar w:fldCharType="begin"/>
            </w:r>
            <w:r>
              <w:instrText xml:space="preserve"> REF _Ref107576648 \h  \* MERGEFORMAT </w:instrText>
            </w:r>
            <w:r>
              <w:fldChar w:fldCharType="separate"/>
            </w:r>
            <w:r w:rsidR="00C857F3">
              <w:t xml:space="preserve">Figure </w:t>
            </w:r>
            <w:r w:rsidR="00C857F3">
              <w:rPr>
                <w:noProof/>
              </w:rPr>
              <w:t>27</w:t>
            </w:r>
            <w:r>
              <w:fldChar w:fldCharType="end"/>
            </w:r>
          </w:p>
        </w:tc>
      </w:tr>
      <w:tr w:rsidR="000D2368" w:rsidRPr="00606456" w14:paraId="5965778B" w14:textId="77777777" w:rsidTr="00B01AD7">
        <w:trPr>
          <w:trHeight w:val="243"/>
        </w:trPr>
        <w:tc>
          <w:tcPr>
            <w:tcW w:w="765" w:type="pct"/>
          </w:tcPr>
          <w:p w14:paraId="411C505B" w14:textId="1FC9622F" w:rsidR="000D2368" w:rsidRPr="005D283B" w:rsidRDefault="00B4668F" w:rsidP="00B4668F">
            <w:pPr>
              <w:pStyle w:val="TableText"/>
            </w:pP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 </w:instrText>
            </w: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EN.CITE.DATA </w:instrText>
            </w:r>
            <w:r>
              <w:fldChar w:fldCharType="end"/>
            </w:r>
            <w:r>
              <w:fldChar w:fldCharType="separate"/>
            </w:r>
            <w:r>
              <w:rPr>
                <w:noProof/>
              </w:rPr>
              <w:t>(Tan et al. 2020)</w:t>
            </w:r>
            <w:r>
              <w:fldChar w:fldCharType="end"/>
            </w:r>
          </w:p>
        </w:tc>
        <w:tc>
          <w:tcPr>
            <w:tcW w:w="787" w:type="pct"/>
          </w:tcPr>
          <w:p w14:paraId="76437BF6" w14:textId="77777777" w:rsidR="000D2368" w:rsidRDefault="000D2368" w:rsidP="00B01AD7">
            <w:pPr>
              <w:pStyle w:val="TableText"/>
            </w:pPr>
            <w:r>
              <w:t>174 patients with NSCLC</w:t>
            </w:r>
          </w:p>
        </w:tc>
        <w:tc>
          <w:tcPr>
            <w:tcW w:w="972" w:type="pct"/>
          </w:tcPr>
          <w:p w14:paraId="15F78275" w14:textId="77777777" w:rsidR="000D2368" w:rsidRDefault="000D2368" w:rsidP="00B01AD7">
            <w:pPr>
              <w:pStyle w:val="TableText"/>
            </w:pPr>
            <w:r>
              <w:t>NGS on separate DNA and RNA</w:t>
            </w:r>
          </w:p>
        </w:tc>
        <w:tc>
          <w:tcPr>
            <w:tcW w:w="792" w:type="pct"/>
          </w:tcPr>
          <w:p w14:paraId="5354802B" w14:textId="77777777" w:rsidR="000D2368" w:rsidRDefault="000D2368" w:rsidP="00B01AD7">
            <w:pPr>
              <w:pStyle w:val="TableText"/>
            </w:pPr>
          </w:p>
        </w:tc>
        <w:tc>
          <w:tcPr>
            <w:tcW w:w="1684" w:type="pct"/>
            <w:vAlign w:val="bottom"/>
          </w:tcPr>
          <w:p w14:paraId="6BC5DE44" w14:textId="77777777" w:rsidR="000D2368" w:rsidRDefault="000D2368" w:rsidP="00B01AD7">
            <w:pPr>
              <w:pStyle w:val="TableText"/>
            </w:pPr>
            <w:r>
              <w:t xml:space="preserve">1 </w:t>
            </w:r>
            <w:r w:rsidRPr="003763CE">
              <w:rPr>
                <w:i/>
              </w:rPr>
              <w:t>EGFR</w:t>
            </w:r>
            <w:r>
              <w:t xml:space="preserve"> L858R + </w:t>
            </w:r>
            <w:r w:rsidRPr="003763CE">
              <w:rPr>
                <w:i/>
              </w:rPr>
              <w:t>ALK</w:t>
            </w:r>
            <w:r>
              <w:t xml:space="preserve"> fusion</w:t>
            </w:r>
          </w:p>
          <w:p w14:paraId="20ECBF15" w14:textId="77777777" w:rsidR="000D2368" w:rsidRDefault="000D2368" w:rsidP="00B01AD7">
            <w:pPr>
              <w:pStyle w:val="TableText"/>
            </w:pPr>
            <w:r>
              <w:t xml:space="preserve">1 </w:t>
            </w:r>
            <w:r w:rsidRPr="003763CE">
              <w:rPr>
                <w:i/>
              </w:rPr>
              <w:t>EGFR</w:t>
            </w:r>
            <w:r>
              <w:t xml:space="preserve"> ex20ins + </w:t>
            </w:r>
            <w:r w:rsidRPr="003763CE">
              <w:rPr>
                <w:i/>
              </w:rPr>
              <w:t>RET</w:t>
            </w:r>
            <w:r>
              <w:t xml:space="preserve"> fusion</w:t>
            </w:r>
          </w:p>
          <w:p w14:paraId="356B3D28" w14:textId="77777777" w:rsidR="000D2368" w:rsidRDefault="000D2368" w:rsidP="00B01AD7">
            <w:pPr>
              <w:pStyle w:val="TableText"/>
            </w:pPr>
            <w:r>
              <w:t xml:space="preserve">4 cases </w:t>
            </w:r>
            <w:r w:rsidRPr="003763CE">
              <w:rPr>
                <w:i/>
              </w:rPr>
              <w:t>EGFR</w:t>
            </w:r>
            <w:r>
              <w:t xml:space="preserve"> + </w:t>
            </w:r>
            <w:r w:rsidRPr="003763CE">
              <w:rPr>
                <w:i/>
              </w:rPr>
              <w:t xml:space="preserve">KRAS </w:t>
            </w:r>
            <w:r>
              <w:t>variants</w:t>
            </w:r>
          </w:p>
          <w:p w14:paraId="6E15E7AB" w14:textId="77777777" w:rsidR="000D2368" w:rsidRDefault="000D2368" w:rsidP="00B01AD7">
            <w:pPr>
              <w:pStyle w:val="TableText"/>
            </w:pPr>
            <w:r>
              <w:t xml:space="preserve">1 </w:t>
            </w:r>
            <w:r w:rsidRPr="003763CE">
              <w:rPr>
                <w:i/>
              </w:rPr>
              <w:t>KRAS + MET</w:t>
            </w:r>
            <w:r>
              <w:t xml:space="preserve"> variants</w:t>
            </w:r>
          </w:p>
        </w:tc>
      </w:tr>
      <w:tr w:rsidR="000D2368" w:rsidRPr="00606456" w14:paraId="28552AC2" w14:textId="77777777" w:rsidTr="00B01AD7">
        <w:trPr>
          <w:trHeight w:val="243"/>
        </w:trPr>
        <w:tc>
          <w:tcPr>
            <w:tcW w:w="765" w:type="pct"/>
          </w:tcPr>
          <w:p w14:paraId="24A7E30B" w14:textId="53760547" w:rsidR="000D2368" w:rsidRPr="00E677C3" w:rsidRDefault="00B4668F" w:rsidP="00B4668F">
            <w:pPr>
              <w:pStyle w:val="TableText"/>
            </w:pP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 </w:instrText>
            </w:r>
            <w:r>
              <w:fldChar w:fldCharType="begin">
                <w:fldData xml:space="preserve">PEVuZE5vdGU+PENpdGU+PEF1dGhvcj5YaWU8L0F1dGhvcj48WWVhcj4yMDE5PC9ZZWFyPjxSZWNO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</w:fldData>
              </w:fldChar>
            </w:r>
            <w:r>
              <w:instrText xml:space="preserve"> ADDIN EN.CITE.DATA </w:instrText>
            </w:r>
            <w:r>
              <w:fldChar w:fldCharType="end"/>
            </w:r>
            <w:r>
              <w:fldChar w:fldCharType="separate"/>
            </w:r>
            <w:r>
              <w:rPr>
                <w:noProof/>
              </w:rPr>
              <w:t>(Xie et al. 2019)</w:t>
            </w:r>
            <w:r>
              <w:fldChar w:fldCharType="end"/>
            </w:r>
          </w:p>
        </w:tc>
        <w:tc>
          <w:tcPr>
            <w:tcW w:w="787" w:type="pct"/>
          </w:tcPr>
          <w:p w14:paraId="57BDE4C7" w14:textId="77777777" w:rsidR="000D2368" w:rsidRDefault="000D2368" w:rsidP="00B01AD7">
            <w:pPr>
              <w:pStyle w:val="TableText"/>
            </w:pPr>
            <w:r>
              <w:t>85 patients with non-squamous NSCLC</w:t>
            </w:r>
          </w:p>
        </w:tc>
        <w:tc>
          <w:tcPr>
            <w:tcW w:w="972" w:type="pct"/>
          </w:tcPr>
          <w:p w14:paraId="2AFE8095" w14:textId="77777777" w:rsidR="000D2368" w:rsidRDefault="000D2368" w:rsidP="00B01AD7">
            <w:pPr>
              <w:pStyle w:val="TableText"/>
            </w:pPr>
            <w:r>
              <w:t>Capture-based NGS of 56 genes on samples collected from EBUS-TBNA</w:t>
            </w:r>
          </w:p>
        </w:tc>
        <w:tc>
          <w:tcPr>
            <w:tcW w:w="792" w:type="pct"/>
          </w:tcPr>
          <w:p w14:paraId="0097A940" w14:textId="77777777" w:rsidR="000D2368" w:rsidRDefault="000D2368" w:rsidP="00B01AD7">
            <w:pPr>
              <w:pStyle w:val="TableText"/>
            </w:pPr>
            <w:r>
              <w:t>5/85 (5.9%) with concurrent variants in genes of interest</w:t>
            </w:r>
          </w:p>
        </w:tc>
        <w:tc>
          <w:tcPr>
            <w:tcW w:w="1684" w:type="pct"/>
            <w:vAlign w:val="bottom"/>
          </w:tcPr>
          <w:p w14:paraId="5544BCEA" w14:textId="77777777" w:rsidR="000D2368" w:rsidRDefault="000D2368" w:rsidP="00B01AD7">
            <w:pPr>
              <w:pStyle w:val="TableText"/>
            </w:pPr>
            <w:r>
              <w:t xml:space="preserve">1 case </w:t>
            </w:r>
            <w:r w:rsidRPr="003763CE">
              <w:rPr>
                <w:i/>
              </w:rPr>
              <w:t>EGFR + ROS1</w:t>
            </w:r>
          </w:p>
          <w:p w14:paraId="49102D7B" w14:textId="77777777" w:rsidR="000D2368" w:rsidRDefault="000D2368" w:rsidP="00B01AD7">
            <w:pPr>
              <w:pStyle w:val="TableText"/>
            </w:pPr>
            <w:r>
              <w:t xml:space="preserve">1 case </w:t>
            </w:r>
            <w:r w:rsidRPr="003763CE">
              <w:rPr>
                <w:i/>
              </w:rPr>
              <w:t>ALK + ROS1</w:t>
            </w:r>
          </w:p>
          <w:p w14:paraId="0CADB023" w14:textId="77777777" w:rsidR="000D2368" w:rsidRDefault="000D2368" w:rsidP="00B01AD7">
            <w:pPr>
              <w:pStyle w:val="TableText"/>
            </w:pPr>
            <w:r>
              <w:t xml:space="preserve">1 case </w:t>
            </w:r>
            <w:r w:rsidRPr="003763CE">
              <w:rPr>
                <w:i/>
              </w:rPr>
              <w:t>EGFR + KRAS</w:t>
            </w:r>
          </w:p>
          <w:p w14:paraId="7E4AEA21" w14:textId="77777777" w:rsidR="000D2368" w:rsidRDefault="000D2368" w:rsidP="00B01AD7">
            <w:pPr>
              <w:pStyle w:val="TableText"/>
            </w:pPr>
            <w:r>
              <w:t xml:space="preserve">1 case </w:t>
            </w:r>
            <w:r w:rsidRPr="003763CE">
              <w:rPr>
                <w:i/>
              </w:rPr>
              <w:t>ALK + KRAS</w:t>
            </w:r>
          </w:p>
          <w:p w14:paraId="1B04F5C4" w14:textId="77777777" w:rsidR="000D2368" w:rsidRDefault="000D2368" w:rsidP="00B01AD7">
            <w:pPr>
              <w:pStyle w:val="TableText"/>
            </w:pPr>
            <w:r>
              <w:t xml:space="preserve">1 case </w:t>
            </w:r>
            <w:r w:rsidRPr="003763CE">
              <w:rPr>
                <w:i/>
              </w:rPr>
              <w:t>EGFR + MET</w:t>
            </w:r>
          </w:p>
        </w:tc>
      </w:tr>
      <w:tr w:rsidR="000D2368" w:rsidRPr="00606456" w14:paraId="327F63AF" w14:textId="77777777" w:rsidTr="00B01AD7">
        <w:trPr>
          <w:trHeight w:val="243"/>
        </w:trPr>
        <w:tc>
          <w:tcPr>
            <w:tcW w:w="765" w:type="pct"/>
          </w:tcPr>
          <w:p w14:paraId="6656240C" w14:textId="1974AF74" w:rsidR="000D2368" w:rsidRPr="00AE4876" w:rsidRDefault="00B4668F" w:rsidP="006D4612">
            <w:pPr>
              <w:pStyle w:val="TableText"/>
            </w:pPr>
            <w:r>
              <w:fldChar w:fldCharType="begin"/>
            </w:r>
            <w:r w:rsidR="006D4612">
              <w:instrText xml:space="preserve"> ADDIN EN.CITE &lt;EndNote&gt;&lt;Cite&gt;&lt;Author&gt;Xu&lt;/Author&gt;&lt;Year&gt;2016&lt;/Year&gt;&lt;RecNum&gt;178&lt;/RecNum&gt;&lt;IDText&gt;386-392&lt;/IDText&gt;&lt;DisplayText&gt;(Xu, Xinnan et al. 2016)&lt;/DisplayText&gt;&lt;record&gt;&lt;rec-number&gt;178&lt;/rec-number&gt;&lt;foreign-keys&gt;&lt;key app="EN" db-id="0tprsse9cpp5r3ea5dz5p0xw2pfwvwxpa5a5" timestamp="1655264280"&gt;178&lt;/key&gt;&lt;/foreign-keys&gt;&lt;ref-type name="Journal Article"&gt;17&lt;/ref-type&gt;&lt;contributors&gt;&lt;authors&gt;&lt;author&gt;Xu, Xinnan&lt;/author&gt;&lt;author&gt;Yang, Yang&lt;/author&gt;&lt;author&gt;Li, Hui&lt;/author&gt;&lt;author&gt;Chen, Zhao&lt;/author&gt;&lt;author&gt;Jiang, Gening&lt;/author&gt;&lt;author&gt;Fei, Ke&lt;/author&gt;&lt;/authors&gt;&lt;/contributors&gt;&lt;titles&gt;&lt;title&gt;Assessment of the clinical application of detecting EGFR, KRAS, PIK3CA and BRAF mutations in patients with non-small cell lung cancer using next-generation sequencing&lt;/title&gt;&lt;secondary-title&gt;Scandinavian journal of clinical and laboratory investigation&lt;/secondary-title&gt;&lt;/titles&gt;&lt;periodical&gt;&lt;full-title&gt;Scandinavian journal of clinical and laboratory investigation&lt;/full-title&gt;&lt;/periodical&gt;&lt;pages&gt;386-392&lt;/pages&gt;&lt;volume&gt;76&lt;/volume&gt;&lt;number&gt;5&lt;/number&gt;&lt;dates&gt;&lt;year&gt;2016&lt;/year&gt;&lt;/dates&gt;&lt;urls&gt;&lt;related-urls&gt;&lt;url&gt;https://www.tandfonline.com/doi/full/10.1080/00365513.2016.1183813&lt;/url&gt;&lt;/related-urls&gt;&lt;/urls&gt;&lt;electronic-resource-num&gt;10.1080/00365513.2016.1183813&lt;/electronic-resource-num&gt;&lt;research-notes&gt;P - concordance EGFR&lt;/research-notes&gt;&lt;/record&gt;&lt;/Cite&gt;&lt;/EndNote&gt;</w:instrText>
            </w:r>
            <w:r>
              <w:fldChar w:fldCharType="separate"/>
            </w:r>
            <w:r w:rsidR="006D4612">
              <w:rPr>
                <w:noProof/>
              </w:rPr>
              <w:t>(Xu, Xinnan et al. 2016)</w:t>
            </w:r>
            <w:r>
              <w:fldChar w:fldCharType="end"/>
            </w:r>
          </w:p>
        </w:tc>
        <w:tc>
          <w:tcPr>
            <w:tcW w:w="787" w:type="pct"/>
          </w:tcPr>
          <w:p w14:paraId="11B1DCD2" w14:textId="77777777" w:rsidR="000D2368" w:rsidRDefault="000D2368" w:rsidP="00B01AD7">
            <w:pPr>
              <w:pStyle w:val="TableText"/>
            </w:pPr>
            <w:r>
              <w:t>188 patients with NSCLC</w:t>
            </w:r>
          </w:p>
        </w:tc>
        <w:tc>
          <w:tcPr>
            <w:tcW w:w="972" w:type="pct"/>
          </w:tcPr>
          <w:p w14:paraId="6F710C73" w14:textId="77777777" w:rsidR="000D2368" w:rsidRDefault="000D2368" w:rsidP="00B01AD7">
            <w:pPr>
              <w:pStyle w:val="TableText"/>
            </w:pPr>
            <w:r>
              <w:t>NextDaySeq Lung panel on Ion Torrent™ system</w:t>
            </w:r>
          </w:p>
        </w:tc>
        <w:tc>
          <w:tcPr>
            <w:tcW w:w="792" w:type="pct"/>
          </w:tcPr>
          <w:p w14:paraId="5EF77F67" w14:textId="77777777" w:rsidR="000D2368" w:rsidRDefault="000D2368" w:rsidP="00B01AD7">
            <w:pPr>
              <w:pStyle w:val="TableText"/>
            </w:pPr>
            <w:r>
              <w:t>10/188 with concurrent variants (unclear if in same or different gene)</w:t>
            </w:r>
          </w:p>
        </w:tc>
        <w:tc>
          <w:tcPr>
            <w:tcW w:w="1684" w:type="pct"/>
          </w:tcPr>
          <w:p w14:paraId="57DF7459" w14:textId="77777777" w:rsidR="000D2368" w:rsidRDefault="000D2368" w:rsidP="00B01AD7">
            <w:pPr>
              <w:pStyle w:val="TableText"/>
            </w:pPr>
            <w:r>
              <w:t>Not stated</w:t>
            </w:r>
          </w:p>
        </w:tc>
      </w:tr>
    </w:tbl>
    <w:p w14:paraId="5C1FF2E2" w14:textId="77777777" w:rsidR="000D2368" w:rsidRPr="00964F35" w:rsidRDefault="000D2368" w:rsidP="000D2368">
      <w:pPr>
        <w:rPr>
          <w:rFonts w:ascii="Arial Narrow" w:hAnsi="Arial Narrow"/>
          <w:sz w:val="18"/>
          <w:szCs w:val="18"/>
        </w:rPr>
      </w:pPr>
      <w:r w:rsidRPr="00964F35">
        <w:rPr>
          <w:rFonts w:ascii="Arial Narrow" w:hAnsi="Arial Narrow"/>
          <w:i/>
          <w:sz w:val="18"/>
          <w:szCs w:val="18"/>
        </w:rPr>
        <w:t>ALK</w:t>
      </w:r>
      <w:r w:rsidRPr="00964F35">
        <w:rPr>
          <w:rFonts w:ascii="Arial Narrow" w:hAnsi="Arial Narrow"/>
          <w:sz w:val="18"/>
          <w:szCs w:val="18"/>
        </w:rPr>
        <w:t xml:space="preserve"> = anaplastic lymphoma kinase; DNA = deoxyribonucleic acid; </w:t>
      </w:r>
      <w:r w:rsidRPr="00964F35">
        <w:rPr>
          <w:rStyle w:val="normaltextrun"/>
          <w:rFonts w:ascii="Arial Narrow" w:hAnsi="Arial Narrow" w:cs="Segoe UI"/>
          <w:sz w:val="18"/>
          <w:szCs w:val="18"/>
        </w:rPr>
        <w:t xml:space="preserve">EBUS-TBNA = endobronchial ultrasound-guided transbronchial needle aspiration; </w:t>
      </w:r>
      <w:r w:rsidRPr="00964F35">
        <w:rPr>
          <w:rFonts w:ascii="Arial Narrow" w:hAnsi="Arial Narrow"/>
          <w:i/>
          <w:sz w:val="18"/>
          <w:szCs w:val="18"/>
        </w:rPr>
        <w:t>EGFR</w:t>
      </w:r>
      <w:r w:rsidRPr="00964F35">
        <w:rPr>
          <w:rFonts w:ascii="Arial Narrow" w:hAnsi="Arial Narrow"/>
          <w:sz w:val="18"/>
          <w:szCs w:val="18"/>
        </w:rPr>
        <w:t xml:space="preserve"> = epidermal growth factor receptor; NGS = next generation sequencing; NSCLC = non-small cell lung cancer; NTRK = neurotrophic tyrosine receptor kinase;</w:t>
      </w:r>
      <w:r w:rsidRPr="00964F35">
        <w:rPr>
          <w:rFonts w:ascii="Arial Narrow" w:hAnsi="Arial Narrow"/>
          <w:i/>
          <w:sz w:val="18"/>
          <w:szCs w:val="18"/>
        </w:rPr>
        <w:t xml:space="preserve"> RET</w:t>
      </w:r>
      <w:r w:rsidRPr="00964F35">
        <w:rPr>
          <w:rFonts w:ascii="Arial Narrow" w:hAnsi="Arial Narrow"/>
          <w:sz w:val="18"/>
          <w:szCs w:val="18"/>
        </w:rPr>
        <w:t xml:space="preserve"> = rearranged during transfection;</w:t>
      </w:r>
      <w:r w:rsidRPr="00964F35">
        <w:rPr>
          <w:rFonts w:ascii="Arial Narrow" w:hAnsi="Arial Narrow"/>
          <w:i/>
          <w:sz w:val="18"/>
          <w:szCs w:val="18"/>
        </w:rPr>
        <w:t xml:space="preserve"> ROS1</w:t>
      </w:r>
      <w:r w:rsidRPr="00964F35">
        <w:rPr>
          <w:rFonts w:ascii="Arial Narrow" w:hAnsi="Arial Narrow"/>
          <w:sz w:val="18"/>
          <w:szCs w:val="18"/>
        </w:rPr>
        <w:t xml:space="preserve"> = ROS proto-oncogene 1</w:t>
      </w:r>
    </w:p>
    <w:p w14:paraId="50B5BECA" w14:textId="77777777" w:rsidR="000D2368" w:rsidRDefault="000D2368" w:rsidP="000D2368">
      <w:pPr>
        <w:keepNext/>
      </w:pPr>
      <w:r w:rsidRPr="005D283B">
        <w:rPr>
          <w:noProof/>
          <w:lang w:eastAsia="en-AU"/>
        </w:rPr>
        <w:lastRenderedPageBreak/>
        <w:drawing>
          <wp:inline distT="0" distB="0" distL="0" distR="0" wp14:anchorId="73426D5A" wp14:editId="212E7E7F">
            <wp:extent cx="5162550" cy="4695825"/>
            <wp:effectExtent l="0" t="0" r="0" b="9525"/>
            <wp:docPr id="21" name="Picture 21" descr="Circos diagram showing associations of the most prevalent concurrent variants in NSCLC tumours" title="Circos diagram showing associations of the most prevalent concurrent variants in NSCLC tum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818" r="5108" b="1544"/>
                    <a:stretch/>
                  </pic:blipFill>
                  <pic:spPr bwMode="auto">
                    <a:xfrm>
                      <a:off x="0" y="0"/>
                      <a:ext cx="5162550" cy="4695825"/>
                    </a:xfrm>
                    <a:prstGeom prst="rect">
                      <a:avLst/>
                    </a:prstGeom>
                    <a:ln>
                      <a:noFill/>
                    </a:ln>
                    <a:extLst>
                      <a:ext uri="{53640926-AAD7-44D8-BBD7-CCE9431645EC}">
                        <a14:shadowObscured xmlns:a14="http://schemas.microsoft.com/office/drawing/2010/main"/>
                      </a:ext>
                    </a:extLst>
                  </pic:spPr>
                </pic:pic>
              </a:graphicData>
            </a:graphic>
          </wp:inline>
        </w:drawing>
      </w:r>
    </w:p>
    <w:p w14:paraId="67651A6E" w14:textId="47D7F428" w:rsidR="000D2368" w:rsidRDefault="000D2368" w:rsidP="000D2368">
      <w:pPr>
        <w:pStyle w:val="Caption"/>
      </w:pPr>
      <w:bookmarkStart w:id="309" w:name="_Ref107576648"/>
      <w:r>
        <w:t xml:space="preserve">Figure </w:t>
      </w:r>
      <w:fldSimple w:instr=" SEQ Figure \* ARABIC ">
        <w:r w:rsidR="00C857F3">
          <w:rPr>
            <w:noProof/>
          </w:rPr>
          <w:t>27</w:t>
        </w:r>
      </w:fldSimple>
      <w:bookmarkEnd w:id="309"/>
      <w:r>
        <w:tab/>
        <w:t>Circos diagram showing associations of the most prevalent concurrent variants in NSCLC tumours</w:t>
      </w:r>
    </w:p>
    <w:p w14:paraId="2CB3E001" w14:textId="188C8DAE" w:rsidR="000D2368" w:rsidRDefault="000D2368" w:rsidP="000D2368">
      <w:pPr>
        <w:pStyle w:val="Tablenotes"/>
      </w:pPr>
      <w:r>
        <w:t xml:space="preserve">Source: </w:t>
      </w:r>
      <w:r w:rsidR="00B4668F">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rsidR="00B4668F">
        <w:instrText xml:space="preserve"> ADDIN EN.CITE </w:instrText>
      </w:r>
      <w:r w:rsidR="00B4668F">
        <w:fldChar w:fldCharType="begin">
          <w:fldData xml:space="preserve">PEVuZE5vdGU+PENpdGU+PEF1dGhvcj5TaW1hcnJvPC9BdXRob3I+PFllYXI+MjAxOTwvWWVhcj48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</w:fldData>
        </w:fldChar>
      </w:r>
      <w:r w:rsidR="00B4668F">
        <w:instrText xml:space="preserve"> ADDIN EN.CITE.DATA </w:instrText>
      </w:r>
      <w:r w:rsidR="00B4668F">
        <w:fldChar w:fldCharType="end"/>
      </w:r>
      <w:r w:rsidR="00B4668F">
        <w:fldChar w:fldCharType="separate"/>
      </w:r>
      <w:r w:rsidR="00B4668F">
        <w:rPr>
          <w:noProof/>
        </w:rPr>
        <w:t>(Simarro et al. 2019)</w:t>
      </w:r>
      <w:r w:rsidR="00B4668F">
        <w:fldChar w:fldCharType="end"/>
      </w:r>
      <w:r>
        <w:t xml:space="preserve"> Used under Creative Commons Attribution License. </w:t>
      </w:r>
    </w:p>
    <w:p w14:paraId="42BAD52F" w14:textId="1C5519D9" w:rsidR="004C2653" w:rsidRDefault="004C2653" w:rsidP="00B330BA">
      <w:pPr>
        <w:pStyle w:val="TableFooter"/>
      </w:pPr>
      <w:r w:rsidRPr="007C7AB1">
        <w:rPr>
          <w:i/>
        </w:rPr>
        <w:t>ALK</w:t>
      </w:r>
      <w:r>
        <w:t xml:space="preserve"> = </w:t>
      </w:r>
      <w:r w:rsidRPr="00561C5F">
        <w:t>anaplastic lymphoma kinase</w:t>
      </w:r>
      <w:r w:rsidRPr="002D3261">
        <w:t xml:space="preserve">; </w:t>
      </w:r>
      <w:r w:rsidRPr="00902EC2">
        <w:rPr>
          <w:i/>
        </w:rPr>
        <w:t>BRAF</w:t>
      </w:r>
      <w:r w:rsidRPr="00902EC2">
        <w:t xml:space="preserve"> = proto-oncogene B-Raf and v-Raf murine sarcoma viral oncogene homolog B; </w:t>
      </w:r>
      <w:r w:rsidR="00B330BA" w:rsidRPr="00B330BA">
        <w:rPr>
          <w:i/>
        </w:rPr>
        <w:t>CTNNB1</w:t>
      </w:r>
      <w:r w:rsidR="00B330BA">
        <w:t xml:space="preserve"> = Catenin Beta 1; </w:t>
      </w:r>
      <w:r w:rsidRPr="00902EC2">
        <w:rPr>
          <w:i/>
        </w:rPr>
        <w:t>EGFR</w:t>
      </w:r>
      <w:r w:rsidRPr="00902EC2">
        <w:t xml:space="preserve"> = epidermal growth factor receptor; </w:t>
      </w:r>
      <w:r w:rsidRPr="00902EC2">
        <w:rPr>
          <w:i/>
        </w:rPr>
        <w:t>ERBB2</w:t>
      </w:r>
      <w:r w:rsidRPr="00902EC2">
        <w:t xml:space="preserve"> = erb-b2 receptor tyrosine kinase 2; </w:t>
      </w:r>
      <w:r w:rsidRPr="00902EC2">
        <w:rPr>
          <w:i/>
        </w:rPr>
        <w:t>KRAS</w:t>
      </w:r>
      <w:r w:rsidRPr="00902EC2">
        <w:t xml:space="preserve"> = Kirsten rat sarcoma;</w:t>
      </w:r>
      <w:r>
        <w:t xml:space="preserve"> </w:t>
      </w:r>
      <w:r w:rsidR="00B330BA" w:rsidRPr="00B330BA">
        <w:rPr>
          <w:i/>
        </w:rPr>
        <w:t>NRAS</w:t>
      </w:r>
      <w:r w:rsidR="00B330BA">
        <w:t xml:space="preserve"> = Neuroblastoma RAS viral oncogene homolog; </w:t>
      </w:r>
      <w:r w:rsidRPr="00B330BA">
        <w:rPr>
          <w:i/>
        </w:rPr>
        <w:t>NSCLC</w:t>
      </w:r>
      <w:r w:rsidRPr="002D3261">
        <w:t xml:space="preserve"> = non-small cell lung cancer; </w:t>
      </w:r>
      <w:r w:rsidR="00B330BA" w:rsidRPr="00B330BA">
        <w:rPr>
          <w:i/>
        </w:rPr>
        <w:t>PIK3CA</w:t>
      </w:r>
      <w:r w:rsidR="00B330BA">
        <w:t xml:space="preserve"> = Phosphatidylinositol-4,5-Bisphosphate 3-Kinase Catalytic Subunit Alpha; </w:t>
      </w:r>
      <w:r w:rsidRPr="002D3261">
        <w:rPr>
          <w:i/>
        </w:rPr>
        <w:t>ROS1</w:t>
      </w:r>
      <w:r w:rsidRPr="002D3261">
        <w:t xml:space="preserve"> = ROS proto-oncogene 1</w:t>
      </w:r>
      <w:r>
        <w:t xml:space="preserve">; </w:t>
      </w:r>
      <w:r w:rsidRPr="00B330BA">
        <w:rPr>
          <w:i/>
        </w:rPr>
        <w:t xml:space="preserve">TP53 </w:t>
      </w:r>
      <w:r>
        <w:t xml:space="preserve">= tumour protein P53 </w:t>
      </w:r>
    </w:p>
    <w:p w14:paraId="0BA54B60" w14:textId="279B7B9B" w:rsidR="000D2368" w:rsidRDefault="000D2368" w:rsidP="000D2368">
      <w:r>
        <w:t xml:space="preserve">One study reported on the proportion of patients with concurrent variants identified by any method. Although this study was less relevant than those reporting only on NGS, it was included due to size of the study (larger than all the other studies combined), and level of detail it provided. Griesinger et al. (2021) reported on a prospective case series of patients from Germany with non-squamous NSCLC. Testing was performed through a variety of methods, including NGS, non-NGS-sequencing, IHC and FISH. The level of concurrent variants identified was much higher than reported in the studies in </w:t>
      </w:r>
      <w:r>
        <w:fldChar w:fldCharType="begin"/>
      </w:r>
      <w:r>
        <w:instrText xml:space="preserve"> REF _Ref107823584 \h  \* MERGEFORMAT </w:instrText>
      </w:r>
      <w:r>
        <w:fldChar w:fldCharType="separate"/>
      </w:r>
      <w:r w:rsidR="00C857F3">
        <w:t>Table 85</w:t>
      </w:r>
      <w:r>
        <w:fldChar w:fldCharType="end"/>
      </w:r>
      <w:r>
        <w:t>, but the prevalence of variants in total was high in this population (EGFR variants in 28.2%, almost twice the 15% expected in Australia; ROS1 was 5.2%, approximately three times higher than the 1.61% expected in Australia, and ALK was 10.4%, over three times higher than the 3% prevalence expected in Australia). The applicability of these German data to the Australian setting is therefore limited, as the results likely overestimate the frequency of concurrent variants.</w:t>
      </w:r>
    </w:p>
    <w:p w14:paraId="5F496083" w14:textId="77777777" w:rsidR="000D2368" w:rsidRPr="00FB3D5A" w:rsidRDefault="000D2368" w:rsidP="000D2368">
      <w:pPr>
        <w:rPr>
          <w:i/>
        </w:rPr>
      </w:pPr>
      <w:r>
        <w:t xml:space="preserve">If patients with </w:t>
      </w:r>
      <w:r w:rsidRPr="00FB3D5A">
        <w:rPr>
          <w:i/>
        </w:rPr>
        <w:t>EGFR</w:t>
      </w:r>
      <w:r>
        <w:t xml:space="preserve"> variants were not tested for </w:t>
      </w:r>
      <w:r w:rsidRPr="00FB3D5A">
        <w:rPr>
          <w:i/>
        </w:rPr>
        <w:t>ALK</w:t>
      </w:r>
      <w:r>
        <w:t xml:space="preserve"> or </w:t>
      </w:r>
      <w:r w:rsidRPr="00FB3D5A">
        <w:rPr>
          <w:i/>
        </w:rPr>
        <w:t>ROS1</w:t>
      </w:r>
      <w:r>
        <w:t xml:space="preserve"> variants (as per sequential single-gene testing), 25 patients who had concurrent EGFR and ALK or ROS1 variants would have been missed (2.2% of the total tested population).  </w:t>
      </w:r>
    </w:p>
    <w:p w14:paraId="1D087C1A" w14:textId="77777777" w:rsidR="000D2368" w:rsidRPr="00D66DC8" w:rsidRDefault="000D2368" w:rsidP="000D2368">
      <w:r>
        <w:lastRenderedPageBreak/>
        <w:t xml:space="preserve">If patients with variants identified on </w:t>
      </w:r>
      <w:r>
        <w:rPr>
          <w:i/>
        </w:rPr>
        <w:t xml:space="preserve">EGFR, BRAF, C-MET </w:t>
      </w:r>
      <w:r w:rsidRPr="00C60D5B">
        <w:t xml:space="preserve">or </w:t>
      </w:r>
      <w:r>
        <w:rPr>
          <w:i/>
        </w:rPr>
        <w:t xml:space="preserve">KRAS </w:t>
      </w:r>
      <w:r>
        <w:t xml:space="preserve">were ineligible for testing for </w:t>
      </w:r>
      <w:r>
        <w:rPr>
          <w:i/>
        </w:rPr>
        <w:t>ROS1, ALK</w:t>
      </w:r>
      <w:r>
        <w:t xml:space="preserve"> or </w:t>
      </w:r>
      <w:r>
        <w:rPr>
          <w:i/>
        </w:rPr>
        <w:t xml:space="preserve">RET, </w:t>
      </w:r>
      <w:r>
        <w:t xml:space="preserve">a total of 78/1131 (6.9%) cases with rearrangements in these genes would have been missed. This equates to 47.4% of those with </w:t>
      </w:r>
      <w:r w:rsidRPr="00896046">
        <w:rPr>
          <w:i/>
        </w:rPr>
        <w:t>ROS1</w:t>
      </w:r>
      <w:r>
        <w:t xml:space="preserve"> rearrangements, and 29.7% of those with </w:t>
      </w:r>
      <w:r>
        <w:rPr>
          <w:i/>
        </w:rPr>
        <w:t xml:space="preserve">ALK </w:t>
      </w:r>
      <w:r>
        <w:t xml:space="preserve">rearrangements (or 2.5% and 3.1% of the total NSCLC population) who would not have these rearrangements detected due to the RNA panel not being performed. </w:t>
      </w:r>
    </w:p>
    <w:p w14:paraId="698DA43F" w14:textId="06475A18" w:rsidR="000D2368" w:rsidRDefault="000D2368" w:rsidP="000D2368">
      <w:pPr>
        <w:pStyle w:val="Caption"/>
      </w:pPr>
      <w:r>
        <w:t xml:space="preserve">Table </w:t>
      </w:r>
      <w:fldSimple w:instr=" SEQ Table \* ARABIC ">
        <w:r w:rsidR="00C857F3">
          <w:rPr>
            <w:noProof/>
          </w:rPr>
          <w:t>86</w:t>
        </w:r>
      </w:fldSimple>
      <w:r>
        <w:tab/>
        <w:t xml:space="preserve">Concurrent alterations in 1,131 patients with non-squamous NSCLC (detected by any method) </w:t>
      </w:r>
    </w:p>
    <w:tbl>
      <w:tblPr>
        <w:tblStyle w:val="TableGrid"/>
        <w:tblW w:w="5000" w:type="pct"/>
        <w:tblLook w:val="04A0" w:firstRow="1" w:lastRow="0" w:firstColumn="1" w:lastColumn="0" w:noHBand="0" w:noVBand="1"/>
        <w:tblCaption w:val="Concurrent alterations in 1,131 patients with non-squamous NSCLC (detected by any method) "/>
        <w:tblDescription w:val="Concurrent alterations in 1,131 patients with non-squamous NSCLC (detected by any method) "/>
      </w:tblPr>
      <w:tblGrid>
        <w:gridCol w:w="1129"/>
        <w:gridCol w:w="1322"/>
        <w:gridCol w:w="1095"/>
        <w:gridCol w:w="1095"/>
        <w:gridCol w:w="1096"/>
        <w:gridCol w:w="1095"/>
        <w:gridCol w:w="1095"/>
        <w:gridCol w:w="1089"/>
      </w:tblGrid>
      <w:tr w:rsidR="000D2368" w14:paraId="6FE25A3D" w14:textId="77777777" w:rsidTr="005B1B91">
        <w:trPr>
          <w:tblHeader/>
        </w:trPr>
        <w:tc>
          <w:tcPr>
            <w:tcW w:w="626" w:type="pct"/>
          </w:tcPr>
          <w:p w14:paraId="79E2E491" w14:textId="77777777" w:rsidR="000D2368" w:rsidRPr="00BA301E" w:rsidRDefault="000D2368" w:rsidP="00B01AD7">
            <w:pPr>
              <w:pStyle w:val="TableHeading"/>
            </w:pPr>
            <w:r w:rsidRPr="00BA301E">
              <w:t>Alteration</w:t>
            </w:r>
          </w:p>
        </w:tc>
        <w:tc>
          <w:tcPr>
            <w:tcW w:w="733" w:type="pct"/>
          </w:tcPr>
          <w:p w14:paraId="10678D28" w14:textId="77777777" w:rsidR="000D2368" w:rsidRPr="00C60D5B" w:rsidRDefault="000D2368" w:rsidP="00B01AD7">
            <w:pPr>
              <w:pStyle w:val="TableHeading"/>
            </w:pPr>
            <w:r w:rsidRPr="00C60D5B">
              <w:rPr>
                <w:i/>
              </w:rPr>
              <w:t>EGFR</w:t>
            </w:r>
            <w:r w:rsidRPr="00C60D5B">
              <w:t xml:space="preserve"> (n=320</w:t>
            </w:r>
            <w:r>
              <w:t>; 28.2%</w:t>
            </w:r>
            <w:r w:rsidRPr="00C60D5B">
              <w:t>)</w:t>
            </w:r>
          </w:p>
        </w:tc>
        <w:tc>
          <w:tcPr>
            <w:tcW w:w="607" w:type="pct"/>
          </w:tcPr>
          <w:p w14:paraId="6F9F0262" w14:textId="77777777" w:rsidR="000D2368" w:rsidRPr="00C60D5B" w:rsidRDefault="000D2368" w:rsidP="00B01AD7">
            <w:pPr>
              <w:pStyle w:val="TableHeading"/>
              <w:rPr>
                <w:i/>
              </w:rPr>
            </w:pPr>
            <w:r w:rsidRPr="00C60D5B">
              <w:rPr>
                <w:i/>
              </w:rPr>
              <w:t>BRAF</w:t>
            </w:r>
            <w:r w:rsidRPr="00C60D5B">
              <w:t xml:space="preserve"> (n=65</w:t>
            </w:r>
            <w:r>
              <w:t>; 5.7%</w:t>
            </w:r>
            <w:r w:rsidRPr="00C60D5B">
              <w:t>)</w:t>
            </w:r>
          </w:p>
        </w:tc>
        <w:tc>
          <w:tcPr>
            <w:tcW w:w="607" w:type="pct"/>
          </w:tcPr>
          <w:p w14:paraId="422B550D" w14:textId="77777777" w:rsidR="000D2368" w:rsidRPr="00C60D5B" w:rsidRDefault="000D2368" w:rsidP="00B01AD7">
            <w:pPr>
              <w:pStyle w:val="TableHeading"/>
              <w:rPr>
                <w:i/>
              </w:rPr>
            </w:pPr>
            <w:r w:rsidRPr="00C60D5B">
              <w:rPr>
                <w:i/>
              </w:rPr>
              <w:t xml:space="preserve">C-MET </w:t>
            </w:r>
            <w:r>
              <w:rPr>
                <w:i/>
              </w:rPr>
              <w:t>(</w:t>
            </w:r>
            <w:r w:rsidRPr="00C60D5B">
              <w:t>n=96</w:t>
            </w:r>
            <w:r>
              <w:t>; 8.5%</w:t>
            </w:r>
            <w:r w:rsidRPr="00C60D5B">
              <w:t>)</w:t>
            </w:r>
          </w:p>
        </w:tc>
        <w:tc>
          <w:tcPr>
            <w:tcW w:w="608" w:type="pct"/>
          </w:tcPr>
          <w:p w14:paraId="136A997C" w14:textId="77777777" w:rsidR="000D2368" w:rsidRPr="00C60D5B" w:rsidRDefault="000D2368" w:rsidP="00B01AD7">
            <w:pPr>
              <w:pStyle w:val="TableHeading"/>
              <w:rPr>
                <w:i/>
              </w:rPr>
            </w:pPr>
            <w:r w:rsidRPr="00C60D5B">
              <w:rPr>
                <w:i/>
              </w:rPr>
              <w:t>KRAS</w:t>
            </w:r>
            <w:r w:rsidRPr="00C60D5B">
              <w:t xml:space="preserve"> (n=504</w:t>
            </w:r>
            <w:r>
              <w:t>; 44.6%</w:t>
            </w:r>
            <w:r w:rsidRPr="00C60D5B">
              <w:t>)</w:t>
            </w:r>
          </w:p>
        </w:tc>
        <w:tc>
          <w:tcPr>
            <w:tcW w:w="607" w:type="pct"/>
          </w:tcPr>
          <w:p w14:paraId="7B8EE1A4" w14:textId="77777777" w:rsidR="000D2368" w:rsidRPr="00BA301E" w:rsidRDefault="000D2368" w:rsidP="00B01AD7">
            <w:pPr>
              <w:pStyle w:val="TableHeading"/>
              <w:rPr>
                <w:i/>
              </w:rPr>
            </w:pPr>
            <w:r w:rsidRPr="00BA301E">
              <w:rPr>
                <w:i/>
              </w:rPr>
              <w:t xml:space="preserve">ROS1 </w:t>
            </w:r>
            <w:r w:rsidRPr="00E42F14">
              <w:t xml:space="preserve">(n=59; </w:t>
            </w:r>
            <w:r>
              <w:t>5.2%</w:t>
            </w:r>
            <w:r w:rsidRPr="00E42F14">
              <w:t>)</w:t>
            </w:r>
          </w:p>
        </w:tc>
        <w:tc>
          <w:tcPr>
            <w:tcW w:w="607" w:type="pct"/>
          </w:tcPr>
          <w:p w14:paraId="3373483D" w14:textId="77777777" w:rsidR="000D2368" w:rsidRPr="00BA301E" w:rsidRDefault="000D2368" w:rsidP="00B01AD7">
            <w:pPr>
              <w:pStyle w:val="TableHeading"/>
            </w:pPr>
            <w:r w:rsidRPr="00BA301E">
              <w:rPr>
                <w:i/>
              </w:rPr>
              <w:t>ALK</w:t>
            </w:r>
            <w:r w:rsidRPr="00BA301E">
              <w:t xml:space="preserve"> (n=118</w:t>
            </w:r>
            <w:r>
              <w:t>; 10.4%</w:t>
            </w:r>
            <w:r w:rsidRPr="00BA301E">
              <w:t>)</w:t>
            </w:r>
          </w:p>
        </w:tc>
        <w:tc>
          <w:tcPr>
            <w:tcW w:w="604" w:type="pct"/>
          </w:tcPr>
          <w:p w14:paraId="68A72925" w14:textId="77777777" w:rsidR="000D2368" w:rsidRPr="00BA301E" w:rsidRDefault="000D2368" w:rsidP="00B01AD7">
            <w:pPr>
              <w:pStyle w:val="TableHeading"/>
            </w:pPr>
            <w:r w:rsidRPr="00BA301E">
              <w:rPr>
                <w:i/>
              </w:rPr>
              <w:t xml:space="preserve">RET </w:t>
            </w:r>
            <w:r w:rsidRPr="00BA301E">
              <w:t>(n=16</w:t>
            </w:r>
            <w:r>
              <w:t>; 1.4%</w:t>
            </w:r>
            <w:r w:rsidRPr="00BA301E">
              <w:t>)</w:t>
            </w:r>
          </w:p>
        </w:tc>
      </w:tr>
      <w:tr w:rsidR="000D2368" w14:paraId="3BC02805" w14:textId="77777777" w:rsidTr="00B01AD7">
        <w:tc>
          <w:tcPr>
            <w:tcW w:w="626" w:type="pct"/>
          </w:tcPr>
          <w:p w14:paraId="59ACC248" w14:textId="77777777" w:rsidR="000D2368" w:rsidRPr="00C60D5B" w:rsidRDefault="000D2368" w:rsidP="00B01AD7">
            <w:pPr>
              <w:pStyle w:val="Tabletext0"/>
              <w:rPr>
                <w:i/>
              </w:rPr>
            </w:pPr>
            <w:r w:rsidRPr="00C60D5B">
              <w:rPr>
                <w:i/>
              </w:rPr>
              <w:t>EGFR</w:t>
            </w:r>
          </w:p>
        </w:tc>
        <w:tc>
          <w:tcPr>
            <w:tcW w:w="733" w:type="pct"/>
          </w:tcPr>
          <w:p w14:paraId="53A62231" w14:textId="77777777" w:rsidR="000D2368" w:rsidRPr="00BA301E" w:rsidRDefault="000D2368" w:rsidP="00B01AD7">
            <w:pPr>
              <w:pStyle w:val="Tabletext0"/>
            </w:pPr>
            <w:r w:rsidRPr="00BA301E">
              <w:t>x</w:t>
            </w:r>
          </w:p>
        </w:tc>
        <w:tc>
          <w:tcPr>
            <w:tcW w:w="607" w:type="pct"/>
          </w:tcPr>
          <w:p w14:paraId="277A8A11" w14:textId="77777777" w:rsidR="000D2368" w:rsidRPr="00BA301E" w:rsidRDefault="000D2368" w:rsidP="00B01AD7">
            <w:pPr>
              <w:pStyle w:val="Tabletext0"/>
            </w:pPr>
            <w:r w:rsidRPr="00BA301E">
              <w:t>4 (25.0%)</w:t>
            </w:r>
          </w:p>
        </w:tc>
        <w:tc>
          <w:tcPr>
            <w:tcW w:w="607" w:type="pct"/>
          </w:tcPr>
          <w:p w14:paraId="230F86F8" w14:textId="77777777" w:rsidR="000D2368" w:rsidRPr="00BA301E" w:rsidRDefault="000D2368" w:rsidP="00B01AD7">
            <w:pPr>
              <w:pStyle w:val="Tabletext0"/>
            </w:pPr>
            <w:r w:rsidRPr="00BA301E">
              <w:t>7 (10.8%)</w:t>
            </w:r>
          </w:p>
        </w:tc>
        <w:tc>
          <w:tcPr>
            <w:tcW w:w="608" w:type="pct"/>
          </w:tcPr>
          <w:p w14:paraId="25B994F0" w14:textId="77777777" w:rsidR="000D2368" w:rsidRPr="00BA301E" w:rsidRDefault="000D2368" w:rsidP="00B01AD7">
            <w:pPr>
              <w:pStyle w:val="Tabletext0"/>
            </w:pPr>
            <w:r w:rsidRPr="00BA301E">
              <w:t>8 (8.3%)</w:t>
            </w:r>
          </w:p>
        </w:tc>
        <w:tc>
          <w:tcPr>
            <w:tcW w:w="607" w:type="pct"/>
            <w:shd w:val="clear" w:color="auto" w:fill="E2EFD9" w:themeFill="accent6" w:themeFillTint="33"/>
          </w:tcPr>
          <w:p w14:paraId="5B93818B" w14:textId="77777777" w:rsidR="000D2368" w:rsidRPr="00BA301E" w:rsidRDefault="000D2368" w:rsidP="00B01AD7">
            <w:pPr>
              <w:pStyle w:val="Tabletext0"/>
            </w:pPr>
            <w:r w:rsidRPr="00BA301E">
              <w:t>12 (20.3%)</w:t>
            </w:r>
          </w:p>
        </w:tc>
        <w:tc>
          <w:tcPr>
            <w:tcW w:w="607" w:type="pct"/>
            <w:shd w:val="clear" w:color="auto" w:fill="E2EFD9" w:themeFill="accent6" w:themeFillTint="33"/>
          </w:tcPr>
          <w:p w14:paraId="44DDA0D7" w14:textId="77777777" w:rsidR="000D2368" w:rsidRPr="00BA301E" w:rsidRDefault="000D2368" w:rsidP="00B01AD7">
            <w:pPr>
              <w:pStyle w:val="Tabletext0"/>
            </w:pPr>
            <w:r w:rsidRPr="00BA301E">
              <w:t>13 (11.0%)</w:t>
            </w:r>
          </w:p>
        </w:tc>
        <w:tc>
          <w:tcPr>
            <w:tcW w:w="604" w:type="pct"/>
            <w:shd w:val="clear" w:color="auto" w:fill="E2EFD9" w:themeFill="accent6" w:themeFillTint="33"/>
          </w:tcPr>
          <w:p w14:paraId="05702ECD" w14:textId="77777777" w:rsidR="000D2368" w:rsidRPr="00BA301E" w:rsidRDefault="000D2368" w:rsidP="00B01AD7">
            <w:pPr>
              <w:pStyle w:val="Tabletext0"/>
            </w:pPr>
            <w:r>
              <w:t>4 (25.0%)</w:t>
            </w:r>
          </w:p>
        </w:tc>
      </w:tr>
      <w:tr w:rsidR="000D2368" w14:paraId="2AE0B69F" w14:textId="77777777" w:rsidTr="00B01AD7">
        <w:tc>
          <w:tcPr>
            <w:tcW w:w="626" w:type="pct"/>
          </w:tcPr>
          <w:p w14:paraId="55CC0E79" w14:textId="77777777" w:rsidR="000D2368" w:rsidRPr="00C60D5B" w:rsidRDefault="000D2368" w:rsidP="00B01AD7">
            <w:pPr>
              <w:pStyle w:val="Tabletext0"/>
              <w:rPr>
                <w:i/>
              </w:rPr>
            </w:pPr>
            <w:r w:rsidRPr="00C60D5B">
              <w:rPr>
                <w:i/>
              </w:rPr>
              <w:t>BRAF</w:t>
            </w:r>
          </w:p>
        </w:tc>
        <w:tc>
          <w:tcPr>
            <w:tcW w:w="733" w:type="pct"/>
          </w:tcPr>
          <w:p w14:paraId="10541CD0" w14:textId="77777777" w:rsidR="000D2368" w:rsidRPr="00BA301E" w:rsidRDefault="000D2368" w:rsidP="00B01AD7">
            <w:pPr>
              <w:pStyle w:val="Tabletext0"/>
            </w:pPr>
            <w:r>
              <w:t>7 (2.2%)</w:t>
            </w:r>
          </w:p>
        </w:tc>
        <w:tc>
          <w:tcPr>
            <w:tcW w:w="607" w:type="pct"/>
          </w:tcPr>
          <w:p w14:paraId="05E21DC6" w14:textId="77777777" w:rsidR="000D2368" w:rsidRPr="00BA301E" w:rsidRDefault="000D2368" w:rsidP="00B01AD7">
            <w:pPr>
              <w:pStyle w:val="Tabletext0"/>
            </w:pPr>
            <w:r w:rsidRPr="00BA301E">
              <w:t>x</w:t>
            </w:r>
          </w:p>
        </w:tc>
        <w:tc>
          <w:tcPr>
            <w:tcW w:w="607" w:type="pct"/>
          </w:tcPr>
          <w:p w14:paraId="4E9CEFF9" w14:textId="77777777" w:rsidR="000D2368" w:rsidRPr="00BA301E" w:rsidRDefault="000D2368" w:rsidP="00B01AD7">
            <w:pPr>
              <w:pStyle w:val="Tabletext0"/>
            </w:pPr>
            <w:r>
              <w:t>6 (6.3%)</w:t>
            </w:r>
          </w:p>
        </w:tc>
        <w:tc>
          <w:tcPr>
            <w:tcW w:w="608" w:type="pct"/>
          </w:tcPr>
          <w:p w14:paraId="75AF0263" w14:textId="77777777" w:rsidR="000D2368" w:rsidRPr="00BA301E" w:rsidRDefault="000D2368" w:rsidP="00B01AD7">
            <w:pPr>
              <w:pStyle w:val="Tabletext0"/>
            </w:pPr>
            <w:r>
              <w:t>13 (2.6%)</w:t>
            </w:r>
          </w:p>
        </w:tc>
        <w:tc>
          <w:tcPr>
            <w:tcW w:w="607" w:type="pct"/>
            <w:shd w:val="clear" w:color="auto" w:fill="E2EFD9" w:themeFill="accent6" w:themeFillTint="33"/>
          </w:tcPr>
          <w:p w14:paraId="55FB957C" w14:textId="77777777" w:rsidR="000D2368" w:rsidRPr="00BA301E" w:rsidRDefault="000D2368" w:rsidP="00B01AD7">
            <w:pPr>
              <w:pStyle w:val="Tabletext0"/>
            </w:pPr>
            <w:r>
              <w:t>5 (8.5%)</w:t>
            </w:r>
          </w:p>
        </w:tc>
        <w:tc>
          <w:tcPr>
            <w:tcW w:w="607" w:type="pct"/>
            <w:shd w:val="clear" w:color="auto" w:fill="E2EFD9" w:themeFill="accent6" w:themeFillTint="33"/>
          </w:tcPr>
          <w:p w14:paraId="2FA2AA43" w14:textId="77777777" w:rsidR="000D2368" w:rsidRPr="00BA301E" w:rsidRDefault="000D2368" w:rsidP="00B01AD7">
            <w:pPr>
              <w:pStyle w:val="Tabletext0"/>
            </w:pPr>
            <w:r>
              <w:t>5 (4.2%)</w:t>
            </w:r>
          </w:p>
        </w:tc>
        <w:tc>
          <w:tcPr>
            <w:tcW w:w="604" w:type="pct"/>
            <w:shd w:val="clear" w:color="auto" w:fill="E2EFD9" w:themeFill="accent6" w:themeFillTint="33"/>
          </w:tcPr>
          <w:p w14:paraId="0E6A9B9E" w14:textId="77777777" w:rsidR="000D2368" w:rsidRPr="00BA301E" w:rsidRDefault="000D2368" w:rsidP="00B01AD7">
            <w:pPr>
              <w:pStyle w:val="Tabletext0"/>
            </w:pPr>
            <w:r>
              <w:t>2 (12.5%)</w:t>
            </w:r>
          </w:p>
        </w:tc>
      </w:tr>
      <w:tr w:rsidR="000D2368" w14:paraId="666D81BA" w14:textId="77777777" w:rsidTr="00B01AD7">
        <w:tc>
          <w:tcPr>
            <w:tcW w:w="626" w:type="pct"/>
          </w:tcPr>
          <w:p w14:paraId="09CAAA69" w14:textId="77777777" w:rsidR="000D2368" w:rsidRPr="00C60D5B" w:rsidRDefault="000D2368" w:rsidP="00B01AD7">
            <w:pPr>
              <w:pStyle w:val="Tabletext0"/>
              <w:rPr>
                <w:i/>
              </w:rPr>
            </w:pPr>
            <w:r w:rsidRPr="00C60D5B">
              <w:rPr>
                <w:i/>
              </w:rPr>
              <w:t>C-MET</w:t>
            </w:r>
          </w:p>
        </w:tc>
        <w:tc>
          <w:tcPr>
            <w:tcW w:w="733" w:type="pct"/>
          </w:tcPr>
          <w:p w14:paraId="3EF83DE9" w14:textId="77777777" w:rsidR="000D2368" w:rsidRPr="00BA301E" w:rsidRDefault="000D2368" w:rsidP="00B01AD7">
            <w:pPr>
              <w:pStyle w:val="Tabletext0"/>
            </w:pPr>
            <w:r>
              <w:t>8 (2.5%)</w:t>
            </w:r>
          </w:p>
        </w:tc>
        <w:tc>
          <w:tcPr>
            <w:tcW w:w="607" w:type="pct"/>
          </w:tcPr>
          <w:p w14:paraId="546BDD39" w14:textId="77777777" w:rsidR="000D2368" w:rsidRPr="00BA301E" w:rsidRDefault="000D2368" w:rsidP="00B01AD7">
            <w:pPr>
              <w:pStyle w:val="Tabletext0"/>
            </w:pPr>
            <w:r>
              <w:t xml:space="preserve"> 6 (9.2%)</w:t>
            </w:r>
          </w:p>
        </w:tc>
        <w:tc>
          <w:tcPr>
            <w:tcW w:w="607" w:type="pct"/>
          </w:tcPr>
          <w:p w14:paraId="4912BBC8" w14:textId="77777777" w:rsidR="000D2368" w:rsidRPr="00BA301E" w:rsidRDefault="000D2368" w:rsidP="00B01AD7">
            <w:pPr>
              <w:pStyle w:val="Tabletext0"/>
            </w:pPr>
            <w:r w:rsidRPr="00BA301E">
              <w:t>x</w:t>
            </w:r>
          </w:p>
        </w:tc>
        <w:tc>
          <w:tcPr>
            <w:tcW w:w="608" w:type="pct"/>
          </w:tcPr>
          <w:p w14:paraId="6EBACCF5" w14:textId="77777777" w:rsidR="000D2368" w:rsidRPr="00BA301E" w:rsidRDefault="000D2368" w:rsidP="00B01AD7">
            <w:pPr>
              <w:pStyle w:val="Tabletext0"/>
            </w:pPr>
            <w:r>
              <w:t>34 (6.7%)</w:t>
            </w:r>
          </w:p>
        </w:tc>
        <w:tc>
          <w:tcPr>
            <w:tcW w:w="607" w:type="pct"/>
            <w:shd w:val="clear" w:color="auto" w:fill="E2EFD9" w:themeFill="accent6" w:themeFillTint="33"/>
          </w:tcPr>
          <w:p w14:paraId="0F55C306" w14:textId="77777777" w:rsidR="000D2368" w:rsidRPr="00BA301E" w:rsidRDefault="000D2368" w:rsidP="00B01AD7">
            <w:pPr>
              <w:pStyle w:val="Tabletext0"/>
            </w:pPr>
            <w:r>
              <w:t>2 (3.4%)</w:t>
            </w:r>
          </w:p>
        </w:tc>
        <w:tc>
          <w:tcPr>
            <w:tcW w:w="607" w:type="pct"/>
            <w:shd w:val="clear" w:color="auto" w:fill="E2EFD9" w:themeFill="accent6" w:themeFillTint="33"/>
          </w:tcPr>
          <w:p w14:paraId="682785EF" w14:textId="77777777" w:rsidR="000D2368" w:rsidRPr="00BA301E" w:rsidRDefault="000D2368" w:rsidP="00B01AD7">
            <w:pPr>
              <w:pStyle w:val="Tabletext0"/>
            </w:pPr>
            <w:r>
              <w:t>3 (2.5%)</w:t>
            </w:r>
          </w:p>
        </w:tc>
        <w:tc>
          <w:tcPr>
            <w:tcW w:w="604" w:type="pct"/>
            <w:shd w:val="clear" w:color="auto" w:fill="E2EFD9" w:themeFill="accent6" w:themeFillTint="33"/>
          </w:tcPr>
          <w:p w14:paraId="4F4A09F9" w14:textId="77777777" w:rsidR="000D2368" w:rsidRPr="00BA301E" w:rsidRDefault="000D2368" w:rsidP="00B01AD7">
            <w:pPr>
              <w:pStyle w:val="Tabletext0"/>
            </w:pPr>
            <w:r>
              <w:t>2 (12.5%)</w:t>
            </w:r>
          </w:p>
        </w:tc>
      </w:tr>
      <w:tr w:rsidR="000D2368" w14:paraId="4E1D49D0" w14:textId="77777777" w:rsidTr="00B01AD7">
        <w:tc>
          <w:tcPr>
            <w:tcW w:w="626" w:type="pct"/>
          </w:tcPr>
          <w:p w14:paraId="1216A878" w14:textId="77777777" w:rsidR="000D2368" w:rsidRPr="00C60D5B" w:rsidRDefault="000D2368" w:rsidP="00B01AD7">
            <w:pPr>
              <w:pStyle w:val="Tabletext0"/>
              <w:rPr>
                <w:i/>
              </w:rPr>
            </w:pPr>
            <w:r w:rsidRPr="00C60D5B">
              <w:rPr>
                <w:i/>
              </w:rPr>
              <w:t>KRAS</w:t>
            </w:r>
          </w:p>
        </w:tc>
        <w:tc>
          <w:tcPr>
            <w:tcW w:w="733" w:type="pct"/>
          </w:tcPr>
          <w:p w14:paraId="0A49CCA7" w14:textId="77777777" w:rsidR="000D2368" w:rsidRPr="00BA301E" w:rsidRDefault="000D2368" w:rsidP="00B01AD7">
            <w:pPr>
              <w:pStyle w:val="Tabletext0"/>
            </w:pPr>
            <w:r>
              <w:t>16 (5.0%)</w:t>
            </w:r>
          </w:p>
        </w:tc>
        <w:tc>
          <w:tcPr>
            <w:tcW w:w="607" w:type="pct"/>
          </w:tcPr>
          <w:p w14:paraId="4C3CD9F7" w14:textId="77777777" w:rsidR="000D2368" w:rsidRPr="00BA301E" w:rsidRDefault="000D2368" w:rsidP="00B01AD7">
            <w:pPr>
              <w:pStyle w:val="Tabletext0"/>
            </w:pPr>
            <w:r>
              <w:t>13 (20.0%)</w:t>
            </w:r>
          </w:p>
        </w:tc>
        <w:tc>
          <w:tcPr>
            <w:tcW w:w="607" w:type="pct"/>
          </w:tcPr>
          <w:p w14:paraId="5582B484" w14:textId="77777777" w:rsidR="000D2368" w:rsidRPr="00BA301E" w:rsidRDefault="000D2368" w:rsidP="00B01AD7">
            <w:pPr>
              <w:pStyle w:val="Tabletext0"/>
            </w:pPr>
            <w:r>
              <w:t>34 (35.4%)</w:t>
            </w:r>
          </w:p>
        </w:tc>
        <w:tc>
          <w:tcPr>
            <w:tcW w:w="608" w:type="pct"/>
          </w:tcPr>
          <w:p w14:paraId="1254195A" w14:textId="77777777" w:rsidR="000D2368" w:rsidRPr="00BA301E" w:rsidRDefault="000D2368" w:rsidP="00B01AD7">
            <w:pPr>
              <w:pStyle w:val="Tabletext0"/>
            </w:pPr>
            <w:r w:rsidRPr="00BA301E">
              <w:t>x</w:t>
            </w:r>
          </w:p>
        </w:tc>
        <w:tc>
          <w:tcPr>
            <w:tcW w:w="607" w:type="pct"/>
            <w:shd w:val="clear" w:color="auto" w:fill="E2EFD9" w:themeFill="accent6" w:themeFillTint="33"/>
          </w:tcPr>
          <w:p w14:paraId="3F5D4CAA" w14:textId="77777777" w:rsidR="000D2368" w:rsidRPr="00BA301E" w:rsidRDefault="000D2368" w:rsidP="00B01AD7">
            <w:pPr>
              <w:pStyle w:val="Tabletext0"/>
            </w:pPr>
            <w:r>
              <w:t>9 (15.3%)</w:t>
            </w:r>
          </w:p>
        </w:tc>
        <w:tc>
          <w:tcPr>
            <w:tcW w:w="607" w:type="pct"/>
            <w:shd w:val="clear" w:color="auto" w:fill="E2EFD9" w:themeFill="accent6" w:themeFillTint="33"/>
          </w:tcPr>
          <w:p w14:paraId="7952EDB8" w14:textId="77777777" w:rsidR="000D2368" w:rsidRPr="00BA301E" w:rsidRDefault="000D2368" w:rsidP="00B01AD7">
            <w:pPr>
              <w:pStyle w:val="Tabletext0"/>
            </w:pPr>
            <w:r>
              <w:t>14 (11.9%)</w:t>
            </w:r>
          </w:p>
        </w:tc>
        <w:tc>
          <w:tcPr>
            <w:tcW w:w="604" w:type="pct"/>
            <w:shd w:val="clear" w:color="auto" w:fill="E2EFD9" w:themeFill="accent6" w:themeFillTint="33"/>
          </w:tcPr>
          <w:p w14:paraId="7D76B57C" w14:textId="77777777" w:rsidR="000D2368" w:rsidRPr="00BA301E" w:rsidRDefault="000D2368" w:rsidP="00B01AD7">
            <w:pPr>
              <w:pStyle w:val="Tabletext0"/>
            </w:pPr>
            <w:r>
              <w:t>7 (43.8%)</w:t>
            </w:r>
          </w:p>
        </w:tc>
      </w:tr>
      <w:tr w:rsidR="000D2368" w14:paraId="02A403B8" w14:textId="77777777" w:rsidTr="00B01AD7">
        <w:tc>
          <w:tcPr>
            <w:tcW w:w="626" w:type="pct"/>
          </w:tcPr>
          <w:p w14:paraId="54A57C77" w14:textId="77777777" w:rsidR="000D2368" w:rsidRPr="00BA301E" w:rsidRDefault="000D2368" w:rsidP="00B01AD7">
            <w:pPr>
              <w:pStyle w:val="Tabletext0"/>
              <w:rPr>
                <w:i/>
              </w:rPr>
            </w:pPr>
            <w:r>
              <w:rPr>
                <w:i/>
              </w:rPr>
              <w:t>ROS1</w:t>
            </w:r>
          </w:p>
        </w:tc>
        <w:tc>
          <w:tcPr>
            <w:tcW w:w="733" w:type="pct"/>
            <w:shd w:val="clear" w:color="auto" w:fill="E2EFD9" w:themeFill="accent6" w:themeFillTint="33"/>
          </w:tcPr>
          <w:p w14:paraId="6BA4BB24" w14:textId="77777777" w:rsidR="000D2368" w:rsidRPr="00BA301E" w:rsidRDefault="000D2368" w:rsidP="00B01AD7">
            <w:pPr>
              <w:pStyle w:val="Tabletext0"/>
            </w:pPr>
            <w:r>
              <w:t>12 (3.8%)</w:t>
            </w:r>
          </w:p>
        </w:tc>
        <w:tc>
          <w:tcPr>
            <w:tcW w:w="607" w:type="pct"/>
            <w:shd w:val="clear" w:color="auto" w:fill="E2EFD9" w:themeFill="accent6" w:themeFillTint="33"/>
          </w:tcPr>
          <w:p w14:paraId="29AC5315" w14:textId="77777777" w:rsidR="000D2368" w:rsidRPr="00BA301E" w:rsidRDefault="000D2368" w:rsidP="00B01AD7">
            <w:pPr>
              <w:pStyle w:val="Tabletext0"/>
            </w:pPr>
            <w:r>
              <w:t>5 (7.7%)</w:t>
            </w:r>
          </w:p>
        </w:tc>
        <w:tc>
          <w:tcPr>
            <w:tcW w:w="607" w:type="pct"/>
            <w:shd w:val="clear" w:color="auto" w:fill="E2EFD9" w:themeFill="accent6" w:themeFillTint="33"/>
          </w:tcPr>
          <w:p w14:paraId="52FC21F9" w14:textId="77777777" w:rsidR="000D2368" w:rsidRPr="00BA301E" w:rsidRDefault="000D2368" w:rsidP="00B01AD7">
            <w:pPr>
              <w:pStyle w:val="Tabletext0"/>
            </w:pPr>
            <w:r>
              <w:t>2 (2.1%)</w:t>
            </w:r>
          </w:p>
        </w:tc>
        <w:tc>
          <w:tcPr>
            <w:tcW w:w="608" w:type="pct"/>
            <w:shd w:val="clear" w:color="auto" w:fill="E2EFD9" w:themeFill="accent6" w:themeFillTint="33"/>
          </w:tcPr>
          <w:p w14:paraId="2DB02307" w14:textId="77777777" w:rsidR="000D2368" w:rsidRPr="00BA301E" w:rsidRDefault="000D2368" w:rsidP="00B01AD7">
            <w:pPr>
              <w:pStyle w:val="Tabletext0"/>
            </w:pPr>
            <w:r>
              <w:t>9 (1.8%)</w:t>
            </w:r>
          </w:p>
        </w:tc>
        <w:tc>
          <w:tcPr>
            <w:tcW w:w="607" w:type="pct"/>
          </w:tcPr>
          <w:p w14:paraId="593C87A7" w14:textId="77777777" w:rsidR="000D2368" w:rsidRPr="00BA301E" w:rsidRDefault="000D2368" w:rsidP="00B01AD7">
            <w:pPr>
              <w:pStyle w:val="Tabletext0"/>
            </w:pPr>
            <w:r w:rsidRPr="00BA301E">
              <w:t>x</w:t>
            </w:r>
          </w:p>
        </w:tc>
        <w:tc>
          <w:tcPr>
            <w:tcW w:w="607" w:type="pct"/>
          </w:tcPr>
          <w:p w14:paraId="022CEFC8" w14:textId="77777777" w:rsidR="000D2368" w:rsidRPr="00BA301E" w:rsidRDefault="000D2368" w:rsidP="00B01AD7">
            <w:pPr>
              <w:pStyle w:val="Tabletext0"/>
            </w:pPr>
            <w:r>
              <w:t>11 (9.3%)</w:t>
            </w:r>
          </w:p>
        </w:tc>
        <w:tc>
          <w:tcPr>
            <w:tcW w:w="604" w:type="pct"/>
          </w:tcPr>
          <w:p w14:paraId="10F78488" w14:textId="77777777" w:rsidR="000D2368" w:rsidRPr="00BA301E" w:rsidRDefault="000D2368" w:rsidP="00B01AD7">
            <w:pPr>
              <w:pStyle w:val="Tabletext0"/>
            </w:pPr>
            <w:r>
              <w:t>1 (6.3%)</w:t>
            </w:r>
          </w:p>
        </w:tc>
      </w:tr>
      <w:tr w:rsidR="000D2368" w14:paraId="61BEC193" w14:textId="77777777" w:rsidTr="00B01AD7">
        <w:tc>
          <w:tcPr>
            <w:tcW w:w="626" w:type="pct"/>
          </w:tcPr>
          <w:p w14:paraId="692F57B3" w14:textId="77777777" w:rsidR="000D2368" w:rsidRPr="00BA301E" w:rsidRDefault="000D2368" w:rsidP="00B01AD7">
            <w:pPr>
              <w:pStyle w:val="Tabletext0"/>
              <w:rPr>
                <w:i/>
              </w:rPr>
            </w:pPr>
            <w:r w:rsidRPr="00BA301E">
              <w:rPr>
                <w:i/>
              </w:rPr>
              <w:t>ALK</w:t>
            </w:r>
          </w:p>
        </w:tc>
        <w:tc>
          <w:tcPr>
            <w:tcW w:w="733" w:type="pct"/>
            <w:shd w:val="clear" w:color="auto" w:fill="E2EFD9" w:themeFill="accent6" w:themeFillTint="33"/>
          </w:tcPr>
          <w:p w14:paraId="58444E29" w14:textId="77777777" w:rsidR="000D2368" w:rsidRPr="00BA301E" w:rsidRDefault="000D2368" w:rsidP="00B01AD7">
            <w:pPr>
              <w:pStyle w:val="Tabletext0"/>
            </w:pPr>
            <w:r>
              <w:t>13 (4.1%)</w:t>
            </w:r>
          </w:p>
        </w:tc>
        <w:tc>
          <w:tcPr>
            <w:tcW w:w="607" w:type="pct"/>
            <w:shd w:val="clear" w:color="auto" w:fill="E2EFD9" w:themeFill="accent6" w:themeFillTint="33"/>
          </w:tcPr>
          <w:p w14:paraId="4F776D76" w14:textId="77777777" w:rsidR="000D2368" w:rsidRDefault="000D2368" w:rsidP="00B01AD7">
            <w:pPr>
              <w:pStyle w:val="Tabletext0"/>
            </w:pPr>
            <w:r>
              <w:t>5 (7.7%)</w:t>
            </w:r>
          </w:p>
        </w:tc>
        <w:tc>
          <w:tcPr>
            <w:tcW w:w="607" w:type="pct"/>
            <w:shd w:val="clear" w:color="auto" w:fill="E2EFD9" w:themeFill="accent6" w:themeFillTint="33"/>
          </w:tcPr>
          <w:p w14:paraId="33AF174B" w14:textId="77777777" w:rsidR="000D2368" w:rsidRDefault="000D2368" w:rsidP="00B01AD7">
            <w:pPr>
              <w:pStyle w:val="Tabletext0"/>
            </w:pPr>
            <w:r>
              <w:t>3 (3.1%)</w:t>
            </w:r>
          </w:p>
        </w:tc>
        <w:tc>
          <w:tcPr>
            <w:tcW w:w="608" w:type="pct"/>
            <w:shd w:val="clear" w:color="auto" w:fill="E2EFD9" w:themeFill="accent6" w:themeFillTint="33"/>
          </w:tcPr>
          <w:p w14:paraId="5F1D6067" w14:textId="77777777" w:rsidR="000D2368" w:rsidRDefault="000D2368" w:rsidP="00B01AD7">
            <w:pPr>
              <w:pStyle w:val="Tabletext0"/>
            </w:pPr>
            <w:r>
              <w:t>14 (2.8%)</w:t>
            </w:r>
          </w:p>
        </w:tc>
        <w:tc>
          <w:tcPr>
            <w:tcW w:w="607" w:type="pct"/>
          </w:tcPr>
          <w:p w14:paraId="05082630" w14:textId="77777777" w:rsidR="000D2368" w:rsidRPr="00BA301E" w:rsidRDefault="000D2368" w:rsidP="00B01AD7">
            <w:pPr>
              <w:pStyle w:val="Tabletext0"/>
            </w:pPr>
            <w:r>
              <w:t>11 (18.6%)</w:t>
            </w:r>
          </w:p>
        </w:tc>
        <w:tc>
          <w:tcPr>
            <w:tcW w:w="607" w:type="pct"/>
          </w:tcPr>
          <w:p w14:paraId="24ADBFF4" w14:textId="77777777" w:rsidR="000D2368" w:rsidRPr="00BA301E" w:rsidRDefault="000D2368" w:rsidP="00B01AD7">
            <w:pPr>
              <w:pStyle w:val="Tabletext0"/>
            </w:pPr>
            <w:r w:rsidRPr="00BA301E">
              <w:t>x</w:t>
            </w:r>
          </w:p>
        </w:tc>
        <w:tc>
          <w:tcPr>
            <w:tcW w:w="604" w:type="pct"/>
          </w:tcPr>
          <w:p w14:paraId="38A9B62D" w14:textId="77777777" w:rsidR="000D2368" w:rsidRPr="00BA301E" w:rsidRDefault="000D2368" w:rsidP="00B01AD7">
            <w:pPr>
              <w:pStyle w:val="Tabletext0"/>
            </w:pPr>
            <w:r>
              <w:t>2 (12.5%)</w:t>
            </w:r>
          </w:p>
        </w:tc>
      </w:tr>
      <w:tr w:rsidR="000D2368" w14:paraId="155C42BC" w14:textId="77777777" w:rsidTr="00B01AD7">
        <w:tc>
          <w:tcPr>
            <w:tcW w:w="626" w:type="pct"/>
          </w:tcPr>
          <w:p w14:paraId="6E150D73" w14:textId="77777777" w:rsidR="000D2368" w:rsidRPr="00BA301E" w:rsidRDefault="000D2368" w:rsidP="00B01AD7">
            <w:pPr>
              <w:pStyle w:val="Tabletext0"/>
              <w:rPr>
                <w:i/>
              </w:rPr>
            </w:pPr>
            <w:r w:rsidRPr="00BA301E">
              <w:rPr>
                <w:i/>
              </w:rPr>
              <w:t>RET</w:t>
            </w:r>
          </w:p>
        </w:tc>
        <w:tc>
          <w:tcPr>
            <w:tcW w:w="733" w:type="pct"/>
            <w:shd w:val="clear" w:color="auto" w:fill="E2EFD9" w:themeFill="accent6" w:themeFillTint="33"/>
          </w:tcPr>
          <w:p w14:paraId="38B1E7F1" w14:textId="77777777" w:rsidR="000D2368" w:rsidRPr="00BA301E" w:rsidRDefault="000D2368" w:rsidP="00B01AD7">
            <w:pPr>
              <w:pStyle w:val="Tabletext0"/>
            </w:pPr>
            <w:r>
              <w:t>4 (1.3%)</w:t>
            </w:r>
          </w:p>
        </w:tc>
        <w:tc>
          <w:tcPr>
            <w:tcW w:w="607" w:type="pct"/>
            <w:shd w:val="clear" w:color="auto" w:fill="E2EFD9" w:themeFill="accent6" w:themeFillTint="33"/>
          </w:tcPr>
          <w:p w14:paraId="1C1BE970" w14:textId="77777777" w:rsidR="000D2368" w:rsidRDefault="000D2368" w:rsidP="00B01AD7">
            <w:pPr>
              <w:pStyle w:val="Tabletext0"/>
            </w:pPr>
            <w:r>
              <w:t>2 (3.1%)</w:t>
            </w:r>
          </w:p>
        </w:tc>
        <w:tc>
          <w:tcPr>
            <w:tcW w:w="607" w:type="pct"/>
            <w:shd w:val="clear" w:color="auto" w:fill="E2EFD9" w:themeFill="accent6" w:themeFillTint="33"/>
          </w:tcPr>
          <w:p w14:paraId="75D71BD7" w14:textId="77777777" w:rsidR="000D2368" w:rsidRDefault="000D2368" w:rsidP="00B01AD7">
            <w:pPr>
              <w:pStyle w:val="Tabletext0"/>
            </w:pPr>
            <w:r>
              <w:t>2 (2.1%)</w:t>
            </w:r>
          </w:p>
        </w:tc>
        <w:tc>
          <w:tcPr>
            <w:tcW w:w="608" w:type="pct"/>
            <w:shd w:val="clear" w:color="auto" w:fill="E2EFD9" w:themeFill="accent6" w:themeFillTint="33"/>
          </w:tcPr>
          <w:p w14:paraId="5854031C" w14:textId="77777777" w:rsidR="000D2368" w:rsidRDefault="000D2368" w:rsidP="00B01AD7">
            <w:pPr>
              <w:pStyle w:val="Tabletext0"/>
            </w:pPr>
            <w:r>
              <w:t>7 (1.4%)</w:t>
            </w:r>
          </w:p>
        </w:tc>
        <w:tc>
          <w:tcPr>
            <w:tcW w:w="607" w:type="pct"/>
          </w:tcPr>
          <w:p w14:paraId="2A083AB1" w14:textId="77777777" w:rsidR="000D2368" w:rsidRPr="00BA301E" w:rsidRDefault="000D2368" w:rsidP="00B01AD7">
            <w:pPr>
              <w:pStyle w:val="Tabletext0"/>
            </w:pPr>
            <w:r>
              <w:t>1 (1.7%)</w:t>
            </w:r>
          </w:p>
        </w:tc>
        <w:tc>
          <w:tcPr>
            <w:tcW w:w="607" w:type="pct"/>
          </w:tcPr>
          <w:p w14:paraId="18C052E6" w14:textId="77777777" w:rsidR="000D2368" w:rsidRPr="00BA301E" w:rsidRDefault="000D2368" w:rsidP="00B01AD7">
            <w:pPr>
              <w:pStyle w:val="Tabletext0"/>
            </w:pPr>
            <w:r>
              <w:t>2 (1.7%)</w:t>
            </w:r>
          </w:p>
        </w:tc>
        <w:tc>
          <w:tcPr>
            <w:tcW w:w="604" w:type="pct"/>
          </w:tcPr>
          <w:p w14:paraId="2538F6AE" w14:textId="77777777" w:rsidR="000D2368" w:rsidRPr="00BA301E" w:rsidRDefault="000D2368" w:rsidP="00B01AD7">
            <w:pPr>
              <w:pStyle w:val="Tabletext0"/>
            </w:pPr>
            <w:r w:rsidRPr="00BA301E">
              <w:t>x</w:t>
            </w:r>
          </w:p>
        </w:tc>
      </w:tr>
    </w:tbl>
    <w:bookmarkEnd w:id="306"/>
    <w:bookmarkEnd w:id="307"/>
    <w:p w14:paraId="0F78F1C1" w14:textId="7D9FC617" w:rsidR="000D2368" w:rsidRDefault="000D2368" w:rsidP="000D2368">
      <w:pPr>
        <w:pStyle w:val="TableFooter"/>
      </w:pPr>
      <w:r>
        <w:t xml:space="preserve">Source: </w:t>
      </w:r>
      <w:r w:rsidR="00B4668F">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rsidR="00B4668F">
        <w:instrText xml:space="preserve"> ADDIN EN.CITE </w:instrText>
      </w:r>
      <w:r w:rsidR="00B4668F">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rsidR="00B4668F">
        <w:instrText xml:space="preserve"> ADDIN EN.CITE.DATA </w:instrText>
      </w:r>
      <w:r w:rsidR="00B4668F">
        <w:fldChar w:fldCharType="end"/>
      </w:r>
      <w:r w:rsidR="00B4668F">
        <w:fldChar w:fldCharType="separate"/>
      </w:r>
      <w:r w:rsidR="00B4668F">
        <w:rPr>
          <w:noProof/>
        </w:rPr>
        <w:t>(Griesinger et al. 2021)</w:t>
      </w:r>
      <w:r w:rsidR="00B4668F">
        <w:fldChar w:fldCharType="end"/>
      </w:r>
    </w:p>
    <w:p w14:paraId="2DDF2938" w14:textId="77777777" w:rsidR="000D2368" w:rsidRDefault="000D2368" w:rsidP="000D2368">
      <w:pPr>
        <w:pStyle w:val="TableFooter"/>
      </w:pPr>
      <w:r>
        <w:t>Green highlighting are the concurrent variants likely missed if an RNA panel not used due to a positive finding on a DNA panel</w:t>
      </w:r>
    </w:p>
    <w:p w14:paraId="7CAA3E68" w14:textId="23E5BB95" w:rsidR="00B330BA" w:rsidRDefault="00B330BA" w:rsidP="00B330BA">
      <w:pPr>
        <w:pStyle w:val="TableFooter"/>
      </w:pPr>
      <w:r w:rsidRPr="007C7AB1">
        <w:rPr>
          <w:i/>
        </w:rPr>
        <w:t>ALK</w:t>
      </w:r>
      <w:r>
        <w:t xml:space="preserve"> = </w:t>
      </w:r>
      <w:r w:rsidRPr="00561C5F">
        <w:t>anaplastic lymphoma kinase</w:t>
      </w:r>
      <w:r w:rsidRPr="002D3261">
        <w:t xml:space="preserve">; </w:t>
      </w:r>
      <w:r w:rsidRPr="00902EC2">
        <w:rPr>
          <w:i/>
        </w:rPr>
        <w:t>BRAF</w:t>
      </w:r>
      <w:r w:rsidRPr="00902EC2">
        <w:t xml:space="preserve"> = proto-oncogene B-Raf and v-Raf murine sarcoma viral oncogene homolog B; </w:t>
      </w:r>
      <w:r>
        <w:t xml:space="preserve">C-MET = receptor tyrosine kinase belonging to MET gene; </w:t>
      </w:r>
      <w:r w:rsidRPr="00902EC2">
        <w:rPr>
          <w:i/>
        </w:rPr>
        <w:t>EGFR</w:t>
      </w:r>
      <w:r w:rsidRPr="00902EC2">
        <w:t xml:space="preserve"> = epidermal growth factor receptor; </w:t>
      </w:r>
      <w:r w:rsidRPr="00902EC2">
        <w:rPr>
          <w:i/>
        </w:rPr>
        <w:t>KRAS</w:t>
      </w:r>
      <w:r w:rsidRPr="00902EC2">
        <w:t xml:space="preserve"> = Kirsten rat sarcoma;</w:t>
      </w:r>
      <w:r>
        <w:t xml:space="preserve"> </w:t>
      </w:r>
      <w:r w:rsidRPr="00B330BA">
        <w:rPr>
          <w:i/>
        </w:rPr>
        <w:t>NSCLC</w:t>
      </w:r>
      <w:r w:rsidRPr="002D3261">
        <w:t xml:space="preserve"> = non-small cell lung cancer; </w:t>
      </w:r>
      <w:r w:rsidRPr="002D3261">
        <w:rPr>
          <w:i/>
        </w:rPr>
        <w:t>ROS1</w:t>
      </w:r>
      <w:r w:rsidRPr="002D3261">
        <w:t xml:space="preserve"> = ROS proto-oncogene 1</w:t>
      </w:r>
    </w:p>
    <w:p w14:paraId="653D1458" w14:textId="77777777" w:rsidR="000D2368" w:rsidRDefault="000D2368" w:rsidP="000D2368">
      <w:pPr>
        <w:pStyle w:val="TableFooter"/>
      </w:pPr>
    </w:p>
    <w:p w14:paraId="64A2477B" w14:textId="77777777" w:rsidR="006D1822" w:rsidRDefault="006D1822" w:rsidP="006D1822">
      <w:pPr>
        <w:pStyle w:val="Heading4"/>
      </w:pPr>
      <w:r>
        <w:t>Turnaround time (for NGS vs individual gene testing)</w:t>
      </w:r>
    </w:p>
    <w:p w14:paraId="409D1C5D" w14:textId="77777777" w:rsidR="006D1822" w:rsidRPr="00C81543" w:rsidRDefault="006D1822" w:rsidP="006D1822">
      <w:r>
        <w:t xml:space="preserve">Testing of individual biomarkers using single-gene methods, took between a mean or median of 1 to 12 days for </w:t>
      </w:r>
      <w:r>
        <w:rPr>
          <w:i/>
        </w:rPr>
        <w:t>EGFR</w:t>
      </w:r>
      <w:r>
        <w:t xml:space="preserve">, 1 to 6 days for IHC, and 5 to 11 days for FISH. NGS took a mean or median of 4.8 days to 28 days. </w:t>
      </w:r>
      <w:r w:rsidRPr="00316252">
        <w:t xml:space="preserve">The shortest times were reported by Miller et al. In this study the study institution implemented reflex testing from pathology for stage III and IV tumours in order to reduce delays in follow-up testing and to help ensure all samples received appropriate testing. </w:t>
      </w:r>
    </w:p>
    <w:p w14:paraId="6655FE17" w14:textId="01BFE5F9" w:rsidR="006D1822" w:rsidRDefault="006D1822" w:rsidP="006D1822">
      <w:pPr>
        <w:pStyle w:val="Caption"/>
      </w:pPr>
      <w:bookmarkStart w:id="310" w:name="_Ref106878148"/>
      <w:r>
        <w:t xml:space="preserve">Table </w:t>
      </w:r>
      <w:fldSimple w:instr=" SEQ Table \* ARABIC ">
        <w:r w:rsidR="00C857F3">
          <w:rPr>
            <w:noProof/>
          </w:rPr>
          <w:t>87</w:t>
        </w:r>
      </w:fldSimple>
      <w:bookmarkEnd w:id="310"/>
      <w:r>
        <w:t xml:space="preserve"> Turnaround time for NGS vs single-gene tests </w:t>
      </w:r>
    </w:p>
    <w:tbl>
      <w:tblPr>
        <w:tblStyle w:val="TableGrid"/>
        <w:tblW w:w="5000" w:type="pct"/>
        <w:tblLook w:val="04A0" w:firstRow="1" w:lastRow="0" w:firstColumn="1" w:lastColumn="0" w:noHBand="0" w:noVBand="1"/>
        <w:tblCaption w:val="Turnaround time for NGS vs single-gene tests "/>
        <w:tblDescription w:val="Turnaround time for NGS vs single-gene tests "/>
      </w:tblPr>
      <w:tblGrid>
        <w:gridCol w:w="1083"/>
        <w:gridCol w:w="1962"/>
        <w:gridCol w:w="1347"/>
        <w:gridCol w:w="1205"/>
        <w:gridCol w:w="1623"/>
        <w:gridCol w:w="1796"/>
      </w:tblGrid>
      <w:tr w:rsidR="006D1822" w:rsidRPr="00606456" w14:paraId="57B507D7" w14:textId="77777777" w:rsidTr="00B01AD7">
        <w:trPr>
          <w:trHeight w:val="662"/>
          <w:tblHeader/>
        </w:trPr>
        <w:tc>
          <w:tcPr>
            <w:tcW w:w="601" w:type="pct"/>
          </w:tcPr>
          <w:p w14:paraId="0C019E30" w14:textId="77777777" w:rsidR="006D1822" w:rsidRPr="00606456" w:rsidRDefault="006D1822" w:rsidP="00B01AD7">
            <w:pPr>
              <w:pStyle w:val="TableHeading"/>
            </w:pPr>
            <w:r>
              <w:t>Study</w:t>
            </w:r>
          </w:p>
        </w:tc>
        <w:tc>
          <w:tcPr>
            <w:tcW w:w="1088" w:type="pct"/>
          </w:tcPr>
          <w:p w14:paraId="351E4525" w14:textId="77777777" w:rsidR="006D1822" w:rsidRDefault="006D1822" w:rsidP="00B01AD7">
            <w:pPr>
              <w:pStyle w:val="TableHeading"/>
            </w:pPr>
            <w:r>
              <w:t>Population</w:t>
            </w:r>
          </w:p>
        </w:tc>
        <w:tc>
          <w:tcPr>
            <w:tcW w:w="747" w:type="pct"/>
          </w:tcPr>
          <w:p w14:paraId="654F6EA3" w14:textId="77777777" w:rsidR="006D1822" w:rsidRPr="00606456" w:rsidRDefault="006D1822" w:rsidP="00B01AD7">
            <w:pPr>
              <w:pStyle w:val="TableHeading"/>
            </w:pPr>
            <w:r>
              <w:t>Intervention (NGS)</w:t>
            </w:r>
          </w:p>
        </w:tc>
        <w:tc>
          <w:tcPr>
            <w:tcW w:w="668" w:type="pct"/>
          </w:tcPr>
          <w:p w14:paraId="33544705" w14:textId="77777777" w:rsidR="006D1822" w:rsidRPr="00606456" w:rsidRDefault="006D1822" w:rsidP="00B01AD7">
            <w:pPr>
              <w:pStyle w:val="TableHeading"/>
            </w:pPr>
            <w:r>
              <w:t>Comparator (SG)</w:t>
            </w:r>
          </w:p>
        </w:tc>
        <w:tc>
          <w:tcPr>
            <w:tcW w:w="900" w:type="pct"/>
          </w:tcPr>
          <w:p w14:paraId="4335628F" w14:textId="77777777" w:rsidR="006D1822" w:rsidRPr="00606456" w:rsidRDefault="006D1822" w:rsidP="00B01AD7">
            <w:pPr>
              <w:pStyle w:val="TableHeading"/>
            </w:pPr>
            <w:r>
              <w:t>Turnaround time for NGS</w:t>
            </w:r>
          </w:p>
        </w:tc>
        <w:tc>
          <w:tcPr>
            <w:tcW w:w="998" w:type="pct"/>
          </w:tcPr>
          <w:p w14:paraId="7212D652" w14:textId="77777777" w:rsidR="006D1822" w:rsidRPr="00606456" w:rsidRDefault="006D1822" w:rsidP="00B01AD7">
            <w:pPr>
              <w:pStyle w:val="TableHeading"/>
            </w:pPr>
            <w:r>
              <w:t>Turnaround time for comparator</w:t>
            </w:r>
          </w:p>
        </w:tc>
      </w:tr>
      <w:tr w:rsidR="006D1822" w:rsidRPr="00606456" w14:paraId="335158B2" w14:textId="77777777" w:rsidTr="00B01AD7">
        <w:trPr>
          <w:trHeight w:val="119"/>
        </w:trPr>
        <w:tc>
          <w:tcPr>
            <w:tcW w:w="601" w:type="pct"/>
            <w:vMerge w:val="restart"/>
          </w:tcPr>
          <w:p w14:paraId="56FAAD47" w14:textId="6E10925E" w:rsidR="006D1822" w:rsidRPr="0014393D" w:rsidRDefault="00B4668F" w:rsidP="00B4668F">
            <w:pPr>
              <w:pStyle w:val="TableText"/>
            </w:pPr>
            <w:r>
              <w:fldChar w:fldCharType="begin">
                <w:fldData xml:space="preserve">PEVuZE5vdGU+PENpdGU+PEF1dGhvcj5Bcml5YXN1PC9BdXRob3I+PFllYXI+MjAyMTwvWWVhcj48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</w:fldData>
              </w:fldChar>
            </w:r>
            <w:r>
              <w:instrText xml:space="preserve"> ADDIN EN.CITE </w:instrText>
            </w:r>
            <w:r>
              <w:fldChar w:fldCharType="begin">
                <w:fldData xml:space="preserve">PEVuZE5vdGU+PENpdGU+PEF1dGhvcj5Bcml5YXN1PC9BdXRob3I+PFllYXI+MjAyMTwvWWVhcj48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</w:fldData>
              </w:fldChar>
            </w:r>
            <w:r>
              <w:instrText xml:space="preserve"> ADDIN EN.CITE.DATA </w:instrText>
            </w:r>
            <w:r>
              <w:fldChar w:fldCharType="end"/>
            </w:r>
            <w:r>
              <w:fldChar w:fldCharType="separate"/>
            </w:r>
            <w:r>
              <w:rPr>
                <w:noProof/>
              </w:rPr>
              <w:t>(Ariyasu et al. 2021)</w:t>
            </w:r>
            <w:r>
              <w:fldChar w:fldCharType="end"/>
            </w:r>
          </w:p>
        </w:tc>
        <w:tc>
          <w:tcPr>
            <w:tcW w:w="1088" w:type="pct"/>
            <w:vMerge w:val="restart"/>
          </w:tcPr>
          <w:p w14:paraId="69D66564" w14:textId="77777777" w:rsidR="006D1822" w:rsidRDefault="006D1822" w:rsidP="00B01AD7">
            <w:pPr>
              <w:pStyle w:val="Tabletext0"/>
              <w:spacing w:before="0" w:after="120"/>
              <w:jc w:val="left"/>
            </w:pPr>
            <w:r>
              <w:t xml:space="preserve">N=167 </w:t>
            </w:r>
          </w:p>
          <w:p w14:paraId="60FC9D0B" w14:textId="77777777" w:rsidR="006D1822" w:rsidRDefault="006D1822" w:rsidP="00B01AD7">
            <w:pPr>
              <w:pStyle w:val="Tabletext0"/>
              <w:spacing w:before="0" w:after="120"/>
              <w:jc w:val="left"/>
            </w:pPr>
            <w:r>
              <w:t>Consecutive patients with advanced NSCLC</w:t>
            </w:r>
          </w:p>
          <w:p w14:paraId="5621A887" w14:textId="77777777" w:rsidR="006D1822" w:rsidRPr="0014393D" w:rsidRDefault="006D1822" w:rsidP="00B01AD7">
            <w:pPr>
              <w:pStyle w:val="TableText"/>
            </w:pPr>
            <w:r>
              <w:t>Samples obtained through biopsy, surgical resection or other</w:t>
            </w:r>
          </w:p>
        </w:tc>
        <w:tc>
          <w:tcPr>
            <w:tcW w:w="747" w:type="pct"/>
            <w:vMerge w:val="restart"/>
          </w:tcPr>
          <w:p w14:paraId="644B34B5" w14:textId="77777777" w:rsidR="006D1822" w:rsidRPr="0014393D" w:rsidRDefault="006D1822" w:rsidP="00B01AD7">
            <w:pPr>
              <w:pStyle w:val="TableText"/>
            </w:pPr>
            <w:r w:rsidRPr="0014393D">
              <w:t>Oncomine Dx</w:t>
            </w:r>
          </w:p>
        </w:tc>
        <w:tc>
          <w:tcPr>
            <w:tcW w:w="668" w:type="pct"/>
          </w:tcPr>
          <w:p w14:paraId="3431F2A6" w14:textId="77777777" w:rsidR="006D1822" w:rsidRPr="0014393D" w:rsidRDefault="006D1822" w:rsidP="00B01AD7">
            <w:pPr>
              <w:pStyle w:val="TableText"/>
            </w:pPr>
            <w:r w:rsidRPr="0014393D">
              <w:t xml:space="preserve">cobas </w:t>
            </w:r>
            <w:r w:rsidRPr="00EF5DC7">
              <w:rPr>
                <w:i/>
              </w:rPr>
              <w:t>EGFR</w:t>
            </w:r>
          </w:p>
        </w:tc>
        <w:tc>
          <w:tcPr>
            <w:tcW w:w="900" w:type="pct"/>
            <w:vMerge w:val="restart"/>
          </w:tcPr>
          <w:p w14:paraId="7B369D8C" w14:textId="77777777" w:rsidR="006D1822" w:rsidRPr="0014393D" w:rsidRDefault="006D1822" w:rsidP="00B01AD7">
            <w:pPr>
              <w:pStyle w:val="TableText"/>
            </w:pPr>
            <w:r w:rsidRPr="0014393D">
              <w:t>Median 13 (range 9-29)</w:t>
            </w:r>
          </w:p>
        </w:tc>
        <w:tc>
          <w:tcPr>
            <w:tcW w:w="998" w:type="pct"/>
          </w:tcPr>
          <w:p w14:paraId="7946FC7E" w14:textId="77777777" w:rsidR="006D1822" w:rsidRPr="0014393D" w:rsidRDefault="006D1822" w:rsidP="00B01AD7">
            <w:pPr>
              <w:pStyle w:val="TableText"/>
            </w:pPr>
            <w:r w:rsidRPr="0014393D">
              <w:t>Median 6 days (range 5-18)</w:t>
            </w:r>
          </w:p>
        </w:tc>
      </w:tr>
      <w:tr w:rsidR="006D1822" w:rsidRPr="00606456" w14:paraId="6D3F42E8" w14:textId="77777777" w:rsidTr="00B01AD7">
        <w:trPr>
          <w:trHeight w:val="70"/>
        </w:trPr>
        <w:tc>
          <w:tcPr>
            <w:tcW w:w="601" w:type="pct"/>
            <w:vMerge/>
          </w:tcPr>
          <w:p w14:paraId="52C4864B" w14:textId="77777777" w:rsidR="006D1822" w:rsidRPr="0014393D" w:rsidRDefault="006D1822" w:rsidP="00B01AD7">
            <w:pPr>
              <w:pStyle w:val="TableText"/>
            </w:pPr>
          </w:p>
        </w:tc>
        <w:tc>
          <w:tcPr>
            <w:tcW w:w="1088" w:type="pct"/>
            <w:vMerge/>
          </w:tcPr>
          <w:p w14:paraId="5860DF16" w14:textId="77777777" w:rsidR="006D1822" w:rsidRPr="0014393D" w:rsidRDefault="006D1822" w:rsidP="00B01AD7">
            <w:pPr>
              <w:pStyle w:val="TableText"/>
            </w:pPr>
          </w:p>
        </w:tc>
        <w:tc>
          <w:tcPr>
            <w:tcW w:w="747" w:type="pct"/>
            <w:vMerge/>
          </w:tcPr>
          <w:p w14:paraId="175B21CA" w14:textId="77777777" w:rsidR="006D1822" w:rsidRPr="0014393D" w:rsidRDefault="006D1822" w:rsidP="00B01AD7">
            <w:pPr>
              <w:pStyle w:val="TableText"/>
            </w:pPr>
          </w:p>
        </w:tc>
        <w:tc>
          <w:tcPr>
            <w:tcW w:w="668" w:type="pct"/>
          </w:tcPr>
          <w:p w14:paraId="1E2C1136" w14:textId="77777777" w:rsidR="006D1822" w:rsidRPr="0014393D" w:rsidRDefault="006D1822" w:rsidP="00B01AD7">
            <w:pPr>
              <w:pStyle w:val="TableText"/>
            </w:pPr>
            <w:r w:rsidRPr="0014393D">
              <w:t>ALK IHC</w:t>
            </w:r>
          </w:p>
        </w:tc>
        <w:tc>
          <w:tcPr>
            <w:tcW w:w="900" w:type="pct"/>
            <w:vMerge/>
          </w:tcPr>
          <w:p w14:paraId="1B9CFB64" w14:textId="77777777" w:rsidR="006D1822" w:rsidRPr="0014393D" w:rsidRDefault="006D1822" w:rsidP="00B01AD7">
            <w:pPr>
              <w:pStyle w:val="TableText"/>
            </w:pPr>
          </w:p>
        </w:tc>
        <w:tc>
          <w:tcPr>
            <w:tcW w:w="998" w:type="pct"/>
          </w:tcPr>
          <w:p w14:paraId="7064FCB3" w14:textId="77777777" w:rsidR="006D1822" w:rsidRPr="0014393D" w:rsidRDefault="006D1822" w:rsidP="00B01AD7">
            <w:pPr>
              <w:pStyle w:val="TableText"/>
            </w:pPr>
            <w:r w:rsidRPr="0014393D">
              <w:t>median 1 (range 1-3)</w:t>
            </w:r>
          </w:p>
        </w:tc>
      </w:tr>
      <w:tr w:rsidR="006D1822" w:rsidRPr="00606456" w14:paraId="3E448380" w14:textId="77777777" w:rsidTr="00B01AD7">
        <w:trPr>
          <w:trHeight w:val="103"/>
        </w:trPr>
        <w:tc>
          <w:tcPr>
            <w:tcW w:w="601" w:type="pct"/>
            <w:vMerge w:val="restart"/>
          </w:tcPr>
          <w:p w14:paraId="2EF69D11" w14:textId="21883F56" w:rsidR="006D1822" w:rsidRPr="0014393D" w:rsidRDefault="00B4668F" w:rsidP="00B4668F">
            <w:pPr>
              <w:pStyle w:val="TableText"/>
            </w:pP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 </w:instrText>
            </w:r>
            <w:r>
              <w:fldChar w:fldCharType="begin">
                <w:fldData xml:space="preserve">PEVuZE5vdGU+PENpdGU+PEF1dGhvcj5EYWxsJmFwb3M7T2xpbzwvQXV0aG9yPjxZZWFyPjIwMjA8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</w:fldData>
              </w:fldChar>
            </w:r>
            <w:r>
              <w:instrText xml:space="preserve"> ADDIN EN.CITE.DATA </w:instrText>
            </w:r>
            <w:r>
              <w:fldChar w:fldCharType="end"/>
            </w:r>
            <w:r>
              <w:fldChar w:fldCharType="separate"/>
            </w:r>
            <w:r>
              <w:rPr>
                <w:noProof/>
              </w:rPr>
              <w:t>(Dall'Olio et al. 2020)</w:t>
            </w:r>
            <w:r>
              <w:fldChar w:fldCharType="end"/>
            </w:r>
          </w:p>
        </w:tc>
        <w:tc>
          <w:tcPr>
            <w:tcW w:w="1088" w:type="pct"/>
            <w:vMerge w:val="restart"/>
          </w:tcPr>
          <w:p w14:paraId="45F46679" w14:textId="77777777" w:rsidR="006D1822" w:rsidRDefault="006D1822" w:rsidP="00B01AD7">
            <w:pPr>
              <w:spacing w:before="0" w:after="120"/>
            </w:pPr>
            <w:r w:rsidRPr="7579F35B">
              <w:rPr>
                <w:rFonts w:ascii="Arial Narrow" w:eastAsia="Arial Narrow" w:hAnsi="Arial Narrow" w:cs="Arial Narrow"/>
                <w:sz w:val="20"/>
                <w:szCs w:val="20"/>
              </w:rPr>
              <w:t xml:space="preserve">N=537 </w:t>
            </w:r>
          </w:p>
          <w:p w14:paraId="4C0C0CDE" w14:textId="77777777" w:rsidR="006D1822" w:rsidRDefault="006D1822" w:rsidP="00B01AD7">
            <w:pPr>
              <w:spacing w:before="0" w:after="120"/>
            </w:pPr>
            <w:r w:rsidRPr="7579F35B">
              <w:rPr>
                <w:rFonts w:ascii="Arial Narrow" w:eastAsia="Arial Narrow" w:hAnsi="Arial Narrow" w:cs="Arial Narrow"/>
                <w:sz w:val="20"/>
                <w:szCs w:val="20"/>
              </w:rPr>
              <w:t xml:space="preserve">Consecutive NSCLC (adenocarcinoma) patients </w:t>
            </w:r>
          </w:p>
          <w:p w14:paraId="0556837C" w14:textId="77777777" w:rsidR="006D1822" w:rsidRPr="0014393D" w:rsidRDefault="006D1822" w:rsidP="00B01AD7">
            <w:pPr>
              <w:pStyle w:val="TableText"/>
            </w:pPr>
            <w:r w:rsidRPr="00F513D7">
              <w:t>Histology and cytology samples</w:t>
            </w:r>
          </w:p>
        </w:tc>
        <w:tc>
          <w:tcPr>
            <w:tcW w:w="747" w:type="pct"/>
            <w:vMerge w:val="restart"/>
          </w:tcPr>
          <w:p w14:paraId="62FECF90" w14:textId="77777777" w:rsidR="006D1822" w:rsidRPr="0014393D" w:rsidRDefault="006D1822" w:rsidP="00B01AD7">
            <w:pPr>
              <w:pStyle w:val="TableText"/>
            </w:pPr>
            <w:r w:rsidRPr="0014393D">
              <w:t xml:space="preserve">Oncomine Focus Assay </w:t>
            </w:r>
          </w:p>
        </w:tc>
        <w:tc>
          <w:tcPr>
            <w:tcW w:w="668" w:type="pct"/>
          </w:tcPr>
          <w:p w14:paraId="646DA4E5" w14:textId="77777777" w:rsidR="006D1822" w:rsidRPr="0014393D" w:rsidRDefault="006D1822" w:rsidP="00B01AD7">
            <w:pPr>
              <w:pStyle w:val="TableText"/>
            </w:pPr>
            <w:r w:rsidRPr="0014393D">
              <w:t xml:space="preserve">Single gene PCR </w:t>
            </w:r>
          </w:p>
        </w:tc>
        <w:tc>
          <w:tcPr>
            <w:tcW w:w="900" w:type="pct"/>
            <w:vMerge w:val="restart"/>
          </w:tcPr>
          <w:p w14:paraId="5D5BE05F" w14:textId="77777777" w:rsidR="006D1822" w:rsidRPr="0014393D" w:rsidRDefault="006D1822" w:rsidP="00B01AD7">
            <w:pPr>
              <w:pStyle w:val="TableText"/>
            </w:pPr>
            <w:r>
              <w:t>~</w:t>
            </w:r>
            <w:r w:rsidRPr="0014393D">
              <w:t>10 days</w:t>
            </w:r>
          </w:p>
        </w:tc>
        <w:tc>
          <w:tcPr>
            <w:tcW w:w="998" w:type="pct"/>
          </w:tcPr>
          <w:p w14:paraId="28BB8E08" w14:textId="77777777" w:rsidR="006D1822" w:rsidRPr="0014393D" w:rsidRDefault="006D1822" w:rsidP="00B01AD7">
            <w:pPr>
              <w:pStyle w:val="TableText"/>
            </w:pPr>
            <w:r>
              <w:t>~</w:t>
            </w:r>
            <w:r w:rsidRPr="0014393D">
              <w:t>5 days</w:t>
            </w:r>
          </w:p>
        </w:tc>
      </w:tr>
      <w:tr w:rsidR="006D1822" w:rsidRPr="00606456" w14:paraId="590E1B57" w14:textId="77777777" w:rsidTr="00B01AD7">
        <w:trPr>
          <w:trHeight w:val="221"/>
        </w:trPr>
        <w:tc>
          <w:tcPr>
            <w:tcW w:w="601" w:type="pct"/>
            <w:vMerge/>
          </w:tcPr>
          <w:p w14:paraId="6575A0FC" w14:textId="77777777" w:rsidR="006D1822" w:rsidRPr="0014393D" w:rsidRDefault="006D1822" w:rsidP="00B01AD7">
            <w:pPr>
              <w:pStyle w:val="TableText"/>
            </w:pPr>
          </w:p>
        </w:tc>
        <w:tc>
          <w:tcPr>
            <w:tcW w:w="1088" w:type="pct"/>
            <w:vMerge/>
          </w:tcPr>
          <w:p w14:paraId="6CADDB6E" w14:textId="77777777" w:rsidR="006D1822" w:rsidRPr="0014393D" w:rsidRDefault="006D1822" w:rsidP="00B01AD7">
            <w:pPr>
              <w:pStyle w:val="TableText"/>
            </w:pPr>
          </w:p>
        </w:tc>
        <w:tc>
          <w:tcPr>
            <w:tcW w:w="747" w:type="pct"/>
            <w:vMerge/>
          </w:tcPr>
          <w:p w14:paraId="64C7FCC6" w14:textId="77777777" w:rsidR="006D1822" w:rsidRPr="0014393D" w:rsidRDefault="006D1822" w:rsidP="00B01AD7">
            <w:pPr>
              <w:pStyle w:val="TableText"/>
            </w:pPr>
          </w:p>
        </w:tc>
        <w:tc>
          <w:tcPr>
            <w:tcW w:w="668" w:type="pct"/>
          </w:tcPr>
          <w:p w14:paraId="673934D5" w14:textId="77777777" w:rsidR="006D1822" w:rsidRPr="0014393D" w:rsidRDefault="006D1822" w:rsidP="00B01AD7">
            <w:pPr>
              <w:pStyle w:val="TableText"/>
            </w:pPr>
            <w:r w:rsidRPr="0014393D">
              <w:t>IHC</w:t>
            </w:r>
          </w:p>
        </w:tc>
        <w:tc>
          <w:tcPr>
            <w:tcW w:w="900" w:type="pct"/>
            <w:vMerge/>
          </w:tcPr>
          <w:p w14:paraId="18ACC7B7" w14:textId="77777777" w:rsidR="006D1822" w:rsidRPr="0014393D" w:rsidRDefault="006D1822" w:rsidP="00B01AD7">
            <w:pPr>
              <w:pStyle w:val="TableText"/>
            </w:pPr>
          </w:p>
        </w:tc>
        <w:tc>
          <w:tcPr>
            <w:tcW w:w="998" w:type="pct"/>
          </w:tcPr>
          <w:p w14:paraId="37768661" w14:textId="77777777" w:rsidR="006D1822" w:rsidRPr="0014393D" w:rsidRDefault="006D1822" w:rsidP="00B01AD7">
            <w:pPr>
              <w:pStyle w:val="TableText"/>
            </w:pPr>
            <w:r>
              <w:t>~</w:t>
            </w:r>
            <w:r w:rsidRPr="0014393D">
              <w:t>2 days</w:t>
            </w:r>
          </w:p>
        </w:tc>
      </w:tr>
      <w:tr w:rsidR="006D1822" w:rsidRPr="00606456" w14:paraId="68C04A82" w14:textId="77777777" w:rsidTr="00B01AD7">
        <w:trPr>
          <w:trHeight w:val="183"/>
        </w:trPr>
        <w:tc>
          <w:tcPr>
            <w:tcW w:w="601" w:type="pct"/>
            <w:vMerge/>
          </w:tcPr>
          <w:p w14:paraId="0D3BCC39" w14:textId="77777777" w:rsidR="006D1822" w:rsidRPr="0014393D" w:rsidRDefault="006D1822" w:rsidP="00B01AD7">
            <w:pPr>
              <w:pStyle w:val="TableText"/>
            </w:pPr>
          </w:p>
        </w:tc>
        <w:tc>
          <w:tcPr>
            <w:tcW w:w="1088" w:type="pct"/>
            <w:vMerge/>
          </w:tcPr>
          <w:p w14:paraId="4A166499" w14:textId="77777777" w:rsidR="006D1822" w:rsidRPr="0014393D" w:rsidRDefault="006D1822" w:rsidP="00B01AD7">
            <w:pPr>
              <w:pStyle w:val="TableText"/>
            </w:pPr>
          </w:p>
        </w:tc>
        <w:tc>
          <w:tcPr>
            <w:tcW w:w="747" w:type="pct"/>
            <w:vMerge/>
          </w:tcPr>
          <w:p w14:paraId="581E1CC5" w14:textId="77777777" w:rsidR="006D1822" w:rsidRPr="0014393D" w:rsidRDefault="006D1822" w:rsidP="00B01AD7">
            <w:pPr>
              <w:pStyle w:val="TableText"/>
            </w:pPr>
          </w:p>
        </w:tc>
        <w:tc>
          <w:tcPr>
            <w:tcW w:w="668" w:type="pct"/>
          </w:tcPr>
          <w:p w14:paraId="16428D95" w14:textId="77777777" w:rsidR="006D1822" w:rsidRPr="0014393D" w:rsidRDefault="006D1822" w:rsidP="00B01AD7">
            <w:pPr>
              <w:pStyle w:val="TableText"/>
            </w:pPr>
            <w:r w:rsidRPr="0014393D">
              <w:t>FISH</w:t>
            </w:r>
          </w:p>
        </w:tc>
        <w:tc>
          <w:tcPr>
            <w:tcW w:w="900" w:type="pct"/>
            <w:vMerge/>
          </w:tcPr>
          <w:p w14:paraId="123E42B5" w14:textId="77777777" w:rsidR="006D1822" w:rsidRPr="0014393D" w:rsidRDefault="006D1822" w:rsidP="00B01AD7">
            <w:pPr>
              <w:pStyle w:val="TableText"/>
            </w:pPr>
          </w:p>
        </w:tc>
        <w:tc>
          <w:tcPr>
            <w:tcW w:w="998" w:type="pct"/>
          </w:tcPr>
          <w:p w14:paraId="7991C85B" w14:textId="77777777" w:rsidR="006D1822" w:rsidRPr="0014393D" w:rsidRDefault="006D1822" w:rsidP="00B01AD7">
            <w:pPr>
              <w:pStyle w:val="TableText"/>
            </w:pPr>
            <w:r>
              <w:t>~</w:t>
            </w:r>
            <w:r w:rsidRPr="0014393D">
              <w:t>5 days</w:t>
            </w:r>
          </w:p>
        </w:tc>
      </w:tr>
      <w:tr w:rsidR="006D1822" w:rsidRPr="00606456" w14:paraId="31E805D4" w14:textId="77777777" w:rsidTr="00B01AD7">
        <w:trPr>
          <w:trHeight w:val="415"/>
        </w:trPr>
        <w:tc>
          <w:tcPr>
            <w:tcW w:w="601" w:type="pct"/>
            <w:vMerge w:val="restart"/>
          </w:tcPr>
          <w:p w14:paraId="33F75C62" w14:textId="10CB4212" w:rsidR="006D1822" w:rsidRPr="0014393D" w:rsidRDefault="00B4668F" w:rsidP="00B4668F">
            <w:pPr>
              <w:pStyle w:val="TableText"/>
            </w:pP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 </w:instrText>
            </w:r>
            <w:r>
              <w:fldChar w:fldCharType="begin">
                <w:fldData xml:space="preserve">PEVuZE5vdGU+PENpdGU+PEF1dGhvcj5Hcmllc2luZ2VyPC9BdXRob3I+PFllYXI+MjAyMTwvWWVh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</w:fldData>
              </w:fldChar>
            </w:r>
            <w:r>
              <w:instrText xml:space="preserve"> ADDIN EN.CITE.DATA </w:instrText>
            </w:r>
            <w:r>
              <w:fldChar w:fldCharType="end"/>
            </w:r>
            <w:r>
              <w:fldChar w:fldCharType="separate"/>
            </w:r>
            <w:r>
              <w:rPr>
                <w:noProof/>
              </w:rPr>
              <w:t>(Griesinger et al. 2021)</w:t>
            </w:r>
            <w:r>
              <w:fldChar w:fldCharType="end"/>
            </w:r>
          </w:p>
        </w:tc>
        <w:tc>
          <w:tcPr>
            <w:tcW w:w="1088" w:type="pct"/>
            <w:vMerge w:val="restart"/>
          </w:tcPr>
          <w:p w14:paraId="339FD872" w14:textId="77777777" w:rsidR="006D1822" w:rsidRPr="0014393D" w:rsidRDefault="006D1822" w:rsidP="00B01AD7">
            <w:pPr>
              <w:pStyle w:val="TableText"/>
            </w:pPr>
            <w:r>
              <w:rPr>
                <w:snapToGrid w:val="0"/>
              </w:rPr>
              <w:t>N=</w:t>
            </w:r>
            <w:r w:rsidRPr="00B2083D">
              <w:rPr>
                <w:snapToGrid w:val="0"/>
              </w:rPr>
              <w:t xml:space="preserve">3,717 patients with advanced NSCLC, </w:t>
            </w:r>
            <w:r w:rsidRPr="00B2083D">
              <w:rPr>
                <w:snapToGrid w:val="0"/>
              </w:rPr>
              <w:lastRenderedPageBreak/>
              <w:t>recruited into the CRISP registry at start of systemic therapy</w:t>
            </w:r>
          </w:p>
        </w:tc>
        <w:tc>
          <w:tcPr>
            <w:tcW w:w="747" w:type="pct"/>
            <w:vMerge w:val="restart"/>
          </w:tcPr>
          <w:p w14:paraId="163F53C6" w14:textId="77777777" w:rsidR="006D1822" w:rsidRPr="0014393D" w:rsidRDefault="006D1822" w:rsidP="00B01AD7">
            <w:pPr>
              <w:pStyle w:val="TableText"/>
            </w:pPr>
            <w:r w:rsidRPr="0014393D">
              <w:lastRenderedPageBreak/>
              <w:t>NGS</w:t>
            </w:r>
          </w:p>
        </w:tc>
        <w:tc>
          <w:tcPr>
            <w:tcW w:w="668" w:type="pct"/>
          </w:tcPr>
          <w:p w14:paraId="167D9BEA" w14:textId="77777777" w:rsidR="006D1822" w:rsidRPr="0014393D" w:rsidRDefault="006D1822" w:rsidP="00B01AD7">
            <w:pPr>
              <w:pStyle w:val="TableText"/>
            </w:pPr>
            <w:r w:rsidRPr="0014393D">
              <w:t>Non-NGS sequencing</w:t>
            </w:r>
          </w:p>
        </w:tc>
        <w:tc>
          <w:tcPr>
            <w:tcW w:w="900" w:type="pct"/>
            <w:vMerge w:val="restart"/>
          </w:tcPr>
          <w:p w14:paraId="6BD31056" w14:textId="77777777" w:rsidR="006D1822" w:rsidRPr="0014393D" w:rsidRDefault="006D1822" w:rsidP="00B01AD7">
            <w:pPr>
              <w:pStyle w:val="TableText"/>
            </w:pPr>
            <w:r w:rsidRPr="0014393D">
              <w:t>Median 13 (IQR 9 - 18)</w:t>
            </w:r>
          </w:p>
        </w:tc>
        <w:tc>
          <w:tcPr>
            <w:tcW w:w="998" w:type="pct"/>
          </w:tcPr>
          <w:p w14:paraId="1B269327" w14:textId="77777777" w:rsidR="006D1822" w:rsidRPr="0014393D" w:rsidRDefault="006D1822" w:rsidP="00B01AD7">
            <w:pPr>
              <w:pStyle w:val="TableText"/>
            </w:pPr>
            <w:r w:rsidRPr="0014393D">
              <w:t>Median 8 days (IQR 5 – 13)</w:t>
            </w:r>
          </w:p>
        </w:tc>
      </w:tr>
      <w:tr w:rsidR="006D1822" w:rsidRPr="00606456" w14:paraId="550AABFF" w14:textId="77777777" w:rsidTr="00B01AD7">
        <w:trPr>
          <w:trHeight w:val="309"/>
        </w:trPr>
        <w:tc>
          <w:tcPr>
            <w:tcW w:w="601" w:type="pct"/>
            <w:vMerge/>
          </w:tcPr>
          <w:p w14:paraId="2D345482" w14:textId="77777777" w:rsidR="006D1822" w:rsidRPr="0014393D" w:rsidRDefault="006D1822" w:rsidP="00B01AD7">
            <w:pPr>
              <w:pStyle w:val="TableText"/>
            </w:pPr>
          </w:p>
        </w:tc>
        <w:tc>
          <w:tcPr>
            <w:tcW w:w="1088" w:type="pct"/>
            <w:vMerge/>
          </w:tcPr>
          <w:p w14:paraId="4B9AC56F" w14:textId="77777777" w:rsidR="006D1822" w:rsidRPr="0014393D" w:rsidRDefault="006D1822" w:rsidP="00B01AD7">
            <w:pPr>
              <w:pStyle w:val="TableText"/>
            </w:pPr>
          </w:p>
        </w:tc>
        <w:tc>
          <w:tcPr>
            <w:tcW w:w="747" w:type="pct"/>
            <w:vMerge/>
          </w:tcPr>
          <w:p w14:paraId="0B9514BC" w14:textId="77777777" w:rsidR="006D1822" w:rsidRPr="0014393D" w:rsidRDefault="006D1822" w:rsidP="00B01AD7">
            <w:pPr>
              <w:pStyle w:val="TableText"/>
            </w:pPr>
          </w:p>
        </w:tc>
        <w:tc>
          <w:tcPr>
            <w:tcW w:w="668" w:type="pct"/>
          </w:tcPr>
          <w:p w14:paraId="714928DD" w14:textId="77777777" w:rsidR="006D1822" w:rsidRPr="0014393D" w:rsidRDefault="006D1822" w:rsidP="00B01AD7">
            <w:pPr>
              <w:pStyle w:val="TableText"/>
            </w:pPr>
            <w:r w:rsidRPr="0014393D">
              <w:t>IHC</w:t>
            </w:r>
          </w:p>
        </w:tc>
        <w:tc>
          <w:tcPr>
            <w:tcW w:w="900" w:type="pct"/>
            <w:vMerge/>
          </w:tcPr>
          <w:p w14:paraId="1EB1ABCF" w14:textId="77777777" w:rsidR="006D1822" w:rsidRPr="0014393D" w:rsidRDefault="006D1822" w:rsidP="00B01AD7">
            <w:pPr>
              <w:pStyle w:val="TableText"/>
            </w:pPr>
          </w:p>
        </w:tc>
        <w:tc>
          <w:tcPr>
            <w:tcW w:w="998" w:type="pct"/>
          </w:tcPr>
          <w:p w14:paraId="2118F20D" w14:textId="77777777" w:rsidR="006D1822" w:rsidRPr="0014393D" w:rsidRDefault="006D1822" w:rsidP="00B01AD7">
            <w:pPr>
              <w:pStyle w:val="TableText"/>
            </w:pPr>
            <w:r w:rsidRPr="0014393D">
              <w:t>Median 6 days (IQR 3-11)</w:t>
            </w:r>
          </w:p>
        </w:tc>
      </w:tr>
      <w:tr w:rsidR="006D1822" w:rsidRPr="00606456" w14:paraId="22855910" w14:textId="77777777" w:rsidTr="00B01AD7">
        <w:trPr>
          <w:trHeight w:val="317"/>
        </w:trPr>
        <w:tc>
          <w:tcPr>
            <w:tcW w:w="601" w:type="pct"/>
            <w:vMerge/>
          </w:tcPr>
          <w:p w14:paraId="15753639" w14:textId="77777777" w:rsidR="006D1822" w:rsidRPr="0014393D" w:rsidRDefault="006D1822" w:rsidP="00B01AD7">
            <w:pPr>
              <w:pStyle w:val="TableText"/>
            </w:pPr>
          </w:p>
        </w:tc>
        <w:tc>
          <w:tcPr>
            <w:tcW w:w="1088" w:type="pct"/>
            <w:vMerge/>
          </w:tcPr>
          <w:p w14:paraId="4CADE15A" w14:textId="77777777" w:rsidR="006D1822" w:rsidRPr="0014393D" w:rsidRDefault="006D1822" w:rsidP="00B01AD7">
            <w:pPr>
              <w:pStyle w:val="TableText"/>
            </w:pPr>
          </w:p>
        </w:tc>
        <w:tc>
          <w:tcPr>
            <w:tcW w:w="747" w:type="pct"/>
            <w:vMerge/>
          </w:tcPr>
          <w:p w14:paraId="45AB1FD3" w14:textId="77777777" w:rsidR="006D1822" w:rsidRPr="0014393D" w:rsidRDefault="006D1822" w:rsidP="00B01AD7">
            <w:pPr>
              <w:pStyle w:val="TableText"/>
            </w:pPr>
          </w:p>
        </w:tc>
        <w:tc>
          <w:tcPr>
            <w:tcW w:w="668" w:type="pct"/>
          </w:tcPr>
          <w:p w14:paraId="50F0AB3B" w14:textId="77777777" w:rsidR="006D1822" w:rsidRPr="0014393D" w:rsidRDefault="006D1822" w:rsidP="00B01AD7">
            <w:pPr>
              <w:pStyle w:val="TableText"/>
            </w:pPr>
            <w:r w:rsidRPr="0014393D">
              <w:t>FISH</w:t>
            </w:r>
          </w:p>
        </w:tc>
        <w:tc>
          <w:tcPr>
            <w:tcW w:w="900" w:type="pct"/>
            <w:vMerge/>
          </w:tcPr>
          <w:p w14:paraId="3BE5DE82" w14:textId="77777777" w:rsidR="006D1822" w:rsidRPr="0014393D" w:rsidRDefault="006D1822" w:rsidP="00B01AD7">
            <w:pPr>
              <w:pStyle w:val="TableText"/>
            </w:pPr>
          </w:p>
        </w:tc>
        <w:tc>
          <w:tcPr>
            <w:tcW w:w="998" w:type="pct"/>
          </w:tcPr>
          <w:p w14:paraId="7C960687" w14:textId="77777777" w:rsidR="006D1822" w:rsidRPr="0014393D" w:rsidRDefault="006D1822" w:rsidP="00B01AD7">
            <w:pPr>
              <w:pStyle w:val="TableText"/>
            </w:pPr>
            <w:r w:rsidRPr="0014393D">
              <w:t>Median 11 days (IQR 7-16)</w:t>
            </w:r>
          </w:p>
        </w:tc>
      </w:tr>
      <w:tr w:rsidR="006D1822" w:rsidRPr="00606456" w14:paraId="3A206B73" w14:textId="77777777" w:rsidTr="00B01AD7">
        <w:trPr>
          <w:trHeight w:val="243"/>
        </w:trPr>
        <w:tc>
          <w:tcPr>
            <w:tcW w:w="601" w:type="pct"/>
          </w:tcPr>
          <w:p w14:paraId="70B68391" w14:textId="4C97A1CF" w:rsidR="006D1822" w:rsidRPr="0014393D" w:rsidRDefault="00B4668F" w:rsidP="00B4668F">
            <w:pPr>
              <w:pStyle w:val="TableText"/>
            </w:pPr>
            <w:r>
              <w:fldChar w:fldCharType="begin"/>
            </w:r>
            <w:r>
              <w:instrText xml:space="preserve"> ADDIN EN.CITE &lt;EndNote&gt;&lt;Cite&gt;&lt;Author&gt;Lassalle&lt;/Author&gt;&lt;Year&gt;2020&lt;/Year&gt;&lt;RecNum&gt;167&lt;/RecNum&gt;&lt;IDText&gt;955-NA&lt;/IDText&gt;&lt;DisplayText&gt;(Lassalle et al. 2020)&lt;/DisplayText&gt;&lt;record&gt;&lt;rec-number&gt;167&lt;/rec-number&gt;&lt;foreign-keys&gt;&lt;key app="EN" db-id="0tprsse9cpp5r3ea5dz5p0xw2pfwvwxpa5a5" timestamp="1655264278"&gt;167&lt;/key&gt;&lt;/foreign-keys&gt;&lt;ref-type name="Journal Article"&gt;17&lt;/ref-type&gt;&lt;contributors&gt;&lt;authors&gt;&lt;author&gt;Lassalle, Sandra&lt;/author&gt;&lt;author&gt;Hofman, Véronique&lt;/author&gt;&lt;author&gt;Heeke, Simon&lt;/author&gt;&lt;author&gt;Benzaquen, Jonathan&lt;/author&gt;&lt;author&gt;Long, Elodie&lt;/author&gt;&lt;author&gt;Poudenx, Michel&lt;/author&gt;&lt;author&gt;Lantéri, Elisabeth&lt;/author&gt;&lt;author&gt;Boutros, Jacques&lt;/author&gt;&lt;author&gt;Tanga, Virginie&lt;/author&gt;&lt;author&gt;Zahaf, Katia&lt;/author&gt;&lt;author&gt;Lalvée, Salomé&lt;/author&gt;&lt;author&gt;Lespinet, Virginie&lt;/author&gt;&lt;author&gt;Bordone, Olivier&lt;/author&gt;&lt;author&gt;Félix, Jean-Marc&lt;/author&gt;&lt;author&gt;Bonnetaud, Christelle&lt;/author&gt;&lt;author&gt;Marquette, C. H.&lt;/author&gt;&lt;author&gt;Ilie, Marius&lt;/author&gt;&lt;author&gt;Hofman, Paul&lt;/author&gt;&lt;/authors&gt;&lt;/contributors&gt;&lt;titles&gt;&lt;title&gt;Targeted Assessment of the EGFR Status as Reflex Testing in Treatment-Naive Non-Squamous Cell Lung Carcinoma Patients: A Single Laboratory Experience (LPCE, Nice, France)&lt;/title&gt;&lt;secondary-title&gt;Cancers&lt;/secondary-title&gt;&lt;/titles&gt;&lt;periodical&gt;&lt;full-title&gt;Cancers&lt;/full-title&gt;&lt;/periodical&gt;&lt;pages&gt;955-NA&lt;/pages&gt;&lt;volume&gt;12&lt;/volume&gt;&lt;number&gt;4&lt;/number&gt;&lt;dates&gt;&lt;year&gt;2020&lt;/year&gt;&lt;/dates&gt;&lt;urls&gt;&lt;related-urls&gt;&lt;url&gt;https://mdpi-res.com/d_attachment/cancers/cancers-12-00955/article_deploy/cancers-12-00955.pdf?version=1586755471&lt;/url&gt;&lt;/related-urls&gt;&lt;/urls&gt;&lt;electronic-resource-num&gt;10.3390/cancers12040955&lt;/electronic-resource-num&gt;&lt;research-notes&gt;P - concordance - EGFR &lt;/research-notes&gt;&lt;/record&gt;&lt;/Cite&gt;&lt;/EndNote&gt;</w:instrText>
            </w:r>
            <w:r>
              <w:fldChar w:fldCharType="separate"/>
            </w:r>
            <w:r>
              <w:rPr>
                <w:noProof/>
              </w:rPr>
              <w:t>(Lassalle et al. 2020)</w:t>
            </w:r>
            <w:r>
              <w:fldChar w:fldCharType="end"/>
            </w:r>
          </w:p>
        </w:tc>
        <w:tc>
          <w:tcPr>
            <w:tcW w:w="1088" w:type="pct"/>
          </w:tcPr>
          <w:p w14:paraId="24E239D4" w14:textId="77777777" w:rsidR="006D1822" w:rsidRDefault="006D1822" w:rsidP="00B01AD7">
            <w:pPr>
              <w:pStyle w:val="Tabletext0"/>
              <w:spacing w:before="0" w:after="120"/>
            </w:pPr>
            <w:r>
              <w:t xml:space="preserve">N=83 patients with non-squamous lung cancer, </w:t>
            </w:r>
            <w:r w:rsidRPr="00105557">
              <w:rPr>
                <w:i/>
              </w:rPr>
              <w:t>EGFR</w:t>
            </w:r>
            <w:r>
              <w:t xml:space="preserve"> wild-type determined by Idylla </w:t>
            </w:r>
            <w:r w:rsidRPr="00172C04">
              <w:t>assay</w:t>
            </w:r>
          </w:p>
          <w:p w14:paraId="15D14014" w14:textId="77777777" w:rsidR="006D1822" w:rsidRPr="0014393D" w:rsidRDefault="006D1822" w:rsidP="00B01AD7">
            <w:pPr>
              <w:pStyle w:val="TableText"/>
            </w:pPr>
            <w:r>
              <w:t>Biopsy specimens</w:t>
            </w:r>
          </w:p>
        </w:tc>
        <w:tc>
          <w:tcPr>
            <w:tcW w:w="747" w:type="pct"/>
          </w:tcPr>
          <w:p w14:paraId="1793EC60" w14:textId="77777777" w:rsidR="006D1822" w:rsidRPr="0014393D" w:rsidRDefault="006D1822" w:rsidP="00B01AD7">
            <w:pPr>
              <w:pStyle w:val="TableText"/>
            </w:pPr>
            <w:r w:rsidRPr="0014393D">
              <w:t>NGS Hotspot panel</w:t>
            </w:r>
          </w:p>
        </w:tc>
        <w:tc>
          <w:tcPr>
            <w:tcW w:w="668" w:type="pct"/>
          </w:tcPr>
          <w:p w14:paraId="20DFDFB1" w14:textId="77777777" w:rsidR="006D1822" w:rsidRPr="0014393D" w:rsidRDefault="006D1822" w:rsidP="00B01AD7">
            <w:pPr>
              <w:pStyle w:val="TableText"/>
            </w:pPr>
            <w:r w:rsidRPr="0014393D">
              <w:t xml:space="preserve">Idylla </w:t>
            </w:r>
            <w:r w:rsidRPr="00EF5DC7">
              <w:rPr>
                <w:i/>
              </w:rPr>
              <w:t>EGFR</w:t>
            </w:r>
            <w:r w:rsidRPr="0014393D">
              <w:t xml:space="preserve"> mutation test</w:t>
            </w:r>
          </w:p>
        </w:tc>
        <w:tc>
          <w:tcPr>
            <w:tcW w:w="900" w:type="pct"/>
          </w:tcPr>
          <w:p w14:paraId="47954159" w14:textId="77777777" w:rsidR="006D1822" w:rsidRPr="0014393D" w:rsidRDefault="006D1822" w:rsidP="00B01AD7">
            <w:pPr>
              <w:pStyle w:val="TableText"/>
            </w:pPr>
            <w:r w:rsidRPr="0014393D">
              <w:t>Mean 8 days (range 4 - 16)</w:t>
            </w:r>
          </w:p>
        </w:tc>
        <w:tc>
          <w:tcPr>
            <w:tcW w:w="998" w:type="pct"/>
          </w:tcPr>
          <w:p w14:paraId="43F8C813" w14:textId="77777777" w:rsidR="006D1822" w:rsidRPr="0014393D" w:rsidRDefault="006D1822" w:rsidP="00B01AD7">
            <w:pPr>
              <w:pStyle w:val="TableText"/>
            </w:pPr>
            <w:r w:rsidRPr="0014393D">
              <w:t>Mean 2 days (range 1 - 3)</w:t>
            </w:r>
          </w:p>
        </w:tc>
      </w:tr>
      <w:tr w:rsidR="006D1822" w:rsidRPr="00606456" w14:paraId="4A3FE2D8" w14:textId="77777777" w:rsidTr="00B01AD7">
        <w:trPr>
          <w:trHeight w:val="243"/>
        </w:trPr>
        <w:tc>
          <w:tcPr>
            <w:tcW w:w="601" w:type="pct"/>
            <w:vMerge w:val="restart"/>
          </w:tcPr>
          <w:p w14:paraId="08C6FFDC" w14:textId="7ABB7068" w:rsidR="006D1822" w:rsidRPr="0014393D" w:rsidRDefault="00B4668F" w:rsidP="00B4668F">
            <w:pPr>
              <w:pStyle w:val="TableText"/>
            </w:pPr>
            <w:r>
              <w:fldChar w:fldCharType="begin">
                <w:fldData xml:space="preserve">PEVuZE5vdGU+PENpdGU+PEF1dGhvcj5MaW48L0F1dGhvcj48WWVhcj4yMDIyPC9ZZWFyPjxSZWNO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</w:fldData>
              </w:fldChar>
            </w:r>
            <w:r>
              <w:instrText xml:space="preserve"> ADDIN EN.CITE </w:instrText>
            </w:r>
            <w:r>
              <w:fldChar w:fldCharType="begin">
                <w:fldData xml:space="preserve">PEVuZE5vdGU+PENpdGU+PEF1dGhvcj5MaW48L0F1dGhvcj48WWVhcj4yMDIyPC9ZZWFyPjxSZWNO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</w:fldData>
              </w:fldChar>
            </w:r>
            <w:r>
              <w:instrText xml:space="preserve"> ADDIN EN.CITE.DATA </w:instrText>
            </w:r>
            <w:r>
              <w:fldChar w:fldCharType="end"/>
            </w:r>
            <w:r>
              <w:fldChar w:fldCharType="separate"/>
            </w:r>
            <w:r>
              <w:rPr>
                <w:noProof/>
              </w:rPr>
              <w:t>(Lin, HM et al. 2022)</w:t>
            </w:r>
            <w:r>
              <w:fldChar w:fldCharType="end"/>
            </w:r>
          </w:p>
        </w:tc>
        <w:tc>
          <w:tcPr>
            <w:tcW w:w="1088" w:type="pct"/>
            <w:vMerge w:val="restart"/>
          </w:tcPr>
          <w:p w14:paraId="55524FAC" w14:textId="77777777" w:rsidR="006D1822" w:rsidRPr="0014393D" w:rsidRDefault="006D1822" w:rsidP="00B01AD7">
            <w:pPr>
              <w:pStyle w:val="Tabletext0"/>
              <w:spacing w:before="0" w:after="120"/>
              <w:jc w:val="left"/>
            </w:pPr>
            <w:r>
              <w:t>N=67,281 advanced NSCLC patients with at least 2 clinic visits who were tested for EGFR mutations.</w:t>
            </w:r>
          </w:p>
        </w:tc>
        <w:tc>
          <w:tcPr>
            <w:tcW w:w="747" w:type="pct"/>
            <w:vMerge w:val="restart"/>
          </w:tcPr>
          <w:p w14:paraId="51C74E87" w14:textId="77777777" w:rsidR="006D1822" w:rsidRPr="0014393D" w:rsidRDefault="006D1822" w:rsidP="00B01AD7">
            <w:pPr>
              <w:pStyle w:val="TableText"/>
            </w:pPr>
            <w:r w:rsidRPr="0014393D">
              <w:t xml:space="preserve">NGS </w:t>
            </w:r>
          </w:p>
        </w:tc>
        <w:tc>
          <w:tcPr>
            <w:tcW w:w="668" w:type="pct"/>
            <w:vMerge w:val="restart"/>
          </w:tcPr>
          <w:p w14:paraId="661C7119" w14:textId="77777777" w:rsidR="006D1822" w:rsidRPr="0014393D" w:rsidRDefault="006D1822" w:rsidP="00B01AD7">
            <w:pPr>
              <w:pStyle w:val="TableText"/>
            </w:pPr>
            <w:r w:rsidRPr="0014393D">
              <w:t xml:space="preserve">PCR </w:t>
            </w:r>
            <w:r w:rsidRPr="00EF5DC7">
              <w:rPr>
                <w:i/>
              </w:rPr>
              <w:t>(EGFR)</w:t>
            </w:r>
          </w:p>
        </w:tc>
        <w:tc>
          <w:tcPr>
            <w:tcW w:w="900" w:type="pct"/>
          </w:tcPr>
          <w:p w14:paraId="6C2BC709" w14:textId="77777777" w:rsidR="006D1822" w:rsidRPr="0014393D" w:rsidRDefault="006D1822" w:rsidP="00B01AD7">
            <w:pPr>
              <w:pStyle w:val="TableText"/>
            </w:pPr>
            <w:r w:rsidRPr="00216367">
              <w:rPr>
                <w:i/>
              </w:rPr>
              <w:t>From diagnosis to result:</w:t>
            </w:r>
            <w:r w:rsidRPr="0014393D">
              <w:t xml:space="preserve"> median 28 days (IQR 20 - 63)</w:t>
            </w:r>
          </w:p>
        </w:tc>
        <w:tc>
          <w:tcPr>
            <w:tcW w:w="998" w:type="pct"/>
          </w:tcPr>
          <w:p w14:paraId="667FA73E" w14:textId="77777777" w:rsidR="006D1822" w:rsidRPr="0014393D" w:rsidRDefault="006D1822" w:rsidP="00B01AD7">
            <w:pPr>
              <w:pStyle w:val="TableText"/>
            </w:pPr>
            <w:r w:rsidRPr="00216367">
              <w:rPr>
                <w:i/>
              </w:rPr>
              <w:t>From diagnosis to result:</w:t>
            </w:r>
            <w:r w:rsidRPr="0014393D">
              <w:t xml:space="preserve"> median 12 days (IQR 11 - 39 days)</w:t>
            </w:r>
          </w:p>
        </w:tc>
      </w:tr>
      <w:tr w:rsidR="006D1822" w:rsidRPr="00606456" w14:paraId="719B42C8" w14:textId="77777777" w:rsidTr="00B01AD7">
        <w:trPr>
          <w:trHeight w:val="243"/>
        </w:trPr>
        <w:tc>
          <w:tcPr>
            <w:tcW w:w="601" w:type="pct"/>
            <w:vMerge/>
          </w:tcPr>
          <w:p w14:paraId="0FEE52D6" w14:textId="77777777" w:rsidR="006D1822" w:rsidRPr="0014393D" w:rsidRDefault="006D1822" w:rsidP="00B01AD7">
            <w:pPr>
              <w:pStyle w:val="TableText"/>
            </w:pPr>
          </w:p>
        </w:tc>
        <w:tc>
          <w:tcPr>
            <w:tcW w:w="1088" w:type="pct"/>
            <w:vMerge/>
          </w:tcPr>
          <w:p w14:paraId="44EC9177" w14:textId="77777777" w:rsidR="006D1822" w:rsidRPr="0014393D" w:rsidRDefault="006D1822" w:rsidP="00B01AD7">
            <w:pPr>
              <w:pStyle w:val="TableText"/>
            </w:pPr>
          </w:p>
        </w:tc>
        <w:tc>
          <w:tcPr>
            <w:tcW w:w="747" w:type="pct"/>
            <w:vMerge/>
          </w:tcPr>
          <w:p w14:paraId="42956523" w14:textId="77777777" w:rsidR="006D1822" w:rsidRPr="0014393D" w:rsidRDefault="006D1822" w:rsidP="00B01AD7">
            <w:pPr>
              <w:pStyle w:val="TableText"/>
            </w:pPr>
          </w:p>
        </w:tc>
        <w:tc>
          <w:tcPr>
            <w:tcW w:w="668" w:type="pct"/>
            <w:vMerge/>
          </w:tcPr>
          <w:p w14:paraId="7855C08F" w14:textId="77777777" w:rsidR="006D1822" w:rsidRPr="0014393D" w:rsidRDefault="006D1822" w:rsidP="00B01AD7">
            <w:pPr>
              <w:pStyle w:val="TableText"/>
            </w:pPr>
          </w:p>
        </w:tc>
        <w:tc>
          <w:tcPr>
            <w:tcW w:w="900" w:type="pct"/>
          </w:tcPr>
          <w:p w14:paraId="0CC92DC8" w14:textId="77777777" w:rsidR="006D1822" w:rsidRPr="0014393D" w:rsidRDefault="006D1822" w:rsidP="00B01AD7">
            <w:pPr>
              <w:pStyle w:val="TableText"/>
            </w:pPr>
            <w:r w:rsidRPr="00216367">
              <w:rPr>
                <w:i/>
              </w:rPr>
              <w:t>From receipt of sample to result</w:t>
            </w:r>
            <w:r w:rsidRPr="0014393D">
              <w:t>: median 11 days (IQR 8-14)</w:t>
            </w:r>
          </w:p>
        </w:tc>
        <w:tc>
          <w:tcPr>
            <w:tcW w:w="998" w:type="pct"/>
          </w:tcPr>
          <w:p w14:paraId="1CEE00A4" w14:textId="77777777" w:rsidR="006D1822" w:rsidRPr="0014393D" w:rsidRDefault="006D1822" w:rsidP="00B01AD7">
            <w:pPr>
              <w:pStyle w:val="TableText"/>
            </w:pPr>
            <w:r w:rsidRPr="00216367">
              <w:rPr>
                <w:i/>
              </w:rPr>
              <w:t>From receipt of sample to result:</w:t>
            </w:r>
            <w:r w:rsidRPr="0014393D">
              <w:t xml:space="preserve"> median 8 days (IQR 5-13)</w:t>
            </w:r>
          </w:p>
        </w:tc>
      </w:tr>
      <w:tr w:rsidR="006D1822" w:rsidRPr="00606456" w14:paraId="21501CD1" w14:textId="77777777" w:rsidTr="00B01AD7">
        <w:trPr>
          <w:trHeight w:val="243"/>
        </w:trPr>
        <w:tc>
          <w:tcPr>
            <w:tcW w:w="601" w:type="pct"/>
            <w:vMerge w:val="restart"/>
          </w:tcPr>
          <w:p w14:paraId="6C5DDD21" w14:textId="41B08D21" w:rsidR="006D1822" w:rsidRPr="0014393D" w:rsidRDefault="00B4668F" w:rsidP="00B4668F">
            <w:pPr>
              <w:pStyle w:val="TableText"/>
            </w:pPr>
            <w:r>
              <w:rPr>
                <w:rStyle w:val="normaltextrun"/>
                <w:color w:val="000000"/>
                <w:szCs w:val="20"/>
                <w:shd w:val="clear" w:color="auto" w:fill="FFFFFF"/>
              </w:rPr>
              <w:fldChar w:fldCharType="begin">
                <w:fldData xml:space="preserve">PEVuZE5vdGU+PENpdGU+PEF1dGhvcj5NaWxsZXI8L0F1dGhvcj48WWVhcj4yMDE4PC9ZZWFyPjxS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=
</w:fldData>
              </w:fldChar>
            </w:r>
            <w:r>
              <w:rPr>
                <w:rStyle w:val="normaltextrun"/>
                <w:color w:val="000000"/>
                <w:szCs w:val="20"/>
                <w:shd w:val="clear" w:color="auto" w:fill="FFFFFF"/>
              </w:rPr>
              <w:instrText xml:space="preserve"> ADDIN EN.CITE </w:instrText>
            </w:r>
            <w:r>
              <w:rPr>
                <w:rStyle w:val="normaltextrun"/>
                <w:color w:val="000000"/>
                <w:szCs w:val="20"/>
                <w:shd w:val="clear" w:color="auto" w:fill="FFFFFF"/>
              </w:rPr>
              <w:fldChar w:fldCharType="begin">
                <w:fldData xml:space="preserve">PEVuZE5vdGU+PENpdGU+PEF1dGhvcj5NaWxsZXI8L0F1dGhvcj48WWVhcj4yMDE4PC9ZZWFyPjxS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=
</w:fldData>
              </w:fldChar>
            </w:r>
            <w:r>
              <w:rPr>
                <w:rStyle w:val="normaltextrun"/>
                <w:color w:val="000000"/>
                <w:szCs w:val="20"/>
                <w:shd w:val="clear" w:color="auto" w:fill="FFFFFF"/>
              </w:rPr>
              <w:instrText xml:space="preserve"> ADDIN EN.CITE.DATA </w:instrText>
            </w:r>
            <w:r>
              <w:rPr>
                <w:rStyle w:val="normaltextrun"/>
                <w:color w:val="000000"/>
                <w:szCs w:val="20"/>
                <w:shd w:val="clear" w:color="auto" w:fill="FFFFFF"/>
              </w:rPr>
            </w:r>
            <w:r>
              <w:rPr>
                <w:rStyle w:val="normaltextrun"/>
                <w:color w:val="000000"/>
                <w:szCs w:val="20"/>
                <w:shd w:val="clear" w:color="auto" w:fill="FFFFFF"/>
              </w:rPr>
              <w:fldChar w:fldCharType="end"/>
            </w:r>
            <w:r>
              <w:rPr>
                <w:rStyle w:val="normaltextrun"/>
                <w:color w:val="000000"/>
                <w:szCs w:val="20"/>
                <w:shd w:val="clear" w:color="auto" w:fill="FFFFFF"/>
              </w:rPr>
            </w:r>
            <w:r>
              <w:rPr>
                <w:rStyle w:val="normaltextrun"/>
                <w:color w:val="000000"/>
                <w:szCs w:val="20"/>
                <w:shd w:val="clear" w:color="auto" w:fill="FFFFFF"/>
              </w:rPr>
              <w:fldChar w:fldCharType="separate"/>
            </w:r>
            <w:r>
              <w:rPr>
                <w:rStyle w:val="normaltextrun"/>
                <w:noProof/>
                <w:color w:val="000000"/>
                <w:szCs w:val="20"/>
                <w:shd w:val="clear" w:color="auto" w:fill="FFFFFF"/>
              </w:rPr>
              <w:t>(Miller et al. 2018)</w:t>
            </w:r>
            <w:r>
              <w:rPr>
                <w:rStyle w:val="normaltextrun"/>
                <w:color w:val="000000"/>
                <w:szCs w:val="20"/>
                <w:shd w:val="clear" w:color="auto" w:fill="FFFFFF"/>
              </w:rPr>
              <w:fldChar w:fldCharType="end"/>
            </w:r>
          </w:p>
        </w:tc>
        <w:tc>
          <w:tcPr>
            <w:tcW w:w="1088" w:type="pct"/>
            <w:vMerge w:val="restart"/>
          </w:tcPr>
          <w:p w14:paraId="67F9192C" w14:textId="77777777" w:rsidR="006D1822" w:rsidRDefault="006D1822" w:rsidP="00B01AD7">
            <w:pPr>
              <w:pStyle w:val="Tabletext0"/>
              <w:spacing w:before="0" w:after="120"/>
              <w:jc w:val="left"/>
            </w:pPr>
            <w:r>
              <w:t>N=302 advanced adenocarcinoma patients.</w:t>
            </w:r>
          </w:p>
          <w:p w14:paraId="5A479343" w14:textId="77777777" w:rsidR="006D1822" w:rsidRPr="0014393D" w:rsidRDefault="006D1822" w:rsidP="00B01AD7">
            <w:pPr>
              <w:pStyle w:val="TableText"/>
            </w:pPr>
            <w:r>
              <w:t>After validation of the assay the turnaround time for the first 302 patients was recorded.</w:t>
            </w:r>
          </w:p>
        </w:tc>
        <w:tc>
          <w:tcPr>
            <w:tcW w:w="747" w:type="pct"/>
          </w:tcPr>
          <w:p w14:paraId="06E948DC" w14:textId="77777777" w:rsidR="006D1822" w:rsidRPr="0014393D" w:rsidRDefault="006D1822" w:rsidP="00B01AD7">
            <w:pPr>
              <w:pStyle w:val="TableText"/>
            </w:pPr>
            <w:r w:rsidRPr="0014393D">
              <w:t xml:space="preserve">Oncomine Focus Assay </w:t>
            </w:r>
          </w:p>
        </w:tc>
        <w:tc>
          <w:tcPr>
            <w:tcW w:w="668" w:type="pct"/>
            <w:vMerge w:val="restart"/>
          </w:tcPr>
          <w:p w14:paraId="3E9CD964" w14:textId="77777777" w:rsidR="006D1822" w:rsidRPr="00216367" w:rsidRDefault="006D1822" w:rsidP="00B01AD7">
            <w:pPr>
              <w:pStyle w:val="TableText"/>
            </w:pPr>
            <w:r w:rsidRPr="00EF5DC7">
              <w:rPr>
                <w:i/>
              </w:rPr>
              <w:t xml:space="preserve">EGFR </w:t>
            </w:r>
            <w:r w:rsidRPr="00216367">
              <w:t>therascreen only</w:t>
            </w:r>
          </w:p>
        </w:tc>
        <w:tc>
          <w:tcPr>
            <w:tcW w:w="900" w:type="pct"/>
          </w:tcPr>
          <w:p w14:paraId="224CB762" w14:textId="77777777" w:rsidR="006D1822" w:rsidRPr="00216367" w:rsidRDefault="006D1822" w:rsidP="00B01AD7">
            <w:pPr>
              <w:pStyle w:val="TableText"/>
            </w:pPr>
            <w:r w:rsidRPr="00216367">
              <w:t>Mean 4.8 ± 2.1 days</w:t>
            </w:r>
          </w:p>
        </w:tc>
        <w:tc>
          <w:tcPr>
            <w:tcW w:w="998" w:type="pct"/>
            <w:vMerge w:val="restart"/>
          </w:tcPr>
          <w:p w14:paraId="7423ED36" w14:textId="77777777" w:rsidR="006D1822" w:rsidRPr="00216367" w:rsidRDefault="006D1822" w:rsidP="00B01AD7">
            <w:pPr>
              <w:pStyle w:val="TableText"/>
            </w:pPr>
            <w:r w:rsidRPr="00216367">
              <w:t xml:space="preserve">3.6 days </w:t>
            </w:r>
          </w:p>
        </w:tc>
      </w:tr>
      <w:tr w:rsidR="006D1822" w:rsidRPr="00606456" w14:paraId="163BA22B" w14:textId="77777777" w:rsidTr="00B01AD7">
        <w:trPr>
          <w:trHeight w:val="243"/>
        </w:trPr>
        <w:tc>
          <w:tcPr>
            <w:tcW w:w="601" w:type="pct"/>
            <w:vMerge/>
            <w:vAlign w:val="bottom"/>
          </w:tcPr>
          <w:p w14:paraId="196E3C7E" w14:textId="77777777" w:rsidR="006D1822" w:rsidRPr="0014393D" w:rsidRDefault="006D1822" w:rsidP="00B01AD7">
            <w:pPr>
              <w:pStyle w:val="TableText"/>
            </w:pPr>
          </w:p>
        </w:tc>
        <w:tc>
          <w:tcPr>
            <w:tcW w:w="1088" w:type="pct"/>
            <w:vMerge/>
          </w:tcPr>
          <w:p w14:paraId="35137AF3" w14:textId="77777777" w:rsidR="006D1822" w:rsidRPr="0014393D" w:rsidRDefault="006D1822" w:rsidP="00B01AD7">
            <w:pPr>
              <w:pStyle w:val="TableText"/>
            </w:pPr>
          </w:p>
        </w:tc>
        <w:tc>
          <w:tcPr>
            <w:tcW w:w="747" w:type="pct"/>
            <w:vAlign w:val="bottom"/>
          </w:tcPr>
          <w:p w14:paraId="47609990" w14:textId="77777777" w:rsidR="006D1822" w:rsidRPr="0014393D" w:rsidRDefault="006D1822" w:rsidP="00B01AD7">
            <w:pPr>
              <w:pStyle w:val="TableText"/>
            </w:pPr>
            <w:r w:rsidRPr="0014393D">
              <w:t xml:space="preserve">FoundationOne </w:t>
            </w:r>
          </w:p>
        </w:tc>
        <w:tc>
          <w:tcPr>
            <w:tcW w:w="668" w:type="pct"/>
            <w:vMerge/>
            <w:vAlign w:val="bottom"/>
          </w:tcPr>
          <w:p w14:paraId="5FF0089F" w14:textId="77777777" w:rsidR="006D1822" w:rsidRPr="0014393D" w:rsidRDefault="006D1822" w:rsidP="00B01AD7">
            <w:pPr>
              <w:pStyle w:val="TableText"/>
              <w:rPr>
                <w:highlight w:val="yellow"/>
              </w:rPr>
            </w:pPr>
          </w:p>
        </w:tc>
        <w:tc>
          <w:tcPr>
            <w:tcW w:w="900" w:type="pct"/>
            <w:vAlign w:val="bottom"/>
          </w:tcPr>
          <w:p w14:paraId="16879767" w14:textId="77777777" w:rsidR="006D1822" w:rsidRPr="0014393D" w:rsidRDefault="006D1822" w:rsidP="00B01AD7">
            <w:pPr>
              <w:pStyle w:val="TableText"/>
            </w:pPr>
            <w:r w:rsidRPr="0014393D">
              <w:t>8.5 days</w:t>
            </w:r>
          </w:p>
        </w:tc>
        <w:tc>
          <w:tcPr>
            <w:tcW w:w="998" w:type="pct"/>
            <w:vMerge/>
            <w:vAlign w:val="bottom"/>
          </w:tcPr>
          <w:p w14:paraId="6AC80383" w14:textId="77777777" w:rsidR="006D1822" w:rsidRPr="0014393D" w:rsidRDefault="006D1822" w:rsidP="00B01AD7">
            <w:pPr>
              <w:pStyle w:val="TableText"/>
              <w:rPr>
                <w:highlight w:val="yellow"/>
              </w:rPr>
            </w:pPr>
          </w:p>
        </w:tc>
      </w:tr>
      <w:tr w:rsidR="006D1822" w:rsidRPr="00606456" w14:paraId="71F3BC6F" w14:textId="77777777" w:rsidTr="00B01AD7">
        <w:trPr>
          <w:trHeight w:val="243"/>
        </w:trPr>
        <w:tc>
          <w:tcPr>
            <w:tcW w:w="601" w:type="pct"/>
          </w:tcPr>
          <w:p w14:paraId="08C8FC8E" w14:textId="229F9121" w:rsidR="006D1822" w:rsidRPr="0014393D" w:rsidRDefault="00B4668F" w:rsidP="00B4668F">
            <w:pPr>
              <w:pStyle w:val="TableText"/>
            </w:pP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 </w:instrText>
            </w:r>
            <w:r>
              <w:fldChar w:fldCharType="begin">
                <w:fldData xml:space="preserve">PEVuZE5vdGU+PENpdGU+PEF1dGhvcj5Sb2JlcnQ8L0F1dGhvcj48WWVhcj4yMDIyPC9ZZWFyPjxS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</w:fldData>
              </w:fldChar>
            </w:r>
            <w:r>
              <w:instrText xml:space="preserve"> ADDIN EN.CITE.DATA </w:instrText>
            </w:r>
            <w:r>
              <w:fldChar w:fldCharType="end"/>
            </w:r>
            <w:r>
              <w:fldChar w:fldCharType="separate"/>
            </w:r>
            <w:r>
              <w:rPr>
                <w:noProof/>
              </w:rPr>
              <w:t>(Robert et al. 2022)</w:t>
            </w:r>
            <w:r>
              <w:fldChar w:fldCharType="end"/>
            </w:r>
          </w:p>
        </w:tc>
        <w:tc>
          <w:tcPr>
            <w:tcW w:w="1088" w:type="pct"/>
          </w:tcPr>
          <w:p w14:paraId="218D7827" w14:textId="77777777" w:rsidR="006D1822" w:rsidRPr="0014393D" w:rsidRDefault="006D1822" w:rsidP="00B01AD7">
            <w:pPr>
              <w:pStyle w:val="TableText"/>
            </w:pPr>
            <w:r>
              <w:t>N=3474 patients with mNSCLC that initiated 1</w:t>
            </w:r>
            <w:r w:rsidRPr="036200B1">
              <w:rPr>
                <w:vertAlign w:val="superscript"/>
              </w:rPr>
              <w:t>st</w:t>
            </w:r>
            <w:r>
              <w:t xml:space="preserve"> line treatment and had not received diagnosis or treatment for another cancer</w:t>
            </w:r>
          </w:p>
        </w:tc>
        <w:tc>
          <w:tcPr>
            <w:tcW w:w="747" w:type="pct"/>
          </w:tcPr>
          <w:p w14:paraId="4B473C38" w14:textId="77777777" w:rsidR="006D1822" w:rsidRPr="0014393D" w:rsidRDefault="006D1822" w:rsidP="00B01AD7">
            <w:pPr>
              <w:pStyle w:val="TableText"/>
            </w:pPr>
            <w:r w:rsidRPr="0014393D">
              <w:t>NGS</w:t>
            </w:r>
          </w:p>
        </w:tc>
        <w:tc>
          <w:tcPr>
            <w:tcW w:w="668" w:type="pct"/>
          </w:tcPr>
          <w:p w14:paraId="06DE1833" w14:textId="77777777" w:rsidR="006D1822" w:rsidRPr="0014393D" w:rsidRDefault="006D1822" w:rsidP="00B01AD7">
            <w:pPr>
              <w:pStyle w:val="TableText"/>
            </w:pPr>
            <w:r w:rsidRPr="0014393D">
              <w:t>Individual biomarker</w:t>
            </w:r>
          </w:p>
        </w:tc>
        <w:tc>
          <w:tcPr>
            <w:tcW w:w="900" w:type="pct"/>
          </w:tcPr>
          <w:p w14:paraId="11530691" w14:textId="77777777" w:rsidR="006D1822" w:rsidRPr="0014393D" w:rsidRDefault="006D1822" w:rsidP="00B01AD7">
            <w:pPr>
              <w:pStyle w:val="TableText"/>
            </w:pPr>
            <w:r w:rsidRPr="0014393D">
              <w:t>Median 6 (IQR 1, 19)</w:t>
            </w:r>
          </w:p>
        </w:tc>
        <w:tc>
          <w:tcPr>
            <w:tcW w:w="998" w:type="pct"/>
          </w:tcPr>
          <w:p w14:paraId="392F9855" w14:textId="77777777" w:rsidR="006D1822" w:rsidRPr="0014393D" w:rsidRDefault="006D1822" w:rsidP="00B01AD7">
            <w:pPr>
              <w:pStyle w:val="TableText"/>
            </w:pPr>
            <w:r w:rsidRPr="0014393D">
              <w:t>Median 1 day (IQR 1, 11) to 4 days (IQR 1, 15)</w:t>
            </w:r>
          </w:p>
        </w:tc>
      </w:tr>
      <w:tr w:rsidR="006D1822" w:rsidRPr="00606456" w14:paraId="32617FC8" w14:textId="77777777" w:rsidTr="00B01AD7">
        <w:trPr>
          <w:trHeight w:val="243"/>
        </w:trPr>
        <w:tc>
          <w:tcPr>
            <w:tcW w:w="601" w:type="pct"/>
            <w:vMerge w:val="restart"/>
          </w:tcPr>
          <w:p w14:paraId="2E90DA13" w14:textId="030CC0FD" w:rsidR="006D1822" w:rsidRPr="0014393D" w:rsidRDefault="00B4668F" w:rsidP="00B4668F">
            <w:pPr>
              <w:pStyle w:val="TableText"/>
            </w:pP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 </w:instrText>
            </w:r>
            <w:r>
              <w:fldChar w:fldCharType="begin">
                <w:fldData xml:space="preserve">PEVuZE5vdGU+PENpdGU+PEF1dGhvcj5UYW48L0F1dGhvcj48WWVhcj4yMDIwPC9ZZWFyPjxSZWNO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</w:fldData>
              </w:fldChar>
            </w:r>
            <w:r>
              <w:instrText xml:space="preserve"> ADDIN EN.CITE.DATA </w:instrText>
            </w:r>
            <w:r>
              <w:fldChar w:fldCharType="end"/>
            </w:r>
            <w:r>
              <w:fldChar w:fldCharType="separate"/>
            </w:r>
            <w:r>
              <w:rPr>
                <w:noProof/>
              </w:rPr>
              <w:t>(Tan et al. 2020)</w:t>
            </w:r>
            <w:r>
              <w:fldChar w:fldCharType="end"/>
            </w:r>
          </w:p>
        </w:tc>
        <w:tc>
          <w:tcPr>
            <w:tcW w:w="1088" w:type="pct"/>
            <w:vMerge w:val="restart"/>
          </w:tcPr>
          <w:p w14:paraId="060AC62D" w14:textId="7DC5F088" w:rsidR="006D1822" w:rsidRDefault="006D1822" w:rsidP="00B01AD7">
            <w:pPr>
              <w:pStyle w:val="TableText"/>
            </w:pPr>
            <w:r>
              <w:t>N=174 patients with newly diagnosed NS</w:t>
            </w:r>
            <w:r w:rsidR="00B330BA">
              <w:t>C</w:t>
            </w:r>
            <w:r>
              <w:t>LC that underwent routine molecular testing.</w:t>
            </w:r>
          </w:p>
        </w:tc>
        <w:tc>
          <w:tcPr>
            <w:tcW w:w="747" w:type="pct"/>
            <w:vMerge w:val="restart"/>
          </w:tcPr>
          <w:p w14:paraId="66615375" w14:textId="77777777" w:rsidR="006D1822" w:rsidRPr="0014393D" w:rsidRDefault="006D1822" w:rsidP="00B01AD7">
            <w:pPr>
              <w:pStyle w:val="TableText"/>
            </w:pPr>
            <w:r>
              <w:t>Targeted NGS panel</w:t>
            </w:r>
          </w:p>
        </w:tc>
        <w:tc>
          <w:tcPr>
            <w:tcW w:w="668" w:type="pct"/>
          </w:tcPr>
          <w:p w14:paraId="3ECBA8AA" w14:textId="77777777" w:rsidR="006D1822" w:rsidRPr="00E677C3" w:rsidRDefault="006D1822" w:rsidP="00B01AD7">
            <w:pPr>
              <w:pStyle w:val="TableText"/>
            </w:pPr>
            <w:r>
              <w:rPr>
                <w:i/>
              </w:rPr>
              <w:t xml:space="preserve">EGFR </w:t>
            </w:r>
            <w:r>
              <w:t>PCR</w:t>
            </w:r>
          </w:p>
        </w:tc>
        <w:tc>
          <w:tcPr>
            <w:tcW w:w="900" w:type="pct"/>
            <w:vMerge w:val="restart"/>
          </w:tcPr>
          <w:p w14:paraId="26125096" w14:textId="77777777" w:rsidR="006D1822" w:rsidRDefault="006D1822" w:rsidP="00B01AD7">
            <w:pPr>
              <w:pStyle w:val="TableText"/>
            </w:pPr>
            <w:r>
              <w:t>Median 15 days:</w:t>
            </w:r>
          </w:p>
          <w:p w14:paraId="27AA4144" w14:textId="77777777" w:rsidR="006D1822" w:rsidRPr="0014393D" w:rsidRDefault="006D1822" w:rsidP="00B01AD7">
            <w:pPr>
              <w:pStyle w:val="TableText"/>
            </w:pPr>
            <w:r>
              <w:t>5 (range 3-28) for assay, 10 (range 6-30) for report</w:t>
            </w:r>
          </w:p>
        </w:tc>
        <w:tc>
          <w:tcPr>
            <w:tcW w:w="998" w:type="pct"/>
          </w:tcPr>
          <w:p w14:paraId="49969F13" w14:textId="77777777" w:rsidR="006D1822" w:rsidRPr="0014393D" w:rsidRDefault="006D1822" w:rsidP="00B01AD7">
            <w:pPr>
              <w:pStyle w:val="TableText"/>
            </w:pPr>
            <w:r>
              <w:t>10 days</w:t>
            </w:r>
          </w:p>
        </w:tc>
      </w:tr>
      <w:tr w:rsidR="006D1822" w:rsidRPr="00606456" w14:paraId="2678FBB1" w14:textId="77777777" w:rsidTr="00B01AD7">
        <w:trPr>
          <w:trHeight w:val="243"/>
        </w:trPr>
        <w:tc>
          <w:tcPr>
            <w:tcW w:w="601" w:type="pct"/>
            <w:vMerge/>
          </w:tcPr>
          <w:p w14:paraId="616FFA5D" w14:textId="77777777" w:rsidR="006D1822" w:rsidRPr="00E677C3" w:rsidRDefault="006D1822" w:rsidP="00B01AD7">
            <w:pPr>
              <w:pStyle w:val="TableText"/>
            </w:pPr>
          </w:p>
        </w:tc>
        <w:tc>
          <w:tcPr>
            <w:tcW w:w="1088" w:type="pct"/>
            <w:vMerge/>
          </w:tcPr>
          <w:p w14:paraId="1FE4B268" w14:textId="77777777" w:rsidR="006D1822" w:rsidRDefault="006D1822" w:rsidP="00B01AD7">
            <w:pPr>
              <w:pStyle w:val="TableText"/>
            </w:pPr>
          </w:p>
        </w:tc>
        <w:tc>
          <w:tcPr>
            <w:tcW w:w="747" w:type="pct"/>
            <w:vMerge/>
          </w:tcPr>
          <w:p w14:paraId="239CF37C" w14:textId="77777777" w:rsidR="006D1822" w:rsidRDefault="006D1822" w:rsidP="00B01AD7">
            <w:pPr>
              <w:pStyle w:val="TableText"/>
            </w:pPr>
          </w:p>
        </w:tc>
        <w:tc>
          <w:tcPr>
            <w:tcW w:w="668" w:type="pct"/>
          </w:tcPr>
          <w:p w14:paraId="57359C42" w14:textId="77777777" w:rsidR="006D1822" w:rsidRPr="00E677C3" w:rsidRDefault="006D1822" w:rsidP="00B01AD7">
            <w:pPr>
              <w:pStyle w:val="TableText"/>
            </w:pPr>
            <w:r>
              <w:t>Quad FISH</w:t>
            </w:r>
          </w:p>
        </w:tc>
        <w:tc>
          <w:tcPr>
            <w:tcW w:w="900" w:type="pct"/>
            <w:vMerge/>
          </w:tcPr>
          <w:p w14:paraId="3EB8835E" w14:textId="77777777" w:rsidR="006D1822" w:rsidRDefault="006D1822" w:rsidP="00B01AD7">
            <w:pPr>
              <w:pStyle w:val="TableText"/>
            </w:pPr>
          </w:p>
        </w:tc>
        <w:tc>
          <w:tcPr>
            <w:tcW w:w="998" w:type="pct"/>
          </w:tcPr>
          <w:p w14:paraId="47947C7F" w14:textId="77777777" w:rsidR="006D1822" w:rsidRPr="0014393D" w:rsidRDefault="006D1822" w:rsidP="00B01AD7">
            <w:pPr>
              <w:pStyle w:val="TableText"/>
            </w:pPr>
            <w:r>
              <w:t>3 – 10 days</w:t>
            </w:r>
          </w:p>
        </w:tc>
      </w:tr>
      <w:tr w:rsidR="006D1822" w:rsidRPr="00606456" w14:paraId="028075D8" w14:textId="77777777" w:rsidTr="00B01AD7">
        <w:trPr>
          <w:trHeight w:val="243"/>
        </w:trPr>
        <w:tc>
          <w:tcPr>
            <w:tcW w:w="601" w:type="pct"/>
            <w:vMerge/>
          </w:tcPr>
          <w:p w14:paraId="0A5C69D4" w14:textId="77777777" w:rsidR="006D1822" w:rsidRPr="00E677C3" w:rsidRDefault="006D1822" w:rsidP="00B01AD7">
            <w:pPr>
              <w:pStyle w:val="TableText"/>
            </w:pPr>
          </w:p>
        </w:tc>
        <w:tc>
          <w:tcPr>
            <w:tcW w:w="1088" w:type="pct"/>
            <w:vMerge/>
          </w:tcPr>
          <w:p w14:paraId="1654AA28" w14:textId="77777777" w:rsidR="006D1822" w:rsidRDefault="006D1822" w:rsidP="00B01AD7">
            <w:pPr>
              <w:pStyle w:val="TableText"/>
            </w:pPr>
          </w:p>
        </w:tc>
        <w:tc>
          <w:tcPr>
            <w:tcW w:w="747" w:type="pct"/>
            <w:vMerge/>
          </w:tcPr>
          <w:p w14:paraId="49108697" w14:textId="77777777" w:rsidR="006D1822" w:rsidRDefault="006D1822" w:rsidP="00B01AD7">
            <w:pPr>
              <w:pStyle w:val="TableText"/>
            </w:pPr>
          </w:p>
        </w:tc>
        <w:tc>
          <w:tcPr>
            <w:tcW w:w="668" w:type="pct"/>
          </w:tcPr>
          <w:p w14:paraId="1A082254" w14:textId="77777777" w:rsidR="006D1822" w:rsidRDefault="006D1822" w:rsidP="00B01AD7">
            <w:pPr>
              <w:pStyle w:val="TableText"/>
            </w:pPr>
            <w:r>
              <w:t>Repeat biopsy</w:t>
            </w:r>
          </w:p>
        </w:tc>
        <w:tc>
          <w:tcPr>
            <w:tcW w:w="900" w:type="pct"/>
            <w:vMerge/>
          </w:tcPr>
          <w:p w14:paraId="4519B154" w14:textId="77777777" w:rsidR="006D1822" w:rsidRDefault="006D1822" w:rsidP="00B01AD7">
            <w:pPr>
              <w:pStyle w:val="TableText"/>
            </w:pPr>
          </w:p>
        </w:tc>
        <w:tc>
          <w:tcPr>
            <w:tcW w:w="998" w:type="pct"/>
          </w:tcPr>
          <w:p w14:paraId="05B4C1EE" w14:textId="77777777" w:rsidR="006D1822" w:rsidRDefault="006D1822" w:rsidP="00B01AD7">
            <w:pPr>
              <w:pStyle w:val="TableText"/>
            </w:pPr>
            <w:r>
              <w:t>7 days</w:t>
            </w:r>
          </w:p>
        </w:tc>
      </w:tr>
    </w:tbl>
    <w:p w14:paraId="1535A3A8" w14:textId="77777777" w:rsidR="006D1822" w:rsidRDefault="006D1822" w:rsidP="006D1822">
      <w:pPr>
        <w:pStyle w:val="TableFooter"/>
      </w:pPr>
      <w:r w:rsidRPr="002412BE">
        <w:t>DNA = deoxyribonucleic acid;</w:t>
      </w:r>
      <w:r w:rsidRPr="00EF5DC7">
        <w:rPr>
          <w:i/>
        </w:rPr>
        <w:t xml:space="preserve"> </w:t>
      </w:r>
      <w:r w:rsidRPr="007C7AB1">
        <w:rPr>
          <w:i/>
        </w:rPr>
        <w:t>EGFR</w:t>
      </w:r>
      <w:r>
        <w:t xml:space="preserve"> = epidermal growth factor receptor; FISH = fluorescent in situ hybridisation; IHC = immunohistochemistry;</w:t>
      </w:r>
      <w:r w:rsidRPr="00152F12">
        <w:rPr>
          <w:i/>
        </w:rPr>
        <w:t xml:space="preserve"> </w:t>
      </w:r>
      <w:r>
        <w:t xml:space="preserve">IQR = inter quartile range; </w:t>
      </w:r>
      <w:r w:rsidRPr="00152F12">
        <w:rPr>
          <w:i/>
        </w:rPr>
        <w:t>KRAS</w:t>
      </w:r>
      <w:r>
        <w:t xml:space="preserve"> = Kirsten rat sarcoma</w:t>
      </w:r>
      <w:r w:rsidRPr="006D7211">
        <w:t xml:space="preserve">; </w:t>
      </w:r>
      <w:r>
        <w:t>mNSCLC = metastatic NSCLC; NGS = next generation sequencing;</w:t>
      </w:r>
      <w:r w:rsidRPr="00EF5DC7">
        <w:t xml:space="preserve"> </w:t>
      </w:r>
      <w:r>
        <w:t>NSCLC = non-small cell lung cancer; PCR = polymerase chain reaction; RNA = ribonucleic acid; SG = single-gene testing</w:t>
      </w:r>
    </w:p>
    <w:p w14:paraId="45D422C0" w14:textId="77777777" w:rsidR="006D1822" w:rsidRDefault="006D1822" w:rsidP="006D1822"/>
    <w:p w14:paraId="7645EB80" w14:textId="77777777" w:rsidR="006D1822" w:rsidRPr="006D1822" w:rsidRDefault="006D1822" w:rsidP="006D1822"/>
    <w:p w14:paraId="73687FD6" w14:textId="77777777" w:rsidR="006D1822" w:rsidRPr="006D1822" w:rsidRDefault="006D1822" w:rsidP="006D1822"/>
    <w:p w14:paraId="0AFD3C24" w14:textId="77777777" w:rsidR="006D1822" w:rsidRPr="00857124" w:rsidRDefault="006D1822" w:rsidP="006D1822">
      <w:pPr>
        <w:sectPr w:rsidR="006D1822" w:rsidRPr="00857124" w:rsidSect="000D2368">
          <w:pgSz w:w="11906" w:h="16838"/>
          <w:pgMar w:top="1440" w:right="1440" w:bottom="1440" w:left="1440" w:header="708" w:footer="708" w:gutter="0"/>
          <w:cols w:space="708"/>
          <w:titlePg/>
          <w:docGrid w:linePitch="360"/>
        </w:sectPr>
      </w:pPr>
    </w:p>
    <w:p w14:paraId="433B15CD" w14:textId="25B8ACBF" w:rsidR="00634F25" w:rsidRDefault="00634F25" w:rsidP="00634F25">
      <w:pPr>
        <w:pStyle w:val="Heading2"/>
        <w:numPr>
          <w:ilvl w:val="0"/>
          <w:numId w:val="0"/>
        </w:numPr>
      </w:pPr>
      <w:bookmarkStart w:id="311" w:name="_Toc148531212"/>
      <w:r>
        <w:lastRenderedPageBreak/>
        <w:t>Linked evidence of change in management</w:t>
      </w:r>
      <w:bookmarkEnd w:id="311"/>
    </w:p>
    <w:p w14:paraId="05EE7C16" w14:textId="77777777" w:rsidR="009E5CC3" w:rsidRDefault="009E5CC3" w:rsidP="009E5CC3"/>
    <w:p w14:paraId="291AFF68" w14:textId="40EE2DF4" w:rsidR="009E5CC3" w:rsidRDefault="009E5CC3" w:rsidP="009E5CC3">
      <w:r>
        <w:t xml:space="preserve">Pisapia et al. (2022) reported on a multicentre study in Italy, surveying five institutions with high expertise in molecular predictive analysis for advanced stage NSCLC </w:t>
      </w:r>
      <w:r w:rsidR="00B4668F">
        <w:fldChar w:fldCharType="begin">
          <w:fldData xml:space="preserve">PEVuZE5vdGU+PENpdGU+PEF1dGhvcj5QaXNhcGlhPC9BdXRob3I+PFllYXI+MjAyMjwvWWVhcj48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</w:fldData>
        </w:fldChar>
      </w:r>
      <w:r w:rsidR="00B4668F">
        <w:instrText xml:space="preserve"> ADDIN EN.CITE </w:instrText>
      </w:r>
      <w:r w:rsidR="00B4668F">
        <w:fldChar w:fldCharType="begin">
          <w:fldData xml:space="preserve">PEVuZE5vdGU+PENpdGU+PEF1dGhvcj5QaXNhcGlhPC9BdXRob3I+PFllYXI+MjAyMjwvWWVhcj48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</w:fldData>
        </w:fldChar>
      </w:r>
      <w:r w:rsidR="00B4668F">
        <w:instrText xml:space="preserve"> ADDIN EN.CITE.DATA </w:instrText>
      </w:r>
      <w:r w:rsidR="00B4668F">
        <w:fldChar w:fldCharType="end"/>
      </w:r>
      <w:r w:rsidR="00B4668F">
        <w:fldChar w:fldCharType="separate"/>
      </w:r>
      <w:r w:rsidR="00B4668F">
        <w:rPr>
          <w:noProof/>
        </w:rPr>
        <w:t>(Pisapia et al. 2022)</w:t>
      </w:r>
      <w:r w:rsidR="00B4668F">
        <w:fldChar w:fldCharType="end"/>
      </w:r>
      <w:r>
        <w:t>. They reported on the average retesting rates for standard testing (predominantly RT-PCR, FISH and IHC) and for maximised NGS (</w:t>
      </w:r>
      <w:r w:rsidR="0056117A">
        <w:t>i.e.,</w:t>
      </w:r>
      <w:r>
        <w:t xml:space="preserve"> where NGS is used for all genes of interest, but not for PD-L1). The reliability of these results is unclear, as the data were sought by survey, rather than by prospectively collating data, or by retrospectively analysing records. The method individual centres used to complete the survey is unclear. Two centres provided details of what tests were most likely to be used in the event of retesting due to failure of standard testing methods: one centre reported using standard techniques again (predominantly RT-PCR for </w:t>
      </w:r>
      <w:r>
        <w:rPr>
          <w:i/>
        </w:rPr>
        <w:t>EGFR,</w:t>
      </w:r>
      <w:r>
        <w:t xml:space="preserve"> and IHC for </w:t>
      </w:r>
      <w:r>
        <w:rPr>
          <w:i/>
        </w:rPr>
        <w:t xml:space="preserve">ALK </w:t>
      </w:r>
      <w:r>
        <w:t xml:space="preserve">and </w:t>
      </w:r>
      <w:r>
        <w:rPr>
          <w:i/>
        </w:rPr>
        <w:t>ROS1</w:t>
      </w:r>
      <w:r>
        <w:t xml:space="preserve">, and Sanger sequencing for </w:t>
      </w:r>
      <w:r>
        <w:rPr>
          <w:i/>
        </w:rPr>
        <w:t>MET</w:t>
      </w:r>
      <w:r>
        <w:t xml:space="preserve"> exon 14 skipping alterations); the other centre always used NGS. No details about what tests were used in the event of testing due to failure of NGS. </w:t>
      </w:r>
    </w:p>
    <w:p w14:paraId="0BC50117" w14:textId="03ED65AD" w:rsidR="009E5CC3" w:rsidRDefault="009E5CC3" w:rsidP="009E5CC3">
      <w:pPr>
        <w:pStyle w:val="Caption"/>
      </w:pPr>
      <w:r>
        <w:t xml:space="preserve">Table </w:t>
      </w:r>
      <w:fldSimple w:instr=" SEQ Table \* ARABIC ">
        <w:r w:rsidR="00C857F3">
          <w:rPr>
            <w:noProof/>
          </w:rPr>
          <w:t>88</w:t>
        </w:r>
      </w:fldSimple>
      <w:r>
        <w:tab/>
        <w:t xml:space="preserve">Retesting rates due to failure </w:t>
      </w:r>
    </w:p>
    <w:tbl>
      <w:tblPr>
        <w:tblStyle w:val="TableGrid"/>
        <w:tblW w:w="0" w:type="auto"/>
        <w:tblLook w:val="04A0" w:firstRow="1" w:lastRow="0" w:firstColumn="1" w:lastColumn="0" w:noHBand="0" w:noVBand="1"/>
        <w:tblCaption w:val="Retesting rates due to failure "/>
        <w:tblDescription w:val="Retesting rates due to failure "/>
      </w:tblPr>
      <w:tblGrid>
        <w:gridCol w:w="1804"/>
        <w:gridCol w:w="1803"/>
        <w:gridCol w:w="1803"/>
      </w:tblGrid>
      <w:tr w:rsidR="009E5CC3" w:rsidRPr="003F4A36" w14:paraId="50DE8142" w14:textId="77777777" w:rsidTr="003A6029">
        <w:trPr>
          <w:tblHeader/>
        </w:trPr>
        <w:tc>
          <w:tcPr>
            <w:tcW w:w="1804" w:type="dxa"/>
            <w:vMerge w:val="restart"/>
          </w:tcPr>
          <w:p w14:paraId="1FC78DB3" w14:textId="77777777" w:rsidR="009E5CC3" w:rsidRPr="003F4A36" w:rsidRDefault="009E5CC3" w:rsidP="009E5CC3">
            <w:pPr>
              <w:pStyle w:val="TableHeading"/>
            </w:pPr>
            <w:r>
              <w:t>Gene</w:t>
            </w:r>
          </w:p>
        </w:tc>
        <w:tc>
          <w:tcPr>
            <w:tcW w:w="3606" w:type="dxa"/>
            <w:gridSpan w:val="2"/>
          </w:tcPr>
          <w:p w14:paraId="4593C44C" w14:textId="77777777" w:rsidR="009E5CC3" w:rsidRPr="003F4A36" w:rsidRDefault="009E5CC3" w:rsidP="009E5CC3">
            <w:pPr>
              <w:pStyle w:val="TableHeading"/>
            </w:pPr>
            <w:r>
              <w:t>% failure retest</w:t>
            </w:r>
          </w:p>
        </w:tc>
      </w:tr>
      <w:tr w:rsidR="009E5CC3" w:rsidRPr="003F4A36" w14:paraId="4C05CC72" w14:textId="77777777" w:rsidTr="003A6029">
        <w:trPr>
          <w:tblHeader/>
        </w:trPr>
        <w:tc>
          <w:tcPr>
            <w:tcW w:w="1804" w:type="dxa"/>
            <w:vMerge/>
          </w:tcPr>
          <w:p w14:paraId="03119F2A" w14:textId="77777777" w:rsidR="009E5CC3" w:rsidRDefault="009E5CC3" w:rsidP="009E5CC3">
            <w:pPr>
              <w:pStyle w:val="TableHeading"/>
            </w:pPr>
          </w:p>
        </w:tc>
        <w:tc>
          <w:tcPr>
            <w:tcW w:w="1803" w:type="dxa"/>
          </w:tcPr>
          <w:p w14:paraId="5613CE18" w14:textId="77777777" w:rsidR="009E5CC3" w:rsidRPr="003F4A36" w:rsidRDefault="009E5CC3" w:rsidP="009E5CC3">
            <w:pPr>
              <w:pStyle w:val="TableHeading"/>
            </w:pPr>
            <w:r>
              <w:t>Standard</w:t>
            </w:r>
          </w:p>
        </w:tc>
        <w:tc>
          <w:tcPr>
            <w:tcW w:w="1803" w:type="dxa"/>
          </w:tcPr>
          <w:p w14:paraId="50D665A2" w14:textId="77777777" w:rsidR="009E5CC3" w:rsidRPr="003F4A36" w:rsidRDefault="009E5CC3" w:rsidP="009E5CC3">
            <w:pPr>
              <w:pStyle w:val="TableHeading"/>
            </w:pPr>
            <w:r>
              <w:t>NGS</w:t>
            </w:r>
          </w:p>
        </w:tc>
      </w:tr>
      <w:tr w:rsidR="009E5CC3" w:rsidRPr="003F4A36" w14:paraId="5F17D35F" w14:textId="77777777" w:rsidTr="009E5CC3">
        <w:tc>
          <w:tcPr>
            <w:tcW w:w="1804" w:type="dxa"/>
          </w:tcPr>
          <w:p w14:paraId="15810E07" w14:textId="77777777" w:rsidR="009E5CC3" w:rsidRPr="00606E6F" w:rsidRDefault="009E5CC3" w:rsidP="009E5CC3">
            <w:pPr>
              <w:pStyle w:val="TableText"/>
              <w:rPr>
                <w:i/>
              </w:rPr>
            </w:pPr>
            <w:r>
              <w:rPr>
                <w:i/>
              </w:rPr>
              <w:t>EGFR</w:t>
            </w:r>
          </w:p>
        </w:tc>
        <w:tc>
          <w:tcPr>
            <w:tcW w:w="1803" w:type="dxa"/>
          </w:tcPr>
          <w:p w14:paraId="1303E981" w14:textId="77777777" w:rsidR="009E5CC3" w:rsidRDefault="009E5CC3" w:rsidP="009E5CC3">
            <w:pPr>
              <w:pStyle w:val="TableText"/>
            </w:pPr>
            <w:r>
              <w:t>8%</w:t>
            </w:r>
          </w:p>
        </w:tc>
        <w:tc>
          <w:tcPr>
            <w:tcW w:w="1803" w:type="dxa"/>
          </w:tcPr>
          <w:p w14:paraId="1821ADDE" w14:textId="77777777" w:rsidR="009E5CC3" w:rsidRDefault="009E5CC3" w:rsidP="009E5CC3">
            <w:pPr>
              <w:pStyle w:val="TableText"/>
            </w:pPr>
            <w:r>
              <w:t>3.4%</w:t>
            </w:r>
          </w:p>
        </w:tc>
      </w:tr>
      <w:tr w:rsidR="009E5CC3" w:rsidRPr="003F4A36" w14:paraId="52C326E4" w14:textId="77777777" w:rsidTr="009E5CC3">
        <w:tc>
          <w:tcPr>
            <w:tcW w:w="1804" w:type="dxa"/>
          </w:tcPr>
          <w:p w14:paraId="3014C66B" w14:textId="77777777" w:rsidR="009E5CC3" w:rsidRDefault="009E5CC3" w:rsidP="009E5CC3">
            <w:pPr>
              <w:pStyle w:val="TableText"/>
              <w:rPr>
                <w:i/>
              </w:rPr>
            </w:pPr>
            <w:r>
              <w:rPr>
                <w:i/>
              </w:rPr>
              <w:t>ALK</w:t>
            </w:r>
          </w:p>
        </w:tc>
        <w:tc>
          <w:tcPr>
            <w:tcW w:w="1803" w:type="dxa"/>
          </w:tcPr>
          <w:p w14:paraId="280CC7B8" w14:textId="77777777" w:rsidR="009E5CC3" w:rsidRDefault="009E5CC3" w:rsidP="009E5CC3">
            <w:pPr>
              <w:pStyle w:val="TableText"/>
            </w:pPr>
            <w:r>
              <w:t>9%</w:t>
            </w:r>
          </w:p>
        </w:tc>
        <w:tc>
          <w:tcPr>
            <w:tcW w:w="1803" w:type="dxa"/>
          </w:tcPr>
          <w:p w14:paraId="0D56B750" w14:textId="77777777" w:rsidR="009E5CC3" w:rsidRDefault="009E5CC3" w:rsidP="009E5CC3">
            <w:pPr>
              <w:pStyle w:val="TableText"/>
            </w:pPr>
            <w:r>
              <w:t>0.2%</w:t>
            </w:r>
          </w:p>
        </w:tc>
      </w:tr>
      <w:tr w:rsidR="009E5CC3" w:rsidRPr="003F4A36" w14:paraId="437B377C" w14:textId="77777777" w:rsidTr="009E5CC3">
        <w:tc>
          <w:tcPr>
            <w:tcW w:w="1804" w:type="dxa"/>
          </w:tcPr>
          <w:p w14:paraId="23B7E6D3" w14:textId="77777777" w:rsidR="009E5CC3" w:rsidRDefault="009E5CC3" w:rsidP="009E5CC3">
            <w:pPr>
              <w:pStyle w:val="TableText"/>
              <w:rPr>
                <w:i/>
              </w:rPr>
            </w:pPr>
            <w:r>
              <w:rPr>
                <w:i/>
              </w:rPr>
              <w:t>ROS1</w:t>
            </w:r>
          </w:p>
        </w:tc>
        <w:tc>
          <w:tcPr>
            <w:tcW w:w="1803" w:type="dxa"/>
          </w:tcPr>
          <w:p w14:paraId="611EF901" w14:textId="77777777" w:rsidR="009E5CC3" w:rsidRDefault="009E5CC3" w:rsidP="009E5CC3">
            <w:pPr>
              <w:pStyle w:val="TableText"/>
            </w:pPr>
            <w:r>
              <w:t>9%</w:t>
            </w:r>
          </w:p>
        </w:tc>
        <w:tc>
          <w:tcPr>
            <w:tcW w:w="1803" w:type="dxa"/>
          </w:tcPr>
          <w:p w14:paraId="7C4378B8" w14:textId="77777777" w:rsidR="009E5CC3" w:rsidRDefault="009E5CC3" w:rsidP="009E5CC3">
            <w:pPr>
              <w:pStyle w:val="TableText"/>
            </w:pPr>
            <w:r>
              <w:t>0.2%</w:t>
            </w:r>
          </w:p>
        </w:tc>
      </w:tr>
      <w:tr w:rsidR="009E5CC3" w:rsidRPr="003F4A36" w14:paraId="1D4C3EF4" w14:textId="77777777" w:rsidTr="009E5CC3">
        <w:tc>
          <w:tcPr>
            <w:tcW w:w="1804" w:type="dxa"/>
          </w:tcPr>
          <w:p w14:paraId="690C67A3" w14:textId="77777777" w:rsidR="009E5CC3" w:rsidRPr="00606E6F" w:rsidRDefault="009E5CC3" w:rsidP="009E5CC3">
            <w:pPr>
              <w:pStyle w:val="TableText"/>
            </w:pPr>
            <w:r>
              <w:rPr>
                <w:i/>
              </w:rPr>
              <w:t>MET</w:t>
            </w:r>
            <w:r>
              <w:t>ex14 skipping</w:t>
            </w:r>
          </w:p>
        </w:tc>
        <w:tc>
          <w:tcPr>
            <w:tcW w:w="1803" w:type="dxa"/>
          </w:tcPr>
          <w:p w14:paraId="1BF0BF05" w14:textId="77777777" w:rsidR="009E5CC3" w:rsidRDefault="009E5CC3" w:rsidP="009E5CC3">
            <w:pPr>
              <w:pStyle w:val="TableText"/>
            </w:pPr>
            <w:r>
              <w:t>15%</w:t>
            </w:r>
          </w:p>
        </w:tc>
        <w:tc>
          <w:tcPr>
            <w:tcW w:w="1803" w:type="dxa"/>
          </w:tcPr>
          <w:p w14:paraId="7DDCDE62" w14:textId="77777777" w:rsidR="009E5CC3" w:rsidRDefault="009E5CC3" w:rsidP="009E5CC3">
            <w:pPr>
              <w:pStyle w:val="TableText"/>
            </w:pPr>
            <w:r>
              <w:t>0.3%</w:t>
            </w:r>
          </w:p>
        </w:tc>
      </w:tr>
    </w:tbl>
    <w:p w14:paraId="1117D91B" w14:textId="5A1F676A" w:rsidR="009E5CC3" w:rsidRDefault="00B330BA" w:rsidP="009E5CC3">
      <w:pPr>
        <w:pStyle w:val="TableFooter"/>
        <w:rPr>
          <w:lang w:eastAsia="en-AU"/>
        </w:rPr>
      </w:pPr>
      <w:r w:rsidRPr="007C7AB1">
        <w:rPr>
          <w:i/>
        </w:rPr>
        <w:t>ALK</w:t>
      </w:r>
      <w:r>
        <w:t xml:space="preserve"> = </w:t>
      </w:r>
      <w:r w:rsidRPr="00561C5F">
        <w:t>anaplastic lymphoma kinase</w:t>
      </w:r>
      <w:r>
        <w:t xml:space="preserve">; </w:t>
      </w:r>
      <w:r w:rsidRPr="00902EC2">
        <w:rPr>
          <w:i/>
        </w:rPr>
        <w:t>EGFR</w:t>
      </w:r>
      <w:r w:rsidRPr="00902EC2">
        <w:t xml:space="preserve"> = epidermal growth factor receptor; </w:t>
      </w:r>
      <w:r w:rsidRPr="002D3261">
        <w:rPr>
          <w:i/>
        </w:rPr>
        <w:t>MET</w:t>
      </w:r>
      <w:r w:rsidRPr="002D3261">
        <w:t xml:space="preserve"> = </w:t>
      </w:r>
      <w:r w:rsidRPr="002D3261">
        <w:rPr>
          <w:szCs w:val="18"/>
        </w:rPr>
        <w:t>mesenchymal-epithelial transition</w:t>
      </w:r>
      <w:r>
        <w:rPr>
          <w:szCs w:val="18"/>
        </w:rPr>
        <w:t xml:space="preserve"> exon 14 skipping alteration</w:t>
      </w:r>
      <w:r w:rsidRPr="002D3261">
        <w:rPr>
          <w:szCs w:val="18"/>
        </w:rPr>
        <w:t>;</w:t>
      </w:r>
      <w:r w:rsidR="007D0D08">
        <w:rPr>
          <w:szCs w:val="18"/>
        </w:rPr>
        <w:t xml:space="preserve"> </w:t>
      </w:r>
      <w:r w:rsidR="009E5CC3">
        <w:rPr>
          <w:lang w:eastAsia="en-AU"/>
        </w:rPr>
        <w:t>NGS = next generation sequencing</w:t>
      </w:r>
      <w:r>
        <w:rPr>
          <w:lang w:eastAsia="en-AU"/>
        </w:rPr>
        <w:t>;</w:t>
      </w:r>
      <w:r w:rsidRPr="00B330BA">
        <w:rPr>
          <w:i/>
        </w:rPr>
        <w:t xml:space="preserve"> </w:t>
      </w:r>
      <w:r w:rsidRPr="002D3261">
        <w:rPr>
          <w:i/>
        </w:rPr>
        <w:t>ROS1</w:t>
      </w:r>
      <w:r w:rsidRPr="002D3261">
        <w:t xml:space="preserve"> = ROS proto-oncogene 1</w:t>
      </w:r>
    </w:p>
    <w:p w14:paraId="5AF098B4" w14:textId="5A57A3B2" w:rsidR="009E5CC3" w:rsidRPr="003F4A36" w:rsidRDefault="009E5CC3" w:rsidP="009E5CC3">
      <w:pPr>
        <w:pStyle w:val="TableFooter"/>
        <w:rPr>
          <w:lang w:eastAsia="en-AU"/>
        </w:rPr>
      </w:pPr>
      <w:r>
        <w:rPr>
          <w:lang w:eastAsia="en-AU"/>
        </w:rPr>
        <w:t xml:space="preserve">Source: </w:t>
      </w:r>
      <w:r w:rsidR="00B4668F">
        <w:fldChar w:fldCharType="begin">
          <w:fldData xml:space="preserve">PEVuZE5vdGU+PENpdGU+PEF1dGhvcj5QaXNhcGlhPC9BdXRob3I+PFllYXI+MjAyMjwvWWVhcj48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</w:fldData>
        </w:fldChar>
      </w:r>
      <w:r w:rsidR="00B4668F">
        <w:instrText xml:space="preserve"> ADDIN EN.CITE </w:instrText>
      </w:r>
      <w:r w:rsidR="00B4668F">
        <w:fldChar w:fldCharType="begin">
          <w:fldData xml:space="preserve">PEVuZE5vdGU+PENpdGU+PEF1dGhvcj5QaXNhcGlhPC9BdXRob3I+PFllYXI+MjAyMjwvWWVhcj48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</w:fldData>
        </w:fldChar>
      </w:r>
      <w:r w:rsidR="00B4668F">
        <w:instrText xml:space="preserve"> ADDIN EN.CITE.DATA </w:instrText>
      </w:r>
      <w:r w:rsidR="00B4668F">
        <w:fldChar w:fldCharType="end"/>
      </w:r>
      <w:r w:rsidR="00B4668F">
        <w:fldChar w:fldCharType="separate"/>
      </w:r>
      <w:r w:rsidR="00B4668F">
        <w:rPr>
          <w:noProof/>
        </w:rPr>
        <w:t>(Pisapia et al. 2022)</w:t>
      </w:r>
      <w:r w:rsidR="00B4668F">
        <w:fldChar w:fldCharType="end"/>
      </w:r>
    </w:p>
    <w:p w14:paraId="02C6159D" w14:textId="77777777" w:rsidR="000B481D" w:rsidRDefault="000B481D" w:rsidP="000B481D">
      <w:pPr>
        <w:pStyle w:val="Instructionaltext"/>
      </w:pPr>
    </w:p>
    <w:p w14:paraId="2400F637" w14:textId="77777777" w:rsidR="00504E35" w:rsidRDefault="00504E35" w:rsidP="002C01BD">
      <w:pPr>
        <w:sectPr w:rsidR="00504E35" w:rsidSect="00052DD3">
          <w:pgSz w:w="11906" w:h="16838"/>
          <w:pgMar w:top="1440" w:right="1440" w:bottom="1440" w:left="1440" w:header="708" w:footer="708" w:gutter="0"/>
          <w:cols w:space="708"/>
          <w:titlePg/>
          <w:docGrid w:linePitch="360"/>
        </w:sectPr>
      </w:pPr>
    </w:p>
    <w:p w14:paraId="4AAB4810" w14:textId="074A24AF" w:rsidR="00804632" w:rsidRPr="00CE28E3" w:rsidRDefault="00804632" w:rsidP="000A10BF">
      <w:pPr>
        <w:pStyle w:val="Heading1"/>
        <w:numPr>
          <w:ilvl w:val="0"/>
          <w:numId w:val="0"/>
        </w:numPr>
        <w:tabs>
          <w:tab w:val="left" w:pos="2835"/>
        </w:tabs>
        <w:ind w:left="2835" w:hanging="2835"/>
      </w:pPr>
      <w:bookmarkStart w:id="312" w:name="_Ref69490487"/>
      <w:bookmarkStart w:id="313" w:name="_Ref69490499"/>
      <w:bookmarkStart w:id="314" w:name="_Ref69490513"/>
      <w:bookmarkStart w:id="315" w:name="_Ref69490520"/>
      <w:bookmarkStart w:id="316" w:name="_Ref69490543"/>
      <w:bookmarkStart w:id="317" w:name="_Ref69490783"/>
      <w:bookmarkStart w:id="318" w:name="_Ref69490788"/>
      <w:bookmarkStart w:id="319" w:name="_Ref69490791"/>
      <w:bookmarkStart w:id="320" w:name="_Ref69490795"/>
      <w:bookmarkStart w:id="321" w:name="_Toc148531213"/>
      <w:r w:rsidRPr="00CE28E3">
        <w:lastRenderedPageBreak/>
        <w:t xml:space="preserve">Appendix </w:t>
      </w:r>
      <w:fldSimple w:instr=" SEQ Appendix \* ALPHABETIC ">
        <w:r w:rsidR="00C857F3">
          <w:rPr>
            <w:noProof/>
          </w:rPr>
          <w:t>E</w:t>
        </w:r>
      </w:fldSimple>
      <w:r w:rsidRPr="00CE28E3">
        <w:tab/>
        <w:t>Evidence profile tables</w:t>
      </w:r>
      <w:bookmarkEnd w:id="289"/>
      <w:bookmarkEnd w:id="312"/>
      <w:bookmarkEnd w:id="313"/>
      <w:bookmarkEnd w:id="314"/>
      <w:bookmarkEnd w:id="315"/>
      <w:bookmarkEnd w:id="316"/>
      <w:bookmarkEnd w:id="317"/>
      <w:bookmarkEnd w:id="318"/>
      <w:bookmarkEnd w:id="319"/>
      <w:bookmarkEnd w:id="320"/>
      <w:bookmarkEnd w:id="321"/>
      <w:r w:rsidR="00C554B5">
        <w:t xml:space="preserve"> </w:t>
      </w:r>
    </w:p>
    <w:p w14:paraId="3DDC4CD9" w14:textId="75242A41" w:rsidR="00504E35" w:rsidRPr="00CE28E3" w:rsidRDefault="00504E35" w:rsidP="00504E35">
      <w:pPr>
        <w:pStyle w:val="Caption"/>
      </w:pPr>
      <w:bookmarkStart w:id="322" w:name="_Ref69729063"/>
      <w:bookmarkStart w:id="323" w:name="_Toc49800762"/>
      <w:r w:rsidRPr="00CE28E3">
        <w:t>Table</w:t>
      </w:r>
      <w:r>
        <w:t> </w:t>
      </w:r>
      <w:r w:rsidRPr="00CE28E3">
        <w:rPr>
          <w:noProof/>
        </w:rPr>
        <w:fldChar w:fldCharType="begin"/>
      </w:r>
      <w:r w:rsidRPr="00CE28E3">
        <w:rPr>
          <w:noProof/>
        </w:rPr>
        <w:instrText xml:space="preserve"> SEQ Table \* ARABIC </w:instrText>
      </w:r>
      <w:r w:rsidRPr="00CE28E3">
        <w:rPr>
          <w:noProof/>
        </w:rPr>
        <w:fldChar w:fldCharType="separate"/>
      </w:r>
      <w:r w:rsidR="00C857F3">
        <w:rPr>
          <w:noProof/>
        </w:rPr>
        <w:t>89</w:t>
      </w:r>
      <w:r w:rsidRPr="00CE28E3">
        <w:rPr>
          <w:noProof/>
        </w:rPr>
        <w:fldChar w:fldCharType="end"/>
      </w:r>
      <w:bookmarkEnd w:id="322"/>
      <w:r w:rsidRPr="00CE28E3">
        <w:t xml:space="preserve"> </w:t>
      </w:r>
      <w:r w:rsidRPr="00CE28E3">
        <w:tab/>
        <w:t xml:space="preserve">Summary of findings table for important outcomes </w:t>
      </w:r>
      <w:bookmarkEnd w:id="323"/>
      <w:r w:rsidR="00822817">
        <w:t>comparing small NGS panels with sequential single gene testing</w:t>
      </w:r>
    </w:p>
    <w:tbl>
      <w:tblPr>
        <w:tblStyle w:val="TableGrid"/>
        <w:tblW w:w="5000" w:type="pct"/>
        <w:tblLook w:val="04A0" w:firstRow="1" w:lastRow="0" w:firstColumn="1" w:lastColumn="0" w:noHBand="0" w:noVBand="1"/>
        <w:tblCaption w:val="Summary of findings table for important outcomes comparing small NGS panels with sequential single gene testing"/>
        <w:tblDescription w:val="Summary of findings table for important outcomes comparing small NGS panels with sequential single gene testing"/>
      </w:tblPr>
      <w:tblGrid>
        <w:gridCol w:w="1178"/>
        <w:gridCol w:w="1350"/>
        <w:gridCol w:w="1159"/>
        <w:gridCol w:w="1837"/>
        <w:gridCol w:w="1559"/>
        <w:gridCol w:w="3119"/>
        <w:gridCol w:w="3746"/>
      </w:tblGrid>
      <w:tr w:rsidR="00504E35" w:rsidRPr="008E7224" w14:paraId="06D354C2" w14:textId="77777777" w:rsidTr="006F7632">
        <w:trPr>
          <w:trHeight w:val="624"/>
          <w:tblHeader/>
        </w:trPr>
        <w:tc>
          <w:tcPr>
            <w:tcW w:w="5000" w:type="pct"/>
            <w:gridSpan w:val="7"/>
          </w:tcPr>
          <w:p w14:paraId="477CE64A" w14:textId="77777777" w:rsidR="00504E35" w:rsidRPr="00B718E1" w:rsidRDefault="00504E35" w:rsidP="006F7632">
            <w:pPr>
              <w:spacing w:after="200" w:line="276" w:lineRule="auto"/>
              <w:contextualSpacing/>
              <w:rPr>
                <w:rFonts w:ascii="Arial Narrow" w:hAnsi="Arial Narrow"/>
                <w:sz w:val="20"/>
                <w:szCs w:val="20"/>
              </w:rPr>
            </w:pPr>
            <w:r w:rsidRPr="00B718E1">
              <w:rPr>
                <w:rFonts w:ascii="Arial Narrow" w:hAnsi="Arial Narrow" w:cs="Arial"/>
                <w:b/>
                <w:bCs/>
                <w:sz w:val="20"/>
                <w:szCs w:val="20"/>
              </w:rPr>
              <w:t xml:space="preserve">Question: </w:t>
            </w:r>
            <w:r w:rsidRPr="00B718E1">
              <w:rPr>
                <w:rFonts w:ascii="Arial Narrow" w:hAnsi="Arial Narrow"/>
                <w:sz w:val="20"/>
                <w:szCs w:val="20"/>
              </w:rPr>
              <w:t xml:space="preserve"> What is the safety and effectiveness of small NGS DNA/RNA panel(s) compared to sequential single gene testing in patients with non-squamous (or histology not otherwise specified) non-small cell lung cancer?</w:t>
            </w:r>
          </w:p>
          <w:p w14:paraId="1D9B8D56" w14:textId="77777777" w:rsidR="00504E35" w:rsidRPr="00B718E1" w:rsidRDefault="00504E35" w:rsidP="006F7632">
            <w:pPr>
              <w:spacing w:after="200" w:line="276" w:lineRule="auto"/>
              <w:contextualSpacing/>
              <w:rPr>
                <w:rFonts w:ascii="Arial Narrow" w:hAnsi="Arial Narrow"/>
                <w:sz w:val="20"/>
                <w:szCs w:val="20"/>
              </w:rPr>
            </w:pPr>
            <w:r w:rsidRPr="00B718E1">
              <w:rPr>
                <w:rFonts w:ascii="Arial Narrow" w:hAnsi="Arial Narrow" w:cs="Arial"/>
                <w:b/>
                <w:bCs/>
                <w:sz w:val="20"/>
                <w:szCs w:val="20"/>
              </w:rPr>
              <w:t>Patient or population:</w:t>
            </w:r>
            <w:r w:rsidRPr="00B718E1">
              <w:rPr>
                <w:rFonts w:ascii="Arial Narrow" w:hAnsi="Arial Narrow" w:cs="Arial"/>
                <w:sz w:val="20"/>
                <w:szCs w:val="20"/>
              </w:rPr>
              <w:t xml:space="preserve"> Patients with </w:t>
            </w:r>
            <w:r w:rsidRPr="00B718E1">
              <w:rPr>
                <w:rFonts w:ascii="Arial Narrow" w:hAnsi="Arial Narrow"/>
                <w:sz w:val="20"/>
                <w:szCs w:val="20"/>
              </w:rPr>
              <w:t>non-squamous (or histology not otherwise specified) non-small cell lung cancer</w:t>
            </w:r>
          </w:p>
          <w:p w14:paraId="7389D7A8" w14:textId="77777777" w:rsidR="00504E35" w:rsidRPr="00B718E1" w:rsidRDefault="00504E35" w:rsidP="006F7632">
            <w:pPr>
              <w:spacing w:after="200" w:line="276" w:lineRule="auto"/>
              <w:contextualSpacing/>
              <w:rPr>
                <w:rFonts w:ascii="Arial Narrow" w:hAnsi="Arial Narrow" w:cs="Arial"/>
                <w:bCs/>
                <w:sz w:val="20"/>
                <w:szCs w:val="20"/>
              </w:rPr>
            </w:pPr>
            <w:r w:rsidRPr="00B718E1">
              <w:rPr>
                <w:rFonts w:ascii="Arial Narrow" w:hAnsi="Arial Narrow" w:cs="Arial"/>
                <w:b/>
                <w:bCs/>
                <w:sz w:val="20"/>
                <w:szCs w:val="20"/>
              </w:rPr>
              <w:t>Intervention:</w:t>
            </w:r>
            <w:r w:rsidRPr="00B718E1">
              <w:rPr>
                <w:rFonts w:ascii="Arial Narrow" w:hAnsi="Arial Narrow" w:cs="Arial"/>
                <w:sz w:val="20"/>
                <w:szCs w:val="20"/>
              </w:rPr>
              <w:t xml:space="preserve"> </w:t>
            </w:r>
            <w:r w:rsidRPr="00B718E1">
              <w:rPr>
                <w:rFonts w:ascii="Arial Narrow" w:hAnsi="Arial Narrow"/>
                <w:sz w:val="20"/>
                <w:szCs w:val="20"/>
              </w:rPr>
              <w:t xml:space="preserve"> Small NGS DNA/RNA panel(s)</w:t>
            </w:r>
          </w:p>
          <w:p w14:paraId="0A2349D0" w14:textId="77777777" w:rsidR="00504E35" w:rsidRPr="00B718E1" w:rsidDel="00A07DB3" w:rsidRDefault="00504E35" w:rsidP="006F7632">
            <w:pPr>
              <w:keepNext/>
              <w:spacing w:after="200" w:line="276" w:lineRule="auto"/>
              <w:contextualSpacing/>
              <w:rPr>
                <w:rFonts w:ascii="Arial Narrow" w:hAnsi="Arial Narrow"/>
                <w:sz w:val="20"/>
                <w:szCs w:val="20"/>
              </w:rPr>
            </w:pPr>
            <w:r w:rsidRPr="00B718E1">
              <w:rPr>
                <w:rFonts w:ascii="Arial Narrow" w:hAnsi="Arial Narrow" w:cs="Arial"/>
                <w:b/>
                <w:sz w:val="20"/>
                <w:szCs w:val="20"/>
              </w:rPr>
              <w:t xml:space="preserve">Comparator: </w:t>
            </w:r>
            <w:r w:rsidRPr="00B718E1">
              <w:rPr>
                <w:rFonts w:ascii="Arial Narrow" w:hAnsi="Arial Narrow" w:cs="Arial"/>
                <w:bCs/>
                <w:sz w:val="20"/>
                <w:szCs w:val="20"/>
              </w:rPr>
              <w:t xml:space="preserve"> </w:t>
            </w:r>
            <w:r w:rsidRPr="00B718E1">
              <w:rPr>
                <w:rFonts w:ascii="Arial Narrow" w:hAnsi="Arial Narrow"/>
                <w:sz w:val="20"/>
                <w:szCs w:val="20"/>
              </w:rPr>
              <w:t>Sequential single gene testing</w:t>
            </w:r>
          </w:p>
        </w:tc>
      </w:tr>
      <w:tr w:rsidR="00504E35" w:rsidRPr="008E7224" w14:paraId="5F84ACE7" w14:textId="77777777" w:rsidTr="006F7632">
        <w:trPr>
          <w:trHeight w:val="624"/>
          <w:tblHeader/>
        </w:trPr>
        <w:tc>
          <w:tcPr>
            <w:tcW w:w="422" w:type="pct"/>
          </w:tcPr>
          <w:p w14:paraId="74673FAF" w14:textId="77777777" w:rsidR="00504E35" w:rsidRPr="00DB0881" w:rsidRDefault="00504E35" w:rsidP="006F7632">
            <w:pPr>
              <w:pStyle w:val="TableHeading"/>
              <w:ind w:left="4"/>
              <w:rPr>
                <w:szCs w:val="20"/>
              </w:rPr>
            </w:pPr>
            <w:bookmarkStart w:id="324" w:name="ColumnTitle_Table47"/>
            <w:r w:rsidRPr="00DB0881">
              <w:rPr>
                <w:szCs w:val="20"/>
              </w:rPr>
              <w:t>Section in report</w:t>
            </w:r>
          </w:p>
        </w:tc>
        <w:tc>
          <w:tcPr>
            <w:tcW w:w="484" w:type="pct"/>
          </w:tcPr>
          <w:p w14:paraId="38031908" w14:textId="77777777" w:rsidR="00504E35" w:rsidRPr="00DB0881" w:rsidRDefault="00504E35" w:rsidP="006F7632">
            <w:pPr>
              <w:pStyle w:val="TableHeading"/>
              <w:ind w:left="4"/>
              <w:rPr>
                <w:szCs w:val="20"/>
              </w:rPr>
            </w:pPr>
            <w:r w:rsidRPr="00DB0881">
              <w:rPr>
                <w:szCs w:val="20"/>
              </w:rPr>
              <w:t xml:space="preserve">Aim/outcomes </w:t>
            </w:r>
          </w:p>
        </w:tc>
        <w:tc>
          <w:tcPr>
            <w:tcW w:w="415" w:type="pct"/>
          </w:tcPr>
          <w:p w14:paraId="69E41681" w14:textId="77777777" w:rsidR="00504E35" w:rsidRPr="00DB0881" w:rsidRDefault="00504E35" w:rsidP="006F7632">
            <w:pPr>
              <w:pStyle w:val="TableHeading"/>
              <w:ind w:left="4"/>
              <w:rPr>
                <w:szCs w:val="20"/>
              </w:rPr>
            </w:pPr>
            <w:r w:rsidRPr="00DB0881">
              <w:rPr>
                <w:szCs w:val="20"/>
              </w:rPr>
              <w:t>Participants and studies</w:t>
            </w:r>
          </w:p>
        </w:tc>
        <w:tc>
          <w:tcPr>
            <w:tcW w:w="659" w:type="pct"/>
          </w:tcPr>
          <w:p w14:paraId="6E404174" w14:textId="77777777" w:rsidR="00504E35" w:rsidRPr="00DB0881" w:rsidRDefault="00504E35" w:rsidP="006F7632">
            <w:pPr>
              <w:pStyle w:val="TableHeading"/>
              <w:ind w:left="6"/>
              <w:rPr>
                <w:szCs w:val="20"/>
              </w:rPr>
            </w:pPr>
            <w:r w:rsidRPr="00DB0881">
              <w:rPr>
                <w:szCs w:val="20"/>
              </w:rPr>
              <w:t>Quality of evidence</w:t>
            </w:r>
          </w:p>
        </w:tc>
        <w:tc>
          <w:tcPr>
            <w:tcW w:w="559" w:type="pct"/>
          </w:tcPr>
          <w:p w14:paraId="321C033E" w14:textId="77777777" w:rsidR="00504E35" w:rsidRPr="00DB0881" w:rsidRDefault="00504E35" w:rsidP="006F7632">
            <w:pPr>
              <w:pStyle w:val="TableHeading"/>
              <w:ind w:left="4"/>
              <w:rPr>
                <w:szCs w:val="20"/>
              </w:rPr>
            </w:pPr>
            <w:r w:rsidRPr="00DB0881">
              <w:rPr>
                <w:szCs w:val="20"/>
              </w:rPr>
              <w:t>Results</w:t>
            </w:r>
          </w:p>
        </w:tc>
        <w:tc>
          <w:tcPr>
            <w:tcW w:w="1118" w:type="pct"/>
          </w:tcPr>
          <w:p w14:paraId="77B51DFD" w14:textId="77777777" w:rsidR="00504E35" w:rsidRPr="00DB0881" w:rsidRDefault="00504E35" w:rsidP="006F7632">
            <w:pPr>
              <w:pStyle w:val="TableHeading"/>
              <w:ind w:left="4"/>
              <w:rPr>
                <w:szCs w:val="20"/>
              </w:rPr>
            </w:pPr>
            <w:r w:rsidRPr="00DB0881">
              <w:rPr>
                <w:szCs w:val="20"/>
              </w:rPr>
              <w:t>Interpretation</w:t>
            </w:r>
          </w:p>
        </w:tc>
        <w:tc>
          <w:tcPr>
            <w:tcW w:w="1343" w:type="pct"/>
          </w:tcPr>
          <w:p w14:paraId="7A4C6326" w14:textId="77777777" w:rsidR="00504E35" w:rsidRPr="00DB0881" w:rsidRDefault="00504E35" w:rsidP="006F7632">
            <w:pPr>
              <w:pStyle w:val="TableHeading"/>
              <w:ind w:left="4"/>
              <w:rPr>
                <w:szCs w:val="20"/>
              </w:rPr>
            </w:pPr>
            <w:r w:rsidRPr="00DB0881">
              <w:rPr>
                <w:szCs w:val="20"/>
              </w:rPr>
              <w:t>GRADE</w:t>
            </w:r>
          </w:p>
        </w:tc>
      </w:tr>
      <w:bookmarkEnd w:id="324"/>
      <w:tr w:rsidR="00504E35" w:rsidRPr="008E7224" w14:paraId="34EFCCC0" w14:textId="77777777" w:rsidTr="006F7632">
        <w:trPr>
          <w:trHeight w:val="973"/>
        </w:trPr>
        <w:tc>
          <w:tcPr>
            <w:tcW w:w="422" w:type="pct"/>
          </w:tcPr>
          <w:p w14:paraId="7FE9FCBF" w14:textId="1677781B" w:rsidR="00504E35" w:rsidRPr="001D56DB" w:rsidRDefault="00400BC7" w:rsidP="006F7632">
            <w:pPr>
              <w:pStyle w:val="TableHeading"/>
              <w:keepNext w:val="0"/>
              <w:ind w:left="4"/>
              <w:rPr>
                <w:b w:val="0"/>
                <w:szCs w:val="20"/>
              </w:rPr>
            </w:pPr>
            <w:r>
              <w:rPr>
                <w:b w:val="0"/>
                <w:szCs w:val="20"/>
              </w:rPr>
              <w:t>2</w:t>
            </w:r>
            <w:r w:rsidR="00504E35" w:rsidRPr="001D56DB">
              <w:rPr>
                <w:b w:val="0"/>
                <w:szCs w:val="20"/>
              </w:rPr>
              <w:t>.1 Direct from test to health outcomes evidence</w:t>
            </w:r>
          </w:p>
        </w:tc>
        <w:tc>
          <w:tcPr>
            <w:tcW w:w="484" w:type="pct"/>
          </w:tcPr>
          <w:p w14:paraId="4E921BA1" w14:textId="77777777" w:rsidR="00504E35" w:rsidRPr="001D56DB" w:rsidRDefault="00504E35" w:rsidP="006F7632">
            <w:pPr>
              <w:pStyle w:val="TableHeading"/>
              <w:keepNext w:val="0"/>
              <w:ind w:left="4"/>
              <w:rPr>
                <w:b w:val="0"/>
                <w:szCs w:val="20"/>
              </w:rPr>
            </w:pPr>
            <w:r w:rsidRPr="001D56DB">
              <w:rPr>
                <w:b w:val="0"/>
                <w:szCs w:val="20"/>
              </w:rPr>
              <w:t xml:space="preserve">Predictive of response to </w:t>
            </w:r>
            <w:r w:rsidRPr="001D56DB">
              <w:rPr>
                <w:b w:val="0"/>
                <w:i/>
                <w:szCs w:val="20"/>
              </w:rPr>
              <w:t>ALK</w:t>
            </w:r>
            <w:r w:rsidRPr="001D56DB">
              <w:rPr>
                <w:b w:val="0"/>
                <w:szCs w:val="20"/>
              </w:rPr>
              <w:t xml:space="preserve">-TKI </w:t>
            </w:r>
          </w:p>
        </w:tc>
        <w:tc>
          <w:tcPr>
            <w:tcW w:w="415" w:type="pct"/>
          </w:tcPr>
          <w:p w14:paraId="563ACD39" w14:textId="77777777" w:rsidR="00504E35" w:rsidRPr="00B718E1" w:rsidRDefault="00504E35" w:rsidP="006F7632">
            <w:pPr>
              <w:pStyle w:val="TableHeading"/>
              <w:ind w:left="4"/>
              <w:rPr>
                <w:b w:val="0"/>
                <w:szCs w:val="20"/>
              </w:rPr>
            </w:pPr>
            <w:r w:rsidRPr="00B718E1">
              <w:rPr>
                <w:b w:val="0"/>
                <w:szCs w:val="20"/>
              </w:rPr>
              <w:t>n=50</w:t>
            </w:r>
          </w:p>
          <w:p w14:paraId="28DFE677" w14:textId="77777777" w:rsidR="00504E35" w:rsidRPr="00504E35" w:rsidRDefault="00504E35" w:rsidP="006F7632">
            <w:pPr>
              <w:pStyle w:val="TableHeading"/>
              <w:keepNext w:val="0"/>
              <w:ind w:left="4"/>
              <w:rPr>
                <w:b w:val="0"/>
                <w:szCs w:val="20"/>
              </w:rPr>
            </w:pPr>
            <w:r w:rsidRPr="00504E35">
              <w:rPr>
                <w:b w:val="0"/>
                <w:szCs w:val="20"/>
              </w:rPr>
              <w:t>k=1 within-patient cohort study</w:t>
            </w:r>
          </w:p>
        </w:tc>
        <w:tc>
          <w:tcPr>
            <w:tcW w:w="659" w:type="pct"/>
          </w:tcPr>
          <w:p w14:paraId="30992625" w14:textId="77777777" w:rsidR="00504E35" w:rsidRPr="00DB0881" w:rsidRDefault="00504E35" w:rsidP="006F7632">
            <w:pPr>
              <w:ind w:left="6"/>
              <w:rPr>
                <w:rFonts w:ascii="Arial Narrow" w:hAnsi="Arial Narrow"/>
                <w:sz w:val="20"/>
                <w:szCs w:val="20"/>
              </w:rPr>
            </w:pPr>
            <w:r w:rsidRPr="00B718E1">
              <w:rPr>
                <w:rFonts w:ascii="Arial Narrow" w:hAnsi="Arial Narrow"/>
                <w:sz w:val="20"/>
                <w:szCs w:val="20"/>
              </w:rPr>
              <w:t xml:space="preserve">Risk of bias: </w:t>
            </w:r>
            <w:r>
              <w:rPr>
                <w:rFonts w:ascii="Arial Narrow" w:hAnsi="Arial Narrow"/>
                <w:sz w:val="20"/>
                <w:szCs w:val="20"/>
              </w:rPr>
              <w:t>-1</w:t>
            </w:r>
            <w:r w:rsidRPr="00DB0881">
              <w:rPr>
                <w:rFonts w:ascii="Arial Narrow" w:hAnsi="Arial Narrow"/>
                <w:sz w:val="20"/>
                <w:szCs w:val="20"/>
              </w:rPr>
              <w:t xml:space="preserve"> </w:t>
            </w:r>
          </w:p>
          <w:p w14:paraId="7E5914C8"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NA</w:t>
            </w:r>
          </w:p>
          <w:p w14:paraId="3A7F3777"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-1</w:t>
            </w:r>
          </w:p>
          <w:p w14:paraId="3D7F9EFB"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-1</w:t>
            </w:r>
          </w:p>
          <w:p w14:paraId="6402D959"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NA</w:t>
            </w:r>
          </w:p>
          <w:p w14:paraId="5C592730" w14:textId="77777777" w:rsidR="00504E35" w:rsidRPr="00DB0881" w:rsidRDefault="00504E35" w:rsidP="006F7632">
            <w:pPr>
              <w:pStyle w:val="TableHeading"/>
              <w:keepNext w:val="0"/>
              <w:spacing w:before="40" w:after="0"/>
              <w:ind w:left="6"/>
              <w:rPr>
                <w:b w:val="0"/>
                <w:szCs w:val="20"/>
              </w:rPr>
            </w:pPr>
            <w:r w:rsidRPr="00DB0881">
              <w:rPr>
                <w:b w:val="0"/>
                <w:szCs w:val="20"/>
              </w:rPr>
              <w:t xml:space="preserve">Other: </w:t>
            </w:r>
            <w:r>
              <w:rPr>
                <w:b w:val="0"/>
                <w:szCs w:val="20"/>
              </w:rPr>
              <w:t>0</w:t>
            </w:r>
          </w:p>
        </w:tc>
        <w:tc>
          <w:tcPr>
            <w:tcW w:w="559" w:type="pct"/>
          </w:tcPr>
          <w:p w14:paraId="63413FF1" w14:textId="77777777" w:rsidR="00504E35" w:rsidRPr="00DB0881" w:rsidRDefault="00504E35" w:rsidP="006F7632">
            <w:pPr>
              <w:pStyle w:val="TableHeading"/>
              <w:spacing w:after="0"/>
              <w:ind w:left="6"/>
              <w:rPr>
                <w:b w:val="0"/>
                <w:szCs w:val="20"/>
              </w:rPr>
            </w:pPr>
            <w:r w:rsidRPr="00DB0881">
              <w:rPr>
                <w:b w:val="0"/>
                <w:szCs w:val="20"/>
              </w:rPr>
              <w:t>Median PFS</w:t>
            </w:r>
          </w:p>
          <w:p w14:paraId="593EE2C8" w14:textId="77777777" w:rsidR="00504E35" w:rsidRPr="00DB0881" w:rsidRDefault="00504E35" w:rsidP="006F7632">
            <w:pPr>
              <w:pStyle w:val="TableHeading"/>
              <w:spacing w:before="0" w:after="0"/>
              <w:ind w:left="6"/>
              <w:rPr>
                <w:b w:val="0"/>
                <w:szCs w:val="20"/>
              </w:rPr>
            </w:pPr>
            <w:r w:rsidRPr="00DB0881">
              <w:rPr>
                <w:b w:val="0"/>
                <w:szCs w:val="20"/>
              </w:rPr>
              <w:t>NGS+: 11.1m</w:t>
            </w:r>
          </w:p>
          <w:p w14:paraId="5C8EF184" w14:textId="77777777" w:rsidR="00504E35" w:rsidRPr="00DB0881" w:rsidRDefault="00504E35" w:rsidP="006F7632">
            <w:pPr>
              <w:pStyle w:val="TableHeading"/>
              <w:spacing w:before="0" w:after="0"/>
              <w:ind w:left="6"/>
              <w:rPr>
                <w:b w:val="0"/>
                <w:szCs w:val="20"/>
              </w:rPr>
            </w:pPr>
            <w:r w:rsidRPr="00DB0881">
              <w:rPr>
                <w:b w:val="0"/>
                <w:szCs w:val="20"/>
              </w:rPr>
              <w:t>NGS-: 4.6m</w:t>
            </w:r>
          </w:p>
          <w:p w14:paraId="72D42D24" w14:textId="77777777" w:rsidR="00504E35" w:rsidRPr="00DB0881" w:rsidRDefault="00504E35" w:rsidP="006F7632">
            <w:pPr>
              <w:pStyle w:val="TableHeading"/>
              <w:spacing w:before="0" w:after="0"/>
              <w:ind w:left="6"/>
              <w:rPr>
                <w:b w:val="0"/>
                <w:szCs w:val="20"/>
              </w:rPr>
            </w:pPr>
            <w:r w:rsidRPr="00DB0881">
              <w:rPr>
                <w:b w:val="0"/>
                <w:szCs w:val="20"/>
              </w:rPr>
              <w:t>IHC+: 10.3m</w:t>
            </w:r>
          </w:p>
          <w:p w14:paraId="50D4B643" w14:textId="77777777" w:rsidR="00504E35" w:rsidRPr="00DB0881" w:rsidRDefault="00504E35" w:rsidP="006F7632">
            <w:pPr>
              <w:pStyle w:val="TableHeading"/>
              <w:spacing w:before="0" w:after="0"/>
              <w:ind w:left="6"/>
              <w:rPr>
                <w:b w:val="0"/>
                <w:szCs w:val="20"/>
              </w:rPr>
            </w:pPr>
            <w:r w:rsidRPr="00DB0881">
              <w:rPr>
                <w:b w:val="0"/>
                <w:szCs w:val="20"/>
              </w:rPr>
              <w:t>IHC-: 11.7m</w:t>
            </w:r>
          </w:p>
          <w:p w14:paraId="0B610FAB" w14:textId="77777777" w:rsidR="00504E35" w:rsidRPr="00DB0881" w:rsidRDefault="00504E35" w:rsidP="006F7632">
            <w:pPr>
              <w:pStyle w:val="TableHeading"/>
              <w:spacing w:before="0" w:after="0"/>
              <w:ind w:left="6"/>
              <w:rPr>
                <w:b w:val="0"/>
                <w:szCs w:val="20"/>
              </w:rPr>
            </w:pPr>
            <w:r w:rsidRPr="00DB0881">
              <w:rPr>
                <w:b w:val="0"/>
                <w:szCs w:val="20"/>
              </w:rPr>
              <w:t>FISH+: 8.8m</w:t>
            </w:r>
          </w:p>
          <w:p w14:paraId="25A2D91B" w14:textId="77777777" w:rsidR="00504E35" w:rsidRPr="00DB0881" w:rsidRDefault="00504E35" w:rsidP="006F7632">
            <w:pPr>
              <w:pStyle w:val="TableHeading"/>
              <w:keepNext w:val="0"/>
              <w:ind w:left="4"/>
              <w:rPr>
                <w:b w:val="0"/>
                <w:szCs w:val="20"/>
              </w:rPr>
            </w:pPr>
            <w:r w:rsidRPr="00DB0881">
              <w:rPr>
                <w:b w:val="0"/>
                <w:szCs w:val="20"/>
              </w:rPr>
              <w:t>FISH-: 14.8m</w:t>
            </w:r>
          </w:p>
        </w:tc>
        <w:tc>
          <w:tcPr>
            <w:tcW w:w="1118" w:type="pct"/>
          </w:tcPr>
          <w:p w14:paraId="736FAD4F" w14:textId="77777777" w:rsidR="00504E35" w:rsidRPr="009B6E10" w:rsidRDefault="00504E35" w:rsidP="006F7632">
            <w:pPr>
              <w:pStyle w:val="TableHeading"/>
              <w:keepNext w:val="0"/>
              <w:ind w:left="4"/>
              <w:rPr>
                <w:b w:val="0"/>
                <w:szCs w:val="20"/>
              </w:rPr>
            </w:pPr>
            <w:r w:rsidRPr="00DB0881">
              <w:rPr>
                <w:b w:val="0"/>
                <w:szCs w:val="20"/>
              </w:rPr>
              <w:t xml:space="preserve">NGS better able to predict response to </w:t>
            </w:r>
            <w:r w:rsidRPr="001F01E9">
              <w:rPr>
                <w:b w:val="0"/>
                <w:i/>
                <w:szCs w:val="20"/>
              </w:rPr>
              <w:t>ALK-</w:t>
            </w:r>
            <w:r w:rsidRPr="001F01E9">
              <w:rPr>
                <w:b w:val="0"/>
                <w:szCs w:val="20"/>
              </w:rPr>
              <w:t xml:space="preserve">TKI than FISH or IHC. Those treated with </w:t>
            </w:r>
            <w:r w:rsidRPr="001F01E9">
              <w:rPr>
                <w:b w:val="0"/>
                <w:i/>
                <w:szCs w:val="20"/>
              </w:rPr>
              <w:t>ALK</w:t>
            </w:r>
            <w:r w:rsidRPr="001F01E9">
              <w:rPr>
                <w:b w:val="0"/>
                <w:szCs w:val="20"/>
              </w:rPr>
              <w:t xml:space="preserve"> TKI due to variant detected with NGS therefore expected to have at least non-inferior outcomes to those tested by clinical utility standard or IHC ± FISH.</w:t>
            </w:r>
          </w:p>
        </w:tc>
        <w:tc>
          <w:tcPr>
            <w:tcW w:w="1343" w:type="pct"/>
          </w:tcPr>
          <w:p w14:paraId="1E589B00" w14:textId="77777777" w:rsidR="00504E35" w:rsidRPr="00B718E1" w:rsidRDefault="00504E35" w:rsidP="006F7632">
            <w:pPr>
              <w:pStyle w:val="TableHeading"/>
              <w:ind w:left="4"/>
              <w:rPr>
                <w:rFonts w:cs="Cambria Math"/>
                <w:b w:val="0"/>
                <w:color w:val="C00000"/>
                <w:szCs w:val="20"/>
              </w:rPr>
            </w:pPr>
            <w:r w:rsidRPr="009B6E10">
              <w:rPr>
                <w:rFonts w:ascii="Cambria Math" w:hAnsi="Cambria Math" w:cs="Cambria Math"/>
                <w:b w:val="0"/>
                <w:color w:val="00B050"/>
                <w:szCs w:val="20"/>
              </w:rPr>
              <w:t>⊕</w:t>
            </w:r>
            <w:r w:rsidRPr="009B6E10">
              <w:rPr>
                <w:rFonts w:ascii="Cambria Math" w:hAnsi="Cambria Math" w:cs="Cambria Math"/>
                <w:b w:val="0"/>
                <w:color w:val="C00000"/>
                <w:szCs w:val="20"/>
              </w:rPr>
              <w:t>⊝⊝⊝</w:t>
            </w:r>
          </w:p>
          <w:p w14:paraId="483F06AC" w14:textId="77777777" w:rsidR="00504E35" w:rsidRPr="00DB0881" w:rsidRDefault="00504E35" w:rsidP="006F7632">
            <w:pPr>
              <w:pStyle w:val="TableHeading"/>
              <w:keepNext w:val="0"/>
              <w:ind w:left="4"/>
              <w:rPr>
                <w:b w:val="0"/>
                <w:szCs w:val="20"/>
              </w:rPr>
            </w:pPr>
            <w:r>
              <w:rPr>
                <w:b w:val="0"/>
                <w:szCs w:val="20"/>
              </w:rPr>
              <w:t xml:space="preserve">Very high uncertainty as single study, observational evidence, moderate to high risk of bias, indirectness as population does not match target population (only </w:t>
            </w:r>
            <w:r>
              <w:rPr>
                <w:b w:val="0"/>
                <w:i/>
                <w:szCs w:val="20"/>
              </w:rPr>
              <w:t xml:space="preserve">ALK </w:t>
            </w:r>
            <w:r>
              <w:rPr>
                <w:b w:val="0"/>
                <w:szCs w:val="20"/>
              </w:rPr>
              <w:t xml:space="preserve">positive by ≥1 test), and small study. </w:t>
            </w:r>
          </w:p>
        </w:tc>
      </w:tr>
      <w:tr w:rsidR="00504E35" w:rsidRPr="008E7224" w14:paraId="15F3140C" w14:textId="77777777" w:rsidTr="006F7632">
        <w:trPr>
          <w:trHeight w:val="60"/>
        </w:trPr>
        <w:tc>
          <w:tcPr>
            <w:tcW w:w="422" w:type="pct"/>
          </w:tcPr>
          <w:p w14:paraId="6E8EBA8A" w14:textId="4E3C828D" w:rsidR="00504E35" w:rsidRPr="001D56DB" w:rsidRDefault="00400BC7" w:rsidP="006F7632">
            <w:pPr>
              <w:pStyle w:val="TableHeading"/>
              <w:keepNext w:val="0"/>
              <w:ind w:left="4"/>
              <w:rPr>
                <w:b w:val="0"/>
                <w:szCs w:val="20"/>
              </w:rPr>
            </w:pPr>
            <w:r>
              <w:rPr>
                <w:b w:val="0"/>
                <w:szCs w:val="20"/>
              </w:rPr>
              <w:t>2</w:t>
            </w:r>
            <w:r w:rsidR="00504E35" w:rsidRPr="001D56DB">
              <w:rPr>
                <w:b w:val="0"/>
                <w:szCs w:val="20"/>
              </w:rPr>
              <w:t>.2 Test performance</w:t>
            </w:r>
          </w:p>
        </w:tc>
        <w:tc>
          <w:tcPr>
            <w:tcW w:w="484" w:type="pct"/>
          </w:tcPr>
          <w:p w14:paraId="74972356" w14:textId="77777777" w:rsidR="00504E35" w:rsidRPr="001D56DB" w:rsidRDefault="00504E35" w:rsidP="006F7632">
            <w:pPr>
              <w:pStyle w:val="TableHeading"/>
              <w:keepNext w:val="0"/>
              <w:tabs>
                <w:tab w:val="left" w:pos="842"/>
              </w:tabs>
              <w:ind w:left="4"/>
              <w:rPr>
                <w:b w:val="0"/>
                <w:szCs w:val="20"/>
              </w:rPr>
            </w:pPr>
            <w:r w:rsidRPr="001D56DB">
              <w:rPr>
                <w:b w:val="0"/>
                <w:szCs w:val="20"/>
              </w:rPr>
              <w:t>Success rate of testing (sufficient tissue)</w:t>
            </w:r>
          </w:p>
        </w:tc>
        <w:tc>
          <w:tcPr>
            <w:tcW w:w="415" w:type="pct"/>
          </w:tcPr>
          <w:p w14:paraId="653386F6" w14:textId="77777777" w:rsidR="00504E35" w:rsidRPr="001D56DB" w:rsidRDefault="00504E35" w:rsidP="006F7632">
            <w:pPr>
              <w:pStyle w:val="TableHeading"/>
              <w:ind w:left="4"/>
              <w:rPr>
                <w:b w:val="0"/>
                <w:szCs w:val="20"/>
              </w:rPr>
            </w:pPr>
            <w:r w:rsidRPr="001D56DB">
              <w:rPr>
                <w:b w:val="0"/>
                <w:szCs w:val="20"/>
              </w:rPr>
              <w:t>n=4040</w:t>
            </w:r>
          </w:p>
          <w:p w14:paraId="04CD7ACA" w14:textId="77777777" w:rsidR="00504E35" w:rsidRPr="008E7224" w:rsidRDefault="00504E35" w:rsidP="006F7632">
            <w:pPr>
              <w:pStyle w:val="Tabletext0"/>
              <w:rPr>
                <w:rFonts w:eastAsiaTheme="minorHAnsi" w:cstheme="minorBidi"/>
                <w:lang w:eastAsia="en-US"/>
              </w:rPr>
            </w:pPr>
            <w:r w:rsidRPr="00B718E1">
              <w:t>k=1 between-patient cohort</w:t>
            </w:r>
          </w:p>
        </w:tc>
        <w:tc>
          <w:tcPr>
            <w:tcW w:w="659" w:type="pct"/>
          </w:tcPr>
          <w:p w14:paraId="59EC4EAE"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0</w:t>
            </w:r>
            <w:r w:rsidRPr="00DB0881">
              <w:rPr>
                <w:rFonts w:ascii="Arial Narrow" w:hAnsi="Arial Narrow"/>
                <w:sz w:val="20"/>
                <w:szCs w:val="20"/>
              </w:rPr>
              <w:t xml:space="preserve"> </w:t>
            </w:r>
          </w:p>
          <w:p w14:paraId="599344FF"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NA</w:t>
            </w:r>
          </w:p>
          <w:p w14:paraId="01CAD809"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-1</w:t>
            </w:r>
          </w:p>
          <w:p w14:paraId="5DCE8C3D"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0</w:t>
            </w:r>
          </w:p>
          <w:p w14:paraId="57E6D821"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w:t>
            </w:r>
          </w:p>
          <w:p w14:paraId="4DFE3DE8" w14:textId="77777777" w:rsidR="00504E35" w:rsidRPr="00504E35" w:rsidRDefault="00504E35" w:rsidP="00504E35">
            <w:pPr>
              <w:pStyle w:val="TableHeading"/>
              <w:keepNext w:val="0"/>
              <w:spacing w:before="40"/>
              <w:ind w:left="4"/>
              <w:rPr>
                <w:b w:val="0"/>
                <w:szCs w:val="20"/>
              </w:rPr>
            </w:pPr>
            <w:r w:rsidRPr="00504E35">
              <w:rPr>
                <w:b w:val="0"/>
                <w:szCs w:val="20"/>
              </w:rPr>
              <w:t>Other: 0</w:t>
            </w:r>
          </w:p>
        </w:tc>
        <w:tc>
          <w:tcPr>
            <w:tcW w:w="559" w:type="pct"/>
          </w:tcPr>
          <w:p w14:paraId="2D99D7E8" w14:textId="77777777" w:rsidR="00504E35" w:rsidRPr="00B718E1" w:rsidRDefault="00504E35" w:rsidP="006F7632">
            <w:pPr>
              <w:pStyle w:val="TableHeading"/>
              <w:rPr>
                <w:b w:val="0"/>
                <w:szCs w:val="20"/>
              </w:rPr>
            </w:pPr>
            <w:r w:rsidRPr="00B718E1">
              <w:rPr>
                <w:b w:val="0"/>
                <w:szCs w:val="20"/>
              </w:rPr>
              <w:t xml:space="preserve">NGS: 97.2% </w:t>
            </w:r>
          </w:p>
          <w:p w14:paraId="01FCA4F8" w14:textId="77777777" w:rsidR="00504E35" w:rsidRPr="00B718E1" w:rsidRDefault="00504E35" w:rsidP="006F7632">
            <w:pPr>
              <w:pStyle w:val="TableHeading"/>
              <w:keepNext w:val="0"/>
              <w:ind w:left="4"/>
              <w:rPr>
                <w:b w:val="0"/>
                <w:szCs w:val="20"/>
              </w:rPr>
            </w:pPr>
            <w:r w:rsidRPr="00B718E1">
              <w:rPr>
                <w:b w:val="0"/>
                <w:szCs w:val="20"/>
              </w:rPr>
              <w:t xml:space="preserve">Single-gene testing: 94.6% </w:t>
            </w:r>
          </w:p>
        </w:tc>
        <w:tc>
          <w:tcPr>
            <w:tcW w:w="1118" w:type="pct"/>
          </w:tcPr>
          <w:p w14:paraId="54516EB9" w14:textId="77777777" w:rsidR="00504E35" w:rsidRPr="00B718E1" w:rsidRDefault="00504E35" w:rsidP="006F7632">
            <w:pPr>
              <w:pStyle w:val="TableHeading"/>
              <w:keepNext w:val="0"/>
              <w:ind w:left="4"/>
              <w:rPr>
                <w:b w:val="0"/>
                <w:szCs w:val="20"/>
              </w:rPr>
            </w:pPr>
            <w:r w:rsidRPr="00B718E1">
              <w:rPr>
                <w:b w:val="0"/>
                <w:szCs w:val="20"/>
              </w:rPr>
              <w:t xml:space="preserve">NGS small DNA panel ± IHC, FISH or RNA panel able to make better use of tumour tissue available than single-gene testing. </w:t>
            </w:r>
          </w:p>
        </w:tc>
        <w:tc>
          <w:tcPr>
            <w:tcW w:w="1343" w:type="pct"/>
          </w:tcPr>
          <w:p w14:paraId="531184A0" w14:textId="77777777" w:rsidR="00504E35" w:rsidRDefault="00504E35" w:rsidP="006F7632">
            <w:pPr>
              <w:pStyle w:val="TableHeading"/>
              <w:keepNext w:val="0"/>
              <w:ind w:left="4"/>
              <w:rPr>
                <w:rFonts w:ascii="Cambria Math" w:hAnsi="Cambria Math" w:cs="Cambria Math"/>
                <w:b w:val="0"/>
                <w:color w:val="C00000"/>
                <w:szCs w:val="20"/>
              </w:rPr>
            </w:pPr>
            <w:r w:rsidRPr="00B718E1">
              <w:rPr>
                <w:rFonts w:ascii="Cambria Math" w:hAnsi="Cambria Math" w:cs="Cambria Math"/>
                <w:b w:val="0"/>
                <w:color w:val="00B050"/>
                <w:szCs w:val="20"/>
              </w:rPr>
              <w:t>⊕</w:t>
            </w:r>
            <w:r w:rsidRPr="00FE1788">
              <w:rPr>
                <w:rFonts w:ascii="Cambria Math" w:hAnsi="Cambria Math" w:cs="Cambria Math"/>
                <w:b w:val="0"/>
                <w:color w:val="00B050"/>
                <w:szCs w:val="20"/>
              </w:rPr>
              <w:t>⊕</w:t>
            </w:r>
            <w:r w:rsidRPr="001D56DB">
              <w:rPr>
                <w:rFonts w:ascii="Cambria Math" w:hAnsi="Cambria Math" w:cs="Cambria Math"/>
                <w:b w:val="0"/>
                <w:color w:val="C00000"/>
                <w:szCs w:val="20"/>
              </w:rPr>
              <w:t>⊝⊝</w:t>
            </w:r>
          </w:p>
          <w:p w14:paraId="6219E1AA" w14:textId="77777777" w:rsidR="00504E35" w:rsidRPr="001D56DB" w:rsidRDefault="00504E35" w:rsidP="006F7632">
            <w:pPr>
              <w:pStyle w:val="TableHeading"/>
              <w:keepNext w:val="0"/>
              <w:ind w:left="4"/>
              <w:rPr>
                <w:b w:val="0"/>
                <w:szCs w:val="20"/>
              </w:rPr>
            </w:pPr>
            <w:r>
              <w:rPr>
                <w:b w:val="0"/>
                <w:szCs w:val="20"/>
              </w:rPr>
              <w:t>Moderate uncertainty as single observational study in a healthcare setting likely similar to Australia, low to moderate risk of bias, but many more genes were tested for than proposed in Australia (in intervention and comparator).</w:t>
            </w:r>
          </w:p>
        </w:tc>
      </w:tr>
      <w:tr w:rsidR="00504E35" w:rsidRPr="008E7224" w14:paraId="53FE2CBD" w14:textId="77777777" w:rsidTr="006F7632">
        <w:trPr>
          <w:trHeight w:val="70"/>
        </w:trPr>
        <w:tc>
          <w:tcPr>
            <w:tcW w:w="422" w:type="pct"/>
            <w:tcBorders>
              <w:top w:val="nil"/>
              <w:bottom w:val="nil"/>
            </w:tcBorders>
          </w:tcPr>
          <w:p w14:paraId="2954C94E" w14:textId="1856902F" w:rsidR="00504E35" w:rsidRPr="001D56DB" w:rsidRDefault="00400BC7" w:rsidP="006F7632">
            <w:pPr>
              <w:pStyle w:val="TableHeading"/>
              <w:keepNext w:val="0"/>
              <w:ind w:left="4" w:right="-80"/>
              <w:rPr>
                <w:b w:val="0"/>
                <w:szCs w:val="20"/>
              </w:rPr>
            </w:pPr>
            <w:r>
              <w:rPr>
                <w:b w:val="0"/>
                <w:szCs w:val="20"/>
              </w:rPr>
              <w:t>2</w:t>
            </w:r>
            <w:r w:rsidR="00504E35" w:rsidRPr="00FE1788">
              <w:rPr>
                <w:b w:val="0"/>
                <w:szCs w:val="20"/>
              </w:rPr>
              <w:t>.2 Test performance</w:t>
            </w:r>
            <w:r w:rsidR="00504E35">
              <w:rPr>
                <w:b w:val="0"/>
                <w:szCs w:val="20"/>
              </w:rPr>
              <w:t xml:space="preserve"> (continued)</w:t>
            </w:r>
          </w:p>
        </w:tc>
        <w:tc>
          <w:tcPr>
            <w:tcW w:w="484" w:type="pct"/>
          </w:tcPr>
          <w:p w14:paraId="34BB90F9" w14:textId="77777777" w:rsidR="00504E35" w:rsidRPr="001D56DB" w:rsidRDefault="00504E35" w:rsidP="006F7632">
            <w:pPr>
              <w:pStyle w:val="TableHeading"/>
              <w:keepNext w:val="0"/>
              <w:tabs>
                <w:tab w:val="left" w:pos="842"/>
              </w:tabs>
              <w:ind w:left="4"/>
              <w:rPr>
                <w:b w:val="0"/>
                <w:szCs w:val="20"/>
              </w:rPr>
            </w:pPr>
            <w:r w:rsidRPr="001D56DB">
              <w:rPr>
                <w:b w:val="0"/>
                <w:szCs w:val="20"/>
              </w:rPr>
              <w:t>Concordance of NGS against single-gene testing</w:t>
            </w:r>
          </w:p>
        </w:tc>
        <w:tc>
          <w:tcPr>
            <w:tcW w:w="415" w:type="pct"/>
          </w:tcPr>
          <w:p w14:paraId="1AB57FEB" w14:textId="77777777" w:rsidR="00504E35" w:rsidRPr="00B718E1" w:rsidRDefault="00504E35" w:rsidP="006F7632">
            <w:pPr>
              <w:pStyle w:val="TableHeading"/>
              <w:ind w:left="4"/>
              <w:rPr>
                <w:b w:val="0"/>
                <w:szCs w:val="20"/>
              </w:rPr>
            </w:pPr>
            <w:r w:rsidRPr="00B718E1">
              <w:rPr>
                <w:b w:val="0"/>
                <w:szCs w:val="20"/>
              </w:rPr>
              <w:t>n=4081</w:t>
            </w:r>
          </w:p>
          <w:p w14:paraId="3FF91D95" w14:textId="77777777" w:rsidR="00504E35" w:rsidRPr="00B718E1" w:rsidRDefault="00504E35" w:rsidP="006F7632">
            <w:pPr>
              <w:spacing w:after="120"/>
              <w:rPr>
                <w:rFonts w:ascii="Arial Narrow" w:hAnsi="Arial Narrow"/>
                <w:sz w:val="20"/>
                <w:szCs w:val="20"/>
              </w:rPr>
            </w:pPr>
            <w:r w:rsidRPr="00B718E1">
              <w:rPr>
                <w:rFonts w:ascii="Arial Narrow" w:hAnsi="Arial Narrow"/>
                <w:sz w:val="20"/>
                <w:szCs w:val="20"/>
              </w:rPr>
              <w:t>k=30 within-patient cohorts</w:t>
            </w:r>
          </w:p>
        </w:tc>
        <w:tc>
          <w:tcPr>
            <w:tcW w:w="659" w:type="pct"/>
          </w:tcPr>
          <w:p w14:paraId="52F0B458"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-1</w:t>
            </w:r>
            <w:r w:rsidRPr="00DB0881">
              <w:rPr>
                <w:rFonts w:ascii="Arial Narrow" w:hAnsi="Arial Narrow"/>
                <w:sz w:val="20"/>
                <w:szCs w:val="20"/>
              </w:rPr>
              <w:t xml:space="preserve"> </w:t>
            </w:r>
          </w:p>
          <w:p w14:paraId="77437E4A"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0</w:t>
            </w:r>
          </w:p>
          <w:p w14:paraId="7350D36B"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0</w:t>
            </w:r>
          </w:p>
          <w:p w14:paraId="7ECB977E"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0</w:t>
            </w:r>
          </w:p>
          <w:p w14:paraId="637FC511"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lastRenderedPageBreak/>
              <w:t>Publication bias:</w:t>
            </w:r>
            <w:r>
              <w:rPr>
                <w:rFonts w:ascii="Arial Narrow" w:hAnsi="Arial Narrow"/>
                <w:sz w:val="20"/>
                <w:szCs w:val="20"/>
              </w:rPr>
              <w:t xml:space="preserve"> 0 </w:t>
            </w:r>
          </w:p>
          <w:p w14:paraId="37B8069A" w14:textId="77777777" w:rsidR="00504E35" w:rsidRPr="00DB0881" w:rsidRDefault="00504E35" w:rsidP="006F7632">
            <w:pPr>
              <w:spacing w:before="40"/>
              <w:rPr>
                <w:rFonts w:ascii="Arial Narrow" w:hAnsi="Arial Narrow"/>
                <w:sz w:val="20"/>
                <w:szCs w:val="20"/>
              </w:rPr>
            </w:pPr>
            <w:r w:rsidRPr="00B718E1">
              <w:rPr>
                <w:rFonts w:ascii="Arial Narrow" w:hAnsi="Arial Narrow"/>
                <w:sz w:val="20"/>
                <w:szCs w:val="20"/>
              </w:rPr>
              <w:t>Other:</w:t>
            </w:r>
            <w:r>
              <w:rPr>
                <w:rFonts w:ascii="Arial Narrow" w:hAnsi="Arial Narrow"/>
                <w:sz w:val="20"/>
                <w:szCs w:val="20"/>
              </w:rPr>
              <w:t xml:space="preserve"> 0</w:t>
            </w:r>
          </w:p>
        </w:tc>
        <w:tc>
          <w:tcPr>
            <w:tcW w:w="559" w:type="pct"/>
          </w:tcPr>
          <w:p w14:paraId="29E20B3A" w14:textId="77777777" w:rsidR="00504E35" w:rsidRPr="00DB0881" w:rsidRDefault="00504E35" w:rsidP="006F7632">
            <w:pPr>
              <w:pStyle w:val="TableHeading"/>
              <w:ind w:left="4"/>
              <w:rPr>
                <w:b w:val="0"/>
                <w:szCs w:val="20"/>
              </w:rPr>
            </w:pPr>
            <w:r w:rsidRPr="00DB0881">
              <w:rPr>
                <w:b w:val="0"/>
                <w:szCs w:val="20"/>
              </w:rPr>
              <w:lastRenderedPageBreak/>
              <w:t xml:space="preserve">Overall concordance: 95.7% </w:t>
            </w:r>
          </w:p>
          <w:p w14:paraId="5FD57C45" w14:textId="77777777" w:rsidR="00504E35" w:rsidRPr="00DB0881" w:rsidRDefault="00504E35" w:rsidP="006F7632">
            <w:pPr>
              <w:pStyle w:val="TableHeading"/>
              <w:ind w:left="4"/>
              <w:rPr>
                <w:b w:val="0"/>
                <w:szCs w:val="20"/>
              </w:rPr>
            </w:pPr>
            <w:r w:rsidRPr="00DB0881">
              <w:rPr>
                <w:b w:val="0"/>
                <w:szCs w:val="20"/>
              </w:rPr>
              <w:t xml:space="preserve">3.5% additional actionable </w:t>
            </w:r>
            <w:r w:rsidRPr="00DB0881">
              <w:rPr>
                <w:b w:val="0"/>
                <w:szCs w:val="20"/>
              </w:rPr>
              <w:lastRenderedPageBreak/>
              <w:t>variants identified by NGS but not comparator</w:t>
            </w:r>
          </w:p>
          <w:p w14:paraId="1C0D58DB" w14:textId="77777777" w:rsidR="00504E35" w:rsidRPr="001D56DB" w:rsidRDefault="00504E35" w:rsidP="006F7632">
            <w:pPr>
              <w:pStyle w:val="TableHeading"/>
              <w:ind w:left="4"/>
              <w:rPr>
                <w:szCs w:val="20"/>
              </w:rPr>
            </w:pPr>
            <w:r w:rsidRPr="00B718E1">
              <w:rPr>
                <w:b w:val="0"/>
                <w:szCs w:val="20"/>
              </w:rPr>
              <w:t>0.8% actionable variants missed by NGS (identified by comparator)</w:t>
            </w:r>
          </w:p>
        </w:tc>
        <w:tc>
          <w:tcPr>
            <w:tcW w:w="1118" w:type="pct"/>
          </w:tcPr>
          <w:p w14:paraId="471691B7" w14:textId="77777777" w:rsidR="00504E35" w:rsidRPr="00DB0881" w:rsidRDefault="00504E35" w:rsidP="006F7632">
            <w:pPr>
              <w:pStyle w:val="TableHeading"/>
              <w:ind w:left="4"/>
              <w:rPr>
                <w:b w:val="0"/>
                <w:szCs w:val="20"/>
              </w:rPr>
            </w:pPr>
            <w:r w:rsidRPr="00DB0881">
              <w:rPr>
                <w:b w:val="0"/>
                <w:szCs w:val="20"/>
              </w:rPr>
              <w:lastRenderedPageBreak/>
              <w:t xml:space="preserve">NGS highly concordant with single-gene testing, with some additional cases detected due to higher sensitivity (lower threshold of detection), and detecting rare variants. </w:t>
            </w:r>
          </w:p>
        </w:tc>
        <w:tc>
          <w:tcPr>
            <w:tcW w:w="1343" w:type="pct"/>
          </w:tcPr>
          <w:p w14:paraId="47E0F03F"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1B6D87C4" w14:textId="77777777" w:rsidR="00504E35" w:rsidRPr="00DB0881" w:rsidRDefault="00504E35" w:rsidP="006F7632">
            <w:pPr>
              <w:pStyle w:val="TableHeading"/>
              <w:keepNext w:val="0"/>
              <w:ind w:left="4"/>
              <w:rPr>
                <w:b w:val="0"/>
                <w:szCs w:val="20"/>
              </w:rPr>
            </w:pPr>
            <w:r>
              <w:rPr>
                <w:b w:val="0"/>
                <w:szCs w:val="20"/>
              </w:rPr>
              <w:t xml:space="preserve">Low uncertainty due to the volume of studies, and good consistency between studies. </w:t>
            </w:r>
          </w:p>
        </w:tc>
      </w:tr>
      <w:tr w:rsidR="00504E35" w:rsidRPr="008E7224" w14:paraId="10BF3994" w14:textId="77777777" w:rsidTr="006F7632">
        <w:trPr>
          <w:trHeight w:val="70"/>
        </w:trPr>
        <w:tc>
          <w:tcPr>
            <w:tcW w:w="422" w:type="pct"/>
            <w:tcBorders>
              <w:top w:val="nil"/>
            </w:tcBorders>
          </w:tcPr>
          <w:p w14:paraId="590733E3" w14:textId="77777777" w:rsidR="00504E35" w:rsidRPr="001F01E9" w:rsidRDefault="00504E35" w:rsidP="006F7632">
            <w:pPr>
              <w:pStyle w:val="TableHeading"/>
              <w:keepNext w:val="0"/>
              <w:ind w:left="4" w:right="-80"/>
              <w:rPr>
                <w:b w:val="0"/>
                <w:szCs w:val="20"/>
              </w:rPr>
            </w:pPr>
          </w:p>
        </w:tc>
        <w:tc>
          <w:tcPr>
            <w:tcW w:w="484" w:type="pct"/>
          </w:tcPr>
          <w:p w14:paraId="045E7485" w14:textId="77777777" w:rsidR="00504E35" w:rsidRPr="001F01E9" w:rsidRDefault="00504E35" w:rsidP="006F7632">
            <w:pPr>
              <w:pStyle w:val="TableHeading"/>
              <w:keepNext w:val="0"/>
              <w:tabs>
                <w:tab w:val="left" w:pos="842"/>
              </w:tabs>
              <w:ind w:left="4"/>
              <w:rPr>
                <w:b w:val="0"/>
                <w:szCs w:val="20"/>
              </w:rPr>
            </w:pPr>
            <w:r w:rsidRPr="001F01E9">
              <w:rPr>
                <w:b w:val="0"/>
                <w:szCs w:val="20"/>
              </w:rPr>
              <w:t>Turnaround time of test results</w:t>
            </w:r>
          </w:p>
        </w:tc>
        <w:tc>
          <w:tcPr>
            <w:tcW w:w="415" w:type="pct"/>
          </w:tcPr>
          <w:p w14:paraId="36A8B8C1" w14:textId="77777777" w:rsidR="00504E35" w:rsidRPr="009B6E10" w:rsidRDefault="00504E35" w:rsidP="006F7632">
            <w:pPr>
              <w:pStyle w:val="TableHeading"/>
              <w:ind w:left="4"/>
              <w:rPr>
                <w:b w:val="0"/>
                <w:szCs w:val="20"/>
              </w:rPr>
            </w:pPr>
            <w:r w:rsidRPr="009B6E10">
              <w:rPr>
                <w:b w:val="0"/>
                <w:szCs w:val="20"/>
              </w:rPr>
              <w:t>n=5462</w:t>
            </w:r>
          </w:p>
          <w:p w14:paraId="01C4A4ED" w14:textId="77777777" w:rsidR="00504E35" w:rsidRPr="001D56DB" w:rsidRDefault="00504E35" w:rsidP="006F7632">
            <w:pPr>
              <w:pStyle w:val="TableHeading"/>
              <w:keepNext w:val="0"/>
              <w:ind w:left="4"/>
              <w:rPr>
                <w:b w:val="0"/>
                <w:szCs w:val="20"/>
              </w:rPr>
            </w:pPr>
            <w:r w:rsidRPr="009B6E10">
              <w:rPr>
                <w:b w:val="0"/>
                <w:szCs w:val="20"/>
              </w:rPr>
              <w:t>k=3 between or within-patient cohort studies</w:t>
            </w:r>
          </w:p>
        </w:tc>
        <w:tc>
          <w:tcPr>
            <w:tcW w:w="659" w:type="pct"/>
          </w:tcPr>
          <w:p w14:paraId="6FF7BF48"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-1</w:t>
            </w:r>
          </w:p>
          <w:p w14:paraId="0E722D4A"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-1</w:t>
            </w:r>
          </w:p>
          <w:p w14:paraId="4D402B4D"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-1</w:t>
            </w:r>
          </w:p>
          <w:p w14:paraId="31CA0463"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0</w:t>
            </w:r>
          </w:p>
          <w:p w14:paraId="2E171485"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 </w:t>
            </w:r>
          </w:p>
          <w:p w14:paraId="467B01E4" w14:textId="77777777" w:rsidR="00504E35" w:rsidRPr="00B718E1" w:rsidRDefault="00504E35" w:rsidP="006F7632">
            <w:pPr>
              <w:spacing w:before="40"/>
              <w:ind w:left="4"/>
              <w:rPr>
                <w:rFonts w:ascii="Arial Narrow" w:hAnsi="Arial Narrow"/>
                <w:sz w:val="20"/>
                <w:szCs w:val="20"/>
              </w:rPr>
            </w:pPr>
            <w:r w:rsidRPr="00FE1788">
              <w:rPr>
                <w:rFonts w:ascii="Arial Narrow" w:hAnsi="Arial Narrow"/>
                <w:sz w:val="20"/>
                <w:szCs w:val="20"/>
              </w:rPr>
              <w:t>Other:</w:t>
            </w:r>
            <w:r>
              <w:rPr>
                <w:rFonts w:ascii="Arial Narrow" w:hAnsi="Arial Narrow"/>
                <w:sz w:val="20"/>
                <w:szCs w:val="20"/>
              </w:rPr>
              <w:t xml:space="preserve"> 0</w:t>
            </w:r>
          </w:p>
        </w:tc>
        <w:tc>
          <w:tcPr>
            <w:tcW w:w="559" w:type="pct"/>
          </w:tcPr>
          <w:p w14:paraId="78045DEB" w14:textId="77777777" w:rsidR="00504E35" w:rsidRPr="00B718E1" w:rsidRDefault="00504E35" w:rsidP="006F7632">
            <w:pPr>
              <w:pStyle w:val="TableHeading"/>
              <w:ind w:left="4"/>
              <w:rPr>
                <w:b w:val="0"/>
                <w:szCs w:val="20"/>
              </w:rPr>
            </w:pPr>
            <w:r w:rsidRPr="00B718E1">
              <w:rPr>
                <w:b w:val="0"/>
                <w:szCs w:val="20"/>
              </w:rPr>
              <w:t>NGS: mean or medians of 10 to 12 days</w:t>
            </w:r>
          </w:p>
          <w:p w14:paraId="5A93F542" w14:textId="77777777" w:rsidR="00504E35" w:rsidRPr="00B718E1" w:rsidRDefault="00504E35" w:rsidP="006F7632">
            <w:pPr>
              <w:pStyle w:val="TableHeading"/>
              <w:ind w:left="4"/>
              <w:rPr>
                <w:b w:val="0"/>
                <w:szCs w:val="20"/>
              </w:rPr>
            </w:pPr>
            <w:r w:rsidRPr="00B718E1">
              <w:rPr>
                <w:b w:val="0"/>
                <w:szCs w:val="20"/>
              </w:rPr>
              <w:t>Single gene testing strategies: mean or medians of 10 to 13 days</w:t>
            </w:r>
          </w:p>
          <w:p w14:paraId="7934CC99" w14:textId="77777777" w:rsidR="00504E35" w:rsidRPr="001D56DB" w:rsidRDefault="00504E35" w:rsidP="006F7632">
            <w:pPr>
              <w:pStyle w:val="TableHeading"/>
              <w:ind w:left="4"/>
              <w:rPr>
                <w:szCs w:val="20"/>
              </w:rPr>
            </w:pPr>
            <w:r w:rsidRPr="00B718E1">
              <w:rPr>
                <w:b w:val="0"/>
                <w:szCs w:val="20"/>
              </w:rPr>
              <w:t>Differences: 0 to 3 days</w:t>
            </w:r>
          </w:p>
        </w:tc>
        <w:tc>
          <w:tcPr>
            <w:tcW w:w="1118" w:type="pct"/>
          </w:tcPr>
          <w:p w14:paraId="799A11CC" w14:textId="77777777" w:rsidR="00504E35" w:rsidRPr="00DB0881" w:rsidRDefault="00504E35" w:rsidP="006F7632">
            <w:pPr>
              <w:pStyle w:val="TableHeading"/>
              <w:ind w:left="4"/>
              <w:rPr>
                <w:b w:val="0"/>
                <w:szCs w:val="20"/>
              </w:rPr>
            </w:pPr>
            <w:r w:rsidRPr="00DB0881">
              <w:rPr>
                <w:b w:val="0"/>
                <w:szCs w:val="20"/>
              </w:rPr>
              <w:t xml:space="preserve">The greatest difference in turnaround time was between a combined DNA and RNA panel and single gene testing, which reported that results were available 3 days sooner with NGS. </w:t>
            </w:r>
          </w:p>
          <w:p w14:paraId="26A9C801" w14:textId="77777777" w:rsidR="00504E35" w:rsidRPr="00DB0881" w:rsidRDefault="00504E35" w:rsidP="006F7632">
            <w:pPr>
              <w:pStyle w:val="TableHeading"/>
              <w:keepNext w:val="0"/>
              <w:ind w:left="4"/>
              <w:rPr>
                <w:b w:val="0"/>
                <w:szCs w:val="20"/>
              </w:rPr>
            </w:pPr>
            <w:r w:rsidRPr="00DB0881">
              <w:rPr>
                <w:b w:val="0"/>
                <w:szCs w:val="20"/>
              </w:rPr>
              <w:t xml:space="preserve">Separate DNA then RNA panels would be expected to take longer than a combined panel. </w:t>
            </w:r>
          </w:p>
        </w:tc>
        <w:tc>
          <w:tcPr>
            <w:tcW w:w="1343" w:type="pct"/>
          </w:tcPr>
          <w:p w14:paraId="5A6AA2CE"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47F4ADE0" w14:textId="77777777" w:rsidR="00504E35" w:rsidRPr="00DB0881" w:rsidRDefault="00504E35" w:rsidP="006F7632">
            <w:pPr>
              <w:pStyle w:val="TableHeading"/>
              <w:keepNext w:val="0"/>
              <w:ind w:left="4"/>
              <w:rPr>
                <w:b w:val="0"/>
                <w:szCs w:val="20"/>
              </w:rPr>
            </w:pPr>
            <w:r>
              <w:rPr>
                <w:b w:val="0"/>
                <w:szCs w:val="20"/>
              </w:rPr>
              <w:t xml:space="preserve">High level of uncertainty, as none of the studies used the two-step DNA then RNA testing expected to be most common in Australia in the near future. There was heterogeneity between studies in whether NGS was time saving or not. </w:t>
            </w:r>
          </w:p>
        </w:tc>
      </w:tr>
      <w:tr w:rsidR="00504E35" w:rsidRPr="008E7224" w14:paraId="4538A213" w14:textId="77777777" w:rsidTr="006F7632">
        <w:trPr>
          <w:trHeight w:val="70"/>
        </w:trPr>
        <w:tc>
          <w:tcPr>
            <w:tcW w:w="422" w:type="pct"/>
            <w:tcBorders>
              <w:bottom w:val="nil"/>
            </w:tcBorders>
          </w:tcPr>
          <w:p w14:paraId="13109605" w14:textId="5738B853" w:rsidR="00504E35" w:rsidRPr="001D56DB" w:rsidRDefault="00400BC7" w:rsidP="006F7632">
            <w:pPr>
              <w:pStyle w:val="TableHeading"/>
              <w:keepNext w:val="0"/>
              <w:ind w:left="4" w:right="-80"/>
              <w:rPr>
                <w:b w:val="0"/>
                <w:szCs w:val="20"/>
              </w:rPr>
            </w:pPr>
            <w:r>
              <w:rPr>
                <w:b w:val="0"/>
                <w:szCs w:val="20"/>
              </w:rPr>
              <w:t>2</w:t>
            </w:r>
            <w:r w:rsidR="00504E35" w:rsidRPr="001D56DB">
              <w:rPr>
                <w:b w:val="0"/>
                <w:szCs w:val="20"/>
              </w:rPr>
              <w:t xml:space="preserve">.3 Change in management </w:t>
            </w:r>
          </w:p>
        </w:tc>
        <w:tc>
          <w:tcPr>
            <w:tcW w:w="484" w:type="pct"/>
          </w:tcPr>
          <w:p w14:paraId="7E57FA94" w14:textId="77777777" w:rsidR="00504E35" w:rsidRPr="001D56DB" w:rsidRDefault="00504E35" w:rsidP="006F7632">
            <w:pPr>
              <w:pStyle w:val="TableHeading"/>
              <w:keepNext w:val="0"/>
              <w:tabs>
                <w:tab w:val="left" w:pos="842"/>
              </w:tabs>
              <w:ind w:left="4"/>
              <w:rPr>
                <w:b w:val="0"/>
                <w:szCs w:val="20"/>
              </w:rPr>
            </w:pPr>
            <w:r w:rsidRPr="001D56DB">
              <w:rPr>
                <w:b w:val="0"/>
                <w:szCs w:val="20"/>
              </w:rPr>
              <w:t>Change in rate of rebiopsy</w:t>
            </w:r>
          </w:p>
        </w:tc>
        <w:tc>
          <w:tcPr>
            <w:tcW w:w="415" w:type="pct"/>
          </w:tcPr>
          <w:p w14:paraId="10350BE3" w14:textId="77777777" w:rsidR="00504E35" w:rsidRPr="00B718E1" w:rsidRDefault="00504E35" w:rsidP="006F7632">
            <w:pPr>
              <w:pStyle w:val="TableHeading"/>
              <w:tabs>
                <w:tab w:val="left" w:pos="842"/>
              </w:tabs>
              <w:ind w:left="4"/>
              <w:rPr>
                <w:b w:val="0"/>
                <w:szCs w:val="20"/>
              </w:rPr>
            </w:pPr>
            <w:r w:rsidRPr="00B718E1">
              <w:rPr>
                <w:b w:val="0"/>
                <w:szCs w:val="20"/>
              </w:rPr>
              <w:t>n=225</w:t>
            </w:r>
          </w:p>
          <w:p w14:paraId="5E15AA5A" w14:textId="77777777" w:rsidR="00504E35" w:rsidRPr="00B718E1" w:rsidRDefault="00504E35" w:rsidP="006F7632">
            <w:pPr>
              <w:pStyle w:val="TableHeading"/>
              <w:keepNext w:val="0"/>
              <w:ind w:left="4"/>
              <w:rPr>
                <w:b w:val="0"/>
                <w:szCs w:val="20"/>
              </w:rPr>
            </w:pPr>
            <w:r w:rsidRPr="00B718E1">
              <w:rPr>
                <w:szCs w:val="20"/>
              </w:rPr>
              <w:t>k=2 case series</w:t>
            </w:r>
          </w:p>
        </w:tc>
        <w:tc>
          <w:tcPr>
            <w:tcW w:w="659" w:type="pct"/>
          </w:tcPr>
          <w:p w14:paraId="003522F4"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-1</w:t>
            </w:r>
          </w:p>
          <w:p w14:paraId="118A9F78"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-1</w:t>
            </w:r>
          </w:p>
          <w:p w14:paraId="0E14743F"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-1</w:t>
            </w:r>
          </w:p>
          <w:p w14:paraId="41BC58D4"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-1</w:t>
            </w:r>
          </w:p>
          <w:p w14:paraId="71A89509"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w:t>
            </w:r>
          </w:p>
          <w:p w14:paraId="6B6A6C62" w14:textId="77777777" w:rsidR="00504E35" w:rsidRPr="00B718E1" w:rsidRDefault="00504E35" w:rsidP="006F7632">
            <w:pPr>
              <w:spacing w:before="40"/>
              <w:ind w:left="4"/>
              <w:rPr>
                <w:rFonts w:ascii="Arial Narrow" w:hAnsi="Arial Narrow"/>
                <w:sz w:val="20"/>
                <w:szCs w:val="20"/>
              </w:rPr>
            </w:pPr>
            <w:r w:rsidRPr="00FE1788">
              <w:rPr>
                <w:rFonts w:ascii="Arial Narrow" w:hAnsi="Arial Narrow"/>
                <w:sz w:val="20"/>
                <w:szCs w:val="20"/>
              </w:rPr>
              <w:t>Other:</w:t>
            </w:r>
            <w:r>
              <w:rPr>
                <w:rFonts w:ascii="Arial Narrow" w:hAnsi="Arial Narrow"/>
                <w:sz w:val="20"/>
                <w:szCs w:val="20"/>
              </w:rPr>
              <w:t xml:space="preserve"> 0</w:t>
            </w:r>
          </w:p>
        </w:tc>
        <w:tc>
          <w:tcPr>
            <w:tcW w:w="559" w:type="pct"/>
          </w:tcPr>
          <w:p w14:paraId="6CCCDE04" w14:textId="77777777" w:rsidR="00504E35" w:rsidRPr="00B718E1" w:rsidRDefault="00504E35" w:rsidP="006F7632">
            <w:pPr>
              <w:tabs>
                <w:tab w:val="left" w:pos="2850"/>
              </w:tabs>
              <w:spacing w:after="40"/>
              <w:rPr>
                <w:rFonts w:ascii="Arial Narrow" w:hAnsi="Arial Narrow"/>
                <w:sz w:val="20"/>
                <w:szCs w:val="20"/>
              </w:rPr>
            </w:pPr>
            <w:r w:rsidRPr="00B718E1">
              <w:rPr>
                <w:rFonts w:ascii="Arial Narrow" w:hAnsi="Arial Narrow"/>
                <w:sz w:val="20"/>
                <w:szCs w:val="20"/>
              </w:rPr>
              <w:t>Rebiopsies performed in 13.3% and 43.4% of cases with insufficient tissue</w:t>
            </w:r>
          </w:p>
        </w:tc>
        <w:tc>
          <w:tcPr>
            <w:tcW w:w="1118" w:type="pct"/>
          </w:tcPr>
          <w:p w14:paraId="0A6E2762" w14:textId="77777777" w:rsidR="00504E35" w:rsidRPr="00DB0881" w:rsidRDefault="00504E35" w:rsidP="006F7632">
            <w:pPr>
              <w:pStyle w:val="TableHeading"/>
              <w:keepNext w:val="0"/>
              <w:ind w:left="4"/>
              <w:rPr>
                <w:b w:val="0"/>
                <w:szCs w:val="20"/>
              </w:rPr>
            </w:pPr>
            <w:r w:rsidRPr="00DB0881">
              <w:rPr>
                <w:b w:val="0"/>
                <w:szCs w:val="20"/>
              </w:rPr>
              <w:t>Rates of rebiopsy were low, but this may be due to the use of liquid biopsy (ctDNA being used), and may not be applicable to Australia.</w:t>
            </w:r>
          </w:p>
        </w:tc>
        <w:tc>
          <w:tcPr>
            <w:tcW w:w="1343" w:type="pct"/>
          </w:tcPr>
          <w:p w14:paraId="3EE98BAE"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20A06B14" w14:textId="77777777" w:rsidR="00504E35" w:rsidRPr="00DB0881" w:rsidRDefault="00504E35" w:rsidP="006F7632">
            <w:pPr>
              <w:pStyle w:val="TableHeading"/>
              <w:keepNext w:val="0"/>
              <w:ind w:left="4"/>
              <w:rPr>
                <w:b w:val="0"/>
                <w:szCs w:val="20"/>
              </w:rPr>
            </w:pPr>
            <w:r>
              <w:rPr>
                <w:b w:val="0"/>
                <w:szCs w:val="20"/>
              </w:rPr>
              <w:t xml:space="preserve">High level of uncertainty as unclear how applicable the data are to Australia. There was no comparative data on rebiopsy rates in NGS strategy vs sequential single-gene testing strategies. </w:t>
            </w:r>
          </w:p>
        </w:tc>
      </w:tr>
      <w:tr w:rsidR="00504E35" w:rsidRPr="008E7224" w14:paraId="48C82CF0" w14:textId="77777777" w:rsidTr="006F7632">
        <w:trPr>
          <w:trHeight w:val="70"/>
        </w:trPr>
        <w:tc>
          <w:tcPr>
            <w:tcW w:w="422" w:type="pct"/>
            <w:tcBorders>
              <w:top w:val="nil"/>
              <w:bottom w:val="nil"/>
            </w:tcBorders>
          </w:tcPr>
          <w:p w14:paraId="28AE9B81" w14:textId="77777777" w:rsidR="00504E35" w:rsidRPr="001D56DB" w:rsidRDefault="00504E35" w:rsidP="006F7632">
            <w:pPr>
              <w:pStyle w:val="TableHeading"/>
              <w:keepNext w:val="0"/>
              <w:ind w:left="4" w:right="-80"/>
              <w:rPr>
                <w:b w:val="0"/>
                <w:szCs w:val="20"/>
              </w:rPr>
            </w:pPr>
          </w:p>
        </w:tc>
        <w:tc>
          <w:tcPr>
            <w:tcW w:w="484" w:type="pct"/>
          </w:tcPr>
          <w:p w14:paraId="4D906D38" w14:textId="77777777" w:rsidR="00504E35" w:rsidRPr="001D56DB" w:rsidRDefault="00504E35" w:rsidP="006F7632">
            <w:pPr>
              <w:pStyle w:val="TableHeading"/>
              <w:keepNext w:val="0"/>
              <w:tabs>
                <w:tab w:val="left" w:pos="842"/>
              </w:tabs>
              <w:ind w:left="4"/>
              <w:rPr>
                <w:b w:val="0"/>
                <w:szCs w:val="20"/>
              </w:rPr>
            </w:pPr>
            <w:r w:rsidRPr="001D56DB">
              <w:rPr>
                <w:b w:val="0"/>
                <w:szCs w:val="20"/>
              </w:rPr>
              <w:t>Change in treatment received</w:t>
            </w:r>
          </w:p>
        </w:tc>
        <w:tc>
          <w:tcPr>
            <w:tcW w:w="415" w:type="pct"/>
          </w:tcPr>
          <w:p w14:paraId="38BAD084" w14:textId="77777777" w:rsidR="00504E35" w:rsidRPr="001D56DB" w:rsidRDefault="00504E35" w:rsidP="006F7632">
            <w:pPr>
              <w:pStyle w:val="TableHeading"/>
              <w:tabs>
                <w:tab w:val="left" w:pos="842"/>
              </w:tabs>
              <w:ind w:left="4"/>
              <w:rPr>
                <w:b w:val="0"/>
                <w:szCs w:val="20"/>
              </w:rPr>
            </w:pPr>
            <w:r w:rsidRPr="001D56DB">
              <w:rPr>
                <w:b w:val="0"/>
                <w:szCs w:val="20"/>
              </w:rPr>
              <w:t>n=99</w:t>
            </w:r>
          </w:p>
          <w:p w14:paraId="71DE2341" w14:textId="77777777" w:rsidR="00504E35" w:rsidRPr="00B718E1" w:rsidRDefault="00504E35" w:rsidP="006F7632">
            <w:pPr>
              <w:pStyle w:val="TableHeading"/>
              <w:tabs>
                <w:tab w:val="left" w:pos="842"/>
              </w:tabs>
              <w:ind w:left="4"/>
              <w:rPr>
                <w:b w:val="0"/>
                <w:szCs w:val="20"/>
              </w:rPr>
            </w:pPr>
            <w:r w:rsidRPr="00B718E1">
              <w:rPr>
                <w:b w:val="0"/>
                <w:szCs w:val="20"/>
              </w:rPr>
              <w:t>k=6 before and after case series</w:t>
            </w:r>
          </w:p>
        </w:tc>
        <w:tc>
          <w:tcPr>
            <w:tcW w:w="659" w:type="pct"/>
          </w:tcPr>
          <w:p w14:paraId="71FB6381"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-1</w:t>
            </w:r>
            <w:r w:rsidRPr="00DB0881">
              <w:rPr>
                <w:rFonts w:ascii="Arial Narrow" w:hAnsi="Arial Narrow"/>
                <w:sz w:val="20"/>
                <w:szCs w:val="20"/>
              </w:rPr>
              <w:t xml:space="preserve"> </w:t>
            </w:r>
          </w:p>
          <w:p w14:paraId="54254579"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-1</w:t>
            </w:r>
          </w:p>
          <w:p w14:paraId="34E7054E"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0</w:t>
            </w:r>
          </w:p>
          <w:p w14:paraId="1DC34CB7"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-1</w:t>
            </w:r>
          </w:p>
          <w:p w14:paraId="6862D7FA"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 </w:t>
            </w:r>
          </w:p>
          <w:p w14:paraId="3304874F" w14:textId="77777777" w:rsidR="00504E35" w:rsidRPr="001F01E9" w:rsidRDefault="00504E35" w:rsidP="006F7632">
            <w:pPr>
              <w:spacing w:before="40"/>
              <w:ind w:left="4"/>
              <w:rPr>
                <w:rFonts w:ascii="Arial Narrow" w:hAnsi="Arial Narrow"/>
                <w:sz w:val="20"/>
                <w:szCs w:val="20"/>
              </w:rPr>
            </w:pPr>
            <w:r w:rsidRPr="00FE1788">
              <w:rPr>
                <w:rFonts w:ascii="Arial Narrow" w:hAnsi="Arial Narrow"/>
                <w:sz w:val="20"/>
                <w:szCs w:val="20"/>
              </w:rPr>
              <w:t>Other:</w:t>
            </w:r>
            <w:r>
              <w:rPr>
                <w:rFonts w:ascii="Arial Narrow" w:hAnsi="Arial Narrow"/>
                <w:sz w:val="20"/>
                <w:szCs w:val="20"/>
              </w:rPr>
              <w:t xml:space="preserve"> 0</w:t>
            </w:r>
          </w:p>
        </w:tc>
        <w:tc>
          <w:tcPr>
            <w:tcW w:w="559" w:type="pct"/>
          </w:tcPr>
          <w:p w14:paraId="4FC7B458" w14:textId="77777777" w:rsidR="00504E35" w:rsidRPr="00B718E1" w:rsidRDefault="00504E35" w:rsidP="006F7632">
            <w:pPr>
              <w:tabs>
                <w:tab w:val="left" w:pos="2850"/>
              </w:tabs>
              <w:spacing w:after="40"/>
              <w:rPr>
                <w:rFonts w:ascii="Arial Narrow" w:hAnsi="Arial Narrow"/>
                <w:sz w:val="20"/>
                <w:szCs w:val="20"/>
              </w:rPr>
            </w:pPr>
            <w:r w:rsidRPr="00B718E1">
              <w:rPr>
                <w:rFonts w:ascii="Arial Narrow" w:hAnsi="Arial Narrow"/>
                <w:sz w:val="20"/>
                <w:szCs w:val="20"/>
              </w:rPr>
              <w:t>In those with biomarkers detected by NGS, missed by single-gene testing, the use of targeted treatment varied (median 50%, range 17.6% to 100%)</w:t>
            </w:r>
          </w:p>
        </w:tc>
        <w:tc>
          <w:tcPr>
            <w:tcW w:w="1118" w:type="pct"/>
          </w:tcPr>
          <w:p w14:paraId="3B5E7B38" w14:textId="77777777" w:rsidR="00504E35" w:rsidRPr="00DB0881" w:rsidRDefault="00504E35" w:rsidP="006F7632">
            <w:pPr>
              <w:pStyle w:val="TableHeading"/>
              <w:keepNext w:val="0"/>
              <w:ind w:left="4"/>
              <w:rPr>
                <w:b w:val="0"/>
                <w:szCs w:val="20"/>
              </w:rPr>
            </w:pPr>
            <w:r w:rsidRPr="00DB0881">
              <w:rPr>
                <w:b w:val="0"/>
                <w:szCs w:val="20"/>
              </w:rPr>
              <w:t xml:space="preserve">Identification of biomarkers was only one factor in treatment decisions. Among those advanced enough to require TKIs rather than just surgery, and well enough to receive TKIs, the use of targeted treatments was high. </w:t>
            </w:r>
          </w:p>
        </w:tc>
        <w:tc>
          <w:tcPr>
            <w:tcW w:w="1343" w:type="pct"/>
          </w:tcPr>
          <w:p w14:paraId="32A9F8B9"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3DB7A1D5" w14:textId="77777777" w:rsidR="00504E35" w:rsidRPr="00DB0881" w:rsidRDefault="00504E35" w:rsidP="006F7632">
            <w:pPr>
              <w:pStyle w:val="TableHeading"/>
              <w:keepNext w:val="0"/>
              <w:ind w:left="4"/>
              <w:rPr>
                <w:b w:val="0"/>
                <w:szCs w:val="20"/>
              </w:rPr>
            </w:pPr>
            <w:r>
              <w:rPr>
                <w:b w:val="0"/>
                <w:szCs w:val="20"/>
              </w:rPr>
              <w:t xml:space="preserve">High level of uncertainty due to the small number of cases, and the high level of heterogeneity between studies. </w:t>
            </w:r>
          </w:p>
        </w:tc>
      </w:tr>
      <w:tr w:rsidR="00504E35" w:rsidRPr="008E7224" w14:paraId="53825AC6" w14:textId="77777777" w:rsidTr="006F7632">
        <w:trPr>
          <w:trHeight w:val="70"/>
        </w:trPr>
        <w:tc>
          <w:tcPr>
            <w:tcW w:w="422" w:type="pct"/>
            <w:tcBorders>
              <w:top w:val="nil"/>
            </w:tcBorders>
          </w:tcPr>
          <w:p w14:paraId="4270D4BF" w14:textId="77777777" w:rsidR="00504E35" w:rsidRPr="001D56DB" w:rsidRDefault="00504E35" w:rsidP="006F7632">
            <w:pPr>
              <w:pStyle w:val="TableHeading"/>
              <w:keepNext w:val="0"/>
              <w:ind w:left="4" w:right="-80"/>
              <w:rPr>
                <w:b w:val="0"/>
                <w:szCs w:val="20"/>
              </w:rPr>
            </w:pPr>
          </w:p>
        </w:tc>
        <w:tc>
          <w:tcPr>
            <w:tcW w:w="484" w:type="pct"/>
          </w:tcPr>
          <w:p w14:paraId="7D9E69E4" w14:textId="77777777" w:rsidR="00504E35" w:rsidRPr="001D56DB" w:rsidRDefault="00504E35" w:rsidP="006F7632">
            <w:pPr>
              <w:pStyle w:val="TableHeading"/>
              <w:keepNext w:val="0"/>
              <w:tabs>
                <w:tab w:val="left" w:pos="842"/>
              </w:tabs>
              <w:ind w:left="4"/>
              <w:rPr>
                <w:b w:val="0"/>
                <w:szCs w:val="20"/>
              </w:rPr>
            </w:pPr>
            <w:r w:rsidRPr="001D56DB">
              <w:rPr>
                <w:b w:val="0"/>
                <w:szCs w:val="20"/>
              </w:rPr>
              <w:t>Change in timing of treatment</w:t>
            </w:r>
          </w:p>
        </w:tc>
        <w:tc>
          <w:tcPr>
            <w:tcW w:w="415" w:type="pct"/>
          </w:tcPr>
          <w:p w14:paraId="41514D1C" w14:textId="77777777" w:rsidR="00504E35" w:rsidRPr="001D56DB" w:rsidRDefault="00504E35" w:rsidP="006F7632">
            <w:pPr>
              <w:pStyle w:val="TableHeading"/>
              <w:tabs>
                <w:tab w:val="left" w:pos="842"/>
              </w:tabs>
              <w:ind w:left="4"/>
              <w:rPr>
                <w:b w:val="0"/>
                <w:szCs w:val="20"/>
              </w:rPr>
            </w:pPr>
            <w:r w:rsidRPr="001D56DB">
              <w:rPr>
                <w:b w:val="0"/>
                <w:szCs w:val="20"/>
              </w:rPr>
              <w:t>n=3474</w:t>
            </w:r>
          </w:p>
          <w:p w14:paraId="6707F99F" w14:textId="77777777" w:rsidR="00504E35" w:rsidRPr="00B718E1" w:rsidRDefault="00504E35" w:rsidP="006F7632">
            <w:pPr>
              <w:pStyle w:val="TableHeading"/>
              <w:tabs>
                <w:tab w:val="left" w:pos="842"/>
              </w:tabs>
              <w:ind w:left="4"/>
              <w:rPr>
                <w:b w:val="0"/>
                <w:szCs w:val="20"/>
              </w:rPr>
            </w:pPr>
            <w:r w:rsidRPr="00B718E1">
              <w:rPr>
                <w:b w:val="0"/>
                <w:szCs w:val="20"/>
              </w:rPr>
              <w:t>k=1 retrospective cohort study</w:t>
            </w:r>
          </w:p>
        </w:tc>
        <w:tc>
          <w:tcPr>
            <w:tcW w:w="659" w:type="pct"/>
          </w:tcPr>
          <w:p w14:paraId="3800296C"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0</w:t>
            </w:r>
          </w:p>
          <w:p w14:paraId="7941D3D8"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NA</w:t>
            </w:r>
          </w:p>
          <w:p w14:paraId="6D690DD6"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-2</w:t>
            </w:r>
          </w:p>
          <w:p w14:paraId="7244BB0F"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0</w:t>
            </w:r>
          </w:p>
          <w:p w14:paraId="51C91314"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 </w:t>
            </w:r>
          </w:p>
          <w:p w14:paraId="29EDBE02" w14:textId="77777777" w:rsidR="00504E35" w:rsidRPr="001F01E9" w:rsidRDefault="00504E35" w:rsidP="006F7632">
            <w:pPr>
              <w:spacing w:before="40"/>
              <w:ind w:left="4"/>
              <w:rPr>
                <w:rFonts w:ascii="Arial Narrow" w:hAnsi="Arial Narrow"/>
                <w:sz w:val="20"/>
                <w:szCs w:val="20"/>
              </w:rPr>
            </w:pPr>
            <w:r w:rsidRPr="00FE1788">
              <w:rPr>
                <w:rFonts w:ascii="Arial Narrow" w:hAnsi="Arial Narrow"/>
                <w:sz w:val="20"/>
                <w:szCs w:val="20"/>
              </w:rPr>
              <w:t>Other:</w:t>
            </w:r>
            <w:r>
              <w:rPr>
                <w:rFonts w:ascii="Arial Narrow" w:hAnsi="Arial Narrow"/>
                <w:sz w:val="20"/>
                <w:szCs w:val="20"/>
              </w:rPr>
              <w:t xml:space="preserve"> 0</w:t>
            </w:r>
          </w:p>
        </w:tc>
        <w:tc>
          <w:tcPr>
            <w:tcW w:w="559" w:type="pct"/>
          </w:tcPr>
          <w:p w14:paraId="209F211B" w14:textId="77777777" w:rsidR="00504E35" w:rsidRPr="001F01E9" w:rsidRDefault="00504E35" w:rsidP="006F7632">
            <w:pPr>
              <w:pStyle w:val="TableHeading"/>
              <w:ind w:left="4"/>
              <w:rPr>
                <w:b w:val="0"/>
                <w:szCs w:val="20"/>
              </w:rPr>
            </w:pPr>
            <w:r w:rsidRPr="001F01E9">
              <w:rPr>
                <w:b w:val="0"/>
                <w:szCs w:val="20"/>
              </w:rPr>
              <w:t>Time between diagnosis and 1L treatment:</w:t>
            </w:r>
          </w:p>
          <w:p w14:paraId="13C5BC23" w14:textId="77777777" w:rsidR="00504E35" w:rsidRPr="009B6E10" w:rsidRDefault="00504E35" w:rsidP="006F7632">
            <w:pPr>
              <w:pStyle w:val="TableHeading"/>
              <w:ind w:left="4"/>
              <w:rPr>
                <w:b w:val="0"/>
                <w:szCs w:val="20"/>
              </w:rPr>
            </w:pPr>
            <w:r w:rsidRPr="009B6E10">
              <w:rPr>
                <w:b w:val="0"/>
                <w:szCs w:val="20"/>
              </w:rPr>
              <w:t>NGS: 38 days</w:t>
            </w:r>
          </w:p>
          <w:p w14:paraId="23CF4E74" w14:textId="77777777" w:rsidR="00504E35" w:rsidRPr="00B718E1" w:rsidRDefault="00504E35" w:rsidP="006F7632">
            <w:pPr>
              <w:tabs>
                <w:tab w:val="left" w:pos="2850"/>
              </w:tabs>
              <w:spacing w:after="40"/>
              <w:rPr>
                <w:rFonts w:ascii="Arial Narrow" w:hAnsi="Arial Narrow"/>
                <w:sz w:val="20"/>
                <w:szCs w:val="20"/>
              </w:rPr>
            </w:pPr>
            <w:r w:rsidRPr="00B718E1">
              <w:rPr>
                <w:rFonts w:ascii="Arial Narrow" w:hAnsi="Arial Narrow"/>
                <w:sz w:val="20"/>
                <w:szCs w:val="20"/>
              </w:rPr>
              <w:t>Single gene testing: 36-38 days</w:t>
            </w:r>
          </w:p>
        </w:tc>
        <w:tc>
          <w:tcPr>
            <w:tcW w:w="1118" w:type="pct"/>
          </w:tcPr>
          <w:p w14:paraId="63017368" w14:textId="77777777" w:rsidR="00504E35" w:rsidRPr="00DB0881" w:rsidRDefault="00504E35" w:rsidP="006F7632">
            <w:pPr>
              <w:pStyle w:val="TableHeading"/>
              <w:keepNext w:val="0"/>
              <w:ind w:left="4"/>
              <w:rPr>
                <w:b w:val="0"/>
                <w:szCs w:val="20"/>
              </w:rPr>
            </w:pPr>
            <w:r w:rsidRPr="00DB0881">
              <w:rPr>
                <w:b w:val="0"/>
                <w:szCs w:val="20"/>
              </w:rPr>
              <w:t xml:space="preserve">Those tested with NGS had treatment initiated slightly later than those tested by other methods, but the study is too confounded to be very informative. </w:t>
            </w:r>
          </w:p>
        </w:tc>
        <w:tc>
          <w:tcPr>
            <w:tcW w:w="1343" w:type="pct"/>
          </w:tcPr>
          <w:p w14:paraId="49B5509F"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4BE2B68F" w14:textId="77777777" w:rsidR="00504E35" w:rsidRPr="00DB0881" w:rsidRDefault="00504E35" w:rsidP="006F7632">
            <w:pPr>
              <w:pStyle w:val="TableHeading"/>
              <w:keepNext w:val="0"/>
              <w:ind w:left="4"/>
              <w:rPr>
                <w:b w:val="0"/>
                <w:szCs w:val="20"/>
              </w:rPr>
            </w:pPr>
            <w:r>
              <w:rPr>
                <w:b w:val="0"/>
                <w:szCs w:val="20"/>
              </w:rPr>
              <w:t xml:space="preserve">High level of uncertainty as observational study, and unclear what organisational policies would influence timing of testing and treatment. </w:t>
            </w:r>
          </w:p>
        </w:tc>
      </w:tr>
      <w:tr w:rsidR="00504E35" w:rsidRPr="008E7224" w14:paraId="0CBE40AD" w14:textId="77777777" w:rsidTr="006F7632">
        <w:trPr>
          <w:trHeight w:val="70"/>
        </w:trPr>
        <w:tc>
          <w:tcPr>
            <w:tcW w:w="422" w:type="pct"/>
            <w:tcBorders>
              <w:bottom w:val="nil"/>
            </w:tcBorders>
          </w:tcPr>
          <w:p w14:paraId="4AE13B11" w14:textId="56E986D5" w:rsidR="00504E35" w:rsidRPr="001D56DB" w:rsidRDefault="00400BC7" w:rsidP="006F7632">
            <w:pPr>
              <w:pStyle w:val="TableHeading"/>
              <w:keepNext w:val="0"/>
              <w:ind w:left="4" w:right="-80"/>
              <w:rPr>
                <w:b w:val="0"/>
                <w:szCs w:val="20"/>
              </w:rPr>
            </w:pPr>
            <w:r>
              <w:rPr>
                <w:b w:val="0"/>
                <w:szCs w:val="20"/>
              </w:rPr>
              <w:t>2</w:t>
            </w:r>
            <w:r w:rsidR="00504E35" w:rsidRPr="001D56DB">
              <w:rPr>
                <w:b w:val="0"/>
                <w:szCs w:val="20"/>
              </w:rPr>
              <w:t>.4 Therapeutic effectiveness</w:t>
            </w:r>
          </w:p>
        </w:tc>
        <w:tc>
          <w:tcPr>
            <w:tcW w:w="484" w:type="pct"/>
          </w:tcPr>
          <w:p w14:paraId="3DA3CC8C" w14:textId="77777777" w:rsidR="00504E35" w:rsidRPr="001D56DB" w:rsidRDefault="00504E35" w:rsidP="006F7632">
            <w:pPr>
              <w:pStyle w:val="TableHeading"/>
              <w:keepNext w:val="0"/>
              <w:tabs>
                <w:tab w:val="left" w:pos="842"/>
              </w:tabs>
              <w:ind w:left="4"/>
              <w:rPr>
                <w:b w:val="0"/>
                <w:szCs w:val="20"/>
              </w:rPr>
            </w:pPr>
            <w:r w:rsidRPr="001D56DB">
              <w:rPr>
                <w:b w:val="0"/>
                <w:szCs w:val="20"/>
              </w:rPr>
              <w:t>Safety of rebiopsy</w:t>
            </w:r>
          </w:p>
        </w:tc>
        <w:tc>
          <w:tcPr>
            <w:tcW w:w="415" w:type="pct"/>
          </w:tcPr>
          <w:p w14:paraId="4FEAFABD" w14:textId="77777777" w:rsidR="00504E35" w:rsidRPr="00B718E1" w:rsidRDefault="00504E35" w:rsidP="006F7632">
            <w:pPr>
              <w:pStyle w:val="TableHeading"/>
              <w:ind w:left="4"/>
              <w:rPr>
                <w:b w:val="0"/>
                <w:szCs w:val="20"/>
              </w:rPr>
            </w:pPr>
            <w:r w:rsidRPr="00B718E1">
              <w:rPr>
                <w:b w:val="0"/>
                <w:szCs w:val="20"/>
              </w:rPr>
              <w:t>n=2326</w:t>
            </w:r>
          </w:p>
          <w:p w14:paraId="04A20360" w14:textId="77777777" w:rsidR="00504E35" w:rsidRPr="00B718E1" w:rsidRDefault="00504E35" w:rsidP="006F7632">
            <w:pPr>
              <w:pStyle w:val="TableHeading"/>
              <w:tabs>
                <w:tab w:val="left" w:pos="842"/>
              </w:tabs>
              <w:ind w:left="4"/>
              <w:rPr>
                <w:b w:val="0"/>
                <w:szCs w:val="20"/>
              </w:rPr>
            </w:pPr>
            <w:r w:rsidRPr="00B718E1">
              <w:rPr>
                <w:b w:val="0"/>
                <w:szCs w:val="20"/>
              </w:rPr>
              <w:t xml:space="preserve">k=1 systematic review with 16 studies included </w:t>
            </w:r>
          </w:p>
        </w:tc>
        <w:tc>
          <w:tcPr>
            <w:tcW w:w="659" w:type="pct"/>
          </w:tcPr>
          <w:p w14:paraId="56681DC4"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0</w:t>
            </w:r>
          </w:p>
          <w:p w14:paraId="734AC244"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-1</w:t>
            </w:r>
          </w:p>
          <w:p w14:paraId="160B9148"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-1</w:t>
            </w:r>
          </w:p>
          <w:p w14:paraId="54D14442"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0</w:t>
            </w:r>
          </w:p>
          <w:p w14:paraId="7B346E4A"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 </w:t>
            </w:r>
          </w:p>
          <w:p w14:paraId="257816AE" w14:textId="77777777" w:rsidR="00504E35" w:rsidRPr="001F01E9" w:rsidRDefault="00504E35" w:rsidP="006F7632">
            <w:pPr>
              <w:spacing w:before="40"/>
              <w:ind w:left="4"/>
              <w:rPr>
                <w:rFonts w:ascii="Arial Narrow" w:hAnsi="Arial Narrow"/>
                <w:sz w:val="20"/>
                <w:szCs w:val="20"/>
              </w:rPr>
            </w:pPr>
            <w:r w:rsidRPr="00FE1788">
              <w:rPr>
                <w:rFonts w:ascii="Arial Narrow" w:hAnsi="Arial Narrow"/>
                <w:sz w:val="20"/>
                <w:szCs w:val="20"/>
              </w:rPr>
              <w:t>Other:</w:t>
            </w:r>
            <w:r>
              <w:rPr>
                <w:rFonts w:ascii="Arial Narrow" w:hAnsi="Arial Narrow"/>
                <w:sz w:val="20"/>
                <w:szCs w:val="20"/>
              </w:rPr>
              <w:t xml:space="preserve"> 0</w:t>
            </w:r>
          </w:p>
        </w:tc>
        <w:tc>
          <w:tcPr>
            <w:tcW w:w="559" w:type="pct"/>
          </w:tcPr>
          <w:p w14:paraId="0B0AC630" w14:textId="77777777" w:rsidR="00504E35" w:rsidRPr="001F01E9" w:rsidRDefault="00504E35" w:rsidP="006F7632">
            <w:pPr>
              <w:pStyle w:val="TableHeading"/>
              <w:ind w:left="4"/>
              <w:rPr>
                <w:b w:val="0"/>
                <w:szCs w:val="20"/>
              </w:rPr>
            </w:pPr>
            <w:r w:rsidRPr="001F01E9">
              <w:rPr>
                <w:b w:val="0"/>
                <w:szCs w:val="20"/>
              </w:rPr>
              <w:t>AEs occurred in 17% (95%CI 12%, 23%) of those who underwent biopsy</w:t>
            </w:r>
          </w:p>
          <w:p w14:paraId="3761E306" w14:textId="77777777" w:rsidR="00504E35" w:rsidRPr="00B718E1" w:rsidRDefault="00504E35" w:rsidP="006F7632">
            <w:pPr>
              <w:tabs>
                <w:tab w:val="left" w:pos="2850"/>
              </w:tabs>
              <w:spacing w:after="40"/>
              <w:rPr>
                <w:rFonts w:ascii="Arial Narrow" w:hAnsi="Arial Narrow"/>
                <w:sz w:val="20"/>
                <w:szCs w:val="20"/>
              </w:rPr>
            </w:pPr>
            <w:r w:rsidRPr="00B718E1">
              <w:rPr>
                <w:rFonts w:ascii="Arial Narrow" w:hAnsi="Arial Narrow"/>
                <w:sz w:val="20"/>
                <w:szCs w:val="20"/>
              </w:rPr>
              <w:t>Pneumothorax occurred in 9.2% (95%CI 4.0%, 15.7%)</w:t>
            </w:r>
          </w:p>
        </w:tc>
        <w:tc>
          <w:tcPr>
            <w:tcW w:w="1118" w:type="pct"/>
          </w:tcPr>
          <w:p w14:paraId="414F30E0" w14:textId="77777777" w:rsidR="00504E35" w:rsidRPr="00DB0881" w:rsidRDefault="00504E35" w:rsidP="006F7632">
            <w:pPr>
              <w:pStyle w:val="TableHeading"/>
              <w:ind w:left="4"/>
              <w:rPr>
                <w:b w:val="0"/>
                <w:szCs w:val="20"/>
              </w:rPr>
            </w:pPr>
            <w:r w:rsidRPr="00DB0881">
              <w:rPr>
                <w:b w:val="0"/>
                <w:szCs w:val="20"/>
              </w:rPr>
              <w:t xml:space="preserve">Rebiopsies are associated with a risk of adverse events. </w:t>
            </w:r>
          </w:p>
          <w:p w14:paraId="1612D719" w14:textId="77777777" w:rsidR="00504E35" w:rsidRPr="00DB0881" w:rsidRDefault="00504E35" w:rsidP="006F7632">
            <w:pPr>
              <w:pStyle w:val="TableHeading"/>
              <w:keepNext w:val="0"/>
              <w:ind w:left="4"/>
              <w:rPr>
                <w:b w:val="0"/>
                <w:szCs w:val="20"/>
              </w:rPr>
            </w:pPr>
            <w:r w:rsidRPr="00DB0881">
              <w:rPr>
                <w:b w:val="0"/>
                <w:szCs w:val="20"/>
              </w:rPr>
              <w:t xml:space="preserve">The increased success rate of NGS should result in reduced need for rebiopsies, which reduces the risk of adverse events related to testing. </w:t>
            </w:r>
          </w:p>
        </w:tc>
        <w:tc>
          <w:tcPr>
            <w:tcW w:w="1343" w:type="pct"/>
          </w:tcPr>
          <w:p w14:paraId="6BD285C3"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06628613" w14:textId="77777777" w:rsidR="00504E35" w:rsidRPr="00DB0881" w:rsidRDefault="00504E35" w:rsidP="006F7632">
            <w:pPr>
              <w:pStyle w:val="TableHeading"/>
              <w:keepNext w:val="0"/>
              <w:ind w:left="4"/>
              <w:rPr>
                <w:b w:val="0"/>
                <w:szCs w:val="20"/>
              </w:rPr>
            </w:pPr>
            <w:r>
              <w:rPr>
                <w:b w:val="0"/>
                <w:szCs w:val="20"/>
              </w:rPr>
              <w:t xml:space="preserve">Moderate level of uncertainty, as the frequency of adverse events was heterogeneous, and the population was indirect, as none of the rebiopsies were performed due to insufficient tissue at diagnosis (all rebiopsies were due to disease progression). </w:t>
            </w:r>
          </w:p>
        </w:tc>
      </w:tr>
      <w:tr w:rsidR="00504E35" w:rsidRPr="008E7224" w14:paraId="4B45B188" w14:textId="77777777" w:rsidTr="006F7632">
        <w:trPr>
          <w:trHeight w:val="70"/>
        </w:trPr>
        <w:tc>
          <w:tcPr>
            <w:tcW w:w="422" w:type="pct"/>
            <w:tcBorders>
              <w:top w:val="nil"/>
            </w:tcBorders>
          </w:tcPr>
          <w:p w14:paraId="79C3E20B" w14:textId="77777777" w:rsidR="00504E35" w:rsidRPr="001D56DB" w:rsidRDefault="00504E35" w:rsidP="006F7632">
            <w:pPr>
              <w:pStyle w:val="TableHeading"/>
              <w:keepNext w:val="0"/>
              <w:ind w:left="4" w:right="-80"/>
              <w:rPr>
                <w:b w:val="0"/>
                <w:szCs w:val="20"/>
              </w:rPr>
            </w:pPr>
          </w:p>
        </w:tc>
        <w:tc>
          <w:tcPr>
            <w:tcW w:w="484" w:type="pct"/>
          </w:tcPr>
          <w:p w14:paraId="6AC3BED9" w14:textId="77777777" w:rsidR="00504E35" w:rsidRPr="001D56DB" w:rsidRDefault="00504E35" w:rsidP="006F7632">
            <w:pPr>
              <w:pStyle w:val="TableHeading"/>
              <w:keepNext w:val="0"/>
              <w:tabs>
                <w:tab w:val="left" w:pos="842"/>
              </w:tabs>
              <w:ind w:left="4"/>
              <w:rPr>
                <w:b w:val="0"/>
                <w:szCs w:val="20"/>
              </w:rPr>
            </w:pPr>
            <w:r w:rsidRPr="001D56DB">
              <w:rPr>
                <w:b w:val="0"/>
                <w:szCs w:val="20"/>
              </w:rPr>
              <w:t>Effectiveness of targeted treatment in cases with incremental actionable variants</w:t>
            </w:r>
          </w:p>
        </w:tc>
        <w:tc>
          <w:tcPr>
            <w:tcW w:w="415" w:type="pct"/>
          </w:tcPr>
          <w:p w14:paraId="727D7899" w14:textId="77777777" w:rsidR="00504E35" w:rsidRPr="00B718E1" w:rsidRDefault="00504E35" w:rsidP="006F7632">
            <w:pPr>
              <w:pStyle w:val="TableHeading"/>
              <w:ind w:left="4"/>
              <w:rPr>
                <w:b w:val="0"/>
                <w:szCs w:val="20"/>
              </w:rPr>
            </w:pPr>
            <w:r w:rsidRPr="00B718E1">
              <w:rPr>
                <w:b w:val="0"/>
                <w:szCs w:val="20"/>
              </w:rPr>
              <w:t>n=2921</w:t>
            </w:r>
          </w:p>
          <w:p w14:paraId="528889C1" w14:textId="77777777" w:rsidR="00504E35" w:rsidRPr="00B718E1" w:rsidRDefault="00504E35" w:rsidP="006F7632">
            <w:pPr>
              <w:pStyle w:val="TableHeading"/>
              <w:ind w:left="4"/>
              <w:rPr>
                <w:b w:val="0"/>
                <w:szCs w:val="20"/>
              </w:rPr>
            </w:pPr>
            <w:r w:rsidRPr="00B718E1">
              <w:rPr>
                <w:b w:val="0"/>
                <w:szCs w:val="20"/>
              </w:rPr>
              <w:t>k=2 systematic reviews of cohort studies, and 7 additional case series in discordant cases</w:t>
            </w:r>
          </w:p>
        </w:tc>
        <w:tc>
          <w:tcPr>
            <w:tcW w:w="659" w:type="pct"/>
          </w:tcPr>
          <w:p w14:paraId="5B199AD6"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-1</w:t>
            </w:r>
            <w:r w:rsidRPr="00DB0881">
              <w:rPr>
                <w:rFonts w:ascii="Arial Narrow" w:hAnsi="Arial Narrow"/>
                <w:sz w:val="20"/>
                <w:szCs w:val="20"/>
              </w:rPr>
              <w:t xml:space="preserve"> </w:t>
            </w:r>
          </w:p>
          <w:p w14:paraId="0055E8E6"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-1</w:t>
            </w:r>
          </w:p>
          <w:p w14:paraId="7AD47B45"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0</w:t>
            </w:r>
          </w:p>
          <w:p w14:paraId="4489FD5B"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-1</w:t>
            </w:r>
          </w:p>
          <w:p w14:paraId="7CC95483"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 </w:t>
            </w:r>
          </w:p>
          <w:p w14:paraId="52BC183B" w14:textId="77777777" w:rsidR="00504E35" w:rsidRPr="001F01E9" w:rsidRDefault="00504E35" w:rsidP="006F7632">
            <w:pPr>
              <w:spacing w:before="40"/>
              <w:ind w:left="4"/>
              <w:rPr>
                <w:rFonts w:ascii="Arial Narrow" w:hAnsi="Arial Narrow"/>
                <w:sz w:val="20"/>
                <w:szCs w:val="20"/>
              </w:rPr>
            </w:pPr>
            <w:r w:rsidRPr="00FE1788">
              <w:rPr>
                <w:rFonts w:ascii="Arial Narrow" w:hAnsi="Arial Narrow"/>
                <w:sz w:val="20"/>
                <w:szCs w:val="20"/>
              </w:rPr>
              <w:t>Other:</w:t>
            </w:r>
            <w:r>
              <w:rPr>
                <w:rFonts w:ascii="Arial Narrow" w:hAnsi="Arial Narrow"/>
                <w:sz w:val="20"/>
                <w:szCs w:val="20"/>
              </w:rPr>
              <w:t xml:space="preserve"> 0</w:t>
            </w:r>
          </w:p>
        </w:tc>
        <w:tc>
          <w:tcPr>
            <w:tcW w:w="559" w:type="pct"/>
          </w:tcPr>
          <w:p w14:paraId="14FA65FB" w14:textId="77777777" w:rsidR="00504E35" w:rsidRPr="001F01E9" w:rsidRDefault="00504E35" w:rsidP="006F7632">
            <w:pPr>
              <w:pStyle w:val="TableHeading"/>
              <w:ind w:left="4"/>
              <w:rPr>
                <w:b w:val="0"/>
                <w:szCs w:val="20"/>
              </w:rPr>
            </w:pPr>
            <w:r w:rsidRPr="001F01E9">
              <w:rPr>
                <w:b w:val="0"/>
                <w:szCs w:val="20"/>
              </w:rPr>
              <w:t xml:space="preserve">Those with actionable variants identified by NGS show response to targeted therapies. </w:t>
            </w:r>
          </w:p>
          <w:p w14:paraId="6526F9CA" w14:textId="77777777" w:rsidR="00504E35" w:rsidRPr="00B718E1" w:rsidRDefault="00504E35" w:rsidP="006F7632">
            <w:pPr>
              <w:tabs>
                <w:tab w:val="left" w:pos="2850"/>
              </w:tabs>
              <w:spacing w:after="40"/>
              <w:rPr>
                <w:rFonts w:ascii="Arial Narrow" w:hAnsi="Arial Narrow"/>
                <w:sz w:val="20"/>
                <w:szCs w:val="20"/>
              </w:rPr>
            </w:pPr>
            <w:r w:rsidRPr="00B718E1">
              <w:rPr>
                <w:rFonts w:ascii="Arial Narrow" w:hAnsi="Arial Narrow"/>
                <w:sz w:val="20"/>
                <w:szCs w:val="20"/>
              </w:rPr>
              <w:t xml:space="preserve">Rare variants and low allele frequency variants are less likely to respond to </w:t>
            </w:r>
            <w:r w:rsidRPr="00B718E1">
              <w:rPr>
                <w:rFonts w:ascii="Arial Narrow" w:hAnsi="Arial Narrow"/>
                <w:i/>
                <w:sz w:val="20"/>
                <w:szCs w:val="20"/>
              </w:rPr>
              <w:t xml:space="preserve">EGFR </w:t>
            </w:r>
            <w:r w:rsidRPr="00B718E1">
              <w:rPr>
                <w:rFonts w:ascii="Arial Narrow" w:hAnsi="Arial Narrow"/>
                <w:sz w:val="20"/>
                <w:szCs w:val="20"/>
              </w:rPr>
              <w:t>TKIs than common variants and high allele frequency variants.</w:t>
            </w:r>
          </w:p>
        </w:tc>
        <w:tc>
          <w:tcPr>
            <w:tcW w:w="1118" w:type="pct"/>
          </w:tcPr>
          <w:p w14:paraId="2349AFA6" w14:textId="77777777" w:rsidR="00504E35" w:rsidRPr="00DB0881" w:rsidRDefault="00504E35" w:rsidP="006F7632">
            <w:pPr>
              <w:pStyle w:val="TableHeading"/>
              <w:rPr>
                <w:b w:val="0"/>
                <w:szCs w:val="20"/>
              </w:rPr>
            </w:pPr>
            <w:r w:rsidRPr="00DB0881">
              <w:rPr>
                <w:b w:val="0"/>
                <w:szCs w:val="20"/>
              </w:rPr>
              <w:t xml:space="preserve">Patients with actionable variants in the </w:t>
            </w:r>
            <w:r w:rsidRPr="00DB0881">
              <w:rPr>
                <w:b w:val="0"/>
                <w:i/>
                <w:szCs w:val="20"/>
              </w:rPr>
              <w:t xml:space="preserve">EGFR </w:t>
            </w:r>
            <w:r w:rsidRPr="00DB0881">
              <w:rPr>
                <w:b w:val="0"/>
                <w:szCs w:val="20"/>
              </w:rPr>
              <w:t xml:space="preserve">gene identified by NGS but not on single gene testing may not respond to targeted therapies the same degree as those identified by the clinical utility standards. Treatment with targeted therapies is likely to still be superior to treatment with non-targeted therapies. </w:t>
            </w:r>
          </w:p>
          <w:p w14:paraId="5CE4310B" w14:textId="77777777" w:rsidR="00504E35" w:rsidRPr="00DB0881" w:rsidRDefault="00504E35" w:rsidP="006F7632">
            <w:pPr>
              <w:pStyle w:val="TableHeading"/>
              <w:keepNext w:val="0"/>
              <w:ind w:left="4"/>
              <w:rPr>
                <w:b w:val="0"/>
                <w:szCs w:val="20"/>
              </w:rPr>
            </w:pPr>
            <w:r w:rsidRPr="00DB0881">
              <w:rPr>
                <w:b w:val="0"/>
                <w:szCs w:val="20"/>
              </w:rPr>
              <w:t xml:space="preserve">Insufficient evidence in those discordant on </w:t>
            </w:r>
            <w:r w:rsidRPr="00DB0881">
              <w:rPr>
                <w:b w:val="0"/>
                <w:i/>
                <w:szCs w:val="20"/>
              </w:rPr>
              <w:t>ALK</w:t>
            </w:r>
            <w:r w:rsidRPr="00DB0881">
              <w:rPr>
                <w:b w:val="0"/>
                <w:szCs w:val="20"/>
              </w:rPr>
              <w:t xml:space="preserve"> and </w:t>
            </w:r>
            <w:r w:rsidRPr="00DB0881">
              <w:rPr>
                <w:b w:val="0"/>
                <w:i/>
                <w:szCs w:val="20"/>
              </w:rPr>
              <w:t>ROS1</w:t>
            </w:r>
            <w:r w:rsidRPr="00DB0881">
              <w:rPr>
                <w:b w:val="0"/>
                <w:szCs w:val="20"/>
              </w:rPr>
              <w:t xml:space="preserve"> rearrangement status (between testing methods) to determine the comparative efficacy of targeted treatments. </w:t>
            </w:r>
          </w:p>
        </w:tc>
        <w:tc>
          <w:tcPr>
            <w:tcW w:w="1343" w:type="pct"/>
          </w:tcPr>
          <w:p w14:paraId="393A669C"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107F52EE" w14:textId="77777777" w:rsidR="00504E35" w:rsidRDefault="00504E35" w:rsidP="006F7632">
            <w:pPr>
              <w:pStyle w:val="TableHeading"/>
              <w:keepNext w:val="0"/>
              <w:ind w:left="4"/>
              <w:rPr>
                <w:b w:val="0"/>
                <w:szCs w:val="20"/>
              </w:rPr>
            </w:pPr>
            <w:r>
              <w:rPr>
                <w:b w:val="0"/>
                <w:szCs w:val="20"/>
              </w:rPr>
              <w:t xml:space="preserve">High level of uncertainty as a very small number of patients had discordant results and therefore different treatment due to NGS. </w:t>
            </w:r>
          </w:p>
          <w:p w14:paraId="7F9D2948" w14:textId="77777777" w:rsidR="00504E35" w:rsidRPr="00DB0881" w:rsidRDefault="00504E35" w:rsidP="006F7632">
            <w:pPr>
              <w:pStyle w:val="TableHeading"/>
              <w:keepNext w:val="0"/>
              <w:ind w:left="4"/>
              <w:rPr>
                <w:b w:val="0"/>
                <w:szCs w:val="20"/>
              </w:rPr>
            </w:pPr>
            <w:r>
              <w:rPr>
                <w:b w:val="0"/>
                <w:szCs w:val="20"/>
              </w:rPr>
              <w:t xml:space="preserve">Unclear what proportion of incremental cases are found to due rare variants or higher sensitivity, so unclear how applicable these studies are. </w:t>
            </w:r>
          </w:p>
        </w:tc>
      </w:tr>
      <w:tr w:rsidR="00504E35" w:rsidRPr="008E7224" w14:paraId="71EB165E" w14:textId="77777777" w:rsidTr="006F7632">
        <w:trPr>
          <w:trHeight w:val="70"/>
        </w:trPr>
        <w:tc>
          <w:tcPr>
            <w:tcW w:w="422" w:type="pct"/>
          </w:tcPr>
          <w:p w14:paraId="4BB88A58" w14:textId="41FB3931" w:rsidR="00504E35" w:rsidRPr="001D56DB" w:rsidRDefault="00400BC7" w:rsidP="006F7632">
            <w:pPr>
              <w:pStyle w:val="TableHeading"/>
              <w:keepNext w:val="0"/>
              <w:ind w:left="4" w:right="-80"/>
              <w:rPr>
                <w:b w:val="0"/>
                <w:szCs w:val="20"/>
              </w:rPr>
            </w:pPr>
            <w:r>
              <w:rPr>
                <w:b w:val="0"/>
                <w:szCs w:val="20"/>
              </w:rPr>
              <w:t>2</w:t>
            </w:r>
            <w:r w:rsidR="00504E35" w:rsidRPr="00FE1788">
              <w:rPr>
                <w:b w:val="0"/>
                <w:szCs w:val="20"/>
              </w:rPr>
              <w:t>.4 Therapeutic effectiveness</w:t>
            </w:r>
            <w:r w:rsidR="00504E35">
              <w:rPr>
                <w:b w:val="0"/>
                <w:szCs w:val="20"/>
              </w:rPr>
              <w:t xml:space="preserve"> (continued)</w:t>
            </w:r>
          </w:p>
        </w:tc>
        <w:tc>
          <w:tcPr>
            <w:tcW w:w="484" w:type="pct"/>
          </w:tcPr>
          <w:p w14:paraId="01A026F1" w14:textId="77777777" w:rsidR="00504E35" w:rsidRPr="001D56DB" w:rsidRDefault="00504E35" w:rsidP="006F7632">
            <w:pPr>
              <w:pStyle w:val="TableHeading"/>
              <w:keepNext w:val="0"/>
              <w:tabs>
                <w:tab w:val="left" w:pos="842"/>
              </w:tabs>
              <w:ind w:left="4"/>
              <w:rPr>
                <w:b w:val="0"/>
                <w:szCs w:val="20"/>
              </w:rPr>
            </w:pPr>
            <w:r w:rsidRPr="001D56DB">
              <w:rPr>
                <w:b w:val="0"/>
                <w:szCs w:val="20"/>
              </w:rPr>
              <w:t>Health impact of more timely treatment</w:t>
            </w:r>
          </w:p>
        </w:tc>
        <w:tc>
          <w:tcPr>
            <w:tcW w:w="415" w:type="pct"/>
          </w:tcPr>
          <w:p w14:paraId="78029E46" w14:textId="77777777" w:rsidR="00504E35" w:rsidRPr="00B718E1" w:rsidRDefault="00504E35" w:rsidP="006F7632">
            <w:pPr>
              <w:pStyle w:val="TableHeading"/>
              <w:ind w:left="4"/>
              <w:rPr>
                <w:b w:val="0"/>
                <w:szCs w:val="20"/>
              </w:rPr>
            </w:pPr>
            <w:r w:rsidRPr="00B718E1">
              <w:rPr>
                <w:b w:val="0"/>
                <w:szCs w:val="20"/>
              </w:rPr>
              <w:t>n=not stated</w:t>
            </w:r>
          </w:p>
          <w:p w14:paraId="177EE283" w14:textId="77777777" w:rsidR="00504E35" w:rsidRPr="00B718E1" w:rsidRDefault="00504E35" w:rsidP="006F7632">
            <w:pPr>
              <w:pStyle w:val="TableHeading"/>
              <w:ind w:left="4"/>
              <w:rPr>
                <w:b w:val="0"/>
                <w:szCs w:val="20"/>
              </w:rPr>
            </w:pPr>
            <w:r w:rsidRPr="00B718E1">
              <w:rPr>
                <w:b w:val="0"/>
                <w:szCs w:val="20"/>
              </w:rPr>
              <w:t>k=1 systematic review with 8 cohort studies</w:t>
            </w:r>
          </w:p>
        </w:tc>
        <w:tc>
          <w:tcPr>
            <w:tcW w:w="659" w:type="pct"/>
          </w:tcPr>
          <w:p w14:paraId="79C47D00" w14:textId="77777777" w:rsidR="00504E35" w:rsidRPr="00DB0881" w:rsidRDefault="00504E35" w:rsidP="006F7632">
            <w:pPr>
              <w:ind w:left="6"/>
              <w:rPr>
                <w:rFonts w:ascii="Arial Narrow" w:hAnsi="Arial Narrow"/>
                <w:sz w:val="20"/>
                <w:szCs w:val="20"/>
              </w:rPr>
            </w:pPr>
            <w:r w:rsidRPr="00FE1788">
              <w:rPr>
                <w:rFonts w:ascii="Arial Narrow" w:hAnsi="Arial Narrow"/>
                <w:sz w:val="20"/>
                <w:szCs w:val="20"/>
              </w:rPr>
              <w:t xml:space="preserve">Risk of bias: </w:t>
            </w:r>
            <w:r>
              <w:rPr>
                <w:rFonts w:ascii="Arial Narrow" w:hAnsi="Arial Narrow"/>
                <w:sz w:val="20"/>
                <w:szCs w:val="20"/>
              </w:rPr>
              <w:t>-2</w:t>
            </w:r>
          </w:p>
          <w:p w14:paraId="01FC58CC"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Inconsistency:</w:t>
            </w:r>
            <w:r>
              <w:rPr>
                <w:rFonts w:ascii="Arial Narrow" w:hAnsi="Arial Narrow"/>
                <w:sz w:val="20"/>
                <w:szCs w:val="20"/>
              </w:rPr>
              <w:t xml:space="preserve"> 0</w:t>
            </w:r>
          </w:p>
          <w:p w14:paraId="48E73DE2"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Indirectness:</w:t>
            </w:r>
            <w:r>
              <w:rPr>
                <w:rFonts w:ascii="Arial Narrow" w:hAnsi="Arial Narrow"/>
                <w:sz w:val="20"/>
                <w:szCs w:val="20"/>
              </w:rPr>
              <w:t xml:space="preserve"> 0</w:t>
            </w:r>
          </w:p>
          <w:p w14:paraId="6A3DF4A6"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Imprecision:</w:t>
            </w:r>
            <w:r>
              <w:rPr>
                <w:rFonts w:ascii="Arial Narrow" w:hAnsi="Arial Narrow"/>
                <w:sz w:val="20"/>
                <w:szCs w:val="20"/>
              </w:rPr>
              <w:t xml:space="preserve"> 0</w:t>
            </w:r>
          </w:p>
          <w:p w14:paraId="65DF6436" w14:textId="77777777" w:rsidR="00504E35" w:rsidRPr="00DB0881" w:rsidRDefault="00504E35" w:rsidP="006F7632">
            <w:pPr>
              <w:spacing w:before="40"/>
              <w:ind w:left="6"/>
              <w:rPr>
                <w:rFonts w:ascii="Arial Narrow" w:hAnsi="Arial Narrow"/>
                <w:sz w:val="20"/>
                <w:szCs w:val="20"/>
              </w:rPr>
            </w:pPr>
            <w:r w:rsidRPr="00DB0881">
              <w:rPr>
                <w:rFonts w:ascii="Arial Narrow" w:hAnsi="Arial Narrow"/>
                <w:sz w:val="20"/>
                <w:szCs w:val="20"/>
              </w:rPr>
              <w:t>Publication bias:</w:t>
            </w:r>
            <w:r>
              <w:rPr>
                <w:rFonts w:ascii="Arial Narrow" w:hAnsi="Arial Narrow"/>
                <w:sz w:val="20"/>
                <w:szCs w:val="20"/>
              </w:rPr>
              <w:t xml:space="preserve"> 0 </w:t>
            </w:r>
          </w:p>
          <w:p w14:paraId="461458A3" w14:textId="77777777" w:rsidR="00504E35" w:rsidRPr="001F01E9" w:rsidRDefault="00504E35" w:rsidP="006F7632">
            <w:pPr>
              <w:spacing w:before="40"/>
              <w:ind w:left="4"/>
              <w:rPr>
                <w:rFonts w:ascii="Arial Narrow" w:hAnsi="Arial Narrow"/>
                <w:sz w:val="20"/>
                <w:szCs w:val="20"/>
              </w:rPr>
            </w:pPr>
            <w:r w:rsidRPr="00FE1788">
              <w:rPr>
                <w:rFonts w:ascii="Arial Narrow" w:hAnsi="Arial Narrow"/>
                <w:sz w:val="20"/>
                <w:szCs w:val="20"/>
              </w:rPr>
              <w:t>Other:</w:t>
            </w:r>
            <w:r>
              <w:rPr>
                <w:rFonts w:ascii="Arial Narrow" w:hAnsi="Arial Narrow"/>
                <w:sz w:val="20"/>
                <w:szCs w:val="20"/>
              </w:rPr>
              <w:t xml:space="preserve"> 0</w:t>
            </w:r>
          </w:p>
        </w:tc>
        <w:tc>
          <w:tcPr>
            <w:tcW w:w="559" w:type="pct"/>
          </w:tcPr>
          <w:p w14:paraId="15994A12" w14:textId="77777777" w:rsidR="00504E35" w:rsidRPr="00B718E1" w:rsidRDefault="00504E35" w:rsidP="006F7632">
            <w:pPr>
              <w:tabs>
                <w:tab w:val="left" w:pos="2850"/>
              </w:tabs>
              <w:spacing w:after="40"/>
              <w:rPr>
                <w:rFonts w:ascii="Arial Narrow" w:hAnsi="Arial Narrow"/>
                <w:sz w:val="20"/>
                <w:szCs w:val="20"/>
              </w:rPr>
            </w:pPr>
            <w:r w:rsidRPr="00B718E1">
              <w:rPr>
                <w:rFonts w:ascii="Arial Narrow" w:hAnsi="Arial Narrow"/>
                <w:sz w:val="20"/>
                <w:szCs w:val="20"/>
              </w:rPr>
              <w:t xml:space="preserve">Those with more symptoms (corresponding to worse prognosis) received treatment in a timelier manner, and have worse health outcomes than those with </w:t>
            </w:r>
            <w:r w:rsidRPr="00B718E1">
              <w:rPr>
                <w:rFonts w:ascii="Arial Narrow" w:hAnsi="Arial Narrow"/>
                <w:sz w:val="20"/>
                <w:szCs w:val="20"/>
              </w:rPr>
              <w:lastRenderedPageBreak/>
              <w:t xml:space="preserve">delayed treatment. </w:t>
            </w:r>
          </w:p>
        </w:tc>
        <w:tc>
          <w:tcPr>
            <w:tcW w:w="1118" w:type="pct"/>
          </w:tcPr>
          <w:p w14:paraId="34BB5ABF" w14:textId="77777777" w:rsidR="00504E35" w:rsidRPr="00DB0881" w:rsidRDefault="00504E35" w:rsidP="006F7632">
            <w:pPr>
              <w:pStyle w:val="TableHeading"/>
              <w:keepNext w:val="0"/>
              <w:ind w:left="4"/>
              <w:rPr>
                <w:b w:val="0"/>
                <w:szCs w:val="20"/>
              </w:rPr>
            </w:pPr>
            <w:r w:rsidRPr="00DB0881">
              <w:rPr>
                <w:b w:val="0"/>
                <w:szCs w:val="20"/>
              </w:rPr>
              <w:lastRenderedPageBreak/>
              <w:t xml:space="preserve">Unclear whether a treatment delay of 3 days would have any impact on health outcomes, as the evidence on time to treatment and health outcomes was too confounded. </w:t>
            </w:r>
          </w:p>
        </w:tc>
        <w:tc>
          <w:tcPr>
            <w:tcW w:w="1343" w:type="pct"/>
          </w:tcPr>
          <w:p w14:paraId="129532CC" w14:textId="77777777" w:rsidR="00504E35" w:rsidRDefault="00504E35" w:rsidP="006F7632">
            <w:pPr>
              <w:pStyle w:val="TableHeading"/>
              <w:keepNext w:val="0"/>
              <w:ind w:left="4"/>
              <w:rPr>
                <w:rFonts w:ascii="Cambria Math" w:hAnsi="Cambria Math" w:cs="Cambria Math"/>
                <w:b w:val="0"/>
                <w:color w:val="C00000"/>
                <w:szCs w:val="20"/>
              </w:rPr>
            </w:pPr>
            <w:r w:rsidRPr="00DB0881">
              <w:rPr>
                <w:rFonts w:ascii="Cambria Math" w:hAnsi="Cambria Math" w:cs="Cambria Math"/>
                <w:b w:val="0"/>
                <w:color w:val="00B050"/>
                <w:szCs w:val="20"/>
              </w:rPr>
              <w:t>⊕</w:t>
            </w:r>
            <w:r w:rsidRPr="00DB0881">
              <w:rPr>
                <w:rFonts w:ascii="Cambria Math" w:hAnsi="Cambria Math" w:cs="Cambria Math"/>
                <w:b w:val="0"/>
                <w:color w:val="C00000"/>
                <w:szCs w:val="20"/>
              </w:rPr>
              <w:t>⊝⊝⊝</w:t>
            </w:r>
          </w:p>
          <w:p w14:paraId="00CA74AF" w14:textId="77777777" w:rsidR="00504E35" w:rsidRPr="00DB0881" w:rsidRDefault="00504E35" w:rsidP="006F7632">
            <w:pPr>
              <w:pStyle w:val="TableHeading"/>
              <w:keepNext w:val="0"/>
              <w:ind w:left="4"/>
              <w:rPr>
                <w:b w:val="0"/>
                <w:szCs w:val="20"/>
              </w:rPr>
            </w:pPr>
            <w:r>
              <w:rPr>
                <w:b w:val="0"/>
                <w:szCs w:val="20"/>
              </w:rPr>
              <w:t xml:space="preserve">High level of uncertainty as evidence was observational studies with a very high level of confounding in the studies that would likely influence the results. </w:t>
            </w:r>
          </w:p>
        </w:tc>
      </w:tr>
    </w:tbl>
    <w:p w14:paraId="62C60836" w14:textId="77777777" w:rsidR="00504E35" w:rsidRDefault="00504E35" w:rsidP="00504E35">
      <w:pPr>
        <w:pStyle w:val="TableFooter"/>
      </w:pPr>
      <w:r w:rsidRPr="004A1B20">
        <w:t>AEs =</w:t>
      </w:r>
      <w:r>
        <w:t xml:space="preserve"> adverse events;</w:t>
      </w:r>
      <w:r>
        <w:rPr>
          <w:i/>
        </w:rPr>
        <w:t xml:space="preserve"> </w:t>
      </w:r>
      <w:r w:rsidRPr="007C7AB1">
        <w:rPr>
          <w:i/>
        </w:rPr>
        <w:t>ALK</w:t>
      </w:r>
      <w:r>
        <w:t xml:space="preserve"> = </w:t>
      </w:r>
      <w:r w:rsidRPr="00561C5F">
        <w:t>anaplastic lymphoma kinase</w:t>
      </w:r>
      <w:r>
        <w:t>; ctDNA = circulating tumour DNA (in the bloodstream</w:t>
      </w:r>
      <w:r w:rsidRPr="004A1B20">
        <w:t xml:space="preserve">); DNA = deoxyribonucleic acid; </w:t>
      </w:r>
      <w:r w:rsidRPr="004A1B20">
        <w:rPr>
          <w:i/>
        </w:rPr>
        <w:t>EGFR</w:t>
      </w:r>
      <w:r w:rsidRPr="004A1B20">
        <w:t xml:space="preserve"> = epidermal growth factor receptor; k = number of studies; n = number patients; NGS = next generation sequencing;</w:t>
      </w:r>
      <w:r w:rsidRPr="004A1B20">
        <w:rPr>
          <w:color w:val="258221"/>
        </w:rPr>
        <w:t xml:space="preserve"> </w:t>
      </w:r>
      <w:r w:rsidRPr="004A1B20">
        <w:t xml:space="preserve">RNA = ribonucleic acid; </w:t>
      </w:r>
      <w:r w:rsidRPr="004A1B20">
        <w:rPr>
          <w:i/>
        </w:rPr>
        <w:t>ROS1</w:t>
      </w:r>
      <w:r w:rsidRPr="004A1B20">
        <w:t xml:space="preserve"> = ROS proto-oncogene 1; TKI = tyrosine kinase inhibitor (therapy)</w:t>
      </w:r>
    </w:p>
    <w:p w14:paraId="6235F2EE" w14:textId="77777777" w:rsidR="00504E35" w:rsidRDefault="00504E35" w:rsidP="00504E35">
      <w:pPr>
        <w:rPr>
          <w:rFonts w:ascii="Arial Narrow" w:hAnsi="Arial Narrow" w:cs="Arial"/>
          <w:sz w:val="18"/>
          <w:szCs w:val="18"/>
        </w:rPr>
      </w:pPr>
      <w:r w:rsidRPr="00CE28E3">
        <w:rPr>
          <w:rFonts w:ascii="Cambria Math" w:hAnsi="Cambria Math"/>
          <w:color w:val="00B050"/>
        </w:rPr>
        <w:t xml:space="preserve">⨁⨁⨁⨁ </w:t>
      </w:r>
      <w:r w:rsidRPr="00CE28E3">
        <w:rPr>
          <w:rFonts w:ascii="Arial Narrow" w:hAnsi="Arial Narrow" w:cs="Arial"/>
          <w:b/>
          <w:bCs/>
          <w:sz w:val="18"/>
          <w:szCs w:val="18"/>
        </w:rPr>
        <w:t>High quality:</w:t>
      </w:r>
      <w:r w:rsidRPr="00CE28E3">
        <w:rPr>
          <w:rFonts w:ascii="Arial Narrow" w:hAnsi="Arial Narrow" w:cs="Arial"/>
          <w:sz w:val="18"/>
          <w:szCs w:val="18"/>
        </w:rPr>
        <w:t xml:space="preserve"> We are very confident that the true effect lies close to that of the estimate of effect. </w:t>
      </w:r>
      <w:r w:rsidRPr="00CE28E3">
        <w:rPr>
          <w:rFonts w:ascii="Arial Narrow" w:hAnsi="Arial Narrow" w:cs="Arial"/>
          <w:sz w:val="18"/>
          <w:szCs w:val="18"/>
        </w:rPr>
        <w:br/>
      </w:r>
      <w:r w:rsidRPr="00CE28E3">
        <w:rPr>
          <w:rFonts w:ascii="Cambria Math" w:hAnsi="Cambria Math"/>
          <w:color w:val="00B050"/>
        </w:rPr>
        <w:t>⨁⨁⨁</w:t>
      </w:r>
      <w:r w:rsidRPr="00CE28E3">
        <w:rPr>
          <w:rFonts w:ascii="Cambria Math" w:hAnsi="Cambria Math" w:cs="Cambria Math"/>
          <w:color w:val="C00000"/>
        </w:rPr>
        <w:t xml:space="preserve">⨀ </w:t>
      </w:r>
      <w:r w:rsidRPr="00CE28E3">
        <w:rPr>
          <w:rFonts w:ascii="Arial Narrow" w:hAnsi="Arial Narrow" w:cs="Arial"/>
          <w:b/>
          <w:bCs/>
          <w:sz w:val="18"/>
          <w:szCs w:val="18"/>
        </w:rPr>
        <w:t>Moderate quality:</w:t>
      </w:r>
      <w:r w:rsidRPr="00CE28E3">
        <w:rPr>
          <w:rFonts w:ascii="Arial Narrow" w:hAnsi="Arial Narrow" w:cs="Arial"/>
          <w:sz w:val="18"/>
          <w:szCs w:val="18"/>
        </w:rPr>
        <w:t xml:space="preserve"> We are moderately confident in the effect estimate: The true effect is likely to be close to the estimate of the effect, but there is a possibility that it is substantially different. </w:t>
      </w:r>
      <w:r w:rsidRPr="00CE28E3">
        <w:rPr>
          <w:rFonts w:ascii="Arial Narrow" w:hAnsi="Arial Narrow" w:cs="Arial"/>
          <w:sz w:val="18"/>
          <w:szCs w:val="18"/>
        </w:rPr>
        <w:br/>
      </w:r>
      <w:r w:rsidRPr="00CE28E3">
        <w:rPr>
          <w:rFonts w:ascii="Cambria Math" w:hAnsi="Cambria Math"/>
          <w:color w:val="00B050"/>
        </w:rPr>
        <w:t>⨁⨁</w:t>
      </w:r>
      <w:r w:rsidRPr="00CE28E3">
        <w:rPr>
          <w:rFonts w:ascii="Cambria Math" w:hAnsi="Cambria Math" w:cs="Cambria Math"/>
          <w:color w:val="C00000"/>
        </w:rPr>
        <w:t xml:space="preserve">⨀⨀ </w:t>
      </w:r>
      <w:r w:rsidRPr="00CE28E3">
        <w:rPr>
          <w:rFonts w:ascii="Arial Narrow" w:hAnsi="Arial Narrow" w:cs="Arial"/>
          <w:b/>
          <w:bCs/>
          <w:sz w:val="18"/>
          <w:szCs w:val="18"/>
        </w:rPr>
        <w:t>Low quality:</w:t>
      </w:r>
      <w:r w:rsidRPr="00CE28E3">
        <w:rPr>
          <w:rFonts w:ascii="Arial Narrow" w:hAnsi="Arial Narrow" w:cs="Arial"/>
          <w:sz w:val="18"/>
          <w:szCs w:val="18"/>
        </w:rPr>
        <w:t xml:space="preserve"> Our confidence in the effect estimate is limited: The true effect may be substantially different from the estimate of the effect.</w:t>
      </w:r>
      <w:r w:rsidRPr="00CE28E3">
        <w:rPr>
          <w:rFonts w:ascii="Arial Narrow" w:hAnsi="Arial Narrow" w:cs="Arial"/>
          <w:sz w:val="18"/>
          <w:szCs w:val="18"/>
        </w:rPr>
        <w:br/>
      </w:r>
      <w:r w:rsidRPr="00CE28E3">
        <w:rPr>
          <w:rFonts w:ascii="Cambria Math" w:hAnsi="Cambria Math"/>
          <w:color w:val="00B050"/>
        </w:rPr>
        <w:t>⨁</w:t>
      </w:r>
      <w:r w:rsidRPr="00CE28E3">
        <w:rPr>
          <w:rFonts w:ascii="Cambria Math" w:hAnsi="Cambria Math" w:cs="Cambria Math"/>
          <w:color w:val="C00000"/>
        </w:rPr>
        <w:t xml:space="preserve">⨀⨀⨀ </w:t>
      </w:r>
      <w:r w:rsidRPr="00CE28E3">
        <w:rPr>
          <w:rFonts w:ascii="Arial Narrow" w:hAnsi="Arial Narrow" w:cs="Arial"/>
          <w:b/>
          <w:bCs/>
          <w:sz w:val="18"/>
          <w:szCs w:val="18"/>
        </w:rPr>
        <w:t>Very low quality:</w:t>
      </w:r>
      <w:r w:rsidRPr="00CE28E3">
        <w:rPr>
          <w:rFonts w:ascii="Arial Narrow" w:hAnsi="Arial Narrow" w:cs="Arial"/>
          <w:sz w:val="18"/>
          <w:szCs w:val="18"/>
        </w:rPr>
        <w:t xml:space="preserve"> We have very little confidence in the effect estimate: The true effect is likely to be substantially different from the estimate of effect.</w:t>
      </w:r>
    </w:p>
    <w:p w14:paraId="5BB97283" w14:textId="08A686BC" w:rsidR="00504E35" w:rsidRDefault="00804632" w:rsidP="00FD2F74">
      <w:pPr>
        <w:sectPr w:rsidR="00504E35" w:rsidSect="00504E35">
          <w:pgSz w:w="16838" w:h="11906" w:orient="landscape"/>
          <w:pgMar w:top="1440" w:right="1440" w:bottom="1440" w:left="1440" w:header="708" w:footer="708" w:gutter="0"/>
          <w:cols w:space="708"/>
          <w:titlePg/>
          <w:docGrid w:linePitch="360"/>
        </w:sectPr>
      </w:pPr>
      <w:r w:rsidRPr="00CE28E3">
        <w:rPr>
          <w:rFonts w:ascii="Arial Narrow" w:hAnsi="Arial Narrow" w:cs="Arial"/>
          <w:sz w:val="18"/>
          <w:szCs w:val="18"/>
        </w:rPr>
        <w:t>.</w:t>
      </w:r>
    </w:p>
    <w:p w14:paraId="44AF5437" w14:textId="560827F9" w:rsidR="002D690D" w:rsidRPr="00CE28E3" w:rsidRDefault="002D690D" w:rsidP="005D7471">
      <w:pPr>
        <w:pStyle w:val="Heading1"/>
        <w:numPr>
          <w:ilvl w:val="0"/>
          <w:numId w:val="0"/>
        </w:numPr>
        <w:tabs>
          <w:tab w:val="left" w:pos="2835"/>
        </w:tabs>
        <w:ind w:left="2835" w:hanging="2835"/>
      </w:pPr>
      <w:bookmarkStart w:id="325" w:name="_Toc148531214"/>
      <w:r w:rsidRPr="00CE28E3">
        <w:lastRenderedPageBreak/>
        <w:t xml:space="preserve">Appendix </w:t>
      </w:r>
      <w:r w:rsidR="0004492E">
        <w:t>F</w:t>
      </w:r>
      <w:r w:rsidRPr="00CE28E3">
        <w:tab/>
        <w:t xml:space="preserve">Economic </w:t>
      </w:r>
      <w:r w:rsidR="007B583D" w:rsidRPr="00CE28E3">
        <w:t>evaluation supporting evidence and additional</w:t>
      </w:r>
      <w:r w:rsidRPr="00CE28E3">
        <w:t xml:space="preserve"> </w:t>
      </w:r>
      <w:r w:rsidR="007B583D" w:rsidRPr="00CE28E3">
        <w:t>a</w:t>
      </w:r>
      <w:r w:rsidRPr="00CE28E3">
        <w:t>nalyses</w:t>
      </w:r>
      <w:bookmarkEnd w:id="325"/>
    </w:p>
    <w:p w14:paraId="22FF95A5" w14:textId="77777777" w:rsidR="0004492E" w:rsidRPr="00CE28E3" w:rsidRDefault="0004492E" w:rsidP="0004492E">
      <w:pPr>
        <w:pStyle w:val="Heading3"/>
      </w:pPr>
      <w:bookmarkStart w:id="326" w:name="_Toc148531215"/>
      <w:r w:rsidRPr="00CE28E3">
        <w:t>Structure of the economic evaluation</w:t>
      </w:r>
      <w:bookmarkEnd w:id="326"/>
    </w:p>
    <w:p w14:paraId="57F712C7" w14:textId="7A149A04" w:rsidR="004E63D6" w:rsidRPr="00FA20CC" w:rsidRDefault="004E63D6" w:rsidP="004E63D6">
      <w:pPr>
        <w:pStyle w:val="Caption"/>
      </w:pPr>
      <w:bookmarkStart w:id="327" w:name="_Ref108347284"/>
      <w:r w:rsidRPr="00CE28E3">
        <w:t>Table</w:t>
      </w:r>
      <w:r>
        <w:t> </w:t>
      </w:r>
      <w:fldSimple w:instr=" SEQ Table \* ARABIC ">
        <w:r w:rsidR="00C857F3">
          <w:rPr>
            <w:noProof/>
          </w:rPr>
          <w:t>90</w:t>
        </w:r>
      </w:fldSimple>
      <w:bookmarkEnd w:id="327"/>
      <w:r w:rsidRPr="00CE28E3">
        <w:tab/>
      </w:r>
      <w:r>
        <w:t>Economic literature review</w:t>
      </w:r>
    </w:p>
    <w:tbl>
      <w:tblPr>
        <w:tblStyle w:val="TableGrid"/>
        <w:tblW w:w="0" w:type="auto"/>
        <w:tblLayout w:type="fixed"/>
        <w:tblLook w:val="04A0" w:firstRow="1" w:lastRow="0" w:firstColumn="1" w:lastColumn="0" w:noHBand="0" w:noVBand="1"/>
        <w:tblCaption w:val="Economic literature review"/>
        <w:tblDescription w:val="Economic literature review"/>
      </w:tblPr>
      <w:tblGrid>
        <w:gridCol w:w="813"/>
        <w:gridCol w:w="7156"/>
        <w:gridCol w:w="1046"/>
      </w:tblGrid>
      <w:tr w:rsidR="004E63D6" w:rsidRPr="00FA20CC" w14:paraId="2822F290" w14:textId="77777777" w:rsidTr="00EC7F4B">
        <w:trPr>
          <w:tblHeader/>
        </w:trPr>
        <w:tc>
          <w:tcPr>
            <w:tcW w:w="813" w:type="dxa"/>
            <w:tcBorders>
              <w:top w:val="single" w:sz="8" w:space="0" w:color="auto"/>
              <w:left w:val="single" w:sz="8" w:space="0" w:color="auto"/>
              <w:bottom w:val="single" w:sz="8" w:space="0" w:color="auto"/>
              <w:right w:val="single" w:sz="8" w:space="0" w:color="auto"/>
            </w:tcBorders>
          </w:tcPr>
          <w:p w14:paraId="3C983349" w14:textId="77777777" w:rsidR="004E63D6" w:rsidRPr="00FA20CC" w:rsidRDefault="004E63D6" w:rsidP="00CA410A">
            <w:pPr>
              <w:pStyle w:val="TableHeading"/>
              <w:rPr>
                <w:rFonts w:cs="Courier New"/>
                <w:szCs w:val="20"/>
              </w:rPr>
            </w:pPr>
            <w:r w:rsidRPr="00FA20CC">
              <w:rPr>
                <w:rFonts w:cs="Courier New"/>
                <w:szCs w:val="20"/>
              </w:rPr>
              <w:t>Search</w:t>
            </w:r>
          </w:p>
        </w:tc>
        <w:tc>
          <w:tcPr>
            <w:tcW w:w="7156" w:type="dxa"/>
            <w:tcBorders>
              <w:top w:val="single" w:sz="8" w:space="0" w:color="auto"/>
              <w:left w:val="single" w:sz="8" w:space="0" w:color="auto"/>
              <w:bottom w:val="single" w:sz="8" w:space="0" w:color="auto"/>
              <w:right w:val="single" w:sz="8" w:space="0" w:color="auto"/>
            </w:tcBorders>
          </w:tcPr>
          <w:p w14:paraId="35F44CF0" w14:textId="77777777" w:rsidR="004E63D6" w:rsidRPr="00FA20CC" w:rsidRDefault="004E63D6" w:rsidP="00CA410A">
            <w:pPr>
              <w:pStyle w:val="TableHeading"/>
              <w:rPr>
                <w:rFonts w:cs="Courier New"/>
                <w:szCs w:val="20"/>
              </w:rPr>
            </w:pPr>
            <w:r w:rsidRPr="00FA20CC">
              <w:rPr>
                <w:rFonts w:cs="Courier New"/>
                <w:szCs w:val="20"/>
              </w:rPr>
              <w:t>Query</w:t>
            </w:r>
          </w:p>
        </w:tc>
        <w:tc>
          <w:tcPr>
            <w:tcW w:w="1046" w:type="dxa"/>
            <w:tcBorders>
              <w:top w:val="single" w:sz="8" w:space="0" w:color="auto"/>
              <w:left w:val="single" w:sz="8" w:space="0" w:color="auto"/>
              <w:bottom w:val="single" w:sz="8" w:space="0" w:color="auto"/>
              <w:right w:val="single" w:sz="8" w:space="0" w:color="auto"/>
            </w:tcBorders>
          </w:tcPr>
          <w:p w14:paraId="78386FB9" w14:textId="77777777" w:rsidR="004E63D6" w:rsidRPr="00FA20CC" w:rsidRDefault="004E63D6" w:rsidP="00CA410A">
            <w:pPr>
              <w:pStyle w:val="TableHeading"/>
              <w:rPr>
                <w:rFonts w:cs="Courier New"/>
                <w:szCs w:val="20"/>
              </w:rPr>
            </w:pPr>
            <w:r w:rsidRPr="00FA20CC">
              <w:rPr>
                <w:rFonts w:cs="Courier New"/>
                <w:szCs w:val="20"/>
              </w:rPr>
              <w:t>Results</w:t>
            </w:r>
          </w:p>
        </w:tc>
      </w:tr>
      <w:tr w:rsidR="004E63D6" w:rsidRPr="00FA20CC" w14:paraId="6BFADBC7" w14:textId="77777777" w:rsidTr="00CA410A">
        <w:tc>
          <w:tcPr>
            <w:tcW w:w="9015"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5FC03695" w14:textId="77777777" w:rsidR="004E63D6" w:rsidRPr="00FA20CC" w:rsidRDefault="004E63D6" w:rsidP="00CA410A">
            <w:pPr>
              <w:pStyle w:val="TableText"/>
              <w:keepNext/>
              <w:rPr>
                <w:rFonts w:cs="Courier New"/>
                <w:szCs w:val="20"/>
              </w:rPr>
            </w:pPr>
            <w:r w:rsidRPr="00FA20CC">
              <w:rPr>
                <w:rFonts w:cs="Courier New"/>
                <w:szCs w:val="20"/>
              </w:rPr>
              <w:t>Pubmed</w:t>
            </w:r>
          </w:p>
        </w:tc>
      </w:tr>
      <w:tr w:rsidR="004E63D6" w:rsidRPr="00FA20CC" w14:paraId="4FFD88EA" w14:textId="77777777" w:rsidTr="00CA410A">
        <w:tc>
          <w:tcPr>
            <w:tcW w:w="813" w:type="dxa"/>
            <w:tcBorders>
              <w:top w:val="single" w:sz="8" w:space="0" w:color="auto"/>
              <w:left w:val="single" w:sz="8" w:space="0" w:color="auto"/>
              <w:bottom w:val="single" w:sz="8" w:space="0" w:color="auto"/>
              <w:right w:val="single" w:sz="8" w:space="0" w:color="auto"/>
            </w:tcBorders>
          </w:tcPr>
          <w:p w14:paraId="11CE3F7B" w14:textId="77777777" w:rsidR="004E63D6" w:rsidRPr="00FA20CC" w:rsidRDefault="004E63D6" w:rsidP="00CA410A">
            <w:pPr>
              <w:pStyle w:val="TableText"/>
              <w:keepNext/>
              <w:rPr>
                <w:rFonts w:cs="Courier New"/>
                <w:szCs w:val="20"/>
              </w:rPr>
            </w:pPr>
            <w:r w:rsidRPr="00FA20CC">
              <w:rPr>
                <w:rFonts w:cs="Courier New"/>
                <w:szCs w:val="20"/>
              </w:rPr>
              <w:t>#1</w:t>
            </w:r>
          </w:p>
        </w:tc>
        <w:tc>
          <w:tcPr>
            <w:tcW w:w="7156" w:type="dxa"/>
            <w:tcBorders>
              <w:top w:val="single" w:sz="8" w:space="0" w:color="auto"/>
              <w:left w:val="single" w:sz="8" w:space="0" w:color="auto"/>
              <w:bottom w:val="single" w:sz="8" w:space="0" w:color="auto"/>
              <w:right w:val="single" w:sz="8" w:space="0" w:color="auto"/>
            </w:tcBorders>
          </w:tcPr>
          <w:p w14:paraId="30661199" w14:textId="77777777" w:rsidR="004E63D6" w:rsidRPr="00FA20CC" w:rsidRDefault="004E63D6" w:rsidP="00CA410A">
            <w:pPr>
              <w:pStyle w:val="TableText"/>
              <w:keepNext/>
              <w:rPr>
                <w:rFonts w:cs="Courier New"/>
                <w:szCs w:val="20"/>
              </w:rPr>
            </w:pPr>
            <w:r w:rsidRPr="00FA20CC">
              <w:rPr>
                <w:rFonts w:cs="Courier New"/>
                <w:szCs w:val="20"/>
              </w:rPr>
              <w:t>NSCLC OR nonsmall cell lung OR non small cell lung cancer OR non small cell lung carcinoma OR carcinoma, non-small-cell lung[MeSH Terms]</w:t>
            </w:r>
          </w:p>
        </w:tc>
        <w:tc>
          <w:tcPr>
            <w:tcW w:w="1046" w:type="dxa"/>
            <w:tcBorders>
              <w:top w:val="single" w:sz="8" w:space="0" w:color="auto"/>
              <w:left w:val="single" w:sz="8" w:space="0" w:color="auto"/>
              <w:bottom w:val="single" w:sz="8" w:space="0" w:color="auto"/>
              <w:right w:val="single" w:sz="8" w:space="0" w:color="auto"/>
            </w:tcBorders>
          </w:tcPr>
          <w:p w14:paraId="56BDF219" w14:textId="664EA862" w:rsidR="004E63D6" w:rsidRPr="00FA20CC" w:rsidRDefault="00C857F3" w:rsidP="00CA410A">
            <w:pPr>
              <w:pStyle w:val="TableText"/>
              <w:keepNext/>
              <w:jc w:val="right"/>
              <w:rPr>
                <w:rFonts w:cs="Courier New"/>
                <w:szCs w:val="20"/>
              </w:rPr>
            </w:pPr>
            <w:hyperlink r:id="rId61">
              <w:r w:rsidR="004E63D6" w:rsidRPr="00FA20CC">
                <w:rPr>
                  <w:rFonts w:cs="Courier New"/>
                  <w:szCs w:val="20"/>
                </w:rPr>
                <w:t>96,934</w:t>
              </w:r>
            </w:hyperlink>
          </w:p>
        </w:tc>
      </w:tr>
      <w:tr w:rsidR="004E63D6" w:rsidRPr="00FA20CC" w14:paraId="73BC72E3" w14:textId="77777777" w:rsidTr="00CA410A">
        <w:tc>
          <w:tcPr>
            <w:tcW w:w="813" w:type="dxa"/>
            <w:tcBorders>
              <w:top w:val="single" w:sz="8" w:space="0" w:color="auto"/>
              <w:left w:val="single" w:sz="8" w:space="0" w:color="auto"/>
              <w:bottom w:val="single" w:sz="8" w:space="0" w:color="auto"/>
              <w:right w:val="single" w:sz="8" w:space="0" w:color="auto"/>
            </w:tcBorders>
          </w:tcPr>
          <w:p w14:paraId="4C7A5F0F" w14:textId="77777777" w:rsidR="004E63D6" w:rsidRPr="00FA20CC" w:rsidRDefault="004E63D6" w:rsidP="00CA410A">
            <w:pPr>
              <w:pStyle w:val="TableText"/>
              <w:keepNext/>
              <w:rPr>
                <w:rFonts w:cs="Courier New"/>
                <w:szCs w:val="20"/>
              </w:rPr>
            </w:pPr>
            <w:r w:rsidRPr="00FA20CC">
              <w:rPr>
                <w:rFonts w:cs="Courier New"/>
                <w:szCs w:val="20"/>
              </w:rPr>
              <w:t>#2</w:t>
            </w:r>
          </w:p>
        </w:tc>
        <w:tc>
          <w:tcPr>
            <w:tcW w:w="7156" w:type="dxa"/>
            <w:tcBorders>
              <w:top w:val="single" w:sz="8" w:space="0" w:color="auto"/>
              <w:left w:val="single" w:sz="8" w:space="0" w:color="auto"/>
              <w:bottom w:val="single" w:sz="8" w:space="0" w:color="auto"/>
              <w:right w:val="single" w:sz="8" w:space="0" w:color="auto"/>
            </w:tcBorders>
          </w:tcPr>
          <w:p w14:paraId="0D9DAB6D" w14:textId="77777777" w:rsidR="004E63D6" w:rsidRPr="00FA20CC" w:rsidRDefault="004E63D6" w:rsidP="00CA410A">
            <w:pPr>
              <w:pStyle w:val="TableText"/>
              <w:keepNext/>
              <w:rPr>
                <w:rFonts w:cs="Courier New"/>
                <w:szCs w:val="20"/>
              </w:rPr>
            </w:pPr>
            <w:r w:rsidRPr="00FA20CC">
              <w:rPr>
                <w:rFonts w:cs="Courier New"/>
                <w:szCs w:val="20"/>
              </w:rPr>
              <w:t>next generation sequencing OR NGS OR (gene* OR molecular OR DNA OR RNA OR comprehensive) AND (panel OR profile OR profiling OR sequencing OR test) OR high-throughput nucleotide sequencing[MeSH Terms] OR transcriptome</w:t>
            </w:r>
          </w:p>
        </w:tc>
        <w:tc>
          <w:tcPr>
            <w:tcW w:w="1046" w:type="dxa"/>
            <w:tcBorders>
              <w:top w:val="single" w:sz="8" w:space="0" w:color="auto"/>
              <w:left w:val="single" w:sz="8" w:space="0" w:color="auto"/>
              <w:bottom w:val="single" w:sz="8" w:space="0" w:color="auto"/>
              <w:right w:val="single" w:sz="8" w:space="0" w:color="auto"/>
            </w:tcBorders>
          </w:tcPr>
          <w:p w14:paraId="74C63A6E" w14:textId="729E99C1" w:rsidR="004E63D6" w:rsidRPr="00FA20CC" w:rsidRDefault="00C857F3" w:rsidP="00CA410A">
            <w:pPr>
              <w:pStyle w:val="TableText"/>
              <w:keepNext/>
              <w:jc w:val="right"/>
              <w:rPr>
                <w:rFonts w:cs="Courier New"/>
                <w:szCs w:val="20"/>
              </w:rPr>
            </w:pPr>
            <w:hyperlink r:id="rId62">
              <w:r w:rsidR="004E63D6" w:rsidRPr="00FA20CC">
                <w:rPr>
                  <w:rFonts w:cs="Courier New"/>
                  <w:szCs w:val="20"/>
                </w:rPr>
                <w:t>3,307,391</w:t>
              </w:r>
            </w:hyperlink>
          </w:p>
        </w:tc>
      </w:tr>
      <w:tr w:rsidR="004E63D6" w:rsidRPr="00FA20CC" w14:paraId="4997C4C4" w14:textId="77777777" w:rsidTr="00CA410A">
        <w:tc>
          <w:tcPr>
            <w:tcW w:w="813" w:type="dxa"/>
            <w:tcBorders>
              <w:top w:val="single" w:sz="8" w:space="0" w:color="auto"/>
              <w:left w:val="single" w:sz="8" w:space="0" w:color="auto"/>
              <w:bottom w:val="single" w:sz="8" w:space="0" w:color="auto"/>
              <w:right w:val="single" w:sz="8" w:space="0" w:color="auto"/>
            </w:tcBorders>
          </w:tcPr>
          <w:p w14:paraId="1F906215" w14:textId="77777777" w:rsidR="004E63D6" w:rsidRPr="00FA20CC" w:rsidRDefault="004E63D6" w:rsidP="00CA410A">
            <w:pPr>
              <w:pStyle w:val="TableText"/>
              <w:keepNext/>
              <w:rPr>
                <w:rFonts w:cs="Courier New"/>
                <w:szCs w:val="20"/>
              </w:rPr>
            </w:pPr>
            <w:r w:rsidRPr="00FA20CC">
              <w:rPr>
                <w:rFonts w:cs="Courier New"/>
                <w:szCs w:val="20"/>
              </w:rPr>
              <w:t>#3</w:t>
            </w:r>
          </w:p>
        </w:tc>
        <w:tc>
          <w:tcPr>
            <w:tcW w:w="7156" w:type="dxa"/>
            <w:tcBorders>
              <w:top w:val="single" w:sz="8" w:space="0" w:color="auto"/>
              <w:left w:val="single" w:sz="8" w:space="0" w:color="auto"/>
              <w:bottom w:val="single" w:sz="8" w:space="0" w:color="auto"/>
              <w:right w:val="single" w:sz="8" w:space="0" w:color="auto"/>
            </w:tcBorders>
          </w:tcPr>
          <w:p w14:paraId="010F7D99" w14:textId="77777777" w:rsidR="004E63D6" w:rsidRPr="00FA20CC" w:rsidRDefault="004E63D6" w:rsidP="00CA410A">
            <w:pPr>
              <w:pStyle w:val="TableText"/>
              <w:keepNext/>
              <w:rPr>
                <w:rFonts w:cs="Courier New"/>
                <w:szCs w:val="20"/>
              </w:rPr>
            </w:pPr>
            <w:r w:rsidRPr="00FA20CC">
              <w:rPr>
                <w:rFonts w:cs="Courier New"/>
                <w:szCs w:val="20"/>
              </w:rPr>
              <w:t>"economics"[MeSH Terms] OR "costs and cost analysis"[MeSH Terms] OR "cost allocation"[MeSH Terms] OR "cost benefit analysis"[MeSH Terms] OR "cost control"[MeSH Terms] OR "cost savings"[MeSH Terms] OR "cost of illness"[MeSH Terms] OR "health care costs"[MeSH Terms] OR "drug costs"[MeSH Terms] OR "health expenditures"[MeSH Terms] OR "economics, medical"[MeSH Terms] OR "economics, pharmaceutical"[ MeSH Terms] OR "fees and charges"[MeSH Terms] OR "budgets"[MeSH Terms] OR "cost"[All fields] OR "high cost"[All Fields] OR "low cost"[All Fields] OR "cost utility"[All Fields] OR "economics"[All Fields] OR "financial"[All Fields] OR "finance"[All Fields] OR "healthcare cost"[All Fields] OR "health care cost"[All Fields] OR "cost estimate"[All Fields] OR "unit cost"[All Fields] OR "economics, pharmaceutical"[MeSH Terms] OR ("economics"[All Fields] AND "pharmaceutical"[All Fields]) OR "pharmaceutical economics"[All Fields] OR "pharmacoeconomic"[All Fields] OR "commerce"[MeSH Terms] OR "commerce"[ All Fields] OR "price"[All Fields] OR (("costs"[All Fields] OR "cost"[All Fields]) AND "analysis"[All Fields]) OR "costs and cost analysis"[All Fields] OR "pricing"[All Fields] OR "cost-effectiveness"[All Fields] OR "cost effectiveness"[All Fields] OR "economic evaluation"[All Fields]</w:t>
            </w:r>
          </w:p>
        </w:tc>
        <w:tc>
          <w:tcPr>
            <w:tcW w:w="1046" w:type="dxa"/>
            <w:tcBorders>
              <w:top w:val="single" w:sz="8" w:space="0" w:color="auto"/>
              <w:left w:val="single" w:sz="8" w:space="0" w:color="auto"/>
              <w:bottom w:val="single" w:sz="8" w:space="0" w:color="auto"/>
              <w:right w:val="single" w:sz="8" w:space="0" w:color="auto"/>
            </w:tcBorders>
          </w:tcPr>
          <w:p w14:paraId="4A521260" w14:textId="497D7F5E" w:rsidR="004E63D6" w:rsidRPr="00FA20CC" w:rsidRDefault="00C857F3" w:rsidP="00CA410A">
            <w:pPr>
              <w:pStyle w:val="TableText"/>
              <w:keepNext/>
              <w:jc w:val="right"/>
              <w:rPr>
                <w:rFonts w:cs="Courier New"/>
                <w:szCs w:val="20"/>
              </w:rPr>
            </w:pPr>
            <w:hyperlink r:id="rId63">
              <w:r w:rsidR="004E63D6" w:rsidRPr="00FA20CC">
                <w:rPr>
                  <w:rFonts w:cs="Courier New"/>
                  <w:szCs w:val="20"/>
                </w:rPr>
                <w:t>1,796,377</w:t>
              </w:r>
            </w:hyperlink>
          </w:p>
        </w:tc>
      </w:tr>
      <w:tr w:rsidR="004E63D6" w:rsidRPr="00FA20CC" w14:paraId="6CD73A87" w14:textId="77777777" w:rsidTr="00CA410A">
        <w:tc>
          <w:tcPr>
            <w:tcW w:w="813" w:type="dxa"/>
            <w:tcBorders>
              <w:top w:val="single" w:sz="8" w:space="0" w:color="auto"/>
              <w:left w:val="single" w:sz="8" w:space="0" w:color="auto"/>
              <w:bottom w:val="single" w:sz="8" w:space="0" w:color="auto"/>
              <w:right w:val="single" w:sz="8" w:space="0" w:color="auto"/>
            </w:tcBorders>
          </w:tcPr>
          <w:p w14:paraId="5E647AFA" w14:textId="77777777" w:rsidR="004E63D6" w:rsidRPr="00FA20CC" w:rsidRDefault="004E63D6" w:rsidP="00CA410A">
            <w:pPr>
              <w:pStyle w:val="TableText"/>
              <w:keepNext/>
              <w:rPr>
                <w:rFonts w:cs="Courier New"/>
                <w:szCs w:val="20"/>
              </w:rPr>
            </w:pPr>
            <w:r w:rsidRPr="00FA20CC">
              <w:rPr>
                <w:rFonts w:cs="Courier New"/>
                <w:szCs w:val="20"/>
              </w:rPr>
              <w:t>#4</w:t>
            </w:r>
          </w:p>
        </w:tc>
        <w:tc>
          <w:tcPr>
            <w:tcW w:w="7156" w:type="dxa"/>
            <w:tcBorders>
              <w:top w:val="single" w:sz="8" w:space="0" w:color="auto"/>
              <w:left w:val="single" w:sz="8" w:space="0" w:color="auto"/>
              <w:bottom w:val="single" w:sz="8" w:space="0" w:color="auto"/>
              <w:right w:val="single" w:sz="8" w:space="0" w:color="auto"/>
            </w:tcBorders>
          </w:tcPr>
          <w:p w14:paraId="4FCEB89D" w14:textId="77777777" w:rsidR="004E63D6" w:rsidRPr="00FA20CC" w:rsidRDefault="004E63D6" w:rsidP="00CA410A">
            <w:pPr>
              <w:pStyle w:val="TableText"/>
              <w:keepNext/>
              <w:rPr>
                <w:rFonts w:cs="Courier New"/>
                <w:szCs w:val="20"/>
              </w:rPr>
            </w:pPr>
            <w:r w:rsidRPr="00FA20CC">
              <w:rPr>
                <w:rFonts w:cs="Courier New"/>
                <w:szCs w:val="20"/>
              </w:rPr>
              <w:t>#1 AND #2 AND #3</w:t>
            </w:r>
          </w:p>
        </w:tc>
        <w:tc>
          <w:tcPr>
            <w:tcW w:w="1046" w:type="dxa"/>
            <w:tcBorders>
              <w:top w:val="single" w:sz="8" w:space="0" w:color="auto"/>
              <w:left w:val="single" w:sz="8" w:space="0" w:color="auto"/>
              <w:bottom w:val="single" w:sz="8" w:space="0" w:color="auto"/>
              <w:right w:val="single" w:sz="8" w:space="0" w:color="auto"/>
            </w:tcBorders>
          </w:tcPr>
          <w:p w14:paraId="488D392C" w14:textId="6E8C1588" w:rsidR="004E63D6" w:rsidRPr="00FA20CC" w:rsidRDefault="00C857F3" w:rsidP="00CA410A">
            <w:pPr>
              <w:pStyle w:val="TableText"/>
              <w:keepNext/>
              <w:jc w:val="right"/>
              <w:rPr>
                <w:rFonts w:cs="Courier New"/>
                <w:szCs w:val="20"/>
              </w:rPr>
            </w:pPr>
            <w:hyperlink r:id="rId64">
              <w:r w:rsidR="004E63D6" w:rsidRPr="00FA20CC">
                <w:rPr>
                  <w:rFonts w:cs="Courier New"/>
                  <w:szCs w:val="20"/>
                </w:rPr>
                <w:t>1,147</w:t>
              </w:r>
            </w:hyperlink>
          </w:p>
        </w:tc>
      </w:tr>
      <w:tr w:rsidR="004E63D6" w:rsidRPr="00FA20CC" w14:paraId="032F98DD" w14:textId="77777777" w:rsidTr="00CA410A">
        <w:tc>
          <w:tcPr>
            <w:tcW w:w="9015"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17ED3C50" w14:textId="77777777" w:rsidR="004E63D6" w:rsidRPr="00FA20CC" w:rsidRDefault="004E63D6" w:rsidP="00CA410A">
            <w:pPr>
              <w:pStyle w:val="TableText"/>
              <w:keepNext/>
              <w:rPr>
                <w:rFonts w:cs="Courier New"/>
                <w:szCs w:val="20"/>
              </w:rPr>
            </w:pPr>
            <w:r w:rsidRPr="00FA20CC">
              <w:rPr>
                <w:rFonts w:cs="Courier New"/>
                <w:szCs w:val="20"/>
              </w:rPr>
              <w:t>Embase</w:t>
            </w:r>
          </w:p>
        </w:tc>
      </w:tr>
      <w:tr w:rsidR="004E63D6" w:rsidRPr="00FA20CC" w14:paraId="6864FB23" w14:textId="77777777" w:rsidTr="00CA410A">
        <w:tc>
          <w:tcPr>
            <w:tcW w:w="813" w:type="dxa"/>
            <w:tcBorders>
              <w:top w:val="single" w:sz="8" w:space="0" w:color="auto"/>
              <w:left w:val="single" w:sz="8" w:space="0" w:color="auto"/>
              <w:bottom w:val="single" w:sz="8" w:space="0" w:color="auto"/>
              <w:right w:val="single" w:sz="8" w:space="0" w:color="auto"/>
            </w:tcBorders>
          </w:tcPr>
          <w:p w14:paraId="54081AEB" w14:textId="77777777" w:rsidR="004E63D6" w:rsidRPr="00FA20CC" w:rsidRDefault="004E63D6" w:rsidP="00CA410A">
            <w:pPr>
              <w:pStyle w:val="TableText"/>
              <w:keepNext/>
              <w:rPr>
                <w:rFonts w:cs="Courier New"/>
                <w:szCs w:val="20"/>
              </w:rPr>
            </w:pPr>
            <w:r w:rsidRPr="00FA20CC">
              <w:rPr>
                <w:rFonts w:cs="Courier New"/>
                <w:szCs w:val="20"/>
              </w:rPr>
              <w:t>1</w:t>
            </w:r>
          </w:p>
        </w:tc>
        <w:tc>
          <w:tcPr>
            <w:tcW w:w="7156" w:type="dxa"/>
            <w:tcBorders>
              <w:top w:val="single" w:sz="8" w:space="0" w:color="auto"/>
              <w:left w:val="single" w:sz="8" w:space="0" w:color="auto"/>
              <w:bottom w:val="single" w:sz="8" w:space="0" w:color="auto"/>
              <w:right w:val="single" w:sz="8" w:space="0" w:color="auto"/>
            </w:tcBorders>
          </w:tcPr>
          <w:p w14:paraId="55FD91E6" w14:textId="77777777" w:rsidR="004E63D6" w:rsidRPr="00FA20CC" w:rsidRDefault="004E63D6" w:rsidP="00CA410A">
            <w:pPr>
              <w:pStyle w:val="TableText"/>
              <w:keepNext/>
              <w:rPr>
                <w:rFonts w:cs="Courier New"/>
                <w:szCs w:val="20"/>
              </w:rPr>
            </w:pPr>
            <w:r w:rsidRPr="00FA20CC">
              <w:rPr>
                <w:rFonts w:cs="Courier New"/>
                <w:szCs w:val="20"/>
              </w:rPr>
              <w:t>lung non small cell cancer/ or non small cell lung cancer/ or NSCLC.mp. or nonsmall cell lung.mp. or non small cell lung cancer.mp. or non small cell lung carcinoma.mp.</w:t>
            </w:r>
          </w:p>
        </w:tc>
        <w:tc>
          <w:tcPr>
            <w:tcW w:w="1046" w:type="dxa"/>
            <w:tcBorders>
              <w:top w:val="single" w:sz="8" w:space="0" w:color="auto"/>
              <w:left w:val="single" w:sz="8" w:space="0" w:color="auto"/>
              <w:bottom w:val="single" w:sz="8" w:space="0" w:color="auto"/>
              <w:right w:val="single" w:sz="8" w:space="0" w:color="auto"/>
            </w:tcBorders>
          </w:tcPr>
          <w:p w14:paraId="7BD2FDF1" w14:textId="77777777" w:rsidR="004E63D6" w:rsidRPr="00FA20CC" w:rsidRDefault="004E63D6" w:rsidP="00CA410A">
            <w:pPr>
              <w:pStyle w:val="TableText"/>
              <w:keepNext/>
              <w:jc w:val="right"/>
              <w:rPr>
                <w:rFonts w:cs="Courier New"/>
                <w:szCs w:val="20"/>
              </w:rPr>
            </w:pPr>
            <w:r w:rsidRPr="00FA20CC">
              <w:rPr>
                <w:rFonts w:cs="Courier New"/>
                <w:szCs w:val="20"/>
              </w:rPr>
              <w:t>167,872</w:t>
            </w:r>
          </w:p>
        </w:tc>
      </w:tr>
      <w:tr w:rsidR="004E63D6" w:rsidRPr="00FA20CC" w14:paraId="4DC41325" w14:textId="77777777" w:rsidTr="00CA410A">
        <w:tc>
          <w:tcPr>
            <w:tcW w:w="813" w:type="dxa"/>
            <w:tcBorders>
              <w:top w:val="single" w:sz="8" w:space="0" w:color="auto"/>
              <w:left w:val="single" w:sz="8" w:space="0" w:color="auto"/>
              <w:bottom w:val="single" w:sz="8" w:space="0" w:color="auto"/>
              <w:right w:val="single" w:sz="8" w:space="0" w:color="auto"/>
            </w:tcBorders>
          </w:tcPr>
          <w:p w14:paraId="05035FD6" w14:textId="77777777" w:rsidR="004E63D6" w:rsidRPr="00FA20CC" w:rsidRDefault="004E63D6" w:rsidP="00CA410A">
            <w:pPr>
              <w:pStyle w:val="TableText"/>
              <w:keepNext/>
              <w:rPr>
                <w:rFonts w:cs="Courier New"/>
                <w:szCs w:val="20"/>
              </w:rPr>
            </w:pPr>
            <w:r w:rsidRPr="00FA20CC">
              <w:rPr>
                <w:rFonts w:cs="Courier New"/>
                <w:szCs w:val="20"/>
              </w:rPr>
              <w:t>2</w:t>
            </w:r>
          </w:p>
        </w:tc>
        <w:tc>
          <w:tcPr>
            <w:tcW w:w="7156" w:type="dxa"/>
            <w:tcBorders>
              <w:top w:val="single" w:sz="8" w:space="0" w:color="auto"/>
              <w:left w:val="single" w:sz="8" w:space="0" w:color="auto"/>
              <w:bottom w:val="single" w:sz="8" w:space="0" w:color="auto"/>
              <w:right w:val="single" w:sz="8" w:space="0" w:color="auto"/>
            </w:tcBorders>
          </w:tcPr>
          <w:p w14:paraId="6D803A5B" w14:textId="77777777" w:rsidR="004E63D6" w:rsidRPr="00FA20CC" w:rsidRDefault="004E63D6" w:rsidP="00CA410A">
            <w:pPr>
              <w:pStyle w:val="TableText"/>
              <w:keepNext/>
              <w:rPr>
                <w:rFonts w:cs="Courier New"/>
                <w:szCs w:val="20"/>
              </w:rPr>
            </w:pPr>
            <w:r w:rsidRPr="00FA20CC">
              <w:rPr>
                <w:rFonts w:cs="Courier New"/>
                <w:szCs w:val="20"/>
              </w:rPr>
              <w:t>next generation sequencing.mp. or high throughput sequencing/ or NGS.mp. or ((gene* or molecular or DNA or RNA or comprehensive) and (panel or profile or profiling or sequencing or test)).mp. or transcriptome/ or transcriptome.mp.</w:t>
            </w:r>
          </w:p>
        </w:tc>
        <w:tc>
          <w:tcPr>
            <w:tcW w:w="1046" w:type="dxa"/>
            <w:tcBorders>
              <w:top w:val="single" w:sz="8" w:space="0" w:color="auto"/>
              <w:left w:val="single" w:sz="8" w:space="0" w:color="auto"/>
              <w:bottom w:val="single" w:sz="8" w:space="0" w:color="auto"/>
              <w:right w:val="single" w:sz="8" w:space="0" w:color="auto"/>
            </w:tcBorders>
          </w:tcPr>
          <w:p w14:paraId="6B4B95F0" w14:textId="77777777" w:rsidR="004E63D6" w:rsidRPr="00FA20CC" w:rsidRDefault="004E63D6" w:rsidP="00CA410A">
            <w:pPr>
              <w:pStyle w:val="TableText"/>
              <w:keepNext/>
              <w:jc w:val="right"/>
              <w:rPr>
                <w:rFonts w:cs="Courier New"/>
                <w:szCs w:val="20"/>
              </w:rPr>
            </w:pPr>
            <w:r w:rsidRPr="00FA20CC">
              <w:rPr>
                <w:rFonts w:cs="Courier New"/>
                <w:szCs w:val="20"/>
              </w:rPr>
              <w:t>2,071,722</w:t>
            </w:r>
          </w:p>
        </w:tc>
      </w:tr>
      <w:tr w:rsidR="004E63D6" w:rsidRPr="00FA20CC" w14:paraId="550DE0B6" w14:textId="77777777" w:rsidTr="00CA410A">
        <w:tc>
          <w:tcPr>
            <w:tcW w:w="813" w:type="dxa"/>
            <w:tcBorders>
              <w:top w:val="single" w:sz="8" w:space="0" w:color="auto"/>
              <w:left w:val="single" w:sz="8" w:space="0" w:color="auto"/>
              <w:bottom w:val="single" w:sz="8" w:space="0" w:color="auto"/>
              <w:right w:val="single" w:sz="8" w:space="0" w:color="auto"/>
            </w:tcBorders>
          </w:tcPr>
          <w:p w14:paraId="761F4F20" w14:textId="77777777" w:rsidR="004E63D6" w:rsidRPr="00FA20CC" w:rsidRDefault="004E63D6" w:rsidP="00CA410A">
            <w:pPr>
              <w:pStyle w:val="TableText"/>
              <w:keepNext/>
              <w:rPr>
                <w:rFonts w:cs="Courier New"/>
                <w:szCs w:val="20"/>
              </w:rPr>
            </w:pPr>
            <w:r w:rsidRPr="00FA20CC">
              <w:rPr>
                <w:rFonts w:cs="Courier New"/>
                <w:szCs w:val="20"/>
              </w:rPr>
              <w:t>3</w:t>
            </w:r>
          </w:p>
        </w:tc>
        <w:tc>
          <w:tcPr>
            <w:tcW w:w="7156" w:type="dxa"/>
            <w:tcBorders>
              <w:top w:val="single" w:sz="8" w:space="0" w:color="auto"/>
              <w:left w:val="single" w:sz="8" w:space="0" w:color="auto"/>
              <w:bottom w:val="single" w:sz="8" w:space="0" w:color="auto"/>
              <w:right w:val="single" w:sz="8" w:space="0" w:color="auto"/>
            </w:tcBorders>
          </w:tcPr>
          <w:p w14:paraId="2A2B72EA" w14:textId="77777777" w:rsidR="004E63D6" w:rsidRPr="00FA20CC" w:rsidRDefault="004E63D6" w:rsidP="00CA410A">
            <w:pPr>
              <w:pStyle w:val="TableText"/>
              <w:keepNext/>
              <w:rPr>
                <w:rFonts w:cs="Courier New"/>
                <w:szCs w:val="20"/>
              </w:rPr>
            </w:pPr>
            <w:r w:rsidRPr="00FA20CC">
              <w:rPr>
                <w:rFonts w:cs="Courier New"/>
                <w:szCs w:val="20"/>
              </w:rPr>
              <w:t>health economics/ or cost/ or cost effectiveness analysis/ or health care cost/ or drug cost/ or pharmacoeconomics/ or budget/ or cost utility analysis/ or cost.mp. or cost effectiveness analysis.mp. or cost utility analysis.mp. or health economics.mp.</w:t>
            </w:r>
          </w:p>
        </w:tc>
        <w:tc>
          <w:tcPr>
            <w:tcW w:w="1046" w:type="dxa"/>
            <w:tcBorders>
              <w:top w:val="single" w:sz="8" w:space="0" w:color="auto"/>
              <w:left w:val="single" w:sz="8" w:space="0" w:color="auto"/>
              <w:bottom w:val="single" w:sz="8" w:space="0" w:color="auto"/>
              <w:right w:val="single" w:sz="8" w:space="0" w:color="auto"/>
            </w:tcBorders>
          </w:tcPr>
          <w:p w14:paraId="5FE45140" w14:textId="77777777" w:rsidR="004E63D6" w:rsidRPr="00FA20CC" w:rsidRDefault="004E63D6" w:rsidP="00CA410A">
            <w:pPr>
              <w:pStyle w:val="TableText"/>
              <w:keepNext/>
              <w:jc w:val="right"/>
              <w:rPr>
                <w:rFonts w:cs="Courier New"/>
                <w:szCs w:val="20"/>
              </w:rPr>
            </w:pPr>
            <w:r w:rsidRPr="00FA20CC">
              <w:rPr>
                <w:rFonts w:cs="Courier New"/>
                <w:szCs w:val="20"/>
              </w:rPr>
              <w:t>1,043,896</w:t>
            </w:r>
          </w:p>
        </w:tc>
      </w:tr>
      <w:tr w:rsidR="004E63D6" w:rsidRPr="00FA20CC" w14:paraId="035F5265" w14:textId="77777777" w:rsidTr="00CA410A">
        <w:tc>
          <w:tcPr>
            <w:tcW w:w="813" w:type="dxa"/>
            <w:tcBorders>
              <w:top w:val="single" w:sz="8" w:space="0" w:color="auto"/>
              <w:left w:val="single" w:sz="8" w:space="0" w:color="auto"/>
              <w:bottom w:val="single" w:sz="8" w:space="0" w:color="auto"/>
              <w:right w:val="single" w:sz="8" w:space="0" w:color="auto"/>
            </w:tcBorders>
          </w:tcPr>
          <w:p w14:paraId="10728581" w14:textId="77777777" w:rsidR="004E63D6" w:rsidRPr="00FA20CC" w:rsidRDefault="004E63D6" w:rsidP="00CA410A">
            <w:pPr>
              <w:pStyle w:val="TableText"/>
              <w:keepNext/>
              <w:rPr>
                <w:rFonts w:cs="Courier New"/>
                <w:szCs w:val="20"/>
              </w:rPr>
            </w:pPr>
            <w:r w:rsidRPr="00FA20CC">
              <w:rPr>
                <w:rFonts w:cs="Courier New"/>
                <w:szCs w:val="20"/>
              </w:rPr>
              <w:t>4</w:t>
            </w:r>
          </w:p>
        </w:tc>
        <w:tc>
          <w:tcPr>
            <w:tcW w:w="7156" w:type="dxa"/>
            <w:tcBorders>
              <w:top w:val="single" w:sz="8" w:space="0" w:color="auto"/>
              <w:left w:val="single" w:sz="8" w:space="0" w:color="auto"/>
              <w:bottom w:val="single" w:sz="8" w:space="0" w:color="auto"/>
              <w:right w:val="single" w:sz="8" w:space="0" w:color="auto"/>
            </w:tcBorders>
          </w:tcPr>
          <w:p w14:paraId="1478621C" w14:textId="77777777" w:rsidR="004E63D6" w:rsidRPr="00FA20CC" w:rsidRDefault="004E63D6" w:rsidP="00CA410A">
            <w:pPr>
              <w:pStyle w:val="TableText"/>
              <w:keepNext/>
              <w:rPr>
                <w:rFonts w:cs="Courier New"/>
                <w:szCs w:val="20"/>
              </w:rPr>
            </w:pPr>
            <w:r w:rsidRPr="00FA20CC">
              <w:rPr>
                <w:rFonts w:cs="Courier New"/>
                <w:szCs w:val="20"/>
              </w:rPr>
              <w:t>1 and 2 and 3</w:t>
            </w:r>
          </w:p>
        </w:tc>
        <w:tc>
          <w:tcPr>
            <w:tcW w:w="1046" w:type="dxa"/>
            <w:tcBorders>
              <w:top w:val="single" w:sz="8" w:space="0" w:color="auto"/>
              <w:left w:val="single" w:sz="8" w:space="0" w:color="auto"/>
              <w:bottom w:val="single" w:sz="8" w:space="0" w:color="auto"/>
              <w:right w:val="single" w:sz="8" w:space="0" w:color="auto"/>
            </w:tcBorders>
          </w:tcPr>
          <w:p w14:paraId="69588125" w14:textId="77777777" w:rsidR="004E63D6" w:rsidRPr="00FA20CC" w:rsidRDefault="004E63D6" w:rsidP="00CA410A">
            <w:pPr>
              <w:pStyle w:val="TableText"/>
              <w:keepNext/>
              <w:jc w:val="right"/>
              <w:rPr>
                <w:rFonts w:cs="Courier New"/>
                <w:szCs w:val="20"/>
              </w:rPr>
            </w:pPr>
            <w:r w:rsidRPr="00FA20CC">
              <w:rPr>
                <w:rFonts w:cs="Courier New"/>
                <w:szCs w:val="20"/>
              </w:rPr>
              <w:t>937</w:t>
            </w:r>
          </w:p>
        </w:tc>
      </w:tr>
      <w:tr w:rsidR="004E63D6" w:rsidRPr="006D7960" w14:paraId="4869ADE6" w14:textId="77777777" w:rsidTr="00CA410A">
        <w:tc>
          <w:tcPr>
            <w:tcW w:w="9015" w:type="dxa"/>
            <w:gridSpan w:val="3"/>
            <w:tcBorders>
              <w:top w:val="single" w:sz="8" w:space="0" w:color="auto"/>
              <w:left w:val="single" w:sz="8" w:space="0" w:color="000000" w:themeColor="text1"/>
              <w:bottom w:val="single" w:sz="8" w:space="0" w:color="000000" w:themeColor="text1"/>
              <w:right w:val="single" w:sz="8" w:space="0" w:color="000000" w:themeColor="text1"/>
            </w:tcBorders>
          </w:tcPr>
          <w:p w14:paraId="7AE89A05" w14:textId="77777777" w:rsidR="004E63D6" w:rsidRPr="006D7960" w:rsidRDefault="004E63D6" w:rsidP="00CA410A">
            <w:pPr>
              <w:pStyle w:val="TableText"/>
              <w:keepNext/>
              <w:rPr>
                <w:rFonts w:cs="Courier New"/>
                <w:b/>
                <w:szCs w:val="20"/>
              </w:rPr>
            </w:pPr>
            <w:r w:rsidRPr="006D7960">
              <w:rPr>
                <w:rFonts w:cs="Courier New"/>
                <w:b/>
                <w:szCs w:val="20"/>
              </w:rPr>
              <w:t>Combined results</w:t>
            </w:r>
          </w:p>
        </w:tc>
      </w:tr>
      <w:tr w:rsidR="004E63D6" w:rsidRPr="00FA20CC" w14:paraId="13D06290" w14:textId="77777777" w:rsidTr="00CA410A">
        <w:tc>
          <w:tcPr>
            <w:tcW w:w="813" w:type="dxa"/>
            <w:tcBorders>
              <w:top w:val="single" w:sz="8" w:space="0" w:color="auto"/>
              <w:left w:val="single" w:sz="8" w:space="0" w:color="auto"/>
              <w:bottom w:val="single" w:sz="8" w:space="0" w:color="auto"/>
              <w:right w:val="single" w:sz="8" w:space="0" w:color="auto"/>
            </w:tcBorders>
          </w:tcPr>
          <w:p w14:paraId="1941229B" w14:textId="77777777" w:rsidR="004E63D6" w:rsidRPr="00FA20CC" w:rsidRDefault="004E63D6" w:rsidP="00CA410A">
            <w:pPr>
              <w:pStyle w:val="TableText"/>
              <w:keepNext/>
              <w:rPr>
                <w:rFonts w:cs="Courier New"/>
                <w:szCs w:val="20"/>
              </w:rPr>
            </w:pPr>
          </w:p>
        </w:tc>
        <w:tc>
          <w:tcPr>
            <w:tcW w:w="7156" w:type="dxa"/>
            <w:tcBorders>
              <w:top w:val="single" w:sz="8" w:space="0" w:color="auto"/>
              <w:left w:val="single" w:sz="8" w:space="0" w:color="auto"/>
              <w:bottom w:val="single" w:sz="8" w:space="0" w:color="auto"/>
              <w:right w:val="single" w:sz="8" w:space="0" w:color="auto"/>
            </w:tcBorders>
          </w:tcPr>
          <w:p w14:paraId="72D943CF" w14:textId="77777777" w:rsidR="004E63D6" w:rsidRPr="00FA20CC" w:rsidRDefault="004E63D6" w:rsidP="00CA410A">
            <w:pPr>
              <w:pStyle w:val="TableText"/>
              <w:keepNext/>
              <w:rPr>
                <w:rFonts w:cs="Courier New"/>
                <w:szCs w:val="20"/>
              </w:rPr>
            </w:pPr>
            <w:r w:rsidRPr="00FA20CC">
              <w:rPr>
                <w:rFonts w:cs="Courier New"/>
                <w:szCs w:val="20"/>
              </w:rPr>
              <w:t>Total, after duplicates were excluded</w:t>
            </w:r>
          </w:p>
        </w:tc>
        <w:tc>
          <w:tcPr>
            <w:tcW w:w="1046" w:type="dxa"/>
            <w:tcBorders>
              <w:top w:val="single" w:sz="8" w:space="0" w:color="auto"/>
              <w:left w:val="single" w:sz="8" w:space="0" w:color="auto"/>
              <w:bottom w:val="single" w:sz="8" w:space="0" w:color="auto"/>
              <w:right w:val="single" w:sz="8" w:space="0" w:color="auto"/>
            </w:tcBorders>
          </w:tcPr>
          <w:p w14:paraId="140B628C" w14:textId="77777777" w:rsidR="004E63D6" w:rsidRPr="00FA20CC" w:rsidRDefault="004E63D6" w:rsidP="00CA410A">
            <w:pPr>
              <w:pStyle w:val="TableText"/>
              <w:keepNext/>
              <w:jc w:val="right"/>
              <w:rPr>
                <w:rFonts w:cs="Courier New"/>
                <w:szCs w:val="20"/>
              </w:rPr>
            </w:pPr>
            <w:r w:rsidRPr="00FA20CC">
              <w:rPr>
                <w:rFonts w:cs="Courier New"/>
                <w:szCs w:val="20"/>
              </w:rPr>
              <w:t>1,820</w:t>
            </w:r>
          </w:p>
        </w:tc>
      </w:tr>
      <w:tr w:rsidR="004E63D6" w:rsidRPr="00FA20CC" w14:paraId="70206A0E" w14:textId="77777777" w:rsidTr="00CA410A">
        <w:tc>
          <w:tcPr>
            <w:tcW w:w="813" w:type="dxa"/>
            <w:tcBorders>
              <w:top w:val="single" w:sz="8" w:space="0" w:color="auto"/>
              <w:left w:val="single" w:sz="8" w:space="0" w:color="auto"/>
              <w:bottom w:val="single" w:sz="8" w:space="0" w:color="auto"/>
              <w:right w:val="single" w:sz="8" w:space="0" w:color="auto"/>
            </w:tcBorders>
          </w:tcPr>
          <w:p w14:paraId="3C61EFA7" w14:textId="77777777" w:rsidR="004E63D6" w:rsidRPr="00FA20CC" w:rsidRDefault="004E63D6" w:rsidP="00CA410A">
            <w:pPr>
              <w:pStyle w:val="TableText"/>
              <w:keepNext/>
              <w:rPr>
                <w:rFonts w:cs="Courier New"/>
                <w:szCs w:val="20"/>
              </w:rPr>
            </w:pPr>
          </w:p>
        </w:tc>
        <w:tc>
          <w:tcPr>
            <w:tcW w:w="7156" w:type="dxa"/>
            <w:tcBorders>
              <w:top w:val="single" w:sz="8" w:space="0" w:color="auto"/>
              <w:left w:val="single" w:sz="8" w:space="0" w:color="auto"/>
              <w:bottom w:val="single" w:sz="8" w:space="0" w:color="auto"/>
              <w:right w:val="single" w:sz="8" w:space="0" w:color="auto"/>
            </w:tcBorders>
          </w:tcPr>
          <w:p w14:paraId="14339C22" w14:textId="77777777" w:rsidR="004E63D6" w:rsidRPr="00FA20CC" w:rsidRDefault="004E63D6" w:rsidP="00CA410A">
            <w:pPr>
              <w:pStyle w:val="TableText"/>
              <w:keepNext/>
              <w:rPr>
                <w:rFonts w:cs="Courier New"/>
                <w:szCs w:val="20"/>
              </w:rPr>
            </w:pPr>
            <w:r w:rsidRPr="00FA20CC">
              <w:rPr>
                <w:rFonts w:cs="Courier New"/>
                <w:szCs w:val="20"/>
              </w:rPr>
              <w:t>Studies identified from pearling</w:t>
            </w:r>
          </w:p>
        </w:tc>
        <w:tc>
          <w:tcPr>
            <w:tcW w:w="1046" w:type="dxa"/>
            <w:tcBorders>
              <w:top w:val="single" w:sz="8" w:space="0" w:color="auto"/>
              <w:left w:val="single" w:sz="8" w:space="0" w:color="auto"/>
              <w:bottom w:val="single" w:sz="8" w:space="0" w:color="auto"/>
              <w:right w:val="single" w:sz="8" w:space="0" w:color="auto"/>
            </w:tcBorders>
          </w:tcPr>
          <w:p w14:paraId="1AF97C40" w14:textId="77777777" w:rsidR="004E63D6" w:rsidRPr="00FA20CC" w:rsidRDefault="004E63D6" w:rsidP="00CA410A">
            <w:pPr>
              <w:pStyle w:val="TableText"/>
              <w:keepNext/>
              <w:jc w:val="right"/>
              <w:rPr>
                <w:rFonts w:cs="Courier New"/>
                <w:szCs w:val="20"/>
              </w:rPr>
            </w:pPr>
            <w:r>
              <w:rPr>
                <w:rFonts w:cs="Courier New"/>
                <w:szCs w:val="20"/>
              </w:rPr>
              <w:t>0</w:t>
            </w:r>
          </w:p>
        </w:tc>
      </w:tr>
      <w:tr w:rsidR="004E63D6" w:rsidRPr="00FA20CC" w14:paraId="7FF8FFBF" w14:textId="77777777" w:rsidTr="00CA410A">
        <w:tc>
          <w:tcPr>
            <w:tcW w:w="813" w:type="dxa"/>
            <w:tcBorders>
              <w:top w:val="single" w:sz="8" w:space="0" w:color="auto"/>
              <w:left w:val="single" w:sz="8" w:space="0" w:color="auto"/>
              <w:bottom w:val="single" w:sz="8" w:space="0" w:color="auto"/>
              <w:right w:val="single" w:sz="8" w:space="0" w:color="auto"/>
            </w:tcBorders>
          </w:tcPr>
          <w:p w14:paraId="26918DE1" w14:textId="77777777" w:rsidR="004E63D6" w:rsidRPr="00FA20CC" w:rsidRDefault="004E63D6" w:rsidP="00CA410A">
            <w:pPr>
              <w:pStyle w:val="TableText"/>
              <w:keepNext/>
              <w:rPr>
                <w:rFonts w:cs="Courier New"/>
                <w:szCs w:val="20"/>
              </w:rPr>
            </w:pPr>
          </w:p>
        </w:tc>
        <w:tc>
          <w:tcPr>
            <w:tcW w:w="7156" w:type="dxa"/>
            <w:tcBorders>
              <w:top w:val="single" w:sz="8" w:space="0" w:color="auto"/>
              <w:left w:val="single" w:sz="8" w:space="0" w:color="auto"/>
              <w:bottom w:val="single" w:sz="8" w:space="0" w:color="auto"/>
              <w:right w:val="single" w:sz="8" w:space="0" w:color="auto"/>
            </w:tcBorders>
          </w:tcPr>
          <w:p w14:paraId="38FCAEB4" w14:textId="77777777" w:rsidR="004E63D6" w:rsidRPr="00FA20CC" w:rsidRDefault="004E63D6" w:rsidP="00CA410A">
            <w:pPr>
              <w:pStyle w:val="TableText"/>
              <w:keepNext/>
              <w:rPr>
                <w:rFonts w:cs="Courier New"/>
                <w:szCs w:val="20"/>
              </w:rPr>
            </w:pPr>
            <w:r w:rsidRPr="00FA20CC">
              <w:rPr>
                <w:rFonts w:cs="Courier New"/>
                <w:szCs w:val="20"/>
              </w:rPr>
              <w:t>Total studies included</w:t>
            </w:r>
          </w:p>
        </w:tc>
        <w:tc>
          <w:tcPr>
            <w:tcW w:w="1046" w:type="dxa"/>
            <w:tcBorders>
              <w:top w:val="single" w:sz="8" w:space="0" w:color="auto"/>
              <w:left w:val="single" w:sz="8" w:space="0" w:color="auto"/>
              <w:bottom w:val="single" w:sz="8" w:space="0" w:color="auto"/>
              <w:right w:val="single" w:sz="8" w:space="0" w:color="auto"/>
            </w:tcBorders>
          </w:tcPr>
          <w:p w14:paraId="50C7118C" w14:textId="77777777" w:rsidR="004E63D6" w:rsidRPr="00FA20CC" w:rsidRDefault="004E63D6" w:rsidP="00CA410A">
            <w:pPr>
              <w:pStyle w:val="TableText"/>
              <w:keepNext/>
              <w:jc w:val="right"/>
              <w:rPr>
                <w:rFonts w:cs="Courier New"/>
                <w:szCs w:val="20"/>
              </w:rPr>
            </w:pPr>
            <w:r>
              <w:rPr>
                <w:rFonts w:cs="Courier New"/>
                <w:szCs w:val="20"/>
              </w:rPr>
              <w:t>8</w:t>
            </w:r>
          </w:p>
        </w:tc>
      </w:tr>
    </w:tbl>
    <w:p w14:paraId="0E784511" w14:textId="77777777" w:rsidR="004E63D6" w:rsidRPr="00FA20CC" w:rsidRDefault="004E63D6" w:rsidP="004E63D6">
      <w:pPr>
        <w:pStyle w:val="TableFooter"/>
      </w:pPr>
      <w:r w:rsidRPr="00FA20CC">
        <w:t>Search conducted 27/5/22</w:t>
      </w:r>
    </w:p>
    <w:p w14:paraId="36FE4843" w14:textId="77BD7C48" w:rsidR="004E63D6" w:rsidRDefault="004E63D6" w:rsidP="004E63D6">
      <w:pPr>
        <w:pStyle w:val="Caption"/>
      </w:pPr>
      <w:bookmarkStart w:id="328" w:name="_Ref108347313"/>
      <w:r w:rsidRPr="00CE28E3">
        <w:lastRenderedPageBreak/>
        <w:t>Table</w:t>
      </w:r>
      <w:r>
        <w:t> </w:t>
      </w:r>
      <w:fldSimple w:instr=" SEQ Table \* ARABIC ">
        <w:r w:rsidR="00C857F3">
          <w:rPr>
            <w:noProof/>
          </w:rPr>
          <w:t>91</w:t>
        </w:r>
      </w:fldSimple>
      <w:bookmarkEnd w:id="328"/>
      <w:r w:rsidRPr="00CE28E3">
        <w:tab/>
      </w:r>
      <w:r>
        <w:t>Summary of existing economic literature</w:t>
      </w:r>
    </w:p>
    <w:tbl>
      <w:tblPr>
        <w:tblStyle w:val="TableGrid"/>
        <w:tblW w:w="5000" w:type="pct"/>
        <w:tblLook w:val="04A0" w:firstRow="1" w:lastRow="0" w:firstColumn="1" w:lastColumn="0" w:noHBand="0" w:noVBand="1"/>
        <w:tblCaption w:val="Summary of existing economic literature"/>
        <w:tblDescription w:val="Summary of existing economic literature"/>
      </w:tblPr>
      <w:tblGrid>
        <w:gridCol w:w="1271"/>
        <w:gridCol w:w="7745"/>
      </w:tblGrid>
      <w:tr w:rsidR="004E63D6" w:rsidRPr="008C5F9E" w14:paraId="74693026" w14:textId="77777777" w:rsidTr="00CA410A">
        <w:trPr>
          <w:cantSplit/>
          <w:trHeight w:val="20"/>
          <w:tblHeader/>
        </w:trPr>
        <w:tc>
          <w:tcPr>
            <w:tcW w:w="1271" w:type="dxa"/>
            <w:noWrap/>
            <w:hideMark/>
          </w:tcPr>
          <w:p w14:paraId="5426F6D3" w14:textId="77777777" w:rsidR="004E63D6" w:rsidRPr="008C5F9E" w:rsidRDefault="004E63D6" w:rsidP="00CA410A">
            <w:pPr>
              <w:pStyle w:val="TableHeading"/>
              <w:keepNext w:val="0"/>
              <w:rPr>
                <w:rFonts w:cs="Courier New"/>
                <w:szCs w:val="20"/>
              </w:rPr>
            </w:pPr>
            <w:r w:rsidRPr="008C5F9E">
              <w:rPr>
                <w:rFonts w:cs="Courier New"/>
                <w:szCs w:val="20"/>
              </w:rPr>
              <w:t>Study</w:t>
            </w:r>
          </w:p>
        </w:tc>
        <w:tc>
          <w:tcPr>
            <w:tcW w:w="7745" w:type="dxa"/>
            <w:noWrap/>
            <w:hideMark/>
          </w:tcPr>
          <w:p w14:paraId="75D7D73D" w14:textId="77777777" w:rsidR="004E63D6" w:rsidRPr="008C5F9E" w:rsidRDefault="004E63D6" w:rsidP="00CA410A">
            <w:pPr>
              <w:pStyle w:val="TableHeading"/>
              <w:keepNext w:val="0"/>
              <w:rPr>
                <w:rFonts w:cs="Courier New"/>
                <w:szCs w:val="20"/>
              </w:rPr>
            </w:pPr>
            <w:r w:rsidRPr="008C5F9E">
              <w:rPr>
                <w:rFonts w:cs="Courier New"/>
                <w:szCs w:val="20"/>
              </w:rPr>
              <w:t>Summary</w:t>
            </w:r>
          </w:p>
        </w:tc>
      </w:tr>
      <w:tr w:rsidR="004E63D6" w:rsidRPr="008C5F9E" w14:paraId="019B2D9E" w14:textId="77777777" w:rsidTr="00CA410A">
        <w:trPr>
          <w:cantSplit/>
          <w:trHeight w:val="20"/>
        </w:trPr>
        <w:tc>
          <w:tcPr>
            <w:tcW w:w="1271" w:type="dxa"/>
            <w:hideMark/>
          </w:tcPr>
          <w:p w14:paraId="02691EB7" w14:textId="77777777" w:rsidR="004E63D6" w:rsidRPr="008C5F9E" w:rsidRDefault="004E63D6" w:rsidP="00CA410A">
            <w:pPr>
              <w:pStyle w:val="TableText"/>
              <w:rPr>
                <w:rFonts w:cs="Courier New"/>
                <w:snapToGrid w:val="0"/>
                <w:szCs w:val="20"/>
              </w:rPr>
            </w:pPr>
            <w:r w:rsidRPr="008C5F9E">
              <w:rPr>
                <w:rFonts w:cs="Courier New"/>
                <w:snapToGrid w:val="0"/>
                <w:szCs w:val="20"/>
              </w:rPr>
              <w:t xml:space="preserve">Vanderpoel </w:t>
            </w:r>
            <w:r>
              <w:rPr>
                <w:rFonts w:cs="Courier New"/>
                <w:snapToGrid w:val="0"/>
                <w:szCs w:val="20"/>
              </w:rPr>
              <w:t xml:space="preserve">et al. </w:t>
            </w:r>
            <w:r>
              <w:rPr>
                <w:rFonts w:cs="Courier New"/>
                <w:snapToGrid w:val="0"/>
                <w:szCs w:val="20"/>
              </w:rPr>
              <w:fldChar w:fldCharType="begin">
                <w:fldData xml:space="preserve">PEVuZE5vdGU+PENpdGUgRXhjbHVkZUF1dGg9IjEiPjxBdXRob3I+VmFuZGVycG9lbDwvQXV0aG9y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</w:fldData>
              </w:fldChar>
            </w:r>
            <w:r>
              <w:rPr>
                <w:rFonts w:cs="Courier New"/>
                <w:snapToGrid w:val="0"/>
                <w:szCs w:val="20"/>
              </w:rPr>
              <w:instrText xml:space="preserve"> ADDIN EN.CITE </w:instrText>
            </w:r>
            <w:r>
              <w:rPr>
                <w:rFonts w:cs="Courier New"/>
                <w:snapToGrid w:val="0"/>
                <w:szCs w:val="20"/>
              </w:rPr>
              <w:fldChar w:fldCharType="begin">
                <w:fldData xml:space="preserve">PEVuZE5vdGU+PENpdGUgRXhjbHVkZUF1dGg9IjEiPjxBdXRob3I+VmFuZGVycG9lbDwvQXV0aG9y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</w:fldData>
              </w:fldChar>
            </w:r>
            <w:r>
              <w:rPr>
                <w:rFonts w:cs="Courier New"/>
                <w:snapToGrid w:val="0"/>
                <w:szCs w:val="20"/>
              </w:rPr>
              <w:instrText xml:space="preserve"> ADDIN EN.CITE.DATA </w:instrText>
            </w:r>
            <w:r>
              <w:rPr>
                <w:rFonts w:cs="Courier New"/>
                <w:snapToGrid w:val="0"/>
                <w:szCs w:val="20"/>
              </w:rPr>
            </w:r>
            <w:r>
              <w:rPr>
                <w:rFonts w:cs="Courier New"/>
                <w:snapToGrid w:val="0"/>
                <w:szCs w:val="20"/>
              </w:rPr>
              <w:fldChar w:fldCharType="end"/>
            </w:r>
            <w:r>
              <w:rPr>
                <w:rFonts w:cs="Courier New"/>
                <w:snapToGrid w:val="0"/>
                <w:szCs w:val="20"/>
              </w:rPr>
            </w:r>
            <w:r>
              <w:rPr>
                <w:rFonts w:cs="Courier New"/>
                <w:snapToGrid w:val="0"/>
                <w:szCs w:val="20"/>
              </w:rPr>
              <w:fldChar w:fldCharType="separate"/>
            </w:r>
            <w:r>
              <w:rPr>
                <w:rFonts w:cs="Courier New"/>
                <w:noProof/>
                <w:snapToGrid w:val="0"/>
                <w:szCs w:val="20"/>
              </w:rPr>
              <w:t>(2022)</w:t>
            </w:r>
            <w:r>
              <w:rPr>
                <w:rFonts w:cs="Courier New"/>
                <w:snapToGrid w:val="0"/>
                <w:szCs w:val="20"/>
              </w:rPr>
              <w:fldChar w:fldCharType="end"/>
            </w:r>
          </w:p>
        </w:tc>
        <w:tc>
          <w:tcPr>
            <w:tcW w:w="7745" w:type="dxa"/>
            <w:hideMark/>
          </w:tcPr>
          <w:p w14:paraId="15CBFE2B" w14:textId="77777777" w:rsidR="004E63D6" w:rsidRPr="008C5F9E" w:rsidRDefault="004E63D6" w:rsidP="00CA410A">
            <w:pPr>
              <w:pStyle w:val="TableText"/>
              <w:rPr>
                <w:rFonts w:cs="Courier New"/>
                <w:snapToGrid w:val="0"/>
                <w:szCs w:val="20"/>
              </w:rPr>
            </w:pPr>
            <w:r>
              <w:rPr>
                <w:rFonts w:cs="Courier New"/>
                <w:snapToGrid w:val="0"/>
                <w:szCs w:val="20"/>
              </w:rPr>
              <w:t>US budget impact analysis that compared s</w:t>
            </w:r>
            <w:r w:rsidRPr="008C5F9E">
              <w:rPr>
                <w:rFonts w:cs="Courier New"/>
                <w:snapToGrid w:val="0"/>
                <w:szCs w:val="20"/>
              </w:rPr>
              <w:t>imultaneous panel testing (NGS) vs different scenarios of sequential testing in</w:t>
            </w:r>
            <w:r>
              <w:rPr>
                <w:rFonts w:cs="Courier New"/>
                <w:snapToGrid w:val="0"/>
                <w:szCs w:val="20"/>
              </w:rPr>
              <w:t xml:space="preserve"> patients with metastatic NSCLC. A d</w:t>
            </w:r>
            <w:r w:rsidRPr="008C5F9E">
              <w:rPr>
                <w:rFonts w:cs="Courier New"/>
                <w:snapToGrid w:val="0"/>
                <w:szCs w:val="20"/>
              </w:rPr>
              <w:t xml:space="preserve">ecision-tree analytic </w:t>
            </w:r>
            <w:r>
              <w:rPr>
                <w:rFonts w:cs="Courier New"/>
                <w:snapToGrid w:val="0"/>
                <w:szCs w:val="20"/>
              </w:rPr>
              <w:t xml:space="preserve">was used </w:t>
            </w:r>
            <w:r w:rsidRPr="008C5F9E">
              <w:rPr>
                <w:rFonts w:cs="Courier New"/>
                <w:snapToGrid w:val="0"/>
                <w:szCs w:val="20"/>
              </w:rPr>
              <w:t>that measured cost, number of actionable variants and time to initiation of targeted therapy</w:t>
            </w:r>
            <w:r>
              <w:rPr>
                <w:rFonts w:cs="Courier New"/>
                <w:snapToGrid w:val="0"/>
                <w:szCs w:val="20"/>
              </w:rPr>
              <w:t xml:space="preserve">. </w:t>
            </w:r>
            <w:r w:rsidRPr="008C5F9E">
              <w:rPr>
                <w:rFonts w:cs="Courier New"/>
                <w:snapToGrid w:val="0"/>
                <w:szCs w:val="20"/>
              </w:rPr>
              <w:t>Test</w:t>
            </w:r>
            <w:r>
              <w:rPr>
                <w:rFonts w:cs="Courier New"/>
                <w:snapToGrid w:val="0"/>
                <w:szCs w:val="20"/>
              </w:rPr>
              <w:t xml:space="preserve"> costs</w:t>
            </w:r>
            <w:r w:rsidRPr="008C5F9E">
              <w:rPr>
                <w:rFonts w:cs="Courier New"/>
                <w:snapToGrid w:val="0"/>
                <w:szCs w:val="20"/>
              </w:rPr>
              <w:t xml:space="preserve"> and costs</w:t>
            </w:r>
            <w:r>
              <w:rPr>
                <w:rFonts w:cs="Courier New"/>
                <w:snapToGrid w:val="0"/>
                <w:szCs w:val="20"/>
              </w:rPr>
              <w:t xml:space="preserve"> related to</w:t>
            </w:r>
            <w:r w:rsidRPr="008C5F9E">
              <w:rPr>
                <w:rFonts w:cs="Courier New"/>
                <w:snapToGrid w:val="0"/>
                <w:szCs w:val="20"/>
              </w:rPr>
              <w:t xml:space="preserve"> testing</w:t>
            </w:r>
            <w:r>
              <w:rPr>
                <w:rFonts w:cs="Courier New"/>
                <w:snapToGrid w:val="0"/>
                <w:szCs w:val="20"/>
              </w:rPr>
              <w:t xml:space="preserve"> were included</w:t>
            </w:r>
            <w:r w:rsidRPr="008C5F9E">
              <w:rPr>
                <w:rFonts w:cs="Courier New"/>
                <w:snapToGrid w:val="0"/>
                <w:szCs w:val="20"/>
              </w:rPr>
              <w:t>, such as specialist and outpatient visits, and costs of rebiopsies and rebiopsy-related complications.</w:t>
            </w:r>
            <w:r>
              <w:rPr>
                <w:rFonts w:cs="Courier New"/>
                <w:snapToGrid w:val="0"/>
                <w:szCs w:val="20"/>
              </w:rPr>
              <w:t xml:space="preserve"> </w:t>
            </w:r>
          </w:p>
          <w:p w14:paraId="4DE26721" w14:textId="77777777" w:rsidR="004E63D6" w:rsidRPr="008C5F9E" w:rsidRDefault="004E63D6" w:rsidP="00CA410A">
            <w:pPr>
              <w:pStyle w:val="TableText"/>
              <w:rPr>
                <w:rFonts w:cs="Courier New"/>
                <w:snapToGrid w:val="0"/>
                <w:szCs w:val="20"/>
              </w:rPr>
            </w:pPr>
            <w:r w:rsidRPr="008C5F9E">
              <w:rPr>
                <w:rFonts w:cs="Courier New"/>
                <w:snapToGrid w:val="0"/>
                <w:szCs w:val="20"/>
              </w:rPr>
              <w:t>NGS found more patients with actionable variants, was associated with the shortest time-to-result and lowest cost per patient</w:t>
            </w:r>
            <w:r>
              <w:rPr>
                <w:rFonts w:cs="Courier New"/>
                <w:snapToGrid w:val="0"/>
                <w:szCs w:val="20"/>
              </w:rPr>
              <w:t xml:space="preserve">. The increase in </w:t>
            </w:r>
            <w:r w:rsidRPr="008C5F9E">
              <w:rPr>
                <w:rFonts w:cs="Courier New"/>
                <w:snapToGrid w:val="0"/>
                <w:szCs w:val="20"/>
              </w:rPr>
              <w:t xml:space="preserve">actionable variants </w:t>
            </w:r>
            <w:r>
              <w:rPr>
                <w:rFonts w:cs="Courier New"/>
                <w:snapToGrid w:val="0"/>
                <w:szCs w:val="20"/>
              </w:rPr>
              <w:t xml:space="preserve">was </w:t>
            </w:r>
            <w:r w:rsidRPr="008C5F9E">
              <w:rPr>
                <w:rFonts w:cs="Courier New"/>
                <w:snapToGrid w:val="0"/>
                <w:szCs w:val="20"/>
              </w:rPr>
              <w:t xml:space="preserve">due to an improvement in </w:t>
            </w:r>
            <w:r>
              <w:rPr>
                <w:rFonts w:cs="Courier New"/>
                <w:snapToGrid w:val="0"/>
                <w:szCs w:val="20"/>
              </w:rPr>
              <w:t xml:space="preserve">the </w:t>
            </w:r>
            <w:r w:rsidRPr="008C5F9E">
              <w:rPr>
                <w:rFonts w:cs="Courier New"/>
                <w:snapToGrid w:val="0"/>
                <w:szCs w:val="20"/>
              </w:rPr>
              <w:t>test success rates, and differences in rebiopsy uptake</w:t>
            </w:r>
            <w:r>
              <w:rPr>
                <w:rFonts w:cs="Courier New"/>
                <w:snapToGrid w:val="0"/>
                <w:szCs w:val="20"/>
              </w:rPr>
              <w:t>.</w:t>
            </w:r>
          </w:p>
        </w:tc>
      </w:tr>
      <w:tr w:rsidR="004E63D6" w:rsidRPr="001D153A" w14:paraId="5A0BAF9A" w14:textId="77777777" w:rsidTr="00CA410A">
        <w:trPr>
          <w:cantSplit/>
          <w:trHeight w:val="20"/>
        </w:trPr>
        <w:tc>
          <w:tcPr>
            <w:tcW w:w="1271" w:type="dxa"/>
            <w:hideMark/>
          </w:tcPr>
          <w:p w14:paraId="3931A498" w14:textId="77777777" w:rsidR="004E63D6" w:rsidRPr="008C5F9E" w:rsidRDefault="004E63D6" w:rsidP="00CA410A">
            <w:pPr>
              <w:pStyle w:val="TableText"/>
              <w:rPr>
                <w:rFonts w:cs="Courier New"/>
                <w:snapToGrid w:val="0"/>
                <w:szCs w:val="20"/>
              </w:rPr>
            </w:pPr>
            <w:r w:rsidRPr="008C5F9E">
              <w:rPr>
                <w:rFonts w:cs="Courier New"/>
                <w:snapToGrid w:val="0"/>
                <w:szCs w:val="20"/>
              </w:rPr>
              <w:t xml:space="preserve">Loong </w:t>
            </w:r>
            <w:r>
              <w:rPr>
                <w:rFonts w:cs="Courier New"/>
                <w:snapToGrid w:val="0"/>
                <w:szCs w:val="20"/>
              </w:rPr>
              <w:t xml:space="preserve">et al. </w:t>
            </w:r>
            <w:r>
              <w:rPr>
                <w:rFonts w:cs="Courier New"/>
                <w:snapToGrid w:val="0"/>
                <w:szCs w:val="20"/>
              </w:rPr>
              <w:fldChar w:fldCharType="begin">
                <w:fldData xml:space="preserve">PEVuZE5vdGU+PENpdGUgRXhjbHVkZUF1dGg9IjEiPjxBdXRob3I+TG9vbmc8L0F1dGhvcj48WWVh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</w:fldData>
              </w:fldChar>
            </w:r>
            <w:r>
              <w:rPr>
                <w:rFonts w:cs="Courier New"/>
                <w:snapToGrid w:val="0"/>
                <w:szCs w:val="20"/>
              </w:rPr>
              <w:instrText xml:space="preserve"> ADDIN EN.CITE </w:instrText>
            </w:r>
            <w:r>
              <w:rPr>
                <w:rFonts w:cs="Courier New"/>
                <w:snapToGrid w:val="0"/>
                <w:szCs w:val="20"/>
              </w:rPr>
              <w:fldChar w:fldCharType="begin">
                <w:fldData xml:space="preserve">PEVuZE5vdGU+PENpdGUgRXhjbHVkZUF1dGg9IjEiPjxBdXRob3I+TG9vbmc8L0F1dGhvcj48WWVh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</w:fldData>
              </w:fldChar>
            </w:r>
            <w:r>
              <w:rPr>
                <w:rFonts w:cs="Courier New"/>
                <w:snapToGrid w:val="0"/>
                <w:szCs w:val="20"/>
              </w:rPr>
              <w:instrText xml:space="preserve"> ADDIN EN.CITE.DATA </w:instrText>
            </w:r>
            <w:r>
              <w:rPr>
                <w:rFonts w:cs="Courier New"/>
                <w:snapToGrid w:val="0"/>
                <w:szCs w:val="20"/>
              </w:rPr>
            </w:r>
            <w:r>
              <w:rPr>
                <w:rFonts w:cs="Courier New"/>
                <w:snapToGrid w:val="0"/>
                <w:szCs w:val="20"/>
              </w:rPr>
              <w:fldChar w:fldCharType="end"/>
            </w:r>
            <w:r>
              <w:rPr>
                <w:rFonts w:cs="Courier New"/>
                <w:snapToGrid w:val="0"/>
                <w:szCs w:val="20"/>
              </w:rPr>
            </w:r>
            <w:r>
              <w:rPr>
                <w:rFonts w:cs="Courier New"/>
                <w:snapToGrid w:val="0"/>
                <w:szCs w:val="20"/>
              </w:rPr>
              <w:fldChar w:fldCharType="separate"/>
            </w:r>
            <w:r>
              <w:rPr>
                <w:rFonts w:cs="Courier New"/>
                <w:noProof/>
                <w:snapToGrid w:val="0"/>
                <w:szCs w:val="20"/>
              </w:rPr>
              <w:t>(2022)</w:t>
            </w:r>
            <w:r>
              <w:rPr>
                <w:rFonts w:cs="Courier New"/>
                <w:snapToGrid w:val="0"/>
                <w:szCs w:val="20"/>
              </w:rPr>
              <w:fldChar w:fldCharType="end"/>
            </w:r>
          </w:p>
        </w:tc>
        <w:tc>
          <w:tcPr>
            <w:tcW w:w="7745" w:type="dxa"/>
            <w:hideMark/>
          </w:tcPr>
          <w:p w14:paraId="40843CC7" w14:textId="77777777" w:rsidR="004E63D6" w:rsidRPr="008C5F9E" w:rsidRDefault="004E63D6" w:rsidP="00CA410A">
            <w:pPr>
              <w:pStyle w:val="TableText"/>
              <w:rPr>
                <w:rFonts w:cs="Courier New"/>
                <w:snapToGrid w:val="0"/>
                <w:szCs w:val="20"/>
              </w:rPr>
            </w:pPr>
            <w:r>
              <w:rPr>
                <w:rFonts w:cs="Courier New"/>
                <w:snapToGrid w:val="0"/>
                <w:szCs w:val="20"/>
              </w:rPr>
              <w:t>Hong Kong cost-consequence analysis that compared u</w:t>
            </w:r>
            <w:r w:rsidRPr="008C5F9E">
              <w:rPr>
                <w:rFonts w:cs="Courier New"/>
                <w:snapToGrid w:val="0"/>
                <w:szCs w:val="20"/>
              </w:rPr>
              <w:t>pfront NGS testing vs different scenarios of sequential testing in patients with metastatic NSCLC.</w:t>
            </w:r>
            <w:r>
              <w:rPr>
                <w:rFonts w:cs="Courier New"/>
                <w:snapToGrid w:val="0"/>
                <w:szCs w:val="20"/>
              </w:rPr>
              <w:t xml:space="preserve"> A d</w:t>
            </w:r>
            <w:r w:rsidRPr="008C5F9E">
              <w:rPr>
                <w:rFonts w:cs="Courier New"/>
                <w:snapToGrid w:val="0"/>
                <w:szCs w:val="20"/>
              </w:rPr>
              <w:t>ecision-tree analytic</w:t>
            </w:r>
            <w:r>
              <w:rPr>
                <w:rFonts w:cs="Courier New"/>
                <w:snapToGrid w:val="0"/>
                <w:szCs w:val="20"/>
              </w:rPr>
              <w:t xml:space="preserve"> was used</w:t>
            </w:r>
            <w:r w:rsidRPr="008C5F9E">
              <w:rPr>
                <w:rFonts w:cs="Courier New"/>
                <w:snapToGrid w:val="0"/>
                <w:szCs w:val="20"/>
              </w:rPr>
              <w:t xml:space="preserve"> that measured cost, number of actionable variants and time to initiation of targeted therapy</w:t>
            </w:r>
            <w:r>
              <w:rPr>
                <w:rFonts w:cs="Courier New"/>
                <w:snapToGrid w:val="0"/>
                <w:szCs w:val="20"/>
              </w:rPr>
              <w:t xml:space="preserve">. The analysis included </w:t>
            </w:r>
            <w:r w:rsidRPr="008C5F9E">
              <w:rPr>
                <w:rFonts w:cs="Courier New"/>
                <w:snapToGrid w:val="0"/>
                <w:szCs w:val="20"/>
              </w:rPr>
              <w:t xml:space="preserve">only </w:t>
            </w:r>
            <w:r>
              <w:rPr>
                <w:rFonts w:cs="Courier New"/>
                <w:snapToGrid w:val="0"/>
                <w:szCs w:val="20"/>
              </w:rPr>
              <w:t>g</w:t>
            </w:r>
            <w:r w:rsidRPr="008C5F9E">
              <w:rPr>
                <w:rFonts w:cs="Courier New"/>
                <w:snapToGrid w:val="0"/>
                <w:szCs w:val="20"/>
              </w:rPr>
              <w:t>enomic testing-related costs.</w:t>
            </w:r>
          </w:p>
          <w:p w14:paraId="2C1C7044" w14:textId="77777777" w:rsidR="004E63D6" w:rsidRPr="008C5F9E" w:rsidRDefault="004E63D6" w:rsidP="00CA410A">
            <w:pPr>
              <w:pStyle w:val="TableText"/>
              <w:rPr>
                <w:rFonts w:cs="Courier New"/>
                <w:snapToGrid w:val="0"/>
                <w:szCs w:val="20"/>
              </w:rPr>
            </w:pPr>
            <w:r w:rsidRPr="008C5F9E">
              <w:rPr>
                <w:rFonts w:cs="Courier New"/>
                <w:snapToGrid w:val="0"/>
                <w:szCs w:val="20"/>
              </w:rPr>
              <w:t>NGS was the most expensive, however was associated with 100% of actionable and non-actionable variants identified</w:t>
            </w:r>
            <w:r>
              <w:rPr>
                <w:rFonts w:cs="Courier New"/>
                <w:snapToGrid w:val="0"/>
                <w:szCs w:val="20"/>
              </w:rPr>
              <w:t xml:space="preserve"> and the average </w:t>
            </w:r>
            <w:r w:rsidRPr="008C5F9E">
              <w:rPr>
                <w:rFonts w:cs="Courier New"/>
                <w:snapToGrid w:val="0"/>
                <w:szCs w:val="20"/>
              </w:rPr>
              <w:t xml:space="preserve">time to appropriate treatment was 2 weeks (equal second). </w:t>
            </w:r>
            <w:r>
              <w:rPr>
                <w:rFonts w:cs="Courier New"/>
                <w:snapToGrid w:val="0"/>
                <w:szCs w:val="20"/>
              </w:rPr>
              <w:t xml:space="preserve">The increase in </w:t>
            </w:r>
            <w:r w:rsidRPr="008C5F9E">
              <w:rPr>
                <w:rFonts w:cs="Courier New"/>
                <w:snapToGrid w:val="0"/>
                <w:szCs w:val="20"/>
              </w:rPr>
              <w:t xml:space="preserve">actionable variants </w:t>
            </w:r>
            <w:r>
              <w:rPr>
                <w:rFonts w:cs="Courier New"/>
                <w:snapToGrid w:val="0"/>
                <w:szCs w:val="20"/>
              </w:rPr>
              <w:t xml:space="preserve">was </w:t>
            </w:r>
            <w:r w:rsidRPr="008C5F9E">
              <w:rPr>
                <w:rFonts w:cs="Courier New"/>
                <w:snapToGrid w:val="0"/>
                <w:szCs w:val="20"/>
              </w:rPr>
              <w:t>due to an improvement in test success rates</w:t>
            </w:r>
            <w:r>
              <w:rPr>
                <w:rFonts w:cs="Courier New"/>
                <w:snapToGrid w:val="0"/>
                <w:szCs w:val="20"/>
              </w:rPr>
              <w:t>.</w:t>
            </w:r>
            <w:r w:rsidRPr="008C5F9E">
              <w:rPr>
                <w:rFonts w:cs="Courier New"/>
                <w:snapToGrid w:val="0"/>
                <w:szCs w:val="20"/>
              </w:rPr>
              <w:t xml:space="preserve"> </w:t>
            </w:r>
            <w:r>
              <w:rPr>
                <w:rFonts w:cs="Courier New"/>
                <w:snapToGrid w:val="0"/>
                <w:szCs w:val="20"/>
              </w:rPr>
              <w:t>With s</w:t>
            </w:r>
            <w:r w:rsidRPr="008C5F9E">
              <w:rPr>
                <w:rFonts w:cs="Courier New"/>
                <w:snapToGrid w:val="0"/>
                <w:szCs w:val="20"/>
              </w:rPr>
              <w:t>equential testing</w:t>
            </w:r>
            <w:r>
              <w:rPr>
                <w:rFonts w:cs="Courier New"/>
                <w:snapToGrid w:val="0"/>
                <w:szCs w:val="20"/>
              </w:rPr>
              <w:t>,</w:t>
            </w:r>
            <w:r w:rsidRPr="008C5F9E">
              <w:rPr>
                <w:rFonts w:cs="Courier New"/>
                <w:snapToGrid w:val="0"/>
                <w:szCs w:val="20"/>
              </w:rPr>
              <w:t xml:space="preserve"> 92.6% of actionable variants and 49.8% of non-actionable variants</w:t>
            </w:r>
            <w:r>
              <w:rPr>
                <w:rFonts w:cs="Courier New"/>
                <w:snapToGrid w:val="0"/>
                <w:szCs w:val="20"/>
              </w:rPr>
              <w:t xml:space="preserve"> were </w:t>
            </w:r>
            <w:r w:rsidRPr="008C5F9E">
              <w:rPr>
                <w:rFonts w:cs="Courier New"/>
                <w:snapToGrid w:val="0"/>
                <w:szCs w:val="20"/>
              </w:rPr>
              <w:t xml:space="preserve">identified. This </w:t>
            </w:r>
            <w:r>
              <w:rPr>
                <w:rFonts w:cs="Courier New"/>
                <w:snapToGrid w:val="0"/>
                <w:szCs w:val="20"/>
              </w:rPr>
              <w:t xml:space="preserve">approach </w:t>
            </w:r>
            <w:r w:rsidRPr="008C5F9E">
              <w:rPr>
                <w:rFonts w:cs="Courier New"/>
                <w:snapToGrid w:val="0"/>
                <w:szCs w:val="20"/>
              </w:rPr>
              <w:t>was associated with the longest time to appropriate treatment (5.2 weeks)</w:t>
            </w:r>
            <w:r>
              <w:rPr>
                <w:rFonts w:cs="Courier New"/>
                <w:snapToGrid w:val="0"/>
                <w:szCs w:val="20"/>
              </w:rPr>
              <w:t>.</w:t>
            </w:r>
          </w:p>
        </w:tc>
      </w:tr>
      <w:tr w:rsidR="004E63D6" w:rsidRPr="001D153A" w14:paraId="331AB34E" w14:textId="77777777" w:rsidTr="00CA410A">
        <w:trPr>
          <w:cantSplit/>
          <w:trHeight w:val="20"/>
        </w:trPr>
        <w:tc>
          <w:tcPr>
            <w:tcW w:w="1271" w:type="dxa"/>
            <w:hideMark/>
          </w:tcPr>
          <w:p w14:paraId="0D5C8B0E" w14:textId="77777777" w:rsidR="004E63D6" w:rsidRPr="008C5F9E" w:rsidRDefault="004E63D6" w:rsidP="00CA410A">
            <w:pPr>
              <w:pStyle w:val="TableText"/>
              <w:rPr>
                <w:rFonts w:cs="Courier New"/>
                <w:snapToGrid w:val="0"/>
                <w:szCs w:val="20"/>
              </w:rPr>
            </w:pPr>
            <w:r w:rsidRPr="008C5F9E">
              <w:rPr>
                <w:rFonts w:cs="Courier New"/>
                <w:snapToGrid w:val="0"/>
                <w:szCs w:val="20"/>
              </w:rPr>
              <w:t xml:space="preserve">Dong </w:t>
            </w:r>
            <w:r>
              <w:rPr>
                <w:rFonts w:cs="Courier New"/>
                <w:snapToGrid w:val="0"/>
                <w:szCs w:val="20"/>
              </w:rPr>
              <w:t xml:space="preserve">et al. </w:t>
            </w:r>
            <w:r>
              <w:rPr>
                <w:rFonts w:cs="Courier New"/>
                <w:snapToGrid w:val="0"/>
                <w:szCs w:val="20"/>
              </w:rPr>
              <w:fldChar w:fldCharType="begin">
                <w:fldData xml:space="preserve">PEVuZE5vdGU+PENpdGUgRXhjbHVkZUF1dGg9IjEiPjxBdXRob3I+RG9uZzwvQXV0aG9yPjxZZWFy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</w:fldData>
              </w:fldChar>
            </w:r>
            <w:r>
              <w:rPr>
                <w:rFonts w:cs="Courier New"/>
                <w:snapToGrid w:val="0"/>
                <w:szCs w:val="20"/>
              </w:rPr>
              <w:instrText xml:space="preserve"> ADDIN EN.CITE </w:instrText>
            </w:r>
            <w:r>
              <w:rPr>
                <w:rFonts w:cs="Courier New"/>
                <w:snapToGrid w:val="0"/>
                <w:szCs w:val="20"/>
              </w:rPr>
              <w:fldChar w:fldCharType="begin">
                <w:fldData xml:space="preserve">PEVuZE5vdGU+PENpdGUgRXhjbHVkZUF1dGg9IjEiPjxBdXRob3I+RG9uZzwvQXV0aG9yPjxZZWFy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</w:fldData>
              </w:fldChar>
            </w:r>
            <w:r>
              <w:rPr>
                <w:rFonts w:cs="Courier New"/>
                <w:snapToGrid w:val="0"/>
                <w:szCs w:val="20"/>
              </w:rPr>
              <w:instrText xml:space="preserve"> ADDIN EN.CITE.DATA </w:instrText>
            </w:r>
            <w:r>
              <w:rPr>
                <w:rFonts w:cs="Courier New"/>
                <w:snapToGrid w:val="0"/>
                <w:szCs w:val="20"/>
              </w:rPr>
            </w:r>
            <w:r>
              <w:rPr>
                <w:rFonts w:cs="Courier New"/>
                <w:snapToGrid w:val="0"/>
                <w:szCs w:val="20"/>
              </w:rPr>
              <w:fldChar w:fldCharType="end"/>
            </w:r>
            <w:r>
              <w:rPr>
                <w:rFonts w:cs="Courier New"/>
                <w:snapToGrid w:val="0"/>
                <w:szCs w:val="20"/>
              </w:rPr>
            </w:r>
            <w:r>
              <w:rPr>
                <w:rFonts w:cs="Courier New"/>
                <w:snapToGrid w:val="0"/>
                <w:szCs w:val="20"/>
              </w:rPr>
              <w:fldChar w:fldCharType="separate"/>
            </w:r>
            <w:r>
              <w:rPr>
                <w:rFonts w:cs="Courier New"/>
                <w:noProof/>
                <w:snapToGrid w:val="0"/>
                <w:szCs w:val="20"/>
              </w:rPr>
              <w:t>(2022)</w:t>
            </w:r>
            <w:r>
              <w:rPr>
                <w:rFonts w:cs="Courier New"/>
                <w:snapToGrid w:val="0"/>
                <w:szCs w:val="20"/>
              </w:rPr>
              <w:fldChar w:fldCharType="end"/>
            </w:r>
          </w:p>
        </w:tc>
        <w:tc>
          <w:tcPr>
            <w:tcW w:w="7745" w:type="dxa"/>
            <w:hideMark/>
          </w:tcPr>
          <w:p w14:paraId="324F3EFA" w14:textId="77777777" w:rsidR="004E63D6" w:rsidRPr="008C5F9E" w:rsidRDefault="004E63D6" w:rsidP="00CA410A">
            <w:pPr>
              <w:pStyle w:val="TableText"/>
              <w:rPr>
                <w:rFonts w:cs="Courier New"/>
                <w:snapToGrid w:val="0"/>
                <w:szCs w:val="20"/>
              </w:rPr>
            </w:pPr>
            <w:r>
              <w:rPr>
                <w:rFonts w:cs="Courier New"/>
                <w:snapToGrid w:val="0"/>
                <w:szCs w:val="20"/>
              </w:rPr>
              <w:t>US cost-utility analysis that compared c</w:t>
            </w:r>
            <w:r w:rsidRPr="008C5F9E">
              <w:rPr>
                <w:rFonts w:cs="Courier New"/>
                <w:snapToGrid w:val="0"/>
                <w:szCs w:val="20"/>
              </w:rPr>
              <w:t xml:space="preserve">omprehensive genomic profiling (including </w:t>
            </w:r>
            <w:r w:rsidRPr="007D6676">
              <w:rPr>
                <w:rFonts w:cs="Courier New"/>
                <w:i/>
                <w:snapToGrid w:val="0"/>
                <w:szCs w:val="20"/>
              </w:rPr>
              <w:t>ALK</w:t>
            </w:r>
            <w:r w:rsidRPr="007D6676">
              <w:rPr>
                <w:rFonts w:cs="Courier New"/>
                <w:snapToGrid w:val="0"/>
                <w:szCs w:val="20"/>
              </w:rPr>
              <w:t xml:space="preserve">, </w:t>
            </w:r>
            <w:r w:rsidRPr="007D6676">
              <w:rPr>
                <w:rFonts w:cs="Courier New"/>
                <w:i/>
                <w:snapToGrid w:val="0"/>
                <w:szCs w:val="20"/>
              </w:rPr>
              <w:t>BRAF</w:t>
            </w:r>
            <w:r w:rsidRPr="007D6676">
              <w:rPr>
                <w:rFonts w:cs="Courier New"/>
                <w:snapToGrid w:val="0"/>
                <w:szCs w:val="20"/>
              </w:rPr>
              <w:t xml:space="preserve">, </w:t>
            </w:r>
            <w:r w:rsidRPr="007D6676">
              <w:rPr>
                <w:rFonts w:cs="Courier New"/>
                <w:i/>
                <w:snapToGrid w:val="0"/>
                <w:szCs w:val="20"/>
              </w:rPr>
              <w:t>EGFR</w:t>
            </w:r>
            <w:r w:rsidRPr="007D6676">
              <w:rPr>
                <w:rFonts w:cs="Courier New"/>
                <w:snapToGrid w:val="0"/>
                <w:szCs w:val="20"/>
              </w:rPr>
              <w:t xml:space="preserve">, </w:t>
            </w:r>
            <w:r w:rsidRPr="007D6676">
              <w:rPr>
                <w:rFonts w:cs="Courier New"/>
                <w:i/>
                <w:snapToGrid w:val="0"/>
                <w:szCs w:val="20"/>
              </w:rPr>
              <w:t>ERBB2</w:t>
            </w:r>
            <w:r w:rsidRPr="007D6676">
              <w:rPr>
                <w:rFonts w:cs="Courier New"/>
                <w:snapToGrid w:val="0"/>
                <w:szCs w:val="20"/>
              </w:rPr>
              <w:t xml:space="preserve">, </w:t>
            </w:r>
            <w:r w:rsidRPr="007D6676">
              <w:rPr>
                <w:rFonts w:cs="Courier New"/>
                <w:i/>
                <w:snapToGrid w:val="0"/>
                <w:szCs w:val="20"/>
              </w:rPr>
              <w:t>MET</w:t>
            </w:r>
            <w:r w:rsidRPr="007D6676">
              <w:rPr>
                <w:rFonts w:cs="Courier New"/>
                <w:snapToGrid w:val="0"/>
                <w:szCs w:val="20"/>
              </w:rPr>
              <w:t xml:space="preserve">, </w:t>
            </w:r>
            <w:r w:rsidRPr="007D6676">
              <w:rPr>
                <w:rFonts w:cs="Courier New"/>
                <w:i/>
                <w:snapToGrid w:val="0"/>
                <w:szCs w:val="20"/>
              </w:rPr>
              <w:t>NTRK1/2/3</w:t>
            </w:r>
            <w:r w:rsidRPr="007D6676">
              <w:rPr>
                <w:rFonts w:cs="Courier New"/>
                <w:snapToGrid w:val="0"/>
                <w:szCs w:val="20"/>
              </w:rPr>
              <w:t xml:space="preserve">, </w:t>
            </w:r>
            <w:r w:rsidRPr="007D6676">
              <w:rPr>
                <w:rFonts w:cs="Courier New"/>
                <w:i/>
                <w:snapToGrid w:val="0"/>
                <w:szCs w:val="20"/>
              </w:rPr>
              <w:t>RET</w:t>
            </w:r>
            <w:r w:rsidRPr="007D6676">
              <w:rPr>
                <w:rFonts w:cs="Courier New"/>
                <w:snapToGrid w:val="0"/>
                <w:szCs w:val="20"/>
              </w:rPr>
              <w:t xml:space="preserve">, and </w:t>
            </w:r>
            <w:r w:rsidRPr="007D6676">
              <w:rPr>
                <w:rFonts w:cs="Courier New"/>
                <w:i/>
                <w:snapToGrid w:val="0"/>
                <w:szCs w:val="20"/>
              </w:rPr>
              <w:t>ROS1</w:t>
            </w:r>
            <w:r w:rsidRPr="007D6676">
              <w:rPr>
                <w:rFonts w:cs="Courier New"/>
                <w:snapToGrid w:val="0"/>
                <w:szCs w:val="20"/>
              </w:rPr>
              <w:t>) vs targeted</w:t>
            </w:r>
            <w:r w:rsidRPr="008C5F9E">
              <w:rPr>
                <w:rFonts w:cs="Courier New"/>
                <w:snapToGrid w:val="0"/>
                <w:szCs w:val="20"/>
              </w:rPr>
              <w:t xml:space="preserve"> gene panel testing (</w:t>
            </w:r>
            <w:r w:rsidRPr="00CF1CED">
              <w:rPr>
                <w:rFonts w:cs="Courier New"/>
                <w:i/>
                <w:snapToGrid w:val="0"/>
                <w:szCs w:val="20"/>
              </w:rPr>
              <w:t>ALK</w:t>
            </w:r>
            <w:r w:rsidRPr="008C5F9E">
              <w:rPr>
                <w:rFonts w:cs="Courier New"/>
                <w:snapToGrid w:val="0"/>
                <w:szCs w:val="20"/>
              </w:rPr>
              <w:t xml:space="preserve">, </w:t>
            </w:r>
            <w:r w:rsidRPr="00CF1CED">
              <w:rPr>
                <w:rFonts w:cs="Courier New"/>
                <w:i/>
                <w:snapToGrid w:val="0"/>
                <w:szCs w:val="20"/>
              </w:rPr>
              <w:t>BRAF</w:t>
            </w:r>
            <w:r w:rsidRPr="008C5F9E">
              <w:rPr>
                <w:rFonts w:cs="Courier New"/>
                <w:snapToGrid w:val="0"/>
                <w:szCs w:val="20"/>
              </w:rPr>
              <w:t xml:space="preserve">, </w:t>
            </w:r>
            <w:r w:rsidRPr="00CF1CED">
              <w:rPr>
                <w:rFonts w:cs="Courier New"/>
                <w:i/>
                <w:snapToGrid w:val="0"/>
                <w:szCs w:val="20"/>
              </w:rPr>
              <w:t>EGFR</w:t>
            </w:r>
            <w:r w:rsidRPr="008C5F9E">
              <w:rPr>
                <w:rFonts w:cs="Courier New"/>
                <w:snapToGrid w:val="0"/>
                <w:szCs w:val="20"/>
              </w:rPr>
              <w:t xml:space="preserve">, and </w:t>
            </w:r>
            <w:r w:rsidRPr="00CF1CED">
              <w:rPr>
                <w:rFonts w:cs="Courier New"/>
                <w:i/>
                <w:snapToGrid w:val="0"/>
                <w:szCs w:val="20"/>
              </w:rPr>
              <w:t>ROS1</w:t>
            </w:r>
            <w:r w:rsidRPr="008C5F9E">
              <w:rPr>
                <w:rFonts w:cs="Courier New"/>
                <w:snapToGrid w:val="0"/>
                <w:szCs w:val="20"/>
              </w:rPr>
              <w:t xml:space="preserve"> by targeted sequencing that may include FISH) in patients with metastatic adenocarcinoma NSCLC.</w:t>
            </w:r>
            <w:r>
              <w:rPr>
                <w:rFonts w:cs="Courier New"/>
                <w:snapToGrid w:val="0"/>
                <w:szCs w:val="20"/>
              </w:rPr>
              <w:t xml:space="preserve"> A d</w:t>
            </w:r>
            <w:r w:rsidRPr="008C5F9E">
              <w:rPr>
                <w:rFonts w:cs="Courier New"/>
                <w:snapToGrid w:val="0"/>
                <w:szCs w:val="20"/>
              </w:rPr>
              <w:t xml:space="preserve">ecision-tree analytic </w:t>
            </w:r>
            <w:r>
              <w:rPr>
                <w:rFonts w:cs="Courier New"/>
                <w:snapToGrid w:val="0"/>
                <w:szCs w:val="20"/>
              </w:rPr>
              <w:t xml:space="preserve">was used </w:t>
            </w:r>
            <w:r w:rsidRPr="008C5F9E">
              <w:rPr>
                <w:rFonts w:cs="Courier New"/>
                <w:snapToGrid w:val="0"/>
                <w:szCs w:val="20"/>
              </w:rPr>
              <w:t xml:space="preserve">that assigned first-line treatment based on test results. Second-, third- and fourth-line treatment options were also modelled. Outcomes from each line of treatment (PFS, AEs and death prior to progression) were derived from the respective clinical </w:t>
            </w:r>
            <w:r>
              <w:rPr>
                <w:rFonts w:cs="Courier New"/>
                <w:snapToGrid w:val="0"/>
                <w:szCs w:val="20"/>
              </w:rPr>
              <w:t>trials. The sum of the respective PFS estimates for each line of therapy</w:t>
            </w:r>
            <w:r w:rsidRPr="008C5F9E">
              <w:rPr>
                <w:rFonts w:cs="Courier New"/>
                <w:snapToGrid w:val="0"/>
                <w:szCs w:val="20"/>
              </w:rPr>
              <w:t xml:space="preserve"> </w:t>
            </w:r>
            <w:r>
              <w:rPr>
                <w:rFonts w:cs="Courier New"/>
                <w:snapToGrid w:val="0"/>
                <w:szCs w:val="20"/>
              </w:rPr>
              <w:t xml:space="preserve">was used to </w:t>
            </w:r>
            <w:r w:rsidRPr="008C5F9E">
              <w:rPr>
                <w:rFonts w:cs="Courier New"/>
                <w:snapToGrid w:val="0"/>
                <w:szCs w:val="20"/>
              </w:rPr>
              <w:t xml:space="preserve">estimate overall life expectancy. Costs included </w:t>
            </w:r>
            <w:r>
              <w:rPr>
                <w:rFonts w:cs="Courier New"/>
                <w:snapToGrid w:val="0"/>
                <w:szCs w:val="20"/>
              </w:rPr>
              <w:t xml:space="preserve">those related to </w:t>
            </w:r>
            <w:r w:rsidRPr="008C5F9E">
              <w:rPr>
                <w:rFonts w:cs="Courier New"/>
                <w:snapToGrid w:val="0"/>
                <w:szCs w:val="20"/>
              </w:rPr>
              <w:t>testing, treatment and treatment-related costs</w:t>
            </w:r>
            <w:r>
              <w:rPr>
                <w:rFonts w:cs="Courier New"/>
                <w:snapToGrid w:val="0"/>
                <w:szCs w:val="20"/>
              </w:rPr>
              <w:t>.</w:t>
            </w:r>
          </w:p>
          <w:p w14:paraId="252FBAB7" w14:textId="77777777" w:rsidR="004E63D6" w:rsidRPr="008C5F9E" w:rsidRDefault="004E63D6" w:rsidP="00CA410A">
            <w:pPr>
              <w:pStyle w:val="TableText"/>
              <w:rPr>
                <w:rFonts w:cs="Courier New"/>
                <w:snapToGrid w:val="0"/>
                <w:szCs w:val="20"/>
              </w:rPr>
            </w:pPr>
            <w:r>
              <w:rPr>
                <w:rFonts w:cs="Courier New"/>
                <w:snapToGrid w:val="0"/>
                <w:szCs w:val="20"/>
              </w:rPr>
              <w:t>Comprehensive genomic profiling</w:t>
            </w:r>
            <w:r w:rsidRPr="008C5F9E">
              <w:rPr>
                <w:rFonts w:cs="Courier New"/>
                <w:snapToGrid w:val="0"/>
                <w:szCs w:val="20"/>
              </w:rPr>
              <w:t xml:space="preserve"> was associated with an additional 8% actionable variants identified. The ICER </w:t>
            </w:r>
            <w:r>
              <w:rPr>
                <w:rFonts w:cs="Courier New"/>
                <w:snapToGrid w:val="0"/>
                <w:szCs w:val="20"/>
              </w:rPr>
              <w:t xml:space="preserve">per additional QALY gained compared to </w:t>
            </w:r>
            <w:r w:rsidRPr="008F11C0">
              <w:rPr>
                <w:rFonts w:cs="Courier New"/>
                <w:snapToGrid w:val="0"/>
                <w:szCs w:val="20"/>
              </w:rPr>
              <w:t xml:space="preserve">targeted gene panel testing </w:t>
            </w:r>
            <w:r w:rsidRPr="008C5F9E">
              <w:rPr>
                <w:rFonts w:cs="Courier New"/>
                <w:snapToGrid w:val="0"/>
                <w:szCs w:val="20"/>
              </w:rPr>
              <w:t>was $445,545</w:t>
            </w:r>
            <w:r>
              <w:rPr>
                <w:rFonts w:cs="Courier New"/>
                <w:snapToGrid w:val="0"/>
                <w:szCs w:val="20"/>
              </w:rPr>
              <w:t xml:space="preserve">. </w:t>
            </w:r>
            <w:r w:rsidRPr="008C5F9E">
              <w:rPr>
                <w:rFonts w:cs="Courier New"/>
                <w:snapToGrid w:val="0"/>
                <w:szCs w:val="20"/>
              </w:rPr>
              <w:t>Additional actionable variants were identified due to additional genes being included on the comprehensive panel.</w:t>
            </w:r>
          </w:p>
        </w:tc>
      </w:tr>
      <w:tr w:rsidR="004E63D6" w:rsidRPr="001D153A" w14:paraId="3F284F82" w14:textId="77777777" w:rsidTr="00CA410A">
        <w:trPr>
          <w:cantSplit/>
          <w:trHeight w:val="20"/>
        </w:trPr>
        <w:tc>
          <w:tcPr>
            <w:tcW w:w="1271" w:type="dxa"/>
            <w:hideMark/>
          </w:tcPr>
          <w:p w14:paraId="225D935A" w14:textId="77777777" w:rsidR="004E63D6" w:rsidRPr="008C5F9E" w:rsidRDefault="004E63D6" w:rsidP="00CA410A">
            <w:pPr>
              <w:pStyle w:val="TableText"/>
              <w:rPr>
                <w:rFonts w:cs="Courier New"/>
                <w:snapToGrid w:val="0"/>
                <w:szCs w:val="20"/>
              </w:rPr>
            </w:pPr>
            <w:r w:rsidRPr="008C5F9E">
              <w:rPr>
                <w:rFonts w:cs="Courier New"/>
                <w:snapToGrid w:val="0"/>
                <w:szCs w:val="20"/>
              </w:rPr>
              <w:t xml:space="preserve">de Alava </w:t>
            </w:r>
            <w:r>
              <w:rPr>
                <w:rFonts w:cs="Courier New"/>
                <w:snapToGrid w:val="0"/>
                <w:szCs w:val="20"/>
              </w:rPr>
              <w:t xml:space="preserve">et al. </w:t>
            </w:r>
            <w:r>
              <w:rPr>
                <w:rFonts w:cs="Courier New"/>
                <w:snapToGrid w:val="0"/>
                <w:szCs w:val="20"/>
              </w:rPr>
              <w:fldChar w:fldCharType="begin">
                <w:fldData xml:space="preserve">PEVuZE5vdGU+PENpdGUgRXhjbHVkZUF1dGg9IjEiPjxBdXRob3I+ZGUgQWxhdmE8L0F1dGhvcj48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</w:fldData>
              </w:fldChar>
            </w:r>
            <w:r>
              <w:rPr>
                <w:rFonts w:cs="Courier New"/>
                <w:snapToGrid w:val="0"/>
                <w:szCs w:val="20"/>
              </w:rPr>
              <w:instrText xml:space="preserve"> ADDIN EN.CITE </w:instrText>
            </w:r>
            <w:r>
              <w:rPr>
                <w:rFonts w:cs="Courier New"/>
                <w:snapToGrid w:val="0"/>
                <w:szCs w:val="20"/>
              </w:rPr>
              <w:fldChar w:fldCharType="begin">
                <w:fldData xml:space="preserve">PEVuZE5vdGU+PENpdGUgRXhjbHVkZUF1dGg9IjEiPjxBdXRob3I+ZGUgQWxhdmE8L0F1dGhvcj48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</w:fldData>
              </w:fldChar>
            </w:r>
            <w:r>
              <w:rPr>
                <w:rFonts w:cs="Courier New"/>
                <w:snapToGrid w:val="0"/>
                <w:szCs w:val="20"/>
              </w:rPr>
              <w:instrText xml:space="preserve"> ADDIN EN.CITE.DATA </w:instrText>
            </w:r>
            <w:r>
              <w:rPr>
                <w:rFonts w:cs="Courier New"/>
                <w:snapToGrid w:val="0"/>
                <w:szCs w:val="20"/>
              </w:rPr>
            </w:r>
            <w:r>
              <w:rPr>
                <w:rFonts w:cs="Courier New"/>
                <w:snapToGrid w:val="0"/>
                <w:szCs w:val="20"/>
              </w:rPr>
              <w:fldChar w:fldCharType="end"/>
            </w:r>
            <w:r>
              <w:rPr>
                <w:rFonts w:cs="Courier New"/>
                <w:snapToGrid w:val="0"/>
                <w:szCs w:val="20"/>
              </w:rPr>
            </w:r>
            <w:r>
              <w:rPr>
                <w:rFonts w:cs="Courier New"/>
                <w:snapToGrid w:val="0"/>
                <w:szCs w:val="20"/>
              </w:rPr>
              <w:fldChar w:fldCharType="separate"/>
            </w:r>
            <w:r>
              <w:rPr>
                <w:rFonts w:cs="Courier New"/>
                <w:noProof/>
                <w:snapToGrid w:val="0"/>
                <w:szCs w:val="20"/>
              </w:rPr>
              <w:t>(2022)</w:t>
            </w:r>
            <w:r>
              <w:rPr>
                <w:rFonts w:cs="Courier New"/>
                <w:snapToGrid w:val="0"/>
                <w:szCs w:val="20"/>
              </w:rPr>
              <w:fldChar w:fldCharType="end"/>
            </w:r>
          </w:p>
        </w:tc>
        <w:tc>
          <w:tcPr>
            <w:tcW w:w="7745" w:type="dxa"/>
            <w:hideMark/>
          </w:tcPr>
          <w:p w14:paraId="7AEA9944" w14:textId="77777777" w:rsidR="004E63D6" w:rsidRPr="008C5F9E" w:rsidRDefault="004E63D6" w:rsidP="00CA410A">
            <w:pPr>
              <w:pStyle w:val="TableText"/>
              <w:rPr>
                <w:rFonts w:cs="Courier New"/>
                <w:snapToGrid w:val="0"/>
                <w:szCs w:val="20"/>
              </w:rPr>
            </w:pPr>
            <w:r>
              <w:rPr>
                <w:rFonts w:cs="Courier New"/>
                <w:snapToGrid w:val="0"/>
                <w:szCs w:val="20"/>
              </w:rPr>
              <w:t xml:space="preserve">Spanish cost-effectiveness (outcome of additional patients eligible for targeted therapy) and exploratory cost-utility analysis that compared </w:t>
            </w:r>
            <w:r w:rsidRPr="008C5F9E">
              <w:rPr>
                <w:rFonts w:cs="Courier New"/>
                <w:snapToGrid w:val="0"/>
                <w:szCs w:val="20"/>
              </w:rPr>
              <w:t>NGS vs sequential single-gene testing in patients with advanced or metastatic NSCLC.</w:t>
            </w:r>
            <w:r>
              <w:rPr>
                <w:rFonts w:cs="Courier New"/>
                <w:snapToGrid w:val="0"/>
                <w:szCs w:val="20"/>
              </w:rPr>
              <w:t xml:space="preserve"> A h</w:t>
            </w:r>
            <w:r w:rsidRPr="008C5F9E">
              <w:rPr>
                <w:rFonts w:cs="Courier New"/>
                <w:snapToGrid w:val="0"/>
                <w:szCs w:val="20"/>
              </w:rPr>
              <w:t>ybrid decision-tree partitioned survival model</w:t>
            </w:r>
            <w:r>
              <w:rPr>
                <w:rFonts w:cs="Courier New"/>
                <w:snapToGrid w:val="0"/>
                <w:szCs w:val="20"/>
              </w:rPr>
              <w:t xml:space="preserve"> was used, where the decision tree component assigned treatment and the partitioned model measured long term outcomes from assigned treatment. The partitioned model was based on </w:t>
            </w:r>
            <w:r w:rsidRPr="008C5F9E">
              <w:rPr>
                <w:rFonts w:cs="Courier New"/>
                <w:snapToGrid w:val="0"/>
                <w:szCs w:val="20"/>
              </w:rPr>
              <w:t>PFS and OS data from the respective clinical trials</w:t>
            </w:r>
            <w:r>
              <w:rPr>
                <w:rFonts w:cs="Courier New"/>
                <w:snapToGrid w:val="0"/>
                <w:szCs w:val="20"/>
              </w:rPr>
              <w:t xml:space="preserve"> of treatments, with extrapolation</w:t>
            </w:r>
            <w:r w:rsidRPr="008C5F9E">
              <w:rPr>
                <w:rFonts w:cs="Courier New"/>
                <w:snapToGrid w:val="0"/>
                <w:szCs w:val="20"/>
              </w:rPr>
              <w:t xml:space="preserve"> using exponential models</w:t>
            </w:r>
            <w:r>
              <w:rPr>
                <w:rFonts w:cs="Courier New"/>
                <w:snapToGrid w:val="0"/>
                <w:szCs w:val="20"/>
              </w:rPr>
              <w:t>.</w:t>
            </w:r>
            <w:r w:rsidRPr="008C5F9E">
              <w:rPr>
                <w:rFonts w:cs="Courier New"/>
                <w:snapToGrid w:val="0"/>
                <w:szCs w:val="20"/>
              </w:rPr>
              <w:t xml:space="preserve"> Costs included were the cost of testing, treatment and treatment-related and disease management costs</w:t>
            </w:r>
            <w:r>
              <w:rPr>
                <w:rFonts w:cs="Courier New"/>
                <w:snapToGrid w:val="0"/>
                <w:szCs w:val="20"/>
              </w:rPr>
              <w:t>.</w:t>
            </w:r>
          </w:p>
          <w:p w14:paraId="1506C10A" w14:textId="77777777" w:rsidR="004E63D6" w:rsidRPr="008C5F9E" w:rsidRDefault="004E63D6" w:rsidP="00CA410A">
            <w:pPr>
              <w:pStyle w:val="TableText"/>
              <w:rPr>
                <w:rFonts w:cs="Courier New"/>
                <w:snapToGrid w:val="0"/>
                <w:szCs w:val="20"/>
              </w:rPr>
            </w:pPr>
            <w:r>
              <w:rPr>
                <w:rFonts w:cs="Courier New"/>
                <w:snapToGrid w:val="0"/>
                <w:szCs w:val="20"/>
              </w:rPr>
              <w:t xml:space="preserve">NGS was associated with an </w:t>
            </w:r>
            <w:r w:rsidRPr="008C5F9E">
              <w:rPr>
                <w:rFonts w:cs="Courier New"/>
                <w:snapToGrid w:val="0"/>
                <w:szCs w:val="20"/>
              </w:rPr>
              <w:t xml:space="preserve">ICER </w:t>
            </w:r>
            <w:r>
              <w:rPr>
                <w:rFonts w:cs="Courier New"/>
                <w:snapToGrid w:val="0"/>
                <w:szCs w:val="20"/>
              </w:rPr>
              <w:t>per additional patient</w:t>
            </w:r>
            <w:r w:rsidRPr="008C5F9E">
              <w:rPr>
                <w:rFonts w:cs="Courier New"/>
                <w:snapToGrid w:val="0"/>
                <w:szCs w:val="20"/>
              </w:rPr>
              <w:t xml:space="preserve"> eligible for targeted therapy </w:t>
            </w:r>
            <w:r>
              <w:rPr>
                <w:rFonts w:cs="Courier New"/>
                <w:snapToGrid w:val="0"/>
                <w:szCs w:val="20"/>
              </w:rPr>
              <w:t>of</w:t>
            </w:r>
            <w:r w:rsidRPr="008C5F9E">
              <w:rPr>
                <w:rFonts w:cs="Courier New"/>
                <w:snapToGrid w:val="0"/>
                <w:szCs w:val="20"/>
              </w:rPr>
              <w:t xml:space="preserve"> €617. </w:t>
            </w:r>
            <w:r>
              <w:rPr>
                <w:rFonts w:cs="Courier New"/>
                <w:snapToGrid w:val="0"/>
                <w:szCs w:val="20"/>
              </w:rPr>
              <w:t xml:space="preserve">The increase in </w:t>
            </w:r>
            <w:r w:rsidRPr="008C5F9E">
              <w:rPr>
                <w:rFonts w:cs="Courier New"/>
                <w:snapToGrid w:val="0"/>
                <w:szCs w:val="20"/>
              </w:rPr>
              <w:t xml:space="preserve">actionable variants identified </w:t>
            </w:r>
            <w:r>
              <w:rPr>
                <w:rFonts w:cs="Courier New"/>
                <w:snapToGrid w:val="0"/>
                <w:szCs w:val="20"/>
              </w:rPr>
              <w:t xml:space="preserve">was </w:t>
            </w:r>
            <w:r w:rsidRPr="008C5F9E">
              <w:rPr>
                <w:rFonts w:cs="Courier New"/>
                <w:snapToGrid w:val="0"/>
                <w:szCs w:val="20"/>
              </w:rPr>
              <w:t>due to additional genes</w:t>
            </w:r>
            <w:r>
              <w:rPr>
                <w:rFonts w:cs="Courier New"/>
                <w:snapToGrid w:val="0"/>
                <w:szCs w:val="20"/>
              </w:rPr>
              <w:t xml:space="preserve"> being</w:t>
            </w:r>
            <w:r w:rsidRPr="008C5F9E">
              <w:rPr>
                <w:rFonts w:cs="Courier New"/>
                <w:snapToGrid w:val="0"/>
                <w:szCs w:val="20"/>
              </w:rPr>
              <w:t xml:space="preserve"> tested through NGS and due to the reduction in biopsies required.</w:t>
            </w:r>
            <w:r>
              <w:rPr>
                <w:rFonts w:cs="Courier New"/>
                <w:snapToGrid w:val="0"/>
                <w:szCs w:val="20"/>
              </w:rPr>
              <w:t xml:space="preserve"> The </w:t>
            </w:r>
            <w:r w:rsidRPr="008C5F9E">
              <w:rPr>
                <w:rFonts w:cs="Courier New"/>
                <w:snapToGrid w:val="0"/>
                <w:szCs w:val="20"/>
              </w:rPr>
              <w:t xml:space="preserve">ICER per additional QALY gained </w:t>
            </w:r>
            <w:r>
              <w:rPr>
                <w:rFonts w:cs="Courier New"/>
                <w:snapToGrid w:val="0"/>
                <w:szCs w:val="20"/>
              </w:rPr>
              <w:t xml:space="preserve">in the cost-utility analysis, which included costs and outcomes related to treatment, </w:t>
            </w:r>
            <w:r w:rsidRPr="008C5F9E">
              <w:rPr>
                <w:rFonts w:cs="Courier New"/>
                <w:snapToGrid w:val="0"/>
                <w:szCs w:val="20"/>
              </w:rPr>
              <w:t>was €9,084. NGS was faster sequential single-gene testing (9 vs 16.7 days)</w:t>
            </w:r>
          </w:p>
        </w:tc>
      </w:tr>
      <w:tr w:rsidR="004E63D6" w:rsidRPr="001D153A" w14:paraId="64F23E9A" w14:textId="77777777" w:rsidTr="00CA410A">
        <w:trPr>
          <w:cantSplit/>
          <w:trHeight w:val="20"/>
        </w:trPr>
        <w:tc>
          <w:tcPr>
            <w:tcW w:w="1271" w:type="dxa"/>
            <w:hideMark/>
          </w:tcPr>
          <w:p w14:paraId="087F14E2" w14:textId="77777777" w:rsidR="004E63D6" w:rsidRPr="008C5F9E" w:rsidRDefault="004E63D6" w:rsidP="00CA410A">
            <w:pPr>
              <w:pStyle w:val="TableText"/>
              <w:rPr>
                <w:rFonts w:cs="Courier New"/>
                <w:snapToGrid w:val="0"/>
                <w:szCs w:val="20"/>
              </w:rPr>
            </w:pPr>
            <w:r w:rsidRPr="008C5F9E">
              <w:rPr>
                <w:rFonts w:cs="Courier New"/>
                <w:snapToGrid w:val="0"/>
                <w:szCs w:val="20"/>
              </w:rPr>
              <w:t xml:space="preserve">Tan </w:t>
            </w:r>
            <w:r>
              <w:rPr>
                <w:rFonts w:cs="Courier New"/>
                <w:snapToGrid w:val="0"/>
                <w:szCs w:val="20"/>
              </w:rPr>
              <w:t xml:space="preserve">et al. </w:t>
            </w:r>
            <w:r>
              <w:rPr>
                <w:rFonts w:cs="Courier New"/>
                <w:snapToGrid w:val="0"/>
                <w:szCs w:val="20"/>
              </w:rPr>
              <w:fldChar w:fldCharType="begin">
                <w:fldData xml:space="preserve">PEVuZE5vdGU+PENpdGUgRXhjbHVkZUF1dGg9IjEiPjxBdXRob3I+VGFuPC9BdXRob3I+PFllYXI+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</w:fldData>
              </w:fldChar>
            </w:r>
            <w:r>
              <w:rPr>
                <w:rFonts w:cs="Courier New"/>
                <w:snapToGrid w:val="0"/>
                <w:szCs w:val="20"/>
              </w:rPr>
              <w:instrText xml:space="preserve"> ADDIN EN.CITE </w:instrText>
            </w:r>
            <w:r>
              <w:rPr>
                <w:rFonts w:cs="Courier New"/>
                <w:snapToGrid w:val="0"/>
                <w:szCs w:val="20"/>
              </w:rPr>
              <w:fldChar w:fldCharType="begin">
                <w:fldData xml:space="preserve">PEVuZE5vdGU+PENpdGUgRXhjbHVkZUF1dGg9IjEiPjxBdXRob3I+VGFuPC9BdXRob3I+PFllYXI+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</w:fldData>
              </w:fldChar>
            </w:r>
            <w:r>
              <w:rPr>
                <w:rFonts w:cs="Courier New"/>
                <w:snapToGrid w:val="0"/>
                <w:szCs w:val="20"/>
              </w:rPr>
              <w:instrText xml:space="preserve"> ADDIN EN.CITE.DATA </w:instrText>
            </w:r>
            <w:r>
              <w:rPr>
                <w:rFonts w:cs="Courier New"/>
                <w:snapToGrid w:val="0"/>
                <w:szCs w:val="20"/>
              </w:rPr>
            </w:r>
            <w:r>
              <w:rPr>
                <w:rFonts w:cs="Courier New"/>
                <w:snapToGrid w:val="0"/>
                <w:szCs w:val="20"/>
              </w:rPr>
              <w:fldChar w:fldCharType="end"/>
            </w:r>
            <w:r>
              <w:rPr>
                <w:rFonts w:cs="Courier New"/>
                <w:snapToGrid w:val="0"/>
                <w:szCs w:val="20"/>
              </w:rPr>
            </w:r>
            <w:r>
              <w:rPr>
                <w:rFonts w:cs="Courier New"/>
                <w:snapToGrid w:val="0"/>
                <w:szCs w:val="20"/>
              </w:rPr>
              <w:fldChar w:fldCharType="separate"/>
            </w:r>
            <w:r>
              <w:rPr>
                <w:rFonts w:cs="Courier New"/>
                <w:noProof/>
                <w:snapToGrid w:val="0"/>
                <w:szCs w:val="20"/>
              </w:rPr>
              <w:t>(2020)</w:t>
            </w:r>
            <w:r>
              <w:rPr>
                <w:rFonts w:cs="Courier New"/>
                <w:snapToGrid w:val="0"/>
                <w:szCs w:val="20"/>
              </w:rPr>
              <w:fldChar w:fldCharType="end"/>
            </w:r>
          </w:p>
        </w:tc>
        <w:tc>
          <w:tcPr>
            <w:tcW w:w="7745" w:type="dxa"/>
            <w:hideMark/>
          </w:tcPr>
          <w:p w14:paraId="0E50CFBC" w14:textId="77777777" w:rsidR="004E63D6" w:rsidRPr="008C5F9E" w:rsidRDefault="004E63D6" w:rsidP="00CA410A">
            <w:pPr>
              <w:pStyle w:val="TableText"/>
              <w:rPr>
                <w:rFonts w:cs="Courier New"/>
                <w:snapToGrid w:val="0"/>
                <w:szCs w:val="20"/>
              </w:rPr>
            </w:pPr>
            <w:r>
              <w:rPr>
                <w:rFonts w:cs="Courier New"/>
                <w:snapToGrid w:val="0"/>
                <w:szCs w:val="20"/>
              </w:rPr>
              <w:t>Singaporean cost-effectiveness analysis that compared d</w:t>
            </w:r>
            <w:r w:rsidRPr="008C5F9E">
              <w:rPr>
                <w:rFonts w:cs="Courier New"/>
                <w:snapToGrid w:val="0"/>
                <w:szCs w:val="20"/>
              </w:rPr>
              <w:t xml:space="preserve">ifferent scenarios of NGS testing vs </w:t>
            </w:r>
            <w:r>
              <w:rPr>
                <w:rFonts w:cs="Courier New"/>
                <w:snapToGrid w:val="0"/>
                <w:szCs w:val="20"/>
              </w:rPr>
              <w:t>current</w:t>
            </w:r>
            <w:r w:rsidRPr="008C5F9E">
              <w:rPr>
                <w:rFonts w:cs="Courier New"/>
                <w:snapToGrid w:val="0"/>
                <w:szCs w:val="20"/>
              </w:rPr>
              <w:t xml:space="preserve"> testing (concurrent </w:t>
            </w:r>
            <w:r w:rsidRPr="00CF1CED">
              <w:rPr>
                <w:rFonts w:cs="Courier New"/>
                <w:i/>
                <w:snapToGrid w:val="0"/>
                <w:szCs w:val="20"/>
              </w:rPr>
              <w:t>EGFR</w:t>
            </w:r>
            <w:r w:rsidRPr="008C5F9E">
              <w:rPr>
                <w:rFonts w:cs="Courier New"/>
                <w:snapToGrid w:val="0"/>
                <w:szCs w:val="20"/>
              </w:rPr>
              <w:t xml:space="preserve"> sequencing and </w:t>
            </w:r>
            <w:r w:rsidRPr="00CF1CED">
              <w:rPr>
                <w:rFonts w:cs="Courier New"/>
                <w:i/>
                <w:snapToGrid w:val="0"/>
                <w:szCs w:val="20"/>
              </w:rPr>
              <w:t>ALK</w:t>
            </w:r>
            <w:r w:rsidRPr="008C5F9E">
              <w:rPr>
                <w:rFonts w:cs="Courier New"/>
                <w:snapToGrid w:val="0"/>
                <w:szCs w:val="20"/>
              </w:rPr>
              <w:t xml:space="preserve">, </w:t>
            </w:r>
            <w:r w:rsidRPr="00CF1CED">
              <w:rPr>
                <w:rFonts w:cs="Courier New"/>
                <w:i/>
                <w:snapToGrid w:val="0"/>
                <w:szCs w:val="20"/>
              </w:rPr>
              <w:t>MET</w:t>
            </w:r>
            <w:r w:rsidRPr="008C5F9E">
              <w:rPr>
                <w:rFonts w:cs="Courier New"/>
                <w:snapToGrid w:val="0"/>
                <w:szCs w:val="20"/>
              </w:rPr>
              <w:t xml:space="preserve">, </w:t>
            </w:r>
            <w:r w:rsidRPr="00CF1CED">
              <w:rPr>
                <w:rFonts w:cs="Courier New"/>
                <w:i/>
                <w:snapToGrid w:val="0"/>
                <w:szCs w:val="20"/>
              </w:rPr>
              <w:t>RET</w:t>
            </w:r>
            <w:r w:rsidRPr="008C5F9E">
              <w:rPr>
                <w:rFonts w:cs="Courier New"/>
                <w:snapToGrid w:val="0"/>
                <w:szCs w:val="20"/>
              </w:rPr>
              <w:t xml:space="preserve"> and </w:t>
            </w:r>
            <w:r w:rsidRPr="00CF1CED">
              <w:rPr>
                <w:rFonts w:cs="Courier New"/>
                <w:i/>
                <w:snapToGrid w:val="0"/>
                <w:szCs w:val="20"/>
              </w:rPr>
              <w:t>ROS1</w:t>
            </w:r>
            <w:r w:rsidRPr="008C5F9E">
              <w:rPr>
                <w:rFonts w:cs="Courier New"/>
                <w:snapToGrid w:val="0"/>
                <w:szCs w:val="20"/>
              </w:rPr>
              <w:t xml:space="preserve"> FISH) in patients with Stage IV adenocarcinoma NSCLC</w:t>
            </w:r>
            <w:r>
              <w:rPr>
                <w:rFonts w:cs="Courier New"/>
                <w:snapToGrid w:val="0"/>
                <w:szCs w:val="20"/>
              </w:rPr>
              <w:t>. A d</w:t>
            </w:r>
            <w:r w:rsidRPr="008C5F9E">
              <w:rPr>
                <w:rFonts w:cs="Courier New"/>
                <w:snapToGrid w:val="0"/>
                <w:szCs w:val="20"/>
              </w:rPr>
              <w:t xml:space="preserve">ecision-tree analytic </w:t>
            </w:r>
            <w:r>
              <w:rPr>
                <w:rFonts w:cs="Courier New"/>
                <w:snapToGrid w:val="0"/>
                <w:szCs w:val="20"/>
              </w:rPr>
              <w:t xml:space="preserve">was used </w:t>
            </w:r>
            <w:r w:rsidRPr="008C5F9E">
              <w:rPr>
                <w:rFonts w:cs="Courier New"/>
                <w:snapToGrid w:val="0"/>
                <w:szCs w:val="20"/>
              </w:rPr>
              <w:t>that measured additional patient</w:t>
            </w:r>
            <w:r>
              <w:rPr>
                <w:rFonts w:cs="Courier New"/>
                <w:snapToGrid w:val="0"/>
                <w:szCs w:val="20"/>
              </w:rPr>
              <w:t>s eligible for targeted therapy and was based on real world local d</w:t>
            </w:r>
            <w:r w:rsidRPr="008C5F9E">
              <w:rPr>
                <w:rFonts w:cs="Courier New"/>
                <w:snapToGrid w:val="0"/>
                <w:szCs w:val="20"/>
              </w:rPr>
              <w:t xml:space="preserve">ata </w:t>
            </w:r>
            <w:r>
              <w:rPr>
                <w:rFonts w:cs="Courier New"/>
                <w:snapToGrid w:val="0"/>
                <w:szCs w:val="20"/>
              </w:rPr>
              <w:t>from</w:t>
            </w:r>
            <w:r w:rsidRPr="008C5F9E">
              <w:rPr>
                <w:rFonts w:cs="Courier New"/>
                <w:snapToGrid w:val="0"/>
                <w:szCs w:val="20"/>
              </w:rPr>
              <w:t xml:space="preserve"> a cohort of 104 patients.</w:t>
            </w:r>
          </w:p>
          <w:p w14:paraId="4D3E2A86" w14:textId="77777777" w:rsidR="004E63D6" w:rsidRPr="008C5F9E" w:rsidRDefault="004E63D6" w:rsidP="00CA410A">
            <w:pPr>
              <w:pStyle w:val="TableText"/>
              <w:rPr>
                <w:rFonts w:cs="Courier New"/>
                <w:snapToGrid w:val="0"/>
                <w:szCs w:val="20"/>
              </w:rPr>
            </w:pPr>
            <w:r>
              <w:rPr>
                <w:rFonts w:cs="Courier New"/>
                <w:snapToGrid w:val="0"/>
                <w:szCs w:val="20"/>
              </w:rPr>
              <w:t>Current</w:t>
            </w:r>
            <w:r w:rsidRPr="008C5F9E">
              <w:rPr>
                <w:rFonts w:cs="Courier New"/>
                <w:snapToGrid w:val="0"/>
                <w:szCs w:val="20"/>
              </w:rPr>
              <w:t xml:space="preserve"> testing was dominated by </w:t>
            </w:r>
            <w:r>
              <w:rPr>
                <w:rFonts w:cs="Courier New"/>
                <w:snapToGrid w:val="0"/>
                <w:szCs w:val="20"/>
              </w:rPr>
              <w:t>the scenario of upfront NGS testing</w:t>
            </w:r>
            <w:r w:rsidRPr="008C5F9E">
              <w:rPr>
                <w:rFonts w:cs="Courier New"/>
                <w:snapToGrid w:val="0"/>
                <w:szCs w:val="20"/>
              </w:rPr>
              <w:t xml:space="preserve"> (cost saving of SGD645.2, with 5% increase in patients on targeted therapy), though </w:t>
            </w:r>
            <w:r>
              <w:rPr>
                <w:rFonts w:cs="Courier New"/>
                <w:snapToGrid w:val="0"/>
                <w:szCs w:val="20"/>
              </w:rPr>
              <w:t xml:space="preserve">NGS may be associated with a longer </w:t>
            </w:r>
            <w:r w:rsidRPr="008C5F9E">
              <w:rPr>
                <w:rFonts w:cs="Courier New"/>
                <w:snapToGrid w:val="0"/>
                <w:szCs w:val="20"/>
              </w:rPr>
              <w:t>time to result (10 days vs 10−15 days)</w:t>
            </w:r>
            <w:r>
              <w:rPr>
                <w:rFonts w:cs="Courier New"/>
                <w:snapToGrid w:val="0"/>
                <w:szCs w:val="20"/>
              </w:rPr>
              <w:t>. NGS was associated with a</w:t>
            </w:r>
            <w:r w:rsidRPr="008C5F9E">
              <w:rPr>
                <w:rFonts w:cs="Courier New"/>
                <w:snapToGrid w:val="0"/>
                <w:szCs w:val="20"/>
              </w:rPr>
              <w:t xml:space="preserve">dditional actionable variants due to </w:t>
            </w:r>
            <w:r>
              <w:rPr>
                <w:rFonts w:cs="Courier New"/>
                <w:snapToGrid w:val="0"/>
                <w:szCs w:val="20"/>
              </w:rPr>
              <w:t>improved sensitivity</w:t>
            </w:r>
            <w:r w:rsidRPr="008C5F9E">
              <w:rPr>
                <w:rFonts w:cs="Courier New"/>
                <w:snapToGrid w:val="0"/>
                <w:szCs w:val="20"/>
              </w:rPr>
              <w:t xml:space="preserve"> </w:t>
            </w:r>
            <w:r>
              <w:rPr>
                <w:rFonts w:cs="Courier New"/>
                <w:snapToGrid w:val="0"/>
                <w:szCs w:val="20"/>
              </w:rPr>
              <w:t xml:space="preserve">for variants </w:t>
            </w:r>
            <w:r w:rsidRPr="008C5F9E">
              <w:rPr>
                <w:rFonts w:cs="Courier New"/>
                <w:snapToGrid w:val="0"/>
                <w:szCs w:val="20"/>
              </w:rPr>
              <w:t xml:space="preserve">in currently tested markers and </w:t>
            </w:r>
            <w:r>
              <w:rPr>
                <w:rFonts w:cs="Courier New"/>
                <w:snapToGrid w:val="0"/>
                <w:szCs w:val="20"/>
              </w:rPr>
              <w:t xml:space="preserve">due to </w:t>
            </w:r>
            <w:r w:rsidRPr="008C5F9E">
              <w:rPr>
                <w:rFonts w:cs="Courier New"/>
                <w:snapToGrid w:val="0"/>
                <w:szCs w:val="20"/>
              </w:rPr>
              <w:t>additional markers</w:t>
            </w:r>
            <w:r>
              <w:rPr>
                <w:rFonts w:cs="Courier New"/>
                <w:snapToGrid w:val="0"/>
                <w:szCs w:val="20"/>
              </w:rPr>
              <w:t xml:space="preserve"> being tested</w:t>
            </w:r>
            <w:r w:rsidRPr="008C5F9E">
              <w:rPr>
                <w:rFonts w:cs="Courier New"/>
                <w:snapToGrid w:val="0"/>
                <w:szCs w:val="20"/>
              </w:rPr>
              <w:t xml:space="preserve">. </w:t>
            </w:r>
            <w:r>
              <w:rPr>
                <w:rFonts w:cs="Courier New"/>
                <w:snapToGrid w:val="0"/>
                <w:szCs w:val="20"/>
              </w:rPr>
              <w:t>While t</w:t>
            </w:r>
            <w:r w:rsidRPr="008C5F9E">
              <w:rPr>
                <w:rFonts w:cs="Courier New"/>
                <w:snapToGrid w:val="0"/>
                <w:szCs w:val="20"/>
              </w:rPr>
              <w:t xml:space="preserve">he model structure allowed insufficient tissue to be considered, </w:t>
            </w:r>
            <w:r>
              <w:rPr>
                <w:rFonts w:cs="Courier New"/>
                <w:snapToGrid w:val="0"/>
                <w:szCs w:val="20"/>
              </w:rPr>
              <w:t xml:space="preserve">the extent to which this </w:t>
            </w:r>
            <w:r w:rsidRPr="008C5F9E">
              <w:rPr>
                <w:rFonts w:cs="Courier New"/>
                <w:snapToGrid w:val="0"/>
                <w:szCs w:val="20"/>
              </w:rPr>
              <w:t xml:space="preserve">had on the </w:t>
            </w:r>
            <w:r>
              <w:rPr>
                <w:rFonts w:cs="Courier New"/>
                <w:snapToGrid w:val="0"/>
                <w:szCs w:val="20"/>
              </w:rPr>
              <w:t>additional variants identified</w:t>
            </w:r>
            <w:r w:rsidRPr="008C5F9E">
              <w:rPr>
                <w:rFonts w:cs="Courier New"/>
                <w:snapToGrid w:val="0"/>
                <w:szCs w:val="20"/>
              </w:rPr>
              <w:t xml:space="preserve"> was not clear.</w:t>
            </w:r>
          </w:p>
        </w:tc>
      </w:tr>
      <w:tr w:rsidR="004E63D6" w:rsidRPr="001D153A" w14:paraId="24D197A7" w14:textId="77777777" w:rsidTr="00CA410A">
        <w:trPr>
          <w:cantSplit/>
          <w:trHeight w:val="20"/>
        </w:trPr>
        <w:tc>
          <w:tcPr>
            <w:tcW w:w="1271" w:type="dxa"/>
            <w:hideMark/>
          </w:tcPr>
          <w:p w14:paraId="3C5897AD" w14:textId="77777777" w:rsidR="004E63D6" w:rsidRPr="008C5F9E" w:rsidRDefault="004E63D6" w:rsidP="00CA410A">
            <w:pPr>
              <w:pStyle w:val="TableText"/>
              <w:rPr>
                <w:rFonts w:cs="Courier New"/>
                <w:snapToGrid w:val="0"/>
                <w:szCs w:val="20"/>
              </w:rPr>
            </w:pPr>
            <w:r w:rsidRPr="008C5F9E">
              <w:rPr>
                <w:rFonts w:cs="Courier New"/>
                <w:snapToGrid w:val="0"/>
                <w:szCs w:val="20"/>
              </w:rPr>
              <w:lastRenderedPageBreak/>
              <w:t xml:space="preserve">Schluckebier </w:t>
            </w:r>
            <w:r>
              <w:rPr>
                <w:rFonts w:cs="Courier New"/>
                <w:snapToGrid w:val="0"/>
                <w:szCs w:val="20"/>
              </w:rPr>
              <w:t xml:space="preserve">et al. </w:t>
            </w:r>
            <w:r>
              <w:rPr>
                <w:rFonts w:cs="Courier New"/>
                <w:snapToGrid w:val="0"/>
                <w:szCs w:val="20"/>
              </w:rPr>
              <w:fldChar w:fldCharType="begin">
                <w:fldData xml:space="preserve">PEVuZE5vdGU+PENpdGUgRXhjbHVkZUF1dGg9IjEiPjxBdXRob3I+U2NobHVja2ViaWVyPC9BdXRo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</w:fldData>
              </w:fldChar>
            </w:r>
            <w:r>
              <w:rPr>
                <w:rFonts w:cs="Courier New"/>
                <w:snapToGrid w:val="0"/>
                <w:szCs w:val="20"/>
              </w:rPr>
              <w:instrText xml:space="preserve"> ADDIN EN.CITE </w:instrText>
            </w:r>
            <w:r>
              <w:rPr>
                <w:rFonts w:cs="Courier New"/>
                <w:snapToGrid w:val="0"/>
                <w:szCs w:val="20"/>
              </w:rPr>
              <w:fldChar w:fldCharType="begin">
                <w:fldData xml:space="preserve">PEVuZE5vdGU+PENpdGUgRXhjbHVkZUF1dGg9IjEiPjxBdXRob3I+U2NobHVja2ViaWVyPC9BdXRo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</w:fldData>
              </w:fldChar>
            </w:r>
            <w:r>
              <w:rPr>
                <w:rFonts w:cs="Courier New"/>
                <w:snapToGrid w:val="0"/>
                <w:szCs w:val="20"/>
              </w:rPr>
              <w:instrText xml:space="preserve"> ADDIN EN.CITE.DATA </w:instrText>
            </w:r>
            <w:r>
              <w:rPr>
                <w:rFonts w:cs="Courier New"/>
                <w:snapToGrid w:val="0"/>
                <w:szCs w:val="20"/>
              </w:rPr>
            </w:r>
            <w:r>
              <w:rPr>
                <w:rFonts w:cs="Courier New"/>
                <w:snapToGrid w:val="0"/>
                <w:szCs w:val="20"/>
              </w:rPr>
              <w:fldChar w:fldCharType="end"/>
            </w:r>
            <w:r>
              <w:rPr>
                <w:rFonts w:cs="Courier New"/>
                <w:snapToGrid w:val="0"/>
                <w:szCs w:val="20"/>
              </w:rPr>
            </w:r>
            <w:r>
              <w:rPr>
                <w:rFonts w:cs="Courier New"/>
                <w:snapToGrid w:val="0"/>
                <w:szCs w:val="20"/>
              </w:rPr>
              <w:fldChar w:fldCharType="separate"/>
            </w:r>
            <w:r>
              <w:rPr>
                <w:rFonts w:cs="Courier New"/>
                <w:noProof/>
                <w:snapToGrid w:val="0"/>
                <w:szCs w:val="20"/>
              </w:rPr>
              <w:t>(2020)</w:t>
            </w:r>
            <w:r>
              <w:rPr>
                <w:rFonts w:cs="Courier New"/>
                <w:snapToGrid w:val="0"/>
                <w:szCs w:val="20"/>
              </w:rPr>
              <w:fldChar w:fldCharType="end"/>
            </w:r>
          </w:p>
        </w:tc>
        <w:tc>
          <w:tcPr>
            <w:tcW w:w="7745" w:type="dxa"/>
            <w:hideMark/>
          </w:tcPr>
          <w:p w14:paraId="2DBF99BF" w14:textId="77777777" w:rsidR="004E63D6" w:rsidRDefault="004E63D6" w:rsidP="00CA410A">
            <w:pPr>
              <w:pStyle w:val="TableText"/>
              <w:rPr>
                <w:rFonts w:cs="Courier New"/>
                <w:snapToGrid w:val="0"/>
                <w:szCs w:val="20"/>
              </w:rPr>
            </w:pPr>
            <w:r>
              <w:rPr>
                <w:rFonts w:cs="Courier New"/>
                <w:snapToGrid w:val="0"/>
                <w:szCs w:val="20"/>
              </w:rPr>
              <w:t xml:space="preserve">Brazilian cost-effectiveness (outcome correct diagnoses) and cost-utility analysis that compared </w:t>
            </w:r>
            <w:r w:rsidRPr="008C5F9E">
              <w:rPr>
                <w:rFonts w:cs="Courier New"/>
                <w:snapToGrid w:val="0"/>
                <w:szCs w:val="20"/>
              </w:rPr>
              <w:t xml:space="preserve">NGS panel testing of </w:t>
            </w:r>
            <w:r w:rsidRPr="00CF1CED">
              <w:rPr>
                <w:rFonts w:cs="Courier New"/>
                <w:i/>
                <w:snapToGrid w:val="0"/>
                <w:szCs w:val="20"/>
              </w:rPr>
              <w:t>EGFR</w:t>
            </w:r>
            <w:r w:rsidRPr="008C5F9E">
              <w:rPr>
                <w:rFonts w:cs="Courier New"/>
                <w:snapToGrid w:val="0"/>
                <w:szCs w:val="20"/>
              </w:rPr>
              <w:t xml:space="preserve">, </w:t>
            </w:r>
            <w:r w:rsidRPr="00CF1CED">
              <w:rPr>
                <w:rFonts w:cs="Courier New"/>
                <w:i/>
                <w:snapToGrid w:val="0"/>
                <w:szCs w:val="20"/>
              </w:rPr>
              <w:t>ALK</w:t>
            </w:r>
            <w:r w:rsidRPr="008C5F9E">
              <w:rPr>
                <w:rFonts w:cs="Courier New"/>
                <w:snapToGrid w:val="0"/>
                <w:szCs w:val="20"/>
              </w:rPr>
              <w:t xml:space="preserve"> and </w:t>
            </w:r>
            <w:r w:rsidRPr="00CF1CED">
              <w:rPr>
                <w:rFonts w:cs="Courier New"/>
                <w:i/>
                <w:snapToGrid w:val="0"/>
                <w:szCs w:val="20"/>
              </w:rPr>
              <w:t>ROS1</w:t>
            </w:r>
            <w:r w:rsidRPr="008C5F9E">
              <w:rPr>
                <w:rFonts w:cs="Courier New"/>
                <w:snapToGrid w:val="0"/>
                <w:szCs w:val="20"/>
              </w:rPr>
              <w:t xml:space="preserve"> vs scenarios of sequential RT-PCR </w:t>
            </w:r>
            <w:r w:rsidRPr="00CF1CED">
              <w:rPr>
                <w:rFonts w:cs="Courier New"/>
                <w:i/>
                <w:snapToGrid w:val="0"/>
                <w:szCs w:val="20"/>
              </w:rPr>
              <w:t>EGFR</w:t>
            </w:r>
            <w:r w:rsidRPr="008C5F9E">
              <w:rPr>
                <w:rFonts w:cs="Courier New"/>
                <w:snapToGrid w:val="0"/>
                <w:szCs w:val="20"/>
              </w:rPr>
              <w:t xml:space="preserve"> testing and </w:t>
            </w:r>
            <w:r w:rsidRPr="00CF1CED">
              <w:rPr>
                <w:rFonts w:cs="Courier New"/>
                <w:i/>
                <w:snapToGrid w:val="0"/>
                <w:szCs w:val="20"/>
              </w:rPr>
              <w:t>ALK</w:t>
            </w:r>
            <w:r w:rsidRPr="008C5F9E">
              <w:rPr>
                <w:rFonts w:cs="Courier New"/>
                <w:snapToGrid w:val="0"/>
                <w:szCs w:val="20"/>
              </w:rPr>
              <w:t xml:space="preserve"> and </w:t>
            </w:r>
            <w:r w:rsidRPr="00CF1CED">
              <w:rPr>
                <w:rFonts w:cs="Courier New"/>
                <w:i/>
                <w:snapToGrid w:val="0"/>
                <w:szCs w:val="20"/>
              </w:rPr>
              <w:t>ROS1</w:t>
            </w:r>
            <w:r w:rsidRPr="008C5F9E">
              <w:rPr>
                <w:rFonts w:cs="Courier New"/>
                <w:snapToGrid w:val="0"/>
                <w:szCs w:val="20"/>
              </w:rPr>
              <w:t xml:space="preserve"> FISH in patients with Stage IV adenocarcinoma NSCLC</w:t>
            </w:r>
            <w:r>
              <w:rPr>
                <w:rFonts w:cs="Courier New"/>
                <w:snapToGrid w:val="0"/>
                <w:szCs w:val="20"/>
              </w:rPr>
              <w:t>. A h</w:t>
            </w:r>
            <w:r w:rsidRPr="008C5F9E">
              <w:rPr>
                <w:rFonts w:cs="Courier New"/>
                <w:snapToGrid w:val="0"/>
                <w:szCs w:val="20"/>
              </w:rPr>
              <w:t>ybrid decision-tree microsimulation model</w:t>
            </w:r>
            <w:r>
              <w:rPr>
                <w:rFonts w:cs="Courier New"/>
                <w:snapToGrid w:val="0"/>
                <w:szCs w:val="20"/>
              </w:rPr>
              <w:t xml:space="preserve"> was used</w:t>
            </w:r>
            <w:r w:rsidRPr="008C5F9E">
              <w:rPr>
                <w:rFonts w:cs="Courier New"/>
                <w:snapToGrid w:val="0"/>
                <w:szCs w:val="20"/>
              </w:rPr>
              <w:t>, where outcomes related to testing were captured in the decision tree component, and outcomes of treatment from the microsimulation.</w:t>
            </w:r>
            <w:r>
              <w:rPr>
                <w:rFonts w:cs="Courier New"/>
                <w:snapToGrid w:val="0"/>
                <w:szCs w:val="20"/>
              </w:rPr>
              <w:t xml:space="preserve"> </w:t>
            </w:r>
            <w:r w:rsidRPr="008C5F9E">
              <w:rPr>
                <w:rFonts w:cs="Courier New"/>
                <w:snapToGrid w:val="0"/>
                <w:szCs w:val="20"/>
              </w:rPr>
              <w:t>P</w:t>
            </w:r>
            <w:r>
              <w:rPr>
                <w:rFonts w:cs="Courier New"/>
                <w:snapToGrid w:val="0"/>
                <w:szCs w:val="20"/>
              </w:rPr>
              <w:t xml:space="preserve">FS estimates from clinical trials of targeted therapies and chemotherapies were used to inform life years with up to three lines of treatment. </w:t>
            </w:r>
            <w:r w:rsidRPr="008C5F9E">
              <w:rPr>
                <w:rFonts w:cs="Courier New"/>
                <w:snapToGrid w:val="0"/>
                <w:szCs w:val="20"/>
              </w:rPr>
              <w:t xml:space="preserve">Costs included </w:t>
            </w:r>
            <w:r>
              <w:rPr>
                <w:rFonts w:cs="Courier New"/>
                <w:snapToGrid w:val="0"/>
                <w:szCs w:val="20"/>
              </w:rPr>
              <w:t xml:space="preserve">in the model were </w:t>
            </w:r>
            <w:r w:rsidRPr="008C5F9E">
              <w:rPr>
                <w:rFonts w:cs="Courier New"/>
                <w:snapToGrid w:val="0"/>
                <w:szCs w:val="20"/>
              </w:rPr>
              <w:t>those related to testing and treatment</w:t>
            </w:r>
            <w:r>
              <w:rPr>
                <w:rFonts w:cs="Courier New"/>
                <w:snapToGrid w:val="0"/>
                <w:szCs w:val="20"/>
              </w:rPr>
              <w:t>.</w:t>
            </w:r>
          </w:p>
          <w:p w14:paraId="2A79FC52" w14:textId="77777777" w:rsidR="004E63D6" w:rsidRPr="008C5F9E" w:rsidRDefault="004E63D6" w:rsidP="00CA410A">
            <w:pPr>
              <w:pStyle w:val="TableText"/>
              <w:rPr>
                <w:rFonts w:cs="Courier New"/>
                <w:snapToGrid w:val="0"/>
                <w:szCs w:val="20"/>
              </w:rPr>
            </w:pPr>
            <w:r w:rsidRPr="008C5F9E">
              <w:rPr>
                <w:rFonts w:cs="Courier New"/>
                <w:snapToGrid w:val="0"/>
                <w:szCs w:val="20"/>
              </w:rPr>
              <w:t>NGS yiel</w:t>
            </w:r>
            <w:r>
              <w:rPr>
                <w:rFonts w:cs="Courier New"/>
                <w:snapToGrid w:val="0"/>
                <w:szCs w:val="20"/>
              </w:rPr>
              <w:t xml:space="preserve">ded the most correct diagnoses </w:t>
            </w:r>
            <w:r w:rsidRPr="008C5F9E">
              <w:rPr>
                <w:rFonts w:cs="Courier New"/>
                <w:snapToGrid w:val="0"/>
                <w:szCs w:val="20"/>
              </w:rPr>
              <w:t>due to improved</w:t>
            </w:r>
            <w:r>
              <w:rPr>
                <w:rFonts w:cs="Courier New"/>
                <w:snapToGrid w:val="0"/>
                <w:szCs w:val="20"/>
              </w:rPr>
              <w:t xml:space="preserve"> sensitivity for </w:t>
            </w:r>
            <w:r w:rsidRPr="00CF1CED">
              <w:rPr>
                <w:rFonts w:cs="Courier New"/>
                <w:i/>
                <w:snapToGrid w:val="0"/>
                <w:szCs w:val="20"/>
              </w:rPr>
              <w:t>EGFR</w:t>
            </w:r>
            <w:r>
              <w:rPr>
                <w:rFonts w:cs="Courier New"/>
                <w:snapToGrid w:val="0"/>
                <w:szCs w:val="20"/>
              </w:rPr>
              <w:t xml:space="preserve"> variants </w:t>
            </w:r>
            <w:r w:rsidRPr="008C5F9E">
              <w:rPr>
                <w:rFonts w:cs="Courier New"/>
                <w:snapToGrid w:val="0"/>
                <w:szCs w:val="20"/>
              </w:rPr>
              <w:t>and due to a lower rate of unknown test results.</w:t>
            </w:r>
            <w:r>
              <w:rPr>
                <w:rFonts w:cs="Courier New"/>
                <w:snapToGrid w:val="0"/>
                <w:szCs w:val="20"/>
              </w:rPr>
              <w:t xml:space="preserve"> </w:t>
            </w:r>
            <w:r w:rsidRPr="008C5F9E">
              <w:rPr>
                <w:rFonts w:cs="Courier New"/>
                <w:snapToGrid w:val="0"/>
                <w:szCs w:val="20"/>
              </w:rPr>
              <w:t xml:space="preserve">NGS compared to </w:t>
            </w:r>
            <w:r w:rsidRPr="00CF1CED">
              <w:rPr>
                <w:rFonts w:cs="Courier New"/>
                <w:i/>
                <w:snapToGrid w:val="0"/>
                <w:szCs w:val="20"/>
              </w:rPr>
              <w:t>EGFR</w:t>
            </w:r>
            <w:r w:rsidRPr="008C5F9E">
              <w:rPr>
                <w:rFonts w:cs="Courier New"/>
                <w:snapToGrid w:val="0"/>
                <w:szCs w:val="20"/>
              </w:rPr>
              <w:t xml:space="preserve"> then </w:t>
            </w:r>
            <w:r w:rsidRPr="00CF1CED">
              <w:rPr>
                <w:rFonts w:cs="Courier New"/>
                <w:i/>
                <w:snapToGrid w:val="0"/>
                <w:szCs w:val="20"/>
              </w:rPr>
              <w:t>ALK</w:t>
            </w:r>
            <w:r w:rsidRPr="008C5F9E">
              <w:rPr>
                <w:rFonts w:cs="Courier New"/>
                <w:snapToGrid w:val="0"/>
                <w:szCs w:val="20"/>
              </w:rPr>
              <w:t xml:space="preserve"> and </w:t>
            </w:r>
            <w:r w:rsidRPr="00CF1CED">
              <w:rPr>
                <w:rFonts w:cs="Courier New"/>
                <w:i/>
                <w:snapToGrid w:val="0"/>
                <w:szCs w:val="20"/>
              </w:rPr>
              <w:t>ROS1</w:t>
            </w:r>
            <w:r w:rsidRPr="008C5F9E">
              <w:rPr>
                <w:rFonts w:cs="Courier New"/>
                <w:snapToGrid w:val="0"/>
                <w:szCs w:val="20"/>
              </w:rPr>
              <w:t xml:space="preserve"> FISH was associated with an ICER of USD3,479.11 per additional correct case detected, and </w:t>
            </w:r>
            <w:r>
              <w:rPr>
                <w:rFonts w:cs="Courier New"/>
                <w:snapToGrid w:val="0"/>
                <w:szCs w:val="20"/>
              </w:rPr>
              <w:t xml:space="preserve">USD214,000 </w:t>
            </w:r>
            <w:r w:rsidRPr="008C5F9E">
              <w:rPr>
                <w:rFonts w:cs="Courier New"/>
                <w:snapToGrid w:val="0"/>
                <w:szCs w:val="20"/>
              </w:rPr>
              <w:t>per additional QALY gained</w:t>
            </w:r>
            <w:r>
              <w:rPr>
                <w:rFonts w:cs="Courier New"/>
                <w:snapToGrid w:val="0"/>
                <w:szCs w:val="20"/>
              </w:rPr>
              <w:t>.</w:t>
            </w:r>
          </w:p>
        </w:tc>
      </w:tr>
      <w:tr w:rsidR="004E63D6" w:rsidRPr="001D153A" w14:paraId="20C14210" w14:textId="77777777" w:rsidTr="00CA410A">
        <w:trPr>
          <w:cantSplit/>
          <w:trHeight w:val="20"/>
        </w:trPr>
        <w:tc>
          <w:tcPr>
            <w:tcW w:w="1271" w:type="dxa"/>
            <w:hideMark/>
          </w:tcPr>
          <w:p w14:paraId="17B3AE8C" w14:textId="77777777" w:rsidR="004E63D6" w:rsidRPr="008C5F9E" w:rsidRDefault="004E63D6" w:rsidP="00CA410A">
            <w:pPr>
              <w:pStyle w:val="TableText"/>
              <w:rPr>
                <w:rFonts w:cs="Courier New"/>
                <w:snapToGrid w:val="0"/>
                <w:szCs w:val="20"/>
              </w:rPr>
            </w:pPr>
            <w:r>
              <w:rPr>
                <w:rFonts w:cs="Courier New"/>
                <w:snapToGrid w:val="0"/>
                <w:szCs w:val="20"/>
              </w:rPr>
              <w:t xml:space="preserve">Steuten et al. </w:t>
            </w:r>
            <w:r>
              <w:rPr>
                <w:rFonts w:cs="Courier New"/>
                <w:snapToGrid w:val="0"/>
                <w:szCs w:val="20"/>
              </w:rPr>
              <w:fldChar w:fldCharType="begin">
                <w:fldData xml:space="preserve">PEVuZE5vdGU+PENpdGUgRXhjbHVkZUF1dGg9IjEiPjxBdXRob3I+U3RldXRlbjwvQXV0aG9yPjxZ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</w:fldData>
              </w:fldChar>
            </w:r>
            <w:r>
              <w:rPr>
                <w:rFonts w:cs="Courier New"/>
                <w:snapToGrid w:val="0"/>
                <w:szCs w:val="20"/>
              </w:rPr>
              <w:instrText xml:space="preserve"> ADDIN EN.CITE </w:instrText>
            </w:r>
            <w:r>
              <w:rPr>
                <w:rFonts w:cs="Courier New"/>
                <w:snapToGrid w:val="0"/>
                <w:szCs w:val="20"/>
              </w:rPr>
              <w:fldChar w:fldCharType="begin">
                <w:fldData xml:space="preserve">PEVuZE5vdGU+PENpdGUgRXhjbHVkZUF1dGg9IjEiPjxBdXRob3I+U3RldXRlbjwvQXV0aG9yPjxZ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</w:fldData>
              </w:fldChar>
            </w:r>
            <w:r>
              <w:rPr>
                <w:rFonts w:cs="Courier New"/>
                <w:snapToGrid w:val="0"/>
                <w:szCs w:val="20"/>
              </w:rPr>
              <w:instrText xml:space="preserve"> ADDIN EN.CITE.DATA </w:instrText>
            </w:r>
            <w:r>
              <w:rPr>
                <w:rFonts w:cs="Courier New"/>
                <w:snapToGrid w:val="0"/>
                <w:szCs w:val="20"/>
              </w:rPr>
            </w:r>
            <w:r>
              <w:rPr>
                <w:rFonts w:cs="Courier New"/>
                <w:snapToGrid w:val="0"/>
                <w:szCs w:val="20"/>
              </w:rPr>
              <w:fldChar w:fldCharType="end"/>
            </w:r>
            <w:r>
              <w:rPr>
                <w:rFonts w:cs="Courier New"/>
                <w:snapToGrid w:val="0"/>
                <w:szCs w:val="20"/>
              </w:rPr>
            </w:r>
            <w:r>
              <w:rPr>
                <w:rFonts w:cs="Courier New"/>
                <w:snapToGrid w:val="0"/>
                <w:szCs w:val="20"/>
              </w:rPr>
              <w:fldChar w:fldCharType="separate"/>
            </w:r>
            <w:r>
              <w:rPr>
                <w:rFonts w:cs="Courier New"/>
                <w:noProof/>
                <w:snapToGrid w:val="0"/>
                <w:szCs w:val="20"/>
              </w:rPr>
              <w:t>(2019)</w:t>
            </w:r>
            <w:r>
              <w:rPr>
                <w:rFonts w:cs="Courier New"/>
                <w:snapToGrid w:val="0"/>
                <w:szCs w:val="20"/>
              </w:rPr>
              <w:fldChar w:fldCharType="end"/>
            </w:r>
          </w:p>
        </w:tc>
        <w:tc>
          <w:tcPr>
            <w:tcW w:w="7745" w:type="dxa"/>
            <w:hideMark/>
          </w:tcPr>
          <w:p w14:paraId="633BF245" w14:textId="77777777" w:rsidR="004E63D6" w:rsidRPr="008C5F9E" w:rsidRDefault="004E63D6" w:rsidP="00CA410A">
            <w:pPr>
              <w:pStyle w:val="TableText"/>
              <w:rPr>
                <w:rFonts w:cs="Courier New"/>
                <w:snapToGrid w:val="0"/>
                <w:szCs w:val="20"/>
              </w:rPr>
            </w:pPr>
            <w:r>
              <w:rPr>
                <w:rFonts w:cs="Courier New"/>
                <w:snapToGrid w:val="0"/>
                <w:szCs w:val="20"/>
              </w:rPr>
              <w:t>US cost-effectiveness analysis (outcome life years) that compared m</w:t>
            </w:r>
            <w:r w:rsidRPr="008C5F9E">
              <w:rPr>
                <w:rFonts w:cs="Courier New"/>
                <w:snapToGrid w:val="0"/>
                <w:szCs w:val="20"/>
              </w:rPr>
              <w:t>ultigene panel sequencing (≥30 or more genes) vs single-marker genetic testing (</w:t>
            </w:r>
            <w:r w:rsidRPr="00CF1CED">
              <w:rPr>
                <w:rFonts w:cs="Courier New"/>
                <w:i/>
                <w:snapToGrid w:val="0"/>
                <w:szCs w:val="20"/>
              </w:rPr>
              <w:t>EGFR</w:t>
            </w:r>
            <w:r w:rsidRPr="008C5F9E">
              <w:rPr>
                <w:rFonts w:cs="Courier New"/>
                <w:snapToGrid w:val="0"/>
                <w:szCs w:val="20"/>
              </w:rPr>
              <w:t xml:space="preserve">, </w:t>
            </w:r>
            <w:r w:rsidRPr="00CF1CED">
              <w:rPr>
                <w:rFonts w:cs="Courier New"/>
                <w:i/>
                <w:snapToGrid w:val="0"/>
                <w:szCs w:val="20"/>
              </w:rPr>
              <w:t>ALK</w:t>
            </w:r>
            <w:r w:rsidRPr="008C5F9E">
              <w:rPr>
                <w:rFonts w:cs="Courier New"/>
                <w:snapToGrid w:val="0"/>
                <w:szCs w:val="20"/>
              </w:rPr>
              <w:t xml:space="preserve"> and </w:t>
            </w:r>
            <w:r w:rsidRPr="00CF1CED">
              <w:rPr>
                <w:rFonts w:cs="Courier New"/>
                <w:i/>
                <w:snapToGrid w:val="0"/>
                <w:szCs w:val="20"/>
              </w:rPr>
              <w:t>ROS1</w:t>
            </w:r>
            <w:r w:rsidRPr="008C5F9E">
              <w:rPr>
                <w:rFonts w:cs="Courier New"/>
                <w:snapToGrid w:val="0"/>
                <w:szCs w:val="20"/>
              </w:rPr>
              <w:t>) in patients with Stage IIIB/IV non-squamous NSCLC (including those who progress from incident early stage disease)</w:t>
            </w:r>
            <w:r>
              <w:rPr>
                <w:rFonts w:cs="Courier New"/>
                <w:snapToGrid w:val="0"/>
                <w:szCs w:val="20"/>
              </w:rPr>
              <w:t>. A d</w:t>
            </w:r>
            <w:r w:rsidRPr="008C5F9E">
              <w:rPr>
                <w:rFonts w:cs="Courier New"/>
                <w:snapToGrid w:val="0"/>
                <w:szCs w:val="20"/>
              </w:rPr>
              <w:t xml:space="preserve">ecision-tree model </w:t>
            </w:r>
            <w:r>
              <w:rPr>
                <w:rFonts w:cs="Courier New"/>
                <w:snapToGrid w:val="0"/>
                <w:szCs w:val="20"/>
              </w:rPr>
              <w:t xml:space="preserve">was used </w:t>
            </w:r>
            <w:r w:rsidRPr="008C5F9E">
              <w:rPr>
                <w:rFonts w:cs="Courier New"/>
                <w:snapToGrid w:val="0"/>
                <w:szCs w:val="20"/>
              </w:rPr>
              <w:t>where terminal nodes consist</w:t>
            </w:r>
            <w:r>
              <w:rPr>
                <w:rFonts w:cs="Courier New"/>
                <w:snapToGrid w:val="0"/>
                <w:szCs w:val="20"/>
              </w:rPr>
              <w:t>ed</w:t>
            </w:r>
            <w:r w:rsidRPr="008C5F9E">
              <w:rPr>
                <w:rFonts w:cs="Courier New"/>
                <w:snapToGrid w:val="0"/>
                <w:szCs w:val="20"/>
              </w:rPr>
              <w:t xml:space="preserve"> of targeted therapy, immunotherapy, chemotherapy, BSC and clinical trials. OS, by treatment type, was derived from survival observed in advanced NSCLC patients in the Flatiron Health </w:t>
            </w:r>
            <w:r>
              <w:rPr>
                <w:rFonts w:cs="Courier New"/>
                <w:snapToGrid w:val="0"/>
                <w:szCs w:val="20"/>
              </w:rPr>
              <w:t xml:space="preserve">database or from published data. However outcomes from chemotherapy and immunotherapy appeared to have been combined. </w:t>
            </w:r>
            <w:r w:rsidRPr="008C5F9E">
              <w:rPr>
                <w:rFonts w:cs="Courier New"/>
                <w:snapToGrid w:val="0"/>
                <w:szCs w:val="20"/>
              </w:rPr>
              <w:t xml:space="preserve">Costs included test costs; drug treatment and administration cost; and cost for </w:t>
            </w:r>
            <w:r>
              <w:rPr>
                <w:rFonts w:cs="Courier New"/>
                <w:snapToGrid w:val="0"/>
                <w:szCs w:val="20"/>
              </w:rPr>
              <w:t>BSC</w:t>
            </w:r>
            <w:r w:rsidRPr="008C5F9E">
              <w:rPr>
                <w:rFonts w:cs="Courier New"/>
                <w:snapToGrid w:val="0"/>
                <w:szCs w:val="20"/>
              </w:rPr>
              <w:t>, hospitalisations, and management of serious adverse events.</w:t>
            </w:r>
          </w:p>
          <w:p w14:paraId="0DCA30DD" w14:textId="77777777" w:rsidR="004E63D6" w:rsidRPr="008C5F9E" w:rsidRDefault="004E63D6" w:rsidP="00CA410A">
            <w:pPr>
              <w:pStyle w:val="TableText"/>
              <w:rPr>
                <w:rFonts w:cs="Courier New"/>
                <w:snapToGrid w:val="0"/>
                <w:szCs w:val="20"/>
              </w:rPr>
            </w:pPr>
            <w:r w:rsidRPr="008C5F9E">
              <w:rPr>
                <w:rFonts w:cs="Courier New"/>
                <w:snapToGrid w:val="0"/>
                <w:szCs w:val="20"/>
              </w:rPr>
              <w:t>Multigene panel testing was associated with more actionable variants identified (30.1% vs 23.3%) and</w:t>
            </w:r>
            <w:r>
              <w:rPr>
                <w:rFonts w:cs="Courier New"/>
                <w:snapToGrid w:val="0"/>
                <w:szCs w:val="20"/>
              </w:rPr>
              <w:t xml:space="preserve"> treated (21.4% vs 18.7%), h</w:t>
            </w:r>
            <w:r w:rsidRPr="008C5F9E">
              <w:rPr>
                <w:rFonts w:cs="Courier New"/>
                <w:snapToGrid w:val="0"/>
                <w:szCs w:val="20"/>
              </w:rPr>
              <w:t>owever</w:t>
            </w:r>
            <w:r>
              <w:rPr>
                <w:rFonts w:cs="Courier New"/>
                <w:snapToGrid w:val="0"/>
                <w:szCs w:val="20"/>
              </w:rPr>
              <w:t xml:space="preserve"> was </w:t>
            </w:r>
            <w:r w:rsidRPr="008C5F9E">
              <w:rPr>
                <w:rFonts w:cs="Courier New"/>
                <w:snapToGrid w:val="0"/>
                <w:szCs w:val="20"/>
              </w:rPr>
              <w:t xml:space="preserve">more </w:t>
            </w:r>
            <w:r>
              <w:rPr>
                <w:rFonts w:cs="Courier New"/>
                <w:snapToGrid w:val="0"/>
                <w:szCs w:val="20"/>
              </w:rPr>
              <w:t xml:space="preserve">costly </w:t>
            </w:r>
            <w:r w:rsidRPr="008C5F9E">
              <w:rPr>
                <w:rFonts w:cs="Courier New"/>
                <w:snapToGrid w:val="0"/>
                <w:szCs w:val="20"/>
              </w:rPr>
              <w:t>(</w:t>
            </w:r>
            <w:r>
              <w:rPr>
                <w:rFonts w:cs="Courier New"/>
                <w:snapToGrid w:val="0"/>
                <w:szCs w:val="20"/>
              </w:rPr>
              <w:t>average test costs</w:t>
            </w:r>
            <w:r w:rsidRPr="008C5F9E">
              <w:rPr>
                <w:rFonts w:cs="Courier New"/>
                <w:snapToGrid w:val="0"/>
                <w:szCs w:val="20"/>
              </w:rPr>
              <w:t xml:space="preserve"> $1,948 v $467). Additional actionable variants was driven by yield in markers not included in single gene testing.</w:t>
            </w:r>
            <w:r>
              <w:rPr>
                <w:rFonts w:cs="Courier New"/>
                <w:snapToGrid w:val="0"/>
                <w:szCs w:val="20"/>
              </w:rPr>
              <w:t xml:space="preserve"> When the costs and effects of changes in treatment were modelled, t</w:t>
            </w:r>
            <w:r w:rsidRPr="008C5F9E">
              <w:rPr>
                <w:rFonts w:cs="Courier New"/>
                <w:snapToGrid w:val="0"/>
                <w:szCs w:val="20"/>
              </w:rPr>
              <w:t>he ICER per LY gained was $148,478.</w:t>
            </w:r>
          </w:p>
        </w:tc>
      </w:tr>
      <w:tr w:rsidR="004E63D6" w:rsidRPr="001D153A" w14:paraId="1BF3D160" w14:textId="77777777" w:rsidTr="00CA410A">
        <w:trPr>
          <w:cantSplit/>
          <w:trHeight w:val="20"/>
        </w:trPr>
        <w:tc>
          <w:tcPr>
            <w:tcW w:w="1271" w:type="dxa"/>
            <w:hideMark/>
          </w:tcPr>
          <w:p w14:paraId="311026FF" w14:textId="77777777" w:rsidR="004E63D6" w:rsidRPr="008C5F9E" w:rsidRDefault="004E63D6" w:rsidP="00CA410A">
            <w:pPr>
              <w:pStyle w:val="TableText"/>
              <w:rPr>
                <w:rFonts w:cs="Courier New"/>
                <w:snapToGrid w:val="0"/>
                <w:szCs w:val="20"/>
              </w:rPr>
            </w:pPr>
            <w:r w:rsidRPr="008C5F9E">
              <w:rPr>
                <w:rFonts w:cs="Courier New"/>
                <w:snapToGrid w:val="0"/>
                <w:szCs w:val="20"/>
              </w:rPr>
              <w:t xml:space="preserve">Pennell </w:t>
            </w:r>
            <w:r>
              <w:rPr>
                <w:rFonts w:cs="Courier New"/>
                <w:snapToGrid w:val="0"/>
                <w:szCs w:val="20"/>
              </w:rPr>
              <w:t xml:space="preserve">et al. </w:t>
            </w:r>
            <w:r>
              <w:rPr>
                <w:rFonts w:cs="Courier New"/>
                <w:snapToGrid w:val="0"/>
                <w:szCs w:val="20"/>
              </w:rPr>
              <w:fldChar w:fldCharType="begin"/>
            </w:r>
            <w:r>
              <w:rPr>
                <w:rFonts w:cs="Courier New"/>
                <w:snapToGrid w:val="0"/>
                <w:szCs w:val="20"/>
              </w:rPr>
              <w:instrText xml:space="preserve"> ADDIN EN.CITE &lt;EndNote&gt;&lt;Cite ExcludeAuth="1"&gt;&lt;Author&gt;Pennell&lt;/Author&gt;&lt;Year&gt;2019&lt;/Year&gt;&lt;RecNum&gt;205&lt;/RecNum&gt;&lt;IDText&gt;1-9&lt;/IDText&gt;&lt;DisplayText&gt;(2019)&lt;/DisplayText&gt;&lt;record&gt;&lt;rec-number&gt;205&lt;/rec-number&gt;&lt;foreign-keys&gt;&lt;key app="EN" db-id="0tprsse9cpp5r3ea5dz5p0xw2pfwvwxpa5a5" timestamp="1657699376"&gt;205&lt;/key&gt;&lt;/foreign-keys&gt;&lt;ref-type name="Journal Article"&gt;17&lt;/ref-type&gt;&lt;contributors&gt;&lt;authors&gt;&lt;author&gt;Pennell, N. A.&lt;/author&gt;&lt;author&gt;Mutebi, A.&lt;/author&gt;&lt;author&gt;Zhou, Z. Y.&lt;/author&gt;&lt;author&gt;Ricculli, M. L.&lt;/author&gt;&lt;author&gt;Tang, W.&lt;/author&gt;&lt;author&gt;Wang, H.&lt;/author&gt;&lt;author&gt;Guerin, A.&lt;/author&gt;&lt;author&gt;Arnhart, T.&lt;/author&gt;&lt;author&gt;Dalal, A.&lt;/author&gt;&lt;author&gt;Sasane, M.&lt;/author&gt;&lt;author&gt;Wu, K. Y.&lt;/author&gt;&lt;author&gt;Culver, K. W.&lt;/author&gt;&lt;author&gt;Otterson, G. A.&lt;/author&gt;&lt;/authors&gt;&lt;/contributors&gt;&lt;auth-address&gt;Cleveland Clinic, Cleveland, OH.&amp;#xD;Novartis Pharmaceuticals, East Hanover, NJ.&amp;#xD;Analysis Group, New York, NY.&amp;#xD;Analysis Group, Montréal, Quebec, Canada.&amp;#xD;The Ohio State University Comprehensive Cancer Center, Columbus, OH.&lt;/auth-address&gt;&lt;titles&gt;&lt;title&gt;Economic Impact of Next-Generation Sequencing Versus Single-Gene Testing to Detect Genomic Alterations in Metastatic Non-Small-Cell Lung Cancer Using a Decision Analytic Model&lt;/title&gt;&lt;secondary-title&gt;JCO Precis Oncol&lt;/secondary-title&gt;&lt;/titles&gt;&lt;periodical&gt;&lt;full-title&gt;JCO Precis Oncol&lt;/full-title&gt;&lt;/periodical&gt;&lt;pages&gt;1-9&lt;/pages&gt;&lt;volume&gt;3&lt;/volume&gt;&lt;dates&gt;&lt;year&gt;2019&lt;/year&gt;&lt;pub-dates&gt;&lt;date&gt;Dec&lt;/date&gt;&lt;/pub-dates&gt;&lt;/dates&gt;&lt;accession-num&gt;35100695&lt;/accession-num&gt;&lt;urls&gt;&lt;/urls&gt;&lt;research-notes&gt;Include&lt;/research-notes&gt;&lt;/record&gt;&lt;/Cite&gt;&lt;/EndNote&gt;</w:instrText>
            </w:r>
            <w:r>
              <w:rPr>
                <w:rFonts w:cs="Courier New"/>
                <w:snapToGrid w:val="0"/>
                <w:szCs w:val="20"/>
              </w:rPr>
              <w:fldChar w:fldCharType="separate"/>
            </w:r>
            <w:r>
              <w:rPr>
                <w:rFonts w:cs="Courier New"/>
                <w:noProof/>
                <w:snapToGrid w:val="0"/>
                <w:szCs w:val="20"/>
              </w:rPr>
              <w:t>(2019)</w:t>
            </w:r>
            <w:r>
              <w:rPr>
                <w:rFonts w:cs="Courier New"/>
                <w:snapToGrid w:val="0"/>
                <w:szCs w:val="20"/>
              </w:rPr>
              <w:fldChar w:fldCharType="end"/>
            </w:r>
          </w:p>
        </w:tc>
        <w:tc>
          <w:tcPr>
            <w:tcW w:w="7745" w:type="dxa"/>
            <w:hideMark/>
          </w:tcPr>
          <w:p w14:paraId="53B4CD8B" w14:textId="77777777" w:rsidR="004E63D6" w:rsidRPr="008C5F9E" w:rsidRDefault="004E63D6" w:rsidP="00CA410A">
            <w:pPr>
              <w:pStyle w:val="TableText"/>
              <w:rPr>
                <w:rFonts w:cs="Courier New"/>
                <w:snapToGrid w:val="0"/>
                <w:szCs w:val="20"/>
              </w:rPr>
            </w:pPr>
            <w:r>
              <w:rPr>
                <w:rFonts w:cs="Courier New"/>
                <w:snapToGrid w:val="0"/>
                <w:szCs w:val="20"/>
              </w:rPr>
              <w:t>US budget impact analysis that compared u</w:t>
            </w:r>
            <w:r w:rsidRPr="008C5F9E">
              <w:rPr>
                <w:rFonts w:cs="Courier New"/>
                <w:snapToGrid w:val="0"/>
                <w:szCs w:val="20"/>
              </w:rPr>
              <w:t>pfront NGS testing vs different scenarios of sequential testing in patients with metastatic NSCLC.</w:t>
            </w:r>
            <w:r>
              <w:rPr>
                <w:rFonts w:cs="Courier New"/>
                <w:snapToGrid w:val="0"/>
                <w:szCs w:val="20"/>
              </w:rPr>
              <w:t xml:space="preserve"> A d</w:t>
            </w:r>
            <w:r w:rsidRPr="008C5F9E">
              <w:rPr>
                <w:rFonts w:cs="Courier New"/>
                <w:snapToGrid w:val="0"/>
                <w:szCs w:val="20"/>
              </w:rPr>
              <w:t>ecision-tree analytic</w:t>
            </w:r>
            <w:r>
              <w:rPr>
                <w:rFonts w:cs="Courier New"/>
                <w:snapToGrid w:val="0"/>
                <w:szCs w:val="20"/>
              </w:rPr>
              <w:t xml:space="preserve"> was used</w:t>
            </w:r>
            <w:r w:rsidRPr="008C5F9E">
              <w:rPr>
                <w:rFonts w:cs="Courier New"/>
                <w:snapToGrid w:val="0"/>
                <w:szCs w:val="20"/>
              </w:rPr>
              <w:t xml:space="preserve"> that measured </w:t>
            </w:r>
            <w:r>
              <w:rPr>
                <w:rFonts w:cs="Courier New"/>
                <w:snapToGrid w:val="0"/>
                <w:szCs w:val="20"/>
              </w:rPr>
              <w:t xml:space="preserve">the </w:t>
            </w:r>
            <w:r w:rsidRPr="008C5F9E">
              <w:rPr>
                <w:rFonts w:cs="Courier New"/>
                <w:snapToGrid w:val="0"/>
                <w:szCs w:val="20"/>
              </w:rPr>
              <w:t>time to test results and proportion of patients with actionable variants identified (with or without FDA-approved therapies)</w:t>
            </w:r>
            <w:r>
              <w:rPr>
                <w:rFonts w:cs="Courier New"/>
                <w:snapToGrid w:val="0"/>
                <w:szCs w:val="20"/>
              </w:rPr>
              <w:t xml:space="preserve">. </w:t>
            </w:r>
            <w:r w:rsidRPr="008C5F9E">
              <w:rPr>
                <w:rFonts w:cs="Courier New"/>
                <w:snapToGrid w:val="0"/>
                <w:szCs w:val="20"/>
              </w:rPr>
              <w:t>Costs</w:t>
            </w:r>
            <w:r>
              <w:rPr>
                <w:rFonts w:cs="Courier New"/>
                <w:snapToGrid w:val="0"/>
                <w:szCs w:val="20"/>
              </w:rPr>
              <w:t xml:space="preserve"> modelled</w:t>
            </w:r>
            <w:r w:rsidRPr="008C5F9E">
              <w:rPr>
                <w:rFonts w:cs="Courier New"/>
                <w:snapToGrid w:val="0"/>
                <w:szCs w:val="20"/>
              </w:rPr>
              <w:t xml:space="preserve"> included those related to testing and rebiopsy.</w:t>
            </w:r>
          </w:p>
          <w:p w14:paraId="5A3E1D38" w14:textId="77777777" w:rsidR="004E63D6" w:rsidRPr="008C5F9E" w:rsidRDefault="004E63D6" w:rsidP="00CA410A">
            <w:pPr>
              <w:pStyle w:val="TableText"/>
              <w:rPr>
                <w:rFonts w:cs="Courier New"/>
                <w:snapToGrid w:val="0"/>
                <w:szCs w:val="20"/>
              </w:rPr>
            </w:pPr>
            <w:r w:rsidRPr="008C5F9E">
              <w:rPr>
                <w:rFonts w:cs="Courier New"/>
                <w:snapToGrid w:val="0"/>
                <w:szCs w:val="20"/>
              </w:rPr>
              <w:t>NGS was assumed to identify all variants with and without FDA-approved therapies (100.0% vs 97.7% with sequential testing for alterations with approved therapies, and 100.0% vs 56.3% for alterations without FDA-approved therapies). Additional actionable variants were identified due the need for rebiopsy with sequential testing. NGS was also the cheapest option and equal fastest (with hotspot panel testing)</w:t>
            </w:r>
          </w:p>
        </w:tc>
      </w:tr>
    </w:tbl>
    <w:p w14:paraId="73B41628" w14:textId="77777777" w:rsidR="004E63D6" w:rsidRDefault="004E63D6" w:rsidP="004E63D6">
      <w:pPr>
        <w:pStyle w:val="TableFooter"/>
      </w:pPr>
      <w:r>
        <w:t xml:space="preserve">AE = adverse event; </w:t>
      </w:r>
      <w:r>
        <w:rPr>
          <w:i/>
        </w:rPr>
        <w:t>ALK</w:t>
      </w:r>
      <w:r>
        <w:t xml:space="preserve"> = </w:t>
      </w:r>
      <w:r w:rsidRPr="003316EF">
        <w:t>anaplastic lymphoma kinase</w:t>
      </w:r>
      <w:r>
        <w:t xml:space="preserve">; </w:t>
      </w:r>
      <w:r w:rsidRPr="00152F12">
        <w:rPr>
          <w:i/>
        </w:rPr>
        <w:t>BRAF</w:t>
      </w:r>
      <w:r>
        <w:t xml:space="preserve"> = proto-oncogene B-Raf and v-Raf murine sarcoma viral oncogene homolog B; BSC = best supportive care; DNA = deoxyribose nucleic acid; </w:t>
      </w:r>
      <w:r w:rsidRPr="00A81F01">
        <w:rPr>
          <w:i/>
        </w:rPr>
        <w:t>EGFR</w:t>
      </w:r>
      <w:r>
        <w:t xml:space="preserve"> = </w:t>
      </w:r>
      <w:r w:rsidRPr="00A81F01">
        <w:t>epidermal growth factor receptor</w:t>
      </w:r>
      <w:r>
        <w:t xml:space="preserve">; </w:t>
      </w:r>
      <w:r w:rsidRPr="00152F12">
        <w:rPr>
          <w:i/>
        </w:rPr>
        <w:t>ERBB2</w:t>
      </w:r>
      <w:r>
        <w:t xml:space="preserve"> = erb-b2 receptor tyrosine kinase 2; FDA = (US) Food and Drug Administration; FISH = f</w:t>
      </w:r>
      <w:r w:rsidRPr="003316EF">
        <w:t>luorescence in situ hybridisation</w:t>
      </w:r>
      <w:r>
        <w:t xml:space="preserve">; ICER = incremental cost-effectiveness ratio; IHC = immunohistochemistry; LY = life year; </w:t>
      </w:r>
      <w:r w:rsidRPr="00CE4DC5">
        <w:rPr>
          <w:i/>
        </w:rPr>
        <w:t>MET</w:t>
      </w:r>
      <w:r w:rsidRPr="00CE4DC5">
        <w:t xml:space="preserve"> =</w:t>
      </w:r>
      <w:r>
        <w:t xml:space="preserve"> </w:t>
      </w:r>
      <w:r w:rsidRPr="008F67AF">
        <w:rPr>
          <w:szCs w:val="18"/>
        </w:rPr>
        <w:t>mesenchymal-epithelial transition</w:t>
      </w:r>
      <w:r>
        <w:rPr>
          <w:szCs w:val="18"/>
        </w:rPr>
        <w:t xml:space="preserve">; </w:t>
      </w:r>
      <w:r w:rsidRPr="00336456">
        <w:rPr>
          <w:i/>
        </w:rPr>
        <w:t>MET</w:t>
      </w:r>
      <w:r>
        <w:t xml:space="preserve">ex14sk = MET proto-oncogene, receptor tyrosine kinase exon 14 skipping alterations; NGS = next generation sequencing; NOS = not otherwise specified; NSCLC = non-small cell lung cancer; NTRK = </w:t>
      </w:r>
      <w:r w:rsidRPr="00CF1CED">
        <w:t>neurotrophic tyrosine receptor kinase</w:t>
      </w:r>
      <w:r>
        <w:t xml:space="preserve">; OS = overall survival; PFS = progression-free survival; QALY = quality-adjusted life year; </w:t>
      </w:r>
      <w:r w:rsidRPr="00152F12">
        <w:rPr>
          <w:i/>
        </w:rPr>
        <w:t>RET</w:t>
      </w:r>
      <w:r>
        <w:t xml:space="preserve"> = rearranged during transfection; RNA = ribonucleic acid; </w:t>
      </w:r>
      <w:r w:rsidRPr="00743D1B">
        <w:rPr>
          <w:i/>
        </w:rPr>
        <w:t>ROS1</w:t>
      </w:r>
      <w:r>
        <w:t xml:space="preserve"> = ROS proto-oncogene 1; RT-PCR = real-time polymerase chain reaction.</w:t>
      </w:r>
    </w:p>
    <w:p w14:paraId="5EC2E4E8" w14:textId="77777777" w:rsidR="004E63D6" w:rsidRDefault="004E63D6" w:rsidP="004E63D6">
      <w:pPr>
        <w:pStyle w:val="NormalBeforeBullet"/>
      </w:pPr>
    </w:p>
    <w:p w14:paraId="75D4732B" w14:textId="49A393EF" w:rsidR="004E63D6" w:rsidRDefault="004E63D6" w:rsidP="004E63D6">
      <w:pPr>
        <w:pStyle w:val="Caption"/>
      </w:pPr>
      <w:bookmarkStart w:id="329" w:name="_Ref108347451"/>
      <w:r>
        <w:lastRenderedPageBreak/>
        <w:t>Figure </w:t>
      </w:r>
      <w:fldSimple w:instr=" SEQ Figure \* ARABIC ">
        <w:r w:rsidR="00C857F3">
          <w:rPr>
            <w:noProof/>
          </w:rPr>
          <w:t>28</w:t>
        </w:r>
      </w:fldSimple>
      <w:bookmarkEnd w:id="329"/>
      <w:r>
        <w:tab/>
        <w:t>Model structure</w:t>
      </w:r>
    </w:p>
    <w:p w14:paraId="72531F1F" w14:textId="77777777" w:rsidR="004E63D6" w:rsidRDefault="004E63D6" w:rsidP="004E63D6">
      <w:pPr>
        <w:pStyle w:val="NormalBeforeBullet"/>
      </w:pPr>
      <w:r>
        <w:rPr>
          <w:noProof/>
          <w:lang w:eastAsia="en-AU"/>
        </w:rPr>
        <w:drawing>
          <wp:inline distT="0" distB="0" distL="0" distR="0" wp14:anchorId="20ECBB87" wp14:editId="03FEC81C">
            <wp:extent cx="5731510" cy="8195945"/>
            <wp:effectExtent l="0" t="0" r="2540" b="0"/>
            <wp:docPr id="28" name="Picture 28" descr="Model structure part 1" title="Model structur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21 model - comparato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8195945"/>
                    </a:xfrm>
                    <a:prstGeom prst="rect">
                      <a:avLst/>
                    </a:prstGeom>
                  </pic:spPr>
                </pic:pic>
              </a:graphicData>
            </a:graphic>
          </wp:inline>
        </w:drawing>
      </w:r>
    </w:p>
    <w:p w14:paraId="79DDD4AE" w14:textId="77777777" w:rsidR="004E63D6" w:rsidRDefault="004E63D6" w:rsidP="004E63D6">
      <w:pPr>
        <w:pStyle w:val="NormalBeforeBullet"/>
      </w:pPr>
      <w:r>
        <w:rPr>
          <w:noProof/>
          <w:lang w:eastAsia="en-AU"/>
        </w:rPr>
        <w:lastRenderedPageBreak/>
        <w:drawing>
          <wp:inline distT="0" distB="0" distL="0" distR="0" wp14:anchorId="7FDD2307" wp14:editId="4251B334">
            <wp:extent cx="5731510" cy="8604250"/>
            <wp:effectExtent l="0" t="0" r="2540" b="6350"/>
            <wp:docPr id="30" name="Picture 30" descr="Model structure part 2" title="Model structur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21 model - interventio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8604250"/>
                    </a:xfrm>
                    <a:prstGeom prst="rect">
                      <a:avLst/>
                    </a:prstGeom>
                  </pic:spPr>
                </pic:pic>
              </a:graphicData>
            </a:graphic>
          </wp:inline>
        </w:drawing>
      </w:r>
    </w:p>
    <w:p w14:paraId="5F92C32B" w14:textId="0471B9BA" w:rsidR="00AF0358" w:rsidRDefault="00AF0358" w:rsidP="004E63D6">
      <w:pPr>
        <w:pStyle w:val="TableFooter"/>
        <w:rPr>
          <w:i/>
        </w:rPr>
      </w:pPr>
      <w:r w:rsidRPr="000D7FC0">
        <w:t xml:space="preserve">Note: Common variants are those that can be identified by either single gene tests or panel tests. </w:t>
      </w:r>
      <w:r>
        <w:t>Uncommon</w:t>
      </w:r>
      <w:r w:rsidRPr="000D7FC0">
        <w:t xml:space="preserve"> variants are those identified </w:t>
      </w:r>
      <w:r w:rsidRPr="000D7FC0">
        <w:lastRenderedPageBreak/>
        <w:t>through panel testing only.</w:t>
      </w:r>
    </w:p>
    <w:p w14:paraId="4E35111E" w14:textId="7771B0A6" w:rsidR="004E63D6" w:rsidRDefault="004E63D6" w:rsidP="004E63D6">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w:t>
      </w:r>
      <w:r w:rsidRPr="00A81F01">
        <w:rPr>
          <w:i/>
        </w:rPr>
        <w:t>EGFR</w:t>
      </w:r>
      <w:r>
        <w:t xml:space="preserve"> = </w:t>
      </w:r>
      <w:r w:rsidRPr="00A81F01">
        <w:t>epidermal growth factor receptor</w:t>
      </w:r>
      <w:r>
        <w:t xml:space="preserve">; </w:t>
      </w:r>
      <w:r w:rsidRPr="000B3989">
        <w:rPr>
          <w:i/>
          <w:iCs/>
        </w:rPr>
        <w:t>KRAS</w:t>
      </w:r>
      <w:r w:rsidRPr="00B52D8D">
        <w:t xml:space="preserve"> = Kirsten rat sarcoma viral oncogene homologue</w:t>
      </w:r>
      <w:r>
        <w:t xml:space="preserve">; </w:t>
      </w:r>
      <w:r w:rsidRPr="00336456">
        <w:rPr>
          <w:i/>
        </w:rPr>
        <w:t>MET</w:t>
      </w:r>
      <w:r>
        <w:t xml:space="preserve">ex14sk = MET proto-oncogene, receptor tyrosine kinase exon 14 skipping alterations; NOS = not otherwise specified; NSCLC = non-small cell lung cancer; </w:t>
      </w:r>
      <w:r w:rsidRPr="00743D1B">
        <w:rPr>
          <w:i/>
        </w:rPr>
        <w:t>ROS1</w:t>
      </w:r>
      <w:r>
        <w:t xml:space="preserve"> = ROS proto-oncogene 1.</w:t>
      </w:r>
    </w:p>
    <w:p w14:paraId="64DE9A1E" w14:textId="77777777" w:rsidR="004E63D6" w:rsidRPr="00CE28E3" w:rsidRDefault="004E63D6" w:rsidP="004E63D6">
      <w:pPr>
        <w:pStyle w:val="Heading3"/>
      </w:pPr>
      <w:bookmarkStart w:id="330" w:name="_Toc109054529"/>
      <w:bookmarkStart w:id="331" w:name="_Toc148531216"/>
      <w:r w:rsidRPr="00CE28E3">
        <w:t>Health care resource use and costs</w:t>
      </w:r>
      <w:bookmarkEnd w:id="330"/>
      <w:bookmarkEnd w:id="331"/>
    </w:p>
    <w:p w14:paraId="4ACB5228" w14:textId="77777777" w:rsidR="004E63D6" w:rsidRPr="0043303B" w:rsidRDefault="004E63D6" w:rsidP="004E63D6">
      <w:pPr>
        <w:pStyle w:val="NormalBeforeBullet"/>
        <w:rPr>
          <w:u w:val="single"/>
        </w:rPr>
      </w:pPr>
      <w:r>
        <w:rPr>
          <w:u w:val="single"/>
        </w:rPr>
        <w:t xml:space="preserve">Calibration of </w:t>
      </w:r>
      <w:r w:rsidRPr="007D6676">
        <w:rPr>
          <w:i/>
          <w:u w:val="single"/>
        </w:rPr>
        <w:t>ALK</w:t>
      </w:r>
      <w:r>
        <w:rPr>
          <w:u w:val="single"/>
        </w:rPr>
        <w:t xml:space="preserve"> FISH use</w:t>
      </w:r>
    </w:p>
    <w:p w14:paraId="751B9987" w14:textId="0F835CB1" w:rsidR="004E63D6" w:rsidRDefault="004E63D6" w:rsidP="004E63D6">
      <w:pPr>
        <w:pStyle w:val="NormalBeforeBullet"/>
      </w:pPr>
      <w:r>
        <w:t xml:space="preserve">MBS data on the number of </w:t>
      </w:r>
      <w:r w:rsidRPr="007D6676">
        <w:rPr>
          <w:i/>
        </w:rPr>
        <w:t>EGFR</w:t>
      </w:r>
      <w:r>
        <w:t xml:space="preserve">, </w:t>
      </w:r>
      <w:r w:rsidRPr="007D6676">
        <w:rPr>
          <w:i/>
        </w:rPr>
        <w:t>ALK</w:t>
      </w:r>
      <w:r>
        <w:t xml:space="preserve"> and </w:t>
      </w:r>
      <w:r w:rsidRPr="007D6676">
        <w:rPr>
          <w:i/>
        </w:rPr>
        <w:t>ROS1</w:t>
      </w:r>
      <w:r>
        <w:t xml:space="preserve"> services was extracted (</w:t>
      </w:r>
      <w:r>
        <w:fldChar w:fldCharType="begin"/>
      </w:r>
      <w:r>
        <w:instrText xml:space="preserve"> REF _Ref108430535 \h </w:instrText>
      </w:r>
      <w:r>
        <w:fldChar w:fldCharType="separate"/>
      </w:r>
      <w:r w:rsidR="00C857F3" w:rsidRPr="00CE28E3">
        <w:t>Table</w:t>
      </w:r>
      <w:r w:rsidR="00C857F3">
        <w:t> </w:t>
      </w:r>
      <w:r w:rsidR="00C857F3">
        <w:rPr>
          <w:noProof/>
        </w:rPr>
        <w:t>52</w:t>
      </w:r>
      <w:r>
        <w:fldChar w:fldCharType="end"/>
      </w:r>
      <w:r>
        <w:t xml:space="preserve">). </w:t>
      </w:r>
      <w:r w:rsidRPr="00730BF6">
        <w:t xml:space="preserve">While fluctuations were noted in the number of </w:t>
      </w:r>
      <w:r w:rsidRPr="007D6676">
        <w:rPr>
          <w:i/>
        </w:rPr>
        <w:t>ALK</w:t>
      </w:r>
      <w:r w:rsidRPr="00730BF6">
        <w:t xml:space="preserve"> FISH services in the first few years of listing, these </w:t>
      </w:r>
      <w:r>
        <w:t xml:space="preserve">– and the ratio of </w:t>
      </w:r>
      <w:r w:rsidRPr="007D6676">
        <w:rPr>
          <w:i/>
        </w:rPr>
        <w:t>ALK</w:t>
      </w:r>
      <w:r>
        <w:t xml:space="preserve"> FISH services to </w:t>
      </w:r>
      <w:r w:rsidRPr="007D6676">
        <w:rPr>
          <w:i/>
        </w:rPr>
        <w:t>EGFR</w:t>
      </w:r>
      <w:r>
        <w:t xml:space="preserve"> services – has </w:t>
      </w:r>
      <w:r w:rsidRPr="00730BF6">
        <w:t>appear</w:t>
      </w:r>
      <w:r>
        <w:t>ed</w:t>
      </w:r>
      <w:r w:rsidRPr="00730BF6">
        <w:t xml:space="preserve"> to stabilise since 2019.</w:t>
      </w:r>
      <w:r>
        <w:t xml:space="preserve"> The average over 2019−2021 was estimated to be 4.51%.</w:t>
      </w:r>
    </w:p>
    <w:p w14:paraId="3EDDB772" w14:textId="77777777" w:rsidR="004E63D6" w:rsidRDefault="004E63D6" w:rsidP="004E63D6">
      <w:pPr>
        <w:pStyle w:val="NormalBeforeBullet"/>
      </w:pPr>
      <w:r>
        <w:t xml:space="preserve">As </w:t>
      </w:r>
      <w:r w:rsidRPr="007D6676">
        <w:rPr>
          <w:i/>
        </w:rPr>
        <w:t>EGFR</w:t>
      </w:r>
      <w:r>
        <w:t xml:space="preserve"> can be used in patients diagnosed at early stages who do not progress to advanced disease, this estimate of average </w:t>
      </w:r>
      <w:r w:rsidRPr="007D6676">
        <w:rPr>
          <w:i/>
        </w:rPr>
        <w:t>ALK</w:t>
      </w:r>
      <w:r>
        <w:t xml:space="preserve"> FISH use therefore too reflects use across all disease stages. </w:t>
      </w:r>
    </w:p>
    <w:p w14:paraId="5AD35D5D" w14:textId="77777777" w:rsidR="004E63D6" w:rsidRDefault="004E63D6" w:rsidP="004E63D6">
      <w:pPr>
        <w:pStyle w:val="NormalBeforeBullet"/>
      </w:pPr>
      <w:r>
        <w:t xml:space="preserve">As 75.9% of patients modelled experience advanced disease, average </w:t>
      </w:r>
      <w:r w:rsidRPr="007D6676">
        <w:rPr>
          <w:i/>
        </w:rPr>
        <w:t>ALK</w:t>
      </w:r>
      <w:r>
        <w:t xml:space="preserve"> FISH use in patients with advanced disease can be estimated as:</w:t>
      </w:r>
    </w:p>
    <w:p w14:paraId="79B1A787" w14:textId="77777777" w:rsidR="004E63D6" w:rsidRDefault="00C857F3" w:rsidP="004E63D6">
      <w:pPr>
        <w:pStyle w:val="NormalBeforeBullet"/>
      </w:pPr>
      <m:oMathPara>
        <m:oMath>
          <m:d>
            <m:dPr>
              <m:begChr m:val="["/>
              <m:endChr m:val="]"/>
              <m:ctrlPr>
                <w:rPr>
                  <w:rFonts w:ascii="Cambria Math" w:hAnsi="Cambria Math"/>
                  <w:i/>
                </w:rPr>
              </m:ctrlPr>
            </m:dPr>
            <m:e>
              <m:r>
                <w:rPr>
                  <w:rFonts w:ascii="Cambria Math" w:hAnsi="Cambria Math"/>
                </w:rPr>
                <m:t>1</m:t>
              </m:r>
            </m:e>
          </m:d>
          <m:r>
            <w:rPr>
              <w:rFonts w:ascii="Cambria Math" w:hAnsi="Cambria Math"/>
            </w:rPr>
            <m:t xml:space="preserve">      </m:t>
          </m:r>
          <m:f>
            <m:fPr>
              <m:ctrlPr>
                <w:rPr>
                  <w:rFonts w:ascii="Cambria Math" w:hAnsi="Cambria Math"/>
                  <w:i/>
                </w:rPr>
              </m:ctrlPr>
            </m:fPr>
            <m:num>
              <m:r>
                <w:rPr>
                  <w:rFonts w:ascii="Cambria Math" w:hAnsi="Cambria Math"/>
                </w:rPr>
                <m:t>4.51%</m:t>
              </m:r>
            </m:num>
            <m:den>
              <m:r>
                <w:rPr>
                  <w:rFonts w:ascii="Cambria Math" w:hAnsi="Cambria Math"/>
                </w:rPr>
                <m:t>75.9%</m:t>
              </m:r>
            </m:den>
          </m:f>
          <m:r>
            <w:rPr>
              <w:rFonts w:ascii="Cambria Math" w:hAnsi="Cambria Math"/>
            </w:rPr>
            <m:t>=5.95%</m:t>
          </m:r>
        </m:oMath>
      </m:oMathPara>
    </w:p>
    <w:p w14:paraId="2F74D1B7" w14:textId="77777777" w:rsidR="004E63D6" w:rsidRDefault="004E63D6" w:rsidP="004E63D6">
      <w:pPr>
        <w:pStyle w:val="NormalBeforeBullet"/>
      </w:pPr>
      <w:r>
        <w:t xml:space="preserve">This estimate includes </w:t>
      </w:r>
      <w:r w:rsidRPr="007D6676">
        <w:rPr>
          <w:i/>
        </w:rPr>
        <w:t>ALK</w:t>
      </w:r>
      <w:r>
        <w:t xml:space="preserve"> FISH in those that do have an actionable variant correctly identified by IHC, and those who do not have actionable variant incorrectly identified by IHC. </w:t>
      </w:r>
    </w:p>
    <w:p w14:paraId="2F9E3412" w14:textId="77777777" w:rsidR="004E63D6" w:rsidRDefault="004E63D6" w:rsidP="004E63D6">
      <w:pPr>
        <w:pStyle w:val="NormalBeforeBullet"/>
      </w:pPr>
      <w:r>
        <w:t>Those that do have an actionable variant correctly identified by IHC is estimated by:</w:t>
      </w:r>
    </w:p>
    <w:p w14:paraId="6340612A" w14:textId="77777777" w:rsidR="004E63D6" w:rsidRPr="00DA4E0A" w:rsidRDefault="00C857F3" w:rsidP="004E63D6">
      <w:pPr>
        <w:pStyle w:val="NormalBeforeBullet"/>
        <w:rPr>
          <w:rFonts w:eastAsiaTheme="minorEastAsia"/>
        </w:rPr>
      </w:pPr>
      <m:oMathPara>
        <m:oMath>
          <m:d>
            <m:dPr>
              <m:begChr m:val="["/>
              <m:endChr m:val="]"/>
              <m:ctrlPr>
                <w:rPr>
                  <w:rFonts w:ascii="Cambria Math" w:hAnsi="Cambria Math"/>
                  <w:i/>
                </w:rPr>
              </m:ctrlPr>
            </m:dPr>
            <m:e>
              <m:r>
                <w:rPr>
                  <w:rFonts w:ascii="Cambria Math" w:hAnsi="Cambria Math"/>
                </w:rPr>
                <m:t>2</m:t>
              </m:r>
            </m:e>
          </m:d>
          <m:r>
            <w:rPr>
              <w:rFonts w:ascii="Cambria Math" w:hAnsi="Cambria Math"/>
            </w:rPr>
            <m:t xml:space="preserve">       </m:t>
          </m:r>
          <m:sSub>
            <m:sSubPr>
              <m:ctrlPr>
                <w:rPr>
                  <w:rFonts w:ascii="Cambria Math" w:hAnsi="Cambria Math"/>
                  <w:i/>
                </w:rPr>
              </m:ctrlPr>
            </m:sSubPr>
            <m:e>
              <m:r>
                <w:rPr>
                  <w:rFonts w:ascii="Cambria Math" w:hAnsi="Cambria Math"/>
                </w:rPr>
                <m:t>Prevalence</m:t>
              </m:r>
            </m:e>
            <m:sub>
              <m:r>
                <w:rPr>
                  <w:rFonts w:ascii="Cambria Math" w:hAnsi="Cambria Math"/>
                </w:rPr>
                <m:t>ALK</m:t>
              </m:r>
            </m:sub>
          </m:sSub>
          <m:r>
            <w:rPr>
              <w:rFonts w:ascii="Cambria Math" w:hAnsi="Cambria Math"/>
            </w:rPr>
            <m:t>×</m:t>
          </m:r>
          <m:sSub>
            <m:sSubPr>
              <m:ctrlPr>
                <w:rPr>
                  <w:rFonts w:ascii="Cambria Math" w:hAnsi="Cambria Math"/>
                  <w:i/>
                </w:rPr>
              </m:ctrlPr>
            </m:sSubPr>
            <m:e>
              <m:r>
                <w:rPr>
                  <w:rFonts w:ascii="Cambria Math" w:hAnsi="Cambria Math"/>
                </w:rPr>
                <m:t>IHC sensitivity</m:t>
              </m:r>
            </m:e>
            <m:sub>
              <m:r>
                <w:rPr>
                  <w:rFonts w:ascii="Cambria Math" w:hAnsi="Cambria Math"/>
                </w:rPr>
                <m:t>ALK</m:t>
              </m:r>
            </m:sub>
          </m:sSub>
          <m:r>
            <w:rPr>
              <w:rFonts w:ascii="Cambria Math" w:eastAsiaTheme="minorEastAsia" w:hAnsi="Cambria Math"/>
            </w:rPr>
            <m:t>=3.0%×98.4%=2.95%</m:t>
          </m:r>
        </m:oMath>
      </m:oMathPara>
    </w:p>
    <w:p w14:paraId="37DC852A" w14:textId="77777777" w:rsidR="004E63D6" w:rsidRDefault="004E63D6" w:rsidP="004E63D6">
      <w:pPr>
        <w:pStyle w:val="NormalBeforeBullet"/>
      </w:pPr>
      <w:r>
        <w:t xml:space="preserve">Therefore, use of </w:t>
      </w:r>
      <w:r w:rsidRPr="007D6676">
        <w:rPr>
          <w:i/>
        </w:rPr>
        <w:t>ALK</w:t>
      </w:r>
      <w:r>
        <w:t xml:space="preserve"> FISH in those who do not have actionable variants can be derived from:</w:t>
      </w:r>
    </w:p>
    <w:p w14:paraId="21ED6E3B" w14:textId="77777777" w:rsidR="004E63D6" w:rsidRDefault="00C857F3" w:rsidP="004E63D6">
      <w:pPr>
        <w:pStyle w:val="NormalBeforeBullet"/>
      </w:pPr>
      <m:oMathPara>
        <m:oMath>
          <m:d>
            <m:dPr>
              <m:begChr m:val="["/>
              <m:endChr m:val="]"/>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 xml:space="preserve">      </m:t>
          </m:r>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2</m:t>
              </m:r>
            </m:e>
          </m:d>
          <m:r>
            <w:rPr>
              <w:rFonts w:ascii="Cambria Math" w:hAnsi="Cambria Math"/>
            </w:rPr>
            <m:t>=5.95%-2.95%</m:t>
          </m:r>
          <m:r>
            <w:rPr>
              <w:rFonts w:ascii="Cambria Math" w:eastAsiaTheme="minorEastAsia" w:hAnsi="Cambria Math"/>
            </w:rPr>
            <m:t>=3.00%</m:t>
          </m:r>
        </m:oMath>
      </m:oMathPara>
    </w:p>
    <w:p w14:paraId="2CAA9C56" w14:textId="77777777" w:rsidR="004E63D6" w:rsidRDefault="004E63D6" w:rsidP="004E63D6">
      <w:pPr>
        <w:pStyle w:val="NormalBeforeBullet"/>
      </w:pPr>
      <w:r>
        <w:t xml:space="preserve">This estimate is applied across all patients with advanced disease – and so includes patients with previously identified </w:t>
      </w:r>
      <w:r w:rsidRPr="007D6676">
        <w:rPr>
          <w:i/>
        </w:rPr>
        <w:t>EGFR</w:t>
      </w:r>
      <w:r>
        <w:t xml:space="preserve"> variants, and also those with actionable </w:t>
      </w:r>
      <w:r w:rsidRPr="007D6676">
        <w:rPr>
          <w:i/>
        </w:rPr>
        <w:t>ALK</w:t>
      </w:r>
      <w:r>
        <w:t xml:space="preserve"> variants identified in [2]. Therefore, the estimate reported in [3] is adjusted to reflect use in those without actionable </w:t>
      </w:r>
      <w:r w:rsidRPr="007D6676">
        <w:rPr>
          <w:i/>
        </w:rPr>
        <w:t>ALK</w:t>
      </w:r>
      <w:r>
        <w:t xml:space="preserve"> variants, eligible for </w:t>
      </w:r>
      <w:r w:rsidRPr="007D6676">
        <w:rPr>
          <w:i/>
        </w:rPr>
        <w:t>ALK</w:t>
      </w:r>
      <w:r>
        <w:t xml:space="preserve"> FISH.</w:t>
      </w:r>
    </w:p>
    <w:p w14:paraId="283C4CFC" w14:textId="77777777" w:rsidR="004E63D6" w:rsidRDefault="00C857F3" w:rsidP="004E63D6">
      <w:pPr>
        <w:pStyle w:val="NormalBeforeBullet"/>
      </w:pPr>
      <m:oMathPara>
        <m:oMath>
          <m:d>
            <m:dPr>
              <m:begChr m:val="["/>
              <m:endChr m:val="]"/>
              <m:ctrlPr>
                <w:rPr>
                  <w:rFonts w:ascii="Cambria Math" w:hAnsi="Cambria Math"/>
                  <w:i/>
                </w:rPr>
              </m:ctrlPr>
            </m:dPr>
            <m:e>
              <m:r>
                <w:rPr>
                  <w:rFonts w:ascii="Cambria Math" w:hAnsi="Cambria Math"/>
                </w:rPr>
                <m:t>4</m:t>
              </m:r>
            </m:e>
          </m:d>
          <m:r>
            <w:rPr>
              <w:rFonts w:ascii="Cambria Math" w:hAnsi="Cambria Math"/>
            </w:rPr>
            <m:t xml:space="preserve">      </m:t>
          </m:r>
          <m:f>
            <m:fPr>
              <m:ctrlPr>
                <w:rPr>
                  <w:rFonts w:ascii="Cambria Math" w:hAnsi="Cambria Math"/>
                  <w:i/>
                </w:rPr>
              </m:ctrlPr>
            </m:fPr>
            <m:num>
              <m:r>
                <w:rPr>
                  <w:rFonts w:ascii="Cambria Math" w:hAnsi="Cambria Math"/>
                </w:rPr>
                <m:t>3.00%</m:t>
              </m:r>
            </m:num>
            <m:den>
              <m:r>
                <w:rPr>
                  <w:rFonts w:ascii="Cambria Math" w:hAnsi="Cambria Math"/>
                </w:rPr>
                <m:t>1-</m:t>
              </m:r>
              <m:sSub>
                <m:sSubPr>
                  <m:ctrlPr>
                    <w:rPr>
                      <w:rFonts w:ascii="Cambria Math" w:hAnsi="Cambria Math"/>
                      <w:i/>
                    </w:rPr>
                  </m:ctrlPr>
                </m:sSubPr>
                <m:e>
                  <m:r>
                    <w:rPr>
                      <w:rFonts w:ascii="Cambria Math" w:hAnsi="Cambria Math"/>
                    </w:rPr>
                    <m:t>Prevalence</m:t>
                  </m:r>
                </m:e>
                <m:sub>
                  <m:r>
                    <w:rPr>
                      <w:rFonts w:ascii="Cambria Math" w:hAnsi="Cambria Math"/>
                    </w:rPr>
                    <m:t>ALK</m:t>
                  </m:r>
                </m:sub>
              </m:sSub>
              <m:r>
                <w:rPr>
                  <w:rFonts w:ascii="Cambria Math" w:hAnsi="Cambria Math"/>
                </w:rPr>
                <m:t>-</m:t>
              </m:r>
              <m:sSub>
                <m:sSubPr>
                  <m:ctrlPr>
                    <w:rPr>
                      <w:rFonts w:ascii="Cambria Math" w:hAnsi="Cambria Math"/>
                      <w:i/>
                    </w:rPr>
                  </m:ctrlPr>
                </m:sSubPr>
                <m:e>
                  <m:r>
                    <w:rPr>
                      <w:rFonts w:ascii="Cambria Math" w:hAnsi="Cambria Math"/>
                    </w:rPr>
                    <m:t>Yield</m:t>
                  </m:r>
                </m:e>
                <m:sub>
                  <m:r>
                    <w:rPr>
                      <w:rFonts w:ascii="Cambria Math" w:hAnsi="Cambria Math"/>
                    </w:rPr>
                    <m:t>EGFR</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3.00%</m:t>
              </m:r>
            </m:num>
            <m:den>
              <m:r>
                <w:rPr>
                  <w:rFonts w:ascii="Cambria Math" w:eastAsiaTheme="minorEastAsia" w:hAnsi="Cambria Math"/>
                </w:rPr>
                <m:t>82.00%</m:t>
              </m:r>
            </m:den>
          </m:f>
          <m:r>
            <w:rPr>
              <w:rFonts w:ascii="Cambria Math" w:eastAsiaTheme="minorEastAsia" w:hAnsi="Cambria Math"/>
            </w:rPr>
            <m:t>=3.66%</m:t>
          </m:r>
        </m:oMath>
      </m:oMathPara>
    </w:p>
    <w:p w14:paraId="2C622CCD" w14:textId="77777777" w:rsidR="004E63D6" w:rsidRDefault="004E63D6" w:rsidP="004E63D6">
      <w:pPr>
        <w:pStyle w:val="NormalBeforeBullet"/>
      </w:pPr>
    </w:p>
    <w:p w14:paraId="4D5D725D" w14:textId="77777777" w:rsidR="004E63D6" w:rsidRPr="00C81C94" w:rsidRDefault="004E63D6" w:rsidP="004E63D6">
      <w:pPr>
        <w:pStyle w:val="NormalBeforeBullet"/>
        <w:rPr>
          <w:u w:val="single"/>
        </w:rPr>
      </w:pPr>
      <w:r w:rsidRPr="00C81C94">
        <w:rPr>
          <w:u w:val="single"/>
        </w:rPr>
        <w:t xml:space="preserve">Calibration of </w:t>
      </w:r>
      <w:r w:rsidRPr="007D6676">
        <w:rPr>
          <w:i/>
          <w:u w:val="single"/>
        </w:rPr>
        <w:t>ROS1</w:t>
      </w:r>
      <w:r w:rsidRPr="00C81C94">
        <w:rPr>
          <w:u w:val="single"/>
        </w:rPr>
        <w:t xml:space="preserve"> FISH</w:t>
      </w:r>
    </w:p>
    <w:p w14:paraId="14F934FA" w14:textId="77777777" w:rsidR="004E63D6" w:rsidRDefault="004E63D6" w:rsidP="004E63D6">
      <w:pPr>
        <w:pStyle w:val="NormalBeforeBullet"/>
      </w:pPr>
      <w:r>
        <w:t xml:space="preserve">A similar approach is used to calibrate </w:t>
      </w:r>
      <w:r w:rsidRPr="007D6676">
        <w:rPr>
          <w:i/>
        </w:rPr>
        <w:t>ROS1</w:t>
      </w:r>
      <w:r>
        <w:t xml:space="preserve"> FISH use in patients that do not have </w:t>
      </w:r>
      <w:r w:rsidRPr="007D6676">
        <w:rPr>
          <w:i/>
        </w:rPr>
        <w:t>ROS1</w:t>
      </w:r>
      <w:r>
        <w:t xml:space="preserve"> actionable variants. Given the more recent listing of </w:t>
      </w:r>
      <w:r w:rsidRPr="007D6676">
        <w:rPr>
          <w:i/>
        </w:rPr>
        <w:t>ROS1</w:t>
      </w:r>
      <w:r>
        <w:t xml:space="preserve"> FISH, the average over 2020−2021 was used (7.52%). </w:t>
      </w:r>
    </w:p>
    <w:p w14:paraId="37721078" w14:textId="77777777" w:rsidR="004E63D6" w:rsidRDefault="004E63D6" w:rsidP="004E63D6">
      <w:pPr>
        <w:pStyle w:val="NormalBeforeBullet"/>
      </w:pPr>
      <w:r>
        <w:t xml:space="preserve">Average </w:t>
      </w:r>
      <w:r w:rsidRPr="007D6676">
        <w:rPr>
          <w:i/>
        </w:rPr>
        <w:t>ROS1</w:t>
      </w:r>
      <w:r>
        <w:t xml:space="preserve"> FISH use in patients with advanced disease can be estimated as:</w:t>
      </w:r>
    </w:p>
    <w:p w14:paraId="2DEEA788" w14:textId="77777777" w:rsidR="004E63D6" w:rsidRDefault="00C857F3" w:rsidP="004E63D6">
      <w:pPr>
        <w:pStyle w:val="NormalBeforeBullet"/>
      </w:pPr>
      <m:oMathPara>
        <m:oMath>
          <m:d>
            <m:dPr>
              <m:begChr m:val="["/>
              <m:endChr m:val="]"/>
              <m:ctrlPr>
                <w:rPr>
                  <w:rFonts w:ascii="Cambria Math" w:hAnsi="Cambria Math"/>
                  <w:i/>
                </w:rPr>
              </m:ctrlPr>
            </m:dPr>
            <m:e>
              <m:r>
                <w:rPr>
                  <w:rFonts w:ascii="Cambria Math" w:hAnsi="Cambria Math"/>
                </w:rPr>
                <m:t>5</m:t>
              </m:r>
            </m:e>
          </m:d>
          <m:r>
            <w:rPr>
              <w:rFonts w:ascii="Cambria Math" w:hAnsi="Cambria Math"/>
            </w:rPr>
            <m:t xml:space="preserve">      </m:t>
          </m:r>
          <m:f>
            <m:fPr>
              <m:ctrlPr>
                <w:rPr>
                  <w:rFonts w:ascii="Cambria Math" w:hAnsi="Cambria Math"/>
                  <w:i/>
                </w:rPr>
              </m:ctrlPr>
            </m:fPr>
            <m:num>
              <m:r>
                <w:rPr>
                  <w:rFonts w:ascii="Cambria Math" w:hAnsi="Cambria Math"/>
                </w:rPr>
                <m:t>7.52%</m:t>
              </m:r>
            </m:num>
            <m:den>
              <m:r>
                <w:rPr>
                  <w:rFonts w:ascii="Cambria Math" w:hAnsi="Cambria Math"/>
                </w:rPr>
                <m:t>75.9%</m:t>
              </m:r>
            </m:den>
          </m:f>
          <m:r>
            <w:rPr>
              <w:rFonts w:ascii="Cambria Math" w:hAnsi="Cambria Math"/>
            </w:rPr>
            <m:t>=9.92%</m:t>
          </m:r>
        </m:oMath>
      </m:oMathPara>
    </w:p>
    <w:p w14:paraId="379DE160" w14:textId="77777777" w:rsidR="004E63D6" w:rsidRDefault="004E63D6" w:rsidP="004E63D6">
      <w:pPr>
        <w:pStyle w:val="NormalBeforeBullet"/>
      </w:pPr>
      <w:r>
        <w:t xml:space="preserve">This estimate includes </w:t>
      </w:r>
      <w:r w:rsidRPr="007D6676">
        <w:rPr>
          <w:i/>
        </w:rPr>
        <w:t>ROS1</w:t>
      </w:r>
      <w:r>
        <w:t xml:space="preserve"> FISH in those that do have an actionable variant correctly identified by IHC, and those who do not have actionable variant incorrectly identified by IHC. </w:t>
      </w:r>
    </w:p>
    <w:p w14:paraId="3EDBF8F7" w14:textId="77777777" w:rsidR="004E63D6" w:rsidRDefault="004E63D6" w:rsidP="004E63D6">
      <w:pPr>
        <w:pStyle w:val="NormalBeforeBullet"/>
      </w:pPr>
      <w:r>
        <w:lastRenderedPageBreak/>
        <w:t>Those that do have an actionable variant correctly identified by IHC is estimated by:</w:t>
      </w:r>
    </w:p>
    <w:p w14:paraId="17EAF473" w14:textId="77777777" w:rsidR="004E63D6" w:rsidRPr="00DA4E0A" w:rsidRDefault="00C857F3" w:rsidP="004E63D6">
      <w:pPr>
        <w:pStyle w:val="NormalBeforeBullet"/>
        <w:rPr>
          <w:rFonts w:eastAsiaTheme="minorEastAsia"/>
        </w:rPr>
      </w:pPr>
      <m:oMathPara>
        <m:oMath>
          <m:d>
            <m:dPr>
              <m:begChr m:val="["/>
              <m:endChr m:val="]"/>
              <m:ctrlPr>
                <w:rPr>
                  <w:rFonts w:ascii="Cambria Math" w:hAnsi="Cambria Math"/>
                  <w:i/>
                </w:rPr>
              </m:ctrlPr>
            </m:dPr>
            <m:e>
              <m:r>
                <w:rPr>
                  <w:rFonts w:ascii="Cambria Math" w:hAnsi="Cambria Math"/>
                </w:rPr>
                <m:t>6</m:t>
              </m:r>
            </m:e>
          </m:d>
          <m:r>
            <w:rPr>
              <w:rFonts w:ascii="Cambria Math" w:hAnsi="Cambria Math"/>
            </w:rPr>
            <m:t xml:space="preserve">       </m:t>
          </m:r>
          <m:sSub>
            <m:sSubPr>
              <m:ctrlPr>
                <w:rPr>
                  <w:rFonts w:ascii="Cambria Math" w:hAnsi="Cambria Math"/>
                  <w:i/>
                </w:rPr>
              </m:ctrlPr>
            </m:sSubPr>
            <m:e>
              <m:r>
                <w:rPr>
                  <w:rFonts w:ascii="Cambria Math" w:hAnsi="Cambria Math"/>
                </w:rPr>
                <m:t>Prevalence</m:t>
              </m:r>
            </m:e>
            <m:sub>
              <m:r>
                <w:rPr>
                  <w:rFonts w:ascii="Cambria Math" w:hAnsi="Cambria Math"/>
                </w:rPr>
                <m:t>ROS1</m:t>
              </m:r>
            </m:sub>
          </m:sSub>
          <m:r>
            <w:rPr>
              <w:rFonts w:ascii="Cambria Math" w:hAnsi="Cambria Math"/>
            </w:rPr>
            <m:t>×</m:t>
          </m:r>
          <m:sSub>
            <m:sSubPr>
              <m:ctrlPr>
                <w:rPr>
                  <w:rFonts w:ascii="Cambria Math" w:hAnsi="Cambria Math"/>
                  <w:i/>
                </w:rPr>
              </m:ctrlPr>
            </m:sSubPr>
            <m:e>
              <m:r>
                <w:rPr>
                  <w:rFonts w:ascii="Cambria Math" w:hAnsi="Cambria Math"/>
                </w:rPr>
                <m:t>IHC sensitivity</m:t>
              </m:r>
            </m:e>
            <m:sub>
              <m:r>
                <w:rPr>
                  <w:rFonts w:ascii="Cambria Math" w:hAnsi="Cambria Math"/>
                </w:rPr>
                <m:t>ROS1</m:t>
              </m:r>
            </m:sub>
          </m:sSub>
          <m:r>
            <w:rPr>
              <w:rFonts w:ascii="Cambria Math" w:eastAsiaTheme="minorEastAsia" w:hAnsi="Cambria Math"/>
            </w:rPr>
            <m:t>=1.61%×95.1%=1.53%</m:t>
          </m:r>
        </m:oMath>
      </m:oMathPara>
    </w:p>
    <w:p w14:paraId="2BB095A7" w14:textId="77777777" w:rsidR="004E63D6" w:rsidRDefault="004E63D6" w:rsidP="004E63D6">
      <w:pPr>
        <w:pStyle w:val="NormalBeforeBullet"/>
      </w:pPr>
      <w:r>
        <w:t xml:space="preserve">Therefore, use of </w:t>
      </w:r>
      <w:r w:rsidRPr="007D6676">
        <w:rPr>
          <w:i/>
        </w:rPr>
        <w:t>ROS1</w:t>
      </w:r>
      <w:r>
        <w:t xml:space="preserve"> FISH in those who do not have actionable variants can be derived from:</w:t>
      </w:r>
    </w:p>
    <w:p w14:paraId="3069F226" w14:textId="77777777" w:rsidR="004E63D6" w:rsidRDefault="00C857F3" w:rsidP="004E63D6">
      <w:pPr>
        <w:pStyle w:val="NormalBeforeBullet"/>
      </w:pPr>
      <m:oMathPara>
        <m:oMath>
          <m:d>
            <m:dPr>
              <m:begChr m:val="["/>
              <m:endChr m:val="]"/>
              <m:ctrlPr>
                <w:rPr>
                  <w:rFonts w:ascii="Cambria Math" w:eastAsiaTheme="minorEastAsia" w:hAnsi="Cambria Math"/>
                  <w:i/>
                </w:rPr>
              </m:ctrlPr>
            </m:dPr>
            <m:e>
              <m:r>
                <w:rPr>
                  <w:rFonts w:ascii="Cambria Math" w:eastAsiaTheme="minorEastAsia" w:hAnsi="Cambria Math"/>
                </w:rPr>
                <m:t>7</m:t>
              </m:r>
            </m:e>
          </m:d>
          <m:r>
            <w:rPr>
              <w:rFonts w:ascii="Cambria Math" w:eastAsiaTheme="minorEastAsia" w:hAnsi="Cambria Math"/>
            </w:rPr>
            <m:t xml:space="preserve">      </m:t>
          </m:r>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2</m:t>
              </m:r>
            </m:e>
          </m:d>
          <m:r>
            <w:rPr>
              <w:rFonts w:ascii="Cambria Math" w:hAnsi="Cambria Math"/>
            </w:rPr>
            <m:t>=9.92%-1.53%</m:t>
          </m:r>
          <m:r>
            <w:rPr>
              <w:rFonts w:ascii="Cambria Math" w:eastAsiaTheme="minorEastAsia" w:hAnsi="Cambria Math"/>
            </w:rPr>
            <m:t>=8.38%</m:t>
          </m:r>
        </m:oMath>
      </m:oMathPara>
    </w:p>
    <w:p w14:paraId="6B7B6468" w14:textId="77777777" w:rsidR="004E63D6" w:rsidRDefault="004E63D6" w:rsidP="004E63D6">
      <w:pPr>
        <w:pStyle w:val="NormalBeforeBullet"/>
      </w:pPr>
      <w:r>
        <w:t xml:space="preserve">Following adjustment to reflect use in those without actionable </w:t>
      </w:r>
      <w:r w:rsidRPr="007D6676">
        <w:rPr>
          <w:i/>
        </w:rPr>
        <w:t>ROS1</w:t>
      </w:r>
      <w:r>
        <w:t xml:space="preserve"> variants, eligible for </w:t>
      </w:r>
      <w:r w:rsidRPr="007D6676">
        <w:rPr>
          <w:i/>
        </w:rPr>
        <w:t>ROS1</w:t>
      </w:r>
      <w:r>
        <w:t xml:space="preserve"> FISH (i.e. those without actionable </w:t>
      </w:r>
      <w:r w:rsidRPr="007D6676">
        <w:rPr>
          <w:i/>
        </w:rPr>
        <w:t>EGFR</w:t>
      </w:r>
      <w:r>
        <w:t xml:space="preserve"> or </w:t>
      </w:r>
      <w:r w:rsidRPr="007D6676">
        <w:rPr>
          <w:i/>
        </w:rPr>
        <w:t>ALK</w:t>
      </w:r>
      <w:r>
        <w:t xml:space="preserve"> variants).</w:t>
      </w:r>
    </w:p>
    <w:p w14:paraId="77C7EA5B" w14:textId="77777777" w:rsidR="004E63D6" w:rsidRDefault="00C857F3" w:rsidP="004E63D6">
      <w:pPr>
        <w:pStyle w:val="NormalBeforeBullet"/>
      </w:pPr>
      <m:oMathPara>
        <m:oMath>
          <m:d>
            <m:dPr>
              <m:begChr m:val="["/>
              <m:endChr m:val="]"/>
              <m:ctrlPr>
                <w:rPr>
                  <w:rFonts w:ascii="Cambria Math" w:hAnsi="Cambria Math"/>
                  <w:i/>
                </w:rPr>
              </m:ctrlPr>
            </m:dPr>
            <m:e>
              <m:r>
                <w:rPr>
                  <w:rFonts w:ascii="Cambria Math" w:hAnsi="Cambria Math"/>
                </w:rPr>
                <m:t>8</m:t>
              </m:r>
            </m:e>
          </m:d>
          <m:r>
            <w:rPr>
              <w:rFonts w:ascii="Cambria Math" w:hAnsi="Cambria Math"/>
            </w:rPr>
            <m:t xml:space="preserve">      </m:t>
          </m:r>
          <m:f>
            <m:fPr>
              <m:ctrlPr>
                <w:rPr>
                  <w:rFonts w:ascii="Cambria Math" w:hAnsi="Cambria Math"/>
                  <w:i/>
                </w:rPr>
              </m:ctrlPr>
            </m:fPr>
            <m:num>
              <m:r>
                <w:rPr>
                  <w:rFonts w:ascii="Cambria Math" w:hAnsi="Cambria Math"/>
                </w:rPr>
                <m:t>8.38%</m:t>
              </m:r>
            </m:num>
            <m:den>
              <m:r>
                <w:rPr>
                  <w:rFonts w:ascii="Cambria Math" w:hAnsi="Cambria Math"/>
                </w:rPr>
                <m:t>1-</m:t>
              </m:r>
              <m:sSub>
                <m:sSubPr>
                  <m:ctrlPr>
                    <w:rPr>
                      <w:rFonts w:ascii="Cambria Math" w:hAnsi="Cambria Math"/>
                      <w:i/>
                    </w:rPr>
                  </m:ctrlPr>
                </m:sSubPr>
                <m:e>
                  <m:r>
                    <w:rPr>
                      <w:rFonts w:ascii="Cambria Math" w:hAnsi="Cambria Math"/>
                    </w:rPr>
                    <m:t>Prevalence</m:t>
                  </m:r>
                </m:e>
                <m:sub>
                  <m:r>
                    <w:rPr>
                      <w:rFonts w:ascii="Cambria Math" w:hAnsi="Cambria Math"/>
                    </w:rPr>
                    <m:t>ROS1</m:t>
                  </m:r>
                </m:sub>
              </m:sSub>
              <m:r>
                <w:rPr>
                  <w:rFonts w:ascii="Cambria Math" w:hAnsi="Cambria Math"/>
                </w:rPr>
                <m:t>-</m:t>
              </m:r>
              <m:sSub>
                <m:sSubPr>
                  <m:ctrlPr>
                    <w:rPr>
                      <w:rFonts w:ascii="Cambria Math" w:hAnsi="Cambria Math"/>
                      <w:i/>
                    </w:rPr>
                  </m:ctrlPr>
                </m:sSubPr>
                <m:e>
                  <m:r>
                    <w:rPr>
                      <w:rFonts w:ascii="Cambria Math" w:hAnsi="Cambria Math"/>
                    </w:rPr>
                    <m:t>Yield</m:t>
                  </m:r>
                </m:e>
                <m:sub>
                  <m:r>
                    <w:rPr>
                      <w:rFonts w:ascii="Cambria Math" w:hAnsi="Cambria Math"/>
                    </w:rPr>
                    <m:t>EGFR</m:t>
                  </m:r>
                </m:sub>
              </m:sSub>
              <m:r>
                <w:rPr>
                  <w:rFonts w:ascii="Cambria Math" w:hAnsi="Cambria Math"/>
                </w:rPr>
                <m:t>-</m:t>
              </m:r>
              <m:sSub>
                <m:sSubPr>
                  <m:ctrlPr>
                    <w:rPr>
                      <w:rFonts w:ascii="Cambria Math" w:hAnsi="Cambria Math"/>
                      <w:i/>
                    </w:rPr>
                  </m:ctrlPr>
                </m:sSubPr>
                <m:e>
                  <m:r>
                    <w:rPr>
                      <w:rFonts w:ascii="Cambria Math" w:hAnsi="Cambria Math"/>
                    </w:rPr>
                    <m:t>Yield</m:t>
                  </m:r>
                </m:e>
                <m:sub>
                  <m:r>
                    <w:rPr>
                      <w:rFonts w:ascii="Cambria Math" w:hAnsi="Cambria Math"/>
                    </w:rPr>
                    <m:t>ALK</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8.38%</m:t>
              </m:r>
            </m:num>
            <m:den>
              <m:r>
                <w:rPr>
                  <w:rFonts w:ascii="Cambria Math" w:eastAsiaTheme="minorEastAsia" w:hAnsi="Cambria Math"/>
                </w:rPr>
                <m:t>80.44%</m:t>
              </m:r>
            </m:den>
          </m:f>
          <m:r>
            <w:rPr>
              <w:rFonts w:ascii="Cambria Math" w:eastAsiaTheme="minorEastAsia" w:hAnsi="Cambria Math"/>
            </w:rPr>
            <m:t>=10.42%</m:t>
          </m:r>
        </m:oMath>
      </m:oMathPara>
    </w:p>
    <w:p w14:paraId="4B769992" w14:textId="77777777" w:rsidR="004E63D6" w:rsidRDefault="004E63D6" w:rsidP="004E63D6">
      <w:pPr>
        <w:pStyle w:val="NormalBeforeBullet"/>
      </w:pPr>
    </w:p>
    <w:p w14:paraId="1FEE6144" w14:textId="77777777" w:rsidR="004E63D6" w:rsidRDefault="004E63D6" w:rsidP="004E63D6">
      <w:pPr>
        <w:pStyle w:val="Heading3"/>
        <w:sectPr w:rsidR="004E63D6" w:rsidSect="00052DD3">
          <w:pgSz w:w="11906" w:h="16838"/>
          <w:pgMar w:top="1440" w:right="1440" w:bottom="1440" w:left="1440" w:header="708" w:footer="708" w:gutter="0"/>
          <w:cols w:space="708"/>
          <w:titlePg/>
          <w:docGrid w:linePitch="360"/>
        </w:sectPr>
      </w:pPr>
    </w:p>
    <w:p w14:paraId="17161E69" w14:textId="77777777" w:rsidR="004E63D6" w:rsidRDefault="004E63D6" w:rsidP="004E63D6">
      <w:pPr>
        <w:pStyle w:val="Heading3"/>
      </w:pPr>
      <w:bookmarkStart w:id="332" w:name="_Toc109054530"/>
      <w:bookmarkStart w:id="333" w:name="_Toc148531217"/>
      <w:r>
        <w:lastRenderedPageBreak/>
        <w:t>Model validation</w:t>
      </w:r>
      <w:bookmarkEnd w:id="332"/>
      <w:bookmarkEnd w:id="333"/>
    </w:p>
    <w:p w14:paraId="4699582B" w14:textId="18F4F5C1" w:rsidR="004E63D6" w:rsidRDefault="004E63D6" w:rsidP="004E63D6">
      <w:pPr>
        <w:pStyle w:val="Caption"/>
      </w:pPr>
      <w:bookmarkStart w:id="334" w:name="_Ref108607729"/>
      <w:r>
        <w:t>Figure </w:t>
      </w:r>
      <w:fldSimple w:instr=" SEQ Figure \* ARABIC ">
        <w:r w:rsidR="00C857F3">
          <w:rPr>
            <w:noProof/>
          </w:rPr>
          <w:t>29</w:t>
        </w:r>
      </w:fldSimple>
      <w:bookmarkEnd w:id="334"/>
      <w:r>
        <w:tab/>
        <w:t>Model validation</w:t>
      </w:r>
    </w:p>
    <w:p w14:paraId="03D8420A" w14:textId="170EBE97" w:rsidR="004E63D6" w:rsidRDefault="00AA22D3" w:rsidP="004E63D6">
      <w:r w:rsidRPr="00AA22D3">
        <w:rPr>
          <w:noProof/>
          <w:lang w:eastAsia="en-AU"/>
        </w:rPr>
        <w:drawing>
          <wp:inline distT="0" distB="0" distL="0" distR="0" wp14:anchorId="272A6CED" wp14:editId="229E27F5">
            <wp:extent cx="8863330" cy="4399177"/>
            <wp:effectExtent l="0" t="0" r="0" b="1905"/>
            <wp:docPr id="38" name="Picture 38" descr="Model validation" title="Model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63330" cy="4399177"/>
                    </a:xfrm>
                    <a:prstGeom prst="rect">
                      <a:avLst/>
                    </a:prstGeom>
                    <a:noFill/>
                    <a:ln>
                      <a:noFill/>
                    </a:ln>
                  </pic:spPr>
                </pic:pic>
              </a:graphicData>
            </a:graphic>
          </wp:inline>
        </w:drawing>
      </w:r>
    </w:p>
    <w:p w14:paraId="1A6A3A00" w14:textId="77777777" w:rsidR="004E63D6" w:rsidRPr="005F47F8" w:rsidRDefault="004E63D6" w:rsidP="004E63D6">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w:t>
      </w:r>
      <w:r w:rsidRPr="00A81F01">
        <w:rPr>
          <w:i/>
        </w:rPr>
        <w:t>EGFR</w:t>
      </w:r>
      <w:r>
        <w:t xml:space="preserve"> = </w:t>
      </w:r>
      <w:r w:rsidRPr="00A81F01">
        <w:t>epidermal growth factor receptor</w:t>
      </w:r>
      <w:r>
        <w:t xml:space="preserve">; </w:t>
      </w:r>
      <w:r w:rsidRPr="000B3989">
        <w:rPr>
          <w:i/>
          <w:iCs/>
        </w:rPr>
        <w:t>KRAS</w:t>
      </w:r>
      <w:r w:rsidRPr="00B52D8D">
        <w:t xml:space="preserve"> = Kirsten rat sarcoma viral oncogene homologue</w:t>
      </w:r>
      <w:r>
        <w:t xml:space="preserve">; </w:t>
      </w:r>
      <w:r w:rsidRPr="00336456">
        <w:rPr>
          <w:i/>
        </w:rPr>
        <w:t>MET</w:t>
      </w:r>
      <w:r>
        <w:t xml:space="preserve">ex14sk = MET proto-oncogene, receptor tyrosine kinase exon 14 skipping alterations; </w:t>
      </w:r>
      <w:r w:rsidRPr="00743D1B">
        <w:rPr>
          <w:i/>
        </w:rPr>
        <w:t>ROS1</w:t>
      </w:r>
      <w:r>
        <w:t xml:space="preserve"> = ROS proto-oncogene 1.</w:t>
      </w:r>
    </w:p>
    <w:p w14:paraId="783FC699" w14:textId="77777777" w:rsidR="004E63D6" w:rsidRDefault="004E63D6" w:rsidP="004E63D6">
      <w:pPr>
        <w:pStyle w:val="TableFooter"/>
        <w:sectPr w:rsidR="004E63D6" w:rsidSect="003515CE">
          <w:pgSz w:w="16838" w:h="11906" w:orient="landscape"/>
          <w:pgMar w:top="1440" w:right="1440" w:bottom="1440" w:left="1440" w:header="708" w:footer="708" w:gutter="0"/>
          <w:cols w:space="708"/>
          <w:titlePg/>
          <w:docGrid w:linePitch="360"/>
        </w:sectPr>
      </w:pPr>
    </w:p>
    <w:p w14:paraId="41B2C90D" w14:textId="77777777" w:rsidR="004E63D6" w:rsidRDefault="004E63D6" w:rsidP="004E63D6">
      <w:pPr>
        <w:pStyle w:val="Heading3"/>
      </w:pPr>
      <w:bookmarkStart w:id="335" w:name="_Toc109054531"/>
      <w:bookmarkStart w:id="336" w:name="_Toc148531218"/>
      <w:r w:rsidRPr="00CE28E3">
        <w:lastRenderedPageBreak/>
        <w:t>Uncertainty analysis: model inputs</w:t>
      </w:r>
      <w:r>
        <w:t>, structure</w:t>
      </w:r>
      <w:r w:rsidRPr="00CE28E3">
        <w:t xml:space="preserve"> and assumptions</w:t>
      </w:r>
      <w:bookmarkEnd w:id="335"/>
      <w:bookmarkEnd w:id="336"/>
    </w:p>
    <w:p w14:paraId="02D7E01A" w14:textId="64BDBA5D" w:rsidR="004E63D6" w:rsidRDefault="004E63D6" w:rsidP="004E63D6">
      <w:pPr>
        <w:pStyle w:val="Caption"/>
      </w:pPr>
      <w:bookmarkStart w:id="337" w:name="_Ref108607581"/>
      <w:r w:rsidRPr="00CE28E3">
        <w:t>Table</w:t>
      </w:r>
      <w:r>
        <w:t> </w:t>
      </w:r>
      <w:fldSimple w:instr=" SEQ Table \* ARABIC ">
        <w:r w:rsidR="00C857F3">
          <w:rPr>
            <w:noProof/>
          </w:rPr>
          <w:t>92</w:t>
        </w:r>
      </w:fldSimple>
      <w:bookmarkEnd w:id="337"/>
      <w:r w:rsidRPr="00CE28E3">
        <w:tab/>
      </w:r>
      <w:r>
        <w:t>Results of the sensitivity analysis</w:t>
      </w:r>
    </w:p>
    <w:tbl>
      <w:tblPr>
        <w:tblStyle w:val="TableGrid1"/>
        <w:tblW w:w="5000" w:type="pct"/>
        <w:tblLayout w:type="fixed"/>
        <w:tblLook w:val="04A0" w:firstRow="1" w:lastRow="0" w:firstColumn="1" w:lastColumn="0" w:noHBand="0" w:noVBand="1"/>
        <w:tblCaption w:val="Results of the sensitivity analysis"/>
        <w:tblDescription w:val="Results of the sensitivity analysis"/>
      </w:tblPr>
      <w:tblGrid>
        <w:gridCol w:w="4957"/>
        <w:gridCol w:w="1086"/>
        <w:gridCol w:w="1087"/>
        <w:gridCol w:w="1087"/>
        <w:gridCol w:w="799"/>
      </w:tblGrid>
      <w:tr w:rsidR="004E63D6" w:rsidRPr="00024EB0" w14:paraId="27394B86" w14:textId="77777777" w:rsidTr="00247A5F">
        <w:trPr>
          <w:cnfStyle w:val="100000000000" w:firstRow="1" w:lastRow="0" w:firstColumn="0" w:lastColumn="0" w:oddVBand="0" w:evenVBand="0" w:oddHBand="0" w:evenHBand="0" w:firstRowFirstColumn="0" w:firstRowLastColumn="0" w:lastRowFirstColumn="0" w:lastRowLastColumn="0"/>
          <w:trHeight w:val="900"/>
          <w:tblHeader/>
        </w:trPr>
        <w:tc>
          <w:tcPr>
            <w:tcW w:w="2749" w:type="pct"/>
            <w:noWrap/>
            <w:hideMark/>
          </w:tcPr>
          <w:p w14:paraId="2EBCF9E6" w14:textId="77777777" w:rsidR="004E63D6" w:rsidRPr="00024EB0" w:rsidRDefault="004E63D6" w:rsidP="00CA410A">
            <w:pPr>
              <w:pStyle w:val="TableHeading"/>
            </w:pPr>
          </w:p>
        </w:tc>
        <w:tc>
          <w:tcPr>
            <w:tcW w:w="602" w:type="pct"/>
            <w:hideMark/>
          </w:tcPr>
          <w:p w14:paraId="22CBA5BB" w14:textId="77777777" w:rsidR="004E63D6" w:rsidRPr="00024EB0" w:rsidRDefault="004E63D6" w:rsidP="00CA410A">
            <w:pPr>
              <w:pStyle w:val="TableHeading"/>
              <w:jc w:val="center"/>
            </w:pPr>
            <w:r w:rsidRPr="00024EB0">
              <w:t>Inc</w:t>
            </w:r>
            <w:r>
              <w:t>.</w:t>
            </w:r>
            <w:r w:rsidRPr="00024EB0">
              <w:t xml:space="preserve"> cost</w:t>
            </w:r>
          </w:p>
        </w:tc>
        <w:tc>
          <w:tcPr>
            <w:tcW w:w="603" w:type="pct"/>
            <w:hideMark/>
          </w:tcPr>
          <w:p w14:paraId="79A1B1C0" w14:textId="77777777" w:rsidR="004E63D6" w:rsidRPr="00024EB0" w:rsidRDefault="004E63D6" w:rsidP="00CA410A">
            <w:pPr>
              <w:pStyle w:val="TableHeading"/>
              <w:jc w:val="center"/>
            </w:pPr>
            <w:r w:rsidRPr="00024EB0">
              <w:t>Inc. eligible for targeted therapy</w:t>
            </w:r>
          </w:p>
        </w:tc>
        <w:tc>
          <w:tcPr>
            <w:tcW w:w="603" w:type="pct"/>
            <w:hideMark/>
          </w:tcPr>
          <w:p w14:paraId="4B2D0324" w14:textId="77777777" w:rsidR="004E63D6" w:rsidRPr="00024EB0" w:rsidRDefault="004E63D6" w:rsidP="00CA410A">
            <w:pPr>
              <w:pStyle w:val="TableHeading"/>
              <w:jc w:val="center"/>
            </w:pPr>
            <w:r>
              <w:t>ICER</w:t>
            </w:r>
          </w:p>
        </w:tc>
        <w:tc>
          <w:tcPr>
            <w:tcW w:w="443" w:type="pct"/>
            <w:noWrap/>
            <w:hideMark/>
          </w:tcPr>
          <w:p w14:paraId="18DE679A" w14:textId="77777777" w:rsidR="004E63D6" w:rsidRPr="00024EB0" w:rsidRDefault="004E63D6" w:rsidP="00CA410A">
            <w:pPr>
              <w:pStyle w:val="TableHeading"/>
              <w:jc w:val="right"/>
            </w:pPr>
            <w:r>
              <w:t>% change</w:t>
            </w:r>
          </w:p>
        </w:tc>
      </w:tr>
      <w:tr w:rsidR="00DC70A6" w:rsidRPr="00024EB0" w14:paraId="4BA4289C" w14:textId="77777777" w:rsidTr="00DC70A6">
        <w:trPr>
          <w:cnfStyle w:val="100000000000" w:firstRow="1" w:lastRow="0" w:firstColumn="0" w:lastColumn="0" w:oddVBand="0" w:evenVBand="0" w:oddHBand="0" w:evenHBand="0" w:firstRowFirstColumn="0" w:firstRowLastColumn="0" w:lastRowFirstColumn="0" w:lastRowLastColumn="0"/>
          <w:trHeight w:val="300"/>
          <w:tblHeader/>
        </w:trPr>
        <w:tc>
          <w:tcPr>
            <w:tcW w:w="2749" w:type="pct"/>
            <w:tcBorders>
              <w:bottom w:val="single" w:sz="4" w:space="0" w:color="auto"/>
            </w:tcBorders>
            <w:noWrap/>
            <w:hideMark/>
          </w:tcPr>
          <w:p w14:paraId="5C131F95" w14:textId="77777777" w:rsidR="00DC70A6" w:rsidRPr="00024EB0" w:rsidRDefault="00DC70A6" w:rsidP="00DC70A6">
            <w:pPr>
              <w:pStyle w:val="TableText"/>
              <w:rPr>
                <w:b/>
              </w:rPr>
            </w:pPr>
            <w:r w:rsidRPr="00024EB0">
              <w:rPr>
                <w:b/>
              </w:rPr>
              <w:t>Base case</w:t>
            </w:r>
          </w:p>
        </w:tc>
        <w:tc>
          <w:tcPr>
            <w:tcW w:w="602" w:type="pct"/>
            <w:tcBorders>
              <w:bottom w:val="single" w:sz="4" w:space="0" w:color="auto"/>
            </w:tcBorders>
            <w:noWrap/>
          </w:tcPr>
          <w:p w14:paraId="64AF710A" w14:textId="68FF7445" w:rsidR="00DC70A6" w:rsidRPr="00DC70A6" w:rsidRDefault="00DC70A6" w:rsidP="00DC70A6">
            <w:pPr>
              <w:pStyle w:val="TableText"/>
              <w:jc w:val="right"/>
              <w:rPr>
                <w:b/>
              </w:rPr>
            </w:pPr>
            <w:r w:rsidRPr="00DC70A6">
              <w:rPr>
                <w:b/>
              </w:rPr>
              <w:t>$169.02</w:t>
            </w:r>
          </w:p>
        </w:tc>
        <w:tc>
          <w:tcPr>
            <w:tcW w:w="603" w:type="pct"/>
            <w:tcBorders>
              <w:bottom w:val="single" w:sz="4" w:space="0" w:color="auto"/>
            </w:tcBorders>
            <w:noWrap/>
          </w:tcPr>
          <w:p w14:paraId="39908BA3" w14:textId="2B1C6564" w:rsidR="00DC70A6" w:rsidRPr="00DC70A6" w:rsidRDefault="00DC70A6" w:rsidP="00DC70A6">
            <w:pPr>
              <w:pStyle w:val="TableText"/>
              <w:jc w:val="right"/>
              <w:rPr>
                <w:b/>
              </w:rPr>
            </w:pPr>
            <w:r w:rsidRPr="00DC70A6">
              <w:rPr>
                <w:b/>
              </w:rPr>
              <w:t>0.0225</w:t>
            </w:r>
          </w:p>
        </w:tc>
        <w:tc>
          <w:tcPr>
            <w:tcW w:w="603" w:type="pct"/>
            <w:tcBorders>
              <w:bottom w:val="single" w:sz="4" w:space="0" w:color="auto"/>
            </w:tcBorders>
            <w:noWrap/>
          </w:tcPr>
          <w:p w14:paraId="7949C17B" w14:textId="7B6A7D80" w:rsidR="00DC70A6" w:rsidRPr="00DC70A6" w:rsidRDefault="00DC70A6" w:rsidP="00DC70A6">
            <w:pPr>
              <w:pStyle w:val="TableText"/>
              <w:jc w:val="right"/>
              <w:rPr>
                <w:b/>
              </w:rPr>
            </w:pPr>
            <w:r w:rsidRPr="00DC70A6">
              <w:rPr>
                <w:b/>
              </w:rPr>
              <w:t>$7,496</w:t>
            </w:r>
          </w:p>
        </w:tc>
        <w:tc>
          <w:tcPr>
            <w:tcW w:w="443" w:type="pct"/>
            <w:tcBorders>
              <w:bottom w:val="single" w:sz="4" w:space="0" w:color="auto"/>
            </w:tcBorders>
            <w:noWrap/>
          </w:tcPr>
          <w:p w14:paraId="1D9080A6" w14:textId="3FA34B06" w:rsidR="00DC70A6" w:rsidRPr="00024EB0" w:rsidRDefault="00DC70A6" w:rsidP="00DC70A6">
            <w:pPr>
              <w:pStyle w:val="TableText"/>
              <w:jc w:val="right"/>
              <w:rPr>
                <w:b/>
              </w:rPr>
            </w:pPr>
            <w:r>
              <w:rPr>
                <w:b/>
              </w:rPr>
              <w:t>−</w:t>
            </w:r>
          </w:p>
        </w:tc>
      </w:tr>
      <w:tr w:rsidR="00DC70A6" w:rsidRPr="00024EB0" w14:paraId="31A871EB" w14:textId="77777777" w:rsidTr="00DC70A6">
        <w:trPr>
          <w:trHeight w:val="300"/>
        </w:trPr>
        <w:tc>
          <w:tcPr>
            <w:tcW w:w="2749" w:type="pct"/>
            <w:tcBorders>
              <w:bottom w:val="single" w:sz="4" w:space="0" w:color="auto"/>
              <w:right w:val="nil"/>
            </w:tcBorders>
            <w:noWrap/>
            <w:hideMark/>
          </w:tcPr>
          <w:p w14:paraId="73B6CD5F" w14:textId="77777777" w:rsidR="00DC70A6" w:rsidRPr="00024EB0" w:rsidRDefault="00DC70A6" w:rsidP="00DC70A6">
            <w:pPr>
              <w:pStyle w:val="TableText"/>
            </w:pPr>
            <w:r w:rsidRPr="00024EB0">
              <w:t>Proportion of patients with advanced disease (base case: 75.9%)</w:t>
            </w:r>
          </w:p>
        </w:tc>
        <w:tc>
          <w:tcPr>
            <w:tcW w:w="602" w:type="pct"/>
            <w:tcBorders>
              <w:left w:val="nil"/>
              <w:bottom w:val="single" w:sz="4" w:space="0" w:color="auto"/>
              <w:right w:val="nil"/>
            </w:tcBorders>
            <w:noWrap/>
          </w:tcPr>
          <w:p w14:paraId="46F1BA82"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428CF6F3"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34EAAD6E" w14:textId="77777777" w:rsidR="00DC70A6" w:rsidRPr="00024EB0" w:rsidRDefault="00DC70A6" w:rsidP="00DC70A6">
            <w:pPr>
              <w:pStyle w:val="TableText"/>
              <w:jc w:val="right"/>
            </w:pPr>
          </w:p>
        </w:tc>
        <w:tc>
          <w:tcPr>
            <w:tcW w:w="443" w:type="pct"/>
            <w:tcBorders>
              <w:left w:val="nil"/>
              <w:bottom w:val="single" w:sz="4" w:space="0" w:color="auto"/>
            </w:tcBorders>
            <w:noWrap/>
          </w:tcPr>
          <w:p w14:paraId="2A0C370B" w14:textId="77777777" w:rsidR="00DC70A6" w:rsidRPr="00024EB0" w:rsidRDefault="00DC70A6" w:rsidP="00DC70A6">
            <w:pPr>
              <w:pStyle w:val="TableText"/>
              <w:jc w:val="right"/>
            </w:pPr>
          </w:p>
        </w:tc>
      </w:tr>
      <w:tr w:rsidR="00DC70A6" w:rsidRPr="00024EB0" w14:paraId="0B9D94C4" w14:textId="77777777" w:rsidTr="00DC70A6">
        <w:trPr>
          <w:trHeight w:val="300"/>
        </w:trPr>
        <w:tc>
          <w:tcPr>
            <w:tcW w:w="2749" w:type="pct"/>
            <w:tcBorders>
              <w:top w:val="single" w:sz="4" w:space="0" w:color="auto"/>
              <w:bottom w:val="nil"/>
            </w:tcBorders>
            <w:noWrap/>
            <w:hideMark/>
          </w:tcPr>
          <w:p w14:paraId="262724CE" w14:textId="77777777" w:rsidR="00DC70A6" w:rsidRPr="00024EB0" w:rsidRDefault="00DC70A6" w:rsidP="00DC70A6">
            <w:pPr>
              <w:pStyle w:val="TableText"/>
            </w:pPr>
            <w:r w:rsidRPr="00024EB0">
              <w:t>100.0%</w:t>
            </w:r>
          </w:p>
        </w:tc>
        <w:tc>
          <w:tcPr>
            <w:tcW w:w="602" w:type="pct"/>
            <w:tcBorders>
              <w:top w:val="single" w:sz="4" w:space="0" w:color="auto"/>
              <w:bottom w:val="nil"/>
            </w:tcBorders>
            <w:noWrap/>
          </w:tcPr>
          <w:p w14:paraId="46BBC3E9" w14:textId="3F5D7EFA" w:rsidR="00DC70A6" w:rsidRPr="00024EB0" w:rsidRDefault="00DC70A6" w:rsidP="00DC70A6">
            <w:pPr>
              <w:pStyle w:val="TableText"/>
              <w:jc w:val="right"/>
            </w:pPr>
            <w:r w:rsidRPr="006C3F10">
              <w:t>$27.97</w:t>
            </w:r>
          </w:p>
        </w:tc>
        <w:tc>
          <w:tcPr>
            <w:tcW w:w="603" w:type="pct"/>
            <w:tcBorders>
              <w:top w:val="single" w:sz="4" w:space="0" w:color="auto"/>
              <w:bottom w:val="nil"/>
            </w:tcBorders>
            <w:noWrap/>
          </w:tcPr>
          <w:p w14:paraId="2C5789A7" w14:textId="00DD10D2" w:rsidR="00DC70A6" w:rsidRPr="00024EB0" w:rsidRDefault="00DC70A6" w:rsidP="00DC70A6">
            <w:pPr>
              <w:pStyle w:val="TableText"/>
              <w:jc w:val="right"/>
            </w:pPr>
            <w:r w:rsidRPr="006C3F10">
              <w:t>0.0297</w:t>
            </w:r>
          </w:p>
        </w:tc>
        <w:tc>
          <w:tcPr>
            <w:tcW w:w="603" w:type="pct"/>
            <w:tcBorders>
              <w:top w:val="single" w:sz="4" w:space="0" w:color="auto"/>
              <w:bottom w:val="nil"/>
            </w:tcBorders>
            <w:noWrap/>
          </w:tcPr>
          <w:p w14:paraId="35489480" w14:textId="3BDAED28" w:rsidR="00DC70A6" w:rsidRPr="00024EB0" w:rsidRDefault="00DC70A6" w:rsidP="00DC70A6">
            <w:pPr>
              <w:pStyle w:val="TableText"/>
              <w:jc w:val="right"/>
            </w:pPr>
            <w:r w:rsidRPr="006C3F10">
              <w:t>$941</w:t>
            </w:r>
          </w:p>
        </w:tc>
        <w:tc>
          <w:tcPr>
            <w:tcW w:w="443" w:type="pct"/>
            <w:tcBorders>
              <w:top w:val="single" w:sz="4" w:space="0" w:color="auto"/>
              <w:bottom w:val="nil"/>
            </w:tcBorders>
            <w:noWrap/>
          </w:tcPr>
          <w:p w14:paraId="3C75BB42" w14:textId="58C8D918" w:rsidR="00DC70A6" w:rsidRPr="00024EB0" w:rsidRDefault="00DC70A6" w:rsidP="00DC70A6">
            <w:pPr>
              <w:pStyle w:val="TableText"/>
              <w:jc w:val="right"/>
            </w:pPr>
            <w:r w:rsidRPr="006C3F10">
              <w:t>−87%</w:t>
            </w:r>
          </w:p>
        </w:tc>
      </w:tr>
      <w:tr w:rsidR="00DC70A6" w:rsidRPr="00024EB0" w14:paraId="6A32C713" w14:textId="77777777" w:rsidTr="00DC70A6">
        <w:trPr>
          <w:trHeight w:val="300"/>
        </w:trPr>
        <w:tc>
          <w:tcPr>
            <w:tcW w:w="2749" w:type="pct"/>
            <w:tcBorders>
              <w:top w:val="nil"/>
              <w:bottom w:val="nil"/>
            </w:tcBorders>
            <w:noWrap/>
            <w:hideMark/>
          </w:tcPr>
          <w:p w14:paraId="3760E91D" w14:textId="77777777" w:rsidR="00DC70A6" w:rsidRPr="00024EB0" w:rsidRDefault="00DC70A6" w:rsidP="00DC70A6">
            <w:pPr>
              <w:pStyle w:val="TableText"/>
            </w:pPr>
            <w:r w:rsidRPr="00024EB0">
              <w:t>72.6%</w:t>
            </w:r>
          </w:p>
        </w:tc>
        <w:tc>
          <w:tcPr>
            <w:tcW w:w="602" w:type="pct"/>
            <w:tcBorders>
              <w:top w:val="nil"/>
              <w:bottom w:val="nil"/>
            </w:tcBorders>
            <w:noWrap/>
          </w:tcPr>
          <w:p w14:paraId="1BDBC312" w14:textId="2C3D508D" w:rsidR="00DC70A6" w:rsidRPr="00024EB0" w:rsidRDefault="00DC70A6" w:rsidP="00DC70A6">
            <w:pPr>
              <w:pStyle w:val="TableText"/>
              <w:jc w:val="right"/>
            </w:pPr>
            <w:r w:rsidRPr="006C3F10">
              <w:t>$188.12</w:t>
            </w:r>
          </w:p>
        </w:tc>
        <w:tc>
          <w:tcPr>
            <w:tcW w:w="603" w:type="pct"/>
            <w:tcBorders>
              <w:top w:val="nil"/>
              <w:bottom w:val="nil"/>
            </w:tcBorders>
            <w:noWrap/>
          </w:tcPr>
          <w:p w14:paraId="58D75298" w14:textId="4747FB1A" w:rsidR="00DC70A6" w:rsidRPr="00024EB0" w:rsidRDefault="00DC70A6" w:rsidP="00DC70A6">
            <w:pPr>
              <w:pStyle w:val="TableText"/>
              <w:jc w:val="right"/>
            </w:pPr>
            <w:r w:rsidRPr="006C3F10">
              <w:t>0.0216</w:t>
            </w:r>
          </w:p>
        </w:tc>
        <w:tc>
          <w:tcPr>
            <w:tcW w:w="603" w:type="pct"/>
            <w:tcBorders>
              <w:top w:val="nil"/>
              <w:bottom w:val="nil"/>
            </w:tcBorders>
            <w:noWrap/>
          </w:tcPr>
          <w:p w14:paraId="57886EE1" w14:textId="2F78F208" w:rsidR="00DC70A6" w:rsidRPr="00024EB0" w:rsidRDefault="00DC70A6" w:rsidP="00DC70A6">
            <w:pPr>
              <w:pStyle w:val="TableText"/>
              <w:jc w:val="right"/>
            </w:pPr>
            <w:r w:rsidRPr="006C3F10">
              <w:t>$8,719</w:t>
            </w:r>
          </w:p>
        </w:tc>
        <w:tc>
          <w:tcPr>
            <w:tcW w:w="443" w:type="pct"/>
            <w:tcBorders>
              <w:top w:val="nil"/>
              <w:bottom w:val="nil"/>
            </w:tcBorders>
            <w:noWrap/>
          </w:tcPr>
          <w:p w14:paraId="28128987" w14:textId="4DE9F1B9" w:rsidR="00DC70A6" w:rsidRPr="00024EB0" w:rsidRDefault="00DC70A6" w:rsidP="00DC70A6">
            <w:pPr>
              <w:pStyle w:val="TableText"/>
              <w:jc w:val="right"/>
            </w:pPr>
            <w:r w:rsidRPr="006C3F10">
              <w:t>16%</w:t>
            </w:r>
          </w:p>
        </w:tc>
      </w:tr>
      <w:tr w:rsidR="00DC70A6" w:rsidRPr="00024EB0" w14:paraId="78E3888B" w14:textId="77777777" w:rsidTr="00247A5F">
        <w:trPr>
          <w:trHeight w:val="300"/>
        </w:trPr>
        <w:tc>
          <w:tcPr>
            <w:tcW w:w="2749" w:type="pct"/>
            <w:tcBorders>
              <w:top w:val="nil"/>
              <w:bottom w:val="single" w:sz="4" w:space="0" w:color="auto"/>
            </w:tcBorders>
            <w:noWrap/>
          </w:tcPr>
          <w:p w14:paraId="390C053C" w14:textId="77777777" w:rsidR="00DC70A6" w:rsidRPr="00024EB0" w:rsidRDefault="00DC70A6" w:rsidP="00DC70A6">
            <w:pPr>
              <w:pStyle w:val="TableText"/>
            </w:pPr>
            <w:r>
              <w:t>50%</w:t>
            </w:r>
          </w:p>
        </w:tc>
        <w:tc>
          <w:tcPr>
            <w:tcW w:w="602" w:type="pct"/>
            <w:tcBorders>
              <w:top w:val="nil"/>
              <w:bottom w:val="single" w:sz="4" w:space="0" w:color="auto"/>
            </w:tcBorders>
            <w:noWrap/>
          </w:tcPr>
          <w:p w14:paraId="1D31A6C4" w14:textId="22EB37BA" w:rsidR="00DC70A6" w:rsidRPr="00024EB0" w:rsidRDefault="00DC70A6" w:rsidP="00DC70A6">
            <w:pPr>
              <w:pStyle w:val="TableText"/>
              <w:jc w:val="right"/>
            </w:pPr>
            <w:r w:rsidRPr="006C3F10">
              <w:t>$320.01</w:t>
            </w:r>
          </w:p>
        </w:tc>
        <w:tc>
          <w:tcPr>
            <w:tcW w:w="603" w:type="pct"/>
            <w:tcBorders>
              <w:top w:val="nil"/>
              <w:bottom w:val="single" w:sz="4" w:space="0" w:color="auto"/>
            </w:tcBorders>
            <w:noWrap/>
          </w:tcPr>
          <w:p w14:paraId="14D76A1F" w14:textId="34C5952A" w:rsidR="00DC70A6" w:rsidRPr="00024EB0" w:rsidRDefault="00DC70A6" w:rsidP="00DC70A6">
            <w:pPr>
              <w:pStyle w:val="TableText"/>
              <w:jc w:val="right"/>
            </w:pPr>
            <w:r w:rsidRPr="006C3F10">
              <w:t>0.0149</w:t>
            </w:r>
          </w:p>
        </w:tc>
        <w:tc>
          <w:tcPr>
            <w:tcW w:w="603" w:type="pct"/>
            <w:tcBorders>
              <w:top w:val="nil"/>
              <w:bottom w:val="single" w:sz="4" w:space="0" w:color="auto"/>
            </w:tcBorders>
            <w:noWrap/>
          </w:tcPr>
          <w:p w14:paraId="270EF497" w14:textId="1AF847BF" w:rsidR="00DC70A6" w:rsidRPr="00024EB0" w:rsidRDefault="00DC70A6" w:rsidP="00DC70A6">
            <w:pPr>
              <w:pStyle w:val="TableText"/>
              <w:jc w:val="right"/>
            </w:pPr>
            <w:r w:rsidRPr="006C3F10">
              <w:t>$21,530</w:t>
            </w:r>
          </w:p>
        </w:tc>
        <w:tc>
          <w:tcPr>
            <w:tcW w:w="443" w:type="pct"/>
            <w:tcBorders>
              <w:top w:val="nil"/>
              <w:bottom w:val="single" w:sz="4" w:space="0" w:color="auto"/>
            </w:tcBorders>
            <w:noWrap/>
          </w:tcPr>
          <w:p w14:paraId="03CA09B8" w14:textId="41E53BE9" w:rsidR="00DC70A6" w:rsidRPr="00024EB0" w:rsidRDefault="00DC70A6" w:rsidP="00DC70A6">
            <w:pPr>
              <w:pStyle w:val="TableText"/>
              <w:jc w:val="right"/>
            </w:pPr>
            <w:r w:rsidRPr="006C3F10">
              <w:t>187%</w:t>
            </w:r>
          </w:p>
        </w:tc>
      </w:tr>
      <w:tr w:rsidR="00DC70A6" w:rsidRPr="00024EB0" w14:paraId="517954E8" w14:textId="77777777" w:rsidTr="00DC70A6">
        <w:trPr>
          <w:trHeight w:val="300"/>
        </w:trPr>
        <w:tc>
          <w:tcPr>
            <w:tcW w:w="2749" w:type="pct"/>
            <w:tcBorders>
              <w:top w:val="single" w:sz="4" w:space="0" w:color="auto"/>
              <w:bottom w:val="single" w:sz="4" w:space="0" w:color="auto"/>
              <w:right w:val="nil"/>
            </w:tcBorders>
            <w:noWrap/>
            <w:hideMark/>
          </w:tcPr>
          <w:p w14:paraId="4BFA3F3F" w14:textId="77777777" w:rsidR="00DC70A6" w:rsidRPr="00024EB0" w:rsidRDefault="00DC70A6" w:rsidP="00DC70A6">
            <w:pPr>
              <w:pStyle w:val="TableText"/>
            </w:pPr>
            <w:r w:rsidRPr="00024EB0">
              <w:t xml:space="preserve">Timing of </w:t>
            </w:r>
            <w:r w:rsidRPr="007D6676">
              <w:rPr>
                <w:i/>
              </w:rPr>
              <w:t>MET</w:t>
            </w:r>
            <w:r w:rsidRPr="00024EB0">
              <w:t xml:space="preserve">ex14sk testing (base case: after </w:t>
            </w:r>
            <w:r w:rsidRPr="007D6676">
              <w:rPr>
                <w:i/>
              </w:rPr>
              <w:t>EGFR</w:t>
            </w:r>
            <w:r w:rsidRPr="00024EB0">
              <w:t>)</w:t>
            </w:r>
          </w:p>
        </w:tc>
        <w:tc>
          <w:tcPr>
            <w:tcW w:w="602" w:type="pct"/>
            <w:tcBorders>
              <w:top w:val="single" w:sz="4" w:space="0" w:color="auto"/>
              <w:left w:val="nil"/>
              <w:bottom w:val="single" w:sz="4" w:space="0" w:color="auto"/>
              <w:right w:val="nil"/>
            </w:tcBorders>
            <w:noWrap/>
          </w:tcPr>
          <w:p w14:paraId="5A592C60" w14:textId="77777777" w:rsidR="00DC70A6" w:rsidRPr="00024EB0" w:rsidRDefault="00DC70A6" w:rsidP="00DC70A6">
            <w:pPr>
              <w:pStyle w:val="TableText"/>
              <w:jc w:val="right"/>
            </w:pPr>
          </w:p>
        </w:tc>
        <w:tc>
          <w:tcPr>
            <w:tcW w:w="603" w:type="pct"/>
            <w:tcBorders>
              <w:top w:val="single" w:sz="4" w:space="0" w:color="auto"/>
              <w:left w:val="nil"/>
              <w:bottom w:val="single" w:sz="4" w:space="0" w:color="auto"/>
              <w:right w:val="nil"/>
            </w:tcBorders>
            <w:noWrap/>
          </w:tcPr>
          <w:p w14:paraId="2A084C92" w14:textId="77777777" w:rsidR="00DC70A6" w:rsidRPr="00024EB0" w:rsidRDefault="00DC70A6" w:rsidP="00DC70A6">
            <w:pPr>
              <w:pStyle w:val="TableText"/>
              <w:jc w:val="right"/>
            </w:pPr>
          </w:p>
        </w:tc>
        <w:tc>
          <w:tcPr>
            <w:tcW w:w="603" w:type="pct"/>
            <w:tcBorders>
              <w:top w:val="single" w:sz="4" w:space="0" w:color="auto"/>
              <w:left w:val="nil"/>
              <w:bottom w:val="single" w:sz="4" w:space="0" w:color="auto"/>
              <w:right w:val="nil"/>
            </w:tcBorders>
            <w:noWrap/>
          </w:tcPr>
          <w:p w14:paraId="1B6E53E2" w14:textId="77777777" w:rsidR="00DC70A6" w:rsidRPr="00024EB0" w:rsidRDefault="00DC70A6" w:rsidP="00DC70A6">
            <w:pPr>
              <w:pStyle w:val="TableText"/>
              <w:jc w:val="right"/>
            </w:pPr>
          </w:p>
        </w:tc>
        <w:tc>
          <w:tcPr>
            <w:tcW w:w="443" w:type="pct"/>
            <w:tcBorders>
              <w:top w:val="single" w:sz="4" w:space="0" w:color="auto"/>
              <w:left w:val="nil"/>
              <w:bottom w:val="single" w:sz="4" w:space="0" w:color="auto"/>
            </w:tcBorders>
            <w:noWrap/>
          </w:tcPr>
          <w:p w14:paraId="7294CC95" w14:textId="77777777" w:rsidR="00DC70A6" w:rsidRPr="00024EB0" w:rsidRDefault="00DC70A6" w:rsidP="00DC70A6">
            <w:pPr>
              <w:pStyle w:val="TableText"/>
              <w:jc w:val="right"/>
            </w:pPr>
          </w:p>
        </w:tc>
      </w:tr>
      <w:tr w:rsidR="00DC70A6" w:rsidRPr="00024EB0" w14:paraId="34D89AEC" w14:textId="77777777" w:rsidTr="00DC70A6">
        <w:trPr>
          <w:trHeight w:val="300"/>
        </w:trPr>
        <w:tc>
          <w:tcPr>
            <w:tcW w:w="2749" w:type="pct"/>
            <w:tcBorders>
              <w:bottom w:val="nil"/>
            </w:tcBorders>
            <w:noWrap/>
            <w:hideMark/>
          </w:tcPr>
          <w:p w14:paraId="36BB2DF6" w14:textId="77777777" w:rsidR="00DC70A6" w:rsidRPr="00024EB0" w:rsidRDefault="00DC70A6" w:rsidP="00DC70A6">
            <w:pPr>
              <w:pStyle w:val="TableText"/>
            </w:pPr>
            <w:r w:rsidRPr="00024EB0">
              <w:t xml:space="preserve">At the same time as </w:t>
            </w:r>
            <w:r w:rsidRPr="007D6676">
              <w:rPr>
                <w:i/>
              </w:rPr>
              <w:t>EGFR</w:t>
            </w:r>
          </w:p>
        </w:tc>
        <w:tc>
          <w:tcPr>
            <w:tcW w:w="602" w:type="pct"/>
            <w:tcBorders>
              <w:bottom w:val="nil"/>
            </w:tcBorders>
            <w:noWrap/>
          </w:tcPr>
          <w:p w14:paraId="45DEFC80" w14:textId="1238251A" w:rsidR="00DC70A6" w:rsidRPr="00024EB0" w:rsidRDefault="00DC70A6" w:rsidP="00DC70A6">
            <w:pPr>
              <w:pStyle w:val="TableText"/>
              <w:jc w:val="right"/>
            </w:pPr>
            <w:r w:rsidRPr="006C3F10">
              <w:t>$109.54</w:t>
            </w:r>
          </w:p>
        </w:tc>
        <w:tc>
          <w:tcPr>
            <w:tcW w:w="603" w:type="pct"/>
            <w:tcBorders>
              <w:bottom w:val="nil"/>
            </w:tcBorders>
            <w:noWrap/>
          </w:tcPr>
          <w:p w14:paraId="168994F1" w14:textId="0EF4068D" w:rsidR="00DC70A6" w:rsidRPr="00024EB0" w:rsidRDefault="00DC70A6" w:rsidP="00DC70A6">
            <w:pPr>
              <w:pStyle w:val="TableText"/>
              <w:jc w:val="right"/>
            </w:pPr>
            <w:r w:rsidRPr="006C3F10">
              <w:t>0.0225</w:t>
            </w:r>
          </w:p>
        </w:tc>
        <w:tc>
          <w:tcPr>
            <w:tcW w:w="603" w:type="pct"/>
            <w:tcBorders>
              <w:bottom w:val="nil"/>
            </w:tcBorders>
            <w:noWrap/>
          </w:tcPr>
          <w:p w14:paraId="37239E3E" w14:textId="42AC1A3A" w:rsidR="00DC70A6" w:rsidRPr="00024EB0" w:rsidRDefault="00DC70A6" w:rsidP="00DC70A6">
            <w:pPr>
              <w:pStyle w:val="TableText"/>
              <w:jc w:val="right"/>
            </w:pPr>
            <w:r w:rsidRPr="006C3F10">
              <w:t>$4,858</w:t>
            </w:r>
          </w:p>
        </w:tc>
        <w:tc>
          <w:tcPr>
            <w:tcW w:w="443" w:type="pct"/>
            <w:tcBorders>
              <w:bottom w:val="nil"/>
            </w:tcBorders>
            <w:noWrap/>
          </w:tcPr>
          <w:p w14:paraId="6C7A8F4E" w14:textId="5F76F617" w:rsidR="00DC70A6" w:rsidRPr="00024EB0" w:rsidRDefault="00DC70A6" w:rsidP="00DC70A6">
            <w:pPr>
              <w:pStyle w:val="TableText"/>
              <w:jc w:val="right"/>
            </w:pPr>
            <w:r w:rsidRPr="006C3F10">
              <w:t>−35%</w:t>
            </w:r>
          </w:p>
        </w:tc>
      </w:tr>
      <w:tr w:rsidR="00DC70A6" w:rsidRPr="00024EB0" w14:paraId="7319D941" w14:textId="77777777" w:rsidTr="00247A5F">
        <w:trPr>
          <w:trHeight w:val="300"/>
        </w:trPr>
        <w:tc>
          <w:tcPr>
            <w:tcW w:w="2749" w:type="pct"/>
            <w:tcBorders>
              <w:top w:val="nil"/>
              <w:bottom w:val="nil"/>
              <w:right w:val="single" w:sz="4" w:space="0" w:color="auto"/>
            </w:tcBorders>
            <w:noWrap/>
          </w:tcPr>
          <w:p w14:paraId="74BC25AD" w14:textId="77777777" w:rsidR="00DC70A6" w:rsidRDefault="00DC70A6" w:rsidP="00DC70A6">
            <w:pPr>
              <w:pStyle w:val="TableText"/>
            </w:pPr>
            <w:r>
              <w:t>After EGFR (excluding block retrieval and consult costs)</w:t>
            </w:r>
          </w:p>
        </w:tc>
        <w:tc>
          <w:tcPr>
            <w:tcW w:w="602" w:type="pct"/>
            <w:tcBorders>
              <w:top w:val="nil"/>
              <w:left w:val="single" w:sz="4" w:space="0" w:color="auto"/>
              <w:bottom w:val="nil"/>
              <w:right w:val="single" w:sz="4" w:space="0" w:color="auto"/>
            </w:tcBorders>
            <w:noWrap/>
          </w:tcPr>
          <w:p w14:paraId="70FE44CC" w14:textId="71CBB415" w:rsidR="00DC70A6" w:rsidRPr="00024EB0" w:rsidRDefault="00DC70A6" w:rsidP="00DC70A6">
            <w:pPr>
              <w:pStyle w:val="TableText"/>
              <w:jc w:val="right"/>
            </w:pPr>
            <w:r w:rsidRPr="006C3F10">
              <w:t>$252.67</w:t>
            </w:r>
          </w:p>
        </w:tc>
        <w:tc>
          <w:tcPr>
            <w:tcW w:w="603" w:type="pct"/>
            <w:tcBorders>
              <w:top w:val="nil"/>
              <w:left w:val="single" w:sz="4" w:space="0" w:color="auto"/>
              <w:bottom w:val="nil"/>
              <w:right w:val="single" w:sz="4" w:space="0" w:color="auto"/>
            </w:tcBorders>
            <w:noWrap/>
          </w:tcPr>
          <w:p w14:paraId="65A23620" w14:textId="2EC880C4" w:rsidR="00DC70A6" w:rsidRPr="00024EB0" w:rsidRDefault="00DC70A6" w:rsidP="00DC70A6">
            <w:pPr>
              <w:pStyle w:val="TableText"/>
              <w:jc w:val="right"/>
            </w:pPr>
            <w:r w:rsidRPr="006C3F10">
              <w:t>0.0225</w:t>
            </w:r>
          </w:p>
        </w:tc>
        <w:tc>
          <w:tcPr>
            <w:tcW w:w="603" w:type="pct"/>
            <w:tcBorders>
              <w:top w:val="nil"/>
              <w:left w:val="single" w:sz="4" w:space="0" w:color="auto"/>
              <w:bottom w:val="nil"/>
              <w:right w:val="single" w:sz="4" w:space="0" w:color="auto"/>
            </w:tcBorders>
            <w:noWrap/>
          </w:tcPr>
          <w:p w14:paraId="1B0358BF" w14:textId="5D00B1D9" w:rsidR="00DC70A6" w:rsidRPr="00024EB0" w:rsidRDefault="00DC70A6" w:rsidP="00DC70A6">
            <w:pPr>
              <w:pStyle w:val="TableText"/>
              <w:jc w:val="right"/>
            </w:pPr>
            <w:r w:rsidRPr="006C3F10">
              <w:t>$11,206</w:t>
            </w:r>
          </w:p>
        </w:tc>
        <w:tc>
          <w:tcPr>
            <w:tcW w:w="443" w:type="pct"/>
            <w:tcBorders>
              <w:top w:val="nil"/>
              <w:left w:val="single" w:sz="4" w:space="0" w:color="auto"/>
              <w:bottom w:val="nil"/>
            </w:tcBorders>
            <w:noWrap/>
          </w:tcPr>
          <w:p w14:paraId="6A70592C" w14:textId="7EB3B914" w:rsidR="00DC70A6" w:rsidRPr="00024EB0" w:rsidRDefault="00DC70A6" w:rsidP="00DC70A6">
            <w:pPr>
              <w:pStyle w:val="TableText"/>
              <w:jc w:val="right"/>
            </w:pPr>
            <w:r w:rsidRPr="006C3F10">
              <w:t>49%</w:t>
            </w:r>
          </w:p>
        </w:tc>
      </w:tr>
      <w:tr w:rsidR="00DC70A6" w:rsidRPr="00024EB0" w14:paraId="107288DA" w14:textId="77777777" w:rsidTr="00DC70A6">
        <w:trPr>
          <w:trHeight w:val="300"/>
        </w:trPr>
        <w:tc>
          <w:tcPr>
            <w:tcW w:w="2749" w:type="pct"/>
            <w:tcBorders>
              <w:top w:val="nil"/>
              <w:bottom w:val="single" w:sz="4" w:space="0" w:color="auto"/>
            </w:tcBorders>
            <w:noWrap/>
            <w:hideMark/>
          </w:tcPr>
          <w:p w14:paraId="41B07E83" w14:textId="77777777" w:rsidR="00DC70A6" w:rsidRPr="00024EB0" w:rsidRDefault="00DC70A6" w:rsidP="00DC70A6">
            <w:pPr>
              <w:pStyle w:val="TableText"/>
            </w:pPr>
            <w:r w:rsidRPr="00024EB0">
              <w:t xml:space="preserve">After </w:t>
            </w:r>
            <w:r w:rsidRPr="007D6676">
              <w:rPr>
                <w:i/>
              </w:rPr>
              <w:t>EGFR</w:t>
            </w:r>
            <w:r w:rsidRPr="00024EB0">
              <w:t xml:space="preserve">, </w:t>
            </w:r>
            <w:r w:rsidRPr="007D6676">
              <w:rPr>
                <w:i/>
              </w:rPr>
              <w:t>ALK</w:t>
            </w:r>
            <w:r w:rsidRPr="00024EB0">
              <w:t xml:space="preserve"> and </w:t>
            </w:r>
            <w:r w:rsidRPr="007D6676">
              <w:rPr>
                <w:i/>
              </w:rPr>
              <w:t>ROS1</w:t>
            </w:r>
          </w:p>
        </w:tc>
        <w:tc>
          <w:tcPr>
            <w:tcW w:w="602" w:type="pct"/>
            <w:tcBorders>
              <w:top w:val="nil"/>
              <w:bottom w:val="single" w:sz="4" w:space="0" w:color="auto"/>
            </w:tcBorders>
            <w:noWrap/>
          </w:tcPr>
          <w:p w14:paraId="2AF230A6" w14:textId="4FD04002" w:rsidR="00DC70A6" w:rsidRPr="00024EB0" w:rsidRDefault="00DC70A6" w:rsidP="00DC70A6">
            <w:pPr>
              <w:pStyle w:val="TableText"/>
              <w:jc w:val="right"/>
            </w:pPr>
            <w:r w:rsidRPr="006C3F10">
              <w:t>$186.80</w:t>
            </w:r>
          </w:p>
        </w:tc>
        <w:tc>
          <w:tcPr>
            <w:tcW w:w="603" w:type="pct"/>
            <w:tcBorders>
              <w:top w:val="nil"/>
              <w:bottom w:val="single" w:sz="4" w:space="0" w:color="auto"/>
            </w:tcBorders>
            <w:noWrap/>
          </w:tcPr>
          <w:p w14:paraId="2841079B" w14:textId="03345D6E" w:rsidR="00DC70A6" w:rsidRPr="00024EB0" w:rsidRDefault="00DC70A6" w:rsidP="00DC70A6">
            <w:pPr>
              <w:pStyle w:val="TableText"/>
              <w:jc w:val="right"/>
            </w:pPr>
            <w:r w:rsidRPr="006C3F10">
              <w:t>0.0225</w:t>
            </w:r>
          </w:p>
        </w:tc>
        <w:tc>
          <w:tcPr>
            <w:tcW w:w="603" w:type="pct"/>
            <w:tcBorders>
              <w:top w:val="nil"/>
              <w:bottom w:val="single" w:sz="4" w:space="0" w:color="auto"/>
            </w:tcBorders>
            <w:noWrap/>
          </w:tcPr>
          <w:p w14:paraId="61CD7ABB" w14:textId="0AF0EA21" w:rsidR="00DC70A6" w:rsidRPr="00024EB0" w:rsidRDefault="00DC70A6" w:rsidP="00DC70A6">
            <w:pPr>
              <w:pStyle w:val="TableText"/>
              <w:jc w:val="right"/>
            </w:pPr>
            <w:r w:rsidRPr="006C3F10">
              <w:t>$8,285</w:t>
            </w:r>
          </w:p>
        </w:tc>
        <w:tc>
          <w:tcPr>
            <w:tcW w:w="443" w:type="pct"/>
            <w:tcBorders>
              <w:top w:val="nil"/>
              <w:bottom w:val="single" w:sz="4" w:space="0" w:color="auto"/>
            </w:tcBorders>
            <w:noWrap/>
          </w:tcPr>
          <w:p w14:paraId="22EA4555" w14:textId="5752AB10" w:rsidR="00DC70A6" w:rsidRPr="00024EB0" w:rsidRDefault="00DC70A6" w:rsidP="00DC70A6">
            <w:pPr>
              <w:pStyle w:val="TableText"/>
              <w:jc w:val="right"/>
            </w:pPr>
            <w:r w:rsidRPr="006C3F10">
              <w:t>11%</w:t>
            </w:r>
          </w:p>
        </w:tc>
      </w:tr>
      <w:tr w:rsidR="00DC70A6" w:rsidRPr="00024EB0" w14:paraId="1C7DA995" w14:textId="77777777" w:rsidTr="00DC70A6">
        <w:trPr>
          <w:trHeight w:val="300"/>
        </w:trPr>
        <w:tc>
          <w:tcPr>
            <w:tcW w:w="2749" w:type="pct"/>
            <w:tcBorders>
              <w:bottom w:val="single" w:sz="4" w:space="0" w:color="auto"/>
              <w:right w:val="nil"/>
            </w:tcBorders>
            <w:noWrap/>
            <w:hideMark/>
          </w:tcPr>
          <w:p w14:paraId="14F8C4CD" w14:textId="77777777" w:rsidR="00DC70A6" w:rsidRPr="00024EB0" w:rsidRDefault="00DC70A6" w:rsidP="00DC70A6">
            <w:pPr>
              <w:pStyle w:val="TableText"/>
            </w:pPr>
            <w:r w:rsidRPr="00024EB0">
              <w:t>Proportion of IHC ± FISH use with small gene panel testing (base case: 5%)</w:t>
            </w:r>
          </w:p>
        </w:tc>
        <w:tc>
          <w:tcPr>
            <w:tcW w:w="602" w:type="pct"/>
            <w:tcBorders>
              <w:left w:val="nil"/>
              <w:bottom w:val="single" w:sz="4" w:space="0" w:color="auto"/>
              <w:right w:val="nil"/>
            </w:tcBorders>
            <w:noWrap/>
          </w:tcPr>
          <w:p w14:paraId="26A2A964"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49492EA7"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178FA7E5" w14:textId="77777777" w:rsidR="00DC70A6" w:rsidRPr="00024EB0" w:rsidRDefault="00DC70A6" w:rsidP="00DC70A6">
            <w:pPr>
              <w:pStyle w:val="TableText"/>
              <w:jc w:val="right"/>
            </w:pPr>
          </w:p>
        </w:tc>
        <w:tc>
          <w:tcPr>
            <w:tcW w:w="443" w:type="pct"/>
            <w:tcBorders>
              <w:left w:val="nil"/>
              <w:bottom w:val="single" w:sz="4" w:space="0" w:color="auto"/>
            </w:tcBorders>
            <w:noWrap/>
          </w:tcPr>
          <w:p w14:paraId="7D28ACE4" w14:textId="77777777" w:rsidR="00DC70A6" w:rsidRPr="00024EB0" w:rsidRDefault="00DC70A6" w:rsidP="00DC70A6">
            <w:pPr>
              <w:pStyle w:val="TableText"/>
              <w:jc w:val="right"/>
            </w:pPr>
          </w:p>
        </w:tc>
      </w:tr>
      <w:tr w:rsidR="00DC70A6" w:rsidRPr="00024EB0" w14:paraId="54246000" w14:textId="77777777" w:rsidTr="00DC70A6">
        <w:trPr>
          <w:trHeight w:val="300"/>
        </w:trPr>
        <w:tc>
          <w:tcPr>
            <w:tcW w:w="2749" w:type="pct"/>
            <w:tcBorders>
              <w:bottom w:val="nil"/>
            </w:tcBorders>
            <w:noWrap/>
            <w:hideMark/>
          </w:tcPr>
          <w:p w14:paraId="1BDF6B42" w14:textId="77777777" w:rsidR="00DC70A6" w:rsidRPr="00024EB0" w:rsidRDefault="00DC70A6" w:rsidP="00DC70A6">
            <w:pPr>
              <w:pStyle w:val="TableText"/>
            </w:pPr>
            <w:r w:rsidRPr="00024EB0">
              <w:t>0%</w:t>
            </w:r>
          </w:p>
        </w:tc>
        <w:tc>
          <w:tcPr>
            <w:tcW w:w="602" w:type="pct"/>
            <w:tcBorders>
              <w:bottom w:val="nil"/>
            </w:tcBorders>
            <w:noWrap/>
          </w:tcPr>
          <w:p w14:paraId="65228A4E" w14:textId="197962B1" w:rsidR="00DC70A6" w:rsidRPr="00024EB0" w:rsidRDefault="00DC70A6" w:rsidP="00DC70A6">
            <w:pPr>
              <w:pStyle w:val="TableText"/>
              <w:jc w:val="right"/>
            </w:pPr>
            <w:r w:rsidRPr="006C3F10">
              <w:t>$186.48</w:t>
            </w:r>
          </w:p>
        </w:tc>
        <w:tc>
          <w:tcPr>
            <w:tcW w:w="603" w:type="pct"/>
            <w:tcBorders>
              <w:bottom w:val="nil"/>
            </w:tcBorders>
            <w:noWrap/>
          </w:tcPr>
          <w:p w14:paraId="7920CF8A" w14:textId="60CBDB58" w:rsidR="00DC70A6" w:rsidRPr="00024EB0" w:rsidRDefault="00DC70A6" w:rsidP="00DC70A6">
            <w:pPr>
              <w:pStyle w:val="TableText"/>
              <w:jc w:val="right"/>
            </w:pPr>
            <w:r w:rsidRPr="006C3F10">
              <w:t>0.0228</w:t>
            </w:r>
          </w:p>
        </w:tc>
        <w:tc>
          <w:tcPr>
            <w:tcW w:w="603" w:type="pct"/>
            <w:tcBorders>
              <w:bottom w:val="nil"/>
            </w:tcBorders>
            <w:noWrap/>
          </w:tcPr>
          <w:p w14:paraId="7AC6CEF9" w14:textId="07AA9DE8" w:rsidR="00DC70A6" w:rsidRPr="00024EB0" w:rsidRDefault="00DC70A6" w:rsidP="00DC70A6">
            <w:pPr>
              <w:pStyle w:val="TableText"/>
              <w:jc w:val="right"/>
            </w:pPr>
            <w:r w:rsidRPr="006C3F10">
              <w:t>$8,171</w:t>
            </w:r>
          </w:p>
        </w:tc>
        <w:tc>
          <w:tcPr>
            <w:tcW w:w="443" w:type="pct"/>
            <w:tcBorders>
              <w:bottom w:val="nil"/>
            </w:tcBorders>
            <w:noWrap/>
          </w:tcPr>
          <w:p w14:paraId="37FF31C0" w14:textId="37788614" w:rsidR="00DC70A6" w:rsidRPr="00024EB0" w:rsidRDefault="00DC70A6" w:rsidP="00DC70A6">
            <w:pPr>
              <w:pStyle w:val="TableText"/>
              <w:jc w:val="right"/>
            </w:pPr>
            <w:r w:rsidRPr="006C3F10">
              <w:t>9%</w:t>
            </w:r>
          </w:p>
        </w:tc>
      </w:tr>
      <w:tr w:rsidR="00DC70A6" w:rsidRPr="00024EB0" w14:paraId="7471390A" w14:textId="77777777" w:rsidTr="00DC70A6">
        <w:trPr>
          <w:trHeight w:val="300"/>
        </w:trPr>
        <w:tc>
          <w:tcPr>
            <w:tcW w:w="2749" w:type="pct"/>
            <w:tcBorders>
              <w:top w:val="nil"/>
              <w:bottom w:val="single" w:sz="4" w:space="0" w:color="auto"/>
            </w:tcBorders>
            <w:noWrap/>
            <w:hideMark/>
          </w:tcPr>
          <w:p w14:paraId="1283C442" w14:textId="77777777" w:rsidR="00DC70A6" w:rsidRPr="00024EB0" w:rsidRDefault="00DC70A6" w:rsidP="00DC70A6">
            <w:pPr>
              <w:pStyle w:val="TableText"/>
            </w:pPr>
            <w:r w:rsidRPr="00024EB0">
              <w:t>10%</w:t>
            </w:r>
          </w:p>
        </w:tc>
        <w:tc>
          <w:tcPr>
            <w:tcW w:w="602" w:type="pct"/>
            <w:tcBorders>
              <w:top w:val="nil"/>
              <w:bottom w:val="single" w:sz="4" w:space="0" w:color="auto"/>
            </w:tcBorders>
            <w:noWrap/>
          </w:tcPr>
          <w:p w14:paraId="640CCCCD" w14:textId="25BC7AF8" w:rsidR="00DC70A6" w:rsidRPr="00024EB0" w:rsidRDefault="00DC70A6" w:rsidP="00DC70A6">
            <w:pPr>
              <w:pStyle w:val="TableText"/>
              <w:jc w:val="right"/>
            </w:pPr>
            <w:r w:rsidRPr="006C3F10">
              <w:t>$151.57</w:t>
            </w:r>
          </w:p>
        </w:tc>
        <w:tc>
          <w:tcPr>
            <w:tcW w:w="603" w:type="pct"/>
            <w:tcBorders>
              <w:top w:val="nil"/>
              <w:bottom w:val="single" w:sz="4" w:space="0" w:color="auto"/>
            </w:tcBorders>
            <w:noWrap/>
          </w:tcPr>
          <w:p w14:paraId="5A19B07C" w14:textId="4AC63D6E" w:rsidR="00DC70A6" w:rsidRPr="00024EB0" w:rsidRDefault="00DC70A6" w:rsidP="00DC70A6">
            <w:pPr>
              <w:pStyle w:val="TableText"/>
              <w:jc w:val="right"/>
            </w:pPr>
            <w:r w:rsidRPr="006C3F10">
              <w:t>0.0223</w:t>
            </w:r>
          </w:p>
        </w:tc>
        <w:tc>
          <w:tcPr>
            <w:tcW w:w="603" w:type="pct"/>
            <w:tcBorders>
              <w:top w:val="nil"/>
              <w:bottom w:val="single" w:sz="4" w:space="0" w:color="auto"/>
            </w:tcBorders>
            <w:noWrap/>
          </w:tcPr>
          <w:p w14:paraId="269460FC" w14:textId="322F8DC9" w:rsidR="00DC70A6" w:rsidRPr="00024EB0" w:rsidRDefault="00DC70A6" w:rsidP="00DC70A6">
            <w:pPr>
              <w:pStyle w:val="TableText"/>
              <w:jc w:val="right"/>
            </w:pPr>
            <w:r w:rsidRPr="006C3F10">
              <w:t>$6,805</w:t>
            </w:r>
          </w:p>
        </w:tc>
        <w:tc>
          <w:tcPr>
            <w:tcW w:w="443" w:type="pct"/>
            <w:tcBorders>
              <w:top w:val="nil"/>
              <w:bottom w:val="single" w:sz="4" w:space="0" w:color="auto"/>
            </w:tcBorders>
            <w:noWrap/>
          </w:tcPr>
          <w:p w14:paraId="25597884" w14:textId="655F3647" w:rsidR="00DC70A6" w:rsidRPr="00024EB0" w:rsidRDefault="00DC70A6" w:rsidP="00DC70A6">
            <w:pPr>
              <w:pStyle w:val="TableText"/>
              <w:jc w:val="right"/>
            </w:pPr>
            <w:r w:rsidRPr="006C3F10">
              <w:t>−9%</w:t>
            </w:r>
          </w:p>
        </w:tc>
      </w:tr>
      <w:tr w:rsidR="00DC70A6" w:rsidRPr="00024EB0" w14:paraId="057E1B87" w14:textId="77777777" w:rsidTr="00DC70A6">
        <w:trPr>
          <w:trHeight w:val="300"/>
        </w:trPr>
        <w:tc>
          <w:tcPr>
            <w:tcW w:w="2749" w:type="pct"/>
            <w:tcBorders>
              <w:bottom w:val="single" w:sz="4" w:space="0" w:color="auto"/>
              <w:right w:val="nil"/>
            </w:tcBorders>
            <w:noWrap/>
            <w:hideMark/>
          </w:tcPr>
          <w:p w14:paraId="36A633B6" w14:textId="77777777" w:rsidR="00DC70A6" w:rsidRPr="00024EB0" w:rsidRDefault="00DC70A6" w:rsidP="00DC70A6">
            <w:pPr>
              <w:pStyle w:val="TableText"/>
            </w:pPr>
            <w:r w:rsidRPr="00024EB0">
              <w:t>Small gene panel testing strategy (base case: mixed)</w:t>
            </w:r>
          </w:p>
        </w:tc>
        <w:tc>
          <w:tcPr>
            <w:tcW w:w="602" w:type="pct"/>
            <w:tcBorders>
              <w:left w:val="nil"/>
              <w:bottom w:val="single" w:sz="4" w:space="0" w:color="auto"/>
              <w:right w:val="nil"/>
            </w:tcBorders>
            <w:noWrap/>
          </w:tcPr>
          <w:p w14:paraId="211AA95B"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16DFD28A"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239CC0BE" w14:textId="77777777" w:rsidR="00DC70A6" w:rsidRPr="00024EB0" w:rsidRDefault="00DC70A6" w:rsidP="00DC70A6">
            <w:pPr>
              <w:pStyle w:val="TableText"/>
              <w:jc w:val="right"/>
            </w:pPr>
          </w:p>
        </w:tc>
        <w:tc>
          <w:tcPr>
            <w:tcW w:w="443" w:type="pct"/>
            <w:tcBorders>
              <w:left w:val="nil"/>
              <w:bottom w:val="single" w:sz="4" w:space="0" w:color="auto"/>
            </w:tcBorders>
            <w:noWrap/>
          </w:tcPr>
          <w:p w14:paraId="4F9AECE0" w14:textId="77777777" w:rsidR="00DC70A6" w:rsidRPr="00024EB0" w:rsidRDefault="00DC70A6" w:rsidP="00DC70A6">
            <w:pPr>
              <w:pStyle w:val="TableText"/>
              <w:jc w:val="right"/>
            </w:pPr>
          </w:p>
        </w:tc>
      </w:tr>
      <w:tr w:rsidR="00DC70A6" w:rsidRPr="00024EB0" w14:paraId="67EF74AB" w14:textId="77777777" w:rsidTr="00DC70A6">
        <w:trPr>
          <w:trHeight w:val="300"/>
        </w:trPr>
        <w:tc>
          <w:tcPr>
            <w:tcW w:w="2749" w:type="pct"/>
            <w:tcBorders>
              <w:bottom w:val="nil"/>
            </w:tcBorders>
            <w:noWrap/>
            <w:hideMark/>
          </w:tcPr>
          <w:p w14:paraId="51F2CED4" w14:textId="77777777" w:rsidR="00DC70A6" w:rsidRPr="00024EB0" w:rsidRDefault="00DC70A6" w:rsidP="00DC70A6">
            <w:pPr>
              <w:pStyle w:val="TableText"/>
            </w:pPr>
            <w:r w:rsidRPr="00024EB0">
              <w:t>All combined DNA/RNA panel testing</w:t>
            </w:r>
          </w:p>
        </w:tc>
        <w:tc>
          <w:tcPr>
            <w:tcW w:w="602" w:type="pct"/>
            <w:tcBorders>
              <w:bottom w:val="nil"/>
            </w:tcBorders>
            <w:noWrap/>
          </w:tcPr>
          <w:p w14:paraId="6AF56B1D" w14:textId="10B22EF7" w:rsidR="00DC70A6" w:rsidRPr="00024EB0" w:rsidRDefault="00DC70A6" w:rsidP="00DC70A6">
            <w:pPr>
              <w:pStyle w:val="TableText"/>
              <w:jc w:val="right"/>
            </w:pPr>
            <w:r w:rsidRPr="006C3F10">
              <w:t>$348.65</w:t>
            </w:r>
          </w:p>
        </w:tc>
        <w:tc>
          <w:tcPr>
            <w:tcW w:w="603" w:type="pct"/>
            <w:tcBorders>
              <w:bottom w:val="nil"/>
            </w:tcBorders>
            <w:noWrap/>
          </w:tcPr>
          <w:p w14:paraId="641B180A" w14:textId="1EC08629" w:rsidR="00DC70A6" w:rsidRPr="00024EB0" w:rsidRDefault="00DC70A6" w:rsidP="00DC70A6">
            <w:pPr>
              <w:pStyle w:val="TableText"/>
              <w:jc w:val="right"/>
            </w:pPr>
            <w:r w:rsidRPr="006C3F10">
              <w:t>0.0228</w:t>
            </w:r>
          </w:p>
        </w:tc>
        <w:tc>
          <w:tcPr>
            <w:tcW w:w="603" w:type="pct"/>
            <w:tcBorders>
              <w:bottom w:val="nil"/>
            </w:tcBorders>
            <w:noWrap/>
          </w:tcPr>
          <w:p w14:paraId="7E763609" w14:textId="5AE790DC" w:rsidR="00DC70A6" w:rsidRPr="00024EB0" w:rsidRDefault="00DC70A6" w:rsidP="00DC70A6">
            <w:pPr>
              <w:pStyle w:val="TableText"/>
              <w:jc w:val="right"/>
            </w:pPr>
            <w:r w:rsidRPr="006C3F10">
              <w:t>$15,277</w:t>
            </w:r>
          </w:p>
        </w:tc>
        <w:tc>
          <w:tcPr>
            <w:tcW w:w="443" w:type="pct"/>
            <w:tcBorders>
              <w:bottom w:val="nil"/>
            </w:tcBorders>
            <w:noWrap/>
          </w:tcPr>
          <w:p w14:paraId="1803E185" w14:textId="00AD2A15" w:rsidR="00DC70A6" w:rsidRPr="00024EB0" w:rsidRDefault="00DC70A6" w:rsidP="00DC70A6">
            <w:pPr>
              <w:pStyle w:val="TableText"/>
              <w:jc w:val="right"/>
            </w:pPr>
            <w:r w:rsidRPr="006C3F10">
              <w:t>104%</w:t>
            </w:r>
          </w:p>
        </w:tc>
      </w:tr>
      <w:tr w:rsidR="00DC70A6" w:rsidRPr="00024EB0" w14:paraId="365A672C" w14:textId="77777777" w:rsidTr="00DC70A6">
        <w:trPr>
          <w:trHeight w:val="300"/>
        </w:trPr>
        <w:tc>
          <w:tcPr>
            <w:tcW w:w="2749" w:type="pct"/>
            <w:tcBorders>
              <w:top w:val="nil"/>
              <w:bottom w:val="nil"/>
            </w:tcBorders>
            <w:noWrap/>
            <w:hideMark/>
          </w:tcPr>
          <w:p w14:paraId="685BBDA7" w14:textId="77777777" w:rsidR="00DC70A6" w:rsidRPr="00024EB0" w:rsidRDefault="00DC70A6" w:rsidP="00DC70A6">
            <w:pPr>
              <w:pStyle w:val="TableText"/>
            </w:pPr>
            <w:r w:rsidRPr="00024EB0">
              <w:t>All two-stage DNA then RNA panel testing</w:t>
            </w:r>
          </w:p>
        </w:tc>
        <w:tc>
          <w:tcPr>
            <w:tcW w:w="602" w:type="pct"/>
            <w:tcBorders>
              <w:top w:val="nil"/>
              <w:bottom w:val="nil"/>
            </w:tcBorders>
            <w:noWrap/>
          </w:tcPr>
          <w:p w14:paraId="2287A156" w14:textId="0E341929" w:rsidR="00DC70A6" w:rsidRPr="00024EB0" w:rsidRDefault="00DC70A6" w:rsidP="00DC70A6">
            <w:pPr>
              <w:pStyle w:val="TableText"/>
              <w:jc w:val="right"/>
            </w:pPr>
            <w:r w:rsidRPr="006C3F10">
              <w:t>$116.98</w:t>
            </w:r>
          </w:p>
        </w:tc>
        <w:tc>
          <w:tcPr>
            <w:tcW w:w="603" w:type="pct"/>
            <w:tcBorders>
              <w:top w:val="nil"/>
              <w:bottom w:val="nil"/>
            </w:tcBorders>
            <w:noWrap/>
          </w:tcPr>
          <w:p w14:paraId="484528C6" w14:textId="7FB5EFD7" w:rsidR="00DC70A6" w:rsidRPr="00024EB0" w:rsidRDefault="00DC70A6" w:rsidP="00DC70A6">
            <w:pPr>
              <w:pStyle w:val="TableText"/>
              <w:jc w:val="right"/>
            </w:pPr>
            <w:r w:rsidRPr="006C3F10">
              <w:t>0.0228</w:t>
            </w:r>
          </w:p>
        </w:tc>
        <w:tc>
          <w:tcPr>
            <w:tcW w:w="603" w:type="pct"/>
            <w:tcBorders>
              <w:top w:val="nil"/>
              <w:bottom w:val="nil"/>
            </w:tcBorders>
            <w:noWrap/>
          </w:tcPr>
          <w:p w14:paraId="203A072D" w14:textId="01BF0E6C" w:rsidR="00DC70A6" w:rsidRPr="00024EB0" w:rsidRDefault="00DC70A6" w:rsidP="00DC70A6">
            <w:pPr>
              <w:pStyle w:val="TableText"/>
              <w:jc w:val="right"/>
            </w:pPr>
            <w:r w:rsidRPr="006C3F10">
              <w:t>$5,126</w:t>
            </w:r>
          </w:p>
        </w:tc>
        <w:tc>
          <w:tcPr>
            <w:tcW w:w="443" w:type="pct"/>
            <w:tcBorders>
              <w:top w:val="nil"/>
              <w:bottom w:val="nil"/>
            </w:tcBorders>
            <w:noWrap/>
          </w:tcPr>
          <w:p w14:paraId="6D321B9E" w14:textId="1998F21E" w:rsidR="00DC70A6" w:rsidRPr="00024EB0" w:rsidRDefault="00DC70A6" w:rsidP="00DC70A6">
            <w:pPr>
              <w:pStyle w:val="TableText"/>
              <w:jc w:val="right"/>
            </w:pPr>
            <w:r w:rsidRPr="006C3F10">
              <w:t>−32%</w:t>
            </w:r>
          </w:p>
        </w:tc>
      </w:tr>
      <w:tr w:rsidR="00DC70A6" w:rsidRPr="00024EB0" w14:paraId="3B1FEA04" w14:textId="77777777" w:rsidTr="00DC70A6">
        <w:trPr>
          <w:trHeight w:val="300"/>
        </w:trPr>
        <w:tc>
          <w:tcPr>
            <w:tcW w:w="2749" w:type="pct"/>
            <w:tcBorders>
              <w:top w:val="nil"/>
              <w:bottom w:val="nil"/>
            </w:tcBorders>
            <w:noWrap/>
            <w:hideMark/>
          </w:tcPr>
          <w:p w14:paraId="4534D6AE" w14:textId="77777777" w:rsidR="00DC70A6" w:rsidRPr="00024EB0" w:rsidRDefault="00DC70A6" w:rsidP="00DC70A6">
            <w:pPr>
              <w:pStyle w:val="TableText"/>
            </w:pPr>
            <w:r>
              <w:t>All DNA then IHC/</w:t>
            </w:r>
            <w:r w:rsidRPr="00024EB0">
              <w:t>FISH testing</w:t>
            </w:r>
          </w:p>
        </w:tc>
        <w:tc>
          <w:tcPr>
            <w:tcW w:w="602" w:type="pct"/>
            <w:tcBorders>
              <w:top w:val="nil"/>
              <w:bottom w:val="nil"/>
            </w:tcBorders>
            <w:noWrap/>
          </w:tcPr>
          <w:p w14:paraId="171CA6EF" w14:textId="1B8D3B2D" w:rsidR="00DC70A6" w:rsidRPr="00024EB0" w:rsidRDefault="00DC70A6" w:rsidP="00DC70A6">
            <w:pPr>
              <w:pStyle w:val="TableText"/>
              <w:jc w:val="right"/>
            </w:pPr>
            <w:r w:rsidRPr="006C3F10">
              <w:t>−$162.34</w:t>
            </w:r>
          </w:p>
        </w:tc>
        <w:tc>
          <w:tcPr>
            <w:tcW w:w="603" w:type="pct"/>
            <w:tcBorders>
              <w:top w:val="nil"/>
              <w:bottom w:val="nil"/>
            </w:tcBorders>
            <w:noWrap/>
          </w:tcPr>
          <w:p w14:paraId="413CCA82" w14:textId="1423E266" w:rsidR="00DC70A6" w:rsidRPr="00024EB0" w:rsidRDefault="00DC70A6" w:rsidP="00DC70A6">
            <w:pPr>
              <w:pStyle w:val="TableText"/>
              <w:jc w:val="right"/>
            </w:pPr>
            <w:r w:rsidRPr="006C3F10">
              <w:t>0.0173</w:t>
            </w:r>
          </w:p>
        </w:tc>
        <w:tc>
          <w:tcPr>
            <w:tcW w:w="603" w:type="pct"/>
            <w:tcBorders>
              <w:top w:val="nil"/>
              <w:bottom w:val="nil"/>
            </w:tcBorders>
            <w:noWrap/>
          </w:tcPr>
          <w:p w14:paraId="5431B318" w14:textId="3E84EDF8" w:rsidR="00DC70A6" w:rsidRPr="00024EB0" w:rsidRDefault="00DC70A6" w:rsidP="00DC70A6">
            <w:pPr>
              <w:pStyle w:val="TableText"/>
              <w:jc w:val="right"/>
            </w:pPr>
            <w:r>
              <w:t>Dominant</w:t>
            </w:r>
          </w:p>
        </w:tc>
        <w:tc>
          <w:tcPr>
            <w:tcW w:w="443" w:type="pct"/>
            <w:tcBorders>
              <w:top w:val="nil"/>
              <w:bottom w:val="nil"/>
            </w:tcBorders>
            <w:noWrap/>
          </w:tcPr>
          <w:p w14:paraId="11B07FB4" w14:textId="0B2F8940" w:rsidR="00DC70A6" w:rsidRPr="00024EB0" w:rsidRDefault="00DC70A6" w:rsidP="00DC70A6">
            <w:pPr>
              <w:pStyle w:val="TableText"/>
              <w:jc w:val="right"/>
            </w:pPr>
            <w:r w:rsidRPr="006C3F10">
              <w:t>−225%</w:t>
            </w:r>
          </w:p>
        </w:tc>
      </w:tr>
      <w:tr w:rsidR="00DC70A6" w:rsidRPr="00024EB0" w14:paraId="7E2BE717" w14:textId="77777777" w:rsidTr="00DC70A6">
        <w:trPr>
          <w:trHeight w:val="300"/>
        </w:trPr>
        <w:tc>
          <w:tcPr>
            <w:tcW w:w="2749" w:type="pct"/>
            <w:tcBorders>
              <w:top w:val="nil"/>
              <w:bottom w:val="nil"/>
            </w:tcBorders>
            <w:noWrap/>
            <w:hideMark/>
          </w:tcPr>
          <w:p w14:paraId="52617C2F" w14:textId="77777777" w:rsidR="00DC70A6" w:rsidRPr="00024EB0" w:rsidRDefault="00DC70A6" w:rsidP="00DC70A6">
            <w:pPr>
              <w:pStyle w:val="TableText"/>
            </w:pPr>
            <w:r w:rsidRPr="00024EB0">
              <w:t xml:space="preserve">5% </w:t>
            </w:r>
            <w:r>
              <w:t>DNA panel and</w:t>
            </w:r>
            <w:r w:rsidRPr="00024EB0">
              <w:t xml:space="preserve"> </w:t>
            </w:r>
            <w:r>
              <w:t>IHC/</w:t>
            </w:r>
            <w:r w:rsidRPr="00024EB0">
              <w:t xml:space="preserve">FISH, </w:t>
            </w:r>
            <w:r>
              <w:t>95%</w:t>
            </w:r>
            <w:r w:rsidRPr="00024EB0">
              <w:t xml:space="preserve"> combined DNA/RNA panels</w:t>
            </w:r>
          </w:p>
        </w:tc>
        <w:tc>
          <w:tcPr>
            <w:tcW w:w="602" w:type="pct"/>
            <w:tcBorders>
              <w:top w:val="nil"/>
              <w:bottom w:val="nil"/>
            </w:tcBorders>
            <w:noWrap/>
          </w:tcPr>
          <w:p w14:paraId="00E60406" w14:textId="39B10BFB" w:rsidR="00DC70A6" w:rsidRPr="00024EB0" w:rsidRDefault="00DC70A6" w:rsidP="00DC70A6">
            <w:pPr>
              <w:pStyle w:val="TableText"/>
              <w:jc w:val="right"/>
            </w:pPr>
            <w:r w:rsidRPr="006C3F10">
              <w:t>$323.08</w:t>
            </w:r>
          </w:p>
        </w:tc>
        <w:tc>
          <w:tcPr>
            <w:tcW w:w="603" w:type="pct"/>
            <w:tcBorders>
              <w:top w:val="nil"/>
              <w:bottom w:val="nil"/>
            </w:tcBorders>
            <w:noWrap/>
          </w:tcPr>
          <w:p w14:paraId="133511B4" w14:textId="58256AB5" w:rsidR="00DC70A6" w:rsidRPr="00024EB0" w:rsidRDefault="00DC70A6" w:rsidP="00DC70A6">
            <w:pPr>
              <w:pStyle w:val="TableText"/>
              <w:jc w:val="right"/>
            </w:pPr>
            <w:r w:rsidRPr="006C3F10">
              <w:t>0.0225</w:t>
            </w:r>
          </w:p>
        </w:tc>
        <w:tc>
          <w:tcPr>
            <w:tcW w:w="603" w:type="pct"/>
            <w:tcBorders>
              <w:top w:val="nil"/>
              <w:bottom w:val="nil"/>
            </w:tcBorders>
            <w:noWrap/>
          </w:tcPr>
          <w:p w14:paraId="75F4F0B8" w14:textId="2E7B8962" w:rsidR="00DC70A6" w:rsidRPr="00024EB0" w:rsidRDefault="00DC70A6" w:rsidP="00DC70A6">
            <w:pPr>
              <w:pStyle w:val="TableText"/>
              <w:jc w:val="right"/>
            </w:pPr>
            <w:r w:rsidRPr="006C3F10">
              <w:t>$14,329</w:t>
            </w:r>
          </w:p>
        </w:tc>
        <w:tc>
          <w:tcPr>
            <w:tcW w:w="443" w:type="pct"/>
            <w:tcBorders>
              <w:top w:val="nil"/>
              <w:bottom w:val="nil"/>
            </w:tcBorders>
            <w:noWrap/>
          </w:tcPr>
          <w:p w14:paraId="50C3AF60" w14:textId="54523018" w:rsidR="00DC70A6" w:rsidRPr="00024EB0" w:rsidRDefault="00DC70A6" w:rsidP="00DC70A6">
            <w:pPr>
              <w:pStyle w:val="TableText"/>
              <w:jc w:val="right"/>
            </w:pPr>
            <w:r w:rsidRPr="006C3F10">
              <w:t>91%</w:t>
            </w:r>
          </w:p>
        </w:tc>
      </w:tr>
      <w:tr w:rsidR="00DC70A6" w:rsidRPr="00024EB0" w14:paraId="66CA303F" w14:textId="77777777" w:rsidTr="00DC70A6">
        <w:trPr>
          <w:trHeight w:val="300"/>
        </w:trPr>
        <w:tc>
          <w:tcPr>
            <w:tcW w:w="2749" w:type="pct"/>
            <w:tcBorders>
              <w:top w:val="nil"/>
              <w:bottom w:val="nil"/>
            </w:tcBorders>
            <w:noWrap/>
            <w:hideMark/>
          </w:tcPr>
          <w:p w14:paraId="754D48CD" w14:textId="77777777" w:rsidR="00DC70A6" w:rsidRPr="00024EB0" w:rsidRDefault="00DC70A6" w:rsidP="00DC70A6">
            <w:pPr>
              <w:pStyle w:val="TableText"/>
            </w:pPr>
            <w:r w:rsidRPr="00024EB0">
              <w:t xml:space="preserve">5% </w:t>
            </w:r>
            <w:r>
              <w:t>DNA panel and</w:t>
            </w:r>
            <w:r w:rsidRPr="00024EB0">
              <w:t xml:space="preserve"> </w:t>
            </w:r>
            <w:r>
              <w:t>IHC/</w:t>
            </w:r>
            <w:r w:rsidRPr="00024EB0">
              <w:t>FISH,</w:t>
            </w:r>
            <w:r>
              <w:t xml:space="preserve"> </w:t>
            </w:r>
            <w:r w:rsidRPr="00024EB0">
              <w:t>equal</w:t>
            </w:r>
            <w:r>
              <w:t xml:space="preserve"> split of combined and separate DNA and RNA panels</w:t>
            </w:r>
          </w:p>
        </w:tc>
        <w:tc>
          <w:tcPr>
            <w:tcW w:w="602" w:type="pct"/>
            <w:tcBorders>
              <w:top w:val="nil"/>
              <w:bottom w:val="nil"/>
            </w:tcBorders>
            <w:noWrap/>
          </w:tcPr>
          <w:p w14:paraId="30EECC98" w14:textId="700BEB19" w:rsidR="00DC70A6" w:rsidRPr="00024EB0" w:rsidRDefault="00DC70A6" w:rsidP="00DC70A6">
            <w:pPr>
              <w:pStyle w:val="TableText"/>
              <w:jc w:val="right"/>
            </w:pPr>
            <w:r w:rsidRPr="006C3F10">
              <w:t>$213.04</w:t>
            </w:r>
          </w:p>
        </w:tc>
        <w:tc>
          <w:tcPr>
            <w:tcW w:w="603" w:type="pct"/>
            <w:tcBorders>
              <w:top w:val="nil"/>
              <w:bottom w:val="nil"/>
            </w:tcBorders>
            <w:noWrap/>
          </w:tcPr>
          <w:p w14:paraId="542BC141" w14:textId="14470AE2" w:rsidR="00DC70A6" w:rsidRPr="00024EB0" w:rsidRDefault="00DC70A6" w:rsidP="00DC70A6">
            <w:pPr>
              <w:pStyle w:val="TableText"/>
              <w:jc w:val="right"/>
            </w:pPr>
            <w:r w:rsidRPr="006C3F10">
              <w:t>0.0225</w:t>
            </w:r>
          </w:p>
        </w:tc>
        <w:tc>
          <w:tcPr>
            <w:tcW w:w="603" w:type="pct"/>
            <w:tcBorders>
              <w:top w:val="nil"/>
              <w:bottom w:val="nil"/>
            </w:tcBorders>
            <w:noWrap/>
          </w:tcPr>
          <w:p w14:paraId="2DA1B2E1" w14:textId="047929B1" w:rsidR="00DC70A6" w:rsidRPr="00024EB0" w:rsidRDefault="00DC70A6" w:rsidP="00DC70A6">
            <w:pPr>
              <w:pStyle w:val="TableText"/>
              <w:jc w:val="right"/>
            </w:pPr>
            <w:r w:rsidRPr="006C3F10">
              <w:t>$9,449</w:t>
            </w:r>
          </w:p>
        </w:tc>
        <w:tc>
          <w:tcPr>
            <w:tcW w:w="443" w:type="pct"/>
            <w:tcBorders>
              <w:top w:val="nil"/>
              <w:bottom w:val="nil"/>
            </w:tcBorders>
            <w:noWrap/>
          </w:tcPr>
          <w:p w14:paraId="2F583A88" w14:textId="37411782" w:rsidR="00DC70A6" w:rsidRPr="00024EB0" w:rsidRDefault="00DC70A6" w:rsidP="00DC70A6">
            <w:pPr>
              <w:pStyle w:val="TableText"/>
              <w:jc w:val="right"/>
            </w:pPr>
            <w:r w:rsidRPr="006C3F10">
              <w:t>26%</w:t>
            </w:r>
          </w:p>
        </w:tc>
      </w:tr>
      <w:tr w:rsidR="00DC70A6" w:rsidRPr="00024EB0" w14:paraId="604CE807" w14:textId="77777777" w:rsidTr="00DC70A6">
        <w:trPr>
          <w:trHeight w:val="300"/>
        </w:trPr>
        <w:tc>
          <w:tcPr>
            <w:tcW w:w="2749" w:type="pct"/>
            <w:tcBorders>
              <w:top w:val="nil"/>
              <w:bottom w:val="single" w:sz="4" w:space="0" w:color="auto"/>
            </w:tcBorders>
            <w:noWrap/>
            <w:hideMark/>
          </w:tcPr>
          <w:p w14:paraId="75A9CD9B" w14:textId="77777777" w:rsidR="00DC70A6" w:rsidRPr="00024EB0" w:rsidRDefault="00DC70A6" w:rsidP="00DC70A6">
            <w:pPr>
              <w:pStyle w:val="TableText"/>
            </w:pPr>
            <w:r w:rsidRPr="00024EB0">
              <w:t xml:space="preserve">5% RNA by </w:t>
            </w:r>
            <w:r>
              <w:t>IHC/</w:t>
            </w:r>
            <w:r w:rsidRPr="00024EB0">
              <w:t xml:space="preserve">FISH, </w:t>
            </w:r>
            <w:r>
              <w:t>95%</w:t>
            </w:r>
            <w:r w:rsidRPr="00024EB0">
              <w:t xml:space="preserve"> separate </w:t>
            </w:r>
            <w:r>
              <w:t xml:space="preserve">DNA and RNA </w:t>
            </w:r>
            <w:r w:rsidRPr="00024EB0">
              <w:t>panels</w:t>
            </w:r>
          </w:p>
        </w:tc>
        <w:tc>
          <w:tcPr>
            <w:tcW w:w="602" w:type="pct"/>
            <w:tcBorders>
              <w:top w:val="nil"/>
              <w:bottom w:val="single" w:sz="4" w:space="0" w:color="auto"/>
            </w:tcBorders>
            <w:noWrap/>
          </w:tcPr>
          <w:p w14:paraId="0E41A2A8" w14:textId="572FB682" w:rsidR="00DC70A6" w:rsidRPr="00024EB0" w:rsidRDefault="00DC70A6" w:rsidP="00DC70A6">
            <w:pPr>
              <w:pStyle w:val="TableText"/>
              <w:jc w:val="right"/>
            </w:pPr>
            <w:r w:rsidRPr="006C3F10">
              <w:t>$103.00</w:t>
            </w:r>
          </w:p>
        </w:tc>
        <w:tc>
          <w:tcPr>
            <w:tcW w:w="603" w:type="pct"/>
            <w:tcBorders>
              <w:top w:val="nil"/>
              <w:bottom w:val="single" w:sz="4" w:space="0" w:color="auto"/>
            </w:tcBorders>
            <w:noWrap/>
          </w:tcPr>
          <w:p w14:paraId="0709B783" w14:textId="5C7982B9" w:rsidR="00DC70A6" w:rsidRPr="00024EB0" w:rsidRDefault="00DC70A6" w:rsidP="00DC70A6">
            <w:pPr>
              <w:pStyle w:val="TableText"/>
              <w:jc w:val="right"/>
            </w:pPr>
            <w:r w:rsidRPr="006C3F10">
              <w:t>0.0225</w:t>
            </w:r>
          </w:p>
        </w:tc>
        <w:tc>
          <w:tcPr>
            <w:tcW w:w="603" w:type="pct"/>
            <w:tcBorders>
              <w:top w:val="nil"/>
              <w:bottom w:val="single" w:sz="4" w:space="0" w:color="auto"/>
            </w:tcBorders>
            <w:noWrap/>
          </w:tcPr>
          <w:p w14:paraId="1AD1E413" w14:textId="3C98E9D2" w:rsidR="00DC70A6" w:rsidRPr="00024EB0" w:rsidRDefault="00DC70A6" w:rsidP="00DC70A6">
            <w:pPr>
              <w:pStyle w:val="TableText"/>
              <w:jc w:val="right"/>
            </w:pPr>
            <w:r w:rsidRPr="006C3F10">
              <w:t>$4,568</w:t>
            </w:r>
          </w:p>
        </w:tc>
        <w:tc>
          <w:tcPr>
            <w:tcW w:w="443" w:type="pct"/>
            <w:tcBorders>
              <w:top w:val="nil"/>
              <w:bottom w:val="single" w:sz="4" w:space="0" w:color="auto"/>
            </w:tcBorders>
            <w:noWrap/>
          </w:tcPr>
          <w:p w14:paraId="01276B52" w14:textId="514EE55F" w:rsidR="00DC70A6" w:rsidRPr="00024EB0" w:rsidRDefault="00DC70A6" w:rsidP="00DC70A6">
            <w:pPr>
              <w:pStyle w:val="TableText"/>
              <w:jc w:val="right"/>
            </w:pPr>
            <w:r w:rsidRPr="006C3F10">
              <w:t>−39%</w:t>
            </w:r>
          </w:p>
        </w:tc>
      </w:tr>
      <w:tr w:rsidR="00DC70A6" w:rsidRPr="00024EB0" w14:paraId="6DD60DC0" w14:textId="77777777" w:rsidTr="00DC70A6">
        <w:trPr>
          <w:trHeight w:val="300"/>
        </w:trPr>
        <w:tc>
          <w:tcPr>
            <w:tcW w:w="2749" w:type="pct"/>
            <w:tcBorders>
              <w:bottom w:val="single" w:sz="4" w:space="0" w:color="auto"/>
              <w:right w:val="nil"/>
            </w:tcBorders>
            <w:noWrap/>
            <w:hideMark/>
          </w:tcPr>
          <w:p w14:paraId="016E3A13" w14:textId="77777777" w:rsidR="00DC70A6" w:rsidRPr="00024EB0" w:rsidRDefault="00DC70A6" w:rsidP="00DC70A6">
            <w:pPr>
              <w:pStyle w:val="TableText"/>
            </w:pPr>
            <w:r w:rsidRPr="00024EB0">
              <w:t>Test success (base case: 97.2% for panels, 94.6% for single-gene testing)</w:t>
            </w:r>
          </w:p>
        </w:tc>
        <w:tc>
          <w:tcPr>
            <w:tcW w:w="602" w:type="pct"/>
            <w:tcBorders>
              <w:left w:val="nil"/>
              <w:bottom w:val="single" w:sz="4" w:space="0" w:color="auto"/>
              <w:right w:val="nil"/>
            </w:tcBorders>
            <w:noWrap/>
          </w:tcPr>
          <w:p w14:paraId="7CB6AE8F"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0753A4FB"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2EECE7F5" w14:textId="77777777" w:rsidR="00DC70A6" w:rsidRPr="00024EB0" w:rsidRDefault="00DC70A6" w:rsidP="00DC70A6">
            <w:pPr>
              <w:pStyle w:val="TableText"/>
              <w:jc w:val="right"/>
            </w:pPr>
          </w:p>
        </w:tc>
        <w:tc>
          <w:tcPr>
            <w:tcW w:w="443" w:type="pct"/>
            <w:tcBorders>
              <w:left w:val="nil"/>
              <w:bottom w:val="single" w:sz="4" w:space="0" w:color="auto"/>
            </w:tcBorders>
            <w:noWrap/>
          </w:tcPr>
          <w:p w14:paraId="518B7360" w14:textId="77777777" w:rsidR="00DC70A6" w:rsidRPr="00024EB0" w:rsidRDefault="00DC70A6" w:rsidP="00DC70A6">
            <w:pPr>
              <w:pStyle w:val="TableText"/>
              <w:jc w:val="right"/>
            </w:pPr>
          </w:p>
        </w:tc>
      </w:tr>
      <w:tr w:rsidR="00DC70A6" w:rsidRPr="00024EB0" w14:paraId="77ADA9D0" w14:textId="77777777" w:rsidTr="00DC70A6">
        <w:trPr>
          <w:trHeight w:val="300"/>
        </w:trPr>
        <w:tc>
          <w:tcPr>
            <w:tcW w:w="2749" w:type="pct"/>
            <w:tcBorders>
              <w:bottom w:val="nil"/>
            </w:tcBorders>
            <w:noWrap/>
            <w:hideMark/>
          </w:tcPr>
          <w:p w14:paraId="47DA83D3" w14:textId="77777777" w:rsidR="00DC70A6" w:rsidRPr="00024EB0" w:rsidRDefault="00DC70A6" w:rsidP="00DC70A6">
            <w:pPr>
              <w:pStyle w:val="TableText"/>
            </w:pPr>
            <w:r w:rsidRPr="00024EB0">
              <w:t>Both strategies 100%</w:t>
            </w:r>
          </w:p>
        </w:tc>
        <w:tc>
          <w:tcPr>
            <w:tcW w:w="602" w:type="pct"/>
            <w:tcBorders>
              <w:bottom w:val="nil"/>
            </w:tcBorders>
            <w:noWrap/>
          </w:tcPr>
          <w:p w14:paraId="24FFFFE9" w14:textId="5AC23D4F" w:rsidR="00DC70A6" w:rsidRPr="00024EB0" w:rsidRDefault="00DC70A6" w:rsidP="00DC70A6">
            <w:pPr>
              <w:pStyle w:val="TableText"/>
              <w:jc w:val="right"/>
            </w:pPr>
            <w:r w:rsidRPr="006C3F10">
              <w:t>$279.14</w:t>
            </w:r>
          </w:p>
        </w:tc>
        <w:tc>
          <w:tcPr>
            <w:tcW w:w="603" w:type="pct"/>
            <w:tcBorders>
              <w:bottom w:val="nil"/>
            </w:tcBorders>
            <w:noWrap/>
          </w:tcPr>
          <w:p w14:paraId="0C094159" w14:textId="68B6EAB2" w:rsidR="00DC70A6" w:rsidRPr="00024EB0" w:rsidRDefault="00DC70A6" w:rsidP="00DC70A6">
            <w:pPr>
              <w:pStyle w:val="TableText"/>
              <w:jc w:val="right"/>
            </w:pPr>
            <w:r w:rsidRPr="006C3F10">
              <w:t>0.0218</w:t>
            </w:r>
          </w:p>
        </w:tc>
        <w:tc>
          <w:tcPr>
            <w:tcW w:w="603" w:type="pct"/>
            <w:tcBorders>
              <w:bottom w:val="nil"/>
            </w:tcBorders>
            <w:noWrap/>
          </w:tcPr>
          <w:p w14:paraId="5A1CB38B" w14:textId="4C569730" w:rsidR="00DC70A6" w:rsidRPr="00024EB0" w:rsidRDefault="00DC70A6" w:rsidP="00DC70A6">
            <w:pPr>
              <w:pStyle w:val="TableText"/>
              <w:jc w:val="right"/>
            </w:pPr>
            <w:r w:rsidRPr="006C3F10">
              <w:t>$12,829</w:t>
            </w:r>
          </w:p>
        </w:tc>
        <w:tc>
          <w:tcPr>
            <w:tcW w:w="443" w:type="pct"/>
            <w:tcBorders>
              <w:bottom w:val="nil"/>
            </w:tcBorders>
            <w:noWrap/>
          </w:tcPr>
          <w:p w14:paraId="1A20CEE3" w14:textId="30F2F530" w:rsidR="00DC70A6" w:rsidRPr="00024EB0" w:rsidRDefault="00DC70A6" w:rsidP="00DC70A6">
            <w:pPr>
              <w:pStyle w:val="TableText"/>
              <w:jc w:val="right"/>
            </w:pPr>
            <w:r w:rsidRPr="006C3F10">
              <w:t>71%</w:t>
            </w:r>
          </w:p>
        </w:tc>
      </w:tr>
      <w:tr w:rsidR="00DC70A6" w:rsidRPr="00024EB0" w14:paraId="10B79CFB" w14:textId="77777777" w:rsidTr="00DC70A6">
        <w:trPr>
          <w:trHeight w:val="300"/>
        </w:trPr>
        <w:tc>
          <w:tcPr>
            <w:tcW w:w="2749" w:type="pct"/>
            <w:tcBorders>
              <w:top w:val="nil"/>
              <w:bottom w:val="nil"/>
            </w:tcBorders>
            <w:noWrap/>
            <w:hideMark/>
          </w:tcPr>
          <w:p w14:paraId="5C58781D" w14:textId="77777777" w:rsidR="00DC70A6" w:rsidRPr="00024EB0" w:rsidRDefault="00DC70A6" w:rsidP="00DC70A6">
            <w:pPr>
              <w:pStyle w:val="TableText"/>
            </w:pPr>
            <w:r w:rsidRPr="00024EB0">
              <w:t>Both strategies 97.2%</w:t>
            </w:r>
          </w:p>
        </w:tc>
        <w:tc>
          <w:tcPr>
            <w:tcW w:w="602" w:type="pct"/>
            <w:tcBorders>
              <w:top w:val="nil"/>
              <w:bottom w:val="nil"/>
            </w:tcBorders>
            <w:noWrap/>
          </w:tcPr>
          <w:p w14:paraId="4904CB93" w14:textId="73B509BA" w:rsidR="00DC70A6" w:rsidRPr="00024EB0" w:rsidRDefault="00DC70A6" w:rsidP="00DC70A6">
            <w:pPr>
              <w:pStyle w:val="TableText"/>
              <w:jc w:val="right"/>
            </w:pPr>
            <w:r w:rsidRPr="006C3F10">
              <w:t>$273.97</w:t>
            </w:r>
          </w:p>
        </w:tc>
        <w:tc>
          <w:tcPr>
            <w:tcW w:w="603" w:type="pct"/>
            <w:tcBorders>
              <w:top w:val="nil"/>
              <w:bottom w:val="nil"/>
            </w:tcBorders>
            <w:noWrap/>
          </w:tcPr>
          <w:p w14:paraId="5802947A" w14:textId="034315DE" w:rsidR="00DC70A6" w:rsidRPr="00024EB0" w:rsidRDefault="00DC70A6" w:rsidP="00DC70A6">
            <w:pPr>
              <w:pStyle w:val="TableText"/>
              <w:jc w:val="right"/>
            </w:pPr>
            <w:r w:rsidRPr="006C3F10">
              <w:t>0.0216</w:t>
            </w:r>
          </w:p>
        </w:tc>
        <w:tc>
          <w:tcPr>
            <w:tcW w:w="603" w:type="pct"/>
            <w:tcBorders>
              <w:top w:val="nil"/>
              <w:bottom w:val="nil"/>
            </w:tcBorders>
            <w:noWrap/>
          </w:tcPr>
          <w:p w14:paraId="7606F07F" w14:textId="3FAA8B56" w:rsidR="00DC70A6" w:rsidRPr="00024EB0" w:rsidRDefault="00DC70A6" w:rsidP="00DC70A6">
            <w:pPr>
              <w:pStyle w:val="TableText"/>
              <w:jc w:val="right"/>
            </w:pPr>
            <w:r w:rsidRPr="006C3F10">
              <w:t>$12,662</w:t>
            </w:r>
          </w:p>
        </w:tc>
        <w:tc>
          <w:tcPr>
            <w:tcW w:w="443" w:type="pct"/>
            <w:tcBorders>
              <w:top w:val="nil"/>
              <w:bottom w:val="nil"/>
            </w:tcBorders>
            <w:noWrap/>
          </w:tcPr>
          <w:p w14:paraId="034532B9" w14:textId="0CB04A19" w:rsidR="00DC70A6" w:rsidRPr="00024EB0" w:rsidRDefault="00DC70A6" w:rsidP="00DC70A6">
            <w:pPr>
              <w:pStyle w:val="TableText"/>
              <w:jc w:val="right"/>
            </w:pPr>
            <w:r w:rsidRPr="006C3F10">
              <w:t>69%</w:t>
            </w:r>
          </w:p>
        </w:tc>
      </w:tr>
      <w:tr w:rsidR="00DC70A6" w:rsidRPr="00024EB0" w14:paraId="0ACB4298" w14:textId="77777777" w:rsidTr="00DC70A6">
        <w:trPr>
          <w:trHeight w:val="300"/>
        </w:trPr>
        <w:tc>
          <w:tcPr>
            <w:tcW w:w="2749" w:type="pct"/>
            <w:tcBorders>
              <w:top w:val="nil"/>
              <w:bottom w:val="nil"/>
            </w:tcBorders>
            <w:noWrap/>
            <w:hideMark/>
          </w:tcPr>
          <w:p w14:paraId="6F0DFE62" w14:textId="77777777" w:rsidR="00DC70A6" w:rsidRPr="00024EB0" w:rsidRDefault="00DC70A6" w:rsidP="00DC70A6">
            <w:pPr>
              <w:pStyle w:val="TableText"/>
            </w:pPr>
            <w:r w:rsidRPr="00024EB0">
              <w:t>Both strategies 94.6%</w:t>
            </w:r>
          </w:p>
        </w:tc>
        <w:tc>
          <w:tcPr>
            <w:tcW w:w="602" w:type="pct"/>
            <w:tcBorders>
              <w:top w:val="nil"/>
              <w:bottom w:val="nil"/>
            </w:tcBorders>
            <w:noWrap/>
          </w:tcPr>
          <w:p w14:paraId="06E4E519" w14:textId="6217621E" w:rsidR="00DC70A6" w:rsidRPr="00024EB0" w:rsidRDefault="00DC70A6" w:rsidP="00DC70A6">
            <w:pPr>
              <w:pStyle w:val="TableText"/>
              <w:jc w:val="right"/>
            </w:pPr>
            <w:r w:rsidRPr="006C3F10">
              <w:t>$269.18</w:t>
            </w:r>
          </w:p>
        </w:tc>
        <w:tc>
          <w:tcPr>
            <w:tcW w:w="603" w:type="pct"/>
            <w:tcBorders>
              <w:top w:val="nil"/>
              <w:bottom w:val="nil"/>
            </w:tcBorders>
            <w:noWrap/>
          </w:tcPr>
          <w:p w14:paraId="1635AE5A" w14:textId="361C0C37" w:rsidR="00DC70A6" w:rsidRPr="00024EB0" w:rsidRDefault="00DC70A6" w:rsidP="00DC70A6">
            <w:pPr>
              <w:pStyle w:val="TableText"/>
              <w:jc w:val="right"/>
            </w:pPr>
            <w:r w:rsidRPr="006C3F10">
              <w:t>0.0215</w:t>
            </w:r>
          </w:p>
        </w:tc>
        <w:tc>
          <w:tcPr>
            <w:tcW w:w="603" w:type="pct"/>
            <w:tcBorders>
              <w:top w:val="nil"/>
              <w:bottom w:val="nil"/>
            </w:tcBorders>
            <w:noWrap/>
          </w:tcPr>
          <w:p w14:paraId="246E6400" w14:textId="6D0D625C" w:rsidR="00DC70A6" w:rsidRPr="00024EB0" w:rsidRDefault="00DC70A6" w:rsidP="00DC70A6">
            <w:pPr>
              <w:pStyle w:val="TableText"/>
              <w:jc w:val="right"/>
            </w:pPr>
            <w:r w:rsidRPr="006C3F10">
              <w:t>$12,506</w:t>
            </w:r>
          </w:p>
        </w:tc>
        <w:tc>
          <w:tcPr>
            <w:tcW w:w="443" w:type="pct"/>
            <w:tcBorders>
              <w:top w:val="nil"/>
              <w:bottom w:val="nil"/>
            </w:tcBorders>
            <w:noWrap/>
          </w:tcPr>
          <w:p w14:paraId="39FF1B68" w14:textId="35834F18" w:rsidR="00DC70A6" w:rsidRPr="00024EB0" w:rsidRDefault="00DC70A6" w:rsidP="00DC70A6">
            <w:pPr>
              <w:pStyle w:val="TableText"/>
              <w:jc w:val="right"/>
            </w:pPr>
            <w:r w:rsidRPr="006C3F10">
              <w:t>67%</w:t>
            </w:r>
          </w:p>
        </w:tc>
      </w:tr>
      <w:tr w:rsidR="00DC70A6" w:rsidRPr="00024EB0" w14:paraId="14741DF6" w14:textId="77777777" w:rsidTr="00DC70A6">
        <w:trPr>
          <w:trHeight w:val="300"/>
        </w:trPr>
        <w:tc>
          <w:tcPr>
            <w:tcW w:w="2749" w:type="pct"/>
            <w:tcBorders>
              <w:top w:val="nil"/>
              <w:bottom w:val="nil"/>
            </w:tcBorders>
            <w:noWrap/>
            <w:hideMark/>
          </w:tcPr>
          <w:p w14:paraId="32C68495" w14:textId="77777777" w:rsidR="00DC70A6" w:rsidRPr="00024EB0" w:rsidRDefault="00DC70A6" w:rsidP="00DC70A6">
            <w:pPr>
              <w:pStyle w:val="TableText"/>
            </w:pPr>
            <w:r w:rsidRPr="00917F12">
              <w:t>97.2% for panels</w:t>
            </w:r>
            <w:r>
              <w:t>, 95.9%</w:t>
            </w:r>
            <w:r w:rsidRPr="00916E2F">
              <w:rPr>
                <w:vertAlign w:val="superscript"/>
              </w:rPr>
              <w:t>a</w:t>
            </w:r>
            <w:r>
              <w:t xml:space="preserve"> for single-gene testing</w:t>
            </w:r>
          </w:p>
        </w:tc>
        <w:tc>
          <w:tcPr>
            <w:tcW w:w="602" w:type="pct"/>
            <w:tcBorders>
              <w:top w:val="nil"/>
              <w:bottom w:val="nil"/>
            </w:tcBorders>
            <w:noWrap/>
          </w:tcPr>
          <w:p w14:paraId="04D906EC" w14:textId="097E2650" w:rsidR="00DC70A6" w:rsidRPr="00024EB0" w:rsidRDefault="00DC70A6" w:rsidP="00DC70A6">
            <w:pPr>
              <w:pStyle w:val="TableText"/>
              <w:jc w:val="right"/>
            </w:pPr>
            <w:r w:rsidRPr="006C3F10">
              <w:t>$221.50</w:t>
            </w:r>
          </w:p>
        </w:tc>
        <w:tc>
          <w:tcPr>
            <w:tcW w:w="603" w:type="pct"/>
            <w:tcBorders>
              <w:top w:val="nil"/>
              <w:bottom w:val="nil"/>
            </w:tcBorders>
            <w:noWrap/>
          </w:tcPr>
          <w:p w14:paraId="14EB4775" w14:textId="47906F54" w:rsidR="00DC70A6" w:rsidRPr="00024EB0" w:rsidRDefault="00DC70A6" w:rsidP="00DC70A6">
            <w:pPr>
              <w:pStyle w:val="TableText"/>
              <w:jc w:val="right"/>
            </w:pPr>
            <w:r w:rsidRPr="006C3F10">
              <w:t>0.0221</w:t>
            </w:r>
          </w:p>
        </w:tc>
        <w:tc>
          <w:tcPr>
            <w:tcW w:w="603" w:type="pct"/>
            <w:tcBorders>
              <w:top w:val="nil"/>
              <w:bottom w:val="nil"/>
            </w:tcBorders>
            <w:noWrap/>
          </w:tcPr>
          <w:p w14:paraId="2120FE11" w14:textId="0B0BC010" w:rsidR="00DC70A6" w:rsidRPr="00024EB0" w:rsidRDefault="00DC70A6" w:rsidP="00DC70A6">
            <w:pPr>
              <w:pStyle w:val="TableText"/>
              <w:jc w:val="right"/>
            </w:pPr>
            <w:r w:rsidRPr="006C3F10">
              <w:t>$10,026</w:t>
            </w:r>
          </w:p>
        </w:tc>
        <w:tc>
          <w:tcPr>
            <w:tcW w:w="443" w:type="pct"/>
            <w:tcBorders>
              <w:top w:val="nil"/>
              <w:bottom w:val="nil"/>
            </w:tcBorders>
            <w:noWrap/>
          </w:tcPr>
          <w:p w14:paraId="09BF8C40" w14:textId="5CD3D16B" w:rsidR="00DC70A6" w:rsidRPr="00024EB0" w:rsidRDefault="00DC70A6" w:rsidP="00DC70A6">
            <w:pPr>
              <w:pStyle w:val="TableText"/>
              <w:jc w:val="right"/>
            </w:pPr>
            <w:r w:rsidRPr="006C3F10">
              <w:t>34%</w:t>
            </w:r>
          </w:p>
        </w:tc>
      </w:tr>
      <w:tr w:rsidR="00DC70A6" w:rsidRPr="00024EB0" w14:paraId="20C81E57" w14:textId="77777777" w:rsidTr="00DC70A6">
        <w:trPr>
          <w:trHeight w:val="300"/>
        </w:trPr>
        <w:tc>
          <w:tcPr>
            <w:tcW w:w="2749" w:type="pct"/>
            <w:tcBorders>
              <w:top w:val="nil"/>
              <w:bottom w:val="nil"/>
            </w:tcBorders>
            <w:noWrap/>
            <w:hideMark/>
          </w:tcPr>
          <w:p w14:paraId="45AE2E60" w14:textId="77777777" w:rsidR="00DC70A6" w:rsidRPr="00024EB0" w:rsidRDefault="00DC70A6" w:rsidP="00DC70A6">
            <w:pPr>
              <w:pStyle w:val="TableText"/>
            </w:pPr>
            <w:r w:rsidRPr="00917F12">
              <w:t>95.9% for panels, 94.6%</w:t>
            </w:r>
            <w:r w:rsidRPr="00916E2F">
              <w:rPr>
                <w:vertAlign w:val="superscript"/>
              </w:rPr>
              <w:t>a</w:t>
            </w:r>
            <w:r>
              <w:t xml:space="preserve"> </w:t>
            </w:r>
            <w:r w:rsidRPr="00917F12">
              <w:t>for single-gene testing</w:t>
            </w:r>
          </w:p>
        </w:tc>
        <w:tc>
          <w:tcPr>
            <w:tcW w:w="602" w:type="pct"/>
            <w:tcBorders>
              <w:top w:val="nil"/>
              <w:bottom w:val="nil"/>
            </w:tcBorders>
            <w:noWrap/>
          </w:tcPr>
          <w:p w14:paraId="4635E1B5" w14:textId="4515EB22" w:rsidR="00DC70A6" w:rsidRPr="00024EB0" w:rsidRDefault="00DC70A6" w:rsidP="00DC70A6">
            <w:pPr>
              <w:pStyle w:val="TableText"/>
              <w:jc w:val="right"/>
            </w:pPr>
            <w:r w:rsidRPr="006C3F10">
              <w:t>$219.10</w:t>
            </w:r>
          </w:p>
        </w:tc>
        <w:tc>
          <w:tcPr>
            <w:tcW w:w="603" w:type="pct"/>
            <w:tcBorders>
              <w:top w:val="nil"/>
              <w:bottom w:val="nil"/>
            </w:tcBorders>
            <w:noWrap/>
          </w:tcPr>
          <w:p w14:paraId="1C20A583" w14:textId="74EA5B74" w:rsidR="00DC70A6" w:rsidRPr="00024EB0" w:rsidRDefault="00DC70A6" w:rsidP="00DC70A6">
            <w:pPr>
              <w:pStyle w:val="TableText"/>
              <w:jc w:val="right"/>
            </w:pPr>
            <w:r w:rsidRPr="006C3F10">
              <w:t>0.0220</w:t>
            </w:r>
          </w:p>
        </w:tc>
        <w:tc>
          <w:tcPr>
            <w:tcW w:w="603" w:type="pct"/>
            <w:tcBorders>
              <w:top w:val="nil"/>
              <w:bottom w:val="nil"/>
            </w:tcBorders>
            <w:noWrap/>
          </w:tcPr>
          <w:p w14:paraId="2B7A5461" w14:textId="5DC364C1" w:rsidR="00DC70A6" w:rsidRPr="00024EB0" w:rsidRDefault="00DC70A6" w:rsidP="00DC70A6">
            <w:pPr>
              <w:pStyle w:val="TableText"/>
              <w:jc w:val="right"/>
            </w:pPr>
            <w:r w:rsidRPr="006C3F10">
              <w:t>$9,943</w:t>
            </w:r>
          </w:p>
        </w:tc>
        <w:tc>
          <w:tcPr>
            <w:tcW w:w="443" w:type="pct"/>
            <w:tcBorders>
              <w:top w:val="nil"/>
              <w:bottom w:val="nil"/>
            </w:tcBorders>
            <w:noWrap/>
          </w:tcPr>
          <w:p w14:paraId="0F03D326" w14:textId="2BFD2472" w:rsidR="00DC70A6" w:rsidRPr="00024EB0" w:rsidRDefault="00DC70A6" w:rsidP="00DC70A6">
            <w:pPr>
              <w:pStyle w:val="TableText"/>
              <w:jc w:val="right"/>
            </w:pPr>
            <w:r w:rsidRPr="006C3F10">
              <w:t>33%</w:t>
            </w:r>
          </w:p>
        </w:tc>
      </w:tr>
      <w:tr w:rsidR="00DC70A6" w:rsidRPr="00024EB0" w14:paraId="0947A081" w14:textId="77777777" w:rsidTr="00DC70A6">
        <w:trPr>
          <w:trHeight w:val="300"/>
        </w:trPr>
        <w:tc>
          <w:tcPr>
            <w:tcW w:w="2749" w:type="pct"/>
            <w:tcBorders>
              <w:top w:val="nil"/>
              <w:bottom w:val="single" w:sz="4" w:space="0" w:color="auto"/>
            </w:tcBorders>
            <w:noWrap/>
            <w:hideMark/>
          </w:tcPr>
          <w:p w14:paraId="3840B8A9" w14:textId="77777777" w:rsidR="00DC70A6" w:rsidRPr="00024EB0" w:rsidRDefault="00DC70A6" w:rsidP="00DC70A6">
            <w:pPr>
              <w:pStyle w:val="TableText"/>
            </w:pPr>
            <w:r w:rsidRPr="00917F12">
              <w:t>97.2% for panels</w:t>
            </w:r>
            <w:r>
              <w:t>, 92.0%</w:t>
            </w:r>
            <w:r>
              <w:rPr>
                <w:vertAlign w:val="superscript"/>
              </w:rPr>
              <w:t>b</w:t>
            </w:r>
            <w:r>
              <w:t xml:space="preserve"> for single-gene testing</w:t>
            </w:r>
          </w:p>
        </w:tc>
        <w:tc>
          <w:tcPr>
            <w:tcW w:w="602" w:type="pct"/>
            <w:tcBorders>
              <w:top w:val="nil"/>
              <w:bottom w:val="single" w:sz="4" w:space="0" w:color="auto"/>
            </w:tcBorders>
            <w:noWrap/>
          </w:tcPr>
          <w:p w14:paraId="25F9090F" w14:textId="296BE535" w:rsidR="00DC70A6" w:rsidRPr="00024EB0" w:rsidRDefault="00DC70A6" w:rsidP="00DC70A6">
            <w:pPr>
              <w:pStyle w:val="TableText"/>
              <w:jc w:val="right"/>
            </w:pPr>
            <w:r w:rsidRPr="006C3F10">
              <w:t>$64.07</w:t>
            </w:r>
          </w:p>
        </w:tc>
        <w:tc>
          <w:tcPr>
            <w:tcW w:w="603" w:type="pct"/>
            <w:tcBorders>
              <w:top w:val="nil"/>
              <w:bottom w:val="single" w:sz="4" w:space="0" w:color="auto"/>
            </w:tcBorders>
            <w:noWrap/>
          </w:tcPr>
          <w:p w14:paraId="5DDD39DF" w14:textId="2B44FA25" w:rsidR="00DC70A6" w:rsidRPr="00024EB0" w:rsidRDefault="00DC70A6" w:rsidP="00DC70A6">
            <w:pPr>
              <w:pStyle w:val="TableText"/>
              <w:jc w:val="right"/>
            </w:pPr>
            <w:r w:rsidRPr="006C3F10">
              <w:t>0.0235</w:t>
            </w:r>
          </w:p>
        </w:tc>
        <w:tc>
          <w:tcPr>
            <w:tcW w:w="603" w:type="pct"/>
            <w:tcBorders>
              <w:top w:val="nil"/>
              <w:bottom w:val="single" w:sz="4" w:space="0" w:color="auto"/>
            </w:tcBorders>
            <w:noWrap/>
          </w:tcPr>
          <w:p w14:paraId="0B020D69" w14:textId="103D39C2" w:rsidR="00DC70A6" w:rsidRPr="00024EB0" w:rsidRDefault="00DC70A6" w:rsidP="00DC70A6">
            <w:pPr>
              <w:pStyle w:val="TableText"/>
              <w:jc w:val="right"/>
            </w:pPr>
            <w:r w:rsidRPr="006C3F10">
              <w:t>$2,731</w:t>
            </w:r>
          </w:p>
        </w:tc>
        <w:tc>
          <w:tcPr>
            <w:tcW w:w="443" w:type="pct"/>
            <w:tcBorders>
              <w:top w:val="nil"/>
              <w:bottom w:val="single" w:sz="4" w:space="0" w:color="auto"/>
            </w:tcBorders>
            <w:noWrap/>
          </w:tcPr>
          <w:p w14:paraId="68C9301C" w14:textId="17DD7290" w:rsidR="00DC70A6" w:rsidRPr="00024EB0" w:rsidRDefault="00DC70A6" w:rsidP="00DC70A6">
            <w:pPr>
              <w:pStyle w:val="TableText"/>
              <w:jc w:val="right"/>
            </w:pPr>
            <w:r w:rsidRPr="006C3F10">
              <w:t>−64%</w:t>
            </w:r>
          </w:p>
        </w:tc>
      </w:tr>
      <w:tr w:rsidR="00DC70A6" w:rsidRPr="00024EB0" w14:paraId="1E9EDF81" w14:textId="77777777" w:rsidTr="00DC70A6">
        <w:trPr>
          <w:trHeight w:val="300"/>
        </w:trPr>
        <w:tc>
          <w:tcPr>
            <w:tcW w:w="2749" w:type="pct"/>
            <w:tcBorders>
              <w:bottom w:val="single" w:sz="4" w:space="0" w:color="auto"/>
              <w:right w:val="nil"/>
            </w:tcBorders>
            <w:noWrap/>
            <w:hideMark/>
          </w:tcPr>
          <w:p w14:paraId="1BE531C8" w14:textId="77777777" w:rsidR="00DC70A6" w:rsidRPr="00024EB0" w:rsidRDefault="00DC70A6" w:rsidP="00DC70A6">
            <w:pPr>
              <w:pStyle w:val="TableText"/>
            </w:pPr>
            <w:r w:rsidRPr="00024EB0">
              <w:t>Common variant yield</w:t>
            </w:r>
          </w:p>
        </w:tc>
        <w:tc>
          <w:tcPr>
            <w:tcW w:w="602" w:type="pct"/>
            <w:tcBorders>
              <w:left w:val="nil"/>
              <w:bottom w:val="single" w:sz="4" w:space="0" w:color="auto"/>
              <w:right w:val="nil"/>
            </w:tcBorders>
            <w:noWrap/>
          </w:tcPr>
          <w:p w14:paraId="42B392FB"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7E1A9267"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5C6F76D9" w14:textId="77777777" w:rsidR="00DC70A6" w:rsidRPr="00024EB0" w:rsidRDefault="00DC70A6" w:rsidP="00DC70A6">
            <w:pPr>
              <w:pStyle w:val="TableText"/>
              <w:jc w:val="right"/>
            </w:pPr>
          </w:p>
        </w:tc>
        <w:tc>
          <w:tcPr>
            <w:tcW w:w="443" w:type="pct"/>
            <w:tcBorders>
              <w:left w:val="nil"/>
              <w:bottom w:val="single" w:sz="4" w:space="0" w:color="auto"/>
            </w:tcBorders>
            <w:noWrap/>
          </w:tcPr>
          <w:p w14:paraId="3B2F3F5E" w14:textId="77777777" w:rsidR="00DC70A6" w:rsidRPr="00024EB0" w:rsidRDefault="00DC70A6" w:rsidP="00DC70A6">
            <w:pPr>
              <w:pStyle w:val="TableText"/>
              <w:jc w:val="right"/>
            </w:pPr>
          </w:p>
        </w:tc>
      </w:tr>
      <w:tr w:rsidR="00DC70A6" w:rsidRPr="00024EB0" w14:paraId="2706D696" w14:textId="77777777" w:rsidTr="00DC70A6">
        <w:trPr>
          <w:trHeight w:val="300"/>
        </w:trPr>
        <w:tc>
          <w:tcPr>
            <w:tcW w:w="2749" w:type="pct"/>
            <w:tcBorders>
              <w:bottom w:val="nil"/>
            </w:tcBorders>
            <w:noWrap/>
            <w:hideMark/>
          </w:tcPr>
          <w:p w14:paraId="4FF10FFC" w14:textId="77777777" w:rsidR="00DC70A6" w:rsidRPr="00024EB0" w:rsidRDefault="00DC70A6" w:rsidP="00DC70A6">
            <w:pPr>
              <w:pStyle w:val="TableText"/>
            </w:pPr>
            <w:r w:rsidRPr="007D6676">
              <w:rPr>
                <w:i/>
              </w:rPr>
              <w:t>EGFR</w:t>
            </w:r>
            <w:r w:rsidRPr="00024EB0">
              <w:t>, 17.9% (base case: 15.0%)</w:t>
            </w:r>
          </w:p>
        </w:tc>
        <w:tc>
          <w:tcPr>
            <w:tcW w:w="602" w:type="pct"/>
            <w:tcBorders>
              <w:bottom w:val="nil"/>
            </w:tcBorders>
            <w:noWrap/>
          </w:tcPr>
          <w:p w14:paraId="6DFF1242" w14:textId="2580C2CD" w:rsidR="00DC70A6" w:rsidRPr="00024EB0" w:rsidRDefault="00DC70A6" w:rsidP="00DC70A6">
            <w:pPr>
              <w:pStyle w:val="TableText"/>
              <w:jc w:val="right"/>
            </w:pPr>
            <w:r w:rsidRPr="006C3F10">
              <w:t>$168.16</w:t>
            </w:r>
          </w:p>
        </w:tc>
        <w:tc>
          <w:tcPr>
            <w:tcW w:w="603" w:type="pct"/>
            <w:tcBorders>
              <w:bottom w:val="nil"/>
            </w:tcBorders>
            <w:noWrap/>
          </w:tcPr>
          <w:p w14:paraId="6D6C5467" w14:textId="57BDE6B2" w:rsidR="00DC70A6" w:rsidRPr="00024EB0" w:rsidRDefault="00DC70A6" w:rsidP="00DC70A6">
            <w:pPr>
              <w:pStyle w:val="TableText"/>
              <w:jc w:val="right"/>
            </w:pPr>
            <w:r w:rsidRPr="006C3F10">
              <w:t>0.0216</w:t>
            </w:r>
          </w:p>
        </w:tc>
        <w:tc>
          <w:tcPr>
            <w:tcW w:w="603" w:type="pct"/>
            <w:tcBorders>
              <w:bottom w:val="nil"/>
            </w:tcBorders>
            <w:noWrap/>
          </w:tcPr>
          <w:p w14:paraId="6FEED8F1" w14:textId="2B482BA8" w:rsidR="00DC70A6" w:rsidRPr="00024EB0" w:rsidRDefault="00DC70A6" w:rsidP="00DC70A6">
            <w:pPr>
              <w:pStyle w:val="TableText"/>
              <w:jc w:val="right"/>
            </w:pPr>
            <w:r w:rsidRPr="006C3F10">
              <w:t>$7,797</w:t>
            </w:r>
          </w:p>
        </w:tc>
        <w:tc>
          <w:tcPr>
            <w:tcW w:w="443" w:type="pct"/>
            <w:tcBorders>
              <w:bottom w:val="nil"/>
            </w:tcBorders>
            <w:noWrap/>
          </w:tcPr>
          <w:p w14:paraId="39059A8D" w14:textId="0ABFA294" w:rsidR="00DC70A6" w:rsidRPr="00024EB0" w:rsidRDefault="00DC70A6" w:rsidP="00DC70A6">
            <w:pPr>
              <w:pStyle w:val="TableText"/>
              <w:jc w:val="right"/>
            </w:pPr>
            <w:r w:rsidRPr="006C3F10">
              <w:t>4%</w:t>
            </w:r>
          </w:p>
        </w:tc>
      </w:tr>
      <w:tr w:rsidR="00DC70A6" w:rsidRPr="00024EB0" w14:paraId="491C0079" w14:textId="77777777" w:rsidTr="00DC70A6">
        <w:trPr>
          <w:trHeight w:val="300"/>
        </w:trPr>
        <w:tc>
          <w:tcPr>
            <w:tcW w:w="2749" w:type="pct"/>
            <w:tcBorders>
              <w:top w:val="nil"/>
              <w:bottom w:val="single" w:sz="4" w:space="0" w:color="auto"/>
            </w:tcBorders>
            <w:noWrap/>
            <w:hideMark/>
          </w:tcPr>
          <w:p w14:paraId="4C62F748" w14:textId="77777777" w:rsidR="00DC70A6" w:rsidRPr="00024EB0" w:rsidRDefault="00DC70A6" w:rsidP="00DC70A6">
            <w:pPr>
              <w:pStyle w:val="TableText"/>
            </w:pPr>
            <w:r w:rsidRPr="007D6676">
              <w:rPr>
                <w:i/>
              </w:rPr>
              <w:t>ALK</w:t>
            </w:r>
            <w:r w:rsidRPr="00024EB0">
              <w:t>, 3.3% (base case: 3.0%)</w:t>
            </w:r>
          </w:p>
        </w:tc>
        <w:tc>
          <w:tcPr>
            <w:tcW w:w="602" w:type="pct"/>
            <w:tcBorders>
              <w:top w:val="nil"/>
              <w:bottom w:val="single" w:sz="4" w:space="0" w:color="auto"/>
            </w:tcBorders>
            <w:noWrap/>
          </w:tcPr>
          <w:p w14:paraId="0BB5673E" w14:textId="74CCB35F" w:rsidR="00DC70A6" w:rsidRPr="00024EB0" w:rsidRDefault="00DC70A6" w:rsidP="00DC70A6">
            <w:pPr>
              <w:pStyle w:val="TableText"/>
              <w:jc w:val="right"/>
            </w:pPr>
            <w:r w:rsidRPr="006C3F10">
              <w:t>$169.03</w:t>
            </w:r>
          </w:p>
        </w:tc>
        <w:tc>
          <w:tcPr>
            <w:tcW w:w="603" w:type="pct"/>
            <w:tcBorders>
              <w:top w:val="nil"/>
              <w:bottom w:val="single" w:sz="4" w:space="0" w:color="auto"/>
            </w:tcBorders>
            <w:noWrap/>
          </w:tcPr>
          <w:p w14:paraId="49466015" w14:textId="6C0A38C6" w:rsidR="00DC70A6" w:rsidRPr="00024EB0" w:rsidRDefault="00DC70A6" w:rsidP="00DC70A6">
            <w:pPr>
              <w:pStyle w:val="TableText"/>
              <w:jc w:val="right"/>
            </w:pPr>
            <w:r w:rsidRPr="006C3F10">
              <w:t>0.0226</w:t>
            </w:r>
          </w:p>
        </w:tc>
        <w:tc>
          <w:tcPr>
            <w:tcW w:w="603" w:type="pct"/>
            <w:tcBorders>
              <w:top w:val="nil"/>
              <w:bottom w:val="single" w:sz="4" w:space="0" w:color="auto"/>
            </w:tcBorders>
            <w:noWrap/>
          </w:tcPr>
          <w:p w14:paraId="2BE0E610" w14:textId="5F30E81B" w:rsidR="00DC70A6" w:rsidRPr="00024EB0" w:rsidRDefault="00DC70A6" w:rsidP="00DC70A6">
            <w:pPr>
              <w:pStyle w:val="TableText"/>
              <w:jc w:val="right"/>
            </w:pPr>
            <w:r w:rsidRPr="006C3F10">
              <w:t>$7,487</w:t>
            </w:r>
          </w:p>
        </w:tc>
        <w:tc>
          <w:tcPr>
            <w:tcW w:w="443" w:type="pct"/>
            <w:tcBorders>
              <w:top w:val="nil"/>
              <w:bottom w:val="single" w:sz="4" w:space="0" w:color="auto"/>
            </w:tcBorders>
            <w:noWrap/>
          </w:tcPr>
          <w:p w14:paraId="6DE6C4E2" w14:textId="72454E77" w:rsidR="00DC70A6" w:rsidRPr="00024EB0" w:rsidRDefault="00DC70A6" w:rsidP="00DC70A6">
            <w:pPr>
              <w:pStyle w:val="TableText"/>
              <w:jc w:val="right"/>
            </w:pPr>
            <w:r w:rsidRPr="006C3F10">
              <w:t>−0%</w:t>
            </w:r>
          </w:p>
        </w:tc>
      </w:tr>
      <w:tr w:rsidR="00DC70A6" w:rsidRPr="00024EB0" w14:paraId="68521F82" w14:textId="77777777" w:rsidTr="00DC70A6">
        <w:trPr>
          <w:trHeight w:val="300"/>
        </w:trPr>
        <w:tc>
          <w:tcPr>
            <w:tcW w:w="2749" w:type="pct"/>
            <w:tcBorders>
              <w:top w:val="single" w:sz="4" w:space="0" w:color="auto"/>
              <w:right w:val="nil"/>
            </w:tcBorders>
            <w:noWrap/>
          </w:tcPr>
          <w:p w14:paraId="64175566" w14:textId="109FB893" w:rsidR="00DC70A6" w:rsidRPr="007D6676" w:rsidRDefault="00DC70A6" w:rsidP="00DC70A6">
            <w:pPr>
              <w:pStyle w:val="TableText"/>
              <w:rPr>
                <w:i/>
              </w:rPr>
            </w:pPr>
            <w:r w:rsidRPr="00DB3E00">
              <w:rPr>
                <w:i/>
              </w:rPr>
              <w:t xml:space="preserve">ALK </w:t>
            </w:r>
            <w:r>
              <w:t xml:space="preserve">small gene panel </w:t>
            </w:r>
            <w:r w:rsidRPr="00024EB0">
              <w:t>concordan</w:t>
            </w:r>
            <w:r>
              <w:t xml:space="preserve">ce </w:t>
            </w:r>
            <w:r>
              <w:br/>
              <w:t xml:space="preserve">(base case: vs clinical utility standard, </w:t>
            </w:r>
            <w:r w:rsidRPr="00024EB0">
              <w:t>FISH</w:t>
            </w:r>
            <w:r>
              <w:t xml:space="preserve"> ≥15% positivity</w:t>
            </w:r>
            <w:r w:rsidRPr="00024EB0">
              <w:t>)</w:t>
            </w:r>
          </w:p>
        </w:tc>
        <w:tc>
          <w:tcPr>
            <w:tcW w:w="602" w:type="pct"/>
            <w:tcBorders>
              <w:top w:val="single" w:sz="4" w:space="0" w:color="auto"/>
              <w:left w:val="nil"/>
              <w:right w:val="nil"/>
            </w:tcBorders>
            <w:noWrap/>
          </w:tcPr>
          <w:p w14:paraId="6E342802" w14:textId="03A7FCBC" w:rsidR="00DC70A6" w:rsidRPr="00024EB0" w:rsidRDefault="00DC70A6" w:rsidP="00DC70A6">
            <w:pPr>
              <w:pStyle w:val="TableText"/>
              <w:jc w:val="right"/>
            </w:pPr>
          </w:p>
        </w:tc>
        <w:tc>
          <w:tcPr>
            <w:tcW w:w="603" w:type="pct"/>
            <w:tcBorders>
              <w:top w:val="single" w:sz="4" w:space="0" w:color="auto"/>
              <w:left w:val="nil"/>
              <w:right w:val="nil"/>
            </w:tcBorders>
            <w:noWrap/>
          </w:tcPr>
          <w:p w14:paraId="61EFBB87" w14:textId="5E977510" w:rsidR="00DC70A6" w:rsidRPr="00024EB0" w:rsidRDefault="00DC70A6" w:rsidP="00DC70A6">
            <w:pPr>
              <w:pStyle w:val="TableText"/>
              <w:jc w:val="right"/>
            </w:pPr>
          </w:p>
        </w:tc>
        <w:tc>
          <w:tcPr>
            <w:tcW w:w="603" w:type="pct"/>
            <w:tcBorders>
              <w:top w:val="single" w:sz="4" w:space="0" w:color="auto"/>
              <w:left w:val="nil"/>
              <w:right w:val="nil"/>
            </w:tcBorders>
            <w:noWrap/>
          </w:tcPr>
          <w:p w14:paraId="44FA0BF9" w14:textId="7372CC90" w:rsidR="00DC70A6" w:rsidRPr="00024EB0" w:rsidRDefault="00DC70A6" w:rsidP="00DC70A6">
            <w:pPr>
              <w:pStyle w:val="TableText"/>
              <w:jc w:val="right"/>
            </w:pPr>
          </w:p>
        </w:tc>
        <w:tc>
          <w:tcPr>
            <w:tcW w:w="443" w:type="pct"/>
            <w:tcBorders>
              <w:top w:val="single" w:sz="4" w:space="0" w:color="auto"/>
              <w:left w:val="nil"/>
            </w:tcBorders>
            <w:noWrap/>
          </w:tcPr>
          <w:p w14:paraId="47AA38CE" w14:textId="161EA3C8" w:rsidR="00DC70A6" w:rsidRPr="00024EB0" w:rsidRDefault="00DC70A6" w:rsidP="00DC70A6">
            <w:pPr>
              <w:pStyle w:val="TableText"/>
              <w:jc w:val="right"/>
            </w:pPr>
          </w:p>
        </w:tc>
      </w:tr>
      <w:tr w:rsidR="00DC70A6" w:rsidRPr="00024EB0" w14:paraId="2411D003" w14:textId="77777777" w:rsidTr="00DC70A6">
        <w:trPr>
          <w:trHeight w:val="300"/>
        </w:trPr>
        <w:tc>
          <w:tcPr>
            <w:tcW w:w="2749" w:type="pct"/>
            <w:tcBorders>
              <w:bottom w:val="single" w:sz="4" w:space="0" w:color="auto"/>
            </w:tcBorders>
            <w:noWrap/>
            <w:hideMark/>
          </w:tcPr>
          <w:p w14:paraId="524AEADD" w14:textId="63252FD3" w:rsidR="00DC70A6" w:rsidRPr="00024EB0" w:rsidRDefault="00DC70A6" w:rsidP="00DC70A6">
            <w:pPr>
              <w:pStyle w:val="TableText"/>
            </w:pPr>
            <w:r w:rsidRPr="00DB3E00">
              <w:rPr>
                <w:i/>
              </w:rPr>
              <w:t xml:space="preserve">ALK </w:t>
            </w:r>
            <w:r>
              <w:t xml:space="preserve">small gene panel </w:t>
            </w:r>
            <w:r w:rsidRPr="00024EB0">
              <w:t>concordan</w:t>
            </w:r>
            <w:r>
              <w:t>ce vs FISH ± IHC</w:t>
            </w:r>
          </w:p>
        </w:tc>
        <w:tc>
          <w:tcPr>
            <w:tcW w:w="602" w:type="pct"/>
            <w:tcBorders>
              <w:bottom w:val="single" w:sz="4" w:space="0" w:color="auto"/>
            </w:tcBorders>
            <w:noWrap/>
          </w:tcPr>
          <w:p w14:paraId="1F20F003" w14:textId="67FB26F8" w:rsidR="00DC70A6" w:rsidRPr="00024EB0" w:rsidRDefault="00DC70A6" w:rsidP="00DC70A6">
            <w:pPr>
              <w:pStyle w:val="TableText"/>
              <w:jc w:val="right"/>
            </w:pPr>
            <w:r w:rsidRPr="00587FCD">
              <w:t>$168.99</w:t>
            </w:r>
          </w:p>
        </w:tc>
        <w:tc>
          <w:tcPr>
            <w:tcW w:w="603" w:type="pct"/>
            <w:tcBorders>
              <w:bottom w:val="single" w:sz="4" w:space="0" w:color="auto"/>
            </w:tcBorders>
            <w:noWrap/>
          </w:tcPr>
          <w:p w14:paraId="4DA460C1" w14:textId="5764D1F0" w:rsidR="00DC70A6" w:rsidRPr="00024EB0" w:rsidRDefault="00DC70A6" w:rsidP="00DC70A6">
            <w:pPr>
              <w:pStyle w:val="TableText"/>
              <w:jc w:val="right"/>
            </w:pPr>
            <w:r w:rsidRPr="00587FCD">
              <w:t>0.0219</w:t>
            </w:r>
          </w:p>
        </w:tc>
        <w:tc>
          <w:tcPr>
            <w:tcW w:w="603" w:type="pct"/>
            <w:tcBorders>
              <w:bottom w:val="single" w:sz="4" w:space="0" w:color="auto"/>
            </w:tcBorders>
            <w:noWrap/>
          </w:tcPr>
          <w:p w14:paraId="3620B8C3" w14:textId="2B994F76" w:rsidR="00DC70A6" w:rsidRPr="00024EB0" w:rsidRDefault="00DC70A6" w:rsidP="00DC70A6">
            <w:pPr>
              <w:pStyle w:val="TableText"/>
              <w:jc w:val="right"/>
            </w:pPr>
            <w:r w:rsidRPr="00587FCD">
              <w:t>$7,730</w:t>
            </w:r>
          </w:p>
        </w:tc>
        <w:tc>
          <w:tcPr>
            <w:tcW w:w="443" w:type="pct"/>
            <w:tcBorders>
              <w:bottom w:val="single" w:sz="4" w:space="0" w:color="auto"/>
            </w:tcBorders>
            <w:noWrap/>
          </w:tcPr>
          <w:p w14:paraId="205CD2DB" w14:textId="58FC021B" w:rsidR="00DC70A6" w:rsidRPr="00024EB0" w:rsidRDefault="00DC70A6" w:rsidP="00DC70A6">
            <w:pPr>
              <w:pStyle w:val="TableText"/>
              <w:jc w:val="right"/>
            </w:pPr>
            <w:r w:rsidRPr="00587FCD">
              <w:t>3%</w:t>
            </w:r>
          </w:p>
        </w:tc>
      </w:tr>
      <w:tr w:rsidR="00DC70A6" w:rsidRPr="00024EB0" w14:paraId="20DC3D53" w14:textId="77777777" w:rsidTr="00247A5F">
        <w:trPr>
          <w:trHeight w:val="300"/>
        </w:trPr>
        <w:tc>
          <w:tcPr>
            <w:tcW w:w="2749" w:type="pct"/>
            <w:tcBorders>
              <w:bottom w:val="single" w:sz="4" w:space="0" w:color="auto"/>
            </w:tcBorders>
            <w:noWrap/>
          </w:tcPr>
          <w:p w14:paraId="332B2DC3" w14:textId="30B382CC" w:rsidR="00DC70A6" w:rsidRPr="00DB3E00" w:rsidRDefault="00DC70A6" w:rsidP="00DC70A6">
            <w:pPr>
              <w:pStyle w:val="TableText"/>
              <w:rPr>
                <w:i/>
              </w:rPr>
            </w:pPr>
            <w:r w:rsidRPr="00DB3E00">
              <w:rPr>
                <w:i/>
              </w:rPr>
              <w:t xml:space="preserve">ALK </w:t>
            </w:r>
            <w:r>
              <w:t xml:space="preserve">small gene panel </w:t>
            </w:r>
            <w:r w:rsidRPr="00024EB0">
              <w:t>concordan</w:t>
            </w:r>
            <w:r>
              <w:t>ce vs FISH</w:t>
            </w:r>
          </w:p>
        </w:tc>
        <w:tc>
          <w:tcPr>
            <w:tcW w:w="602" w:type="pct"/>
            <w:tcBorders>
              <w:bottom w:val="single" w:sz="4" w:space="0" w:color="auto"/>
            </w:tcBorders>
            <w:noWrap/>
          </w:tcPr>
          <w:p w14:paraId="1A8760D1" w14:textId="56E9AE68" w:rsidR="00DC70A6" w:rsidRPr="00024EB0" w:rsidRDefault="00DC70A6" w:rsidP="00DC70A6">
            <w:pPr>
              <w:pStyle w:val="TableText"/>
              <w:jc w:val="right"/>
            </w:pPr>
            <w:r w:rsidRPr="00587FCD">
              <w:t>$169.00</w:t>
            </w:r>
          </w:p>
        </w:tc>
        <w:tc>
          <w:tcPr>
            <w:tcW w:w="603" w:type="pct"/>
            <w:tcBorders>
              <w:bottom w:val="single" w:sz="4" w:space="0" w:color="auto"/>
            </w:tcBorders>
            <w:noWrap/>
          </w:tcPr>
          <w:p w14:paraId="5699F6A2" w14:textId="5DD4BB7F" w:rsidR="00DC70A6" w:rsidRPr="00024EB0" w:rsidRDefault="00DC70A6" w:rsidP="00DC70A6">
            <w:pPr>
              <w:pStyle w:val="TableText"/>
              <w:jc w:val="right"/>
            </w:pPr>
            <w:r w:rsidRPr="00587FCD">
              <w:t>0.0360</w:t>
            </w:r>
          </w:p>
        </w:tc>
        <w:tc>
          <w:tcPr>
            <w:tcW w:w="603" w:type="pct"/>
            <w:tcBorders>
              <w:bottom w:val="single" w:sz="4" w:space="0" w:color="auto"/>
            </w:tcBorders>
            <w:noWrap/>
          </w:tcPr>
          <w:p w14:paraId="6B979458" w14:textId="4529F0AC" w:rsidR="00DC70A6" w:rsidRPr="00024EB0" w:rsidRDefault="00DC70A6" w:rsidP="00DC70A6">
            <w:pPr>
              <w:pStyle w:val="TableText"/>
              <w:jc w:val="right"/>
            </w:pPr>
            <w:r w:rsidRPr="00587FCD">
              <w:t>$4,697</w:t>
            </w:r>
          </w:p>
        </w:tc>
        <w:tc>
          <w:tcPr>
            <w:tcW w:w="443" w:type="pct"/>
            <w:tcBorders>
              <w:bottom w:val="single" w:sz="4" w:space="0" w:color="auto"/>
            </w:tcBorders>
            <w:noWrap/>
          </w:tcPr>
          <w:p w14:paraId="3122D899" w14:textId="7502C1C9" w:rsidR="00DC70A6" w:rsidRPr="00024EB0" w:rsidRDefault="00DC70A6" w:rsidP="00DC70A6">
            <w:pPr>
              <w:pStyle w:val="TableText"/>
              <w:jc w:val="right"/>
            </w:pPr>
            <w:r w:rsidRPr="00587FCD">
              <w:t>−37%</w:t>
            </w:r>
          </w:p>
        </w:tc>
      </w:tr>
      <w:tr w:rsidR="00DC70A6" w:rsidRPr="00024EB0" w14:paraId="25825222" w14:textId="77777777" w:rsidTr="00DC70A6">
        <w:trPr>
          <w:trHeight w:val="300"/>
        </w:trPr>
        <w:tc>
          <w:tcPr>
            <w:tcW w:w="2749" w:type="pct"/>
            <w:tcBorders>
              <w:bottom w:val="single" w:sz="4" w:space="0" w:color="auto"/>
              <w:right w:val="nil"/>
            </w:tcBorders>
            <w:noWrap/>
            <w:hideMark/>
          </w:tcPr>
          <w:p w14:paraId="5A65BC42" w14:textId="77777777" w:rsidR="00DC70A6" w:rsidRPr="00024EB0" w:rsidRDefault="00DC70A6" w:rsidP="00DC70A6">
            <w:pPr>
              <w:pStyle w:val="TableText"/>
            </w:pPr>
            <w:r w:rsidRPr="00024EB0">
              <w:t>Small panel concordance</w:t>
            </w:r>
          </w:p>
        </w:tc>
        <w:tc>
          <w:tcPr>
            <w:tcW w:w="602" w:type="pct"/>
            <w:tcBorders>
              <w:left w:val="nil"/>
              <w:bottom w:val="single" w:sz="4" w:space="0" w:color="auto"/>
              <w:right w:val="nil"/>
            </w:tcBorders>
            <w:noWrap/>
          </w:tcPr>
          <w:p w14:paraId="0BF42086" w14:textId="05D12AEB" w:rsidR="00DC70A6" w:rsidRPr="00024EB0" w:rsidRDefault="00DC70A6" w:rsidP="00DC70A6">
            <w:pPr>
              <w:pStyle w:val="TableText"/>
              <w:jc w:val="right"/>
            </w:pPr>
          </w:p>
        </w:tc>
        <w:tc>
          <w:tcPr>
            <w:tcW w:w="603" w:type="pct"/>
            <w:tcBorders>
              <w:left w:val="nil"/>
              <w:bottom w:val="single" w:sz="4" w:space="0" w:color="auto"/>
              <w:right w:val="nil"/>
            </w:tcBorders>
            <w:noWrap/>
          </w:tcPr>
          <w:p w14:paraId="2F90616A" w14:textId="44682641" w:rsidR="00DC70A6" w:rsidRPr="00024EB0" w:rsidRDefault="00DC70A6" w:rsidP="00DC70A6">
            <w:pPr>
              <w:pStyle w:val="TableText"/>
              <w:jc w:val="right"/>
            </w:pPr>
          </w:p>
        </w:tc>
        <w:tc>
          <w:tcPr>
            <w:tcW w:w="603" w:type="pct"/>
            <w:tcBorders>
              <w:left w:val="nil"/>
              <w:bottom w:val="single" w:sz="4" w:space="0" w:color="auto"/>
              <w:right w:val="nil"/>
            </w:tcBorders>
            <w:noWrap/>
          </w:tcPr>
          <w:p w14:paraId="50F5E3D7" w14:textId="6A905DE2" w:rsidR="00DC70A6" w:rsidRPr="00024EB0" w:rsidRDefault="00DC70A6" w:rsidP="00DC70A6">
            <w:pPr>
              <w:pStyle w:val="TableText"/>
              <w:jc w:val="right"/>
            </w:pPr>
          </w:p>
        </w:tc>
        <w:tc>
          <w:tcPr>
            <w:tcW w:w="443" w:type="pct"/>
            <w:tcBorders>
              <w:left w:val="nil"/>
              <w:bottom w:val="single" w:sz="4" w:space="0" w:color="auto"/>
            </w:tcBorders>
            <w:noWrap/>
          </w:tcPr>
          <w:p w14:paraId="0432A220" w14:textId="3F6E91E0" w:rsidR="00DC70A6" w:rsidRPr="00024EB0" w:rsidRDefault="00DC70A6" w:rsidP="00DC70A6">
            <w:pPr>
              <w:pStyle w:val="TableText"/>
              <w:jc w:val="right"/>
            </w:pPr>
          </w:p>
        </w:tc>
      </w:tr>
      <w:tr w:rsidR="00DC70A6" w:rsidRPr="00024EB0" w14:paraId="7831774F" w14:textId="77777777" w:rsidTr="00DC70A6">
        <w:trPr>
          <w:trHeight w:val="300"/>
        </w:trPr>
        <w:tc>
          <w:tcPr>
            <w:tcW w:w="2749" w:type="pct"/>
            <w:tcBorders>
              <w:bottom w:val="nil"/>
            </w:tcBorders>
            <w:noWrap/>
            <w:hideMark/>
          </w:tcPr>
          <w:p w14:paraId="1395B826" w14:textId="63D886A0" w:rsidR="00DC70A6" w:rsidRPr="00024EB0" w:rsidRDefault="00DC70A6" w:rsidP="00DC70A6">
            <w:pPr>
              <w:pStyle w:val="TableText"/>
            </w:pPr>
            <w:r w:rsidRPr="007D6676">
              <w:rPr>
                <w:i/>
              </w:rPr>
              <w:t>ALK</w:t>
            </w:r>
            <w:r w:rsidRPr="00024EB0">
              <w:t xml:space="preserve"> NPA, 0.</w:t>
            </w:r>
            <w:r>
              <w:t>97</w:t>
            </w:r>
            <w:r w:rsidRPr="00024EB0">
              <w:t xml:space="preserve"> (base case: 0.9</w:t>
            </w:r>
            <w:r>
              <w:t>9</w:t>
            </w:r>
            <w:r w:rsidRPr="00024EB0">
              <w:t>)</w:t>
            </w:r>
          </w:p>
        </w:tc>
        <w:tc>
          <w:tcPr>
            <w:tcW w:w="602" w:type="pct"/>
            <w:tcBorders>
              <w:bottom w:val="nil"/>
            </w:tcBorders>
            <w:noWrap/>
          </w:tcPr>
          <w:p w14:paraId="71C63C74" w14:textId="7BC23262" w:rsidR="00DC70A6" w:rsidRPr="00024EB0" w:rsidRDefault="00DC70A6" w:rsidP="00DC70A6">
            <w:pPr>
              <w:pStyle w:val="TableText"/>
              <w:jc w:val="right"/>
            </w:pPr>
            <w:r w:rsidRPr="00587FCD">
              <w:t>$169.02</w:t>
            </w:r>
          </w:p>
        </w:tc>
        <w:tc>
          <w:tcPr>
            <w:tcW w:w="603" w:type="pct"/>
            <w:tcBorders>
              <w:bottom w:val="nil"/>
            </w:tcBorders>
            <w:noWrap/>
          </w:tcPr>
          <w:p w14:paraId="5D0A2640" w14:textId="680AABFE" w:rsidR="00DC70A6" w:rsidRPr="00024EB0" w:rsidRDefault="00DC70A6" w:rsidP="00DC70A6">
            <w:pPr>
              <w:pStyle w:val="TableText"/>
              <w:jc w:val="right"/>
            </w:pPr>
            <w:r w:rsidRPr="00587FCD">
              <w:t>0.0375</w:t>
            </w:r>
          </w:p>
        </w:tc>
        <w:tc>
          <w:tcPr>
            <w:tcW w:w="603" w:type="pct"/>
            <w:tcBorders>
              <w:bottom w:val="nil"/>
            </w:tcBorders>
            <w:noWrap/>
          </w:tcPr>
          <w:p w14:paraId="696A45AE" w14:textId="3474E678" w:rsidR="00DC70A6" w:rsidRPr="00024EB0" w:rsidRDefault="00DC70A6" w:rsidP="00DC70A6">
            <w:pPr>
              <w:pStyle w:val="TableText"/>
              <w:jc w:val="right"/>
            </w:pPr>
            <w:r w:rsidRPr="00587FCD">
              <w:t>$4,509</w:t>
            </w:r>
          </w:p>
        </w:tc>
        <w:tc>
          <w:tcPr>
            <w:tcW w:w="443" w:type="pct"/>
            <w:tcBorders>
              <w:bottom w:val="nil"/>
            </w:tcBorders>
            <w:noWrap/>
          </w:tcPr>
          <w:p w14:paraId="2D001BA6" w14:textId="2165A0E9" w:rsidR="00DC70A6" w:rsidRPr="00024EB0" w:rsidRDefault="00DC70A6" w:rsidP="00DC70A6">
            <w:pPr>
              <w:pStyle w:val="TableText"/>
              <w:jc w:val="right"/>
            </w:pPr>
            <w:r w:rsidRPr="00587FCD">
              <w:t>−40%</w:t>
            </w:r>
          </w:p>
        </w:tc>
      </w:tr>
      <w:tr w:rsidR="00DC70A6" w:rsidRPr="00024EB0" w14:paraId="7705D818" w14:textId="77777777" w:rsidTr="00DC70A6">
        <w:trPr>
          <w:trHeight w:val="300"/>
        </w:trPr>
        <w:tc>
          <w:tcPr>
            <w:tcW w:w="2749" w:type="pct"/>
            <w:tcBorders>
              <w:top w:val="nil"/>
              <w:bottom w:val="single" w:sz="4" w:space="0" w:color="auto"/>
            </w:tcBorders>
            <w:noWrap/>
            <w:hideMark/>
          </w:tcPr>
          <w:p w14:paraId="1CBB00E5" w14:textId="04B18ACF" w:rsidR="00DC70A6" w:rsidRPr="00024EB0" w:rsidRDefault="00DC70A6" w:rsidP="00DC70A6">
            <w:pPr>
              <w:pStyle w:val="TableText"/>
            </w:pPr>
            <w:r w:rsidRPr="007D6676">
              <w:rPr>
                <w:i/>
              </w:rPr>
              <w:lastRenderedPageBreak/>
              <w:t>ALK</w:t>
            </w:r>
            <w:r w:rsidRPr="00024EB0">
              <w:t xml:space="preserve"> NPA, 1.00 (base case: 0.9</w:t>
            </w:r>
            <w:r>
              <w:t>9</w:t>
            </w:r>
            <w:r w:rsidRPr="00024EB0">
              <w:t>)</w:t>
            </w:r>
          </w:p>
        </w:tc>
        <w:tc>
          <w:tcPr>
            <w:tcW w:w="602" w:type="pct"/>
            <w:tcBorders>
              <w:top w:val="nil"/>
              <w:bottom w:val="single" w:sz="4" w:space="0" w:color="auto"/>
            </w:tcBorders>
            <w:noWrap/>
          </w:tcPr>
          <w:p w14:paraId="4D1E19F2" w14:textId="303D5496" w:rsidR="00DC70A6" w:rsidRPr="00024EB0" w:rsidRDefault="00DC70A6" w:rsidP="00DC70A6">
            <w:pPr>
              <w:pStyle w:val="TableText"/>
              <w:jc w:val="right"/>
            </w:pPr>
            <w:r w:rsidRPr="00587FCD">
              <w:t>$169.02</w:t>
            </w:r>
          </w:p>
        </w:tc>
        <w:tc>
          <w:tcPr>
            <w:tcW w:w="603" w:type="pct"/>
            <w:tcBorders>
              <w:top w:val="nil"/>
              <w:bottom w:val="single" w:sz="4" w:space="0" w:color="auto"/>
            </w:tcBorders>
            <w:noWrap/>
          </w:tcPr>
          <w:p w14:paraId="16D64111" w14:textId="0589E979" w:rsidR="00DC70A6" w:rsidRPr="00024EB0" w:rsidRDefault="00DC70A6" w:rsidP="00DC70A6">
            <w:pPr>
              <w:pStyle w:val="TableText"/>
              <w:jc w:val="right"/>
            </w:pPr>
            <w:r w:rsidRPr="00587FCD">
              <w:t>0.0166</w:t>
            </w:r>
          </w:p>
        </w:tc>
        <w:tc>
          <w:tcPr>
            <w:tcW w:w="603" w:type="pct"/>
            <w:tcBorders>
              <w:top w:val="nil"/>
              <w:bottom w:val="single" w:sz="4" w:space="0" w:color="auto"/>
            </w:tcBorders>
            <w:noWrap/>
          </w:tcPr>
          <w:p w14:paraId="348AEF16" w14:textId="0A304684" w:rsidR="00DC70A6" w:rsidRPr="00024EB0" w:rsidRDefault="00DC70A6" w:rsidP="00DC70A6">
            <w:pPr>
              <w:pStyle w:val="TableText"/>
              <w:jc w:val="right"/>
            </w:pPr>
            <w:r w:rsidRPr="00587FCD">
              <w:t>$10,162</w:t>
            </w:r>
          </w:p>
        </w:tc>
        <w:tc>
          <w:tcPr>
            <w:tcW w:w="443" w:type="pct"/>
            <w:tcBorders>
              <w:top w:val="nil"/>
              <w:bottom w:val="single" w:sz="4" w:space="0" w:color="auto"/>
            </w:tcBorders>
            <w:noWrap/>
          </w:tcPr>
          <w:p w14:paraId="5102E486" w14:textId="282816F5" w:rsidR="00DC70A6" w:rsidRPr="00024EB0" w:rsidRDefault="00DC70A6" w:rsidP="00DC70A6">
            <w:pPr>
              <w:pStyle w:val="TableText"/>
              <w:jc w:val="right"/>
            </w:pPr>
            <w:r w:rsidRPr="00587FCD">
              <w:t>36%</w:t>
            </w:r>
          </w:p>
        </w:tc>
      </w:tr>
      <w:tr w:rsidR="00DC70A6" w:rsidRPr="00024EB0" w14:paraId="0924D268" w14:textId="77777777" w:rsidTr="00DC70A6">
        <w:trPr>
          <w:trHeight w:val="300"/>
        </w:trPr>
        <w:tc>
          <w:tcPr>
            <w:tcW w:w="2749" w:type="pct"/>
            <w:tcBorders>
              <w:bottom w:val="nil"/>
            </w:tcBorders>
            <w:noWrap/>
            <w:hideMark/>
          </w:tcPr>
          <w:p w14:paraId="364014BE" w14:textId="30E4C1E8" w:rsidR="00DC70A6" w:rsidRPr="00024EB0" w:rsidRDefault="00DC70A6" w:rsidP="00DC70A6">
            <w:pPr>
              <w:pStyle w:val="TableText"/>
            </w:pPr>
            <w:r w:rsidRPr="007D6676">
              <w:rPr>
                <w:i/>
              </w:rPr>
              <w:t>ALK</w:t>
            </w:r>
            <w:r w:rsidRPr="00024EB0">
              <w:t xml:space="preserve"> PPA, 0.</w:t>
            </w:r>
            <w:r>
              <w:t>48</w:t>
            </w:r>
            <w:r w:rsidRPr="00024EB0">
              <w:t xml:space="preserve"> (base case: </w:t>
            </w:r>
            <w:r>
              <w:t>1.00</w:t>
            </w:r>
            <w:r w:rsidRPr="00024EB0">
              <w:t>)</w:t>
            </w:r>
          </w:p>
        </w:tc>
        <w:tc>
          <w:tcPr>
            <w:tcW w:w="602" w:type="pct"/>
            <w:tcBorders>
              <w:bottom w:val="nil"/>
            </w:tcBorders>
            <w:noWrap/>
          </w:tcPr>
          <w:p w14:paraId="536898F6" w14:textId="6145C624" w:rsidR="00DC70A6" w:rsidRPr="00024EB0" w:rsidRDefault="00DC70A6" w:rsidP="00DC70A6">
            <w:pPr>
              <w:pStyle w:val="TableText"/>
              <w:jc w:val="right"/>
            </w:pPr>
            <w:r w:rsidRPr="00587FCD">
              <w:t>$168.81</w:t>
            </w:r>
          </w:p>
        </w:tc>
        <w:tc>
          <w:tcPr>
            <w:tcW w:w="603" w:type="pct"/>
            <w:tcBorders>
              <w:bottom w:val="nil"/>
            </w:tcBorders>
            <w:noWrap/>
          </w:tcPr>
          <w:p w14:paraId="6EC0EA55" w14:textId="42E9C5D2" w:rsidR="00DC70A6" w:rsidRPr="00024EB0" w:rsidRDefault="00DC70A6" w:rsidP="00DC70A6">
            <w:pPr>
              <w:pStyle w:val="TableText"/>
              <w:jc w:val="right"/>
            </w:pPr>
            <w:r w:rsidRPr="00587FCD">
              <w:t>0.0114</w:t>
            </w:r>
          </w:p>
        </w:tc>
        <w:tc>
          <w:tcPr>
            <w:tcW w:w="603" w:type="pct"/>
            <w:tcBorders>
              <w:bottom w:val="nil"/>
            </w:tcBorders>
            <w:noWrap/>
          </w:tcPr>
          <w:p w14:paraId="79EABE54" w14:textId="2737D2FA" w:rsidR="00DC70A6" w:rsidRPr="00024EB0" w:rsidRDefault="00DC70A6" w:rsidP="00DC70A6">
            <w:pPr>
              <w:pStyle w:val="TableText"/>
              <w:jc w:val="right"/>
            </w:pPr>
            <w:r w:rsidRPr="00587FCD">
              <w:t>$14,848</w:t>
            </w:r>
          </w:p>
        </w:tc>
        <w:tc>
          <w:tcPr>
            <w:tcW w:w="443" w:type="pct"/>
            <w:tcBorders>
              <w:bottom w:val="nil"/>
            </w:tcBorders>
            <w:noWrap/>
          </w:tcPr>
          <w:p w14:paraId="3D949BAB" w14:textId="1E798D21" w:rsidR="00DC70A6" w:rsidRPr="00024EB0" w:rsidRDefault="00DC70A6" w:rsidP="00DC70A6">
            <w:pPr>
              <w:pStyle w:val="TableText"/>
              <w:jc w:val="right"/>
            </w:pPr>
            <w:r w:rsidRPr="00587FCD">
              <w:t>98%</w:t>
            </w:r>
          </w:p>
        </w:tc>
      </w:tr>
      <w:tr w:rsidR="00DC70A6" w:rsidRPr="00024EB0" w14:paraId="2E2DC4A5" w14:textId="77777777" w:rsidTr="00DC70A6">
        <w:trPr>
          <w:trHeight w:val="300"/>
        </w:trPr>
        <w:tc>
          <w:tcPr>
            <w:tcW w:w="2749" w:type="pct"/>
            <w:tcBorders>
              <w:bottom w:val="nil"/>
            </w:tcBorders>
            <w:noWrap/>
            <w:hideMark/>
          </w:tcPr>
          <w:p w14:paraId="46AFAFE5" w14:textId="77777777" w:rsidR="00DC70A6" w:rsidRPr="00024EB0" w:rsidRDefault="00DC70A6" w:rsidP="00DC70A6">
            <w:pPr>
              <w:pStyle w:val="TableText"/>
            </w:pPr>
            <w:r w:rsidRPr="007D6676">
              <w:rPr>
                <w:i/>
              </w:rPr>
              <w:t>EGFR</w:t>
            </w:r>
            <w:r w:rsidRPr="00024EB0">
              <w:t xml:space="preserve"> NPA, 0.95 (base case: 0.97)</w:t>
            </w:r>
          </w:p>
        </w:tc>
        <w:tc>
          <w:tcPr>
            <w:tcW w:w="602" w:type="pct"/>
            <w:tcBorders>
              <w:bottom w:val="nil"/>
            </w:tcBorders>
            <w:noWrap/>
          </w:tcPr>
          <w:p w14:paraId="5CFBD1CF" w14:textId="6BED5424" w:rsidR="00DC70A6" w:rsidRPr="00024EB0" w:rsidRDefault="00DC70A6" w:rsidP="00DC70A6">
            <w:pPr>
              <w:pStyle w:val="TableText"/>
              <w:jc w:val="right"/>
            </w:pPr>
            <w:r w:rsidRPr="00587FCD">
              <w:t>$161.36</w:t>
            </w:r>
          </w:p>
        </w:tc>
        <w:tc>
          <w:tcPr>
            <w:tcW w:w="603" w:type="pct"/>
            <w:tcBorders>
              <w:bottom w:val="nil"/>
            </w:tcBorders>
            <w:noWrap/>
          </w:tcPr>
          <w:p w14:paraId="43ACE870" w14:textId="4C2500A5" w:rsidR="00DC70A6" w:rsidRPr="00024EB0" w:rsidRDefault="00DC70A6" w:rsidP="00DC70A6">
            <w:pPr>
              <w:pStyle w:val="TableText"/>
              <w:jc w:val="right"/>
            </w:pPr>
            <w:r w:rsidRPr="00587FCD">
              <w:t>0.0354</w:t>
            </w:r>
          </w:p>
        </w:tc>
        <w:tc>
          <w:tcPr>
            <w:tcW w:w="603" w:type="pct"/>
            <w:tcBorders>
              <w:bottom w:val="nil"/>
            </w:tcBorders>
            <w:noWrap/>
          </w:tcPr>
          <w:p w14:paraId="5B5DDC4A" w14:textId="256E144E" w:rsidR="00DC70A6" w:rsidRPr="00024EB0" w:rsidRDefault="00DC70A6" w:rsidP="00DC70A6">
            <w:pPr>
              <w:pStyle w:val="TableText"/>
              <w:jc w:val="right"/>
            </w:pPr>
            <w:r w:rsidRPr="00587FCD">
              <w:t>$4,562</w:t>
            </w:r>
          </w:p>
        </w:tc>
        <w:tc>
          <w:tcPr>
            <w:tcW w:w="443" w:type="pct"/>
            <w:tcBorders>
              <w:bottom w:val="nil"/>
            </w:tcBorders>
            <w:noWrap/>
          </w:tcPr>
          <w:p w14:paraId="3AD8E74A" w14:textId="288F29D8" w:rsidR="00DC70A6" w:rsidRPr="00024EB0" w:rsidRDefault="00DC70A6" w:rsidP="00DC70A6">
            <w:pPr>
              <w:pStyle w:val="TableText"/>
              <w:jc w:val="right"/>
            </w:pPr>
            <w:r w:rsidRPr="00587FCD">
              <w:t>−39%</w:t>
            </w:r>
          </w:p>
        </w:tc>
      </w:tr>
      <w:tr w:rsidR="00DC70A6" w:rsidRPr="00024EB0" w14:paraId="6EF99DE3" w14:textId="77777777" w:rsidTr="00DC70A6">
        <w:trPr>
          <w:trHeight w:val="300"/>
        </w:trPr>
        <w:tc>
          <w:tcPr>
            <w:tcW w:w="2749" w:type="pct"/>
            <w:tcBorders>
              <w:top w:val="nil"/>
              <w:bottom w:val="single" w:sz="4" w:space="0" w:color="auto"/>
            </w:tcBorders>
            <w:noWrap/>
            <w:hideMark/>
          </w:tcPr>
          <w:p w14:paraId="2CDDC1B6" w14:textId="77777777" w:rsidR="00DC70A6" w:rsidRPr="00024EB0" w:rsidRDefault="00DC70A6" w:rsidP="00DC70A6">
            <w:pPr>
              <w:pStyle w:val="TableText"/>
            </w:pPr>
            <w:r w:rsidRPr="007D6676">
              <w:rPr>
                <w:i/>
              </w:rPr>
              <w:t>EGFR</w:t>
            </w:r>
            <w:r w:rsidRPr="00024EB0">
              <w:t xml:space="preserve"> NPA, 0.99 (base case: 0.97)</w:t>
            </w:r>
          </w:p>
        </w:tc>
        <w:tc>
          <w:tcPr>
            <w:tcW w:w="602" w:type="pct"/>
            <w:tcBorders>
              <w:top w:val="nil"/>
              <w:bottom w:val="single" w:sz="4" w:space="0" w:color="auto"/>
            </w:tcBorders>
            <w:noWrap/>
          </w:tcPr>
          <w:p w14:paraId="525D3FCD" w14:textId="5009A250" w:rsidR="00DC70A6" w:rsidRPr="00024EB0" w:rsidRDefault="00DC70A6" w:rsidP="00DC70A6">
            <w:pPr>
              <w:pStyle w:val="TableText"/>
              <w:jc w:val="right"/>
            </w:pPr>
            <w:r w:rsidRPr="00587FCD">
              <w:t>$176.69</w:t>
            </w:r>
          </w:p>
        </w:tc>
        <w:tc>
          <w:tcPr>
            <w:tcW w:w="603" w:type="pct"/>
            <w:tcBorders>
              <w:top w:val="nil"/>
              <w:bottom w:val="single" w:sz="4" w:space="0" w:color="auto"/>
            </w:tcBorders>
            <w:noWrap/>
          </w:tcPr>
          <w:p w14:paraId="5E658FC3" w14:textId="757C7B94" w:rsidR="00DC70A6" w:rsidRPr="00024EB0" w:rsidRDefault="00DC70A6" w:rsidP="00DC70A6">
            <w:pPr>
              <w:pStyle w:val="TableText"/>
              <w:jc w:val="right"/>
            </w:pPr>
            <w:r w:rsidRPr="00587FCD">
              <w:t>0.0097</w:t>
            </w:r>
          </w:p>
        </w:tc>
        <w:tc>
          <w:tcPr>
            <w:tcW w:w="603" w:type="pct"/>
            <w:tcBorders>
              <w:top w:val="nil"/>
              <w:bottom w:val="single" w:sz="4" w:space="0" w:color="auto"/>
            </w:tcBorders>
            <w:noWrap/>
          </w:tcPr>
          <w:p w14:paraId="79490214" w14:textId="183BDE66" w:rsidR="00DC70A6" w:rsidRPr="00024EB0" w:rsidRDefault="00DC70A6" w:rsidP="00DC70A6">
            <w:pPr>
              <w:pStyle w:val="TableText"/>
              <w:jc w:val="right"/>
            </w:pPr>
            <w:r w:rsidRPr="00587FCD">
              <w:t>$18,168</w:t>
            </w:r>
          </w:p>
        </w:tc>
        <w:tc>
          <w:tcPr>
            <w:tcW w:w="443" w:type="pct"/>
            <w:tcBorders>
              <w:top w:val="nil"/>
              <w:bottom w:val="single" w:sz="4" w:space="0" w:color="auto"/>
            </w:tcBorders>
            <w:noWrap/>
          </w:tcPr>
          <w:p w14:paraId="00E1BC18" w14:textId="7C2178F5" w:rsidR="00DC70A6" w:rsidRPr="00024EB0" w:rsidRDefault="00DC70A6" w:rsidP="00DC70A6">
            <w:pPr>
              <w:pStyle w:val="TableText"/>
              <w:jc w:val="right"/>
            </w:pPr>
            <w:r w:rsidRPr="00587FCD">
              <w:t>142%</w:t>
            </w:r>
          </w:p>
        </w:tc>
      </w:tr>
      <w:tr w:rsidR="00DC70A6" w:rsidRPr="00024EB0" w14:paraId="43C43C1C" w14:textId="77777777" w:rsidTr="00DC70A6">
        <w:trPr>
          <w:trHeight w:val="300"/>
        </w:trPr>
        <w:tc>
          <w:tcPr>
            <w:tcW w:w="2749" w:type="pct"/>
            <w:tcBorders>
              <w:bottom w:val="nil"/>
            </w:tcBorders>
            <w:noWrap/>
            <w:hideMark/>
          </w:tcPr>
          <w:p w14:paraId="792AFE01" w14:textId="77777777" w:rsidR="00DC70A6" w:rsidRPr="00024EB0" w:rsidRDefault="00DC70A6" w:rsidP="00DC70A6">
            <w:pPr>
              <w:pStyle w:val="TableText"/>
            </w:pPr>
            <w:r w:rsidRPr="007D6676">
              <w:rPr>
                <w:i/>
              </w:rPr>
              <w:t>EGFR</w:t>
            </w:r>
            <w:r w:rsidRPr="00024EB0">
              <w:t xml:space="preserve"> PPA, 0.95 (base case: 0.98)</w:t>
            </w:r>
          </w:p>
        </w:tc>
        <w:tc>
          <w:tcPr>
            <w:tcW w:w="602" w:type="pct"/>
            <w:tcBorders>
              <w:bottom w:val="nil"/>
            </w:tcBorders>
            <w:noWrap/>
          </w:tcPr>
          <w:p w14:paraId="015F715D" w14:textId="0F6FE9F9" w:rsidR="00DC70A6" w:rsidRPr="00024EB0" w:rsidRDefault="00DC70A6" w:rsidP="00DC70A6">
            <w:pPr>
              <w:pStyle w:val="TableText"/>
              <w:jc w:val="right"/>
            </w:pPr>
            <w:r w:rsidRPr="00587FCD">
              <w:t>$171.05</w:t>
            </w:r>
          </w:p>
        </w:tc>
        <w:tc>
          <w:tcPr>
            <w:tcW w:w="603" w:type="pct"/>
            <w:tcBorders>
              <w:bottom w:val="nil"/>
            </w:tcBorders>
            <w:noWrap/>
          </w:tcPr>
          <w:p w14:paraId="458CC025" w14:textId="015CA036" w:rsidR="00DC70A6" w:rsidRPr="00024EB0" w:rsidRDefault="00DC70A6" w:rsidP="00DC70A6">
            <w:pPr>
              <w:pStyle w:val="TableText"/>
              <w:jc w:val="right"/>
            </w:pPr>
            <w:r w:rsidRPr="00587FCD">
              <w:t>0.0192</w:t>
            </w:r>
          </w:p>
        </w:tc>
        <w:tc>
          <w:tcPr>
            <w:tcW w:w="603" w:type="pct"/>
            <w:tcBorders>
              <w:bottom w:val="nil"/>
            </w:tcBorders>
            <w:noWrap/>
          </w:tcPr>
          <w:p w14:paraId="43B43099" w14:textId="5ACDB293" w:rsidR="00DC70A6" w:rsidRPr="00024EB0" w:rsidRDefault="00DC70A6" w:rsidP="00DC70A6">
            <w:pPr>
              <w:pStyle w:val="TableText"/>
              <w:jc w:val="right"/>
            </w:pPr>
            <w:r w:rsidRPr="00587FCD">
              <w:t>$8,931</w:t>
            </w:r>
          </w:p>
        </w:tc>
        <w:tc>
          <w:tcPr>
            <w:tcW w:w="443" w:type="pct"/>
            <w:tcBorders>
              <w:bottom w:val="nil"/>
            </w:tcBorders>
            <w:noWrap/>
          </w:tcPr>
          <w:p w14:paraId="72B924C3" w14:textId="199420E3" w:rsidR="00DC70A6" w:rsidRPr="00024EB0" w:rsidRDefault="00DC70A6" w:rsidP="00DC70A6">
            <w:pPr>
              <w:pStyle w:val="TableText"/>
              <w:jc w:val="right"/>
            </w:pPr>
            <w:r w:rsidRPr="00587FCD">
              <w:t>19%</w:t>
            </w:r>
          </w:p>
        </w:tc>
      </w:tr>
      <w:tr w:rsidR="00DC70A6" w:rsidRPr="00024EB0" w14:paraId="33631E52" w14:textId="77777777" w:rsidTr="00DC70A6">
        <w:trPr>
          <w:trHeight w:val="300"/>
        </w:trPr>
        <w:tc>
          <w:tcPr>
            <w:tcW w:w="2749" w:type="pct"/>
            <w:tcBorders>
              <w:top w:val="nil"/>
            </w:tcBorders>
            <w:noWrap/>
            <w:hideMark/>
          </w:tcPr>
          <w:p w14:paraId="5A42CDF8" w14:textId="77777777" w:rsidR="00DC70A6" w:rsidRPr="00024EB0" w:rsidRDefault="00DC70A6" w:rsidP="00DC70A6">
            <w:pPr>
              <w:pStyle w:val="TableText"/>
            </w:pPr>
            <w:r w:rsidRPr="007D6676">
              <w:rPr>
                <w:i/>
              </w:rPr>
              <w:t>EGFR</w:t>
            </w:r>
            <w:r w:rsidRPr="00024EB0">
              <w:t xml:space="preserve"> PPA, 0.99 (base case: 0.98)</w:t>
            </w:r>
          </w:p>
        </w:tc>
        <w:tc>
          <w:tcPr>
            <w:tcW w:w="602" w:type="pct"/>
            <w:tcBorders>
              <w:top w:val="nil"/>
            </w:tcBorders>
            <w:noWrap/>
          </w:tcPr>
          <w:p w14:paraId="4FE48E17" w14:textId="3F5C9AE4" w:rsidR="00DC70A6" w:rsidRPr="00024EB0" w:rsidRDefault="00DC70A6" w:rsidP="00DC70A6">
            <w:pPr>
              <w:pStyle w:val="TableText"/>
              <w:jc w:val="right"/>
            </w:pPr>
            <w:r w:rsidRPr="00587FCD">
              <w:t>$168.35</w:t>
            </w:r>
          </w:p>
        </w:tc>
        <w:tc>
          <w:tcPr>
            <w:tcW w:w="603" w:type="pct"/>
            <w:tcBorders>
              <w:top w:val="nil"/>
            </w:tcBorders>
            <w:noWrap/>
          </w:tcPr>
          <w:p w14:paraId="0E2BF0E2" w14:textId="7756E584" w:rsidR="00DC70A6" w:rsidRPr="00024EB0" w:rsidRDefault="00DC70A6" w:rsidP="00DC70A6">
            <w:pPr>
              <w:pStyle w:val="TableText"/>
              <w:jc w:val="right"/>
            </w:pPr>
            <w:r w:rsidRPr="00587FCD">
              <w:t>0.0237</w:t>
            </w:r>
          </w:p>
        </w:tc>
        <w:tc>
          <w:tcPr>
            <w:tcW w:w="603" w:type="pct"/>
            <w:tcBorders>
              <w:top w:val="nil"/>
            </w:tcBorders>
            <w:noWrap/>
          </w:tcPr>
          <w:p w14:paraId="46C4D07D" w14:textId="092A02F4" w:rsidR="00DC70A6" w:rsidRPr="00024EB0" w:rsidRDefault="00DC70A6" w:rsidP="00DC70A6">
            <w:pPr>
              <w:pStyle w:val="TableText"/>
              <w:jc w:val="right"/>
            </w:pPr>
            <w:r w:rsidRPr="00587FCD">
              <w:t>$7,110</w:t>
            </w:r>
          </w:p>
        </w:tc>
        <w:tc>
          <w:tcPr>
            <w:tcW w:w="443" w:type="pct"/>
            <w:tcBorders>
              <w:top w:val="nil"/>
            </w:tcBorders>
            <w:noWrap/>
          </w:tcPr>
          <w:p w14:paraId="077F22B5" w14:textId="00E066ED" w:rsidR="00DC70A6" w:rsidRPr="00024EB0" w:rsidRDefault="00DC70A6" w:rsidP="00DC70A6">
            <w:pPr>
              <w:pStyle w:val="TableText"/>
              <w:jc w:val="right"/>
            </w:pPr>
            <w:r w:rsidRPr="00587FCD">
              <w:t>−5%</w:t>
            </w:r>
          </w:p>
        </w:tc>
      </w:tr>
      <w:tr w:rsidR="00DC70A6" w:rsidRPr="00024EB0" w14:paraId="2260A4AE" w14:textId="77777777" w:rsidTr="00DC70A6">
        <w:trPr>
          <w:trHeight w:val="300"/>
        </w:trPr>
        <w:tc>
          <w:tcPr>
            <w:tcW w:w="2749" w:type="pct"/>
            <w:tcBorders>
              <w:bottom w:val="single" w:sz="4" w:space="0" w:color="auto"/>
            </w:tcBorders>
            <w:noWrap/>
            <w:hideMark/>
          </w:tcPr>
          <w:p w14:paraId="7C8EFBD7" w14:textId="77777777" w:rsidR="00DC70A6" w:rsidRPr="00024EB0" w:rsidRDefault="00DC70A6" w:rsidP="00DC70A6">
            <w:pPr>
              <w:pStyle w:val="TableText"/>
            </w:pPr>
            <w:r w:rsidRPr="007D6676">
              <w:rPr>
                <w:i/>
              </w:rPr>
              <w:t>MET</w:t>
            </w:r>
            <w:r w:rsidRPr="00024EB0">
              <w:t>ex14sk NPA, 0.93 (base case: 1.00)</w:t>
            </w:r>
          </w:p>
        </w:tc>
        <w:tc>
          <w:tcPr>
            <w:tcW w:w="602" w:type="pct"/>
            <w:tcBorders>
              <w:bottom w:val="single" w:sz="4" w:space="0" w:color="auto"/>
            </w:tcBorders>
            <w:noWrap/>
          </w:tcPr>
          <w:p w14:paraId="14604EF6" w14:textId="19408ABA" w:rsidR="00DC70A6" w:rsidRPr="00024EB0" w:rsidRDefault="00DC70A6" w:rsidP="00DC70A6">
            <w:pPr>
              <w:pStyle w:val="TableText"/>
              <w:jc w:val="right"/>
            </w:pPr>
            <w:r w:rsidRPr="00587FCD">
              <w:t>$138.59</w:t>
            </w:r>
          </w:p>
        </w:tc>
        <w:tc>
          <w:tcPr>
            <w:tcW w:w="603" w:type="pct"/>
            <w:tcBorders>
              <w:bottom w:val="single" w:sz="4" w:space="0" w:color="auto"/>
            </w:tcBorders>
            <w:noWrap/>
          </w:tcPr>
          <w:p w14:paraId="4DC1DD8D" w14:textId="6D29AAAB" w:rsidR="00DC70A6" w:rsidRPr="00024EB0" w:rsidRDefault="00DC70A6" w:rsidP="00DC70A6">
            <w:pPr>
              <w:pStyle w:val="TableText"/>
              <w:jc w:val="right"/>
            </w:pPr>
            <w:r w:rsidRPr="00587FCD">
              <w:t>0.0734</w:t>
            </w:r>
          </w:p>
        </w:tc>
        <w:tc>
          <w:tcPr>
            <w:tcW w:w="603" w:type="pct"/>
            <w:tcBorders>
              <w:bottom w:val="single" w:sz="4" w:space="0" w:color="auto"/>
            </w:tcBorders>
            <w:noWrap/>
          </w:tcPr>
          <w:p w14:paraId="215D4E2E" w14:textId="001FF2AA" w:rsidR="00DC70A6" w:rsidRPr="00024EB0" w:rsidRDefault="00DC70A6" w:rsidP="00DC70A6">
            <w:pPr>
              <w:pStyle w:val="TableText"/>
              <w:jc w:val="right"/>
            </w:pPr>
            <w:r w:rsidRPr="00587FCD">
              <w:t>$1,887</w:t>
            </w:r>
          </w:p>
        </w:tc>
        <w:tc>
          <w:tcPr>
            <w:tcW w:w="443" w:type="pct"/>
            <w:tcBorders>
              <w:bottom w:val="single" w:sz="4" w:space="0" w:color="auto"/>
            </w:tcBorders>
            <w:noWrap/>
          </w:tcPr>
          <w:p w14:paraId="138CFA07" w14:textId="5FD4254C" w:rsidR="00DC70A6" w:rsidRPr="00024EB0" w:rsidRDefault="00DC70A6" w:rsidP="00DC70A6">
            <w:pPr>
              <w:pStyle w:val="TableText"/>
              <w:jc w:val="right"/>
            </w:pPr>
            <w:r w:rsidRPr="00587FCD">
              <w:t>−75%</w:t>
            </w:r>
          </w:p>
        </w:tc>
      </w:tr>
      <w:tr w:rsidR="00DC70A6" w:rsidRPr="00024EB0" w14:paraId="028C4B7E" w14:textId="77777777" w:rsidTr="00DC70A6">
        <w:trPr>
          <w:trHeight w:val="300"/>
        </w:trPr>
        <w:tc>
          <w:tcPr>
            <w:tcW w:w="2749" w:type="pct"/>
            <w:tcBorders>
              <w:bottom w:val="nil"/>
            </w:tcBorders>
            <w:noWrap/>
            <w:hideMark/>
          </w:tcPr>
          <w:p w14:paraId="709A5B49" w14:textId="77777777" w:rsidR="00DC70A6" w:rsidRPr="00024EB0" w:rsidRDefault="00DC70A6" w:rsidP="00DC70A6">
            <w:pPr>
              <w:pStyle w:val="TableText"/>
            </w:pPr>
            <w:r w:rsidRPr="007D6676">
              <w:rPr>
                <w:i/>
              </w:rPr>
              <w:t>MET</w:t>
            </w:r>
            <w:r w:rsidRPr="00024EB0">
              <w:t>ex14sk PPA, 0.89 (base case: 0.98)</w:t>
            </w:r>
          </w:p>
        </w:tc>
        <w:tc>
          <w:tcPr>
            <w:tcW w:w="602" w:type="pct"/>
            <w:tcBorders>
              <w:bottom w:val="nil"/>
            </w:tcBorders>
            <w:noWrap/>
          </w:tcPr>
          <w:p w14:paraId="6CACE293" w14:textId="043DFF0E" w:rsidR="00DC70A6" w:rsidRPr="00024EB0" w:rsidRDefault="00DC70A6" w:rsidP="00DC70A6">
            <w:pPr>
              <w:pStyle w:val="TableText"/>
              <w:jc w:val="right"/>
            </w:pPr>
            <w:r w:rsidRPr="00587FCD">
              <w:t>$170.49</w:t>
            </w:r>
          </w:p>
        </w:tc>
        <w:tc>
          <w:tcPr>
            <w:tcW w:w="603" w:type="pct"/>
            <w:tcBorders>
              <w:bottom w:val="nil"/>
            </w:tcBorders>
            <w:noWrap/>
          </w:tcPr>
          <w:p w14:paraId="3F7D0056" w14:textId="7EA922BD" w:rsidR="00DC70A6" w:rsidRPr="00024EB0" w:rsidRDefault="00DC70A6" w:rsidP="00DC70A6">
            <w:pPr>
              <w:pStyle w:val="TableText"/>
              <w:jc w:val="right"/>
            </w:pPr>
            <w:r w:rsidRPr="00587FCD">
              <w:t>0.0201</w:t>
            </w:r>
          </w:p>
        </w:tc>
        <w:tc>
          <w:tcPr>
            <w:tcW w:w="603" w:type="pct"/>
            <w:tcBorders>
              <w:bottom w:val="nil"/>
            </w:tcBorders>
            <w:noWrap/>
          </w:tcPr>
          <w:p w14:paraId="3982C27A" w14:textId="4773CC5D" w:rsidR="00DC70A6" w:rsidRPr="00024EB0" w:rsidRDefault="00DC70A6" w:rsidP="00DC70A6">
            <w:pPr>
              <w:pStyle w:val="TableText"/>
              <w:jc w:val="right"/>
            </w:pPr>
            <w:r w:rsidRPr="00587FCD">
              <w:t>$8,480</w:t>
            </w:r>
          </w:p>
        </w:tc>
        <w:tc>
          <w:tcPr>
            <w:tcW w:w="443" w:type="pct"/>
            <w:tcBorders>
              <w:bottom w:val="nil"/>
            </w:tcBorders>
            <w:noWrap/>
          </w:tcPr>
          <w:p w14:paraId="686B96FD" w14:textId="39625B1E" w:rsidR="00DC70A6" w:rsidRPr="00024EB0" w:rsidRDefault="00DC70A6" w:rsidP="00DC70A6">
            <w:pPr>
              <w:pStyle w:val="TableText"/>
              <w:jc w:val="right"/>
            </w:pPr>
            <w:r w:rsidRPr="00587FCD">
              <w:t>13%</w:t>
            </w:r>
          </w:p>
        </w:tc>
      </w:tr>
      <w:tr w:rsidR="00DC70A6" w:rsidRPr="00024EB0" w14:paraId="7EBF3652" w14:textId="77777777" w:rsidTr="00DC70A6">
        <w:trPr>
          <w:trHeight w:val="300"/>
        </w:trPr>
        <w:tc>
          <w:tcPr>
            <w:tcW w:w="2749" w:type="pct"/>
            <w:tcBorders>
              <w:top w:val="nil"/>
            </w:tcBorders>
            <w:noWrap/>
            <w:hideMark/>
          </w:tcPr>
          <w:p w14:paraId="5B38E39C" w14:textId="77777777" w:rsidR="00DC70A6" w:rsidRPr="00024EB0" w:rsidRDefault="00DC70A6" w:rsidP="00DC70A6">
            <w:pPr>
              <w:pStyle w:val="TableText"/>
            </w:pPr>
            <w:r w:rsidRPr="007D6676">
              <w:rPr>
                <w:i/>
              </w:rPr>
              <w:t>MET</w:t>
            </w:r>
            <w:r w:rsidRPr="00024EB0">
              <w:t>ex14sk PPA, 1.00 (base case: 0.98)</w:t>
            </w:r>
          </w:p>
        </w:tc>
        <w:tc>
          <w:tcPr>
            <w:tcW w:w="602" w:type="pct"/>
            <w:tcBorders>
              <w:top w:val="nil"/>
            </w:tcBorders>
            <w:noWrap/>
          </w:tcPr>
          <w:p w14:paraId="3080B26A" w14:textId="1195CA5D" w:rsidR="00DC70A6" w:rsidRPr="00024EB0" w:rsidRDefault="00DC70A6" w:rsidP="00DC70A6">
            <w:pPr>
              <w:pStyle w:val="TableText"/>
              <w:jc w:val="right"/>
            </w:pPr>
            <w:r w:rsidRPr="00587FCD">
              <w:t>$168.70</w:t>
            </w:r>
          </w:p>
        </w:tc>
        <w:tc>
          <w:tcPr>
            <w:tcW w:w="603" w:type="pct"/>
            <w:tcBorders>
              <w:top w:val="nil"/>
            </w:tcBorders>
            <w:noWrap/>
          </w:tcPr>
          <w:p w14:paraId="544955B6" w14:textId="053A6FEB" w:rsidR="00DC70A6" w:rsidRPr="00024EB0" w:rsidRDefault="00DC70A6" w:rsidP="00DC70A6">
            <w:pPr>
              <w:pStyle w:val="TableText"/>
              <w:jc w:val="right"/>
            </w:pPr>
            <w:r w:rsidRPr="00587FCD">
              <w:t>0.0231</w:t>
            </w:r>
          </w:p>
        </w:tc>
        <w:tc>
          <w:tcPr>
            <w:tcW w:w="603" w:type="pct"/>
            <w:tcBorders>
              <w:top w:val="nil"/>
            </w:tcBorders>
            <w:noWrap/>
          </w:tcPr>
          <w:p w14:paraId="1C6A12B7" w14:textId="271A2B88" w:rsidR="00DC70A6" w:rsidRPr="00024EB0" w:rsidRDefault="00DC70A6" w:rsidP="00DC70A6">
            <w:pPr>
              <w:pStyle w:val="TableText"/>
              <w:jc w:val="right"/>
            </w:pPr>
            <w:r w:rsidRPr="00587FCD">
              <w:t>$7,306</w:t>
            </w:r>
          </w:p>
        </w:tc>
        <w:tc>
          <w:tcPr>
            <w:tcW w:w="443" w:type="pct"/>
            <w:tcBorders>
              <w:top w:val="nil"/>
            </w:tcBorders>
            <w:noWrap/>
          </w:tcPr>
          <w:p w14:paraId="2C5CCA07" w14:textId="7F15D5FA" w:rsidR="00DC70A6" w:rsidRPr="00024EB0" w:rsidRDefault="00DC70A6" w:rsidP="00DC70A6">
            <w:pPr>
              <w:pStyle w:val="TableText"/>
              <w:jc w:val="right"/>
            </w:pPr>
            <w:r w:rsidRPr="00587FCD">
              <w:t>−3%</w:t>
            </w:r>
          </w:p>
        </w:tc>
      </w:tr>
      <w:tr w:rsidR="00DC70A6" w:rsidRPr="00024EB0" w14:paraId="5252ABF6" w14:textId="77777777" w:rsidTr="00DC70A6">
        <w:trPr>
          <w:trHeight w:val="300"/>
        </w:trPr>
        <w:tc>
          <w:tcPr>
            <w:tcW w:w="2749" w:type="pct"/>
            <w:tcBorders>
              <w:bottom w:val="single" w:sz="4" w:space="0" w:color="auto"/>
            </w:tcBorders>
            <w:noWrap/>
            <w:hideMark/>
          </w:tcPr>
          <w:p w14:paraId="0893E872" w14:textId="77777777" w:rsidR="00DC70A6" w:rsidRPr="00024EB0" w:rsidRDefault="00DC70A6" w:rsidP="00DC70A6">
            <w:pPr>
              <w:pStyle w:val="TableText"/>
            </w:pPr>
            <w:r w:rsidRPr="007D6676">
              <w:rPr>
                <w:i/>
              </w:rPr>
              <w:t>ROS1</w:t>
            </w:r>
            <w:r w:rsidRPr="00024EB0">
              <w:t xml:space="preserve"> NPA, 0.99 (base case: 1.00)</w:t>
            </w:r>
          </w:p>
        </w:tc>
        <w:tc>
          <w:tcPr>
            <w:tcW w:w="602" w:type="pct"/>
            <w:tcBorders>
              <w:bottom w:val="single" w:sz="4" w:space="0" w:color="auto"/>
            </w:tcBorders>
            <w:noWrap/>
          </w:tcPr>
          <w:p w14:paraId="2D490C3F" w14:textId="4C6C44C0" w:rsidR="00DC70A6" w:rsidRPr="00024EB0" w:rsidRDefault="00DC70A6" w:rsidP="00DC70A6">
            <w:pPr>
              <w:pStyle w:val="TableText"/>
              <w:jc w:val="right"/>
            </w:pPr>
            <w:r w:rsidRPr="00587FCD">
              <w:t>$169.02</w:t>
            </w:r>
          </w:p>
        </w:tc>
        <w:tc>
          <w:tcPr>
            <w:tcW w:w="603" w:type="pct"/>
            <w:tcBorders>
              <w:bottom w:val="single" w:sz="4" w:space="0" w:color="auto"/>
            </w:tcBorders>
            <w:noWrap/>
          </w:tcPr>
          <w:p w14:paraId="66679484" w14:textId="521A3923" w:rsidR="00DC70A6" w:rsidRPr="00024EB0" w:rsidRDefault="00DC70A6" w:rsidP="00DC70A6">
            <w:pPr>
              <w:pStyle w:val="TableText"/>
              <w:jc w:val="right"/>
            </w:pPr>
            <w:r w:rsidRPr="00587FCD">
              <w:t>0.0296</w:t>
            </w:r>
          </w:p>
        </w:tc>
        <w:tc>
          <w:tcPr>
            <w:tcW w:w="603" w:type="pct"/>
            <w:tcBorders>
              <w:bottom w:val="single" w:sz="4" w:space="0" w:color="auto"/>
            </w:tcBorders>
            <w:noWrap/>
          </w:tcPr>
          <w:p w14:paraId="2EB97EAB" w14:textId="7DC7A606" w:rsidR="00DC70A6" w:rsidRPr="00024EB0" w:rsidRDefault="00DC70A6" w:rsidP="00DC70A6">
            <w:pPr>
              <w:pStyle w:val="TableText"/>
              <w:jc w:val="right"/>
            </w:pPr>
            <w:r w:rsidRPr="00587FCD">
              <w:t>$5,711</w:t>
            </w:r>
          </w:p>
        </w:tc>
        <w:tc>
          <w:tcPr>
            <w:tcW w:w="443" w:type="pct"/>
            <w:tcBorders>
              <w:bottom w:val="single" w:sz="4" w:space="0" w:color="auto"/>
            </w:tcBorders>
            <w:noWrap/>
          </w:tcPr>
          <w:p w14:paraId="1D3D437C" w14:textId="020B54CC" w:rsidR="00DC70A6" w:rsidRPr="00024EB0" w:rsidRDefault="00DC70A6" w:rsidP="00DC70A6">
            <w:pPr>
              <w:pStyle w:val="TableText"/>
              <w:jc w:val="right"/>
            </w:pPr>
            <w:r w:rsidRPr="00587FCD">
              <w:t>−24%</w:t>
            </w:r>
          </w:p>
        </w:tc>
      </w:tr>
      <w:tr w:rsidR="00DC70A6" w:rsidRPr="00024EB0" w14:paraId="4F9415F9" w14:textId="77777777" w:rsidTr="00DC70A6">
        <w:trPr>
          <w:trHeight w:val="300"/>
        </w:trPr>
        <w:tc>
          <w:tcPr>
            <w:tcW w:w="2749" w:type="pct"/>
            <w:tcBorders>
              <w:bottom w:val="nil"/>
            </w:tcBorders>
            <w:noWrap/>
            <w:hideMark/>
          </w:tcPr>
          <w:p w14:paraId="489BD3E2" w14:textId="77777777" w:rsidR="00DC70A6" w:rsidRPr="00024EB0" w:rsidRDefault="00DC70A6" w:rsidP="00DC70A6">
            <w:pPr>
              <w:pStyle w:val="TableText"/>
            </w:pPr>
            <w:r w:rsidRPr="007D6676">
              <w:rPr>
                <w:i/>
              </w:rPr>
              <w:t>ROS1</w:t>
            </w:r>
            <w:r w:rsidRPr="00024EB0">
              <w:t xml:space="preserve"> PPA, 0.63 (base case: 0.86)</w:t>
            </w:r>
          </w:p>
        </w:tc>
        <w:tc>
          <w:tcPr>
            <w:tcW w:w="602" w:type="pct"/>
            <w:tcBorders>
              <w:bottom w:val="nil"/>
            </w:tcBorders>
            <w:noWrap/>
          </w:tcPr>
          <w:p w14:paraId="1D1C64F0" w14:textId="0C6F353C" w:rsidR="00DC70A6" w:rsidRPr="00024EB0" w:rsidRDefault="00DC70A6" w:rsidP="00DC70A6">
            <w:pPr>
              <w:pStyle w:val="TableText"/>
              <w:jc w:val="right"/>
            </w:pPr>
            <w:r w:rsidRPr="00587FCD">
              <w:t>$168.97</w:t>
            </w:r>
          </w:p>
        </w:tc>
        <w:tc>
          <w:tcPr>
            <w:tcW w:w="603" w:type="pct"/>
            <w:tcBorders>
              <w:bottom w:val="nil"/>
            </w:tcBorders>
            <w:noWrap/>
          </w:tcPr>
          <w:p w14:paraId="65590AE0" w14:textId="14E623A5" w:rsidR="00DC70A6" w:rsidRPr="00024EB0" w:rsidRDefault="00DC70A6" w:rsidP="00DC70A6">
            <w:pPr>
              <w:pStyle w:val="TableText"/>
              <w:jc w:val="right"/>
            </w:pPr>
            <w:r w:rsidRPr="00587FCD">
              <w:t>0.0199</w:t>
            </w:r>
          </w:p>
        </w:tc>
        <w:tc>
          <w:tcPr>
            <w:tcW w:w="603" w:type="pct"/>
            <w:tcBorders>
              <w:bottom w:val="nil"/>
            </w:tcBorders>
            <w:noWrap/>
          </w:tcPr>
          <w:p w14:paraId="24031C5A" w14:textId="733830DE" w:rsidR="00DC70A6" w:rsidRPr="00024EB0" w:rsidRDefault="00DC70A6" w:rsidP="00DC70A6">
            <w:pPr>
              <w:pStyle w:val="TableText"/>
              <w:jc w:val="right"/>
            </w:pPr>
            <w:r w:rsidRPr="00587FCD">
              <w:t>$8,493</w:t>
            </w:r>
          </w:p>
        </w:tc>
        <w:tc>
          <w:tcPr>
            <w:tcW w:w="443" w:type="pct"/>
            <w:tcBorders>
              <w:bottom w:val="nil"/>
            </w:tcBorders>
            <w:noWrap/>
          </w:tcPr>
          <w:p w14:paraId="26636E88" w14:textId="1B2EE61E" w:rsidR="00DC70A6" w:rsidRPr="00024EB0" w:rsidRDefault="00DC70A6" w:rsidP="00DC70A6">
            <w:pPr>
              <w:pStyle w:val="TableText"/>
              <w:jc w:val="right"/>
            </w:pPr>
            <w:r w:rsidRPr="00587FCD">
              <w:t>13%</w:t>
            </w:r>
          </w:p>
        </w:tc>
      </w:tr>
      <w:tr w:rsidR="00DC70A6" w:rsidRPr="00024EB0" w14:paraId="24D51F75" w14:textId="77777777" w:rsidTr="00DC70A6">
        <w:trPr>
          <w:trHeight w:val="300"/>
        </w:trPr>
        <w:tc>
          <w:tcPr>
            <w:tcW w:w="2749" w:type="pct"/>
            <w:tcBorders>
              <w:top w:val="nil"/>
            </w:tcBorders>
            <w:noWrap/>
            <w:hideMark/>
          </w:tcPr>
          <w:p w14:paraId="7F1BBEA1" w14:textId="77777777" w:rsidR="00DC70A6" w:rsidRPr="00024EB0" w:rsidRDefault="00DC70A6" w:rsidP="00DC70A6">
            <w:pPr>
              <w:pStyle w:val="TableText"/>
            </w:pPr>
            <w:r w:rsidRPr="007D6676">
              <w:rPr>
                <w:i/>
              </w:rPr>
              <w:t>ROS1</w:t>
            </w:r>
            <w:r w:rsidRPr="00024EB0">
              <w:t xml:space="preserve"> PPA, 0.96 (base case: 0.86)</w:t>
            </w:r>
          </w:p>
        </w:tc>
        <w:tc>
          <w:tcPr>
            <w:tcW w:w="602" w:type="pct"/>
            <w:tcBorders>
              <w:top w:val="nil"/>
            </w:tcBorders>
            <w:noWrap/>
          </w:tcPr>
          <w:p w14:paraId="666D2A23" w14:textId="713ED248" w:rsidR="00DC70A6" w:rsidRPr="00024EB0" w:rsidRDefault="00DC70A6" w:rsidP="00DC70A6">
            <w:pPr>
              <w:pStyle w:val="TableText"/>
              <w:jc w:val="right"/>
            </w:pPr>
            <w:r w:rsidRPr="00587FCD">
              <w:t>$169.05</w:t>
            </w:r>
          </w:p>
        </w:tc>
        <w:tc>
          <w:tcPr>
            <w:tcW w:w="603" w:type="pct"/>
            <w:tcBorders>
              <w:top w:val="nil"/>
            </w:tcBorders>
            <w:noWrap/>
          </w:tcPr>
          <w:p w14:paraId="04F6601A" w14:textId="1215F5A4" w:rsidR="00DC70A6" w:rsidRPr="00024EB0" w:rsidRDefault="00DC70A6" w:rsidP="00DC70A6">
            <w:pPr>
              <w:pStyle w:val="TableText"/>
              <w:jc w:val="right"/>
            </w:pPr>
            <w:r w:rsidRPr="00587FCD">
              <w:t>0.0237</w:t>
            </w:r>
          </w:p>
        </w:tc>
        <w:tc>
          <w:tcPr>
            <w:tcW w:w="603" w:type="pct"/>
            <w:tcBorders>
              <w:top w:val="nil"/>
            </w:tcBorders>
            <w:noWrap/>
          </w:tcPr>
          <w:p w14:paraId="7AD181AF" w14:textId="6F7D5431" w:rsidR="00DC70A6" w:rsidRPr="00024EB0" w:rsidRDefault="00DC70A6" w:rsidP="00DC70A6">
            <w:pPr>
              <w:pStyle w:val="TableText"/>
              <w:jc w:val="right"/>
            </w:pPr>
            <w:r w:rsidRPr="00587FCD">
              <w:t>$7,133</w:t>
            </w:r>
          </w:p>
        </w:tc>
        <w:tc>
          <w:tcPr>
            <w:tcW w:w="443" w:type="pct"/>
            <w:tcBorders>
              <w:top w:val="nil"/>
            </w:tcBorders>
            <w:noWrap/>
          </w:tcPr>
          <w:p w14:paraId="52691846" w14:textId="3613BDCF" w:rsidR="00DC70A6" w:rsidRPr="00024EB0" w:rsidRDefault="00DC70A6" w:rsidP="00DC70A6">
            <w:pPr>
              <w:pStyle w:val="TableText"/>
              <w:jc w:val="right"/>
            </w:pPr>
            <w:r w:rsidRPr="00587FCD">
              <w:t>−5%</w:t>
            </w:r>
          </w:p>
        </w:tc>
      </w:tr>
      <w:tr w:rsidR="00DC70A6" w:rsidRPr="00024EB0" w14:paraId="2564B759" w14:textId="77777777" w:rsidTr="00DC70A6">
        <w:trPr>
          <w:trHeight w:val="300"/>
        </w:trPr>
        <w:tc>
          <w:tcPr>
            <w:tcW w:w="2749" w:type="pct"/>
            <w:tcBorders>
              <w:bottom w:val="single" w:sz="4" w:space="0" w:color="auto"/>
              <w:right w:val="nil"/>
            </w:tcBorders>
            <w:noWrap/>
            <w:hideMark/>
          </w:tcPr>
          <w:p w14:paraId="1F247FCE" w14:textId="77777777" w:rsidR="00DC70A6" w:rsidRPr="00024EB0" w:rsidRDefault="00DC70A6" w:rsidP="00DC70A6">
            <w:pPr>
              <w:pStyle w:val="TableText"/>
            </w:pPr>
            <w:r>
              <w:t xml:space="preserve">ALK IHC PPA </w:t>
            </w:r>
            <w:r w:rsidRPr="00024EB0">
              <w:t>(base case 0.984)</w:t>
            </w:r>
          </w:p>
        </w:tc>
        <w:tc>
          <w:tcPr>
            <w:tcW w:w="602" w:type="pct"/>
            <w:tcBorders>
              <w:left w:val="nil"/>
              <w:bottom w:val="single" w:sz="4" w:space="0" w:color="auto"/>
              <w:right w:val="nil"/>
            </w:tcBorders>
            <w:noWrap/>
          </w:tcPr>
          <w:p w14:paraId="5647D36F" w14:textId="2E657828" w:rsidR="00DC70A6" w:rsidRPr="00024EB0" w:rsidRDefault="00DC70A6" w:rsidP="00DC70A6">
            <w:pPr>
              <w:pStyle w:val="TableText"/>
              <w:jc w:val="right"/>
            </w:pPr>
          </w:p>
        </w:tc>
        <w:tc>
          <w:tcPr>
            <w:tcW w:w="603" w:type="pct"/>
            <w:tcBorders>
              <w:left w:val="nil"/>
              <w:bottom w:val="single" w:sz="4" w:space="0" w:color="auto"/>
              <w:right w:val="nil"/>
            </w:tcBorders>
            <w:noWrap/>
          </w:tcPr>
          <w:p w14:paraId="1C871BBF" w14:textId="05BF54BA" w:rsidR="00DC70A6" w:rsidRPr="00024EB0" w:rsidRDefault="00DC70A6" w:rsidP="00DC70A6">
            <w:pPr>
              <w:pStyle w:val="TableText"/>
              <w:jc w:val="right"/>
            </w:pPr>
          </w:p>
        </w:tc>
        <w:tc>
          <w:tcPr>
            <w:tcW w:w="603" w:type="pct"/>
            <w:tcBorders>
              <w:left w:val="nil"/>
              <w:bottom w:val="single" w:sz="4" w:space="0" w:color="auto"/>
              <w:right w:val="nil"/>
            </w:tcBorders>
            <w:noWrap/>
          </w:tcPr>
          <w:p w14:paraId="064040BD" w14:textId="18220DE8" w:rsidR="00DC70A6" w:rsidRPr="00024EB0" w:rsidRDefault="00DC70A6" w:rsidP="00DC70A6">
            <w:pPr>
              <w:pStyle w:val="TableText"/>
              <w:jc w:val="right"/>
            </w:pPr>
          </w:p>
        </w:tc>
        <w:tc>
          <w:tcPr>
            <w:tcW w:w="443" w:type="pct"/>
            <w:tcBorders>
              <w:left w:val="nil"/>
              <w:bottom w:val="single" w:sz="4" w:space="0" w:color="auto"/>
            </w:tcBorders>
            <w:noWrap/>
          </w:tcPr>
          <w:p w14:paraId="6A0037AC" w14:textId="6D7C48CE" w:rsidR="00DC70A6" w:rsidRPr="00024EB0" w:rsidRDefault="00DC70A6" w:rsidP="00DC70A6">
            <w:pPr>
              <w:pStyle w:val="TableText"/>
              <w:jc w:val="right"/>
            </w:pPr>
          </w:p>
        </w:tc>
      </w:tr>
      <w:tr w:rsidR="00DC70A6" w:rsidRPr="00024EB0" w14:paraId="37495D1E" w14:textId="77777777" w:rsidTr="00DC70A6">
        <w:trPr>
          <w:trHeight w:val="300"/>
        </w:trPr>
        <w:tc>
          <w:tcPr>
            <w:tcW w:w="2749" w:type="pct"/>
            <w:tcBorders>
              <w:bottom w:val="nil"/>
            </w:tcBorders>
            <w:noWrap/>
            <w:hideMark/>
          </w:tcPr>
          <w:p w14:paraId="23DAA075" w14:textId="77777777" w:rsidR="00DC70A6" w:rsidRPr="00024EB0" w:rsidRDefault="00DC70A6" w:rsidP="00DC70A6">
            <w:pPr>
              <w:pStyle w:val="TableText"/>
            </w:pPr>
            <w:r>
              <w:t>0.900</w:t>
            </w:r>
          </w:p>
        </w:tc>
        <w:tc>
          <w:tcPr>
            <w:tcW w:w="602" w:type="pct"/>
            <w:tcBorders>
              <w:bottom w:val="nil"/>
            </w:tcBorders>
            <w:noWrap/>
          </w:tcPr>
          <w:p w14:paraId="154A7B27" w14:textId="6D5ED62B" w:rsidR="00DC70A6" w:rsidRPr="00024EB0" w:rsidRDefault="00DC70A6" w:rsidP="00DC70A6">
            <w:pPr>
              <w:pStyle w:val="TableText"/>
              <w:jc w:val="right"/>
            </w:pPr>
            <w:r w:rsidRPr="00587FCD">
              <w:t>$169.06</w:t>
            </w:r>
          </w:p>
        </w:tc>
        <w:tc>
          <w:tcPr>
            <w:tcW w:w="603" w:type="pct"/>
            <w:tcBorders>
              <w:bottom w:val="nil"/>
            </w:tcBorders>
            <w:noWrap/>
          </w:tcPr>
          <w:p w14:paraId="6563480E" w14:textId="618AA291" w:rsidR="00DC70A6" w:rsidRPr="00024EB0" w:rsidRDefault="00DC70A6" w:rsidP="00DC70A6">
            <w:pPr>
              <w:pStyle w:val="TableText"/>
              <w:jc w:val="right"/>
            </w:pPr>
            <w:r w:rsidRPr="00587FCD">
              <w:t>0.0243</w:t>
            </w:r>
          </w:p>
        </w:tc>
        <w:tc>
          <w:tcPr>
            <w:tcW w:w="603" w:type="pct"/>
            <w:tcBorders>
              <w:bottom w:val="nil"/>
            </w:tcBorders>
            <w:noWrap/>
          </w:tcPr>
          <w:p w14:paraId="2CD02677" w14:textId="698E07EB" w:rsidR="00DC70A6" w:rsidRPr="00024EB0" w:rsidRDefault="00DC70A6" w:rsidP="00DC70A6">
            <w:pPr>
              <w:pStyle w:val="TableText"/>
              <w:jc w:val="right"/>
            </w:pPr>
            <w:r w:rsidRPr="00587FCD">
              <w:t>$6,945</w:t>
            </w:r>
          </w:p>
        </w:tc>
        <w:tc>
          <w:tcPr>
            <w:tcW w:w="443" w:type="pct"/>
            <w:tcBorders>
              <w:bottom w:val="nil"/>
            </w:tcBorders>
            <w:noWrap/>
          </w:tcPr>
          <w:p w14:paraId="486073DA" w14:textId="188DB26E" w:rsidR="00DC70A6" w:rsidRPr="00024EB0" w:rsidRDefault="00DC70A6" w:rsidP="00DC70A6">
            <w:pPr>
              <w:pStyle w:val="TableText"/>
              <w:jc w:val="right"/>
            </w:pPr>
            <w:r w:rsidRPr="00587FCD">
              <w:t>−7%</w:t>
            </w:r>
          </w:p>
        </w:tc>
      </w:tr>
      <w:tr w:rsidR="00DC70A6" w:rsidRPr="00024EB0" w14:paraId="6AEAE857" w14:textId="77777777" w:rsidTr="00DC70A6">
        <w:trPr>
          <w:trHeight w:val="300"/>
        </w:trPr>
        <w:tc>
          <w:tcPr>
            <w:tcW w:w="2749" w:type="pct"/>
            <w:tcBorders>
              <w:top w:val="nil"/>
            </w:tcBorders>
            <w:noWrap/>
            <w:hideMark/>
          </w:tcPr>
          <w:p w14:paraId="14862975" w14:textId="77777777" w:rsidR="00DC70A6" w:rsidRPr="00024EB0" w:rsidRDefault="00DC70A6" w:rsidP="00DC70A6">
            <w:pPr>
              <w:pStyle w:val="TableText"/>
            </w:pPr>
            <w:r>
              <w:t>0.998</w:t>
            </w:r>
          </w:p>
        </w:tc>
        <w:tc>
          <w:tcPr>
            <w:tcW w:w="602" w:type="pct"/>
            <w:tcBorders>
              <w:top w:val="nil"/>
            </w:tcBorders>
            <w:noWrap/>
          </w:tcPr>
          <w:p w14:paraId="79F13402" w14:textId="0F02EAC0" w:rsidR="00DC70A6" w:rsidRPr="00024EB0" w:rsidRDefault="00DC70A6" w:rsidP="00DC70A6">
            <w:pPr>
              <w:pStyle w:val="TableText"/>
              <w:jc w:val="right"/>
            </w:pPr>
            <w:r w:rsidRPr="00587FCD">
              <w:t>$169.02</w:t>
            </w:r>
          </w:p>
        </w:tc>
        <w:tc>
          <w:tcPr>
            <w:tcW w:w="603" w:type="pct"/>
            <w:tcBorders>
              <w:top w:val="nil"/>
            </w:tcBorders>
            <w:noWrap/>
          </w:tcPr>
          <w:p w14:paraId="35652E02" w14:textId="7DF4717B" w:rsidR="00DC70A6" w:rsidRPr="00024EB0" w:rsidRDefault="00DC70A6" w:rsidP="00DC70A6">
            <w:pPr>
              <w:pStyle w:val="TableText"/>
              <w:jc w:val="right"/>
            </w:pPr>
            <w:r w:rsidRPr="00587FCD">
              <w:t>0.0222</w:t>
            </w:r>
          </w:p>
        </w:tc>
        <w:tc>
          <w:tcPr>
            <w:tcW w:w="603" w:type="pct"/>
            <w:tcBorders>
              <w:top w:val="nil"/>
            </w:tcBorders>
            <w:noWrap/>
          </w:tcPr>
          <w:p w14:paraId="05A2D12E" w14:textId="25B2828E" w:rsidR="00DC70A6" w:rsidRPr="00024EB0" w:rsidRDefault="00DC70A6" w:rsidP="00DC70A6">
            <w:pPr>
              <w:pStyle w:val="TableText"/>
              <w:jc w:val="right"/>
            </w:pPr>
            <w:r w:rsidRPr="00587FCD">
              <w:t>$7,597</w:t>
            </w:r>
          </w:p>
        </w:tc>
        <w:tc>
          <w:tcPr>
            <w:tcW w:w="443" w:type="pct"/>
            <w:tcBorders>
              <w:top w:val="nil"/>
            </w:tcBorders>
            <w:noWrap/>
          </w:tcPr>
          <w:p w14:paraId="523F8C01" w14:textId="4C4759A0" w:rsidR="00DC70A6" w:rsidRPr="00024EB0" w:rsidRDefault="00DC70A6" w:rsidP="00DC70A6">
            <w:pPr>
              <w:pStyle w:val="TableText"/>
              <w:jc w:val="right"/>
            </w:pPr>
            <w:r w:rsidRPr="00587FCD">
              <w:t>1%</w:t>
            </w:r>
          </w:p>
        </w:tc>
      </w:tr>
      <w:tr w:rsidR="00DC70A6" w:rsidRPr="00024EB0" w14:paraId="29D54238" w14:textId="77777777" w:rsidTr="00DC70A6">
        <w:trPr>
          <w:trHeight w:val="300"/>
        </w:trPr>
        <w:tc>
          <w:tcPr>
            <w:tcW w:w="2749" w:type="pct"/>
            <w:tcBorders>
              <w:bottom w:val="single" w:sz="4" w:space="0" w:color="auto"/>
              <w:right w:val="nil"/>
            </w:tcBorders>
            <w:noWrap/>
            <w:hideMark/>
          </w:tcPr>
          <w:p w14:paraId="50E0339C" w14:textId="77777777" w:rsidR="00DC70A6" w:rsidRPr="00024EB0" w:rsidRDefault="00DC70A6" w:rsidP="00DC70A6">
            <w:pPr>
              <w:pStyle w:val="TableText"/>
            </w:pPr>
            <w:r w:rsidRPr="00024EB0">
              <w:t>Rebiopsy uptake rate (base case: 100%)</w:t>
            </w:r>
          </w:p>
        </w:tc>
        <w:tc>
          <w:tcPr>
            <w:tcW w:w="602" w:type="pct"/>
            <w:tcBorders>
              <w:left w:val="nil"/>
              <w:bottom w:val="single" w:sz="4" w:space="0" w:color="auto"/>
              <w:right w:val="nil"/>
            </w:tcBorders>
            <w:noWrap/>
          </w:tcPr>
          <w:p w14:paraId="4428D7FD" w14:textId="6846395F" w:rsidR="00DC70A6" w:rsidRPr="00024EB0" w:rsidRDefault="00DC70A6" w:rsidP="00DC70A6">
            <w:pPr>
              <w:pStyle w:val="TableText"/>
              <w:jc w:val="right"/>
            </w:pPr>
          </w:p>
        </w:tc>
        <w:tc>
          <w:tcPr>
            <w:tcW w:w="603" w:type="pct"/>
            <w:tcBorders>
              <w:left w:val="nil"/>
              <w:bottom w:val="single" w:sz="4" w:space="0" w:color="auto"/>
              <w:right w:val="nil"/>
            </w:tcBorders>
            <w:noWrap/>
          </w:tcPr>
          <w:p w14:paraId="6DF2E976" w14:textId="6913E114" w:rsidR="00DC70A6" w:rsidRPr="00024EB0" w:rsidRDefault="00DC70A6" w:rsidP="00DC70A6">
            <w:pPr>
              <w:pStyle w:val="TableText"/>
              <w:jc w:val="right"/>
            </w:pPr>
          </w:p>
        </w:tc>
        <w:tc>
          <w:tcPr>
            <w:tcW w:w="603" w:type="pct"/>
            <w:tcBorders>
              <w:left w:val="nil"/>
              <w:bottom w:val="single" w:sz="4" w:space="0" w:color="auto"/>
              <w:right w:val="nil"/>
            </w:tcBorders>
            <w:noWrap/>
          </w:tcPr>
          <w:p w14:paraId="1AF34AEE" w14:textId="3AAEA7DD" w:rsidR="00DC70A6" w:rsidRPr="00024EB0" w:rsidRDefault="00DC70A6" w:rsidP="00DC70A6">
            <w:pPr>
              <w:pStyle w:val="TableText"/>
              <w:jc w:val="right"/>
            </w:pPr>
          </w:p>
        </w:tc>
        <w:tc>
          <w:tcPr>
            <w:tcW w:w="443" w:type="pct"/>
            <w:tcBorders>
              <w:left w:val="nil"/>
              <w:bottom w:val="single" w:sz="4" w:space="0" w:color="auto"/>
            </w:tcBorders>
            <w:noWrap/>
          </w:tcPr>
          <w:p w14:paraId="028E5811" w14:textId="596A9CD4" w:rsidR="00DC70A6" w:rsidRPr="00024EB0" w:rsidRDefault="00DC70A6" w:rsidP="00DC70A6">
            <w:pPr>
              <w:pStyle w:val="TableText"/>
              <w:jc w:val="right"/>
            </w:pPr>
          </w:p>
        </w:tc>
      </w:tr>
      <w:tr w:rsidR="00DC70A6" w:rsidRPr="00024EB0" w14:paraId="3D3C93D1" w14:textId="77777777" w:rsidTr="00247A5F">
        <w:trPr>
          <w:trHeight w:val="300"/>
        </w:trPr>
        <w:tc>
          <w:tcPr>
            <w:tcW w:w="2749" w:type="pct"/>
            <w:tcBorders>
              <w:bottom w:val="nil"/>
            </w:tcBorders>
            <w:noWrap/>
          </w:tcPr>
          <w:p w14:paraId="755A211B" w14:textId="77777777" w:rsidR="00DC70A6" w:rsidRPr="00024EB0" w:rsidRDefault="00DC70A6" w:rsidP="00DC70A6">
            <w:pPr>
              <w:pStyle w:val="TableText"/>
            </w:pPr>
            <w:r w:rsidRPr="00C80CB3">
              <w:t>13%</w:t>
            </w:r>
          </w:p>
        </w:tc>
        <w:tc>
          <w:tcPr>
            <w:tcW w:w="602" w:type="pct"/>
            <w:tcBorders>
              <w:bottom w:val="nil"/>
            </w:tcBorders>
            <w:noWrap/>
          </w:tcPr>
          <w:p w14:paraId="1DB4F395" w14:textId="6AC2822E" w:rsidR="00DC70A6" w:rsidRPr="00024EB0" w:rsidRDefault="00DC70A6" w:rsidP="00DC70A6">
            <w:pPr>
              <w:pStyle w:val="TableText"/>
              <w:jc w:val="right"/>
            </w:pPr>
            <w:r w:rsidRPr="00587FCD">
              <w:t>$275.81</w:t>
            </w:r>
          </w:p>
        </w:tc>
        <w:tc>
          <w:tcPr>
            <w:tcW w:w="603" w:type="pct"/>
            <w:tcBorders>
              <w:bottom w:val="nil"/>
            </w:tcBorders>
            <w:noWrap/>
          </w:tcPr>
          <w:p w14:paraId="41F16ED3" w14:textId="4F3EB0D4" w:rsidR="00DC70A6" w:rsidRPr="00024EB0" w:rsidRDefault="00DC70A6" w:rsidP="00DC70A6">
            <w:pPr>
              <w:pStyle w:val="TableText"/>
              <w:jc w:val="right"/>
            </w:pPr>
            <w:r w:rsidRPr="00587FCD">
              <w:t>0.0253</w:t>
            </w:r>
          </w:p>
        </w:tc>
        <w:tc>
          <w:tcPr>
            <w:tcW w:w="603" w:type="pct"/>
            <w:tcBorders>
              <w:bottom w:val="nil"/>
            </w:tcBorders>
            <w:noWrap/>
          </w:tcPr>
          <w:p w14:paraId="66356A5E" w14:textId="6897E965" w:rsidR="00DC70A6" w:rsidRPr="00024EB0" w:rsidRDefault="00DC70A6" w:rsidP="00DC70A6">
            <w:pPr>
              <w:pStyle w:val="TableText"/>
              <w:jc w:val="right"/>
            </w:pPr>
            <w:r w:rsidRPr="00587FCD">
              <w:t>$10,905</w:t>
            </w:r>
          </w:p>
        </w:tc>
        <w:tc>
          <w:tcPr>
            <w:tcW w:w="443" w:type="pct"/>
            <w:tcBorders>
              <w:bottom w:val="nil"/>
            </w:tcBorders>
            <w:noWrap/>
          </w:tcPr>
          <w:p w14:paraId="2A3E908F" w14:textId="3B62F488" w:rsidR="00DC70A6" w:rsidRPr="00024EB0" w:rsidRDefault="00DC70A6" w:rsidP="00DC70A6">
            <w:pPr>
              <w:pStyle w:val="TableText"/>
              <w:jc w:val="right"/>
            </w:pPr>
            <w:r w:rsidRPr="00587FCD">
              <w:t>45%</w:t>
            </w:r>
          </w:p>
        </w:tc>
      </w:tr>
      <w:tr w:rsidR="00DC70A6" w:rsidRPr="00024EB0" w14:paraId="3AB832DD" w14:textId="77777777" w:rsidTr="00DC70A6">
        <w:trPr>
          <w:trHeight w:val="300"/>
        </w:trPr>
        <w:tc>
          <w:tcPr>
            <w:tcW w:w="2749" w:type="pct"/>
            <w:tcBorders>
              <w:top w:val="nil"/>
              <w:bottom w:val="nil"/>
            </w:tcBorders>
            <w:noWrap/>
            <w:hideMark/>
          </w:tcPr>
          <w:p w14:paraId="57FF98E8" w14:textId="77777777" w:rsidR="00DC70A6" w:rsidRPr="00024EB0" w:rsidRDefault="00DC70A6" w:rsidP="00DC70A6">
            <w:pPr>
              <w:pStyle w:val="TableText"/>
            </w:pPr>
            <w:r w:rsidRPr="00C80CB3">
              <w:t>30%</w:t>
            </w:r>
          </w:p>
        </w:tc>
        <w:tc>
          <w:tcPr>
            <w:tcW w:w="602" w:type="pct"/>
            <w:tcBorders>
              <w:top w:val="nil"/>
              <w:bottom w:val="nil"/>
            </w:tcBorders>
            <w:noWrap/>
          </w:tcPr>
          <w:p w14:paraId="0399F046" w14:textId="205E5E73" w:rsidR="00DC70A6" w:rsidRPr="00024EB0" w:rsidRDefault="00DC70A6" w:rsidP="00DC70A6">
            <w:pPr>
              <w:pStyle w:val="TableText"/>
              <w:jc w:val="right"/>
            </w:pPr>
            <w:r w:rsidRPr="00587FCD">
              <w:t>$254.94</w:t>
            </w:r>
          </w:p>
        </w:tc>
        <w:tc>
          <w:tcPr>
            <w:tcW w:w="603" w:type="pct"/>
            <w:tcBorders>
              <w:top w:val="nil"/>
              <w:bottom w:val="nil"/>
            </w:tcBorders>
            <w:noWrap/>
          </w:tcPr>
          <w:p w14:paraId="43A367CD" w14:textId="1E640AFC" w:rsidR="00DC70A6" w:rsidRPr="00024EB0" w:rsidRDefault="00DC70A6" w:rsidP="00DC70A6">
            <w:pPr>
              <w:pStyle w:val="TableText"/>
              <w:jc w:val="right"/>
            </w:pPr>
            <w:r w:rsidRPr="00587FCD">
              <w:t>0.0248</w:t>
            </w:r>
          </w:p>
        </w:tc>
        <w:tc>
          <w:tcPr>
            <w:tcW w:w="603" w:type="pct"/>
            <w:tcBorders>
              <w:top w:val="nil"/>
              <w:bottom w:val="nil"/>
            </w:tcBorders>
            <w:noWrap/>
          </w:tcPr>
          <w:p w14:paraId="6ED1EA0D" w14:textId="2B56462F" w:rsidR="00DC70A6" w:rsidRPr="00024EB0" w:rsidRDefault="00DC70A6" w:rsidP="00DC70A6">
            <w:pPr>
              <w:pStyle w:val="TableText"/>
              <w:jc w:val="right"/>
            </w:pPr>
            <w:r w:rsidRPr="00587FCD">
              <w:t>$10,298</w:t>
            </w:r>
          </w:p>
        </w:tc>
        <w:tc>
          <w:tcPr>
            <w:tcW w:w="443" w:type="pct"/>
            <w:tcBorders>
              <w:top w:val="nil"/>
              <w:bottom w:val="nil"/>
            </w:tcBorders>
            <w:noWrap/>
          </w:tcPr>
          <w:p w14:paraId="060CF8FA" w14:textId="56EEF537" w:rsidR="00DC70A6" w:rsidRPr="00024EB0" w:rsidRDefault="00DC70A6" w:rsidP="00DC70A6">
            <w:pPr>
              <w:pStyle w:val="TableText"/>
              <w:jc w:val="right"/>
            </w:pPr>
            <w:r w:rsidRPr="00587FCD">
              <w:t>37%</w:t>
            </w:r>
          </w:p>
        </w:tc>
      </w:tr>
      <w:tr w:rsidR="00DC70A6" w:rsidRPr="00024EB0" w14:paraId="147B81CC" w14:textId="77777777" w:rsidTr="00247A5F">
        <w:trPr>
          <w:trHeight w:val="300"/>
        </w:trPr>
        <w:tc>
          <w:tcPr>
            <w:tcW w:w="2749" w:type="pct"/>
            <w:tcBorders>
              <w:top w:val="nil"/>
              <w:bottom w:val="nil"/>
            </w:tcBorders>
            <w:noWrap/>
          </w:tcPr>
          <w:p w14:paraId="478409EC" w14:textId="77777777" w:rsidR="00DC70A6" w:rsidRPr="00024EB0" w:rsidRDefault="00DC70A6" w:rsidP="00DC70A6">
            <w:pPr>
              <w:pStyle w:val="TableText"/>
            </w:pPr>
            <w:r w:rsidRPr="00C80CB3">
              <w:t>43%</w:t>
            </w:r>
          </w:p>
        </w:tc>
        <w:tc>
          <w:tcPr>
            <w:tcW w:w="602" w:type="pct"/>
            <w:tcBorders>
              <w:top w:val="nil"/>
              <w:bottom w:val="nil"/>
            </w:tcBorders>
            <w:noWrap/>
          </w:tcPr>
          <w:p w14:paraId="2F7D8112" w14:textId="0B31FCCB" w:rsidR="00DC70A6" w:rsidRPr="00024EB0" w:rsidRDefault="00DC70A6" w:rsidP="00DC70A6">
            <w:pPr>
              <w:pStyle w:val="TableText"/>
              <w:jc w:val="right"/>
            </w:pPr>
            <w:r w:rsidRPr="00587FCD">
              <w:t>$238.99</w:t>
            </w:r>
          </w:p>
        </w:tc>
        <w:tc>
          <w:tcPr>
            <w:tcW w:w="603" w:type="pct"/>
            <w:tcBorders>
              <w:top w:val="nil"/>
              <w:bottom w:val="nil"/>
            </w:tcBorders>
            <w:noWrap/>
          </w:tcPr>
          <w:p w14:paraId="7CCD5D50" w14:textId="52A8B6E7" w:rsidR="00DC70A6" w:rsidRPr="00024EB0" w:rsidRDefault="00DC70A6" w:rsidP="00DC70A6">
            <w:pPr>
              <w:pStyle w:val="TableText"/>
              <w:jc w:val="right"/>
            </w:pPr>
            <w:r w:rsidRPr="00587FCD">
              <w:t>0.0243</w:t>
            </w:r>
          </w:p>
        </w:tc>
        <w:tc>
          <w:tcPr>
            <w:tcW w:w="603" w:type="pct"/>
            <w:tcBorders>
              <w:top w:val="nil"/>
              <w:bottom w:val="nil"/>
            </w:tcBorders>
            <w:noWrap/>
          </w:tcPr>
          <w:p w14:paraId="6D81B4BB" w14:textId="46CA1AEE" w:rsidR="00DC70A6" w:rsidRPr="00024EB0" w:rsidRDefault="00DC70A6" w:rsidP="00DC70A6">
            <w:pPr>
              <w:pStyle w:val="TableText"/>
              <w:jc w:val="right"/>
            </w:pPr>
            <w:r w:rsidRPr="00587FCD">
              <w:t>$9,816</w:t>
            </w:r>
          </w:p>
        </w:tc>
        <w:tc>
          <w:tcPr>
            <w:tcW w:w="443" w:type="pct"/>
            <w:tcBorders>
              <w:top w:val="nil"/>
              <w:bottom w:val="nil"/>
            </w:tcBorders>
            <w:noWrap/>
          </w:tcPr>
          <w:p w14:paraId="23FF4EB7" w14:textId="62137868" w:rsidR="00DC70A6" w:rsidRPr="00024EB0" w:rsidRDefault="00DC70A6" w:rsidP="00DC70A6">
            <w:pPr>
              <w:pStyle w:val="TableText"/>
              <w:jc w:val="right"/>
            </w:pPr>
            <w:r w:rsidRPr="00587FCD">
              <w:t>31%</w:t>
            </w:r>
          </w:p>
        </w:tc>
      </w:tr>
      <w:tr w:rsidR="00DC70A6" w:rsidRPr="00024EB0" w14:paraId="535FE93A" w14:textId="77777777" w:rsidTr="00DC70A6">
        <w:trPr>
          <w:trHeight w:val="300"/>
        </w:trPr>
        <w:tc>
          <w:tcPr>
            <w:tcW w:w="2749" w:type="pct"/>
            <w:tcBorders>
              <w:top w:val="nil"/>
            </w:tcBorders>
            <w:noWrap/>
            <w:hideMark/>
          </w:tcPr>
          <w:p w14:paraId="612F353E" w14:textId="77777777" w:rsidR="00DC70A6" w:rsidRPr="00024EB0" w:rsidRDefault="00DC70A6" w:rsidP="00DC70A6">
            <w:pPr>
              <w:pStyle w:val="TableText"/>
            </w:pPr>
            <w:r w:rsidRPr="00C80CB3">
              <w:t>60%</w:t>
            </w:r>
          </w:p>
        </w:tc>
        <w:tc>
          <w:tcPr>
            <w:tcW w:w="602" w:type="pct"/>
            <w:tcBorders>
              <w:top w:val="nil"/>
            </w:tcBorders>
            <w:noWrap/>
          </w:tcPr>
          <w:p w14:paraId="6B1A65F6" w14:textId="1804B738" w:rsidR="00DC70A6" w:rsidRPr="00024EB0" w:rsidRDefault="00DC70A6" w:rsidP="00DC70A6">
            <w:pPr>
              <w:pStyle w:val="TableText"/>
              <w:jc w:val="right"/>
            </w:pPr>
            <w:r w:rsidRPr="00587FCD">
              <w:t>$218.12</w:t>
            </w:r>
          </w:p>
        </w:tc>
        <w:tc>
          <w:tcPr>
            <w:tcW w:w="603" w:type="pct"/>
            <w:tcBorders>
              <w:top w:val="nil"/>
            </w:tcBorders>
            <w:noWrap/>
          </w:tcPr>
          <w:p w14:paraId="6EC6716B" w14:textId="734AB13E" w:rsidR="00DC70A6" w:rsidRPr="00024EB0" w:rsidRDefault="00DC70A6" w:rsidP="00DC70A6">
            <w:pPr>
              <w:pStyle w:val="TableText"/>
              <w:jc w:val="right"/>
            </w:pPr>
            <w:r w:rsidRPr="00587FCD">
              <w:t>0.0238</w:t>
            </w:r>
          </w:p>
        </w:tc>
        <w:tc>
          <w:tcPr>
            <w:tcW w:w="603" w:type="pct"/>
            <w:tcBorders>
              <w:top w:val="nil"/>
            </w:tcBorders>
            <w:noWrap/>
          </w:tcPr>
          <w:p w14:paraId="4DFA1B2B" w14:textId="7905BE1B" w:rsidR="00DC70A6" w:rsidRPr="00024EB0" w:rsidRDefault="00DC70A6" w:rsidP="00DC70A6">
            <w:pPr>
              <w:pStyle w:val="TableText"/>
              <w:jc w:val="right"/>
            </w:pPr>
            <w:r w:rsidRPr="00587FCD">
              <w:t>$9,161</w:t>
            </w:r>
          </w:p>
        </w:tc>
        <w:tc>
          <w:tcPr>
            <w:tcW w:w="443" w:type="pct"/>
            <w:tcBorders>
              <w:top w:val="nil"/>
            </w:tcBorders>
            <w:noWrap/>
          </w:tcPr>
          <w:p w14:paraId="0EF11FDC" w14:textId="7D336A62" w:rsidR="00DC70A6" w:rsidRPr="00024EB0" w:rsidRDefault="00DC70A6" w:rsidP="00DC70A6">
            <w:pPr>
              <w:pStyle w:val="TableText"/>
              <w:jc w:val="right"/>
            </w:pPr>
            <w:r w:rsidRPr="00587FCD">
              <w:t>22%</w:t>
            </w:r>
          </w:p>
        </w:tc>
      </w:tr>
      <w:tr w:rsidR="00DC70A6" w:rsidRPr="00024EB0" w14:paraId="384A658D" w14:textId="77777777" w:rsidTr="00DC70A6">
        <w:trPr>
          <w:trHeight w:val="300"/>
        </w:trPr>
        <w:tc>
          <w:tcPr>
            <w:tcW w:w="2749" w:type="pct"/>
            <w:tcBorders>
              <w:bottom w:val="single" w:sz="4" w:space="0" w:color="auto"/>
            </w:tcBorders>
            <w:noWrap/>
            <w:hideMark/>
          </w:tcPr>
          <w:p w14:paraId="218339A7" w14:textId="77777777" w:rsidR="00DC70A6" w:rsidRPr="00024EB0" w:rsidRDefault="00DC70A6" w:rsidP="00DC70A6">
            <w:pPr>
              <w:pStyle w:val="TableText"/>
            </w:pPr>
            <w:r w:rsidRPr="00024EB0">
              <w:t>Rebiopsy failure rate, 15% (base case: 20%)</w:t>
            </w:r>
          </w:p>
        </w:tc>
        <w:tc>
          <w:tcPr>
            <w:tcW w:w="602" w:type="pct"/>
            <w:tcBorders>
              <w:bottom w:val="single" w:sz="4" w:space="0" w:color="auto"/>
            </w:tcBorders>
            <w:noWrap/>
          </w:tcPr>
          <w:p w14:paraId="42477E81" w14:textId="667E987B" w:rsidR="00DC70A6" w:rsidRPr="00024EB0" w:rsidRDefault="00DC70A6" w:rsidP="00DC70A6">
            <w:pPr>
              <w:pStyle w:val="TableText"/>
              <w:jc w:val="right"/>
            </w:pPr>
            <w:r w:rsidRPr="00587FCD">
              <w:t>$168.29</w:t>
            </w:r>
          </w:p>
        </w:tc>
        <w:tc>
          <w:tcPr>
            <w:tcW w:w="603" w:type="pct"/>
            <w:tcBorders>
              <w:bottom w:val="single" w:sz="4" w:space="0" w:color="auto"/>
            </w:tcBorders>
            <w:noWrap/>
          </w:tcPr>
          <w:p w14:paraId="4BCCF59A" w14:textId="74BF6456" w:rsidR="00DC70A6" w:rsidRPr="00024EB0" w:rsidRDefault="00DC70A6" w:rsidP="00DC70A6">
            <w:pPr>
              <w:pStyle w:val="TableText"/>
              <w:jc w:val="right"/>
            </w:pPr>
            <w:r w:rsidRPr="00587FCD">
              <w:t>0.0224</w:t>
            </w:r>
          </w:p>
        </w:tc>
        <w:tc>
          <w:tcPr>
            <w:tcW w:w="603" w:type="pct"/>
            <w:tcBorders>
              <w:bottom w:val="single" w:sz="4" w:space="0" w:color="auto"/>
            </w:tcBorders>
            <w:noWrap/>
          </w:tcPr>
          <w:p w14:paraId="10F6ED84" w14:textId="5CCCD38B" w:rsidR="00DC70A6" w:rsidRPr="00024EB0" w:rsidRDefault="00DC70A6" w:rsidP="00DC70A6">
            <w:pPr>
              <w:pStyle w:val="TableText"/>
              <w:jc w:val="right"/>
            </w:pPr>
            <w:r w:rsidRPr="00587FCD">
              <w:t>$7,530</w:t>
            </w:r>
          </w:p>
        </w:tc>
        <w:tc>
          <w:tcPr>
            <w:tcW w:w="443" w:type="pct"/>
            <w:tcBorders>
              <w:bottom w:val="single" w:sz="4" w:space="0" w:color="auto"/>
            </w:tcBorders>
            <w:noWrap/>
          </w:tcPr>
          <w:p w14:paraId="6C0288E3" w14:textId="7A96F552" w:rsidR="00DC70A6" w:rsidRPr="00024EB0" w:rsidRDefault="00DC70A6" w:rsidP="00DC70A6">
            <w:pPr>
              <w:pStyle w:val="TableText"/>
              <w:jc w:val="right"/>
            </w:pPr>
            <w:r w:rsidRPr="00587FCD">
              <w:t>0%</w:t>
            </w:r>
          </w:p>
        </w:tc>
      </w:tr>
      <w:tr w:rsidR="001E1B2D" w:rsidRPr="00024EB0" w14:paraId="145E11C6" w14:textId="77777777" w:rsidTr="00F20F17">
        <w:trPr>
          <w:trHeight w:val="300"/>
        </w:trPr>
        <w:tc>
          <w:tcPr>
            <w:tcW w:w="2749" w:type="pct"/>
            <w:noWrap/>
          </w:tcPr>
          <w:p w14:paraId="1D2BF3AF" w14:textId="77777777" w:rsidR="001E1B2D" w:rsidRPr="00024EB0" w:rsidRDefault="001E1B2D" w:rsidP="00F20F17">
            <w:pPr>
              <w:pStyle w:val="TableText"/>
            </w:pPr>
            <w:r>
              <w:t xml:space="preserve">Average fee charged for EGFR and ALK and ROS1 FISH </w:t>
            </w:r>
            <w:r>
              <w:br/>
              <w:t>(base case: MBS Schedule Fees)</w:t>
            </w:r>
          </w:p>
        </w:tc>
        <w:tc>
          <w:tcPr>
            <w:tcW w:w="602" w:type="pct"/>
            <w:noWrap/>
          </w:tcPr>
          <w:p w14:paraId="3A304D87" w14:textId="77777777" w:rsidR="001E1B2D" w:rsidRPr="005B2B27" w:rsidRDefault="001E1B2D" w:rsidP="00F20F17">
            <w:pPr>
              <w:pStyle w:val="TableText"/>
              <w:jc w:val="right"/>
            </w:pPr>
            <w:r w:rsidRPr="009B6F33">
              <w:t>$185.26</w:t>
            </w:r>
          </w:p>
        </w:tc>
        <w:tc>
          <w:tcPr>
            <w:tcW w:w="603" w:type="pct"/>
            <w:noWrap/>
          </w:tcPr>
          <w:p w14:paraId="6A1AFC6C" w14:textId="77777777" w:rsidR="001E1B2D" w:rsidRPr="005B2B27" w:rsidRDefault="001E1B2D" w:rsidP="00F20F17">
            <w:pPr>
              <w:pStyle w:val="TableText"/>
              <w:jc w:val="right"/>
            </w:pPr>
            <w:r w:rsidRPr="009B6F33">
              <w:t>0.0225</w:t>
            </w:r>
          </w:p>
        </w:tc>
        <w:tc>
          <w:tcPr>
            <w:tcW w:w="603" w:type="pct"/>
            <w:noWrap/>
          </w:tcPr>
          <w:p w14:paraId="2852A6E8" w14:textId="77777777" w:rsidR="001E1B2D" w:rsidRPr="005B2B27" w:rsidRDefault="001E1B2D" w:rsidP="00F20F17">
            <w:pPr>
              <w:pStyle w:val="TableText"/>
              <w:jc w:val="right"/>
            </w:pPr>
            <w:r w:rsidRPr="009B6F33">
              <w:t>$8,217</w:t>
            </w:r>
          </w:p>
        </w:tc>
        <w:tc>
          <w:tcPr>
            <w:tcW w:w="443" w:type="pct"/>
            <w:noWrap/>
          </w:tcPr>
          <w:p w14:paraId="05D9ECCC" w14:textId="77777777" w:rsidR="001E1B2D" w:rsidRPr="005B2B27" w:rsidRDefault="001E1B2D" w:rsidP="00F20F17">
            <w:pPr>
              <w:pStyle w:val="TableText"/>
              <w:jc w:val="right"/>
            </w:pPr>
            <w:r w:rsidRPr="009B6F33">
              <w:t>10%</w:t>
            </w:r>
          </w:p>
        </w:tc>
      </w:tr>
      <w:tr w:rsidR="00DC70A6" w:rsidRPr="00024EB0" w14:paraId="1DCF9009" w14:textId="77777777" w:rsidTr="00DC70A6">
        <w:trPr>
          <w:trHeight w:val="300"/>
        </w:trPr>
        <w:tc>
          <w:tcPr>
            <w:tcW w:w="2749" w:type="pct"/>
            <w:noWrap/>
            <w:hideMark/>
          </w:tcPr>
          <w:p w14:paraId="19269A15" w14:textId="77777777" w:rsidR="00DC70A6" w:rsidRPr="00024EB0" w:rsidRDefault="00DC70A6" w:rsidP="00DC70A6">
            <w:pPr>
              <w:pStyle w:val="TableText"/>
            </w:pPr>
            <w:r w:rsidRPr="00024EB0">
              <w:t>FISH utilisation, use IHC NPA data (base case: calibrated)</w:t>
            </w:r>
          </w:p>
        </w:tc>
        <w:tc>
          <w:tcPr>
            <w:tcW w:w="602" w:type="pct"/>
            <w:noWrap/>
          </w:tcPr>
          <w:p w14:paraId="78F1D285" w14:textId="32270974" w:rsidR="00DC70A6" w:rsidRPr="00024EB0" w:rsidRDefault="00DC70A6" w:rsidP="00DC70A6">
            <w:pPr>
              <w:pStyle w:val="TableText"/>
              <w:jc w:val="right"/>
            </w:pPr>
            <w:r w:rsidRPr="00587FCD">
              <w:t>$183.78</w:t>
            </w:r>
          </w:p>
        </w:tc>
        <w:tc>
          <w:tcPr>
            <w:tcW w:w="603" w:type="pct"/>
            <w:noWrap/>
          </w:tcPr>
          <w:p w14:paraId="70262FAD" w14:textId="596663EF" w:rsidR="00DC70A6" w:rsidRPr="00024EB0" w:rsidRDefault="00DC70A6" w:rsidP="00DC70A6">
            <w:pPr>
              <w:pStyle w:val="TableText"/>
              <w:jc w:val="right"/>
            </w:pPr>
            <w:r w:rsidRPr="00587FCD">
              <w:t>0.0225</w:t>
            </w:r>
          </w:p>
        </w:tc>
        <w:tc>
          <w:tcPr>
            <w:tcW w:w="603" w:type="pct"/>
            <w:noWrap/>
          </w:tcPr>
          <w:p w14:paraId="03FFE754" w14:textId="5D67C773" w:rsidR="00DC70A6" w:rsidRPr="00024EB0" w:rsidRDefault="00DC70A6" w:rsidP="00DC70A6">
            <w:pPr>
              <w:pStyle w:val="TableText"/>
              <w:jc w:val="right"/>
            </w:pPr>
            <w:r w:rsidRPr="00587FCD">
              <w:t>$8,151</w:t>
            </w:r>
          </w:p>
        </w:tc>
        <w:tc>
          <w:tcPr>
            <w:tcW w:w="443" w:type="pct"/>
            <w:noWrap/>
          </w:tcPr>
          <w:p w14:paraId="0B5A2F27" w14:textId="5D0317A0" w:rsidR="00DC70A6" w:rsidRPr="00024EB0" w:rsidRDefault="00DC70A6" w:rsidP="00DC70A6">
            <w:pPr>
              <w:pStyle w:val="TableText"/>
              <w:jc w:val="right"/>
            </w:pPr>
            <w:r w:rsidRPr="00587FCD">
              <w:t>9%</w:t>
            </w:r>
          </w:p>
        </w:tc>
      </w:tr>
      <w:tr w:rsidR="00DC70A6" w:rsidRPr="00024EB0" w14:paraId="6CEA383D" w14:textId="77777777" w:rsidTr="00DC70A6">
        <w:trPr>
          <w:trHeight w:val="300"/>
        </w:trPr>
        <w:tc>
          <w:tcPr>
            <w:tcW w:w="2749" w:type="pct"/>
            <w:noWrap/>
            <w:hideMark/>
          </w:tcPr>
          <w:p w14:paraId="3ED56AD5" w14:textId="77777777" w:rsidR="00DC70A6" w:rsidRPr="00024EB0" w:rsidRDefault="00DC70A6" w:rsidP="00DC70A6">
            <w:pPr>
              <w:pStyle w:val="TableText"/>
            </w:pPr>
            <w:r w:rsidRPr="00024EB0">
              <w:t>IHC test cost, $14.90 (base case: $0)</w:t>
            </w:r>
          </w:p>
        </w:tc>
        <w:tc>
          <w:tcPr>
            <w:tcW w:w="602" w:type="pct"/>
            <w:noWrap/>
          </w:tcPr>
          <w:p w14:paraId="1C7044BF" w14:textId="6899FC66" w:rsidR="00DC70A6" w:rsidRPr="00024EB0" w:rsidRDefault="00DC70A6" w:rsidP="00DC70A6">
            <w:pPr>
              <w:pStyle w:val="TableText"/>
              <w:jc w:val="right"/>
            </w:pPr>
            <w:r w:rsidRPr="00587FCD">
              <w:t>$154.44</w:t>
            </w:r>
          </w:p>
        </w:tc>
        <w:tc>
          <w:tcPr>
            <w:tcW w:w="603" w:type="pct"/>
            <w:noWrap/>
          </w:tcPr>
          <w:p w14:paraId="1A0A2549" w14:textId="786E75F1" w:rsidR="00DC70A6" w:rsidRPr="00024EB0" w:rsidRDefault="00DC70A6" w:rsidP="00DC70A6">
            <w:pPr>
              <w:pStyle w:val="TableText"/>
              <w:jc w:val="right"/>
            </w:pPr>
            <w:r w:rsidRPr="00587FCD">
              <w:t>0.0225</w:t>
            </w:r>
          </w:p>
        </w:tc>
        <w:tc>
          <w:tcPr>
            <w:tcW w:w="603" w:type="pct"/>
            <w:noWrap/>
          </w:tcPr>
          <w:p w14:paraId="12452974" w14:textId="2C5324E5" w:rsidR="00DC70A6" w:rsidRPr="00024EB0" w:rsidRDefault="00DC70A6" w:rsidP="00DC70A6">
            <w:pPr>
              <w:pStyle w:val="TableText"/>
              <w:jc w:val="right"/>
            </w:pPr>
            <w:r w:rsidRPr="00587FCD">
              <w:t>$6,850</w:t>
            </w:r>
          </w:p>
        </w:tc>
        <w:tc>
          <w:tcPr>
            <w:tcW w:w="443" w:type="pct"/>
            <w:noWrap/>
          </w:tcPr>
          <w:p w14:paraId="02540902" w14:textId="069905A4" w:rsidR="00DC70A6" w:rsidRPr="00024EB0" w:rsidRDefault="00DC70A6" w:rsidP="00DC70A6">
            <w:pPr>
              <w:pStyle w:val="TableText"/>
              <w:jc w:val="right"/>
            </w:pPr>
            <w:r w:rsidRPr="00587FCD">
              <w:t>−9%</w:t>
            </w:r>
          </w:p>
        </w:tc>
      </w:tr>
      <w:tr w:rsidR="00DC70A6" w:rsidRPr="00024EB0" w14:paraId="42612FFA" w14:textId="77777777" w:rsidTr="00DC70A6">
        <w:trPr>
          <w:trHeight w:val="300"/>
        </w:trPr>
        <w:tc>
          <w:tcPr>
            <w:tcW w:w="2749" w:type="pct"/>
            <w:tcBorders>
              <w:bottom w:val="single" w:sz="4" w:space="0" w:color="auto"/>
            </w:tcBorders>
            <w:noWrap/>
            <w:hideMark/>
          </w:tcPr>
          <w:p w14:paraId="707C63F0" w14:textId="77777777" w:rsidR="00DC70A6" w:rsidRPr="00024EB0" w:rsidRDefault="00DC70A6" w:rsidP="00DC70A6">
            <w:pPr>
              <w:pStyle w:val="TableText"/>
            </w:pPr>
            <w:r w:rsidRPr="00024EB0">
              <w:t xml:space="preserve">Separate RNA small panel use, allowed </w:t>
            </w:r>
            <w:r>
              <w:t>with</w:t>
            </w:r>
            <w:r w:rsidRPr="00024EB0">
              <w:t xml:space="preserve"> </w:t>
            </w:r>
            <w:r w:rsidRPr="007D6676">
              <w:rPr>
                <w:i/>
              </w:rPr>
              <w:t>KRAS</w:t>
            </w:r>
            <w:r w:rsidRPr="00024EB0">
              <w:t xml:space="preserve"> </w:t>
            </w:r>
            <w:r>
              <w:t>or</w:t>
            </w:r>
            <w:r w:rsidRPr="00024EB0">
              <w:t xml:space="preserve"> </w:t>
            </w:r>
            <w:r w:rsidRPr="007D6676">
              <w:rPr>
                <w:i/>
              </w:rPr>
              <w:t>BRAF</w:t>
            </w:r>
            <w:r w:rsidRPr="00024EB0">
              <w:t xml:space="preserve"> (base case: not allowed)</w:t>
            </w:r>
          </w:p>
        </w:tc>
        <w:tc>
          <w:tcPr>
            <w:tcW w:w="602" w:type="pct"/>
            <w:tcBorders>
              <w:bottom w:val="single" w:sz="4" w:space="0" w:color="auto"/>
            </w:tcBorders>
            <w:noWrap/>
          </w:tcPr>
          <w:p w14:paraId="6F12CE9E" w14:textId="377A2684" w:rsidR="00DC70A6" w:rsidRPr="00024EB0" w:rsidRDefault="00DC70A6" w:rsidP="00DC70A6">
            <w:pPr>
              <w:pStyle w:val="TableText"/>
              <w:jc w:val="right"/>
            </w:pPr>
            <w:r w:rsidRPr="00587FCD">
              <w:t>$307.24</w:t>
            </w:r>
          </w:p>
        </w:tc>
        <w:tc>
          <w:tcPr>
            <w:tcW w:w="603" w:type="pct"/>
            <w:tcBorders>
              <w:bottom w:val="single" w:sz="4" w:space="0" w:color="auto"/>
            </w:tcBorders>
            <w:noWrap/>
          </w:tcPr>
          <w:p w14:paraId="3F8D7AE9" w14:textId="642469CC" w:rsidR="00DC70A6" w:rsidRPr="00024EB0" w:rsidRDefault="00DC70A6" w:rsidP="00DC70A6">
            <w:pPr>
              <w:pStyle w:val="TableText"/>
              <w:jc w:val="right"/>
            </w:pPr>
            <w:r w:rsidRPr="00587FCD">
              <w:t>0.0225</w:t>
            </w:r>
          </w:p>
        </w:tc>
        <w:tc>
          <w:tcPr>
            <w:tcW w:w="603" w:type="pct"/>
            <w:tcBorders>
              <w:bottom w:val="single" w:sz="4" w:space="0" w:color="auto"/>
            </w:tcBorders>
            <w:noWrap/>
          </w:tcPr>
          <w:p w14:paraId="31B10BB2" w14:textId="63FB9AC3" w:rsidR="00DC70A6" w:rsidRPr="00024EB0" w:rsidRDefault="00DC70A6" w:rsidP="00DC70A6">
            <w:pPr>
              <w:pStyle w:val="TableText"/>
              <w:jc w:val="right"/>
            </w:pPr>
            <w:r w:rsidRPr="00587FCD">
              <w:t>$13,627</w:t>
            </w:r>
          </w:p>
        </w:tc>
        <w:tc>
          <w:tcPr>
            <w:tcW w:w="443" w:type="pct"/>
            <w:tcBorders>
              <w:bottom w:val="single" w:sz="4" w:space="0" w:color="auto"/>
            </w:tcBorders>
            <w:noWrap/>
          </w:tcPr>
          <w:p w14:paraId="701A7757" w14:textId="466D1B02" w:rsidR="00DC70A6" w:rsidRPr="00024EB0" w:rsidRDefault="00DC70A6" w:rsidP="00DC70A6">
            <w:pPr>
              <w:pStyle w:val="TableText"/>
              <w:jc w:val="right"/>
            </w:pPr>
            <w:r w:rsidRPr="00587FCD">
              <w:t>82%</w:t>
            </w:r>
          </w:p>
        </w:tc>
      </w:tr>
      <w:tr w:rsidR="00DC70A6" w:rsidRPr="00024EB0" w14:paraId="02A3886F" w14:textId="77777777" w:rsidTr="00DC70A6">
        <w:trPr>
          <w:trHeight w:val="300"/>
        </w:trPr>
        <w:tc>
          <w:tcPr>
            <w:tcW w:w="2749" w:type="pct"/>
            <w:tcBorders>
              <w:bottom w:val="single" w:sz="4" w:space="0" w:color="auto"/>
              <w:right w:val="nil"/>
            </w:tcBorders>
            <w:noWrap/>
            <w:hideMark/>
          </w:tcPr>
          <w:p w14:paraId="257A6EE7" w14:textId="77777777" w:rsidR="00DC70A6" w:rsidRPr="00024EB0" w:rsidRDefault="00DC70A6" w:rsidP="00DC70A6">
            <w:pPr>
              <w:pStyle w:val="TableText"/>
            </w:pPr>
            <w:r w:rsidRPr="00024EB0">
              <w:t xml:space="preserve">Proportion with </w:t>
            </w:r>
            <w:r w:rsidRPr="007D6676">
              <w:rPr>
                <w:i/>
              </w:rPr>
              <w:t>KRAS</w:t>
            </w:r>
            <w:r w:rsidRPr="00024EB0">
              <w:t xml:space="preserve"> or </w:t>
            </w:r>
            <w:r w:rsidRPr="007D6676">
              <w:rPr>
                <w:i/>
              </w:rPr>
              <w:t>BRAF</w:t>
            </w:r>
            <w:r w:rsidRPr="00024EB0">
              <w:t xml:space="preserve"> activating variants (base case: 30.8%)</w:t>
            </w:r>
          </w:p>
        </w:tc>
        <w:tc>
          <w:tcPr>
            <w:tcW w:w="602" w:type="pct"/>
            <w:tcBorders>
              <w:left w:val="nil"/>
              <w:bottom w:val="single" w:sz="4" w:space="0" w:color="auto"/>
              <w:right w:val="nil"/>
            </w:tcBorders>
            <w:noWrap/>
          </w:tcPr>
          <w:p w14:paraId="64FD48AA" w14:textId="62B1F258" w:rsidR="00DC70A6" w:rsidRPr="00024EB0" w:rsidRDefault="00DC70A6" w:rsidP="00DC70A6">
            <w:pPr>
              <w:pStyle w:val="TableText"/>
              <w:jc w:val="right"/>
            </w:pPr>
          </w:p>
        </w:tc>
        <w:tc>
          <w:tcPr>
            <w:tcW w:w="603" w:type="pct"/>
            <w:tcBorders>
              <w:left w:val="nil"/>
              <w:bottom w:val="single" w:sz="4" w:space="0" w:color="auto"/>
              <w:right w:val="nil"/>
            </w:tcBorders>
            <w:noWrap/>
          </w:tcPr>
          <w:p w14:paraId="63D99D2A" w14:textId="5FAAF2E8" w:rsidR="00DC70A6" w:rsidRPr="00024EB0" w:rsidRDefault="00DC70A6" w:rsidP="00DC70A6">
            <w:pPr>
              <w:pStyle w:val="TableText"/>
              <w:jc w:val="right"/>
            </w:pPr>
          </w:p>
        </w:tc>
        <w:tc>
          <w:tcPr>
            <w:tcW w:w="603" w:type="pct"/>
            <w:tcBorders>
              <w:left w:val="nil"/>
              <w:bottom w:val="single" w:sz="4" w:space="0" w:color="auto"/>
              <w:right w:val="nil"/>
            </w:tcBorders>
            <w:noWrap/>
          </w:tcPr>
          <w:p w14:paraId="2E6F3451" w14:textId="3C359F6C" w:rsidR="00DC70A6" w:rsidRPr="00024EB0" w:rsidRDefault="00DC70A6" w:rsidP="00DC70A6">
            <w:pPr>
              <w:pStyle w:val="TableText"/>
              <w:jc w:val="right"/>
            </w:pPr>
          </w:p>
        </w:tc>
        <w:tc>
          <w:tcPr>
            <w:tcW w:w="443" w:type="pct"/>
            <w:tcBorders>
              <w:left w:val="nil"/>
              <w:bottom w:val="single" w:sz="4" w:space="0" w:color="auto"/>
            </w:tcBorders>
            <w:noWrap/>
          </w:tcPr>
          <w:p w14:paraId="7B36DC04" w14:textId="7031D6B6" w:rsidR="00DC70A6" w:rsidRPr="00024EB0" w:rsidRDefault="00DC70A6" w:rsidP="00DC70A6">
            <w:pPr>
              <w:pStyle w:val="TableText"/>
              <w:jc w:val="right"/>
            </w:pPr>
          </w:p>
        </w:tc>
      </w:tr>
      <w:tr w:rsidR="00DC70A6" w:rsidRPr="00024EB0" w14:paraId="592F899D" w14:textId="77777777" w:rsidTr="00DC70A6">
        <w:trPr>
          <w:trHeight w:val="300"/>
        </w:trPr>
        <w:tc>
          <w:tcPr>
            <w:tcW w:w="2749" w:type="pct"/>
            <w:tcBorders>
              <w:bottom w:val="nil"/>
            </w:tcBorders>
            <w:noWrap/>
            <w:hideMark/>
          </w:tcPr>
          <w:p w14:paraId="56B5AAEB" w14:textId="77777777" w:rsidR="00DC70A6" w:rsidRPr="00024EB0" w:rsidRDefault="00DC70A6" w:rsidP="00DC70A6">
            <w:pPr>
              <w:pStyle w:val="TableText"/>
            </w:pPr>
            <w:r w:rsidRPr="00024EB0">
              <w:t>25%</w:t>
            </w:r>
          </w:p>
        </w:tc>
        <w:tc>
          <w:tcPr>
            <w:tcW w:w="602" w:type="pct"/>
            <w:tcBorders>
              <w:bottom w:val="nil"/>
            </w:tcBorders>
            <w:noWrap/>
          </w:tcPr>
          <w:p w14:paraId="126AD3BD" w14:textId="7CD38B43" w:rsidR="00DC70A6" w:rsidRPr="00024EB0" w:rsidRDefault="00DC70A6" w:rsidP="00DC70A6">
            <w:pPr>
              <w:pStyle w:val="TableText"/>
              <w:jc w:val="right"/>
            </w:pPr>
            <w:r w:rsidRPr="00587FCD">
              <w:t>$195.05</w:t>
            </w:r>
          </w:p>
        </w:tc>
        <w:tc>
          <w:tcPr>
            <w:tcW w:w="603" w:type="pct"/>
            <w:tcBorders>
              <w:bottom w:val="nil"/>
            </w:tcBorders>
            <w:noWrap/>
          </w:tcPr>
          <w:p w14:paraId="2749C663" w14:textId="432F05C2" w:rsidR="00DC70A6" w:rsidRPr="00024EB0" w:rsidRDefault="00DC70A6" w:rsidP="00DC70A6">
            <w:pPr>
              <w:pStyle w:val="TableText"/>
              <w:jc w:val="right"/>
            </w:pPr>
            <w:r w:rsidRPr="00587FCD">
              <w:t>0.0225</w:t>
            </w:r>
          </w:p>
        </w:tc>
        <w:tc>
          <w:tcPr>
            <w:tcW w:w="603" w:type="pct"/>
            <w:tcBorders>
              <w:bottom w:val="nil"/>
            </w:tcBorders>
            <w:noWrap/>
          </w:tcPr>
          <w:p w14:paraId="544C9DCE" w14:textId="626DCFD0" w:rsidR="00DC70A6" w:rsidRPr="00024EB0" w:rsidRDefault="00DC70A6" w:rsidP="00DC70A6">
            <w:pPr>
              <w:pStyle w:val="TableText"/>
              <w:jc w:val="right"/>
            </w:pPr>
            <w:r w:rsidRPr="00587FCD">
              <w:t>$8,651</w:t>
            </w:r>
          </w:p>
        </w:tc>
        <w:tc>
          <w:tcPr>
            <w:tcW w:w="443" w:type="pct"/>
            <w:tcBorders>
              <w:bottom w:val="nil"/>
            </w:tcBorders>
            <w:noWrap/>
          </w:tcPr>
          <w:p w14:paraId="1A4EB983" w14:textId="51F32A46" w:rsidR="00DC70A6" w:rsidRPr="00024EB0" w:rsidRDefault="00DC70A6" w:rsidP="00DC70A6">
            <w:pPr>
              <w:pStyle w:val="TableText"/>
              <w:jc w:val="right"/>
            </w:pPr>
            <w:r w:rsidRPr="00587FCD">
              <w:t>15%</w:t>
            </w:r>
          </w:p>
        </w:tc>
      </w:tr>
      <w:tr w:rsidR="00DC70A6" w:rsidRPr="00024EB0" w14:paraId="65FDD2FA" w14:textId="77777777" w:rsidTr="00DC70A6">
        <w:trPr>
          <w:trHeight w:val="300"/>
        </w:trPr>
        <w:tc>
          <w:tcPr>
            <w:tcW w:w="2749" w:type="pct"/>
            <w:tcBorders>
              <w:top w:val="nil"/>
            </w:tcBorders>
            <w:noWrap/>
            <w:hideMark/>
          </w:tcPr>
          <w:p w14:paraId="0FBF40A0" w14:textId="77777777" w:rsidR="00DC70A6" w:rsidRPr="00024EB0" w:rsidRDefault="00DC70A6" w:rsidP="00DC70A6">
            <w:pPr>
              <w:pStyle w:val="TableText"/>
            </w:pPr>
            <w:r w:rsidRPr="00024EB0">
              <w:t>52%</w:t>
            </w:r>
          </w:p>
        </w:tc>
        <w:tc>
          <w:tcPr>
            <w:tcW w:w="602" w:type="pct"/>
            <w:tcBorders>
              <w:top w:val="nil"/>
            </w:tcBorders>
            <w:noWrap/>
          </w:tcPr>
          <w:p w14:paraId="371F05E1" w14:textId="78A99D29" w:rsidR="00DC70A6" w:rsidRPr="00024EB0" w:rsidRDefault="00DC70A6" w:rsidP="00DC70A6">
            <w:pPr>
              <w:pStyle w:val="TableText"/>
              <w:jc w:val="right"/>
            </w:pPr>
            <w:r w:rsidRPr="00587FCD">
              <w:t>$73.89</w:t>
            </w:r>
          </w:p>
        </w:tc>
        <w:tc>
          <w:tcPr>
            <w:tcW w:w="603" w:type="pct"/>
            <w:tcBorders>
              <w:top w:val="nil"/>
            </w:tcBorders>
            <w:noWrap/>
          </w:tcPr>
          <w:p w14:paraId="3C3154B7" w14:textId="1DFF3704" w:rsidR="00DC70A6" w:rsidRPr="00024EB0" w:rsidRDefault="00DC70A6" w:rsidP="00DC70A6">
            <w:pPr>
              <w:pStyle w:val="TableText"/>
              <w:jc w:val="right"/>
            </w:pPr>
            <w:r w:rsidRPr="00587FCD">
              <w:t>0.0225</w:t>
            </w:r>
          </w:p>
        </w:tc>
        <w:tc>
          <w:tcPr>
            <w:tcW w:w="603" w:type="pct"/>
            <w:tcBorders>
              <w:top w:val="nil"/>
            </w:tcBorders>
            <w:noWrap/>
          </w:tcPr>
          <w:p w14:paraId="4B8BD15D" w14:textId="62EE5783" w:rsidR="00DC70A6" w:rsidRPr="00024EB0" w:rsidRDefault="00DC70A6" w:rsidP="00DC70A6">
            <w:pPr>
              <w:pStyle w:val="TableText"/>
              <w:jc w:val="right"/>
            </w:pPr>
            <w:r w:rsidRPr="00587FCD">
              <w:t>$3,277</w:t>
            </w:r>
          </w:p>
        </w:tc>
        <w:tc>
          <w:tcPr>
            <w:tcW w:w="443" w:type="pct"/>
            <w:tcBorders>
              <w:top w:val="nil"/>
            </w:tcBorders>
            <w:noWrap/>
          </w:tcPr>
          <w:p w14:paraId="4DEBB14E" w14:textId="6CA02C3B" w:rsidR="00DC70A6" w:rsidRPr="00024EB0" w:rsidRDefault="00DC70A6" w:rsidP="00DC70A6">
            <w:pPr>
              <w:pStyle w:val="TableText"/>
              <w:jc w:val="right"/>
            </w:pPr>
            <w:r w:rsidRPr="00587FCD">
              <w:t>−56%</w:t>
            </w:r>
          </w:p>
        </w:tc>
      </w:tr>
      <w:tr w:rsidR="00DC70A6" w:rsidRPr="00024EB0" w14:paraId="1A4892FE" w14:textId="77777777" w:rsidTr="00DC70A6">
        <w:trPr>
          <w:trHeight w:val="300"/>
        </w:trPr>
        <w:tc>
          <w:tcPr>
            <w:tcW w:w="2749" w:type="pct"/>
            <w:tcBorders>
              <w:bottom w:val="single" w:sz="4" w:space="0" w:color="auto"/>
              <w:right w:val="nil"/>
            </w:tcBorders>
            <w:noWrap/>
            <w:hideMark/>
          </w:tcPr>
          <w:p w14:paraId="5593B243" w14:textId="77777777" w:rsidR="00DC70A6" w:rsidRPr="00024EB0" w:rsidRDefault="00DC70A6" w:rsidP="00DC70A6">
            <w:pPr>
              <w:pStyle w:val="TableText"/>
            </w:pPr>
            <w:r w:rsidRPr="00024EB0">
              <w:t>Rebiopsy cost (base case: $5,630 [all inpatient])</w:t>
            </w:r>
          </w:p>
        </w:tc>
        <w:tc>
          <w:tcPr>
            <w:tcW w:w="602" w:type="pct"/>
            <w:tcBorders>
              <w:left w:val="nil"/>
              <w:bottom w:val="single" w:sz="4" w:space="0" w:color="auto"/>
              <w:right w:val="nil"/>
            </w:tcBorders>
            <w:noWrap/>
          </w:tcPr>
          <w:p w14:paraId="1E2A8E55" w14:textId="57CDC5FF" w:rsidR="00DC70A6" w:rsidRPr="00024EB0" w:rsidRDefault="00DC70A6" w:rsidP="00DC70A6">
            <w:pPr>
              <w:pStyle w:val="TableText"/>
              <w:jc w:val="right"/>
            </w:pPr>
          </w:p>
        </w:tc>
        <w:tc>
          <w:tcPr>
            <w:tcW w:w="603" w:type="pct"/>
            <w:tcBorders>
              <w:left w:val="nil"/>
              <w:bottom w:val="single" w:sz="4" w:space="0" w:color="auto"/>
              <w:right w:val="nil"/>
            </w:tcBorders>
            <w:noWrap/>
          </w:tcPr>
          <w:p w14:paraId="61A30C1F" w14:textId="0C31BD81" w:rsidR="00DC70A6" w:rsidRPr="00024EB0" w:rsidRDefault="00DC70A6" w:rsidP="00DC70A6">
            <w:pPr>
              <w:pStyle w:val="TableText"/>
              <w:jc w:val="right"/>
            </w:pPr>
          </w:p>
        </w:tc>
        <w:tc>
          <w:tcPr>
            <w:tcW w:w="603" w:type="pct"/>
            <w:tcBorders>
              <w:left w:val="nil"/>
              <w:bottom w:val="single" w:sz="4" w:space="0" w:color="auto"/>
              <w:right w:val="nil"/>
            </w:tcBorders>
            <w:noWrap/>
          </w:tcPr>
          <w:p w14:paraId="4714F8C6" w14:textId="6B3FA69F" w:rsidR="00DC70A6" w:rsidRPr="00024EB0" w:rsidRDefault="00DC70A6" w:rsidP="00DC70A6">
            <w:pPr>
              <w:pStyle w:val="TableText"/>
              <w:jc w:val="right"/>
            </w:pPr>
          </w:p>
        </w:tc>
        <w:tc>
          <w:tcPr>
            <w:tcW w:w="443" w:type="pct"/>
            <w:tcBorders>
              <w:left w:val="nil"/>
              <w:bottom w:val="single" w:sz="4" w:space="0" w:color="auto"/>
            </w:tcBorders>
            <w:noWrap/>
          </w:tcPr>
          <w:p w14:paraId="0A9892E8" w14:textId="03E81AC6" w:rsidR="00DC70A6" w:rsidRPr="00024EB0" w:rsidRDefault="00DC70A6" w:rsidP="00DC70A6">
            <w:pPr>
              <w:pStyle w:val="TableText"/>
              <w:jc w:val="right"/>
            </w:pPr>
          </w:p>
        </w:tc>
      </w:tr>
      <w:tr w:rsidR="00DC70A6" w:rsidRPr="00024EB0" w14:paraId="40105388" w14:textId="77777777" w:rsidTr="00DC70A6">
        <w:trPr>
          <w:trHeight w:val="300"/>
        </w:trPr>
        <w:tc>
          <w:tcPr>
            <w:tcW w:w="2749" w:type="pct"/>
            <w:tcBorders>
              <w:top w:val="nil"/>
              <w:bottom w:val="nil"/>
            </w:tcBorders>
            <w:noWrap/>
            <w:hideMark/>
          </w:tcPr>
          <w:p w14:paraId="6D3BE367" w14:textId="77777777" w:rsidR="00DC70A6" w:rsidRPr="00024EB0" w:rsidRDefault="00DC70A6" w:rsidP="00DC70A6">
            <w:pPr>
              <w:pStyle w:val="TableText"/>
            </w:pPr>
            <w:r w:rsidRPr="00024EB0">
              <w:t>$3,369 [all outpatient]</w:t>
            </w:r>
          </w:p>
        </w:tc>
        <w:tc>
          <w:tcPr>
            <w:tcW w:w="602" w:type="pct"/>
            <w:tcBorders>
              <w:top w:val="nil"/>
              <w:bottom w:val="nil"/>
            </w:tcBorders>
            <w:noWrap/>
          </w:tcPr>
          <w:p w14:paraId="2D8FCB0C" w14:textId="180EBD2D" w:rsidR="00DC70A6" w:rsidRPr="00024EB0" w:rsidRDefault="00DC70A6" w:rsidP="00DC70A6">
            <w:pPr>
              <w:pStyle w:val="TableText"/>
              <w:jc w:val="right"/>
            </w:pPr>
            <w:r w:rsidRPr="00587FCD">
              <w:t>$213.63</w:t>
            </w:r>
          </w:p>
        </w:tc>
        <w:tc>
          <w:tcPr>
            <w:tcW w:w="603" w:type="pct"/>
            <w:tcBorders>
              <w:top w:val="nil"/>
              <w:bottom w:val="nil"/>
            </w:tcBorders>
            <w:noWrap/>
          </w:tcPr>
          <w:p w14:paraId="006D631B" w14:textId="1FE3B6DF" w:rsidR="00DC70A6" w:rsidRPr="00024EB0" w:rsidRDefault="00DC70A6" w:rsidP="00DC70A6">
            <w:pPr>
              <w:pStyle w:val="TableText"/>
              <w:jc w:val="right"/>
            </w:pPr>
            <w:r w:rsidRPr="00587FCD">
              <w:t>0.0225</w:t>
            </w:r>
          </w:p>
        </w:tc>
        <w:tc>
          <w:tcPr>
            <w:tcW w:w="603" w:type="pct"/>
            <w:tcBorders>
              <w:top w:val="nil"/>
              <w:bottom w:val="nil"/>
            </w:tcBorders>
            <w:noWrap/>
          </w:tcPr>
          <w:p w14:paraId="7F7FAAD1" w14:textId="49A0DDDA" w:rsidR="00DC70A6" w:rsidRPr="00024EB0" w:rsidRDefault="00DC70A6" w:rsidP="00DC70A6">
            <w:pPr>
              <w:pStyle w:val="TableText"/>
              <w:jc w:val="right"/>
            </w:pPr>
            <w:r w:rsidRPr="00587FCD">
              <w:t>$9,475</w:t>
            </w:r>
          </w:p>
        </w:tc>
        <w:tc>
          <w:tcPr>
            <w:tcW w:w="443" w:type="pct"/>
            <w:tcBorders>
              <w:top w:val="nil"/>
              <w:bottom w:val="nil"/>
            </w:tcBorders>
            <w:noWrap/>
          </w:tcPr>
          <w:p w14:paraId="5FC913FA" w14:textId="30958EE9" w:rsidR="00DC70A6" w:rsidRPr="00024EB0" w:rsidRDefault="00DC70A6" w:rsidP="00DC70A6">
            <w:pPr>
              <w:pStyle w:val="TableText"/>
              <w:jc w:val="right"/>
            </w:pPr>
            <w:r w:rsidRPr="00587FCD">
              <w:t>26%</w:t>
            </w:r>
          </w:p>
        </w:tc>
      </w:tr>
      <w:tr w:rsidR="00DC70A6" w:rsidRPr="00024EB0" w14:paraId="0B960136" w14:textId="77777777" w:rsidTr="00DC70A6">
        <w:trPr>
          <w:trHeight w:val="300"/>
        </w:trPr>
        <w:tc>
          <w:tcPr>
            <w:tcW w:w="2749" w:type="pct"/>
            <w:tcBorders>
              <w:top w:val="nil"/>
              <w:bottom w:val="single" w:sz="4" w:space="0" w:color="auto"/>
            </w:tcBorders>
            <w:noWrap/>
            <w:hideMark/>
          </w:tcPr>
          <w:p w14:paraId="4D616FF5" w14:textId="77777777" w:rsidR="00DC70A6" w:rsidRPr="00024EB0" w:rsidRDefault="00DC70A6" w:rsidP="00DC70A6">
            <w:pPr>
              <w:pStyle w:val="TableText"/>
            </w:pPr>
            <w:r w:rsidRPr="00024EB0">
              <w:t>$4,499 [50% inpatient, 50% outpatient]</w:t>
            </w:r>
          </w:p>
        </w:tc>
        <w:tc>
          <w:tcPr>
            <w:tcW w:w="602" w:type="pct"/>
            <w:tcBorders>
              <w:top w:val="nil"/>
              <w:bottom w:val="single" w:sz="4" w:space="0" w:color="auto"/>
            </w:tcBorders>
            <w:noWrap/>
          </w:tcPr>
          <w:p w14:paraId="2E10E4E5" w14:textId="117873E1" w:rsidR="00DC70A6" w:rsidRPr="00024EB0" w:rsidRDefault="00DC70A6" w:rsidP="00DC70A6">
            <w:pPr>
              <w:pStyle w:val="TableText"/>
              <w:jc w:val="right"/>
            </w:pPr>
            <w:r w:rsidRPr="00587FCD">
              <w:t>$191.33</w:t>
            </w:r>
          </w:p>
        </w:tc>
        <w:tc>
          <w:tcPr>
            <w:tcW w:w="603" w:type="pct"/>
            <w:tcBorders>
              <w:top w:val="nil"/>
              <w:bottom w:val="single" w:sz="4" w:space="0" w:color="auto"/>
            </w:tcBorders>
            <w:noWrap/>
          </w:tcPr>
          <w:p w14:paraId="5929E554" w14:textId="53721571" w:rsidR="00DC70A6" w:rsidRPr="00024EB0" w:rsidRDefault="00DC70A6" w:rsidP="00DC70A6">
            <w:pPr>
              <w:pStyle w:val="TableText"/>
              <w:jc w:val="right"/>
            </w:pPr>
            <w:r w:rsidRPr="00587FCD">
              <w:t>0.0225</w:t>
            </w:r>
          </w:p>
        </w:tc>
        <w:tc>
          <w:tcPr>
            <w:tcW w:w="603" w:type="pct"/>
            <w:tcBorders>
              <w:top w:val="nil"/>
              <w:bottom w:val="single" w:sz="4" w:space="0" w:color="auto"/>
            </w:tcBorders>
            <w:noWrap/>
          </w:tcPr>
          <w:p w14:paraId="374FB3F0" w14:textId="493FE773" w:rsidR="00DC70A6" w:rsidRPr="00024EB0" w:rsidRDefault="00DC70A6" w:rsidP="00DC70A6">
            <w:pPr>
              <w:pStyle w:val="TableText"/>
              <w:jc w:val="right"/>
            </w:pPr>
            <w:r w:rsidRPr="00587FCD">
              <w:t>$8,485</w:t>
            </w:r>
          </w:p>
        </w:tc>
        <w:tc>
          <w:tcPr>
            <w:tcW w:w="443" w:type="pct"/>
            <w:tcBorders>
              <w:top w:val="nil"/>
              <w:bottom w:val="single" w:sz="4" w:space="0" w:color="auto"/>
            </w:tcBorders>
            <w:noWrap/>
          </w:tcPr>
          <w:p w14:paraId="07B6D1A9" w14:textId="758003B9" w:rsidR="00DC70A6" w:rsidRPr="00024EB0" w:rsidRDefault="00DC70A6" w:rsidP="00DC70A6">
            <w:pPr>
              <w:pStyle w:val="TableText"/>
              <w:jc w:val="right"/>
            </w:pPr>
            <w:r w:rsidRPr="00587FCD">
              <w:t>13%</w:t>
            </w:r>
          </w:p>
        </w:tc>
      </w:tr>
      <w:tr w:rsidR="00DC70A6" w:rsidRPr="00024EB0" w14:paraId="1EE88464" w14:textId="77777777" w:rsidTr="00247A5F">
        <w:trPr>
          <w:trHeight w:val="300"/>
        </w:trPr>
        <w:tc>
          <w:tcPr>
            <w:tcW w:w="2749" w:type="pct"/>
            <w:tcBorders>
              <w:bottom w:val="single" w:sz="4" w:space="0" w:color="auto"/>
              <w:right w:val="nil"/>
            </w:tcBorders>
            <w:noWrap/>
            <w:hideMark/>
          </w:tcPr>
          <w:p w14:paraId="14B92CAB" w14:textId="77777777" w:rsidR="00DC70A6" w:rsidRPr="00024EB0" w:rsidRDefault="00DC70A6" w:rsidP="00DC70A6">
            <w:pPr>
              <w:pStyle w:val="TableText"/>
            </w:pPr>
            <w:r w:rsidRPr="00024EB0">
              <w:t>Rebiopsy complication rate (base case: 14%)</w:t>
            </w:r>
          </w:p>
        </w:tc>
        <w:tc>
          <w:tcPr>
            <w:tcW w:w="602" w:type="pct"/>
            <w:tcBorders>
              <w:left w:val="nil"/>
              <w:bottom w:val="single" w:sz="4" w:space="0" w:color="auto"/>
              <w:right w:val="nil"/>
            </w:tcBorders>
            <w:noWrap/>
          </w:tcPr>
          <w:p w14:paraId="1EF34A81"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767DFB0C" w14:textId="77777777" w:rsidR="00DC70A6" w:rsidRPr="00024EB0" w:rsidRDefault="00DC70A6" w:rsidP="00DC70A6">
            <w:pPr>
              <w:pStyle w:val="TableText"/>
              <w:jc w:val="right"/>
            </w:pPr>
          </w:p>
        </w:tc>
        <w:tc>
          <w:tcPr>
            <w:tcW w:w="603" w:type="pct"/>
            <w:tcBorders>
              <w:left w:val="nil"/>
              <w:bottom w:val="single" w:sz="4" w:space="0" w:color="auto"/>
              <w:right w:val="nil"/>
            </w:tcBorders>
            <w:noWrap/>
          </w:tcPr>
          <w:p w14:paraId="5A14E070" w14:textId="77777777" w:rsidR="00DC70A6" w:rsidRPr="00024EB0" w:rsidRDefault="00DC70A6" w:rsidP="00DC70A6">
            <w:pPr>
              <w:pStyle w:val="TableText"/>
              <w:jc w:val="right"/>
            </w:pPr>
          </w:p>
        </w:tc>
        <w:tc>
          <w:tcPr>
            <w:tcW w:w="443" w:type="pct"/>
            <w:tcBorders>
              <w:left w:val="nil"/>
              <w:bottom w:val="single" w:sz="4" w:space="0" w:color="auto"/>
            </w:tcBorders>
            <w:noWrap/>
          </w:tcPr>
          <w:p w14:paraId="6DF303DF" w14:textId="77777777" w:rsidR="00DC70A6" w:rsidRPr="00024EB0" w:rsidRDefault="00DC70A6" w:rsidP="00DC70A6">
            <w:pPr>
              <w:pStyle w:val="TableText"/>
              <w:jc w:val="right"/>
            </w:pPr>
          </w:p>
        </w:tc>
      </w:tr>
      <w:tr w:rsidR="00DC70A6" w:rsidRPr="00024EB0" w14:paraId="74879DFC" w14:textId="77777777" w:rsidTr="00247A5F">
        <w:trPr>
          <w:trHeight w:val="300"/>
        </w:trPr>
        <w:tc>
          <w:tcPr>
            <w:tcW w:w="2749" w:type="pct"/>
            <w:tcBorders>
              <w:bottom w:val="nil"/>
            </w:tcBorders>
            <w:noWrap/>
          </w:tcPr>
          <w:p w14:paraId="592BA5E7" w14:textId="77777777" w:rsidR="00DC70A6" w:rsidRPr="00024EB0" w:rsidRDefault="00DC70A6" w:rsidP="00DC70A6">
            <w:pPr>
              <w:pStyle w:val="TableText"/>
            </w:pPr>
            <w:r>
              <w:t>10%</w:t>
            </w:r>
          </w:p>
        </w:tc>
        <w:tc>
          <w:tcPr>
            <w:tcW w:w="602" w:type="pct"/>
            <w:tcBorders>
              <w:bottom w:val="nil"/>
            </w:tcBorders>
            <w:noWrap/>
          </w:tcPr>
          <w:p w14:paraId="7A8863E2" w14:textId="04426777" w:rsidR="00DC70A6" w:rsidRPr="00024EB0" w:rsidRDefault="00DC70A6" w:rsidP="00DC70A6">
            <w:pPr>
              <w:pStyle w:val="TableText"/>
              <w:jc w:val="right"/>
            </w:pPr>
            <w:r w:rsidRPr="00587FCD">
              <w:t>$177.73</w:t>
            </w:r>
          </w:p>
        </w:tc>
        <w:tc>
          <w:tcPr>
            <w:tcW w:w="603" w:type="pct"/>
            <w:tcBorders>
              <w:bottom w:val="nil"/>
            </w:tcBorders>
            <w:noWrap/>
          </w:tcPr>
          <w:p w14:paraId="5D6CD48E" w14:textId="354C908A" w:rsidR="00DC70A6" w:rsidRPr="00024EB0" w:rsidRDefault="00DC70A6" w:rsidP="00DC70A6">
            <w:pPr>
              <w:pStyle w:val="TableText"/>
              <w:jc w:val="right"/>
            </w:pPr>
            <w:r w:rsidRPr="00587FCD">
              <w:t>0.0225</w:t>
            </w:r>
          </w:p>
        </w:tc>
        <w:tc>
          <w:tcPr>
            <w:tcW w:w="603" w:type="pct"/>
            <w:tcBorders>
              <w:bottom w:val="nil"/>
            </w:tcBorders>
            <w:noWrap/>
          </w:tcPr>
          <w:p w14:paraId="33232461" w14:textId="3C989982" w:rsidR="00DC70A6" w:rsidRPr="00024EB0" w:rsidRDefault="00DC70A6" w:rsidP="00DC70A6">
            <w:pPr>
              <w:pStyle w:val="TableText"/>
              <w:jc w:val="right"/>
            </w:pPr>
            <w:r w:rsidRPr="00587FCD">
              <w:t>$7,882</w:t>
            </w:r>
          </w:p>
        </w:tc>
        <w:tc>
          <w:tcPr>
            <w:tcW w:w="443" w:type="pct"/>
            <w:tcBorders>
              <w:bottom w:val="nil"/>
            </w:tcBorders>
            <w:noWrap/>
          </w:tcPr>
          <w:p w14:paraId="66375A14" w14:textId="25066D4D" w:rsidR="00DC70A6" w:rsidRPr="00024EB0" w:rsidRDefault="00DC70A6" w:rsidP="00DC70A6">
            <w:pPr>
              <w:pStyle w:val="TableText"/>
              <w:jc w:val="right"/>
            </w:pPr>
            <w:r w:rsidRPr="00587FCD">
              <w:t>5%</w:t>
            </w:r>
          </w:p>
        </w:tc>
      </w:tr>
      <w:tr w:rsidR="00DC70A6" w:rsidRPr="00024EB0" w14:paraId="2CCB638C" w14:textId="77777777" w:rsidTr="00247A5F">
        <w:trPr>
          <w:trHeight w:val="300"/>
        </w:trPr>
        <w:tc>
          <w:tcPr>
            <w:tcW w:w="2749" w:type="pct"/>
            <w:tcBorders>
              <w:top w:val="nil"/>
              <w:bottom w:val="single" w:sz="4" w:space="0" w:color="auto"/>
            </w:tcBorders>
            <w:noWrap/>
          </w:tcPr>
          <w:p w14:paraId="11C4BBE5" w14:textId="77777777" w:rsidR="00DC70A6" w:rsidRPr="00024EB0" w:rsidRDefault="00DC70A6" w:rsidP="00DC70A6">
            <w:pPr>
              <w:pStyle w:val="TableText"/>
            </w:pPr>
            <w:r>
              <w:t>17%</w:t>
            </w:r>
          </w:p>
        </w:tc>
        <w:tc>
          <w:tcPr>
            <w:tcW w:w="602" w:type="pct"/>
            <w:tcBorders>
              <w:top w:val="nil"/>
              <w:bottom w:val="single" w:sz="4" w:space="0" w:color="auto"/>
            </w:tcBorders>
            <w:noWrap/>
          </w:tcPr>
          <w:p w14:paraId="4368F0AC" w14:textId="306A80D9" w:rsidR="00DC70A6" w:rsidRPr="00024EB0" w:rsidRDefault="00DC70A6" w:rsidP="00DC70A6">
            <w:pPr>
              <w:pStyle w:val="TableText"/>
              <w:jc w:val="right"/>
            </w:pPr>
            <w:r w:rsidRPr="00587FCD">
              <w:t>$162.50</w:t>
            </w:r>
          </w:p>
        </w:tc>
        <w:tc>
          <w:tcPr>
            <w:tcW w:w="603" w:type="pct"/>
            <w:tcBorders>
              <w:top w:val="nil"/>
              <w:bottom w:val="single" w:sz="4" w:space="0" w:color="auto"/>
            </w:tcBorders>
            <w:noWrap/>
          </w:tcPr>
          <w:p w14:paraId="2BE5BDF8" w14:textId="55FD0B7A" w:rsidR="00DC70A6" w:rsidRPr="00024EB0" w:rsidRDefault="00DC70A6" w:rsidP="00DC70A6">
            <w:pPr>
              <w:pStyle w:val="TableText"/>
              <w:jc w:val="right"/>
            </w:pPr>
            <w:r w:rsidRPr="00587FCD">
              <w:t>0.0225</w:t>
            </w:r>
          </w:p>
        </w:tc>
        <w:tc>
          <w:tcPr>
            <w:tcW w:w="603" w:type="pct"/>
            <w:tcBorders>
              <w:top w:val="nil"/>
              <w:bottom w:val="single" w:sz="4" w:space="0" w:color="auto"/>
            </w:tcBorders>
            <w:noWrap/>
          </w:tcPr>
          <w:p w14:paraId="27B59183" w14:textId="1D7A67B3" w:rsidR="00DC70A6" w:rsidRPr="00024EB0" w:rsidRDefault="00DC70A6" w:rsidP="00DC70A6">
            <w:pPr>
              <w:pStyle w:val="TableText"/>
              <w:jc w:val="right"/>
            </w:pPr>
            <w:r w:rsidRPr="00587FCD">
              <w:t>$7,207</w:t>
            </w:r>
          </w:p>
        </w:tc>
        <w:tc>
          <w:tcPr>
            <w:tcW w:w="443" w:type="pct"/>
            <w:tcBorders>
              <w:top w:val="nil"/>
              <w:bottom w:val="single" w:sz="4" w:space="0" w:color="auto"/>
            </w:tcBorders>
            <w:noWrap/>
          </w:tcPr>
          <w:p w14:paraId="7B9C0DD3" w14:textId="32633517" w:rsidR="00DC70A6" w:rsidRPr="00024EB0" w:rsidRDefault="00DC70A6" w:rsidP="00DC70A6">
            <w:pPr>
              <w:pStyle w:val="TableText"/>
              <w:jc w:val="right"/>
            </w:pPr>
            <w:r w:rsidRPr="00587FCD">
              <w:t>−4%</w:t>
            </w:r>
          </w:p>
        </w:tc>
      </w:tr>
    </w:tbl>
    <w:p w14:paraId="11B6AA22" w14:textId="77777777" w:rsidR="004E63D6" w:rsidRDefault="004E63D6" w:rsidP="004E63D6">
      <w:pPr>
        <w:pStyle w:val="TableFooter"/>
      </w:pPr>
      <w:r w:rsidRPr="00916E2F">
        <w:rPr>
          <w:vertAlign w:val="superscript"/>
        </w:rPr>
        <w:t>a</w:t>
      </w:r>
      <w:r w:rsidRPr="00916E2F">
        <w:t xml:space="preserve"> </w:t>
      </w:r>
      <w:r>
        <w:t>Half the difference between test strategies</w:t>
      </w:r>
    </w:p>
    <w:p w14:paraId="27A99DA4" w14:textId="77777777" w:rsidR="004E63D6" w:rsidRPr="00916E2F" w:rsidRDefault="004E63D6" w:rsidP="004E63D6">
      <w:pPr>
        <w:pStyle w:val="TableFooter"/>
      </w:pPr>
      <w:r w:rsidRPr="00916E2F">
        <w:rPr>
          <w:vertAlign w:val="superscript"/>
        </w:rPr>
        <w:t>b</w:t>
      </w:r>
      <w:r>
        <w:t xml:space="preserve"> Double the difference between test strategies</w:t>
      </w:r>
    </w:p>
    <w:p w14:paraId="31115467" w14:textId="77777777" w:rsidR="004E63D6" w:rsidRDefault="004E63D6" w:rsidP="004E63D6">
      <w:pPr>
        <w:pStyle w:val="TableFooter"/>
      </w:pPr>
      <w:r>
        <w:rPr>
          <w:i/>
        </w:rPr>
        <w:t>ALK</w:t>
      </w:r>
      <w:r>
        <w:t xml:space="preserve"> = </w:t>
      </w:r>
      <w:r w:rsidRPr="003316EF">
        <w:t>anaplastic lymphoma kinase</w:t>
      </w:r>
      <w:r>
        <w:t xml:space="preserve">; </w:t>
      </w:r>
      <w:r w:rsidRPr="00152F12">
        <w:rPr>
          <w:i/>
        </w:rPr>
        <w:t>BRAF</w:t>
      </w:r>
      <w:r>
        <w:t xml:space="preserve"> = proto-oncogene B-Raf and v-Raf murine sarcoma viral oncogene homolog B; DNA = deoxyribose nucleic acid; </w:t>
      </w:r>
      <w:r w:rsidRPr="00A81F01">
        <w:rPr>
          <w:i/>
        </w:rPr>
        <w:t>EGFR</w:t>
      </w:r>
      <w:r>
        <w:t xml:space="preserve"> = </w:t>
      </w:r>
      <w:r w:rsidRPr="00A81F01">
        <w:t>epidermal growth factor receptor</w:t>
      </w:r>
      <w:r>
        <w:t>; FISH = f</w:t>
      </w:r>
      <w:r w:rsidRPr="003316EF">
        <w:t>luorescence in situ hybridisation</w:t>
      </w:r>
      <w:r>
        <w:t xml:space="preserve">; ICER = incremental cost-effectiveness ratio; IHC = immunohistochemistry; </w:t>
      </w:r>
      <w:r w:rsidRPr="000B3989">
        <w:rPr>
          <w:i/>
          <w:iCs/>
        </w:rPr>
        <w:t>KRAS</w:t>
      </w:r>
      <w:r w:rsidRPr="00B52D8D">
        <w:t xml:space="preserve"> = Kirsten rat sarcoma viral oncogene homologue</w:t>
      </w:r>
      <w:r>
        <w:t xml:space="preserve">; </w:t>
      </w:r>
      <w:r w:rsidRPr="00336456">
        <w:rPr>
          <w:i/>
        </w:rPr>
        <w:t>MET</w:t>
      </w:r>
      <w:r>
        <w:t>ex14sk = MET proto-</w:t>
      </w:r>
      <w:r>
        <w:lastRenderedPageBreak/>
        <w:t xml:space="preserve">oncogene, receptor tyrosine kinase exon 14 skipping alterations; NPA = negative percent agreement; </w:t>
      </w:r>
      <w:r w:rsidRPr="000B3989">
        <w:rPr>
          <w:i/>
          <w:iCs/>
        </w:rPr>
        <w:t>NTRK</w:t>
      </w:r>
      <w:r w:rsidRPr="00B52D8D">
        <w:t xml:space="preserve"> = neurotrophic tropomyosin receptor kinase;</w:t>
      </w:r>
      <w:r>
        <w:t xml:space="preserve"> PPA = positive percent agreement; RNA = ribonucleic acid;</w:t>
      </w:r>
      <w:r w:rsidRPr="00B52D8D">
        <w:t xml:space="preserve"> </w:t>
      </w:r>
      <w:r w:rsidRPr="00743D1B">
        <w:rPr>
          <w:i/>
        </w:rPr>
        <w:t>ROS1</w:t>
      </w:r>
      <w:r>
        <w:t xml:space="preserve"> = ROS proto-oncogene 1.</w:t>
      </w:r>
    </w:p>
    <w:p w14:paraId="55C7993F" w14:textId="0A58D931" w:rsidR="00DD0D7A" w:rsidRPr="003251C2" w:rsidRDefault="00DD0D7A" w:rsidP="0004492E">
      <w:pPr>
        <w:pStyle w:val="NormalBeforeBullet"/>
      </w:pPr>
    </w:p>
    <w:sectPr w:rsidR="00DD0D7A" w:rsidRPr="003251C2" w:rsidSect="00052DD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AB99A" w14:textId="77777777" w:rsidR="00827A66" w:rsidRDefault="00827A66" w:rsidP="00B62DF2">
      <w:pPr>
        <w:spacing w:after="0" w:line="240" w:lineRule="auto"/>
      </w:pPr>
      <w:r>
        <w:separator/>
      </w:r>
    </w:p>
  </w:endnote>
  <w:endnote w:type="continuationSeparator" w:id="0">
    <w:p w14:paraId="27490975" w14:textId="77777777" w:rsidR="00827A66" w:rsidRDefault="00827A66" w:rsidP="00B62DF2">
      <w:pPr>
        <w:spacing w:after="0" w:line="240" w:lineRule="auto"/>
      </w:pPr>
      <w:r>
        <w:continuationSeparator/>
      </w:r>
    </w:p>
  </w:endnote>
  <w:endnote w:type="continuationNotice" w:id="1">
    <w:p w14:paraId="6F1D75A2" w14:textId="77777777" w:rsidR="00827A66" w:rsidRDefault="00827A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460831"/>
      <w:docPartObj>
        <w:docPartGallery w:val="Page Numbers (Bottom of Page)"/>
        <w:docPartUnique/>
      </w:docPartObj>
    </w:sdtPr>
    <w:sdtEndPr>
      <w:rPr>
        <w:noProof/>
      </w:rPr>
    </w:sdtEndPr>
    <w:sdtContent>
      <w:p w14:paraId="6E76D499" w14:textId="24880EC5" w:rsidR="00827A66" w:rsidRDefault="00827A66" w:rsidP="0029704A">
        <w:pPr>
          <w:pStyle w:val="Footer"/>
          <w:tabs>
            <w:tab w:val="clear" w:pos="4513"/>
            <w:tab w:val="center" w:pos="3402"/>
          </w:tabs>
        </w:pPr>
        <w:r>
          <w:fldChar w:fldCharType="begin"/>
        </w:r>
        <w:r>
          <w:instrText xml:space="preserve"> PAGE   \* MERGEFORMAT </w:instrText>
        </w:r>
        <w:r>
          <w:fldChar w:fldCharType="separate"/>
        </w:r>
        <w:r>
          <w:rPr>
            <w:noProof/>
          </w:rPr>
          <w:t>214</w:t>
        </w:r>
        <w:r>
          <w:rPr>
            <w:noProof/>
          </w:rPr>
          <w:fldChar w:fldCharType="end"/>
        </w:r>
        <w:r>
          <w:rPr>
            <w:noProof/>
          </w:rPr>
          <w:tab/>
        </w:r>
        <w:r>
          <w:rPr>
            <w:noProof/>
          </w:rPr>
          <w:tab/>
        </w:r>
        <w:r>
          <w:t xml:space="preserve">MSAC </w:t>
        </w:r>
        <w:r w:rsidRPr="00807A3E">
          <w:t xml:space="preserve">assessment report </w:t>
        </w:r>
        <w:r>
          <w:t>1721 Small NGS panel for NSCLC</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847"/>
      <w:docPartObj>
        <w:docPartGallery w:val="Page Numbers (Bottom of Page)"/>
        <w:docPartUnique/>
      </w:docPartObj>
    </w:sdtPr>
    <w:sdtEndPr>
      <w:rPr>
        <w:noProof/>
      </w:rPr>
    </w:sdtEndPr>
    <w:sdtContent>
      <w:p w14:paraId="6BE9385A" w14:textId="5A0DCA29" w:rsidR="00827A66" w:rsidRDefault="00827A66" w:rsidP="00052DD3">
        <w:pPr>
          <w:pStyle w:val="Footer"/>
          <w:jc w:val="right"/>
        </w:pPr>
        <w:r w:rsidRPr="00052DD3">
          <w:t xml:space="preserve">MSAC assessment report </w:t>
        </w:r>
        <w:r>
          <w:t>1721 Small NGS panel for NSCLC</w:t>
        </w:r>
        <w:r>
          <w:tab/>
        </w:r>
        <w:r w:rsidR="004C426C">
          <w:fldChar w:fldCharType="begin"/>
        </w:r>
        <w:r w:rsidR="004C426C">
          <w:instrText xml:space="preserve"> PAGE   \* MERGEFORMAT </w:instrText>
        </w:r>
        <w:r w:rsidR="004C426C">
          <w:fldChar w:fldCharType="separate"/>
        </w:r>
        <w:r w:rsidR="004C426C">
          <w:rPr>
            <w:noProof/>
          </w:rPr>
          <w:t>7</w:t>
        </w:r>
        <w:r w:rsidR="004C426C">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21ED" w14:textId="77777777" w:rsidR="000F2720" w:rsidRDefault="000F2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1955E" w14:textId="77777777" w:rsidR="00827A66" w:rsidRDefault="00827A66" w:rsidP="00B62DF2">
      <w:pPr>
        <w:spacing w:after="0" w:line="240" w:lineRule="auto"/>
      </w:pPr>
      <w:r>
        <w:separator/>
      </w:r>
    </w:p>
  </w:footnote>
  <w:footnote w:type="continuationSeparator" w:id="0">
    <w:p w14:paraId="15526A4F" w14:textId="77777777" w:rsidR="00827A66" w:rsidRDefault="00827A66" w:rsidP="00B62DF2">
      <w:pPr>
        <w:spacing w:after="0" w:line="240" w:lineRule="auto"/>
      </w:pPr>
      <w:r>
        <w:continuationSeparator/>
      </w:r>
    </w:p>
  </w:footnote>
  <w:footnote w:type="continuationNotice" w:id="1">
    <w:p w14:paraId="43F24633" w14:textId="77777777" w:rsidR="00827A66" w:rsidRDefault="00827A66">
      <w:pPr>
        <w:spacing w:before="0" w:after="0" w:line="240" w:lineRule="auto"/>
      </w:pPr>
    </w:p>
  </w:footnote>
  <w:footnote w:id="2">
    <w:p w14:paraId="1801A141" w14:textId="595C2778" w:rsidR="00827A66" w:rsidRDefault="00827A66">
      <w:pPr>
        <w:pStyle w:val="FootnoteText"/>
      </w:pPr>
      <w:r>
        <w:rPr>
          <w:rStyle w:val="FootnoteReference"/>
        </w:rPr>
        <w:footnoteRef/>
      </w:r>
      <w:r>
        <w:t xml:space="preserve"> </w:t>
      </w:r>
      <w:r w:rsidRPr="008E14B6">
        <w:t xml:space="preserve">Steeghs, EMP, Groen, HJM, Schuuring, E, Aarts, MJ, Damhuis, RAM, Voorham, QJM, Ligtenberg, MJL &amp; Grunberg, K 2022, 'Mutation-tailored treatment selection in non-small cell lung cancer patients in daily clinical practice', </w:t>
      </w:r>
      <w:r w:rsidRPr="008E14B6">
        <w:rPr>
          <w:i/>
          <w:iCs/>
        </w:rPr>
        <w:t>Lung Cancer</w:t>
      </w:r>
      <w:r w:rsidRPr="008E14B6">
        <w:t>, vol. 167, May, pp. 87</w:t>
      </w:r>
      <w:r>
        <w:t>-97.</w:t>
      </w:r>
    </w:p>
  </w:footnote>
  <w:footnote w:id="3">
    <w:p w14:paraId="2625F383" w14:textId="58A47173" w:rsidR="00827A66" w:rsidRPr="00C66FEA" w:rsidRDefault="00827A66" w:rsidP="00C66FEA">
      <w:pPr>
        <w:pStyle w:val="FootnoteText"/>
      </w:pPr>
      <w:r>
        <w:rPr>
          <w:rStyle w:val="FootnoteReference"/>
        </w:rPr>
        <w:footnoteRef/>
      </w:r>
      <w:r>
        <w:t xml:space="preserve"> </w:t>
      </w:r>
      <w:r w:rsidRPr="00C66FEA">
        <w:t xml:space="preserve">Gutierrez, ME, Choi, K, Lanman, RB, Licitra, EJ, Skrzypczak, SM, Pe Benito, R, Wu, T, Arunajadai, S, Kaur, S, Harper, H, Pecora, AL, Schultz, EV &amp; Goldberg, SL 2017, 'Genomic Profiling of Advanced Non-Small Cell Lung Cancer in Community Settings: Gaps and Opportunities', </w:t>
      </w:r>
      <w:r w:rsidRPr="00C66FEA">
        <w:rPr>
          <w:i/>
          <w:iCs/>
        </w:rPr>
        <w:t>Clin Lung Cancer</w:t>
      </w:r>
      <w:r w:rsidRPr="00C66FEA">
        <w:t>, vol. 18, no. 6, Nov, pp. 651-659.</w:t>
      </w:r>
    </w:p>
    <w:p w14:paraId="020FA75C" w14:textId="316199DE" w:rsidR="00827A66" w:rsidRDefault="00827A66">
      <w:pPr>
        <w:pStyle w:val="FootnoteText"/>
      </w:pPr>
      <w:r w:rsidRPr="00C66FEA">
        <w:t xml:space="preserve">Li, W, Li, Y, Guo, L, Liu, Y, Yang, L &amp; Ying, J 2021, 'Metastatic NSCLCs With Limited Tissues: How to Effectively Identify Driver Alterations to Guide Targeted Therapy in Chinese Patients', </w:t>
      </w:r>
      <w:r w:rsidRPr="00C66FEA">
        <w:rPr>
          <w:i/>
          <w:iCs/>
        </w:rPr>
        <w:t>JTO Clin Res Rep</w:t>
      </w:r>
      <w:r w:rsidRPr="00C66FEA">
        <w:t>,</w:t>
      </w:r>
      <w:r>
        <w:t xml:space="preserve"> vol. 2, no. 5, May, p. 100167.</w:t>
      </w:r>
    </w:p>
  </w:footnote>
  <w:footnote w:id="4">
    <w:p w14:paraId="05973753" w14:textId="23F4EBF4" w:rsidR="00827A66" w:rsidRDefault="00827A66">
      <w:pPr>
        <w:pStyle w:val="FootnoteText"/>
      </w:pPr>
      <w:r>
        <w:rPr>
          <w:rStyle w:val="FootnoteReference"/>
        </w:rPr>
        <w:footnoteRef/>
      </w:r>
      <w:r>
        <w:t xml:space="preserve"> </w:t>
      </w:r>
      <w:r w:rsidRPr="002C16CB">
        <w:t xml:space="preserve">Nam, BD, Yoon, SH, Hong, H, Hwang, JH, Goo, JM &amp; Park, S 2021, 'Tissue Adequacy and Safety of Percutaneous Transthoracic Needle Biopsy for Molecular Analysis in Non-Small Cell Lung Cancer: A Systematic Review and Meta-analysis', </w:t>
      </w:r>
      <w:r w:rsidRPr="002C16CB">
        <w:rPr>
          <w:i/>
          <w:iCs/>
        </w:rPr>
        <w:t>Korean J Radiol</w:t>
      </w:r>
      <w:r w:rsidRPr="002C16CB">
        <w:t xml:space="preserve">, vol. </w:t>
      </w:r>
      <w:r>
        <w:t>22, no. 12, Dec, pp. 2082-2093.</w:t>
      </w:r>
    </w:p>
  </w:footnote>
  <w:footnote w:id="5">
    <w:p w14:paraId="0A83AFF6" w14:textId="47126A02" w:rsidR="00827A66" w:rsidRDefault="00827A66">
      <w:pPr>
        <w:pStyle w:val="FootnoteText"/>
      </w:pPr>
      <w:r>
        <w:rPr>
          <w:rStyle w:val="FootnoteReference"/>
        </w:rPr>
        <w:footnoteRef/>
      </w:r>
      <w:r>
        <w:t xml:space="preserve"> These common sensitising variants align with the inclusion criteria for studies such as the EURTAC RCT of erlotinib vs chemotherapy (2012) which was part of the evidentiary basis of the test-drug co-dependency approved by MSAC/PBAC.</w:t>
      </w:r>
    </w:p>
  </w:footnote>
  <w:footnote w:id="6">
    <w:p w14:paraId="662FB5EE" w14:textId="77777777" w:rsidR="00827A66" w:rsidRPr="00B94248" w:rsidRDefault="00827A66" w:rsidP="00AF277D">
      <w:pPr>
        <w:pStyle w:val="TableFooter"/>
      </w:pPr>
      <w:r>
        <w:rPr>
          <w:rStyle w:val="FootnoteReference"/>
        </w:rPr>
        <w:footnoteRef/>
      </w:r>
      <w:r>
        <w:t xml:space="preserve"> John, T, Taylor, A, Wang, H, Eichinger, C, Freeman, C &amp; Ahn, MJ 2022, 'Uncommon EGFR mutations in non-small-cell lung cancer: A systematic literature review of prevalence and clinical outcomes', </w:t>
      </w:r>
      <w:r>
        <w:rPr>
          <w:i/>
          <w:iCs/>
        </w:rPr>
        <w:t>Cancer Epidemiol</w:t>
      </w:r>
      <w:r>
        <w:t>, vol. 76, Feb, p. 102080.</w:t>
      </w:r>
    </w:p>
  </w:footnote>
  <w:footnote w:id="7">
    <w:p w14:paraId="62910238" w14:textId="5D287973" w:rsidR="00827A66" w:rsidRPr="00DE6731" w:rsidRDefault="00827A66" w:rsidP="00AF277D">
      <w:pPr>
        <w:pStyle w:val="TableFooter"/>
      </w:pPr>
      <w:r w:rsidRPr="00DE6731">
        <w:rPr>
          <w:rStyle w:val="FootnoteReference"/>
        </w:rPr>
        <w:footnoteRef/>
      </w:r>
      <w:r w:rsidRPr="00DE6731">
        <w:t xml:space="preserve"> John, T, Taylor, A, Wang, H, Eichinger, C, Freeman, C &amp; Ahn, MJ 2022, 'Uncommon EGFR mutations in non-small-cell lung cancer: A systematic literature review of prevalence and clinical outcomes', </w:t>
      </w:r>
      <w:r w:rsidRPr="00DE6731">
        <w:rPr>
          <w:i/>
          <w:iCs/>
        </w:rPr>
        <w:t>Cancer Epidemiol</w:t>
      </w:r>
      <w:r w:rsidRPr="00DE6731">
        <w:t>, vol. 76, Feb, p. 102080.</w:t>
      </w:r>
    </w:p>
  </w:footnote>
  <w:footnote w:id="8">
    <w:p w14:paraId="0451796F" w14:textId="1564FF2E" w:rsidR="00827A66" w:rsidRPr="00DE6731" w:rsidRDefault="00827A66" w:rsidP="00DE6731">
      <w:pPr>
        <w:autoSpaceDE w:val="0"/>
        <w:autoSpaceDN w:val="0"/>
        <w:adjustRightInd w:val="0"/>
        <w:spacing w:before="0" w:after="0" w:line="240" w:lineRule="auto"/>
        <w:rPr>
          <w:rFonts w:ascii="Arial Narrow" w:hAnsi="Arial Narrow" w:cs="Segoe UI"/>
          <w:sz w:val="18"/>
          <w:szCs w:val="18"/>
        </w:rPr>
      </w:pPr>
      <w:r w:rsidRPr="00DE6731">
        <w:rPr>
          <w:rStyle w:val="FootnoteReference"/>
          <w:rFonts w:ascii="Arial Narrow" w:hAnsi="Arial Narrow"/>
        </w:rPr>
        <w:footnoteRef/>
      </w:r>
      <w:r w:rsidRPr="00DE6731">
        <w:rPr>
          <w:rFonts w:ascii="Arial Narrow" w:hAnsi="Arial Narrow"/>
        </w:rPr>
        <w:t xml:space="preserve"> </w:t>
      </w:r>
      <w:r w:rsidRPr="00DE6731">
        <w:rPr>
          <w:rFonts w:ascii="Arial Narrow" w:hAnsi="Arial Narrow" w:cs="Segoe UI"/>
          <w:sz w:val="18"/>
          <w:szCs w:val="18"/>
        </w:rPr>
        <w:t xml:space="preserve">Friedlaender, A, Tsantoulis, P, Chevallier, M, De Vito, C &amp; Addeo, A 2021, 'The Impact of Variant Allele Frequency in EGFR Mutated NSCLC Patients on Targeted Therapy', </w:t>
      </w:r>
      <w:r w:rsidRPr="00DE6731">
        <w:rPr>
          <w:rFonts w:ascii="Arial Narrow" w:hAnsi="Arial Narrow" w:cs="Segoe UI"/>
          <w:i/>
          <w:iCs/>
          <w:sz w:val="18"/>
          <w:szCs w:val="18"/>
        </w:rPr>
        <w:t>Front Oncol</w:t>
      </w:r>
      <w:r w:rsidRPr="00DE6731">
        <w:rPr>
          <w:rFonts w:ascii="Arial Narrow" w:hAnsi="Arial Narrow" w:cs="Segoe UI"/>
          <w:sz w:val="18"/>
          <w:szCs w:val="18"/>
        </w:rPr>
        <w:t>, vol. 11, p. 644472.</w:t>
      </w:r>
    </w:p>
  </w:footnote>
  <w:footnote w:id="9">
    <w:p w14:paraId="2D2BB0C5" w14:textId="4B520A21" w:rsidR="00827A66" w:rsidRPr="00DE6731" w:rsidRDefault="00827A66" w:rsidP="00DE6731">
      <w:pPr>
        <w:autoSpaceDE w:val="0"/>
        <w:autoSpaceDN w:val="0"/>
        <w:adjustRightInd w:val="0"/>
        <w:spacing w:before="0" w:after="0" w:line="240" w:lineRule="auto"/>
        <w:rPr>
          <w:rFonts w:ascii="Segoe UI" w:hAnsi="Segoe UI" w:cs="Segoe UI"/>
          <w:sz w:val="18"/>
          <w:szCs w:val="18"/>
        </w:rPr>
      </w:pPr>
      <w:r w:rsidRPr="00DE6731">
        <w:rPr>
          <w:rStyle w:val="FootnoteReference"/>
          <w:rFonts w:ascii="Arial Narrow" w:hAnsi="Arial Narrow"/>
        </w:rPr>
        <w:footnoteRef/>
      </w:r>
      <w:r w:rsidRPr="00DE6731">
        <w:rPr>
          <w:rFonts w:ascii="Arial Narrow" w:hAnsi="Arial Narrow"/>
        </w:rPr>
        <w:t xml:space="preserve"> </w:t>
      </w:r>
      <w:r w:rsidRPr="00DE6731">
        <w:rPr>
          <w:rFonts w:ascii="Arial Narrow" w:hAnsi="Arial Narrow" w:cs="Segoe UI"/>
          <w:sz w:val="18"/>
          <w:szCs w:val="18"/>
        </w:rPr>
        <w:t xml:space="preserve">Gieszer, B, Megyesfalvi, Z, Dulai, V, Papay, J, Kovalszky, I, Timar, J, Fillinger, J, Harko, T, Pipek, O, Teglasi, V, Regos, E, Papp, G, Szallasi, Z, Laszlo, V, Renyi-Vamos, F, Galffy, G, Bodor, C, Dome, B &amp; Moldvay, J 2021, 'EGFR variant allele frequency predicts EGFR-TKI efficacy in lung adenocarcinoma: a multicenter study', </w:t>
      </w:r>
      <w:r w:rsidRPr="00DE6731">
        <w:rPr>
          <w:rFonts w:ascii="Arial Narrow" w:hAnsi="Arial Narrow" w:cs="Segoe UI"/>
          <w:i/>
          <w:iCs/>
          <w:sz w:val="18"/>
          <w:szCs w:val="18"/>
        </w:rPr>
        <w:t>Transl Lung Cancer Res</w:t>
      </w:r>
      <w:r w:rsidRPr="00DE6731">
        <w:rPr>
          <w:rFonts w:ascii="Arial Narrow" w:hAnsi="Arial Narrow" w:cs="Segoe UI"/>
          <w:sz w:val="18"/>
          <w:szCs w:val="18"/>
        </w:rPr>
        <w:t>, vol. 10, no. 2, Feb, pp. 662-674.</w:t>
      </w:r>
    </w:p>
  </w:footnote>
  <w:footnote w:id="10">
    <w:p w14:paraId="3B707C40" w14:textId="49656D6E" w:rsidR="00827A66" w:rsidRPr="00DE6731" w:rsidRDefault="00827A66" w:rsidP="00DE6731">
      <w:pPr>
        <w:autoSpaceDE w:val="0"/>
        <w:autoSpaceDN w:val="0"/>
        <w:adjustRightInd w:val="0"/>
        <w:spacing w:before="0" w:after="0" w:line="240" w:lineRule="auto"/>
        <w:rPr>
          <w:rFonts w:ascii="Arial Narrow" w:hAnsi="Arial Narrow" w:cs="Segoe UI"/>
          <w:sz w:val="18"/>
          <w:szCs w:val="18"/>
        </w:rPr>
      </w:pPr>
      <w:r w:rsidRPr="00DE6731">
        <w:rPr>
          <w:rStyle w:val="FootnoteReference"/>
          <w:rFonts w:ascii="Arial Narrow" w:hAnsi="Arial Narrow"/>
          <w:sz w:val="18"/>
          <w:szCs w:val="18"/>
        </w:rPr>
        <w:footnoteRef/>
      </w:r>
      <w:r w:rsidRPr="00DE6731">
        <w:rPr>
          <w:rFonts w:ascii="Arial Narrow" w:hAnsi="Arial Narrow"/>
          <w:sz w:val="18"/>
          <w:szCs w:val="18"/>
        </w:rPr>
        <w:t xml:space="preserve"> </w:t>
      </w:r>
      <w:r w:rsidRPr="00DE6731">
        <w:rPr>
          <w:rFonts w:ascii="Arial Narrow" w:hAnsi="Arial Narrow" w:cs="Segoe UI"/>
          <w:sz w:val="18"/>
          <w:szCs w:val="18"/>
        </w:rPr>
        <w:t xml:space="preserve">Ye, L, Mesbah Ardakani, N, Thomas, C, Spilsbury, K, Leslie, C, Amanuel, B &amp; Millward, M 2020, 'Detection of Low-level EGFR c.2369 C &gt; T (p.Thr790Met) Resistance Mutation in Pre-treatment Non-small Cell Lung Carcinomas Harboring Activating EGFR Mutations and Correlation with Clinical Outcomes', </w:t>
      </w:r>
      <w:r w:rsidRPr="00DE6731">
        <w:rPr>
          <w:rFonts w:ascii="Arial Narrow" w:hAnsi="Arial Narrow" w:cs="Segoe UI"/>
          <w:i/>
          <w:iCs/>
          <w:sz w:val="18"/>
          <w:szCs w:val="18"/>
        </w:rPr>
        <w:t>Pathol Oncol Res</w:t>
      </w:r>
      <w:r w:rsidRPr="00DE6731">
        <w:rPr>
          <w:rFonts w:ascii="Arial Narrow" w:hAnsi="Arial Narrow" w:cs="Segoe UI"/>
          <w:sz w:val="18"/>
          <w:szCs w:val="18"/>
        </w:rPr>
        <w:t>, vol. 26, no. 4, Oct, pp. 2371-2379.</w:t>
      </w:r>
    </w:p>
  </w:footnote>
  <w:footnote w:id="11">
    <w:p w14:paraId="391B2EB1" w14:textId="0359ED82" w:rsidR="00827A66" w:rsidRPr="00DE6731" w:rsidRDefault="00827A66" w:rsidP="005D1843">
      <w:pPr>
        <w:autoSpaceDE w:val="0"/>
        <w:autoSpaceDN w:val="0"/>
        <w:adjustRightInd w:val="0"/>
        <w:spacing w:before="0" w:after="0" w:line="240" w:lineRule="auto"/>
        <w:rPr>
          <w:rFonts w:ascii="Arial Narrow" w:hAnsi="Arial Narrow" w:cs="Segoe UI"/>
          <w:sz w:val="18"/>
          <w:szCs w:val="18"/>
        </w:rPr>
      </w:pPr>
      <w:r w:rsidRPr="00DE6731">
        <w:rPr>
          <w:rStyle w:val="FootnoteReference"/>
          <w:rFonts w:ascii="Arial Narrow" w:hAnsi="Arial Narrow"/>
          <w:sz w:val="18"/>
          <w:szCs w:val="18"/>
        </w:rPr>
        <w:footnoteRef/>
      </w:r>
      <w:r w:rsidRPr="00DE6731">
        <w:rPr>
          <w:rFonts w:ascii="Arial Narrow" w:hAnsi="Arial Narrow" w:cs="Segoe UI"/>
          <w:sz w:val="18"/>
          <w:szCs w:val="18"/>
        </w:rPr>
        <w:t xml:space="preserve">Dall'Olio, FG, Conci, N, Rossi, G, Fiorentino, M, De Giglio, A, Grilli, G, Altimari, A, Gruppioni, E, Filippini, DM, Di Federico, A, Nuvola, G &amp; Ardizzoni, A 2020, 'Comparison of Sequential Testing and Next Generation Sequencing in advanced Lung Adenocarcinoma patients - A single centre experience', </w:t>
      </w:r>
      <w:r w:rsidRPr="00DE6731">
        <w:rPr>
          <w:rFonts w:ascii="Arial Narrow" w:hAnsi="Arial Narrow" w:cs="Segoe UI"/>
          <w:i/>
          <w:iCs/>
          <w:sz w:val="18"/>
          <w:szCs w:val="18"/>
        </w:rPr>
        <w:t>Lung Cancer</w:t>
      </w:r>
      <w:r w:rsidRPr="00DE6731">
        <w:rPr>
          <w:rFonts w:ascii="Arial Narrow" w:hAnsi="Arial Narrow" w:cs="Segoe UI"/>
          <w:sz w:val="18"/>
          <w:szCs w:val="18"/>
        </w:rPr>
        <w:t>, vol. 149, November, pp. 5-9.</w:t>
      </w:r>
    </w:p>
  </w:footnote>
  <w:footnote w:id="12">
    <w:p w14:paraId="1DC0EB8C" w14:textId="3C2A371A" w:rsidR="00827A66" w:rsidRPr="00F12879" w:rsidRDefault="00827A66" w:rsidP="005D1843">
      <w:pPr>
        <w:autoSpaceDE w:val="0"/>
        <w:autoSpaceDN w:val="0"/>
        <w:adjustRightInd w:val="0"/>
        <w:spacing w:before="0" w:after="0" w:line="240" w:lineRule="auto"/>
        <w:rPr>
          <w:rFonts w:ascii="Arial Narrow" w:hAnsi="Arial Narrow" w:cs="Segoe UI"/>
          <w:sz w:val="18"/>
          <w:szCs w:val="18"/>
        </w:rPr>
      </w:pPr>
      <w:r w:rsidRPr="00DE6731">
        <w:rPr>
          <w:rStyle w:val="FootnoteReference"/>
          <w:rFonts w:ascii="Arial Narrow" w:hAnsi="Arial Narrow"/>
          <w:sz w:val="18"/>
          <w:szCs w:val="18"/>
        </w:rPr>
        <w:footnoteRef/>
      </w:r>
      <w:r w:rsidRPr="00DE6731">
        <w:rPr>
          <w:rFonts w:ascii="Arial Narrow" w:hAnsi="Arial Narrow"/>
          <w:sz w:val="18"/>
          <w:szCs w:val="18"/>
        </w:rPr>
        <w:t xml:space="preserve"> </w:t>
      </w:r>
      <w:r w:rsidRPr="00DE6731">
        <w:rPr>
          <w:rFonts w:ascii="Arial Narrow" w:hAnsi="Arial Narrow" w:cs="Segoe UI"/>
          <w:sz w:val="18"/>
          <w:szCs w:val="18"/>
        </w:rPr>
        <w:t>Steeghs, EMP, Groen, HJM, Schuuring, E, Aarts, MJ, Damhuis, RAM, Voorham, QJM, Ligtenberg, MJL &amp; Grunberg, K 2022, 'Mutation-</w:t>
      </w:r>
      <w:r w:rsidRPr="00F12879">
        <w:rPr>
          <w:rFonts w:ascii="Arial Narrow" w:hAnsi="Arial Narrow" w:cs="Segoe UI"/>
          <w:sz w:val="18"/>
          <w:szCs w:val="18"/>
        </w:rPr>
        <w:t xml:space="preserve">tailored treatment selection in non-small cell lung cancer patients in daily clinical practice', </w:t>
      </w:r>
      <w:r w:rsidRPr="00F12879">
        <w:rPr>
          <w:rFonts w:ascii="Arial Narrow" w:hAnsi="Arial Narrow" w:cs="Segoe UI"/>
          <w:i/>
          <w:iCs/>
          <w:sz w:val="18"/>
          <w:szCs w:val="18"/>
        </w:rPr>
        <w:t>Lung Cancer</w:t>
      </w:r>
      <w:r w:rsidRPr="00F12879">
        <w:rPr>
          <w:rFonts w:ascii="Arial Narrow" w:hAnsi="Arial Narrow" w:cs="Segoe UI"/>
          <w:sz w:val="18"/>
          <w:szCs w:val="18"/>
        </w:rPr>
        <w:t>, vol. 167, May, pp. 87-97.</w:t>
      </w:r>
    </w:p>
  </w:footnote>
  <w:footnote w:id="13">
    <w:p w14:paraId="2393B395" w14:textId="193B3C12" w:rsidR="00827A66" w:rsidRPr="00F12879" w:rsidRDefault="00827A66" w:rsidP="00F12879">
      <w:pPr>
        <w:autoSpaceDE w:val="0"/>
        <w:autoSpaceDN w:val="0"/>
        <w:adjustRightInd w:val="0"/>
        <w:spacing w:before="0" w:after="0" w:line="240" w:lineRule="auto"/>
        <w:rPr>
          <w:rFonts w:ascii="Arial Narrow" w:hAnsi="Arial Narrow" w:cs="Segoe UI"/>
          <w:sz w:val="18"/>
          <w:szCs w:val="18"/>
        </w:rPr>
      </w:pPr>
      <w:r w:rsidRPr="00F12879">
        <w:rPr>
          <w:rStyle w:val="FootnoteReference"/>
          <w:rFonts w:ascii="Arial Narrow" w:hAnsi="Arial Narrow"/>
          <w:sz w:val="18"/>
          <w:szCs w:val="18"/>
        </w:rPr>
        <w:footnoteRef/>
      </w:r>
      <w:r w:rsidRPr="00F12879">
        <w:rPr>
          <w:rFonts w:ascii="Arial Narrow" w:hAnsi="Arial Narrow"/>
          <w:sz w:val="18"/>
          <w:szCs w:val="18"/>
        </w:rPr>
        <w:t xml:space="preserve"> </w:t>
      </w:r>
      <w:r w:rsidRPr="00F12879">
        <w:rPr>
          <w:rFonts w:ascii="Arial Narrow" w:hAnsi="Arial Narrow" w:cs="Segoe UI"/>
          <w:sz w:val="18"/>
          <w:szCs w:val="18"/>
        </w:rPr>
        <w:t xml:space="preserve">Li, W, Li, Y, Guo, L, Liu, Y, Yang, L &amp; Ying, J 2021, 'Metastatic NSCLCs With Limited Tissues: How to Effectively Identify Driver Alterations to Guide Targeted Therapy in Chinese Patients', </w:t>
      </w:r>
      <w:r w:rsidRPr="00F12879">
        <w:rPr>
          <w:rFonts w:ascii="Arial Narrow" w:hAnsi="Arial Narrow" w:cs="Segoe UI"/>
          <w:i/>
          <w:iCs/>
          <w:sz w:val="18"/>
          <w:szCs w:val="18"/>
        </w:rPr>
        <w:t>JTO Clin Res Rep</w:t>
      </w:r>
      <w:r w:rsidRPr="00F12879">
        <w:rPr>
          <w:rFonts w:ascii="Arial Narrow" w:hAnsi="Arial Narrow" w:cs="Segoe UI"/>
          <w:sz w:val="18"/>
          <w:szCs w:val="18"/>
        </w:rPr>
        <w:t>, vol. 2, no. 5, May, p. 100167.</w:t>
      </w:r>
    </w:p>
  </w:footnote>
  <w:footnote w:id="14">
    <w:p w14:paraId="679AD1C2" w14:textId="7DC9B11D" w:rsidR="00827A66" w:rsidRPr="00F12879" w:rsidRDefault="00827A66" w:rsidP="00F12879">
      <w:pPr>
        <w:autoSpaceDE w:val="0"/>
        <w:autoSpaceDN w:val="0"/>
        <w:adjustRightInd w:val="0"/>
        <w:spacing w:before="0" w:after="0" w:line="240" w:lineRule="auto"/>
        <w:rPr>
          <w:rFonts w:ascii="Arial Narrow" w:hAnsi="Arial Narrow" w:cs="Segoe UI"/>
          <w:sz w:val="18"/>
          <w:szCs w:val="18"/>
        </w:rPr>
      </w:pPr>
      <w:r w:rsidRPr="00F12879">
        <w:rPr>
          <w:rStyle w:val="FootnoteReference"/>
          <w:rFonts w:ascii="Arial Narrow" w:hAnsi="Arial Narrow"/>
          <w:sz w:val="18"/>
          <w:szCs w:val="18"/>
        </w:rPr>
        <w:footnoteRef/>
      </w:r>
      <w:r w:rsidRPr="00F12879">
        <w:rPr>
          <w:rFonts w:ascii="Arial Narrow" w:hAnsi="Arial Narrow"/>
          <w:sz w:val="18"/>
          <w:szCs w:val="18"/>
        </w:rPr>
        <w:t xml:space="preserve"> </w:t>
      </w:r>
      <w:r w:rsidRPr="00F12879">
        <w:rPr>
          <w:rFonts w:ascii="Arial Narrow" w:hAnsi="Arial Narrow" w:cs="Segoe UI"/>
          <w:sz w:val="18"/>
          <w:szCs w:val="18"/>
        </w:rPr>
        <w:t xml:space="preserve">Steeghs, EMP, Groen, HJM, Schuuring, E, Aarts, MJ, Damhuis, RAM, Voorham, QJM, Ligtenberg, MJL &amp; Grunberg, K 2022, 'Mutation-tailored treatment selection in non-small cell lung cancer patients in daily clinical practice', </w:t>
      </w:r>
      <w:r w:rsidRPr="00F12879">
        <w:rPr>
          <w:rFonts w:ascii="Arial Narrow" w:hAnsi="Arial Narrow" w:cs="Segoe UI"/>
          <w:i/>
          <w:iCs/>
          <w:sz w:val="18"/>
          <w:szCs w:val="18"/>
        </w:rPr>
        <w:t>Lung Cancer</w:t>
      </w:r>
      <w:r w:rsidRPr="00F12879">
        <w:rPr>
          <w:rFonts w:ascii="Arial Narrow" w:hAnsi="Arial Narrow" w:cs="Segoe UI"/>
          <w:sz w:val="18"/>
          <w:szCs w:val="18"/>
        </w:rPr>
        <w:t>, vol. 167, May, pp. 87-97.</w:t>
      </w:r>
    </w:p>
  </w:footnote>
  <w:footnote w:id="15">
    <w:p w14:paraId="15D93900" w14:textId="3B01FF39" w:rsidR="00827A66" w:rsidRPr="00206217" w:rsidRDefault="00827A66" w:rsidP="00206217">
      <w:pPr>
        <w:autoSpaceDE w:val="0"/>
        <w:autoSpaceDN w:val="0"/>
        <w:adjustRightInd w:val="0"/>
        <w:spacing w:before="0" w:after="0" w:line="240" w:lineRule="auto"/>
        <w:rPr>
          <w:rFonts w:ascii="Arial Narrow" w:hAnsi="Arial Narrow" w:cs="Segoe UI"/>
          <w:sz w:val="18"/>
          <w:szCs w:val="18"/>
        </w:rPr>
      </w:pPr>
      <w:r w:rsidRPr="00206217">
        <w:rPr>
          <w:rStyle w:val="FootnoteReference"/>
          <w:rFonts w:ascii="Arial Narrow" w:hAnsi="Arial Narrow"/>
          <w:sz w:val="18"/>
          <w:szCs w:val="18"/>
        </w:rPr>
        <w:footnoteRef/>
      </w:r>
      <w:r w:rsidRPr="00206217">
        <w:rPr>
          <w:rFonts w:ascii="Arial Narrow" w:hAnsi="Arial Narrow"/>
          <w:sz w:val="18"/>
          <w:szCs w:val="18"/>
        </w:rPr>
        <w:t xml:space="preserve"> </w:t>
      </w:r>
      <w:r w:rsidRPr="00206217">
        <w:rPr>
          <w:rFonts w:ascii="Arial Narrow" w:hAnsi="Arial Narrow" w:cs="Segoe UI"/>
          <w:sz w:val="18"/>
          <w:szCs w:val="18"/>
        </w:rPr>
        <w:t xml:space="preserve">Hall, H, Tocock, A, Burdett, S, Fisher, D, Ricketts, WM, Robson, J, Round, T, Gorolay, S, MacArthur, E, Chung, D, Janes, SM, Peake, MD &amp; Navani, N 2021, 'Association between time-to-treatment and outcomes in non-small cell lung cancer: a systematic review', </w:t>
      </w:r>
      <w:r w:rsidRPr="00206217">
        <w:rPr>
          <w:rFonts w:ascii="Arial Narrow" w:hAnsi="Arial Narrow" w:cs="Segoe UI"/>
          <w:i/>
          <w:iCs/>
          <w:sz w:val="18"/>
          <w:szCs w:val="18"/>
        </w:rPr>
        <w:t>Thorax</w:t>
      </w:r>
      <w:r w:rsidRPr="00206217">
        <w:rPr>
          <w:rFonts w:ascii="Arial Narrow" w:hAnsi="Arial Narrow" w:cs="Segoe UI"/>
          <w:sz w:val="18"/>
          <w:szCs w:val="18"/>
        </w:rPr>
        <w:t>, Aug 17.</w:t>
      </w:r>
    </w:p>
  </w:footnote>
  <w:footnote w:id="16">
    <w:p w14:paraId="20BC7FE3" w14:textId="77777777" w:rsidR="00827A66" w:rsidRDefault="00827A66" w:rsidP="004E63D6">
      <w:pPr>
        <w:pStyle w:val="FootnoteText"/>
      </w:pPr>
      <w:r>
        <w:rPr>
          <w:rStyle w:val="FootnoteReference"/>
        </w:rPr>
        <w:footnoteRef/>
      </w:r>
      <w:r>
        <w:t xml:space="preserve"> </w:t>
      </w:r>
      <w:r w:rsidRPr="008542F6">
        <w:t>Griesinger, F, Eberhardt, W, Nusch, A, Reiser, M, Zahn, MO, Maintz, C, Bernhardt, C, Losem, C, Stenzinger, A, Heukamp, LC, Buttner, R, Marschner, N, Janicke, M, Fleitz, A, Spring, L, Sahlmann, J, Karatas, A, Hipper, A, Weichert, W, Heilmann, M, Sadjadian, P, Gleiber, W, Grah, C, Waller, CF, Reck, M, Rittmeyer, A, Christopoulos, P, Sebastian, M, Thomas, M &amp; Group, CR 2021, 'Biomarker testing in non-small cell lung cancer in routine care: Analysis of the first 3,717 patients in the German prospective, observational, nation-wide CRISP Registry (AIO-TRK-0315)', Lung Cancer, vol. 152, Feb, pp. 174-184.</w:t>
      </w:r>
    </w:p>
  </w:footnote>
  <w:footnote w:id="17">
    <w:p w14:paraId="70F34B02" w14:textId="0E2F8DC2" w:rsidR="00827A66" w:rsidRDefault="00827A66">
      <w:pPr>
        <w:pStyle w:val="FootnoteText"/>
      </w:pPr>
      <w:r>
        <w:rPr>
          <w:rStyle w:val="FootnoteReference"/>
        </w:rPr>
        <w:footnoteRef/>
      </w:r>
      <w:r>
        <w:t xml:space="preserve"> </w:t>
      </w:r>
      <w:r w:rsidR="00D34FE0">
        <w:t>Redacted</w:t>
      </w:r>
      <w:r>
        <w:t xml:space="preserve"> content is commercial in confidence</w:t>
      </w:r>
    </w:p>
  </w:footnote>
  <w:footnote w:id="18">
    <w:p w14:paraId="734334BB" w14:textId="77777777" w:rsidR="00827A66" w:rsidRDefault="00827A66" w:rsidP="004E63D6">
      <w:pPr>
        <w:pStyle w:val="FootnoteText"/>
      </w:pPr>
      <w:r>
        <w:rPr>
          <w:rStyle w:val="FootnoteReference"/>
        </w:rPr>
        <w:footnoteRef/>
      </w:r>
      <w:r>
        <w:t xml:space="preserve"> 65.5% + 34.5% </w:t>
      </w:r>
      <w:r>
        <w:rPr>
          <w:rFonts w:cstheme="minorHAnsi"/>
        </w:rPr>
        <w:t>×</w:t>
      </w:r>
      <w:r>
        <w:t> 30%</w:t>
      </w:r>
    </w:p>
  </w:footnote>
  <w:footnote w:id="19">
    <w:p w14:paraId="744AEC88" w14:textId="77777777" w:rsidR="00827A66" w:rsidRPr="00D50DDC" w:rsidRDefault="00827A66" w:rsidP="004E63D6">
      <w:pPr>
        <w:pStyle w:val="FootnoteText"/>
        <w:rPr>
          <w:lang w:val="en-US"/>
        </w:rPr>
      </w:pPr>
      <w:r>
        <w:rPr>
          <w:rStyle w:val="FootnoteReference"/>
        </w:rPr>
        <w:footnoteRef/>
      </w:r>
      <w:r>
        <w:t xml:space="preserve"> </w:t>
      </w:r>
      <w:r>
        <w:rPr>
          <w:lang w:val="en-US"/>
        </w:rPr>
        <w:t>30% of the 95% of analyses with sufficient quantity and quality of tissue</w:t>
      </w:r>
    </w:p>
  </w:footnote>
  <w:footnote w:id="20">
    <w:p w14:paraId="79610E52" w14:textId="77777777" w:rsidR="00827A66" w:rsidRDefault="00827A66" w:rsidP="004E63D6">
      <w:pPr>
        <w:pStyle w:val="FootnoteText"/>
      </w:pPr>
      <w:r>
        <w:rPr>
          <w:rStyle w:val="FootnoteReference"/>
        </w:rPr>
        <w:footnoteRef/>
      </w:r>
      <w:r>
        <w:t xml:space="preserve"> 31.8% </w:t>
      </w:r>
      <w:r>
        <w:rPr>
          <w:rFonts w:cstheme="minorHAnsi"/>
        </w:rPr>
        <w:t>×</w:t>
      </w:r>
      <w:r>
        <w:t xml:space="preserve"> $935.25 [75% MBS benefit] +68.2% </w:t>
      </w:r>
      <w:r>
        <w:rPr>
          <w:rFonts w:cstheme="minorHAnsi"/>
        </w:rPr>
        <w:t>×</w:t>
      </w:r>
      <w:r>
        <w:t xml:space="preserve"> $1,159.10 [85% MBS benefit]</w:t>
      </w:r>
    </w:p>
  </w:footnote>
  <w:footnote w:id="21">
    <w:p w14:paraId="1B6F55CE" w14:textId="77777777" w:rsidR="00827A66" w:rsidRDefault="00827A66" w:rsidP="004E63D6">
      <w:pPr>
        <w:pStyle w:val="FootnoteText"/>
      </w:pPr>
      <w:r>
        <w:rPr>
          <w:rStyle w:val="FootnoteReference"/>
        </w:rPr>
        <w:footnoteRef/>
      </w:r>
      <w:r>
        <w:t xml:space="preserve"> 31.8% </w:t>
      </w:r>
      <w:r>
        <w:rPr>
          <w:rFonts w:cstheme="minorHAnsi"/>
        </w:rPr>
        <w:t>×</w:t>
      </w:r>
      <w:r>
        <w:t xml:space="preserve"> $511.80 [75% MBS benefit] +68.2% </w:t>
      </w:r>
      <w:r>
        <w:rPr>
          <w:rFonts w:cstheme="minorHAnsi"/>
        </w:rPr>
        <w:t>×</w:t>
      </w:r>
      <w:r>
        <w:t xml:space="preserve"> $594.45 [85% MBS benefit]</w:t>
      </w:r>
    </w:p>
  </w:footnote>
  <w:footnote w:id="22">
    <w:p w14:paraId="193B769C" w14:textId="77777777" w:rsidR="00827A66" w:rsidRPr="0085115F" w:rsidRDefault="00827A66" w:rsidP="004E63D6">
      <w:pPr>
        <w:pStyle w:val="FootnoteText"/>
        <w:rPr>
          <w:lang w:val="en-US"/>
        </w:rPr>
      </w:pPr>
      <w:r>
        <w:rPr>
          <w:rStyle w:val="FootnoteReference"/>
        </w:rPr>
        <w:footnoteRef/>
      </w:r>
      <w:r>
        <w:t xml:space="preserve"> 31.8% </w:t>
      </w:r>
      <w:r>
        <w:rPr>
          <w:rFonts w:cstheme="minorHAnsi"/>
        </w:rPr>
        <w:t>×</w:t>
      </w:r>
      <w:r>
        <w:t xml:space="preserve"> $298.05 [75% MBS benefit] +68.2% </w:t>
      </w:r>
      <w:r>
        <w:rPr>
          <w:rFonts w:cstheme="minorHAnsi"/>
        </w:rPr>
        <w:t>×</w:t>
      </w:r>
      <w:r>
        <w:t xml:space="preserve"> $337.75 [85% MBS benefit]</w:t>
      </w:r>
    </w:p>
  </w:footnote>
  <w:footnote w:id="23">
    <w:p w14:paraId="1942100C" w14:textId="77777777" w:rsidR="00827A66" w:rsidRPr="009D00E0" w:rsidRDefault="00827A66" w:rsidP="004E63D6">
      <w:pPr>
        <w:pStyle w:val="FootnoteText"/>
        <w:rPr>
          <w:lang w:val="en-US"/>
        </w:rPr>
      </w:pPr>
      <w:r>
        <w:rPr>
          <w:rStyle w:val="FootnoteReference"/>
        </w:rPr>
        <w:footnoteRef/>
      </w:r>
      <w:r>
        <w:t xml:space="preserve"> 35.5% × $300.00</w:t>
      </w:r>
      <w:r w:rsidRPr="00B47786">
        <w:t xml:space="preserve"> </w:t>
      </w:r>
      <w:r>
        <w:t>[75% MBS benefit] +64.5% × $340.00</w:t>
      </w:r>
      <w:r w:rsidRPr="00B47786">
        <w:t xml:space="preserve"> [85% MBS benefit]</w:t>
      </w:r>
    </w:p>
  </w:footnote>
  <w:footnote w:id="24">
    <w:p w14:paraId="29430084" w14:textId="13F18609" w:rsidR="00827A66" w:rsidRDefault="00827A66" w:rsidP="00AC6F7D">
      <w:pPr>
        <w:pStyle w:val="FootnoteText"/>
      </w:pPr>
      <w:r>
        <w:rPr>
          <w:rStyle w:val="FootnoteReference"/>
        </w:rPr>
        <w:footnoteRef/>
      </w:r>
      <w:r>
        <w:t xml:space="preserve"> </w:t>
      </w:r>
      <w:r w:rsidRPr="00504A82">
        <w:t>www.who.int/clinical-trials-registry-platform</w:t>
      </w:r>
      <w:r w:rsidRPr="00504A82" w:rsidDel="00504A8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07D1D" w14:textId="77777777" w:rsidR="000F2720" w:rsidRDefault="000F27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C4C8" w14:textId="77777777" w:rsidR="000F2720" w:rsidRDefault="000F27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C05E" w14:textId="77777777" w:rsidR="000F2720" w:rsidRDefault="000F2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E66"/>
    <w:multiLevelType w:val="hybridMultilevel"/>
    <w:tmpl w:val="C0DA11C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875653"/>
    <w:multiLevelType w:val="hybridMultilevel"/>
    <w:tmpl w:val="EA4039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E78BB"/>
    <w:multiLevelType w:val="hybridMultilevel"/>
    <w:tmpl w:val="D3200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8042E"/>
    <w:multiLevelType w:val="hybridMultilevel"/>
    <w:tmpl w:val="3294D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5544A"/>
    <w:multiLevelType w:val="hybridMultilevel"/>
    <w:tmpl w:val="BEA69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9C5325"/>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113B42"/>
    <w:multiLevelType w:val="singleLevel"/>
    <w:tmpl w:val="56CEB106"/>
    <w:lvl w:ilvl="0">
      <w:start w:val="1"/>
      <w:numFmt w:val="bullet"/>
      <w:lvlText w:val="–"/>
      <w:lvlJc w:val="left"/>
      <w:pPr>
        <w:tabs>
          <w:tab w:val="num" w:pos="1800"/>
        </w:tabs>
        <w:ind w:left="1800" w:hanging="360"/>
      </w:pPr>
      <w:rPr>
        <w:rFonts w:ascii="Times New Roman" w:hAnsi="Times New Roman" w:hint="default"/>
        <w:sz w:val="20"/>
      </w:rPr>
    </w:lvl>
  </w:abstractNum>
  <w:abstractNum w:abstractNumId="8" w15:restartNumberingAfterBreak="0">
    <w:nsid w:val="12381D80"/>
    <w:multiLevelType w:val="hybridMultilevel"/>
    <w:tmpl w:val="FFC49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1E3E77"/>
    <w:multiLevelType w:val="hybridMultilevel"/>
    <w:tmpl w:val="C3B47C7A"/>
    <w:lvl w:ilvl="0" w:tplc="202ED0A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6498D"/>
    <w:multiLevelType w:val="hybridMultilevel"/>
    <w:tmpl w:val="CA56E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FF5E79"/>
    <w:multiLevelType w:val="hybridMultilevel"/>
    <w:tmpl w:val="25F20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FF211D"/>
    <w:multiLevelType w:val="hybridMultilevel"/>
    <w:tmpl w:val="4176B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D05C85"/>
    <w:multiLevelType w:val="hybridMultilevel"/>
    <w:tmpl w:val="42485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6" w15:restartNumberingAfterBreak="0">
    <w:nsid w:val="26BD669D"/>
    <w:multiLevelType w:val="hybridMultilevel"/>
    <w:tmpl w:val="D9067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A5E246B"/>
    <w:multiLevelType w:val="hybridMultilevel"/>
    <w:tmpl w:val="C4F2253C"/>
    <w:lvl w:ilvl="0" w:tplc="B0E28340">
      <w:start w:val="1"/>
      <w:numFmt w:val="decimal"/>
      <w:pStyle w:val="ESHeading1"/>
      <w:lvlText w:val="%1."/>
      <w:lvlJc w:val="left"/>
      <w:pPr>
        <w:ind w:left="216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B017CE4"/>
    <w:multiLevelType w:val="hybridMultilevel"/>
    <w:tmpl w:val="917487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B15FCD"/>
    <w:multiLevelType w:val="hybridMultilevel"/>
    <w:tmpl w:val="3244A43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346D5D"/>
    <w:multiLevelType w:val="hybridMultilevel"/>
    <w:tmpl w:val="8D4E57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30F268F8"/>
    <w:multiLevelType w:val="hybridMultilevel"/>
    <w:tmpl w:val="77F4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4D020A"/>
    <w:multiLevelType w:val="hybridMultilevel"/>
    <w:tmpl w:val="AB3A655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24371DC"/>
    <w:multiLevelType w:val="multilevel"/>
    <w:tmpl w:val="4A02812C"/>
    <w:lvl w:ilvl="0">
      <w:start w:val="1"/>
      <w:numFmt w:val="decimal"/>
      <w:pStyle w:val="Heading1"/>
      <w:lvlText w:val="Section %1"/>
      <w:lvlJc w:val="left"/>
      <w:pPr>
        <w:ind w:left="786" w:hanging="360"/>
      </w:pPr>
      <w:rPr>
        <w:rFonts w:hint="default"/>
      </w:rPr>
    </w:lvl>
    <w:lvl w:ilvl="1">
      <w:start w:val="1"/>
      <w:numFmt w:val="decimal"/>
      <w:pStyle w:val="Heading2"/>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D76CE2"/>
    <w:multiLevelType w:val="hybridMultilevel"/>
    <w:tmpl w:val="E0EC7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D14811"/>
    <w:multiLevelType w:val="hybridMultilevel"/>
    <w:tmpl w:val="F11AFAE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BE63274"/>
    <w:multiLevelType w:val="hybridMultilevel"/>
    <w:tmpl w:val="AC245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AC460F"/>
    <w:multiLevelType w:val="hybridMultilevel"/>
    <w:tmpl w:val="BBFC6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C949D3"/>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D0C7EBC"/>
    <w:multiLevelType w:val="hybridMultilevel"/>
    <w:tmpl w:val="92D0C2A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507D64"/>
    <w:multiLevelType w:val="hybridMultilevel"/>
    <w:tmpl w:val="9B9C434E"/>
    <w:lvl w:ilvl="0" w:tplc="7FB4BFB2">
      <w:start w:val="1"/>
      <w:numFmt w:val="bullet"/>
      <w:lvlText w:val="-"/>
      <w:lvlJc w:val="left"/>
      <w:pPr>
        <w:ind w:left="720" w:hanging="360"/>
      </w:pPr>
      <w:rPr>
        <w:rFonts w:ascii="Calibri" w:eastAsia="Times New Roman" w:hAnsi="Calibri" w:cs="Calibr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BA4401"/>
    <w:multiLevelType w:val="hybridMultilevel"/>
    <w:tmpl w:val="2FE48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C26C51"/>
    <w:multiLevelType w:val="hybridMultilevel"/>
    <w:tmpl w:val="57B8C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5C25FB"/>
    <w:multiLevelType w:val="hybridMultilevel"/>
    <w:tmpl w:val="92B6F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490683"/>
    <w:multiLevelType w:val="hybridMultilevel"/>
    <w:tmpl w:val="9C085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903835"/>
    <w:multiLevelType w:val="singleLevel"/>
    <w:tmpl w:val="48C4148A"/>
    <w:lvl w:ilvl="0">
      <w:numFmt w:val="bullet"/>
      <w:lvlText w:val=""/>
      <w:lvlJc w:val="left"/>
      <w:pPr>
        <w:tabs>
          <w:tab w:val="num" w:pos="1440"/>
        </w:tabs>
        <w:ind w:left="1440" w:hanging="720"/>
      </w:pPr>
      <w:rPr>
        <w:rFonts w:ascii="Symbol" w:hAnsi="Symbol" w:hint="default"/>
        <w:sz w:val="22"/>
      </w:rPr>
    </w:lvl>
  </w:abstractNum>
  <w:abstractNum w:abstractNumId="40" w15:restartNumberingAfterBreak="0">
    <w:nsid w:val="5E0C329F"/>
    <w:multiLevelType w:val="hybridMultilevel"/>
    <w:tmpl w:val="8542D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D257DB"/>
    <w:multiLevelType w:val="hybridMultilevel"/>
    <w:tmpl w:val="50043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3373B6"/>
    <w:multiLevelType w:val="hybridMultilevel"/>
    <w:tmpl w:val="D01C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492469"/>
    <w:multiLevelType w:val="hybridMultilevel"/>
    <w:tmpl w:val="137E135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15:restartNumberingAfterBreak="0">
    <w:nsid w:val="6C2A48DD"/>
    <w:multiLevelType w:val="hybridMultilevel"/>
    <w:tmpl w:val="33222C8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71970DCD"/>
    <w:multiLevelType w:val="hybridMultilevel"/>
    <w:tmpl w:val="3A10D3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865BB0"/>
    <w:multiLevelType w:val="hybridMultilevel"/>
    <w:tmpl w:val="60ECD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49" w15:restartNumberingAfterBreak="0">
    <w:nsid w:val="7FD96AA2"/>
    <w:multiLevelType w:val="hybridMultilevel"/>
    <w:tmpl w:val="45D6B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9623328">
    <w:abstractNumId w:val="25"/>
  </w:num>
  <w:num w:numId="2" w16cid:durableId="2144540521">
    <w:abstractNumId w:val="48"/>
  </w:num>
  <w:num w:numId="3" w16cid:durableId="1096174298">
    <w:abstractNumId w:val="5"/>
  </w:num>
  <w:num w:numId="4" w16cid:durableId="1363245186">
    <w:abstractNumId w:val="15"/>
  </w:num>
  <w:num w:numId="5" w16cid:durableId="1876385676">
    <w:abstractNumId w:val="47"/>
  </w:num>
  <w:num w:numId="6" w16cid:durableId="1904824881">
    <w:abstractNumId w:val="17"/>
  </w:num>
  <w:num w:numId="7" w16cid:durableId="528299063">
    <w:abstractNumId w:val="30"/>
  </w:num>
  <w:num w:numId="8" w16cid:durableId="1299266335">
    <w:abstractNumId w:val="18"/>
  </w:num>
  <w:num w:numId="9" w16cid:durableId="931859710">
    <w:abstractNumId w:val="23"/>
  </w:num>
  <w:num w:numId="10" w16cid:durableId="1705592745">
    <w:abstractNumId w:val="27"/>
  </w:num>
  <w:num w:numId="11" w16cid:durableId="1843204889">
    <w:abstractNumId w:val="0"/>
  </w:num>
  <w:num w:numId="12" w16cid:durableId="871263736">
    <w:abstractNumId w:val="24"/>
  </w:num>
  <w:num w:numId="13" w16cid:durableId="547181612">
    <w:abstractNumId w:val="31"/>
  </w:num>
  <w:num w:numId="14" w16cid:durableId="663434519">
    <w:abstractNumId w:val="28"/>
  </w:num>
  <w:num w:numId="15" w16cid:durableId="1307317512">
    <w:abstractNumId w:val="45"/>
  </w:num>
  <w:num w:numId="16" w16cid:durableId="131018661">
    <w:abstractNumId w:val="32"/>
  </w:num>
  <w:num w:numId="17" w16cid:durableId="620502237">
    <w:abstractNumId w:val="1"/>
  </w:num>
  <w:num w:numId="18" w16cid:durableId="1795248606">
    <w:abstractNumId w:val="20"/>
  </w:num>
  <w:num w:numId="19" w16cid:durableId="1751538447">
    <w:abstractNumId w:val="22"/>
  </w:num>
  <w:num w:numId="20" w16cid:durableId="188225416">
    <w:abstractNumId w:val="10"/>
  </w:num>
  <w:num w:numId="21" w16cid:durableId="359820455">
    <w:abstractNumId w:val="43"/>
  </w:num>
  <w:num w:numId="22" w16cid:durableId="1849250378">
    <w:abstractNumId w:val="44"/>
  </w:num>
  <w:num w:numId="23" w16cid:durableId="557864679">
    <w:abstractNumId w:val="34"/>
  </w:num>
  <w:num w:numId="24" w16cid:durableId="1474714366">
    <w:abstractNumId w:val="29"/>
  </w:num>
  <w:num w:numId="25" w16cid:durableId="1099646537">
    <w:abstractNumId w:val="40"/>
  </w:num>
  <w:num w:numId="26" w16cid:durableId="689717261">
    <w:abstractNumId w:val="3"/>
  </w:num>
  <w:num w:numId="27" w16cid:durableId="1195195716">
    <w:abstractNumId w:val="19"/>
  </w:num>
  <w:num w:numId="28" w16cid:durableId="2038196363">
    <w:abstractNumId w:val="8"/>
  </w:num>
  <w:num w:numId="29" w16cid:durableId="1564173608">
    <w:abstractNumId w:val="13"/>
  </w:num>
  <w:num w:numId="30" w16cid:durableId="1136029555">
    <w:abstractNumId w:val="41"/>
  </w:num>
  <w:num w:numId="31" w16cid:durableId="1576552376">
    <w:abstractNumId w:val="38"/>
  </w:num>
  <w:num w:numId="32" w16cid:durableId="458190575">
    <w:abstractNumId w:val="14"/>
  </w:num>
  <w:num w:numId="33" w16cid:durableId="589966060">
    <w:abstractNumId w:val="49"/>
  </w:num>
  <w:num w:numId="34" w16cid:durableId="1036856898">
    <w:abstractNumId w:val="12"/>
  </w:num>
  <w:num w:numId="35" w16cid:durableId="237181235">
    <w:abstractNumId w:val="16"/>
  </w:num>
  <w:num w:numId="36" w16cid:durableId="466170115">
    <w:abstractNumId w:val="37"/>
  </w:num>
  <w:num w:numId="37" w16cid:durableId="819006457">
    <w:abstractNumId w:val="35"/>
  </w:num>
  <w:num w:numId="38" w16cid:durableId="1886984695">
    <w:abstractNumId w:val="21"/>
  </w:num>
  <w:num w:numId="39" w16cid:durableId="1578050390">
    <w:abstractNumId w:val="46"/>
  </w:num>
  <w:num w:numId="40" w16cid:durableId="1885174816">
    <w:abstractNumId w:val="11"/>
  </w:num>
  <w:num w:numId="41" w16cid:durableId="1845048170">
    <w:abstractNumId w:val="36"/>
  </w:num>
  <w:num w:numId="42" w16cid:durableId="1386562645">
    <w:abstractNumId w:val="39"/>
  </w:num>
  <w:num w:numId="43" w16cid:durableId="1662008101">
    <w:abstractNumId w:val="7"/>
  </w:num>
  <w:num w:numId="44" w16cid:durableId="664549910">
    <w:abstractNumId w:val="6"/>
  </w:num>
  <w:num w:numId="45" w16cid:durableId="1504052456">
    <w:abstractNumId w:val="26"/>
  </w:num>
  <w:num w:numId="46" w16cid:durableId="445737552">
    <w:abstractNumId w:val="2"/>
  </w:num>
  <w:num w:numId="47" w16cid:durableId="847712547">
    <w:abstractNumId w:val="42"/>
  </w:num>
  <w:num w:numId="48" w16cid:durableId="949554279">
    <w:abstractNumId w:val="33"/>
  </w:num>
  <w:num w:numId="49" w16cid:durableId="1855729115">
    <w:abstractNumId w:val="9"/>
  </w:num>
  <w:num w:numId="50" w16cid:durableId="1845824662">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Franklin Gothic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prsse9cpp5r3ea5dz5p0xw2pfwvwxpa5a5&quot;&gt;1721 small panel NSCLC&lt;record-ids&gt;&lt;item&gt;38&lt;/item&gt;&lt;item&gt;66&lt;/item&gt;&lt;item&gt;67&lt;/item&gt;&lt;item&gt;69&lt;/item&gt;&lt;item&gt;72&lt;/item&gt;&lt;item&gt;75&lt;/item&gt;&lt;item&gt;77&lt;/item&gt;&lt;item&gt;78&lt;/item&gt;&lt;item&gt;80&lt;/item&gt;&lt;item&gt;84&lt;/item&gt;&lt;item&gt;85&lt;/item&gt;&lt;item&gt;86&lt;/item&gt;&lt;item&gt;87&lt;/item&gt;&lt;item&gt;89&lt;/item&gt;&lt;item&gt;92&lt;/item&gt;&lt;item&gt;96&lt;/item&gt;&lt;item&gt;100&lt;/item&gt;&lt;item&gt;101&lt;/item&gt;&lt;item&gt;106&lt;/item&gt;&lt;item&gt;109&lt;/item&gt;&lt;item&gt;110&lt;/item&gt;&lt;item&gt;112&lt;/item&gt;&lt;item&gt;114&lt;/item&gt;&lt;item&gt;115&lt;/item&gt;&lt;item&gt;116&lt;/item&gt;&lt;item&gt;117&lt;/item&gt;&lt;item&gt;118&lt;/item&gt;&lt;item&gt;120&lt;/item&gt;&lt;item&gt;122&lt;/item&gt;&lt;item&gt;128&lt;/item&gt;&lt;item&gt;131&lt;/item&gt;&lt;item&gt;132&lt;/item&gt;&lt;item&gt;134&lt;/item&gt;&lt;item&gt;136&lt;/item&gt;&lt;item&gt;137&lt;/item&gt;&lt;item&gt;140&lt;/item&gt;&lt;item&gt;141&lt;/item&gt;&lt;item&gt;143&lt;/item&gt;&lt;item&gt;145&lt;/item&gt;&lt;item&gt;146&lt;/item&gt;&lt;item&gt;150&lt;/item&gt;&lt;item&gt;151&lt;/item&gt;&lt;item&gt;152&lt;/item&gt;&lt;item&gt;155&lt;/item&gt;&lt;item&gt;157&lt;/item&gt;&lt;item&gt;158&lt;/item&gt;&lt;item&gt;159&lt;/item&gt;&lt;item&gt;160&lt;/item&gt;&lt;item&gt;161&lt;/item&gt;&lt;item&gt;162&lt;/item&gt;&lt;item&gt;164&lt;/item&gt;&lt;item&gt;165&lt;/item&gt;&lt;item&gt;167&lt;/item&gt;&lt;item&gt;168&lt;/item&gt;&lt;item&gt;170&lt;/item&gt;&lt;item&gt;176&lt;/item&gt;&lt;item&gt;177&lt;/item&gt;&lt;item&gt;178&lt;/item&gt;&lt;item&gt;179&lt;/item&gt;&lt;item&gt;191&lt;/item&gt;&lt;item&gt;192&lt;/item&gt;&lt;item&gt;194&lt;/item&gt;&lt;item&gt;197&lt;/item&gt;&lt;item&gt;198&lt;/item&gt;&lt;item&gt;199&lt;/item&gt;&lt;item&gt;201&lt;/item&gt;&lt;item&gt;202&lt;/item&gt;&lt;item&gt;203&lt;/item&gt;&lt;item&gt;204&lt;/item&gt;&lt;item&gt;205&lt;/item&gt;&lt;item&gt;206&lt;/item&gt;&lt;item&gt;207&lt;/item&gt;&lt;item&gt;208&lt;/item&gt;&lt;item&gt;209&lt;/item&gt;&lt;item&gt;210&lt;/item&gt;&lt;item&gt;211&lt;/item&gt;&lt;item&gt;212&lt;/item&gt;&lt;item&gt;213&lt;/item&gt;&lt;/record-ids&gt;&lt;/item&gt;&lt;/Libraries&gt;"/>
  </w:docVars>
  <w:rsids>
    <w:rsidRoot w:val="008157F1"/>
    <w:rsid w:val="00000FA7"/>
    <w:rsid w:val="0000109A"/>
    <w:rsid w:val="0000171E"/>
    <w:rsid w:val="00001AE6"/>
    <w:rsid w:val="00002064"/>
    <w:rsid w:val="00003AA3"/>
    <w:rsid w:val="00004D69"/>
    <w:rsid w:val="00004F7F"/>
    <w:rsid w:val="000054C9"/>
    <w:rsid w:val="000056A4"/>
    <w:rsid w:val="00005D24"/>
    <w:rsid w:val="00006147"/>
    <w:rsid w:val="00007821"/>
    <w:rsid w:val="00007A17"/>
    <w:rsid w:val="00007A42"/>
    <w:rsid w:val="00011568"/>
    <w:rsid w:val="0001165E"/>
    <w:rsid w:val="000116E6"/>
    <w:rsid w:val="00012B94"/>
    <w:rsid w:val="0001349D"/>
    <w:rsid w:val="0001424E"/>
    <w:rsid w:val="00014520"/>
    <w:rsid w:val="00014974"/>
    <w:rsid w:val="00014C53"/>
    <w:rsid w:val="000159DF"/>
    <w:rsid w:val="00015DAC"/>
    <w:rsid w:val="0002052A"/>
    <w:rsid w:val="000208FE"/>
    <w:rsid w:val="000228B8"/>
    <w:rsid w:val="00022D00"/>
    <w:rsid w:val="0002381B"/>
    <w:rsid w:val="00023D9F"/>
    <w:rsid w:val="00024BA6"/>
    <w:rsid w:val="00024D34"/>
    <w:rsid w:val="00024E93"/>
    <w:rsid w:val="00024EA5"/>
    <w:rsid w:val="000269A2"/>
    <w:rsid w:val="0002744B"/>
    <w:rsid w:val="0002755F"/>
    <w:rsid w:val="000279EE"/>
    <w:rsid w:val="000308D2"/>
    <w:rsid w:val="000316C8"/>
    <w:rsid w:val="0003188A"/>
    <w:rsid w:val="00031D78"/>
    <w:rsid w:val="00032966"/>
    <w:rsid w:val="0003423A"/>
    <w:rsid w:val="0003477F"/>
    <w:rsid w:val="00034EC4"/>
    <w:rsid w:val="00036376"/>
    <w:rsid w:val="00036AD8"/>
    <w:rsid w:val="00037037"/>
    <w:rsid w:val="00037302"/>
    <w:rsid w:val="00037FDC"/>
    <w:rsid w:val="0004005D"/>
    <w:rsid w:val="0004098C"/>
    <w:rsid w:val="00040ADF"/>
    <w:rsid w:val="00040FB4"/>
    <w:rsid w:val="0004178C"/>
    <w:rsid w:val="00041F5D"/>
    <w:rsid w:val="000426FA"/>
    <w:rsid w:val="000441A5"/>
    <w:rsid w:val="000443A6"/>
    <w:rsid w:val="000445D2"/>
    <w:rsid w:val="0004492E"/>
    <w:rsid w:val="000449D1"/>
    <w:rsid w:val="000456E6"/>
    <w:rsid w:val="00045B8D"/>
    <w:rsid w:val="00045CC5"/>
    <w:rsid w:val="00045FEB"/>
    <w:rsid w:val="00046B6A"/>
    <w:rsid w:val="000472D4"/>
    <w:rsid w:val="0005034D"/>
    <w:rsid w:val="000518F0"/>
    <w:rsid w:val="00052DD3"/>
    <w:rsid w:val="0005326D"/>
    <w:rsid w:val="00053F6C"/>
    <w:rsid w:val="00054A8A"/>
    <w:rsid w:val="000550C2"/>
    <w:rsid w:val="0005673B"/>
    <w:rsid w:val="00057334"/>
    <w:rsid w:val="000578C0"/>
    <w:rsid w:val="00060383"/>
    <w:rsid w:val="00060959"/>
    <w:rsid w:val="000620D5"/>
    <w:rsid w:val="0006227F"/>
    <w:rsid w:val="000624F0"/>
    <w:rsid w:val="00062B0B"/>
    <w:rsid w:val="00062D82"/>
    <w:rsid w:val="0006339C"/>
    <w:rsid w:val="00063513"/>
    <w:rsid w:val="00063721"/>
    <w:rsid w:val="00064489"/>
    <w:rsid w:val="00064783"/>
    <w:rsid w:val="000647C2"/>
    <w:rsid w:val="00066CE2"/>
    <w:rsid w:val="00067E9A"/>
    <w:rsid w:val="0007021F"/>
    <w:rsid w:val="000709A0"/>
    <w:rsid w:val="00070CAC"/>
    <w:rsid w:val="00071955"/>
    <w:rsid w:val="00072A6C"/>
    <w:rsid w:val="00072BF6"/>
    <w:rsid w:val="00074199"/>
    <w:rsid w:val="00074516"/>
    <w:rsid w:val="00077451"/>
    <w:rsid w:val="00077508"/>
    <w:rsid w:val="00080067"/>
    <w:rsid w:val="00080241"/>
    <w:rsid w:val="00081024"/>
    <w:rsid w:val="00081778"/>
    <w:rsid w:val="0008319A"/>
    <w:rsid w:val="00083DDB"/>
    <w:rsid w:val="000860FE"/>
    <w:rsid w:val="00086C81"/>
    <w:rsid w:val="000870B6"/>
    <w:rsid w:val="00090054"/>
    <w:rsid w:val="00090613"/>
    <w:rsid w:val="00090BD1"/>
    <w:rsid w:val="00091857"/>
    <w:rsid w:val="00091C59"/>
    <w:rsid w:val="00092A21"/>
    <w:rsid w:val="000935B4"/>
    <w:rsid w:val="000938BE"/>
    <w:rsid w:val="00093D9A"/>
    <w:rsid w:val="00094656"/>
    <w:rsid w:val="00094AA8"/>
    <w:rsid w:val="00096486"/>
    <w:rsid w:val="00096611"/>
    <w:rsid w:val="00096B52"/>
    <w:rsid w:val="00097B3D"/>
    <w:rsid w:val="000A10BF"/>
    <w:rsid w:val="000A1DC5"/>
    <w:rsid w:val="000A20A1"/>
    <w:rsid w:val="000A23CB"/>
    <w:rsid w:val="000A2ACD"/>
    <w:rsid w:val="000A2B65"/>
    <w:rsid w:val="000A2DA8"/>
    <w:rsid w:val="000A49CB"/>
    <w:rsid w:val="000A4BA4"/>
    <w:rsid w:val="000A50EA"/>
    <w:rsid w:val="000A5C47"/>
    <w:rsid w:val="000A629E"/>
    <w:rsid w:val="000A6B30"/>
    <w:rsid w:val="000A7E01"/>
    <w:rsid w:val="000B051E"/>
    <w:rsid w:val="000B1D18"/>
    <w:rsid w:val="000B3330"/>
    <w:rsid w:val="000B44BF"/>
    <w:rsid w:val="000B4716"/>
    <w:rsid w:val="000B481D"/>
    <w:rsid w:val="000B5866"/>
    <w:rsid w:val="000B67CC"/>
    <w:rsid w:val="000B6CF0"/>
    <w:rsid w:val="000B720C"/>
    <w:rsid w:val="000B7665"/>
    <w:rsid w:val="000B76C9"/>
    <w:rsid w:val="000C04D7"/>
    <w:rsid w:val="000C1E53"/>
    <w:rsid w:val="000C35A6"/>
    <w:rsid w:val="000C3DD1"/>
    <w:rsid w:val="000C3DF6"/>
    <w:rsid w:val="000C5638"/>
    <w:rsid w:val="000C5912"/>
    <w:rsid w:val="000C6454"/>
    <w:rsid w:val="000C6617"/>
    <w:rsid w:val="000C670F"/>
    <w:rsid w:val="000C7297"/>
    <w:rsid w:val="000C7C46"/>
    <w:rsid w:val="000D06C3"/>
    <w:rsid w:val="000D1167"/>
    <w:rsid w:val="000D1B52"/>
    <w:rsid w:val="000D2368"/>
    <w:rsid w:val="000D4C1B"/>
    <w:rsid w:val="000D50C7"/>
    <w:rsid w:val="000D5523"/>
    <w:rsid w:val="000D619C"/>
    <w:rsid w:val="000E023E"/>
    <w:rsid w:val="000E03DC"/>
    <w:rsid w:val="000E1124"/>
    <w:rsid w:val="000E3F6B"/>
    <w:rsid w:val="000E5531"/>
    <w:rsid w:val="000E6410"/>
    <w:rsid w:val="000E678B"/>
    <w:rsid w:val="000F181F"/>
    <w:rsid w:val="000F1E25"/>
    <w:rsid w:val="000F2720"/>
    <w:rsid w:val="000F2C2A"/>
    <w:rsid w:val="000F2E01"/>
    <w:rsid w:val="000F4463"/>
    <w:rsid w:val="000F47F9"/>
    <w:rsid w:val="000F48C2"/>
    <w:rsid w:val="000F5A54"/>
    <w:rsid w:val="000F6C10"/>
    <w:rsid w:val="000F7987"/>
    <w:rsid w:val="0010003F"/>
    <w:rsid w:val="0010051C"/>
    <w:rsid w:val="001020CB"/>
    <w:rsid w:val="0010266B"/>
    <w:rsid w:val="00103594"/>
    <w:rsid w:val="00104221"/>
    <w:rsid w:val="0010448B"/>
    <w:rsid w:val="0010521F"/>
    <w:rsid w:val="00105FA9"/>
    <w:rsid w:val="001060D8"/>
    <w:rsid w:val="0010625A"/>
    <w:rsid w:val="001062BE"/>
    <w:rsid w:val="001062E0"/>
    <w:rsid w:val="001067AE"/>
    <w:rsid w:val="00107524"/>
    <w:rsid w:val="00107DCD"/>
    <w:rsid w:val="00107EF0"/>
    <w:rsid w:val="00110980"/>
    <w:rsid w:val="001111BE"/>
    <w:rsid w:val="00111417"/>
    <w:rsid w:val="001115B9"/>
    <w:rsid w:val="00111F8E"/>
    <w:rsid w:val="001124AF"/>
    <w:rsid w:val="00113C60"/>
    <w:rsid w:val="001141EF"/>
    <w:rsid w:val="00114C3B"/>
    <w:rsid w:val="00114F50"/>
    <w:rsid w:val="00115691"/>
    <w:rsid w:val="0011607A"/>
    <w:rsid w:val="00116B4F"/>
    <w:rsid w:val="00117039"/>
    <w:rsid w:val="00117909"/>
    <w:rsid w:val="00117B36"/>
    <w:rsid w:val="00117F04"/>
    <w:rsid w:val="00121580"/>
    <w:rsid w:val="001218E7"/>
    <w:rsid w:val="00122AE3"/>
    <w:rsid w:val="00122EE1"/>
    <w:rsid w:val="001232D9"/>
    <w:rsid w:val="00123658"/>
    <w:rsid w:val="001237AF"/>
    <w:rsid w:val="00124073"/>
    <w:rsid w:val="001247EB"/>
    <w:rsid w:val="00124F3C"/>
    <w:rsid w:val="00125180"/>
    <w:rsid w:val="00125B61"/>
    <w:rsid w:val="00126122"/>
    <w:rsid w:val="00131D45"/>
    <w:rsid w:val="00132005"/>
    <w:rsid w:val="001320F0"/>
    <w:rsid w:val="001326D0"/>
    <w:rsid w:val="001331B5"/>
    <w:rsid w:val="001336E0"/>
    <w:rsid w:val="00133F34"/>
    <w:rsid w:val="00135273"/>
    <w:rsid w:val="001356D5"/>
    <w:rsid w:val="00135FC9"/>
    <w:rsid w:val="00136895"/>
    <w:rsid w:val="00136ADA"/>
    <w:rsid w:val="00136D53"/>
    <w:rsid w:val="00136D8C"/>
    <w:rsid w:val="0013778E"/>
    <w:rsid w:val="00137A73"/>
    <w:rsid w:val="00137BB9"/>
    <w:rsid w:val="00141EBE"/>
    <w:rsid w:val="00143478"/>
    <w:rsid w:val="0014393D"/>
    <w:rsid w:val="001439A9"/>
    <w:rsid w:val="00143F2F"/>
    <w:rsid w:val="001460BF"/>
    <w:rsid w:val="00146624"/>
    <w:rsid w:val="00146905"/>
    <w:rsid w:val="00146AB6"/>
    <w:rsid w:val="001502E8"/>
    <w:rsid w:val="00150376"/>
    <w:rsid w:val="00151DBD"/>
    <w:rsid w:val="00152404"/>
    <w:rsid w:val="00152957"/>
    <w:rsid w:val="00152D76"/>
    <w:rsid w:val="001531D6"/>
    <w:rsid w:val="001532EF"/>
    <w:rsid w:val="00153590"/>
    <w:rsid w:val="00153B8C"/>
    <w:rsid w:val="001547B1"/>
    <w:rsid w:val="00154DB6"/>
    <w:rsid w:val="00154DE5"/>
    <w:rsid w:val="00154F8A"/>
    <w:rsid w:val="00155434"/>
    <w:rsid w:val="00155BDA"/>
    <w:rsid w:val="00156FA7"/>
    <w:rsid w:val="0016023A"/>
    <w:rsid w:val="00161831"/>
    <w:rsid w:val="0016193E"/>
    <w:rsid w:val="001626BF"/>
    <w:rsid w:val="00162DBF"/>
    <w:rsid w:val="001636BB"/>
    <w:rsid w:val="001638A7"/>
    <w:rsid w:val="00164CF8"/>
    <w:rsid w:val="001653AE"/>
    <w:rsid w:val="00167037"/>
    <w:rsid w:val="00170061"/>
    <w:rsid w:val="00170427"/>
    <w:rsid w:val="00170D5B"/>
    <w:rsid w:val="00172B8F"/>
    <w:rsid w:val="001736F8"/>
    <w:rsid w:val="00173D85"/>
    <w:rsid w:val="001744F5"/>
    <w:rsid w:val="00174FD4"/>
    <w:rsid w:val="0017562E"/>
    <w:rsid w:val="001769B0"/>
    <w:rsid w:val="001770E8"/>
    <w:rsid w:val="001848FB"/>
    <w:rsid w:val="00184B51"/>
    <w:rsid w:val="00184BAE"/>
    <w:rsid w:val="001900BA"/>
    <w:rsid w:val="001918AF"/>
    <w:rsid w:val="00191BAD"/>
    <w:rsid w:val="001922A7"/>
    <w:rsid w:val="00192F3A"/>
    <w:rsid w:val="0019362A"/>
    <w:rsid w:val="00193EF7"/>
    <w:rsid w:val="00193F05"/>
    <w:rsid w:val="001943F7"/>
    <w:rsid w:val="0019471C"/>
    <w:rsid w:val="0019474E"/>
    <w:rsid w:val="00195728"/>
    <w:rsid w:val="001970C0"/>
    <w:rsid w:val="00197A05"/>
    <w:rsid w:val="00197D44"/>
    <w:rsid w:val="001A15E4"/>
    <w:rsid w:val="001A1CB7"/>
    <w:rsid w:val="001A30CF"/>
    <w:rsid w:val="001A3D24"/>
    <w:rsid w:val="001A420B"/>
    <w:rsid w:val="001A4B97"/>
    <w:rsid w:val="001A4F7D"/>
    <w:rsid w:val="001A66BF"/>
    <w:rsid w:val="001A7B42"/>
    <w:rsid w:val="001A7D8F"/>
    <w:rsid w:val="001A7DB7"/>
    <w:rsid w:val="001B0358"/>
    <w:rsid w:val="001B1031"/>
    <w:rsid w:val="001B1F19"/>
    <w:rsid w:val="001B2A97"/>
    <w:rsid w:val="001B2CD4"/>
    <w:rsid w:val="001B2E50"/>
    <w:rsid w:val="001B350C"/>
    <w:rsid w:val="001B564F"/>
    <w:rsid w:val="001B7329"/>
    <w:rsid w:val="001B7D01"/>
    <w:rsid w:val="001C1065"/>
    <w:rsid w:val="001C1468"/>
    <w:rsid w:val="001C174A"/>
    <w:rsid w:val="001C1D05"/>
    <w:rsid w:val="001C2A48"/>
    <w:rsid w:val="001C4339"/>
    <w:rsid w:val="001C5601"/>
    <w:rsid w:val="001C69E3"/>
    <w:rsid w:val="001C6DFD"/>
    <w:rsid w:val="001C773C"/>
    <w:rsid w:val="001D0108"/>
    <w:rsid w:val="001D0109"/>
    <w:rsid w:val="001D02D9"/>
    <w:rsid w:val="001D1B30"/>
    <w:rsid w:val="001D1E8C"/>
    <w:rsid w:val="001D32C0"/>
    <w:rsid w:val="001D348E"/>
    <w:rsid w:val="001D3A64"/>
    <w:rsid w:val="001D4860"/>
    <w:rsid w:val="001D5793"/>
    <w:rsid w:val="001D6A70"/>
    <w:rsid w:val="001D6EE5"/>
    <w:rsid w:val="001D74A7"/>
    <w:rsid w:val="001D78CF"/>
    <w:rsid w:val="001E13F0"/>
    <w:rsid w:val="001E15F2"/>
    <w:rsid w:val="001E1B2D"/>
    <w:rsid w:val="001E22F7"/>
    <w:rsid w:val="001E289A"/>
    <w:rsid w:val="001E33E1"/>
    <w:rsid w:val="001E3FBC"/>
    <w:rsid w:val="001E465F"/>
    <w:rsid w:val="001E53F1"/>
    <w:rsid w:val="001E544B"/>
    <w:rsid w:val="001E5B0B"/>
    <w:rsid w:val="001F034A"/>
    <w:rsid w:val="001F2902"/>
    <w:rsid w:val="001F2EFF"/>
    <w:rsid w:val="001F38DB"/>
    <w:rsid w:val="001F3E1D"/>
    <w:rsid w:val="001F3F36"/>
    <w:rsid w:val="001F4061"/>
    <w:rsid w:val="001F4A5D"/>
    <w:rsid w:val="001F5425"/>
    <w:rsid w:val="001F5795"/>
    <w:rsid w:val="001F658C"/>
    <w:rsid w:val="001F675C"/>
    <w:rsid w:val="001F6F44"/>
    <w:rsid w:val="001F7563"/>
    <w:rsid w:val="002035CC"/>
    <w:rsid w:val="00205231"/>
    <w:rsid w:val="00206217"/>
    <w:rsid w:val="002068C0"/>
    <w:rsid w:val="00207944"/>
    <w:rsid w:val="00207F59"/>
    <w:rsid w:val="00210438"/>
    <w:rsid w:val="00210855"/>
    <w:rsid w:val="00210E9E"/>
    <w:rsid w:val="002115EF"/>
    <w:rsid w:val="0021198A"/>
    <w:rsid w:val="00211DC3"/>
    <w:rsid w:val="00213E8D"/>
    <w:rsid w:val="00214966"/>
    <w:rsid w:val="00214AE9"/>
    <w:rsid w:val="002155B6"/>
    <w:rsid w:val="002157E4"/>
    <w:rsid w:val="00215AFB"/>
    <w:rsid w:val="00215DEA"/>
    <w:rsid w:val="00216367"/>
    <w:rsid w:val="00216C00"/>
    <w:rsid w:val="002200D8"/>
    <w:rsid w:val="00220474"/>
    <w:rsid w:val="00220C44"/>
    <w:rsid w:val="00220ED5"/>
    <w:rsid w:val="0022108A"/>
    <w:rsid w:val="002212BD"/>
    <w:rsid w:val="0022226A"/>
    <w:rsid w:val="00222C47"/>
    <w:rsid w:val="00223664"/>
    <w:rsid w:val="00223A56"/>
    <w:rsid w:val="00224B83"/>
    <w:rsid w:val="00224D0F"/>
    <w:rsid w:val="00225833"/>
    <w:rsid w:val="00225875"/>
    <w:rsid w:val="00225941"/>
    <w:rsid w:val="00226095"/>
    <w:rsid w:val="00226ECC"/>
    <w:rsid w:val="00226F5D"/>
    <w:rsid w:val="002275DF"/>
    <w:rsid w:val="002277A2"/>
    <w:rsid w:val="00227B89"/>
    <w:rsid w:val="00227F43"/>
    <w:rsid w:val="002310C6"/>
    <w:rsid w:val="002316C8"/>
    <w:rsid w:val="0023391D"/>
    <w:rsid w:val="00234640"/>
    <w:rsid w:val="00236349"/>
    <w:rsid w:val="00237355"/>
    <w:rsid w:val="00237745"/>
    <w:rsid w:val="002379BC"/>
    <w:rsid w:val="00240106"/>
    <w:rsid w:val="002406A6"/>
    <w:rsid w:val="002411C7"/>
    <w:rsid w:val="002412BE"/>
    <w:rsid w:val="00241668"/>
    <w:rsid w:val="00242F4E"/>
    <w:rsid w:val="002452A0"/>
    <w:rsid w:val="0024596C"/>
    <w:rsid w:val="0024606C"/>
    <w:rsid w:val="002463A6"/>
    <w:rsid w:val="00246ADB"/>
    <w:rsid w:val="00247A5F"/>
    <w:rsid w:val="00250D4D"/>
    <w:rsid w:val="002510F0"/>
    <w:rsid w:val="00251273"/>
    <w:rsid w:val="002517A5"/>
    <w:rsid w:val="00251B5C"/>
    <w:rsid w:val="00251F6C"/>
    <w:rsid w:val="002522AA"/>
    <w:rsid w:val="0025249C"/>
    <w:rsid w:val="00252D32"/>
    <w:rsid w:val="002539ED"/>
    <w:rsid w:val="0025440D"/>
    <w:rsid w:val="0025450E"/>
    <w:rsid w:val="00255152"/>
    <w:rsid w:val="0025554E"/>
    <w:rsid w:val="002573F4"/>
    <w:rsid w:val="002616F0"/>
    <w:rsid w:val="00261DB5"/>
    <w:rsid w:val="00262D1B"/>
    <w:rsid w:val="002638F4"/>
    <w:rsid w:val="00263C58"/>
    <w:rsid w:val="00263E29"/>
    <w:rsid w:val="00264808"/>
    <w:rsid w:val="0026668C"/>
    <w:rsid w:val="0026762F"/>
    <w:rsid w:val="00267C17"/>
    <w:rsid w:val="00270A48"/>
    <w:rsid w:val="0027160C"/>
    <w:rsid w:val="00271C50"/>
    <w:rsid w:val="002751D1"/>
    <w:rsid w:val="00275209"/>
    <w:rsid w:val="002762B1"/>
    <w:rsid w:val="002765DF"/>
    <w:rsid w:val="00277868"/>
    <w:rsid w:val="00277C59"/>
    <w:rsid w:val="0028189C"/>
    <w:rsid w:val="00281BAA"/>
    <w:rsid w:val="0028232A"/>
    <w:rsid w:val="00283474"/>
    <w:rsid w:val="00283930"/>
    <w:rsid w:val="00284151"/>
    <w:rsid w:val="00284340"/>
    <w:rsid w:val="00287171"/>
    <w:rsid w:val="00287E78"/>
    <w:rsid w:val="00290676"/>
    <w:rsid w:val="00291462"/>
    <w:rsid w:val="00291572"/>
    <w:rsid w:val="002919A3"/>
    <w:rsid w:val="00292394"/>
    <w:rsid w:val="0029294E"/>
    <w:rsid w:val="0029513F"/>
    <w:rsid w:val="0029519C"/>
    <w:rsid w:val="00296E4F"/>
    <w:rsid w:val="0029704A"/>
    <w:rsid w:val="002A04B4"/>
    <w:rsid w:val="002A145B"/>
    <w:rsid w:val="002A18BE"/>
    <w:rsid w:val="002A1DA8"/>
    <w:rsid w:val="002A1DB7"/>
    <w:rsid w:val="002A36F6"/>
    <w:rsid w:val="002A4084"/>
    <w:rsid w:val="002A4AD6"/>
    <w:rsid w:val="002A7196"/>
    <w:rsid w:val="002A76AE"/>
    <w:rsid w:val="002A7A09"/>
    <w:rsid w:val="002B020D"/>
    <w:rsid w:val="002B0791"/>
    <w:rsid w:val="002B1384"/>
    <w:rsid w:val="002B1C11"/>
    <w:rsid w:val="002B3681"/>
    <w:rsid w:val="002B3FD0"/>
    <w:rsid w:val="002B447B"/>
    <w:rsid w:val="002B4853"/>
    <w:rsid w:val="002B5110"/>
    <w:rsid w:val="002B667C"/>
    <w:rsid w:val="002B6707"/>
    <w:rsid w:val="002B7FB6"/>
    <w:rsid w:val="002C01BD"/>
    <w:rsid w:val="002C0CBD"/>
    <w:rsid w:val="002C111F"/>
    <w:rsid w:val="002C11CA"/>
    <w:rsid w:val="002C16CB"/>
    <w:rsid w:val="002C25A9"/>
    <w:rsid w:val="002C2B3D"/>
    <w:rsid w:val="002C2FB2"/>
    <w:rsid w:val="002C3D8D"/>
    <w:rsid w:val="002C3F54"/>
    <w:rsid w:val="002C45E8"/>
    <w:rsid w:val="002C4981"/>
    <w:rsid w:val="002C4B8D"/>
    <w:rsid w:val="002C5F90"/>
    <w:rsid w:val="002C70CE"/>
    <w:rsid w:val="002D2035"/>
    <w:rsid w:val="002D2DB0"/>
    <w:rsid w:val="002D3645"/>
    <w:rsid w:val="002D37B6"/>
    <w:rsid w:val="002D5097"/>
    <w:rsid w:val="002D55E4"/>
    <w:rsid w:val="002D5943"/>
    <w:rsid w:val="002D6007"/>
    <w:rsid w:val="002D690D"/>
    <w:rsid w:val="002E04FD"/>
    <w:rsid w:val="002E0613"/>
    <w:rsid w:val="002E0761"/>
    <w:rsid w:val="002E3CFF"/>
    <w:rsid w:val="002E573B"/>
    <w:rsid w:val="002E5DD3"/>
    <w:rsid w:val="002E7775"/>
    <w:rsid w:val="002E7AD2"/>
    <w:rsid w:val="002F0F80"/>
    <w:rsid w:val="002F1399"/>
    <w:rsid w:val="002F16BA"/>
    <w:rsid w:val="002F2F84"/>
    <w:rsid w:val="002F32FB"/>
    <w:rsid w:val="002F4FB4"/>
    <w:rsid w:val="002F5611"/>
    <w:rsid w:val="002F5F5E"/>
    <w:rsid w:val="002F5F85"/>
    <w:rsid w:val="002F693F"/>
    <w:rsid w:val="002F755A"/>
    <w:rsid w:val="003008CC"/>
    <w:rsid w:val="00300B16"/>
    <w:rsid w:val="00300C25"/>
    <w:rsid w:val="00300CAB"/>
    <w:rsid w:val="003014FD"/>
    <w:rsid w:val="00301763"/>
    <w:rsid w:val="00302252"/>
    <w:rsid w:val="00303C60"/>
    <w:rsid w:val="003044F9"/>
    <w:rsid w:val="00304BEE"/>
    <w:rsid w:val="00304FB8"/>
    <w:rsid w:val="00306A58"/>
    <w:rsid w:val="00307299"/>
    <w:rsid w:val="003076F2"/>
    <w:rsid w:val="00310960"/>
    <w:rsid w:val="00310B9B"/>
    <w:rsid w:val="00310C3F"/>
    <w:rsid w:val="00312501"/>
    <w:rsid w:val="00313E9E"/>
    <w:rsid w:val="003140D2"/>
    <w:rsid w:val="003160BA"/>
    <w:rsid w:val="00316252"/>
    <w:rsid w:val="00317714"/>
    <w:rsid w:val="00320A17"/>
    <w:rsid w:val="0032121E"/>
    <w:rsid w:val="00322DA9"/>
    <w:rsid w:val="00322FA3"/>
    <w:rsid w:val="0032396C"/>
    <w:rsid w:val="00323AF6"/>
    <w:rsid w:val="00323B70"/>
    <w:rsid w:val="00324236"/>
    <w:rsid w:val="00324360"/>
    <w:rsid w:val="003251C2"/>
    <w:rsid w:val="00325FA0"/>
    <w:rsid w:val="00326C26"/>
    <w:rsid w:val="00326F1C"/>
    <w:rsid w:val="00326F7B"/>
    <w:rsid w:val="003270A0"/>
    <w:rsid w:val="00327162"/>
    <w:rsid w:val="00327C34"/>
    <w:rsid w:val="00330A0A"/>
    <w:rsid w:val="003328A9"/>
    <w:rsid w:val="0033354A"/>
    <w:rsid w:val="003358C4"/>
    <w:rsid w:val="00336704"/>
    <w:rsid w:val="00336990"/>
    <w:rsid w:val="003371B5"/>
    <w:rsid w:val="003377FE"/>
    <w:rsid w:val="00337BAF"/>
    <w:rsid w:val="00340341"/>
    <w:rsid w:val="00340DFF"/>
    <w:rsid w:val="00340E44"/>
    <w:rsid w:val="003417CB"/>
    <w:rsid w:val="00341956"/>
    <w:rsid w:val="00342F3C"/>
    <w:rsid w:val="003435A9"/>
    <w:rsid w:val="00344649"/>
    <w:rsid w:val="003447C3"/>
    <w:rsid w:val="00345260"/>
    <w:rsid w:val="00345496"/>
    <w:rsid w:val="003458DC"/>
    <w:rsid w:val="00345AAF"/>
    <w:rsid w:val="00345BCF"/>
    <w:rsid w:val="0034638A"/>
    <w:rsid w:val="003466F9"/>
    <w:rsid w:val="00347D99"/>
    <w:rsid w:val="00350092"/>
    <w:rsid w:val="003515CE"/>
    <w:rsid w:val="003519AD"/>
    <w:rsid w:val="00351E0E"/>
    <w:rsid w:val="00351E13"/>
    <w:rsid w:val="003531F3"/>
    <w:rsid w:val="00354014"/>
    <w:rsid w:val="00354EB4"/>
    <w:rsid w:val="00356D29"/>
    <w:rsid w:val="003571C2"/>
    <w:rsid w:val="003572D8"/>
    <w:rsid w:val="00357441"/>
    <w:rsid w:val="00360BE0"/>
    <w:rsid w:val="003623AF"/>
    <w:rsid w:val="00364059"/>
    <w:rsid w:val="003640A7"/>
    <w:rsid w:val="0036499E"/>
    <w:rsid w:val="00364DA4"/>
    <w:rsid w:val="00365447"/>
    <w:rsid w:val="0036794E"/>
    <w:rsid w:val="00367F95"/>
    <w:rsid w:val="00370613"/>
    <w:rsid w:val="00370F06"/>
    <w:rsid w:val="003713E6"/>
    <w:rsid w:val="00373449"/>
    <w:rsid w:val="003743D5"/>
    <w:rsid w:val="003763CE"/>
    <w:rsid w:val="00380685"/>
    <w:rsid w:val="0038146C"/>
    <w:rsid w:val="00382609"/>
    <w:rsid w:val="0038346D"/>
    <w:rsid w:val="00383C5D"/>
    <w:rsid w:val="003854A5"/>
    <w:rsid w:val="00386124"/>
    <w:rsid w:val="003864D5"/>
    <w:rsid w:val="003878DF"/>
    <w:rsid w:val="00390072"/>
    <w:rsid w:val="00390567"/>
    <w:rsid w:val="0039089C"/>
    <w:rsid w:val="00392088"/>
    <w:rsid w:val="00394F9A"/>
    <w:rsid w:val="003966F6"/>
    <w:rsid w:val="0039677D"/>
    <w:rsid w:val="00396C7A"/>
    <w:rsid w:val="0039710C"/>
    <w:rsid w:val="00397B4B"/>
    <w:rsid w:val="003A0032"/>
    <w:rsid w:val="003A0660"/>
    <w:rsid w:val="003A0D52"/>
    <w:rsid w:val="003A2CFD"/>
    <w:rsid w:val="003A2ED1"/>
    <w:rsid w:val="003A35F0"/>
    <w:rsid w:val="003A3740"/>
    <w:rsid w:val="003A3A63"/>
    <w:rsid w:val="003A3CB0"/>
    <w:rsid w:val="003A4C47"/>
    <w:rsid w:val="003A4CD1"/>
    <w:rsid w:val="003A6029"/>
    <w:rsid w:val="003A6724"/>
    <w:rsid w:val="003A6E1A"/>
    <w:rsid w:val="003A7427"/>
    <w:rsid w:val="003B0BA1"/>
    <w:rsid w:val="003B0C69"/>
    <w:rsid w:val="003B1CF1"/>
    <w:rsid w:val="003B2CC8"/>
    <w:rsid w:val="003B3336"/>
    <w:rsid w:val="003B33F1"/>
    <w:rsid w:val="003B450F"/>
    <w:rsid w:val="003B4599"/>
    <w:rsid w:val="003B5083"/>
    <w:rsid w:val="003B5E18"/>
    <w:rsid w:val="003B61B7"/>
    <w:rsid w:val="003B62CF"/>
    <w:rsid w:val="003B6EB2"/>
    <w:rsid w:val="003C0D95"/>
    <w:rsid w:val="003C0F59"/>
    <w:rsid w:val="003C1AE2"/>
    <w:rsid w:val="003C1B22"/>
    <w:rsid w:val="003C1E4B"/>
    <w:rsid w:val="003C36B4"/>
    <w:rsid w:val="003C3BCE"/>
    <w:rsid w:val="003C4492"/>
    <w:rsid w:val="003C4F8F"/>
    <w:rsid w:val="003C605F"/>
    <w:rsid w:val="003C6B59"/>
    <w:rsid w:val="003C753D"/>
    <w:rsid w:val="003C7B3B"/>
    <w:rsid w:val="003D0722"/>
    <w:rsid w:val="003D18CC"/>
    <w:rsid w:val="003D28A8"/>
    <w:rsid w:val="003D299E"/>
    <w:rsid w:val="003D3785"/>
    <w:rsid w:val="003D3C99"/>
    <w:rsid w:val="003D4CB7"/>
    <w:rsid w:val="003D55C3"/>
    <w:rsid w:val="003D55E1"/>
    <w:rsid w:val="003D5AD2"/>
    <w:rsid w:val="003D5CF9"/>
    <w:rsid w:val="003D641A"/>
    <w:rsid w:val="003D71EB"/>
    <w:rsid w:val="003E1F54"/>
    <w:rsid w:val="003E22CB"/>
    <w:rsid w:val="003E2343"/>
    <w:rsid w:val="003E2821"/>
    <w:rsid w:val="003E3559"/>
    <w:rsid w:val="003E406B"/>
    <w:rsid w:val="003E47BE"/>
    <w:rsid w:val="003E4F96"/>
    <w:rsid w:val="003E525F"/>
    <w:rsid w:val="003E5399"/>
    <w:rsid w:val="003E5CCA"/>
    <w:rsid w:val="003E60EF"/>
    <w:rsid w:val="003E653C"/>
    <w:rsid w:val="003E76AF"/>
    <w:rsid w:val="003E7773"/>
    <w:rsid w:val="003E7D3F"/>
    <w:rsid w:val="003F0A2F"/>
    <w:rsid w:val="003F115E"/>
    <w:rsid w:val="003F14C2"/>
    <w:rsid w:val="003F174D"/>
    <w:rsid w:val="003F2210"/>
    <w:rsid w:val="003F3CD1"/>
    <w:rsid w:val="003F4657"/>
    <w:rsid w:val="003F4A36"/>
    <w:rsid w:val="003F5000"/>
    <w:rsid w:val="003F535C"/>
    <w:rsid w:val="003F5408"/>
    <w:rsid w:val="003F5FFF"/>
    <w:rsid w:val="003F66FA"/>
    <w:rsid w:val="003F6D26"/>
    <w:rsid w:val="003F7196"/>
    <w:rsid w:val="004008AF"/>
    <w:rsid w:val="00400982"/>
    <w:rsid w:val="004009CF"/>
    <w:rsid w:val="00400B5F"/>
    <w:rsid w:val="00400BC7"/>
    <w:rsid w:val="00401714"/>
    <w:rsid w:val="00401DBF"/>
    <w:rsid w:val="0040308F"/>
    <w:rsid w:val="004033D9"/>
    <w:rsid w:val="00403D0C"/>
    <w:rsid w:val="00404A94"/>
    <w:rsid w:val="0040551F"/>
    <w:rsid w:val="00405526"/>
    <w:rsid w:val="00405946"/>
    <w:rsid w:val="00405F7F"/>
    <w:rsid w:val="00405FE9"/>
    <w:rsid w:val="00407040"/>
    <w:rsid w:val="0040771F"/>
    <w:rsid w:val="004111F7"/>
    <w:rsid w:val="00411551"/>
    <w:rsid w:val="004117C5"/>
    <w:rsid w:val="0041217D"/>
    <w:rsid w:val="004125C6"/>
    <w:rsid w:val="0041275F"/>
    <w:rsid w:val="00412E05"/>
    <w:rsid w:val="00413552"/>
    <w:rsid w:val="00417406"/>
    <w:rsid w:val="00417AD0"/>
    <w:rsid w:val="0042005A"/>
    <w:rsid w:val="00420D6B"/>
    <w:rsid w:val="00421585"/>
    <w:rsid w:val="00421A89"/>
    <w:rsid w:val="00421EBC"/>
    <w:rsid w:val="004227EE"/>
    <w:rsid w:val="0042304B"/>
    <w:rsid w:val="004238CA"/>
    <w:rsid w:val="00424084"/>
    <w:rsid w:val="004245B2"/>
    <w:rsid w:val="00425572"/>
    <w:rsid w:val="004273AD"/>
    <w:rsid w:val="004305AE"/>
    <w:rsid w:val="00430E0B"/>
    <w:rsid w:val="0043127D"/>
    <w:rsid w:val="00431800"/>
    <w:rsid w:val="0043182B"/>
    <w:rsid w:val="00432281"/>
    <w:rsid w:val="00433541"/>
    <w:rsid w:val="00433A25"/>
    <w:rsid w:val="0043545B"/>
    <w:rsid w:val="00436514"/>
    <w:rsid w:val="00436C99"/>
    <w:rsid w:val="00436D71"/>
    <w:rsid w:val="00437894"/>
    <w:rsid w:val="00441A19"/>
    <w:rsid w:val="00441A20"/>
    <w:rsid w:val="004423F7"/>
    <w:rsid w:val="00442488"/>
    <w:rsid w:val="00442A49"/>
    <w:rsid w:val="00443207"/>
    <w:rsid w:val="004445CC"/>
    <w:rsid w:val="004465B8"/>
    <w:rsid w:val="0044690B"/>
    <w:rsid w:val="00446BBE"/>
    <w:rsid w:val="0044782C"/>
    <w:rsid w:val="0044798F"/>
    <w:rsid w:val="00450781"/>
    <w:rsid w:val="0045093D"/>
    <w:rsid w:val="00451645"/>
    <w:rsid w:val="00451CE6"/>
    <w:rsid w:val="00451EA3"/>
    <w:rsid w:val="00453A29"/>
    <w:rsid w:val="00454F8E"/>
    <w:rsid w:val="004551DD"/>
    <w:rsid w:val="00456634"/>
    <w:rsid w:val="004569A2"/>
    <w:rsid w:val="00457E7E"/>
    <w:rsid w:val="0046081C"/>
    <w:rsid w:val="00460EC0"/>
    <w:rsid w:val="00462778"/>
    <w:rsid w:val="004649AE"/>
    <w:rsid w:val="00464F6C"/>
    <w:rsid w:val="0046680B"/>
    <w:rsid w:val="00466C4F"/>
    <w:rsid w:val="00471D0D"/>
    <w:rsid w:val="004720F7"/>
    <w:rsid w:val="00472C37"/>
    <w:rsid w:val="00473F31"/>
    <w:rsid w:val="00474069"/>
    <w:rsid w:val="00474E01"/>
    <w:rsid w:val="00480F93"/>
    <w:rsid w:val="00481DFE"/>
    <w:rsid w:val="00481E44"/>
    <w:rsid w:val="00482262"/>
    <w:rsid w:val="00482804"/>
    <w:rsid w:val="00482B47"/>
    <w:rsid w:val="0048323E"/>
    <w:rsid w:val="00484DC5"/>
    <w:rsid w:val="00485675"/>
    <w:rsid w:val="00485DC3"/>
    <w:rsid w:val="004867C5"/>
    <w:rsid w:val="00487C85"/>
    <w:rsid w:val="00490BF5"/>
    <w:rsid w:val="00490DC4"/>
    <w:rsid w:val="004910CD"/>
    <w:rsid w:val="0049141F"/>
    <w:rsid w:val="004918A0"/>
    <w:rsid w:val="00491F02"/>
    <w:rsid w:val="004936E7"/>
    <w:rsid w:val="00493B19"/>
    <w:rsid w:val="00494F64"/>
    <w:rsid w:val="004951B7"/>
    <w:rsid w:val="00495A4C"/>
    <w:rsid w:val="0049689F"/>
    <w:rsid w:val="00496C48"/>
    <w:rsid w:val="00497B9F"/>
    <w:rsid w:val="004A05D1"/>
    <w:rsid w:val="004A1B20"/>
    <w:rsid w:val="004A1B58"/>
    <w:rsid w:val="004A2084"/>
    <w:rsid w:val="004A2878"/>
    <w:rsid w:val="004A30C1"/>
    <w:rsid w:val="004A3B05"/>
    <w:rsid w:val="004A3BCF"/>
    <w:rsid w:val="004A3D42"/>
    <w:rsid w:val="004A4430"/>
    <w:rsid w:val="004A4C88"/>
    <w:rsid w:val="004A4FDF"/>
    <w:rsid w:val="004A5489"/>
    <w:rsid w:val="004A5E73"/>
    <w:rsid w:val="004A5F2A"/>
    <w:rsid w:val="004A6088"/>
    <w:rsid w:val="004A61CD"/>
    <w:rsid w:val="004A673A"/>
    <w:rsid w:val="004A71B0"/>
    <w:rsid w:val="004A74BB"/>
    <w:rsid w:val="004A7A52"/>
    <w:rsid w:val="004B0647"/>
    <w:rsid w:val="004B0802"/>
    <w:rsid w:val="004B19FE"/>
    <w:rsid w:val="004B27A1"/>
    <w:rsid w:val="004B2A4D"/>
    <w:rsid w:val="004B2F45"/>
    <w:rsid w:val="004B33C2"/>
    <w:rsid w:val="004B38DA"/>
    <w:rsid w:val="004B4214"/>
    <w:rsid w:val="004B58C8"/>
    <w:rsid w:val="004B61F0"/>
    <w:rsid w:val="004B689D"/>
    <w:rsid w:val="004B68F3"/>
    <w:rsid w:val="004B6F35"/>
    <w:rsid w:val="004B7153"/>
    <w:rsid w:val="004C0E97"/>
    <w:rsid w:val="004C1C8D"/>
    <w:rsid w:val="004C2653"/>
    <w:rsid w:val="004C3F17"/>
    <w:rsid w:val="004C426C"/>
    <w:rsid w:val="004C48C8"/>
    <w:rsid w:val="004C598D"/>
    <w:rsid w:val="004C6179"/>
    <w:rsid w:val="004C6C1E"/>
    <w:rsid w:val="004C76C5"/>
    <w:rsid w:val="004C7B98"/>
    <w:rsid w:val="004D0714"/>
    <w:rsid w:val="004D2792"/>
    <w:rsid w:val="004D3897"/>
    <w:rsid w:val="004D4425"/>
    <w:rsid w:val="004E0032"/>
    <w:rsid w:val="004E0459"/>
    <w:rsid w:val="004E06BD"/>
    <w:rsid w:val="004E193A"/>
    <w:rsid w:val="004E2ADE"/>
    <w:rsid w:val="004E2BD6"/>
    <w:rsid w:val="004E3908"/>
    <w:rsid w:val="004E63D6"/>
    <w:rsid w:val="004E6785"/>
    <w:rsid w:val="004E7AC5"/>
    <w:rsid w:val="004E7CF6"/>
    <w:rsid w:val="004F05C3"/>
    <w:rsid w:val="004F3F1B"/>
    <w:rsid w:val="004F4C79"/>
    <w:rsid w:val="004F6AD3"/>
    <w:rsid w:val="004F76EF"/>
    <w:rsid w:val="00500DC1"/>
    <w:rsid w:val="00501386"/>
    <w:rsid w:val="00501A5D"/>
    <w:rsid w:val="00501BD9"/>
    <w:rsid w:val="00501C25"/>
    <w:rsid w:val="005020FD"/>
    <w:rsid w:val="005027A6"/>
    <w:rsid w:val="00502DAE"/>
    <w:rsid w:val="00502FFB"/>
    <w:rsid w:val="005030DC"/>
    <w:rsid w:val="005031F7"/>
    <w:rsid w:val="005038A0"/>
    <w:rsid w:val="00504126"/>
    <w:rsid w:val="005048BC"/>
    <w:rsid w:val="00504A82"/>
    <w:rsid w:val="00504E35"/>
    <w:rsid w:val="00505E19"/>
    <w:rsid w:val="00506578"/>
    <w:rsid w:val="00507833"/>
    <w:rsid w:val="00507C98"/>
    <w:rsid w:val="00507D68"/>
    <w:rsid w:val="00507EF1"/>
    <w:rsid w:val="005103C5"/>
    <w:rsid w:val="00510F7D"/>
    <w:rsid w:val="005117AD"/>
    <w:rsid w:val="005131D3"/>
    <w:rsid w:val="0051352C"/>
    <w:rsid w:val="0051357F"/>
    <w:rsid w:val="005138DD"/>
    <w:rsid w:val="00514FC2"/>
    <w:rsid w:val="005155BB"/>
    <w:rsid w:val="00515BFA"/>
    <w:rsid w:val="005161E7"/>
    <w:rsid w:val="00517A86"/>
    <w:rsid w:val="00521A19"/>
    <w:rsid w:val="0052349D"/>
    <w:rsid w:val="00523881"/>
    <w:rsid w:val="005239CE"/>
    <w:rsid w:val="00524165"/>
    <w:rsid w:val="00524BE8"/>
    <w:rsid w:val="0052575D"/>
    <w:rsid w:val="00526C92"/>
    <w:rsid w:val="00527550"/>
    <w:rsid w:val="005275FC"/>
    <w:rsid w:val="0052768C"/>
    <w:rsid w:val="00530896"/>
    <w:rsid w:val="005310AF"/>
    <w:rsid w:val="00533054"/>
    <w:rsid w:val="005342C3"/>
    <w:rsid w:val="0053485A"/>
    <w:rsid w:val="00535408"/>
    <w:rsid w:val="005362F5"/>
    <w:rsid w:val="005368D2"/>
    <w:rsid w:val="0053725B"/>
    <w:rsid w:val="00537EFA"/>
    <w:rsid w:val="00540933"/>
    <w:rsid w:val="00540C57"/>
    <w:rsid w:val="00541581"/>
    <w:rsid w:val="00541F29"/>
    <w:rsid w:val="00542403"/>
    <w:rsid w:val="00542785"/>
    <w:rsid w:val="005428CC"/>
    <w:rsid w:val="00543523"/>
    <w:rsid w:val="0054622C"/>
    <w:rsid w:val="00546A04"/>
    <w:rsid w:val="00546D11"/>
    <w:rsid w:val="00550BC8"/>
    <w:rsid w:val="00551224"/>
    <w:rsid w:val="005531BD"/>
    <w:rsid w:val="0055419D"/>
    <w:rsid w:val="00555DA2"/>
    <w:rsid w:val="005567B2"/>
    <w:rsid w:val="00556B50"/>
    <w:rsid w:val="00556F02"/>
    <w:rsid w:val="00557870"/>
    <w:rsid w:val="00560277"/>
    <w:rsid w:val="005606AF"/>
    <w:rsid w:val="00560938"/>
    <w:rsid w:val="00560AF1"/>
    <w:rsid w:val="0056117A"/>
    <w:rsid w:val="00561562"/>
    <w:rsid w:val="005626EF"/>
    <w:rsid w:val="005632F0"/>
    <w:rsid w:val="005634F0"/>
    <w:rsid w:val="00563DE6"/>
    <w:rsid w:val="00565080"/>
    <w:rsid w:val="0056528D"/>
    <w:rsid w:val="0056559A"/>
    <w:rsid w:val="00565AFA"/>
    <w:rsid w:val="0056628B"/>
    <w:rsid w:val="00566298"/>
    <w:rsid w:val="0056644A"/>
    <w:rsid w:val="0057091E"/>
    <w:rsid w:val="00570B43"/>
    <w:rsid w:val="00570E66"/>
    <w:rsid w:val="00572268"/>
    <w:rsid w:val="00572332"/>
    <w:rsid w:val="005723D6"/>
    <w:rsid w:val="005726E8"/>
    <w:rsid w:val="00574A6E"/>
    <w:rsid w:val="005756A2"/>
    <w:rsid w:val="00577145"/>
    <w:rsid w:val="005773BE"/>
    <w:rsid w:val="00582346"/>
    <w:rsid w:val="00582365"/>
    <w:rsid w:val="00582E55"/>
    <w:rsid w:val="005836E8"/>
    <w:rsid w:val="00584E57"/>
    <w:rsid w:val="00585486"/>
    <w:rsid w:val="00585826"/>
    <w:rsid w:val="00585BC6"/>
    <w:rsid w:val="00585C1B"/>
    <w:rsid w:val="00586126"/>
    <w:rsid w:val="00586D9F"/>
    <w:rsid w:val="0058734A"/>
    <w:rsid w:val="00587639"/>
    <w:rsid w:val="0059224B"/>
    <w:rsid w:val="00592638"/>
    <w:rsid w:val="00592F1E"/>
    <w:rsid w:val="00593138"/>
    <w:rsid w:val="005933BA"/>
    <w:rsid w:val="00593A33"/>
    <w:rsid w:val="005947B5"/>
    <w:rsid w:val="00594B90"/>
    <w:rsid w:val="005950EE"/>
    <w:rsid w:val="005960BB"/>
    <w:rsid w:val="00597407"/>
    <w:rsid w:val="005A032B"/>
    <w:rsid w:val="005A0496"/>
    <w:rsid w:val="005A4047"/>
    <w:rsid w:val="005A4384"/>
    <w:rsid w:val="005A49A1"/>
    <w:rsid w:val="005A5B9B"/>
    <w:rsid w:val="005A64C4"/>
    <w:rsid w:val="005A6A7E"/>
    <w:rsid w:val="005A6E8F"/>
    <w:rsid w:val="005A7012"/>
    <w:rsid w:val="005A7318"/>
    <w:rsid w:val="005A7A5E"/>
    <w:rsid w:val="005B03C2"/>
    <w:rsid w:val="005B08EC"/>
    <w:rsid w:val="005B12D8"/>
    <w:rsid w:val="005B1368"/>
    <w:rsid w:val="005B1B91"/>
    <w:rsid w:val="005B1C07"/>
    <w:rsid w:val="005B3432"/>
    <w:rsid w:val="005B3BD6"/>
    <w:rsid w:val="005B41E9"/>
    <w:rsid w:val="005B46F0"/>
    <w:rsid w:val="005B4CED"/>
    <w:rsid w:val="005B54C6"/>
    <w:rsid w:val="005B6B0E"/>
    <w:rsid w:val="005B7D6C"/>
    <w:rsid w:val="005C03C5"/>
    <w:rsid w:val="005C2C8A"/>
    <w:rsid w:val="005C5054"/>
    <w:rsid w:val="005C538A"/>
    <w:rsid w:val="005C53F4"/>
    <w:rsid w:val="005C68D0"/>
    <w:rsid w:val="005C7215"/>
    <w:rsid w:val="005C73C4"/>
    <w:rsid w:val="005D00EA"/>
    <w:rsid w:val="005D023B"/>
    <w:rsid w:val="005D09EA"/>
    <w:rsid w:val="005D1843"/>
    <w:rsid w:val="005D2304"/>
    <w:rsid w:val="005D283B"/>
    <w:rsid w:val="005D2C5E"/>
    <w:rsid w:val="005D3A04"/>
    <w:rsid w:val="005D48FE"/>
    <w:rsid w:val="005D7471"/>
    <w:rsid w:val="005D749D"/>
    <w:rsid w:val="005E17FA"/>
    <w:rsid w:val="005E1840"/>
    <w:rsid w:val="005E2702"/>
    <w:rsid w:val="005E2A5F"/>
    <w:rsid w:val="005E2D0C"/>
    <w:rsid w:val="005E2DDA"/>
    <w:rsid w:val="005E36AE"/>
    <w:rsid w:val="005E3D5A"/>
    <w:rsid w:val="005E3FC0"/>
    <w:rsid w:val="005E4C31"/>
    <w:rsid w:val="005E5874"/>
    <w:rsid w:val="005E5CFC"/>
    <w:rsid w:val="005E5E85"/>
    <w:rsid w:val="005E67E6"/>
    <w:rsid w:val="005E75D5"/>
    <w:rsid w:val="005F029F"/>
    <w:rsid w:val="005F072F"/>
    <w:rsid w:val="005F0FF9"/>
    <w:rsid w:val="005F1555"/>
    <w:rsid w:val="005F2978"/>
    <w:rsid w:val="005F3B24"/>
    <w:rsid w:val="005F4721"/>
    <w:rsid w:val="005F50AE"/>
    <w:rsid w:val="005F5F9E"/>
    <w:rsid w:val="005F658A"/>
    <w:rsid w:val="005F720A"/>
    <w:rsid w:val="00601B80"/>
    <w:rsid w:val="00602F43"/>
    <w:rsid w:val="00603B08"/>
    <w:rsid w:val="00604014"/>
    <w:rsid w:val="006055B3"/>
    <w:rsid w:val="00605734"/>
    <w:rsid w:val="00605776"/>
    <w:rsid w:val="00605EF4"/>
    <w:rsid w:val="00606456"/>
    <w:rsid w:val="00606B35"/>
    <w:rsid w:val="00606E6F"/>
    <w:rsid w:val="00607499"/>
    <w:rsid w:val="00610162"/>
    <w:rsid w:val="00610940"/>
    <w:rsid w:val="00610ABA"/>
    <w:rsid w:val="00610ECF"/>
    <w:rsid w:val="006116C4"/>
    <w:rsid w:val="00612446"/>
    <w:rsid w:val="00612515"/>
    <w:rsid w:val="006125E4"/>
    <w:rsid w:val="00612A99"/>
    <w:rsid w:val="00613037"/>
    <w:rsid w:val="006135AB"/>
    <w:rsid w:val="006138E4"/>
    <w:rsid w:val="006144F6"/>
    <w:rsid w:val="00614AE7"/>
    <w:rsid w:val="00614B9B"/>
    <w:rsid w:val="00615B4E"/>
    <w:rsid w:val="00615C9F"/>
    <w:rsid w:val="00616407"/>
    <w:rsid w:val="006174FC"/>
    <w:rsid w:val="00617D44"/>
    <w:rsid w:val="006203F2"/>
    <w:rsid w:val="00620E5A"/>
    <w:rsid w:val="006217F9"/>
    <w:rsid w:val="00621B95"/>
    <w:rsid w:val="00621DFE"/>
    <w:rsid w:val="006243FE"/>
    <w:rsid w:val="006244EA"/>
    <w:rsid w:val="0062471F"/>
    <w:rsid w:val="00624B6C"/>
    <w:rsid w:val="006250E9"/>
    <w:rsid w:val="00625519"/>
    <w:rsid w:val="006260CD"/>
    <w:rsid w:val="006278CE"/>
    <w:rsid w:val="0063086A"/>
    <w:rsid w:val="006317D6"/>
    <w:rsid w:val="0063232E"/>
    <w:rsid w:val="0063282C"/>
    <w:rsid w:val="00632ED7"/>
    <w:rsid w:val="00633B18"/>
    <w:rsid w:val="00633B2F"/>
    <w:rsid w:val="0063420E"/>
    <w:rsid w:val="00634F25"/>
    <w:rsid w:val="0063552E"/>
    <w:rsid w:val="006376B6"/>
    <w:rsid w:val="00637F2A"/>
    <w:rsid w:val="0064008A"/>
    <w:rsid w:val="00640262"/>
    <w:rsid w:val="006404F3"/>
    <w:rsid w:val="00640C31"/>
    <w:rsid w:val="0064161A"/>
    <w:rsid w:val="00641D14"/>
    <w:rsid w:val="00642A8A"/>
    <w:rsid w:val="00643226"/>
    <w:rsid w:val="006434C3"/>
    <w:rsid w:val="006459EF"/>
    <w:rsid w:val="00646479"/>
    <w:rsid w:val="006465F3"/>
    <w:rsid w:val="00646ABC"/>
    <w:rsid w:val="0064728B"/>
    <w:rsid w:val="0064738A"/>
    <w:rsid w:val="00647AA7"/>
    <w:rsid w:val="00647C0E"/>
    <w:rsid w:val="00647E3B"/>
    <w:rsid w:val="00650B93"/>
    <w:rsid w:val="00651E82"/>
    <w:rsid w:val="00652772"/>
    <w:rsid w:val="006534BF"/>
    <w:rsid w:val="006537D7"/>
    <w:rsid w:val="00653A70"/>
    <w:rsid w:val="00653F98"/>
    <w:rsid w:val="0065444A"/>
    <w:rsid w:val="00654F68"/>
    <w:rsid w:val="00655CF9"/>
    <w:rsid w:val="00655D45"/>
    <w:rsid w:val="00656454"/>
    <w:rsid w:val="00656726"/>
    <w:rsid w:val="0065714C"/>
    <w:rsid w:val="00660896"/>
    <w:rsid w:val="00660A74"/>
    <w:rsid w:val="00660AF1"/>
    <w:rsid w:val="00661BB4"/>
    <w:rsid w:val="00661CC5"/>
    <w:rsid w:val="00662612"/>
    <w:rsid w:val="00662AF7"/>
    <w:rsid w:val="00662E0D"/>
    <w:rsid w:val="00662E5F"/>
    <w:rsid w:val="006640AF"/>
    <w:rsid w:val="00664434"/>
    <w:rsid w:val="0066503C"/>
    <w:rsid w:val="0066561F"/>
    <w:rsid w:val="00665970"/>
    <w:rsid w:val="00665A1C"/>
    <w:rsid w:val="00666A58"/>
    <w:rsid w:val="00670650"/>
    <w:rsid w:val="006712C0"/>
    <w:rsid w:val="006744AC"/>
    <w:rsid w:val="00674C7D"/>
    <w:rsid w:val="00680B40"/>
    <w:rsid w:val="0068139D"/>
    <w:rsid w:val="00681742"/>
    <w:rsid w:val="00681EC9"/>
    <w:rsid w:val="006822FA"/>
    <w:rsid w:val="0068288C"/>
    <w:rsid w:val="00682ABD"/>
    <w:rsid w:val="0068308C"/>
    <w:rsid w:val="00683BC7"/>
    <w:rsid w:val="00683BE5"/>
    <w:rsid w:val="00683C3A"/>
    <w:rsid w:val="00683F36"/>
    <w:rsid w:val="00684C2A"/>
    <w:rsid w:val="00685589"/>
    <w:rsid w:val="006865B3"/>
    <w:rsid w:val="0068682C"/>
    <w:rsid w:val="00686DA5"/>
    <w:rsid w:val="00686F03"/>
    <w:rsid w:val="006908CC"/>
    <w:rsid w:val="006908EB"/>
    <w:rsid w:val="00690EE1"/>
    <w:rsid w:val="0069146D"/>
    <w:rsid w:val="006931C8"/>
    <w:rsid w:val="006938AA"/>
    <w:rsid w:val="0069474B"/>
    <w:rsid w:val="0069475D"/>
    <w:rsid w:val="00694F3C"/>
    <w:rsid w:val="00697966"/>
    <w:rsid w:val="006A0BAC"/>
    <w:rsid w:val="006A0BB3"/>
    <w:rsid w:val="006A0EA5"/>
    <w:rsid w:val="006A3A2B"/>
    <w:rsid w:val="006A4521"/>
    <w:rsid w:val="006A5183"/>
    <w:rsid w:val="006A6522"/>
    <w:rsid w:val="006A652F"/>
    <w:rsid w:val="006A67FF"/>
    <w:rsid w:val="006A6BF1"/>
    <w:rsid w:val="006B07E0"/>
    <w:rsid w:val="006B1F31"/>
    <w:rsid w:val="006B258D"/>
    <w:rsid w:val="006B3032"/>
    <w:rsid w:val="006B3694"/>
    <w:rsid w:val="006B378E"/>
    <w:rsid w:val="006B4B4A"/>
    <w:rsid w:val="006B4D15"/>
    <w:rsid w:val="006B637F"/>
    <w:rsid w:val="006B702C"/>
    <w:rsid w:val="006B75C6"/>
    <w:rsid w:val="006B7E53"/>
    <w:rsid w:val="006C01FD"/>
    <w:rsid w:val="006C354C"/>
    <w:rsid w:val="006C383C"/>
    <w:rsid w:val="006C3B76"/>
    <w:rsid w:val="006C4572"/>
    <w:rsid w:val="006C4FCB"/>
    <w:rsid w:val="006C7053"/>
    <w:rsid w:val="006C7B03"/>
    <w:rsid w:val="006D0EC2"/>
    <w:rsid w:val="006D1822"/>
    <w:rsid w:val="006D1D7C"/>
    <w:rsid w:val="006D1FCB"/>
    <w:rsid w:val="006D2264"/>
    <w:rsid w:val="006D342D"/>
    <w:rsid w:val="006D4612"/>
    <w:rsid w:val="006D4C72"/>
    <w:rsid w:val="006D4E4C"/>
    <w:rsid w:val="006D5585"/>
    <w:rsid w:val="006D5F76"/>
    <w:rsid w:val="006D62CB"/>
    <w:rsid w:val="006D6D96"/>
    <w:rsid w:val="006D7211"/>
    <w:rsid w:val="006D75C8"/>
    <w:rsid w:val="006E11F7"/>
    <w:rsid w:val="006E3EAE"/>
    <w:rsid w:val="006E4573"/>
    <w:rsid w:val="006E641A"/>
    <w:rsid w:val="006E672F"/>
    <w:rsid w:val="006F0D46"/>
    <w:rsid w:val="006F20D3"/>
    <w:rsid w:val="006F23DD"/>
    <w:rsid w:val="006F24BC"/>
    <w:rsid w:val="006F445C"/>
    <w:rsid w:val="006F5158"/>
    <w:rsid w:val="006F53B4"/>
    <w:rsid w:val="006F7632"/>
    <w:rsid w:val="007002C7"/>
    <w:rsid w:val="00700950"/>
    <w:rsid w:val="00701136"/>
    <w:rsid w:val="00701154"/>
    <w:rsid w:val="00701DA8"/>
    <w:rsid w:val="00702197"/>
    <w:rsid w:val="0070319A"/>
    <w:rsid w:val="00703CB4"/>
    <w:rsid w:val="00704241"/>
    <w:rsid w:val="00704CE8"/>
    <w:rsid w:val="007056C7"/>
    <w:rsid w:val="0070591D"/>
    <w:rsid w:val="00705EBF"/>
    <w:rsid w:val="00707488"/>
    <w:rsid w:val="00707C18"/>
    <w:rsid w:val="007103A9"/>
    <w:rsid w:val="0071189F"/>
    <w:rsid w:val="00711D2C"/>
    <w:rsid w:val="0071206F"/>
    <w:rsid w:val="00712378"/>
    <w:rsid w:val="00714948"/>
    <w:rsid w:val="00714B8D"/>
    <w:rsid w:val="00714BA2"/>
    <w:rsid w:val="00714D1F"/>
    <w:rsid w:val="00715326"/>
    <w:rsid w:val="00716AD2"/>
    <w:rsid w:val="00716EAB"/>
    <w:rsid w:val="007170D6"/>
    <w:rsid w:val="007176AA"/>
    <w:rsid w:val="007179B8"/>
    <w:rsid w:val="007203CA"/>
    <w:rsid w:val="00721A7F"/>
    <w:rsid w:val="007226F5"/>
    <w:rsid w:val="00723B2C"/>
    <w:rsid w:val="00724C9F"/>
    <w:rsid w:val="00724ED0"/>
    <w:rsid w:val="00724F92"/>
    <w:rsid w:val="007253D6"/>
    <w:rsid w:val="0072578A"/>
    <w:rsid w:val="0072597A"/>
    <w:rsid w:val="00725B22"/>
    <w:rsid w:val="00725DE4"/>
    <w:rsid w:val="0072663D"/>
    <w:rsid w:val="0072771E"/>
    <w:rsid w:val="00727A58"/>
    <w:rsid w:val="00727BAE"/>
    <w:rsid w:val="00727E73"/>
    <w:rsid w:val="007310C5"/>
    <w:rsid w:val="00732AC4"/>
    <w:rsid w:val="00733CAF"/>
    <w:rsid w:val="00735818"/>
    <w:rsid w:val="00735BFC"/>
    <w:rsid w:val="00735FC6"/>
    <w:rsid w:val="00736A42"/>
    <w:rsid w:val="007377C5"/>
    <w:rsid w:val="0073792C"/>
    <w:rsid w:val="007406E3"/>
    <w:rsid w:val="00740EC3"/>
    <w:rsid w:val="0074257A"/>
    <w:rsid w:val="00743659"/>
    <w:rsid w:val="007436F9"/>
    <w:rsid w:val="00743FE8"/>
    <w:rsid w:val="007440D9"/>
    <w:rsid w:val="007445F5"/>
    <w:rsid w:val="00744AAB"/>
    <w:rsid w:val="00745D73"/>
    <w:rsid w:val="00747434"/>
    <w:rsid w:val="0074788B"/>
    <w:rsid w:val="007503B4"/>
    <w:rsid w:val="00750C8D"/>
    <w:rsid w:val="0075137C"/>
    <w:rsid w:val="0075288D"/>
    <w:rsid w:val="0075418A"/>
    <w:rsid w:val="00754AFF"/>
    <w:rsid w:val="00754F4B"/>
    <w:rsid w:val="0075504F"/>
    <w:rsid w:val="007551CB"/>
    <w:rsid w:val="007551DC"/>
    <w:rsid w:val="0075613D"/>
    <w:rsid w:val="0075724A"/>
    <w:rsid w:val="0076260D"/>
    <w:rsid w:val="007630EE"/>
    <w:rsid w:val="00763B77"/>
    <w:rsid w:val="00764F4A"/>
    <w:rsid w:val="00766242"/>
    <w:rsid w:val="0076702C"/>
    <w:rsid w:val="007670E9"/>
    <w:rsid w:val="00767F6C"/>
    <w:rsid w:val="007706B2"/>
    <w:rsid w:val="007706C4"/>
    <w:rsid w:val="007716FF"/>
    <w:rsid w:val="00771D36"/>
    <w:rsid w:val="00771F07"/>
    <w:rsid w:val="00772829"/>
    <w:rsid w:val="00773D79"/>
    <w:rsid w:val="0077444F"/>
    <w:rsid w:val="00777848"/>
    <w:rsid w:val="00777893"/>
    <w:rsid w:val="00780E34"/>
    <w:rsid w:val="0078378E"/>
    <w:rsid w:val="00783C51"/>
    <w:rsid w:val="00783F89"/>
    <w:rsid w:val="007852E9"/>
    <w:rsid w:val="00787717"/>
    <w:rsid w:val="0078773C"/>
    <w:rsid w:val="0079044F"/>
    <w:rsid w:val="00790B15"/>
    <w:rsid w:val="00790F49"/>
    <w:rsid w:val="00791C9E"/>
    <w:rsid w:val="007931CB"/>
    <w:rsid w:val="007951D4"/>
    <w:rsid w:val="007952F6"/>
    <w:rsid w:val="00795DF2"/>
    <w:rsid w:val="00795E5A"/>
    <w:rsid w:val="00796439"/>
    <w:rsid w:val="0079678C"/>
    <w:rsid w:val="00797C46"/>
    <w:rsid w:val="007A00F4"/>
    <w:rsid w:val="007A19F6"/>
    <w:rsid w:val="007A2B65"/>
    <w:rsid w:val="007A46BF"/>
    <w:rsid w:val="007A4AAA"/>
    <w:rsid w:val="007A5617"/>
    <w:rsid w:val="007A698B"/>
    <w:rsid w:val="007A7348"/>
    <w:rsid w:val="007A7704"/>
    <w:rsid w:val="007B0245"/>
    <w:rsid w:val="007B083F"/>
    <w:rsid w:val="007B0880"/>
    <w:rsid w:val="007B0D01"/>
    <w:rsid w:val="007B0FC7"/>
    <w:rsid w:val="007B1A40"/>
    <w:rsid w:val="007B2085"/>
    <w:rsid w:val="007B24D8"/>
    <w:rsid w:val="007B2FDC"/>
    <w:rsid w:val="007B307B"/>
    <w:rsid w:val="007B36C0"/>
    <w:rsid w:val="007B38A0"/>
    <w:rsid w:val="007B38B7"/>
    <w:rsid w:val="007B391A"/>
    <w:rsid w:val="007B49C8"/>
    <w:rsid w:val="007B4B9A"/>
    <w:rsid w:val="007B4D43"/>
    <w:rsid w:val="007B4F7B"/>
    <w:rsid w:val="007B583D"/>
    <w:rsid w:val="007B6684"/>
    <w:rsid w:val="007B6731"/>
    <w:rsid w:val="007B6B21"/>
    <w:rsid w:val="007B7024"/>
    <w:rsid w:val="007B7143"/>
    <w:rsid w:val="007B7F77"/>
    <w:rsid w:val="007C0390"/>
    <w:rsid w:val="007C14A2"/>
    <w:rsid w:val="007C300E"/>
    <w:rsid w:val="007C328D"/>
    <w:rsid w:val="007C336F"/>
    <w:rsid w:val="007C4117"/>
    <w:rsid w:val="007C41B1"/>
    <w:rsid w:val="007C547B"/>
    <w:rsid w:val="007C57E1"/>
    <w:rsid w:val="007C5A36"/>
    <w:rsid w:val="007C7D7B"/>
    <w:rsid w:val="007D0D08"/>
    <w:rsid w:val="007D0D9C"/>
    <w:rsid w:val="007D1820"/>
    <w:rsid w:val="007D2D9F"/>
    <w:rsid w:val="007D30B7"/>
    <w:rsid w:val="007D3F15"/>
    <w:rsid w:val="007D41D5"/>
    <w:rsid w:val="007D4A37"/>
    <w:rsid w:val="007D5477"/>
    <w:rsid w:val="007D54BE"/>
    <w:rsid w:val="007D5BEB"/>
    <w:rsid w:val="007D5FDF"/>
    <w:rsid w:val="007D6676"/>
    <w:rsid w:val="007D7914"/>
    <w:rsid w:val="007E0526"/>
    <w:rsid w:val="007E0AB3"/>
    <w:rsid w:val="007E15AD"/>
    <w:rsid w:val="007E25ED"/>
    <w:rsid w:val="007E2BC0"/>
    <w:rsid w:val="007E30D1"/>
    <w:rsid w:val="007E3286"/>
    <w:rsid w:val="007E4089"/>
    <w:rsid w:val="007E4568"/>
    <w:rsid w:val="007E5114"/>
    <w:rsid w:val="007E7017"/>
    <w:rsid w:val="007E7ED0"/>
    <w:rsid w:val="007F03D2"/>
    <w:rsid w:val="007F047F"/>
    <w:rsid w:val="007F08D2"/>
    <w:rsid w:val="007F1308"/>
    <w:rsid w:val="007F2740"/>
    <w:rsid w:val="007F3DF8"/>
    <w:rsid w:val="007F401C"/>
    <w:rsid w:val="007F5603"/>
    <w:rsid w:val="007F67E9"/>
    <w:rsid w:val="007F6864"/>
    <w:rsid w:val="007F6A9B"/>
    <w:rsid w:val="007F73CD"/>
    <w:rsid w:val="007F7C7B"/>
    <w:rsid w:val="008003A2"/>
    <w:rsid w:val="00801F83"/>
    <w:rsid w:val="008040A2"/>
    <w:rsid w:val="00804632"/>
    <w:rsid w:val="008054D9"/>
    <w:rsid w:val="00806688"/>
    <w:rsid w:val="00806893"/>
    <w:rsid w:val="008079FC"/>
    <w:rsid w:val="00807A3E"/>
    <w:rsid w:val="008100AC"/>
    <w:rsid w:val="00810201"/>
    <w:rsid w:val="00810338"/>
    <w:rsid w:val="008109DB"/>
    <w:rsid w:val="00812282"/>
    <w:rsid w:val="00813F58"/>
    <w:rsid w:val="008140AC"/>
    <w:rsid w:val="008142C9"/>
    <w:rsid w:val="008148E4"/>
    <w:rsid w:val="00815260"/>
    <w:rsid w:val="008157F1"/>
    <w:rsid w:val="00815E21"/>
    <w:rsid w:val="00816EC2"/>
    <w:rsid w:val="008173D1"/>
    <w:rsid w:val="008219FC"/>
    <w:rsid w:val="00822817"/>
    <w:rsid w:val="008236E1"/>
    <w:rsid w:val="00824458"/>
    <w:rsid w:val="008249F7"/>
    <w:rsid w:val="00824AA3"/>
    <w:rsid w:val="00824B74"/>
    <w:rsid w:val="00825539"/>
    <w:rsid w:val="00827027"/>
    <w:rsid w:val="00827A66"/>
    <w:rsid w:val="008308E9"/>
    <w:rsid w:val="008331B4"/>
    <w:rsid w:val="00835EC9"/>
    <w:rsid w:val="00835F41"/>
    <w:rsid w:val="008363F6"/>
    <w:rsid w:val="0083676F"/>
    <w:rsid w:val="00836977"/>
    <w:rsid w:val="00840B80"/>
    <w:rsid w:val="00840D49"/>
    <w:rsid w:val="00841388"/>
    <w:rsid w:val="00841CA1"/>
    <w:rsid w:val="00841EFB"/>
    <w:rsid w:val="00841F44"/>
    <w:rsid w:val="00842358"/>
    <w:rsid w:val="0084247A"/>
    <w:rsid w:val="00842AEC"/>
    <w:rsid w:val="00842C82"/>
    <w:rsid w:val="00842E29"/>
    <w:rsid w:val="008436D7"/>
    <w:rsid w:val="008440FE"/>
    <w:rsid w:val="00844EEA"/>
    <w:rsid w:val="00846119"/>
    <w:rsid w:val="008474E3"/>
    <w:rsid w:val="00847D82"/>
    <w:rsid w:val="00847EEA"/>
    <w:rsid w:val="008516B9"/>
    <w:rsid w:val="0085183B"/>
    <w:rsid w:val="00851E14"/>
    <w:rsid w:val="008522F6"/>
    <w:rsid w:val="008527ED"/>
    <w:rsid w:val="00852BFE"/>
    <w:rsid w:val="008537F7"/>
    <w:rsid w:val="00853C40"/>
    <w:rsid w:val="008543F0"/>
    <w:rsid w:val="008546BE"/>
    <w:rsid w:val="00854D46"/>
    <w:rsid w:val="00855A3A"/>
    <w:rsid w:val="00856074"/>
    <w:rsid w:val="00856EF3"/>
    <w:rsid w:val="00857124"/>
    <w:rsid w:val="00857949"/>
    <w:rsid w:val="00860B7F"/>
    <w:rsid w:val="008626B3"/>
    <w:rsid w:val="008632D0"/>
    <w:rsid w:val="0086385E"/>
    <w:rsid w:val="008643F9"/>
    <w:rsid w:val="008659B1"/>
    <w:rsid w:val="00867283"/>
    <w:rsid w:val="008701FA"/>
    <w:rsid w:val="00871829"/>
    <w:rsid w:val="0087277A"/>
    <w:rsid w:val="00872A47"/>
    <w:rsid w:val="00872C2A"/>
    <w:rsid w:val="008736E2"/>
    <w:rsid w:val="00873E42"/>
    <w:rsid w:val="00874565"/>
    <w:rsid w:val="00875297"/>
    <w:rsid w:val="0087656B"/>
    <w:rsid w:val="00876F8B"/>
    <w:rsid w:val="0087721F"/>
    <w:rsid w:val="00877247"/>
    <w:rsid w:val="00877A22"/>
    <w:rsid w:val="008801AE"/>
    <w:rsid w:val="00880AA3"/>
    <w:rsid w:val="00881518"/>
    <w:rsid w:val="00883205"/>
    <w:rsid w:val="0088421C"/>
    <w:rsid w:val="0088445B"/>
    <w:rsid w:val="00884B24"/>
    <w:rsid w:val="00887217"/>
    <w:rsid w:val="008873CB"/>
    <w:rsid w:val="00887FE6"/>
    <w:rsid w:val="00891713"/>
    <w:rsid w:val="00891AF6"/>
    <w:rsid w:val="00891BC3"/>
    <w:rsid w:val="008937C8"/>
    <w:rsid w:val="00896046"/>
    <w:rsid w:val="00896317"/>
    <w:rsid w:val="008967C4"/>
    <w:rsid w:val="008A0206"/>
    <w:rsid w:val="008A0D2A"/>
    <w:rsid w:val="008A11FA"/>
    <w:rsid w:val="008A1450"/>
    <w:rsid w:val="008A1693"/>
    <w:rsid w:val="008A254F"/>
    <w:rsid w:val="008A2630"/>
    <w:rsid w:val="008A3166"/>
    <w:rsid w:val="008A3A93"/>
    <w:rsid w:val="008A3BDA"/>
    <w:rsid w:val="008A5157"/>
    <w:rsid w:val="008A5833"/>
    <w:rsid w:val="008A5971"/>
    <w:rsid w:val="008A5C6B"/>
    <w:rsid w:val="008A5CBE"/>
    <w:rsid w:val="008A6FAA"/>
    <w:rsid w:val="008A754B"/>
    <w:rsid w:val="008A7BFE"/>
    <w:rsid w:val="008B11F6"/>
    <w:rsid w:val="008B1C76"/>
    <w:rsid w:val="008B28D9"/>
    <w:rsid w:val="008B3A88"/>
    <w:rsid w:val="008B3B11"/>
    <w:rsid w:val="008B4BFC"/>
    <w:rsid w:val="008B4F62"/>
    <w:rsid w:val="008B51B4"/>
    <w:rsid w:val="008B5B67"/>
    <w:rsid w:val="008B5D7A"/>
    <w:rsid w:val="008B66E3"/>
    <w:rsid w:val="008B77A7"/>
    <w:rsid w:val="008B7848"/>
    <w:rsid w:val="008B7CA4"/>
    <w:rsid w:val="008B7F12"/>
    <w:rsid w:val="008C1E05"/>
    <w:rsid w:val="008C2278"/>
    <w:rsid w:val="008C30AA"/>
    <w:rsid w:val="008C3288"/>
    <w:rsid w:val="008C34BB"/>
    <w:rsid w:val="008C3A75"/>
    <w:rsid w:val="008C45E2"/>
    <w:rsid w:val="008C66BB"/>
    <w:rsid w:val="008C6E94"/>
    <w:rsid w:val="008C7562"/>
    <w:rsid w:val="008C7988"/>
    <w:rsid w:val="008D0862"/>
    <w:rsid w:val="008D2622"/>
    <w:rsid w:val="008D2EFA"/>
    <w:rsid w:val="008D343E"/>
    <w:rsid w:val="008D356D"/>
    <w:rsid w:val="008D3726"/>
    <w:rsid w:val="008D394F"/>
    <w:rsid w:val="008D3C2A"/>
    <w:rsid w:val="008D4CB0"/>
    <w:rsid w:val="008D50D7"/>
    <w:rsid w:val="008D59D0"/>
    <w:rsid w:val="008D6397"/>
    <w:rsid w:val="008D652E"/>
    <w:rsid w:val="008D7229"/>
    <w:rsid w:val="008D73C9"/>
    <w:rsid w:val="008E0928"/>
    <w:rsid w:val="008E14B6"/>
    <w:rsid w:val="008E16BF"/>
    <w:rsid w:val="008E1BE2"/>
    <w:rsid w:val="008E3049"/>
    <w:rsid w:val="008E35A3"/>
    <w:rsid w:val="008E3AD1"/>
    <w:rsid w:val="008E518D"/>
    <w:rsid w:val="008E7274"/>
    <w:rsid w:val="008E7977"/>
    <w:rsid w:val="008F0562"/>
    <w:rsid w:val="008F260B"/>
    <w:rsid w:val="008F2D90"/>
    <w:rsid w:val="008F3005"/>
    <w:rsid w:val="008F456A"/>
    <w:rsid w:val="008F456E"/>
    <w:rsid w:val="008F55D8"/>
    <w:rsid w:val="008F66A7"/>
    <w:rsid w:val="008F69B0"/>
    <w:rsid w:val="0090004A"/>
    <w:rsid w:val="0090056D"/>
    <w:rsid w:val="009009D3"/>
    <w:rsid w:val="00900D5B"/>
    <w:rsid w:val="00901BCD"/>
    <w:rsid w:val="00901C1B"/>
    <w:rsid w:val="00901F7C"/>
    <w:rsid w:val="009021D3"/>
    <w:rsid w:val="0090287B"/>
    <w:rsid w:val="009032E9"/>
    <w:rsid w:val="00903609"/>
    <w:rsid w:val="009062B9"/>
    <w:rsid w:val="009062F6"/>
    <w:rsid w:val="0090694A"/>
    <w:rsid w:val="00906A78"/>
    <w:rsid w:val="00906E65"/>
    <w:rsid w:val="00910771"/>
    <w:rsid w:val="009115B2"/>
    <w:rsid w:val="00911893"/>
    <w:rsid w:val="00911E24"/>
    <w:rsid w:val="00911FCB"/>
    <w:rsid w:val="009136D0"/>
    <w:rsid w:val="0091370A"/>
    <w:rsid w:val="009144D5"/>
    <w:rsid w:val="00914BEC"/>
    <w:rsid w:val="00914EA5"/>
    <w:rsid w:val="00915F98"/>
    <w:rsid w:val="00915FA3"/>
    <w:rsid w:val="00916867"/>
    <w:rsid w:val="00916D2B"/>
    <w:rsid w:val="00917086"/>
    <w:rsid w:val="00917B4A"/>
    <w:rsid w:val="00917D25"/>
    <w:rsid w:val="009217F8"/>
    <w:rsid w:val="00923E32"/>
    <w:rsid w:val="0092470E"/>
    <w:rsid w:val="00925187"/>
    <w:rsid w:val="0092709C"/>
    <w:rsid w:val="0092717F"/>
    <w:rsid w:val="00927744"/>
    <w:rsid w:val="00927B05"/>
    <w:rsid w:val="00930C01"/>
    <w:rsid w:val="00930F4E"/>
    <w:rsid w:val="00931E3E"/>
    <w:rsid w:val="00932205"/>
    <w:rsid w:val="00932D9C"/>
    <w:rsid w:val="00932DA7"/>
    <w:rsid w:val="0093312A"/>
    <w:rsid w:val="00933A57"/>
    <w:rsid w:val="00933A6F"/>
    <w:rsid w:val="00934007"/>
    <w:rsid w:val="00934B9B"/>
    <w:rsid w:val="00935D34"/>
    <w:rsid w:val="00936062"/>
    <w:rsid w:val="00937982"/>
    <w:rsid w:val="00937CBE"/>
    <w:rsid w:val="00941722"/>
    <w:rsid w:val="0094360D"/>
    <w:rsid w:val="00944087"/>
    <w:rsid w:val="00944E74"/>
    <w:rsid w:val="0094546B"/>
    <w:rsid w:val="00946028"/>
    <w:rsid w:val="0095012E"/>
    <w:rsid w:val="00951584"/>
    <w:rsid w:val="00951770"/>
    <w:rsid w:val="00951934"/>
    <w:rsid w:val="00951B75"/>
    <w:rsid w:val="0095207B"/>
    <w:rsid w:val="0095267B"/>
    <w:rsid w:val="00953869"/>
    <w:rsid w:val="00954C8C"/>
    <w:rsid w:val="009561DD"/>
    <w:rsid w:val="00956452"/>
    <w:rsid w:val="00956ACE"/>
    <w:rsid w:val="009572A0"/>
    <w:rsid w:val="009578A6"/>
    <w:rsid w:val="00957D24"/>
    <w:rsid w:val="00957ECE"/>
    <w:rsid w:val="00960DCF"/>
    <w:rsid w:val="0096143A"/>
    <w:rsid w:val="009615CB"/>
    <w:rsid w:val="00961B53"/>
    <w:rsid w:val="00961E4F"/>
    <w:rsid w:val="00962C6C"/>
    <w:rsid w:val="009631BD"/>
    <w:rsid w:val="00963264"/>
    <w:rsid w:val="0096389D"/>
    <w:rsid w:val="00964D2D"/>
    <w:rsid w:val="00964F35"/>
    <w:rsid w:val="00967549"/>
    <w:rsid w:val="009676C0"/>
    <w:rsid w:val="009729EF"/>
    <w:rsid w:val="00972E0A"/>
    <w:rsid w:val="009733C9"/>
    <w:rsid w:val="0097374A"/>
    <w:rsid w:val="00977F0F"/>
    <w:rsid w:val="009803A9"/>
    <w:rsid w:val="009803CB"/>
    <w:rsid w:val="009803D4"/>
    <w:rsid w:val="009807A2"/>
    <w:rsid w:val="00981402"/>
    <w:rsid w:val="00981852"/>
    <w:rsid w:val="0098199C"/>
    <w:rsid w:val="0098268D"/>
    <w:rsid w:val="009838BE"/>
    <w:rsid w:val="00983AE4"/>
    <w:rsid w:val="00985704"/>
    <w:rsid w:val="0098696F"/>
    <w:rsid w:val="009873F3"/>
    <w:rsid w:val="0099155A"/>
    <w:rsid w:val="0099167B"/>
    <w:rsid w:val="00991D54"/>
    <w:rsid w:val="00992639"/>
    <w:rsid w:val="00992FC1"/>
    <w:rsid w:val="00993F1B"/>
    <w:rsid w:val="00995505"/>
    <w:rsid w:val="00995E98"/>
    <w:rsid w:val="00996F15"/>
    <w:rsid w:val="009975AB"/>
    <w:rsid w:val="009975BA"/>
    <w:rsid w:val="00997BA8"/>
    <w:rsid w:val="009A06F4"/>
    <w:rsid w:val="009A09EF"/>
    <w:rsid w:val="009A14EF"/>
    <w:rsid w:val="009A297D"/>
    <w:rsid w:val="009A3778"/>
    <w:rsid w:val="009A3E2E"/>
    <w:rsid w:val="009A6551"/>
    <w:rsid w:val="009A7F34"/>
    <w:rsid w:val="009B0043"/>
    <w:rsid w:val="009B070D"/>
    <w:rsid w:val="009B1EF4"/>
    <w:rsid w:val="009B2245"/>
    <w:rsid w:val="009B258E"/>
    <w:rsid w:val="009B3963"/>
    <w:rsid w:val="009B3EB6"/>
    <w:rsid w:val="009B4E64"/>
    <w:rsid w:val="009B5315"/>
    <w:rsid w:val="009B5997"/>
    <w:rsid w:val="009B5A2A"/>
    <w:rsid w:val="009B5F09"/>
    <w:rsid w:val="009B6B23"/>
    <w:rsid w:val="009B6D0C"/>
    <w:rsid w:val="009B7ABD"/>
    <w:rsid w:val="009C106B"/>
    <w:rsid w:val="009C150D"/>
    <w:rsid w:val="009C1D27"/>
    <w:rsid w:val="009C3BD9"/>
    <w:rsid w:val="009C3E5D"/>
    <w:rsid w:val="009C5B82"/>
    <w:rsid w:val="009C756E"/>
    <w:rsid w:val="009D0F91"/>
    <w:rsid w:val="009D1C25"/>
    <w:rsid w:val="009D21BE"/>
    <w:rsid w:val="009D3C3D"/>
    <w:rsid w:val="009D5288"/>
    <w:rsid w:val="009D5962"/>
    <w:rsid w:val="009D6D85"/>
    <w:rsid w:val="009D7665"/>
    <w:rsid w:val="009E07C2"/>
    <w:rsid w:val="009E0F31"/>
    <w:rsid w:val="009E2078"/>
    <w:rsid w:val="009E2AD3"/>
    <w:rsid w:val="009E2DBF"/>
    <w:rsid w:val="009E4226"/>
    <w:rsid w:val="009E4277"/>
    <w:rsid w:val="009E47E5"/>
    <w:rsid w:val="009E4C69"/>
    <w:rsid w:val="009E5CC3"/>
    <w:rsid w:val="009E6D43"/>
    <w:rsid w:val="009E7397"/>
    <w:rsid w:val="009E7A36"/>
    <w:rsid w:val="009F0A91"/>
    <w:rsid w:val="009F146F"/>
    <w:rsid w:val="009F3959"/>
    <w:rsid w:val="009F3C75"/>
    <w:rsid w:val="009F4B5C"/>
    <w:rsid w:val="009F4B61"/>
    <w:rsid w:val="009F4E58"/>
    <w:rsid w:val="009F5B65"/>
    <w:rsid w:val="00A0037E"/>
    <w:rsid w:val="00A012D4"/>
    <w:rsid w:val="00A01303"/>
    <w:rsid w:val="00A01881"/>
    <w:rsid w:val="00A01A5E"/>
    <w:rsid w:val="00A02C4F"/>
    <w:rsid w:val="00A04A09"/>
    <w:rsid w:val="00A05821"/>
    <w:rsid w:val="00A05D1D"/>
    <w:rsid w:val="00A05EA2"/>
    <w:rsid w:val="00A076CC"/>
    <w:rsid w:val="00A07707"/>
    <w:rsid w:val="00A104AB"/>
    <w:rsid w:val="00A10C4A"/>
    <w:rsid w:val="00A10F54"/>
    <w:rsid w:val="00A11338"/>
    <w:rsid w:val="00A1165C"/>
    <w:rsid w:val="00A11C8A"/>
    <w:rsid w:val="00A125D6"/>
    <w:rsid w:val="00A12AC6"/>
    <w:rsid w:val="00A1302B"/>
    <w:rsid w:val="00A13E12"/>
    <w:rsid w:val="00A14E53"/>
    <w:rsid w:val="00A14ED0"/>
    <w:rsid w:val="00A15580"/>
    <w:rsid w:val="00A16383"/>
    <w:rsid w:val="00A16449"/>
    <w:rsid w:val="00A169ED"/>
    <w:rsid w:val="00A16F92"/>
    <w:rsid w:val="00A1720B"/>
    <w:rsid w:val="00A20449"/>
    <w:rsid w:val="00A20A38"/>
    <w:rsid w:val="00A21CE1"/>
    <w:rsid w:val="00A22EFC"/>
    <w:rsid w:val="00A23180"/>
    <w:rsid w:val="00A23318"/>
    <w:rsid w:val="00A23863"/>
    <w:rsid w:val="00A24057"/>
    <w:rsid w:val="00A2437E"/>
    <w:rsid w:val="00A26389"/>
    <w:rsid w:val="00A2758D"/>
    <w:rsid w:val="00A30063"/>
    <w:rsid w:val="00A301BA"/>
    <w:rsid w:val="00A303B8"/>
    <w:rsid w:val="00A32BE6"/>
    <w:rsid w:val="00A34843"/>
    <w:rsid w:val="00A3489B"/>
    <w:rsid w:val="00A361A2"/>
    <w:rsid w:val="00A361C3"/>
    <w:rsid w:val="00A36B9F"/>
    <w:rsid w:val="00A36CA5"/>
    <w:rsid w:val="00A376D2"/>
    <w:rsid w:val="00A411FA"/>
    <w:rsid w:val="00A413A3"/>
    <w:rsid w:val="00A445FA"/>
    <w:rsid w:val="00A44EC1"/>
    <w:rsid w:val="00A454B3"/>
    <w:rsid w:val="00A45E52"/>
    <w:rsid w:val="00A46491"/>
    <w:rsid w:val="00A46652"/>
    <w:rsid w:val="00A46D15"/>
    <w:rsid w:val="00A4713D"/>
    <w:rsid w:val="00A5212B"/>
    <w:rsid w:val="00A5323B"/>
    <w:rsid w:val="00A54256"/>
    <w:rsid w:val="00A54FB4"/>
    <w:rsid w:val="00A56DE0"/>
    <w:rsid w:val="00A576E0"/>
    <w:rsid w:val="00A606BF"/>
    <w:rsid w:val="00A60C68"/>
    <w:rsid w:val="00A61AF3"/>
    <w:rsid w:val="00A61D0C"/>
    <w:rsid w:val="00A63486"/>
    <w:rsid w:val="00A6390C"/>
    <w:rsid w:val="00A63C18"/>
    <w:rsid w:val="00A64A16"/>
    <w:rsid w:val="00A64B04"/>
    <w:rsid w:val="00A662DC"/>
    <w:rsid w:val="00A6741B"/>
    <w:rsid w:val="00A67AE5"/>
    <w:rsid w:val="00A67B94"/>
    <w:rsid w:val="00A70198"/>
    <w:rsid w:val="00A71813"/>
    <w:rsid w:val="00A71B48"/>
    <w:rsid w:val="00A72938"/>
    <w:rsid w:val="00A74226"/>
    <w:rsid w:val="00A75070"/>
    <w:rsid w:val="00A757B0"/>
    <w:rsid w:val="00A75CE2"/>
    <w:rsid w:val="00A763A6"/>
    <w:rsid w:val="00A776A4"/>
    <w:rsid w:val="00A77C39"/>
    <w:rsid w:val="00A8049D"/>
    <w:rsid w:val="00A80A79"/>
    <w:rsid w:val="00A80DE4"/>
    <w:rsid w:val="00A819D2"/>
    <w:rsid w:val="00A81BCC"/>
    <w:rsid w:val="00A822C2"/>
    <w:rsid w:val="00A82990"/>
    <w:rsid w:val="00A83A31"/>
    <w:rsid w:val="00A83C7A"/>
    <w:rsid w:val="00A85284"/>
    <w:rsid w:val="00A90298"/>
    <w:rsid w:val="00A90401"/>
    <w:rsid w:val="00A90D6E"/>
    <w:rsid w:val="00A917FD"/>
    <w:rsid w:val="00A921E3"/>
    <w:rsid w:val="00A927BD"/>
    <w:rsid w:val="00A931C4"/>
    <w:rsid w:val="00A93974"/>
    <w:rsid w:val="00A94D20"/>
    <w:rsid w:val="00A951C2"/>
    <w:rsid w:val="00A96251"/>
    <w:rsid w:val="00A96AD3"/>
    <w:rsid w:val="00A9721D"/>
    <w:rsid w:val="00A9752B"/>
    <w:rsid w:val="00AA1320"/>
    <w:rsid w:val="00AA184B"/>
    <w:rsid w:val="00AA1ACC"/>
    <w:rsid w:val="00AA1B90"/>
    <w:rsid w:val="00AA22D3"/>
    <w:rsid w:val="00AA2461"/>
    <w:rsid w:val="00AA2865"/>
    <w:rsid w:val="00AA2A88"/>
    <w:rsid w:val="00AA3A9B"/>
    <w:rsid w:val="00AA3BF1"/>
    <w:rsid w:val="00AA4DDF"/>
    <w:rsid w:val="00AA5410"/>
    <w:rsid w:val="00AA589A"/>
    <w:rsid w:val="00AB005F"/>
    <w:rsid w:val="00AB21C6"/>
    <w:rsid w:val="00AB22A4"/>
    <w:rsid w:val="00AB2841"/>
    <w:rsid w:val="00AB3775"/>
    <w:rsid w:val="00AB402C"/>
    <w:rsid w:val="00AC08AD"/>
    <w:rsid w:val="00AC12D0"/>
    <w:rsid w:val="00AC1891"/>
    <w:rsid w:val="00AC33E5"/>
    <w:rsid w:val="00AC472B"/>
    <w:rsid w:val="00AC6DEF"/>
    <w:rsid w:val="00AC6F6C"/>
    <w:rsid w:val="00AC6F7D"/>
    <w:rsid w:val="00AC720A"/>
    <w:rsid w:val="00AC7D26"/>
    <w:rsid w:val="00AD0D80"/>
    <w:rsid w:val="00AD1F21"/>
    <w:rsid w:val="00AD2DD1"/>
    <w:rsid w:val="00AD539A"/>
    <w:rsid w:val="00AD60EA"/>
    <w:rsid w:val="00AD646B"/>
    <w:rsid w:val="00AD647A"/>
    <w:rsid w:val="00AD67D4"/>
    <w:rsid w:val="00AE0495"/>
    <w:rsid w:val="00AE2B8F"/>
    <w:rsid w:val="00AE2D6B"/>
    <w:rsid w:val="00AE4331"/>
    <w:rsid w:val="00AE4876"/>
    <w:rsid w:val="00AE54D8"/>
    <w:rsid w:val="00AE614D"/>
    <w:rsid w:val="00AE7849"/>
    <w:rsid w:val="00AE7977"/>
    <w:rsid w:val="00AF0358"/>
    <w:rsid w:val="00AF1F10"/>
    <w:rsid w:val="00AF277D"/>
    <w:rsid w:val="00AF3C10"/>
    <w:rsid w:val="00AF3D39"/>
    <w:rsid w:val="00AF3D56"/>
    <w:rsid w:val="00AF497B"/>
    <w:rsid w:val="00AF5EC7"/>
    <w:rsid w:val="00AF6A4C"/>
    <w:rsid w:val="00AF6EE4"/>
    <w:rsid w:val="00B00B7C"/>
    <w:rsid w:val="00B0192F"/>
    <w:rsid w:val="00B01AD7"/>
    <w:rsid w:val="00B01C0B"/>
    <w:rsid w:val="00B02183"/>
    <w:rsid w:val="00B047C2"/>
    <w:rsid w:val="00B04CB1"/>
    <w:rsid w:val="00B052D1"/>
    <w:rsid w:val="00B0533C"/>
    <w:rsid w:val="00B05635"/>
    <w:rsid w:val="00B06759"/>
    <w:rsid w:val="00B06864"/>
    <w:rsid w:val="00B06CC7"/>
    <w:rsid w:val="00B07620"/>
    <w:rsid w:val="00B07725"/>
    <w:rsid w:val="00B10CB6"/>
    <w:rsid w:val="00B1314F"/>
    <w:rsid w:val="00B13584"/>
    <w:rsid w:val="00B13E72"/>
    <w:rsid w:val="00B151CF"/>
    <w:rsid w:val="00B16723"/>
    <w:rsid w:val="00B20F84"/>
    <w:rsid w:val="00B21378"/>
    <w:rsid w:val="00B227AB"/>
    <w:rsid w:val="00B22E16"/>
    <w:rsid w:val="00B233D2"/>
    <w:rsid w:val="00B247AD"/>
    <w:rsid w:val="00B25D05"/>
    <w:rsid w:val="00B260A2"/>
    <w:rsid w:val="00B2638C"/>
    <w:rsid w:val="00B26622"/>
    <w:rsid w:val="00B26669"/>
    <w:rsid w:val="00B266C5"/>
    <w:rsid w:val="00B26AFD"/>
    <w:rsid w:val="00B276B4"/>
    <w:rsid w:val="00B303F6"/>
    <w:rsid w:val="00B307B7"/>
    <w:rsid w:val="00B330BA"/>
    <w:rsid w:val="00B35B0A"/>
    <w:rsid w:val="00B36028"/>
    <w:rsid w:val="00B371FB"/>
    <w:rsid w:val="00B37D9A"/>
    <w:rsid w:val="00B37E0D"/>
    <w:rsid w:val="00B40064"/>
    <w:rsid w:val="00B43953"/>
    <w:rsid w:val="00B459A4"/>
    <w:rsid w:val="00B4668F"/>
    <w:rsid w:val="00B46FCD"/>
    <w:rsid w:val="00B50A44"/>
    <w:rsid w:val="00B51E02"/>
    <w:rsid w:val="00B52046"/>
    <w:rsid w:val="00B53DAC"/>
    <w:rsid w:val="00B53FFF"/>
    <w:rsid w:val="00B54573"/>
    <w:rsid w:val="00B55524"/>
    <w:rsid w:val="00B56736"/>
    <w:rsid w:val="00B575BF"/>
    <w:rsid w:val="00B60E9C"/>
    <w:rsid w:val="00B612EA"/>
    <w:rsid w:val="00B61408"/>
    <w:rsid w:val="00B61C66"/>
    <w:rsid w:val="00B62604"/>
    <w:rsid w:val="00B62DF2"/>
    <w:rsid w:val="00B62F5D"/>
    <w:rsid w:val="00B63DD0"/>
    <w:rsid w:val="00B64650"/>
    <w:rsid w:val="00B649D2"/>
    <w:rsid w:val="00B66515"/>
    <w:rsid w:val="00B66A87"/>
    <w:rsid w:val="00B701ED"/>
    <w:rsid w:val="00B70CCB"/>
    <w:rsid w:val="00B712D0"/>
    <w:rsid w:val="00B721DF"/>
    <w:rsid w:val="00B75552"/>
    <w:rsid w:val="00B757E5"/>
    <w:rsid w:val="00B7666F"/>
    <w:rsid w:val="00B8021B"/>
    <w:rsid w:val="00B80F99"/>
    <w:rsid w:val="00B81435"/>
    <w:rsid w:val="00B81F38"/>
    <w:rsid w:val="00B823F7"/>
    <w:rsid w:val="00B83443"/>
    <w:rsid w:val="00B83B62"/>
    <w:rsid w:val="00B8535F"/>
    <w:rsid w:val="00B8575C"/>
    <w:rsid w:val="00B858F9"/>
    <w:rsid w:val="00B85C47"/>
    <w:rsid w:val="00B86576"/>
    <w:rsid w:val="00B878CD"/>
    <w:rsid w:val="00B87E05"/>
    <w:rsid w:val="00B91CB1"/>
    <w:rsid w:val="00B9249B"/>
    <w:rsid w:val="00B92AEE"/>
    <w:rsid w:val="00B94248"/>
    <w:rsid w:val="00B947B3"/>
    <w:rsid w:val="00B94F87"/>
    <w:rsid w:val="00B9536C"/>
    <w:rsid w:val="00B95A10"/>
    <w:rsid w:val="00B95D45"/>
    <w:rsid w:val="00B95E76"/>
    <w:rsid w:val="00B965D7"/>
    <w:rsid w:val="00BA0802"/>
    <w:rsid w:val="00BA1A9B"/>
    <w:rsid w:val="00BA1FFB"/>
    <w:rsid w:val="00BA2B3F"/>
    <w:rsid w:val="00BA301E"/>
    <w:rsid w:val="00BA3167"/>
    <w:rsid w:val="00BA4165"/>
    <w:rsid w:val="00BA4684"/>
    <w:rsid w:val="00BA4B60"/>
    <w:rsid w:val="00BA4E45"/>
    <w:rsid w:val="00BA561D"/>
    <w:rsid w:val="00BA59FB"/>
    <w:rsid w:val="00BA6E5F"/>
    <w:rsid w:val="00BA7398"/>
    <w:rsid w:val="00BB0506"/>
    <w:rsid w:val="00BB05C4"/>
    <w:rsid w:val="00BB1311"/>
    <w:rsid w:val="00BB14A3"/>
    <w:rsid w:val="00BB1D56"/>
    <w:rsid w:val="00BB250B"/>
    <w:rsid w:val="00BB2AE4"/>
    <w:rsid w:val="00BB2B3F"/>
    <w:rsid w:val="00BB34C8"/>
    <w:rsid w:val="00BB3C24"/>
    <w:rsid w:val="00BC15DE"/>
    <w:rsid w:val="00BC17C8"/>
    <w:rsid w:val="00BC1ADD"/>
    <w:rsid w:val="00BC1BBA"/>
    <w:rsid w:val="00BC2ABF"/>
    <w:rsid w:val="00BC369C"/>
    <w:rsid w:val="00BC3797"/>
    <w:rsid w:val="00BC4972"/>
    <w:rsid w:val="00BC4E93"/>
    <w:rsid w:val="00BC643C"/>
    <w:rsid w:val="00BC6897"/>
    <w:rsid w:val="00BC6AC0"/>
    <w:rsid w:val="00BC7FC7"/>
    <w:rsid w:val="00BD0F38"/>
    <w:rsid w:val="00BD18B0"/>
    <w:rsid w:val="00BD1966"/>
    <w:rsid w:val="00BD2303"/>
    <w:rsid w:val="00BD33D4"/>
    <w:rsid w:val="00BD3606"/>
    <w:rsid w:val="00BD40B1"/>
    <w:rsid w:val="00BD5625"/>
    <w:rsid w:val="00BE23D6"/>
    <w:rsid w:val="00BE36D0"/>
    <w:rsid w:val="00BE45D5"/>
    <w:rsid w:val="00BE4738"/>
    <w:rsid w:val="00BE47BF"/>
    <w:rsid w:val="00BE5374"/>
    <w:rsid w:val="00BE627A"/>
    <w:rsid w:val="00BE6CE8"/>
    <w:rsid w:val="00BE7ADE"/>
    <w:rsid w:val="00BF093F"/>
    <w:rsid w:val="00BF18BB"/>
    <w:rsid w:val="00BF1C85"/>
    <w:rsid w:val="00BF544D"/>
    <w:rsid w:val="00BF56FA"/>
    <w:rsid w:val="00BF6E7C"/>
    <w:rsid w:val="00BF7C54"/>
    <w:rsid w:val="00C00A31"/>
    <w:rsid w:val="00C01890"/>
    <w:rsid w:val="00C01D5F"/>
    <w:rsid w:val="00C033B2"/>
    <w:rsid w:val="00C03444"/>
    <w:rsid w:val="00C0345A"/>
    <w:rsid w:val="00C03511"/>
    <w:rsid w:val="00C04C3A"/>
    <w:rsid w:val="00C0506A"/>
    <w:rsid w:val="00C05700"/>
    <w:rsid w:val="00C06DFC"/>
    <w:rsid w:val="00C074CD"/>
    <w:rsid w:val="00C107C3"/>
    <w:rsid w:val="00C1152B"/>
    <w:rsid w:val="00C1174A"/>
    <w:rsid w:val="00C13520"/>
    <w:rsid w:val="00C13707"/>
    <w:rsid w:val="00C14F9B"/>
    <w:rsid w:val="00C14FAB"/>
    <w:rsid w:val="00C15AB3"/>
    <w:rsid w:val="00C15F42"/>
    <w:rsid w:val="00C1610B"/>
    <w:rsid w:val="00C1611D"/>
    <w:rsid w:val="00C16C9A"/>
    <w:rsid w:val="00C1729E"/>
    <w:rsid w:val="00C1733D"/>
    <w:rsid w:val="00C175E4"/>
    <w:rsid w:val="00C20BD2"/>
    <w:rsid w:val="00C20F6C"/>
    <w:rsid w:val="00C21079"/>
    <w:rsid w:val="00C21D96"/>
    <w:rsid w:val="00C22A79"/>
    <w:rsid w:val="00C232E0"/>
    <w:rsid w:val="00C2431B"/>
    <w:rsid w:val="00C24B5E"/>
    <w:rsid w:val="00C2534F"/>
    <w:rsid w:val="00C257B5"/>
    <w:rsid w:val="00C266A7"/>
    <w:rsid w:val="00C27759"/>
    <w:rsid w:val="00C30058"/>
    <w:rsid w:val="00C317A2"/>
    <w:rsid w:val="00C32F75"/>
    <w:rsid w:val="00C33CD1"/>
    <w:rsid w:val="00C343FC"/>
    <w:rsid w:val="00C3490E"/>
    <w:rsid w:val="00C35816"/>
    <w:rsid w:val="00C35A74"/>
    <w:rsid w:val="00C35EBF"/>
    <w:rsid w:val="00C3651F"/>
    <w:rsid w:val="00C36633"/>
    <w:rsid w:val="00C36E9D"/>
    <w:rsid w:val="00C37C86"/>
    <w:rsid w:val="00C4058D"/>
    <w:rsid w:val="00C412B1"/>
    <w:rsid w:val="00C419DA"/>
    <w:rsid w:val="00C41E9B"/>
    <w:rsid w:val="00C42761"/>
    <w:rsid w:val="00C42A6A"/>
    <w:rsid w:val="00C4384A"/>
    <w:rsid w:val="00C43AA4"/>
    <w:rsid w:val="00C43D52"/>
    <w:rsid w:val="00C4436C"/>
    <w:rsid w:val="00C44374"/>
    <w:rsid w:val="00C45960"/>
    <w:rsid w:val="00C461B2"/>
    <w:rsid w:val="00C47C8E"/>
    <w:rsid w:val="00C50AE1"/>
    <w:rsid w:val="00C51E4B"/>
    <w:rsid w:val="00C51FDA"/>
    <w:rsid w:val="00C52FB5"/>
    <w:rsid w:val="00C52FD1"/>
    <w:rsid w:val="00C5359B"/>
    <w:rsid w:val="00C53AF7"/>
    <w:rsid w:val="00C554B5"/>
    <w:rsid w:val="00C56EF2"/>
    <w:rsid w:val="00C570A6"/>
    <w:rsid w:val="00C579F3"/>
    <w:rsid w:val="00C600B3"/>
    <w:rsid w:val="00C60D5B"/>
    <w:rsid w:val="00C60EC4"/>
    <w:rsid w:val="00C61464"/>
    <w:rsid w:val="00C62643"/>
    <w:rsid w:val="00C6659C"/>
    <w:rsid w:val="00C66D8A"/>
    <w:rsid w:val="00C66FEA"/>
    <w:rsid w:val="00C67E71"/>
    <w:rsid w:val="00C67E8E"/>
    <w:rsid w:val="00C70746"/>
    <w:rsid w:val="00C72177"/>
    <w:rsid w:val="00C72961"/>
    <w:rsid w:val="00C7422C"/>
    <w:rsid w:val="00C74B8C"/>
    <w:rsid w:val="00C75DF4"/>
    <w:rsid w:val="00C76F30"/>
    <w:rsid w:val="00C77056"/>
    <w:rsid w:val="00C77090"/>
    <w:rsid w:val="00C80AA0"/>
    <w:rsid w:val="00C81543"/>
    <w:rsid w:val="00C82507"/>
    <w:rsid w:val="00C8268F"/>
    <w:rsid w:val="00C8306E"/>
    <w:rsid w:val="00C83535"/>
    <w:rsid w:val="00C83D84"/>
    <w:rsid w:val="00C84514"/>
    <w:rsid w:val="00C857F3"/>
    <w:rsid w:val="00C86112"/>
    <w:rsid w:val="00C86E3A"/>
    <w:rsid w:val="00C86FA4"/>
    <w:rsid w:val="00C87351"/>
    <w:rsid w:val="00C873A3"/>
    <w:rsid w:val="00C87436"/>
    <w:rsid w:val="00C87B04"/>
    <w:rsid w:val="00C91396"/>
    <w:rsid w:val="00C91651"/>
    <w:rsid w:val="00C91685"/>
    <w:rsid w:val="00C917A4"/>
    <w:rsid w:val="00C91F7A"/>
    <w:rsid w:val="00C9201D"/>
    <w:rsid w:val="00C922A2"/>
    <w:rsid w:val="00C92520"/>
    <w:rsid w:val="00C92729"/>
    <w:rsid w:val="00C9311C"/>
    <w:rsid w:val="00C94896"/>
    <w:rsid w:val="00C94BF3"/>
    <w:rsid w:val="00C96BA4"/>
    <w:rsid w:val="00C97CB0"/>
    <w:rsid w:val="00C97CEE"/>
    <w:rsid w:val="00CA0A81"/>
    <w:rsid w:val="00CA22E2"/>
    <w:rsid w:val="00CA26EA"/>
    <w:rsid w:val="00CA2FB2"/>
    <w:rsid w:val="00CA3D3A"/>
    <w:rsid w:val="00CA410A"/>
    <w:rsid w:val="00CA42D6"/>
    <w:rsid w:val="00CA528A"/>
    <w:rsid w:val="00CA55F1"/>
    <w:rsid w:val="00CB15E9"/>
    <w:rsid w:val="00CB26C8"/>
    <w:rsid w:val="00CB2AE7"/>
    <w:rsid w:val="00CB2BD5"/>
    <w:rsid w:val="00CB5A9B"/>
    <w:rsid w:val="00CB5C55"/>
    <w:rsid w:val="00CB646B"/>
    <w:rsid w:val="00CC1D1A"/>
    <w:rsid w:val="00CC28AB"/>
    <w:rsid w:val="00CC3239"/>
    <w:rsid w:val="00CC323A"/>
    <w:rsid w:val="00CC4261"/>
    <w:rsid w:val="00CC4F1E"/>
    <w:rsid w:val="00CC557A"/>
    <w:rsid w:val="00CC6260"/>
    <w:rsid w:val="00CD06DD"/>
    <w:rsid w:val="00CD0F69"/>
    <w:rsid w:val="00CD137F"/>
    <w:rsid w:val="00CD1404"/>
    <w:rsid w:val="00CD311A"/>
    <w:rsid w:val="00CD4284"/>
    <w:rsid w:val="00CD42FD"/>
    <w:rsid w:val="00CD4F13"/>
    <w:rsid w:val="00CD588C"/>
    <w:rsid w:val="00CD6B40"/>
    <w:rsid w:val="00CD7F1F"/>
    <w:rsid w:val="00CE02C3"/>
    <w:rsid w:val="00CE19D2"/>
    <w:rsid w:val="00CE285A"/>
    <w:rsid w:val="00CE28E3"/>
    <w:rsid w:val="00CE3A58"/>
    <w:rsid w:val="00CE4747"/>
    <w:rsid w:val="00CE4DC5"/>
    <w:rsid w:val="00CE5100"/>
    <w:rsid w:val="00CE7702"/>
    <w:rsid w:val="00CF068B"/>
    <w:rsid w:val="00CF0F56"/>
    <w:rsid w:val="00CF1A2D"/>
    <w:rsid w:val="00CF2913"/>
    <w:rsid w:val="00CF439F"/>
    <w:rsid w:val="00CF628C"/>
    <w:rsid w:val="00CF7120"/>
    <w:rsid w:val="00CF724C"/>
    <w:rsid w:val="00CF7864"/>
    <w:rsid w:val="00D001B4"/>
    <w:rsid w:val="00D003B7"/>
    <w:rsid w:val="00D00E36"/>
    <w:rsid w:val="00D010AA"/>
    <w:rsid w:val="00D01B49"/>
    <w:rsid w:val="00D02F4F"/>
    <w:rsid w:val="00D04CB3"/>
    <w:rsid w:val="00D064BD"/>
    <w:rsid w:val="00D078FD"/>
    <w:rsid w:val="00D104DE"/>
    <w:rsid w:val="00D11E0D"/>
    <w:rsid w:val="00D1244C"/>
    <w:rsid w:val="00D133CF"/>
    <w:rsid w:val="00D13865"/>
    <w:rsid w:val="00D147B7"/>
    <w:rsid w:val="00D14E59"/>
    <w:rsid w:val="00D151A9"/>
    <w:rsid w:val="00D153ED"/>
    <w:rsid w:val="00D1700D"/>
    <w:rsid w:val="00D1730F"/>
    <w:rsid w:val="00D17C81"/>
    <w:rsid w:val="00D20031"/>
    <w:rsid w:val="00D200C7"/>
    <w:rsid w:val="00D20177"/>
    <w:rsid w:val="00D21013"/>
    <w:rsid w:val="00D22B2D"/>
    <w:rsid w:val="00D24F44"/>
    <w:rsid w:val="00D251E8"/>
    <w:rsid w:val="00D2555B"/>
    <w:rsid w:val="00D25AE7"/>
    <w:rsid w:val="00D25C75"/>
    <w:rsid w:val="00D26226"/>
    <w:rsid w:val="00D26607"/>
    <w:rsid w:val="00D2764B"/>
    <w:rsid w:val="00D313B3"/>
    <w:rsid w:val="00D31EA9"/>
    <w:rsid w:val="00D3284F"/>
    <w:rsid w:val="00D3292B"/>
    <w:rsid w:val="00D33DFA"/>
    <w:rsid w:val="00D33F02"/>
    <w:rsid w:val="00D34FE0"/>
    <w:rsid w:val="00D358F7"/>
    <w:rsid w:val="00D35BA6"/>
    <w:rsid w:val="00D35E7F"/>
    <w:rsid w:val="00D36376"/>
    <w:rsid w:val="00D36E67"/>
    <w:rsid w:val="00D37EF5"/>
    <w:rsid w:val="00D419C9"/>
    <w:rsid w:val="00D428B9"/>
    <w:rsid w:val="00D43246"/>
    <w:rsid w:val="00D436DE"/>
    <w:rsid w:val="00D43FE4"/>
    <w:rsid w:val="00D45750"/>
    <w:rsid w:val="00D457EA"/>
    <w:rsid w:val="00D45C42"/>
    <w:rsid w:val="00D45C57"/>
    <w:rsid w:val="00D468ED"/>
    <w:rsid w:val="00D47E26"/>
    <w:rsid w:val="00D50000"/>
    <w:rsid w:val="00D515EF"/>
    <w:rsid w:val="00D52CEA"/>
    <w:rsid w:val="00D52E54"/>
    <w:rsid w:val="00D52FF5"/>
    <w:rsid w:val="00D53E59"/>
    <w:rsid w:val="00D54281"/>
    <w:rsid w:val="00D5595B"/>
    <w:rsid w:val="00D55A2C"/>
    <w:rsid w:val="00D56A34"/>
    <w:rsid w:val="00D56B5E"/>
    <w:rsid w:val="00D56DFA"/>
    <w:rsid w:val="00D6001D"/>
    <w:rsid w:val="00D60E22"/>
    <w:rsid w:val="00D61302"/>
    <w:rsid w:val="00D617EC"/>
    <w:rsid w:val="00D62705"/>
    <w:rsid w:val="00D62F4D"/>
    <w:rsid w:val="00D64962"/>
    <w:rsid w:val="00D651D7"/>
    <w:rsid w:val="00D652D9"/>
    <w:rsid w:val="00D66DC8"/>
    <w:rsid w:val="00D70DDA"/>
    <w:rsid w:val="00D73AD9"/>
    <w:rsid w:val="00D73D3A"/>
    <w:rsid w:val="00D74008"/>
    <w:rsid w:val="00D74A36"/>
    <w:rsid w:val="00D7619E"/>
    <w:rsid w:val="00D76D25"/>
    <w:rsid w:val="00D808AF"/>
    <w:rsid w:val="00D80C29"/>
    <w:rsid w:val="00D8316D"/>
    <w:rsid w:val="00D83B51"/>
    <w:rsid w:val="00D83BBB"/>
    <w:rsid w:val="00D84ECA"/>
    <w:rsid w:val="00D8525E"/>
    <w:rsid w:val="00D86197"/>
    <w:rsid w:val="00D9041B"/>
    <w:rsid w:val="00D90915"/>
    <w:rsid w:val="00D90DBB"/>
    <w:rsid w:val="00D9141D"/>
    <w:rsid w:val="00D91E43"/>
    <w:rsid w:val="00D9363D"/>
    <w:rsid w:val="00D9464E"/>
    <w:rsid w:val="00D946C9"/>
    <w:rsid w:val="00D94CF3"/>
    <w:rsid w:val="00D955A8"/>
    <w:rsid w:val="00D967A8"/>
    <w:rsid w:val="00D97A4A"/>
    <w:rsid w:val="00D97C3F"/>
    <w:rsid w:val="00DA058E"/>
    <w:rsid w:val="00DA0688"/>
    <w:rsid w:val="00DA0774"/>
    <w:rsid w:val="00DA092C"/>
    <w:rsid w:val="00DA2A6F"/>
    <w:rsid w:val="00DA37CD"/>
    <w:rsid w:val="00DA3BB8"/>
    <w:rsid w:val="00DA4401"/>
    <w:rsid w:val="00DA512C"/>
    <w:rsid w:val="00DA59B1"/>
    <w:rsid w:val="00DA6765"/>
    <w:rsid w:val="00DA68D9"/>
    <w:rsid w:val="00DB003C"/>
    <w:rsid w:val="00DB132E"/>
    <w:rsid w:val="00DB1846"/>
    <w:rsid w:val="00DB1C40"/>
    <w:rsid w:val="00DB1E91"/>
    <w:rsid w:val="00DB3E00"/>
    <w:rsid w:val="00DB4410"/>
    <w:rsid w:val="00DB4DC5"/>
    <w:rsid w:val="00DB5117"/>
    <w:rsid w:val="00DB55A5"/>
    <w:rsid w:val="00DB6031"/>
    <w:rsid w:val="00DB664A"/>
    <w:rsid w:val="00DB7463"/>
    <w:rsid w:val="00DC03B9"/>
    <w:rsid w:val="00DC08FE"/>
    <w:rsid w:val="00DC0B99"/>
    <w:rsid w:val="00DC14AF"/>
    <w:rsid w:val="00DC1720"/>
    <w:rsid w:val="00DC1D2C"/>
    <w:rsid w:val="00DC2BF7"/>
    <w:rsid w:val="00DC3633"/>
    <w:rsid w:val="00DC4108"/>
    <w:rsid w:val="00DC4EC7"/>
    <w:rsid w:val="00DC4F64"/>
    <w:rsid w:val="00DC50C5"/>
    <w:rsid w:val="00DC52AF"/>
    <w:rsid w:val="00DC6455"/>
    <w:rsid w:val="00DC64A7"/>
    <w:rsid w:val="00DC70A6"/>
    <w:rsid w:val="00DC768F"/>
    <w:rsid w:val="00DD0953"/>
    <w:rsid w:val="00DD0D7A"/>
    <w:rsid w:val="00DD117B"/>
    <w:rsid w:val="00DD1A95"/>
    <w:rsid w:val="00DD22D0"/>
    <w:rsid w:val="00DD2819"/>
    <w:rsid w:val="00DD2C81"/>
    <w:rsid w:val="00DD5A9F"/>
    <w:rsid w:val="00DD6540"/>
    <w:rsid w:val="00DD6E79"/>
    <w:rsid w:val="00DE0108"/>
    <w:rsid w:val="00DE14DB"/>
    <w:rsid w:val="00DE2496"/>
    <w:rsid w:val="00DE2E12"/>
    <w:rsid w:val="00DE3D1A"/>
    <w:rsid w:val="00DE60C3"/>
    <w:rsid w:val="00DE6731"/>
    <w:rsid w:val="00DE693C"/>
    <w:rsid w:val="00DE6AE1"/>
    <w:rsid w:val="00DE7099"/>
    <w:rsid w:val="00DF00E0"/>
    <w:rsid w:val="00DF0FAA"/>
    <w:rsid w:val="00DF1DE7"/>
    <w:rsid w:val="00DF30B2"/>
    <w:rsid w:val="00DF341B"/>
    <w:rsid w:val="00DF39E9"/>
    <w:rsid w:val="00DF431B"/>
    <w:rsid w:val="00DF4B70"/>
    <w:rsid w:val="00DF66AE"/>
    <w:rsid w:val="00DF6BF9"/>
    <w:rsid w:val="00DF74D9"/>
    <w:rsid w:val="00DF79E7"/>
    <w:rsid w:val="00DF7D1C"/>
    <w:rsid w:val="00DF7F13"/>
    <w:rsid w:val="00DF7F75"/>
    <w:rsid w:val="00E006CA"/>
    <w:rsid w:val="00E0360B"/>
    <w:rsid w:val="00E03A96"/>
    <w:rsid w:val="00E05D56"/>
    <w:rsid w:val="00E079B8"/>
    <w:rsid w:val="00E105A9"/>
    <w:rsid w:val="00E10782"/>
    <w:rsid w:val="00E11A63"/>
    <w:rsid w:val="00E133FC"/>
    <w:rsid w:val="00E14964"/>
    <w:rsid w:val="00E14978"/>
    <w:rsid w:val="00E15056"/>
    <w:rsid w:val="00E15DB1"/>
    <w:rsid w:val="00E169A1"/>
    <w:rsid w:val="00E17552"/>
    <w:rsid w:val="00E21B03"/>
    <w:rsid w:val="00E22445"/>
    <w:rsid w:val="00E23BCC"/>
    <w:rsid w:val="00E260A3"/>
    <w:rsid w:val="00E26D0F"/>
    <w:rsid w:val="00E26D15"/>
    <w:rsid w:val="00E27DDB"/>
    <w:rsid w:val="00E30173"/>
    <w:rsid w:val="00E3026E"/>
    <w:rsid w:val="00E31702"/>
    <w:rsid w:val="00E31B75"/>
    <w:rsid w:val="00E3242E"/>
    <w:rsid w:val="00E330C9"/>
    <w:rsid w:val="00E3330E"/>
    <w:rsid w:val="00E3351F"/>
    <w:rsid w:val="00E33627"/>
    <w:rsid w:val="00E33992"/>
    <w:rsid w:val="00E33E77"/>
    <w:rsid w:val="00E34062"/>
    <w:rsid w:val="00E35065"/>
    <w:rsid w:val="00E357EC"/>
    <w:rsid w:val="00E35993"/>
    <w:rsid w:val="00E369E0"/>
    <w:rsid w:val="00E40DAE"/>
    <w:rsid w:val="00E40F62"/>
    <w:rsid w:val="00E41327"/>
    <w:rsid w:val="00E41B8D"/>
    <w:rsid w:val="00E41DA5"/>
    <w:rsid w:val="00E42F14"/>
    <w:rsid w:val="00E43249"/>
    <w:rsid w:val="00E436A2"/>
    <w:rsid w:val="00E43E1C"/>
    <w:rsid w:val="00E440B3"/>
    <w:rsid w:val="00E44F24"/>
    <w:rsid w:val="00E458D8"/>
    <w:rsid w:val="00E45C27"/>
    <w:rsid w:val="00E45FF4"/>
    <w:rsid w:val="00E466E6"/>
    <w:rsid w:val="00E50E91"/>
    <w:rsid w:val="00E51006"/>
    <w:rsid w:val="00E518A7"/>
    <w:rsid w:val="00E529F5"/>
    <w:rsid w:val="00E5356B"/>
    <w:rsid w:val="00E53E00"/>
    <w:rsid w:val="00E53F96"/>
    <w:rsid w:val="00E54221"/>
    <w:rsid w:val="00E54407"/>
    <w:rsid w:val="00E54C4F"/>
    <w:rsid w:val="00E55378"/>
    <w:rsid w:val="00E55C62"/>
    <w:rsid w:val="00E5650A"/>
    <w:rsid w:val="00E56753"/>
    <w:rsid w:val="00E574EC"/>
    <w:rsid w:val="00E57F9C"/>
    <w:rsid w:val="00E61220"/>
    <w:rsid w:val="00E615F9"/>
    <w:rsid w:val="00E6193C"/>
    <w:rsid w:val="00E619CF"/>
    <w:rsid w:val="00E61E82"/>
    <w:rsid w:val="00E6247B"/>
    <w:rsid w:val="00E62AB6"/>
    <w:rsid w:val="00E62BC2"/>
    <w:rsid w:val="00E634E9"/>
    <w:rsid w:val="00E63DAA"/>
    <w:rsid w:val="00E63F8A"/>
    <w:rsid w:val="00E65247"/>
    <w:rsid w:val="00E66130"/>
    <w:rsid w:val="00E667B1"/>
    <w:rsid w:val="00E677C3"/>
    <w:rsid w:val="00E721A5"/>
    <w:rsid w:val="00E7221D"/>
    <w:rsid w:val="00E7288D"/>
    <w:rsid w:val="00E73562"/>
    <w:rsid w:val="00E73E59"/>
    <w:rsid w:val="00E751B1"/>
    <w:rsid w:val="00E7561F"/>
    <w:rsid w:val="00E75D70"/>
    <w:rsid w:val="00E7615F"/>
    <w:rsid w:val="00E763E7"/>
    <w:rsid w:val="00E76A2E"/>
    <w:rsid w:val="00E76AE0"/>
    <w:rsid w:val="00E81A87"/>
    <w:rsid w:val="00E82611"/>
    <w:rsid w:val="00E83948"/>
    <w:rsid w:val="00E83CF9"/>
    <w:rsid w:val="00E87862"/>
    <w:rsid w:val="00E92974"/>
    <w:rsid w:val="00E92BDD"/>
    <w:rsid w:val="00E92F98"/>
    <w:rsid w:val="00E9331D"/>
    <w:rsid w:val="00E93BF1"/>
    <w:rsid w:val="00E941D1"/>
    <w:rsid w:val="00E95322"/>
    <w:rsid w:val="00E95490"/>
    <w:rsid w:val="00E955C3"/>
    <w:rsid w:val="00E95F73"/>
    <w:rsid w:val="00E968C1"/>
    <w:rsid w:val="00E971F6"/>
    <w:rsid w:val="00E97A6F"/>
    <w:rsid w:val="00EA03D1"/>
    <w:rsid w:val="00EA0E54"/>
    <w:rsid w:val="00EA1769"/>
    <w:rsid w:val="00EA1849"/>
    <w:rsid w:val="00EA3020"/>
    <w:rsid w:val="00EA3671"/>
    <w:rsid w:val="00EA3676"/>
    <w:rsid w:val="00EA3688"/>
    <w:rsid w:val="00EA42B8"/>
    <w:rsid w:val="00EA446D"/>
    <w:rsid w:val="00EA54CF"/>
    <w:rsid w:val="00EA6B38"/>
    <w:rsid w:val="00EB0C44"/>
    <w:rsid w:val="00EB0DEA"/>
    <w:rsid w:val="00EB1F63"/>
    <w:rsid w:val="00EB1F76"/>
    <w:rsid w:val="00EB260D"/>
    <w:rsid w:val="00EB27BC"/>
    <w:rsid w:val="00EB562B"/>
    <w:rsid w:val="00EB5DCD"/>
    <w:rsid w:val="00EB6988"/>
    <w:rsid w:val="00EB6A32"/>
    <w:rsid w:val="00EB7812"/>
    <w:rsid w:val="00EB796C"/>
    <w:rsid w:val="00EC046B"/>
    <w:rsid w:val="00EC146C"/>
    <w:rsid w:val="00EC2676"/>
    <w:rsid w:val="00EC33A0"/>
    <w:rsid w:val="00EC33DD"/>
    <w:rsid w:val="00EC45BC"/>
    <w:rsid w:val="00EC4836"/>
    <w:rsid w:val="00EC4839"/>
    <w:rsid w:val="00EC5088"/>
    <w:rsid w:val="00EC58A6"/>
    <w:rsid w:val="00EC5C1B"/>
    <w:rsid w:val="00EC5E6B"/>
    <w:rsid w:val="00EC7F4B"/>
    <w:rsid w:val="00ED0320"/>
    <w:rsid w:val="00ED084D"/>
    <w:rsid w:val="00ED1E70"/>
    <w:rsid w:val="00ED251B"/>
    <w:rsid w:val="00ED3A5A"/>
    <w:rsid w:val="00ED3F33"/>
    <w:rsid w:val="00ED435C"/>
    <w:rsid w:val="00ED4A7C"/>
    <w:rsid w:val="00ED5933"/>
    <w:rsid w:val="00ED5E38"/>
    <w:rsid w:val="00ED7EA4"/>
    <w:rsid w:val="00EE1066"/>
    <w:rsid w:val="00EE4490"/>
    <w:rsid w:val="00EE4EEF"/>
    <w:rsid w:val="00EE544C"/>
    <w:rsid w:val="00EE6832"/>
    <w:rsid w:val="00EE7F93"/>
    <w:rsid w:val="00EF1755"/>
    <w:rsid w:val="00EF1846"/>
    <w:rsid w:val="00EF20C8"/>
    <w:rsid w:val="00EF2C4B"/>
    <w:rsid w:val="00EF3D58"/>
    <w:rsid w:val="00EF3DC1"/>
    <w:rsid w:val="00EF3EA2"/>
    <w:rsid w:val="00EF506B"/>
    <w:rsid w:val="00EF55F9"/>
    <w:rsid w:val="00EF5856"/>
    <w:rsid w:val="00EF5DC7"/>
    <w:rsid w:val="00EF698E"/>
    <w:rsid w:val="00EF7063"/>
    <w:rsid w:val="00EF7084"/>
    <w:rsid w:val="00EF791B"/>
    <w:rsid w:val="00F005BA"/>
    <w:rsid w:val="00F022E4"/>
    <w:rsid w:val="00F03B39"/>
    <w:rsid w:val="00F04052"/>
    <w:rsid w:val="00F045C5"/>
    <w:rsid w:val="00F04FED"/>
    <w:rsid w:val="00F05D71"/>
    <w:rsid w:val="00F06673"/>
    <w:rsid w:val="00F06961"/>
    <w:rsid w:val="00F1066F"/>
    <w:rsid w:val="00F12879"/>
    <w:rsid w:val="00F1415F"/>
    <w:rsid w:val="00F14201"/>
    <w:rsid w:val="00F1508C"/>
    <w:rsid w:val="00F1578E"/>
    <w:rsid w:val="00F163A0"/>
    <w:rsid w:val="00F164D3"/>
    <w:rsid w:val="00F20679"/>
    <w:rsid w:val="00F20763"/>
    <w:rsid w:val="00F20F17"/>
    <w:rsid w:val="00F2178C"/>
    <w:rsid w:val="00F21E60"/>
    <w:rsid w:val="00F227C8"/>
    <w:rsid w:val="00F235C5"/>
    <w:rsid w:val="00F23CB7"/>
    <w:rsid w:val="00F23F20"/>
    <w:rsid w:val="00F24664"/>
    <w:rsid w:val="00F24774"/>
    <w:rsid w:val="00F257B5"/>
    <w:rsid w:val="00F26815"/>
    <w:rsid w:val="00F2720E"/>
    <w:rsid w:val="00F2776D"/>
    <w:rsid w:val="00F27FAD"/>
    <w:rsid w:val="00F31F04"/>
    <w:rsid w:val="00F328CF"/>
    <w:rsid w:val="00F32D2A"/>
    <w:rsid w:val="00F33993"/>
    <w:rsid w:val="00F33C2F"/>
    <w:rsid w:val="00F341D4"/>
    <w:rsid w:val="00F346E6"/>
    <w:rsid w:val="00F347F7"/>
    <w:rsid w:val="00F35822"/>
    <w:rsid w:val="00F4033D"/>
    <w:rsid w:val="00F40864"/>
    <w:rsid w:val="00F40EF3"/>
    <w:rsid w:val="00F40F09"/>
    <w:rsid w:val="00F413BD"/>
    <w:rsid w:val="00F41CDF"/>
    <w:rsid w:val="00F44895"/>
    <w:rsid w:val="00F455EA"/>
    <w:rsid w:val="00F45655"/>
    <w:rsid w:val="00F45A60"/>
    <w:rsid w:val="00F467E2"/>
    <w:rsid w:val="00F47A30"/>
    <w:rsid w:val="00F47C30"/>
    <w:rsid w:val="00F50585"/>
    <w:rsid w:val="00F5076C"/>
    <w:rsid w:val="00F50881"/>
    <w:rsid w:val="00F508B7"/>
    <w:rsid w:val="00F51539"/>
    <w:rsid w:val="00F516E3"/>
    <w:rsid w:val="00F51EFB"/>
    <w:rsid w:val="00F5206A"/>
    <w:rsid w:val="00F52158"/>
    <w:rsid w:val="00F52BF0"/>
    <w:rsid w:val="00F53493"/>
    <w:rsid w:val="00F54832"/>
    <w:rsid w:val="00F56CC8"/>
    <w:rsid w:val="00F57885"/>
    <w:rsid w:val="00F60A86"/>
    <w:rsid w:val="00F64745"/>
    <w:rsid w:val="00F66144"/>
    <w:rsid w:val="00F6713F"/>
    <w:rsid w:val="00F67A0C"/>
    <w:rsid w:val="00F7167B"/>
    <w:rsid w:val="00F73195"/>
    <w:rsid w:val="00F74B51"/>
    <w:rsid w:val="00F7683F"/>
    <w:rsid w:val="00F76876"/>
    <w:rsid w:val="00F81362"/>
    <w:rsid w:val="00F81BCE"/>
    <w:rsid w:val="00F82F35"/>
    <w:rsid w:val="00F8330F"/>
    <w:rsid w:val="00F83434"/>
    <w:rsid w:val="00F83CB2"/>
    <w:rsid w:val="00F854EE"/>
    <w:rsid w:val="00F86E32"/>
    <w:rsid w:val="00F873CC"/>
    <w:rsid w:val="00F91353"/>
    <w:rsid w:val="00F91EE6"/>
    <w:rsid w:val="00F9200C"/>
    <w:rsid w:val="00F9234A"/>
    <w:rsid w:val="00F92480"/>
    <w:rsid w:val="00F92DDB"/>
    <w:rsid w:val="00F94AB1"/>
    <w:rsid w:val="00F9684A"/>
    <w:rsid w:val="00FA0825"/>
    <w:rsid w:val="00FA08AD"/>
    <w:rsid w:val="00FA13CE"/>
    <w:rsid w:val="00FA2F27"/>
    <w:rsid w:val="00FA4150"/>
    <w:rsid w:val="00FA5766"/>
    <w:rsid w:val="00FA62AC"/>
    <w:rsid w:val="00FA7D7D"/>
    <w:rsid w:val="00FB10F4"/>
    <w:rsid w:val="00FB1737"/>
    <w:rsid w:val="00FB3D5A"/>
    <w:rsid w:val="00FB50DB"/>
    <w:rsid w:val="00FB577D"/>
    <w:rsid w:val="00FB620D"/>
    <w:rsid w:val="00FB64CD"/>
    <w:rsid w:val="00FB6D17"/>
    <w:rsid w:val="00FB6F67"/>
    <w:rsid w:val="00FB6FE3"/>
    <w:rsid w:val="00FC0388"/>
    <w:rsid w:val="00FC058D"/>
    <w:rsid w:val="00FC0AD7"/>
    <w:rsid w:val="00FC10DE"/>
    <w:rsid w:val="00FC2C17"/>
    <w:rsid w:val="00FC2D5F"/>
    <w:rsid w:val="00FC3D13"/>
    <w:rsid w:val="00FC5603"/>
    <w:rsid w:val="00FC78D5"/>
    <w:rsid w:val="00FD0B28"/>
    <w:rsid w:val="00FD15CE"/>
    <w:rsid w:val="00FD17BA"/>
    <w:rsid w:val="00FD2A21"/>
    <w:rsid w:val="00FD2C9D"/>
    <w:rsid w:val="00FD2CB0"/>
    <w:rsid w:val="00FD2F74"/>
    <w:rsid w:val="00FD3B94"/>
    <w:rsid w:val="00FD3C12"/>
    <w:rsid w:val="00FD3E1E"/>
    <w:rsid w:val="00FD40DD"/>
    <w:rsid w:val="00FD43B3"/>
    <w:rsid w:val="00FD4D76"/>
    <w:rsid w:val="00FD5E8F"/>
    <w:rsid w:val="00FD6295"/>
    <w:rsid w:val="00FD6AD2"/>
    <w:rsid w:val="00FD70D8"/>
    <w:rsid w:val="00FE1118"/>
    <w:rsid w:val="00FE3754"/>
    <w:rsid w:val="00FE40E5"/>
    <w:rsid w:val="00FE4739"/>
    <w:rsid w:val="00FE4DB2"/>
    <w:rsid w:val="00FE5384"/>
    <w:rsid w:val="00FE5D80"/>
    <w:rsid w:val="00FE681D"/>
    <w:rsid w:val="00FE6D7F"/>
    <w:rsid w:val="00FE74DF"/>
    <w:rsid w:val="00FE7DE9"/>
    <w:rsid w:val="00FF0DBD"/>
    <w:rsid w:val="00FF1F97"/>
    <w:rsid w:val="00FF2100"/>
    <w:rsid w:val="00FF21B4"/>
    <w:rsid w:val="00FF3A07"/>
    <w:rsid w:val="00FF3FEA"/>
    <w:rsid w:val="00FF4B12"/>
    <w:rsid w:val="00FF4C68"/>
    <w:rsid w:val="00FF4CB3"/>
    <w:rsid w:val="00FF4EAA"/>
    <w:rsid w:val="00FF552C"/>
    <w:rsid w:val="00FF582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4548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03A9"/>
    <w:pPr>
      <w:spacing w:before="120"/>
    </w:pPr>
    <w:rPr>
      <w:rFonts w:ascii="Franklin Gothic Book" w:hAnsi="Franklin Gothic Book"/>
    </w:rPr>
  </w:style>
  <w:style w:type="paragraph" w:styleId="Heading1">
    <w:name w:val="heading 1"/>
    <w:basedOn w:val="Normal"/>
    <w:next w:val="Normal"/>
    <w:link w:val="Heading1Char"/>
    <w:uiPriority w:val="9"/>
    <w:qFormat/>
    <w:rsid w:val="001531D6"/>
    <w:pPr>
      <w:keepNext/>
      <w:keepLines/>
      <w:numPr>
        <w:numId w:val="1"/>
      </w:numPr>
      <w:pBdr>
        <w:bottom w:val="single" w:sz="4" w:space="1" w:color="auto"/>
      </w:pBdr>
      <w:spacing w:before="600" w:after="480" w:line="240" w:lineRule="auto"/>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1531D6"/>
    <w:pPr>
      <w:keepNext/>
      <w:keepLines/>
      <w:numPr>
        <w:ilvl w:val="1"/>
        <w:numId w:val="1"/>
      </w:numPr>
      <w:spacing w:before="360" w:after="24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5103C5"/>
    <w:pPr>
      <w:keepNext/>
      <w:keepLines/>
      <w:tabs>
        <w:tab w:val="left" w:pos="851"/>
      </w:tabs>
      <w:spacing w:before="360" w:after="200" w:line="240" w:lineRule="auto"/>
      <w:outlineLvl w:val="2"/>
    </w:pPr>
    <w:rPr>
      <w:rFonts w:ascii="Franklin Gothic Medium" w:eastAsiaTheme="majorEastAsia" w:hAnsi="Franklin Gothic Medium" w:cstheme="majorBidi"/>
      <w:sz w:val="24"/>
      <w:szCs w:val="24"/>
    </w:rPr>
  </w:style>
  <w:style w:type="paragraph" w:styleId="Heading4">
    <w:name w:val="heading 4"/>
    <w:basedOn w:val="Heading3"/>
    <w:next w:val="Normal"/>
    <w:link w:val="Heading4Char"/>
    <w:uiPriority w:val="9"/>
    <w:unhideWhenUsed/>
    <w:qFormat/>
    <w:rsid w:val="00A776A4"/>
    <w:pPr>
      <w:outlineLvl w:val="3"/>
    </w:pPr>
    <w:rPr>
      <w:i/>
    </w:rPr>
  </w:style>
  <w:style w:type="paragraph" w:styleId="Heading5">
    <w:name w:val="heading 5"/>
    <w:basedOn w:val="Normal"/>
    <w:next w:val="Normal"/>
    <w:link w:val="Heading5Char"/>
    <w:uiPriority w:val="9"/>
    <w:unhideWhenUsed/>
    <w:qFormat/>
    <w:rsid w:val="00AC08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qFormat/>
    <w:rsid w:val="003E7773"/>
    <w:pPr>
      <w:spacing w:before="40" w:after="40" w:line="240" w:lineRule="auto"/>
    </w:pPr>
    <w:rPr>
      <w:rFonts w:ascii="Arial Narrow" w:hAnsi="Arial Narrow"/>
      <w:sz w:val="20"/>
    </w:rPr>
  </w:style>
  <w:style w:type="paragraph" w:customStyle="1" w:styleId="TableHeading">
    <w:name w:val="TableHeading"/>
    <w:basedOn w:val="Normal"/>
    <w:link w:val="TableHeadingChar"/>
    <w:qFormat/>
    <w:rsid w:val="00B151CF"/>
    <w:pPr>
      <w:keepNext/>
      <w:spacing w:after="60" w:line="240" w:lineRule="auto"/>
    </w:pPr>
    <w:rPr>
      <w:rFonts w:ascii="Arial Narrow" w:hAnsi="Arial Narrow"/>
      <w:b/>
      <w:sz w:val="20"/>
    </w:rPr>
  </w:style>
  <w:style w:type="paragraph" w:styleId="CommentText">
    <w:name w:val="annotation text"/>
    <w:basedOn w:val="Normal"/>
    <w:link w:val="CommentTextChar"/>
    <w:uiPriority w:val="99"/>
    <w:unhideWhenUsed/>
    <w:rsid w:val="003E7773"/>
    <w:pPr>
      <w:spacing w:after="240" w:line="240" w:lineRule="auto"/>
    </w:pPr>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3E7773"/>
    <w:rPr>
      <w:rFonts w:ascii="Calibri" w:eastAsia="Times New Roman" w:hAnsi="Calibri" w:cs="Times New Roman"/>
      <w:color w:val="000000"/>
      <w:szCs w:val="24"/>
      <w:lang w:eastAsia="en-AU"/>
    </w:rPr>
  </w:style>
  <w:style w:type="character" w:styleId="CommentReference">
    <w:name w:val="annotation reference"/>
    <w:aliases w:val="Table Title"/>
    <w:basedOn w:val="DefaultParagraphFont"/>
    <w:uiPriority w:val="99"/>
    <w:unhideWhenUsed/>
    <w:rsid w:val="003E7773"/>
    <w:rPr>
      <w:sz w:val="16"/>
      <w:szCs w:val="16"/>
    </w:rPr>
  </w:style>
  <w:style w:type="character" w:customStyle="1" w:styleId="TableTextChar">
    <w:name w:val="Table Text Char"/>
    <w:basedOn w:val="DefaultParagraphFont"/>
    <w:link w:val="TableText"/>
    <w:rsid w:val="003E7773"/>
    <w:rPr>
      <w:rFonts w:ascii="Arial Narrow" w:hAnsi="Arial Narrow"/>
      <w:sz w:val="20"/>
    </w:rPr>
  </w:style>
  <w:style w:type="character" w:customStyle="1" w:styleId="TableHeadingChar">
    <w:name w:val="TableHeading Char"/>
    <w:link w:val="TableHeading"/>
    <w:rsid w:val="00B151CF"/>
    <w:rPr>
      <w:rFonts w:ascii="Arial Narrow" w:hAnsi="Arial Narrow"/>
      <w:b/>
      <w:sz w:val="20"/>
    </w:rPr>
  </w:style>
  <w:style w:type="paragraph" w:styleId="BalloonText">
    <w:name w:val="Balloon Text"/>
    <w:basedOn w:val="Normal"/>
    <w:link w:val="BalloonTextChar"/>
    <w:uiPriority w:val="99"/>
    <w:semiHidden/>
    <w:unhideWhenUsed/>
    <w:rsid w:val="003E7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7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773"/>
    <w:pPr>
      <w:spacing w:after="160"/>
    </w:pPr>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3E7773"/>
    <w:rPr>
      <w:rFonts w:ascii="Calibri" w:eastAsia="Times New Roman" w:hAnsi="Calibri" w:cs="Times New Roman"/>
      <w:b/>
      <w:bCs/>
      <w:color w:val="000000"/>
      <w:sz w:val="20"/>
      <w:szCs w:val="20"/>
      <w:lang w:eastAsia="en-AU"/>
    </w:rPr>
  </w:style>
  <w:style w:type="character" w:customStyle="1" w:styleId="Heading1Char">
    <w:name w:val="Heading 1 Char"/>
    <w:basedOn w:val="DefaultParagraphFont"/>
    <w:link w:val="Heading1"/>
    <w:uiPriority w:val="9"/>
    <w:rsid w:val="001531D6"/>
    <w:rPr>
      <w:rFonts w:ascii="Franklin Gothic Medium" w:eastAsiaTheme="majorEastAsia" w:hAnsi="Franklin Gothic Medium" w:cstheme="majorBidi"/>
      <w:sz w:val="44"/>
      <w:szCs w:val="32"/>
    </w:rPr>
  </w:style>
  <w:style w:type="character" w:customStyle="1" w:styleId="Heading2Char">
    <w:name w:val="Heading 2 Char"/>
    <w:basedOn w:val="DefaultParagraphFont"/>
    <w:link w:val="Heading2"/>
    <w:uiPriority w:val="9"/>
    <w:rsid w:val="001531D6"/>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5103C5"/>
    <w:rPr>
      <w:rFonts w:ascii="Franklin Gothic Medium" w:eastAsiaTheme="majorEastAsia" w:hAnsi="Franklin Gothic Medium" w:cstheme="majorBidi"/>
      <w:sz w:val="24"/>
      <w:szCs w:val="24"/>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qFormat/>
    <w:rsid w:val="009A06F4"/>
    <w:pPr>
      <w:keepNext/>
      <w:spacing w:before="360" w:after="120" w:line="240" w:lineRule="auto"/>
    </w:pPr>
    <w:rPr>
      <w:rFonts w:ascii="Arial Narrow" w:eastAsia="Times New Roman" w:hAnsi="Arial Narrow" w:cs="Times New Roman"/>
      <w:b/>
      <w:bCs/>
      <w:sz w:val="20"/>
      <w:szCs w:val="20"/>
    </w:rPr>
  </w:style>
  <w:style w:type="table" w:customStyle="1" w:styleId="TableGrid1">
    <w:name w:val="Table Grid1"/>
    <w:basedOn w:val="TableNormal"/>
    <w:next w:val="TableGrid"/>
    <w:locked/>
    <w:rsid w:val="00CA528A"/>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ahoma" w:hAnsi="Tahoma"/>
        <w:b w:val="0"/>
        <w:sz w:val="20"/>
      </w:rPr>
    </w:tblStyle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9A06F4"/>
    <w:rPr>
      <w:rFonts w:ascii="Arial Narrow" w:eastAsia="Times New Roman" w:hAnsi="Arial Narrow" w:cs="Times New Roman"/>
      <w:b/>
      <w:bCs/>
      <w:sz w:val="20"/>
      <w:szCs w:val="20"/>
    </w:rPr>
  </w:style>
  <w:style w:type="table" w:styleId="TableGrid">
    <w:name w:val="Table Grid"/>
    <w:aliases w:val="Summary box,Table Gridbeth,RTI AMCP Table,new style,ASD Table,HealthConsult"/>
    <w:basedOn w:val="TableNormal"/>
    <w:uiPriority w:val="59"/>
    <w:rsid w:val="00CA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
    <w:name w:val="TableFigNote"/>
    <w:basedOn w:val="Normal"/>
    <w:rsid w:val="00CA528A"/>
    <w:pPr>
      <w:spacing w:after="360" w:line="240" w:lineRule="auto"/>
      <w:contextualSpacing/>
    </w:pPr>
    <w:rPr>
      <w:sz w:val="18"/>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
    <w:basedOn w:val="Normal"/>
    <w:link w:val="ListParagraphChar"/>
    <w:uiPriority w:val="34"/>
    <w:qFormat/>
    <w:rsid w:val="00724F92"/>
    <w:pPr>
      <w:ind w:left="720"/>
      <w:contextualSpacing/>
    </w:pPr>
  </w:style>
  <w:style w:type="character" w:styleId="Strong">
    <w:name w:val="Strong"/>
    <w:basedOn w:val="DefaultParagraphFont"/>
    <w:uiPriority w:val="22"/>
    <w:qFormat/>
    <w:rsid w:val="00FD17BA"/>
    <w:rPr>
      <w:b/>
      <w:bCs/>
    </w:rPr>
  </w:style>
  <w:style w:type="paragraph" w:customStyle="1" w:styleId="TableName">
    <w:name w:val="TableName"/>
    <w:basedOn w:val="Normal"/>
    <w:rsid w:val="00FD17BA"/>
    <w:pPr>
      <w:keepNext/>
      <w:spacing w:after="240" w:line="240" w:lineRule="auto"/>
      <w:ind w:left="1418" w:hanging="1418"/>
    </w:pPr>
    <w:rPr>
      <w:rFonts w:ascii="Franklin Gothic Medium" w:hAnsi="Franklin Gothic Medium"/>
    </w:rPr>
  </w:style>
  <w:style w:type="paragraph" w:customStyle="1" w:styleId="TableFigNoteHangingLast">
    <w:name w:val="TableFigNoteHanging Last"/>
    <w:basedOn w:val="TableFigNote"/>
    <w:rsid w:val="00FD17BA"/>
    <w:pPr>
      <w:ind w:left="142" w:hanging="142"/>
    </w:pPr>
  </w:style>
  <w:style w:type="paragraph" w:customStyle="1" w:styleId="TableTextCA">
    <w:name w:val="Table Text CA"/>
    <w:basedOn w:val="TableText"/>
    <w:rsid w:val="00FD17BA"/>
    <w:pPr>
      <w:jc w:val="center"/>
    </w:pPr>
  </w:style>
  <w:style w:type="paragraph" w:customStyle="1" w:styleId="TableHeadingCA">
    <w:name w:val="Table Heading CA"/>
    <w:basedOn w:val="TableHeading0"/>
    <w:rsid w:val="00FD17BA"/>
    <w:pPr>
      <w:jc w:val="center"/>
    </w:pPr>
  </w:style>
  <w:style w:type="paragraph" w:customStyle="1" w:styleId="TableHeading0">
    <w:name w:val="Table Heading"/>
    <w:basedOn w:val="Normal"/>
    <w:rsid w:val="00FD17BA"/>
    <w:pPr>
      <w:spacing w:after="60" w:line="240" w:lineRule="auto"/>
    </w:pPr>
    <w:rPr>
      <w:rFonts w:ascii="Arial Narrow" w:hAnsi="Arial Narrow"/>
      <w:b/>
      <w:sz w:val="20"/>
    </w:rPr>
  </w:style>
  <w:style w:type="paragraph" w:customStyle="1" w:styleId="TableFigNoteLast">
    <w:name w:val="TableFigNote Last"/>
    <w:basedOn w:val="TableFigNote"/>
    <w:rsid w:val="00FD17BA"/>
  </w:style>
  <w:style w:type="character" w:customStyle="1" w:styleId="Heading4Char">
    <w:name w:val="Heading 4 Char"/>
    <w:basedOn w:val="DefaultParagraphFont"/>
    <w:link w:val="Heading4"/>
    <w:uiPriority w:val="9"/>
    <w:rsid w:val="00A776A4"/>
    <w:rPr>
      <w:rFonts w:ascii="Franklin Gothic Medium" w:eastAsiaTheme="majorEastAsia" w:hAnsi="Franklin Gothic Medium" w:cstheme="majorBidi"/>
      <w:i/>
      <w:sz w:val="24"/>
      <w:szCs w:val="24"/>
    </w:rPr>
  </w:style>
  <w:style w:type="paragraph" w:customStyle="1" w:styleId="2ChapterText">
    <w:name w:val="2ChapterText"/>
    <w:basedOn w:val="Normal"/>
    <w:rsid w:val="00004F7F"/>
    <w:rPr>
      <w:shd w:val="clear" w:color="auto" w:fill="BDD6EE" w:themeFill="accent1" w:themeFillTint="66"/>
    </w:rPr>
  </w:style>
  <w:style w:type="paragraph" w:customStyle="1" w:styleId="1ExplanatoryText">
    <w:name w:val="1ExplanatoryText"/>
    <w:basedOn w:val="Normal"/>
    <w:rsid w:val="00225833"/>
    <w:pPr>
      <w:shd w:val="clear" w:color="auto" w:fill="C5E0B3" w:themeFill="accent6" w:themeFillTint="66"/>
    </w:pPr>
  </w:style>
  <w:style w:type="character" w:styleId="Hyperlink">
    <w:name w:val="Hyperlink"/>
    <w:basedOn w:val="DefaultParagraphFont"/>
    <w:uiPriority w:val="99"/>
    <w:unhideWhenUsed/>
    <w:rsid w:val="00997BA8"/>
    <w:rPr>
      <w:color w:val="0070C0"/>
      <w:u w:val="single"/>
    </w:rPr>
  </w:style>
  <w:style w:type="paragraph" w:styleId="TOC1">
    <w:name w:val="toc 1"/>
    <w:basedOn w:val="Normal"/>
    <w:next w:val="Normal"/>
    <w:autoRedefine/>
    <w:uiPriority w:val="39"/>
    <w:unhideWhenUsed/>
    <w:rsid w:val="00C91651"/>
    <w:pPr>
      <w:tabs>
        <w:tab w:val="left" w:pos="1100"/>
        <w:tab w:val="left" w:pos="1531"/>
        <w:tab w:val="right" w:leader="dot" w:pos="9010"/>
      </w:tabs>
      <w:spacing w:after="100" w:line="240" w:lineRule="auto"/>
    </w:pPr>
    <w:rPr>
      <w:rFonts w:asciiTheme="minorHAnsi" w:hAnsiTheme="minorHAnsi"/>
      <w:b/>
    </w:rPr>
  </w:style>
  <w:style w:type="paragraph" w:styleId="TOC2">
    <w:name w:val="toc 2"/>
    <w:basedOn w:val="Normal"/>
    <w:next w:val="Normal"/>
    <w:autoRedefine/>
    <w:uiPriority w:val="39"/>
    <w:unhideWhenUsed/>
    <w:rsid w:val="00944087"/>
    <w:pPr>
      <w:tabs>
        <w:tab w:val="left" w:pos="1089"/>
        <w:tab w:val="right" w:leader="dot" w:pos="9010"/>
      </w:tabs>
      <w:spacing w:after="100" w:line="240" w:lineRule="auto"/>
    </w:pPr>
    <w:rPr>
      <w:rFonts w:asciiTheme="minorHAnsi" w:hAnsiTheme="minorHAnsi"/>
    </w:rPr>
  </w:style>
  <w:style w:type="paragraph" w:styleId="TOC3">
    <w:name w:val="toc 3"/>
    <w:basedOn w:val="Normal"/>
    <w:next w:val="Normal"/>
    <w:autoRedefine/>
    <w:uiPriority w:val="39"/>
    <w:unhideWhenUsed/>
    <w:rsid w:val="0088445B"/>
    <w:pPr>
      <w:spacing w:after="100" w:line="240" w:lineRule="auto"/>
      <w:ind w:left="720"/>
    </w:pPr>
    <w:rPr>
      <w:rFonts w:asciiTheme="minorHAnsi" w:hAnsiTheme="minorHAnsi"/>
    </w:rPr>
  </w:style>
  <w:style w:type="character" w:styleId="FollowedHyperlink">
    <w:name w:val="FollowedHyperlink"/>
    <w:basedOn w:val="DefaultParagraphFont"/>
    <w:uiPriority w:val="99"/>
    <w:semiHidden/>
    <w:unhideWhenUsed/>
    <w:rsid w:val="0088445B"/>
    <w:rPr>
      <w:color w:val="954F72" w:themeColor="followedHyperlink"/>
      <w:u w:val="single"/>
    </w:rPr>
  </w:style>
  <w:style w:type="paragraph" w:styleId="TOC9">
    <w:name w:val="toc 9"/>
    <w:basedOn w:val="Normal"/>
    <w:next w:val="Normal"/>
    <w:autoRedefine/>
    <w:uiPriority w:val="39"/>
    <w:unhideWhenUsed/>
    <w:rsid w:val="00AF3D39"/>
    <w:pPr>
      <w:spacing w:after="100"/>
      <w:ind w:left="1760"/>
    </w:pPr>
  </w:style>
  <w:style w:type="paragraph" w:styleId="Date">
    <w:name w:val="Date"/>
    <w:basedOn w:val="Normal"/>
    <w:next w:val="Normal"/>
    <w:link w:val="DateChar"/>
    <w:rsid w:val="000870B6"/>
    <w:pPr>
      <w:spacing w:before="1134" w:after="800"/>
      <w:ind w:left="4536"/>
    </w:pPr>
    <w:rPr>
      <w:rFonts w:ascii="Arial" w:eastAsia="Times New Roman" w:hAnsi="Arial" w:cs="Tahoma"/>
      <w:b/>
      <w:sz w:val="36"/>
      <w:lang w:eastAsia="en-AU"/>
    </w:rPr>
  </w:style>
  <w:style w:type="character" w:customStyle="1" w:styleId="DateChar">
    <w:name w:val="Date Char"/>
    <w:basedOn w:val="DefaultParagraphFont"/>
    <w:link w:val="Date"/>
    <w:rsid w:val="000870B6"/>
    <w:rPr>
      <w:rFonts w:ascii="Arial" w:eastAsia="Times New Roman" w:hAnsi="Arial" w:cs="Tahoma"/>
      <w:b/>
      <w:sz w:val="36"/>
      <w:lang w:eastAsia="en-AU"/>
    </w:rPr>
  </w:style>
  <w:style w:type="paragraph" w:customStyle="1" w:styleId="PublicationTitle">
    <w:name w:val="PublicationTitle"/>
    <w:basedOn w:val="Normal"/>
    <w:rsid w:val="000870B6"/>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401DBF"/>
    <w:pPr>
      <w:spacing w:before="1701"/>
      <w:ind w:left="4536"/>
    </w:pPr>
    <w:rPr>
      <w:rFonts w:ascii="Arial" w:eastAsia="Times New Roman" w:hAnsi="Arial" w:cs="Tahoma"/>
      <w:b/>
      <w:sz w:val="32"/>
      <w:lang w:eastAsia="en-AU"/>
    </w:rPr>
  </w:style>
  <w:style w:type="paragraph" w:customStyle="1" w:styleId="Nnumberedlist">
    <w:name w:val="Nnumbered list"/>
    <w:basedOn w:val="Normal"/>
    <w:rsid w:val="00AF3D39"/>
    <w:pPr>
      <w:numPr>
        <w:numId w:val="2"/>
      </w:numPr>
      <w:jc w:val="both"/>
    </w:pPr>
    <w:rPr>
      <w:rFonts w:ascii="Calibri" w:eastAsia="Times New Roman" w:hAnsi="Calibri" w:cs="Tahoma"/>
      <w:lang w:eastAsia="en-AU"/>
    </w:rPr>
  </w:style>
  <w:style w:type="paragraph" w:styleId="TOCHeading">
    <w:name w:val="TOC Heading"/>
    <w:basedOn w:val="Heading1"/>
    <w:next w:val="Normal"/>
    <w:uiPriority w:val="39"/>
    <w:unhideWhenUsed/>
    <w:rsid w:val="00DE7099"/>
    <w:pPr>
      <w:numPr>
        <w:numId w:val="0"/>
      </w:numPr>
      <w:pBdr>
        <w:bottom w:val="none" w:sz="0" w:space="0" w:color="auto"/>
      </w:pBdr>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unhideWhenUsed/>
    <w:rsid w:val="00DE7099"/>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E7099"/>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E7099"/>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E7099"/>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E7099"/>
    <w:pPr>
      <w:spacing w:after="100"/>
      <w:ind w:left="1540"/>
    </w:pPr>
    <w:rPr>
      <w:rFonts w:asciiTheme="minorHAnsi" w:eastAsiaTheme="minorEastAsia" w:hAnsiTheme="minorHAnsi"/>
      <w:lang w:eastAsia="en-AU"/>
    </w:rPr>
  </w:style>
  <w:style w:type="paragraph" w:customStyle="1" w:styleId="In-tableHeading">
    <w:name w:val="In-table Heading"/>
    <w:qFormat/>
    <w:rsid w:val="000472D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rsid w:val="009A06F4"/>
    <w:pPr>
      <w:tabs>
        <w:tab w:val="left" w:pos="284"/>
      </w:tabs>
      <w:spacing w:after="360" w:line="240" w:lineRule="auto"/>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9A06F4"/>
    <w:rPr>
      <w:rFonts w:ascii="Arial Narrow" w:eastAsia="Times New Roman" w:hAnsi="Arial Narrow" w:cs="Arial"/>
      <w:snapToGrid w:val="0"/>
      <w:sz w:val="18"/>
      <w:lang w:eastAsia="en-AU"/>
    </w:rPr>
  </w:style>
  <w:style w:type="character" w:styleId="Emphasis">
    <w:name w:val="Emphasis"/>
    <w:uiPriority w:val="20"/>
    <w:qFormat/>
    <w:rsid w:val="00566298"/>
    <w:rPr>
      <w:i/>
      <w:iCs/>
    </w:rPr>
  </w:style>
  <w:style w:type="paragraph" w:styleId="Header">
    <w:name w:val="header"/>
    <w:basedOn w:val="Normal"/>
    <w:link w:val="HeaderChar"/>
    <w:uiPriority w:val="99"/>
    <w:unhideWhenUsed/>
    <w:rsid w:val="00B6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F2"/>
    <w:rPr>
      <w:rFonts w:ascii="Franklin Gothic Book" w:hAnsi="Franklin Gothic Book"/>
    </w:rPr>
  </w:style>
  <w:style w:type="paragraph" w:styleId="Footer">
    <w:name w:val="footer"/>
    <w:basedOn w:val="Normal"/>
    <w:link w:val="FooterChar"/>
    <w:uiPriority w:val="99"/>
    <w:unhideWhenUsed/>
    <w:rsid w:val="00B6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F2"/>
    <w:rPr>
      <w:rFonts w:ascii="Franklin Gothic Book" w:hAnsi="Franklin Gothic Book"/>
    </w:rPr>
  </w:style>
  <w:style w:type="paragraph" w:customStyle="1" w:styleId="Tablenotes">
    <w:name w:val="Tablenotes"/>
    <w:basedOn w:val="Normal"/>
    <w:link w:val="TablenotesChar"/>
    <w:qFormat/>
    <w:rsid w:val="00242F4E"/>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242F4E"/>
    <w:rPr>
      <w:rFonts w:ascii="Arial Narrow" w:eastAsia="Times New Roman" w:hAnsi="Arial Narrow" w:cs="Arial"/>
      <w:snapToGrid w:val="0"/>
      <w:sz w:val="18"/>
      <w:szCs w:val="20"/>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rsid w:val="00A454B3"/>
    <w:rPr>
      <w:rFonts w:ascii="Franklin Gothic Book" w:hAnsi="Franklin Gothic Book"/>
    </w:rPr>
  </w:style>
  <w:style w:type="table" w:customStyle="1" w:styleId="TableGridLight1">
    <w:name w:val="Table Grid Light1"/>
    <w:basedOn w:val="TableNormal"/>
    <w:uiPriority w:val="40"/>
    <w:rsid w:val="00BA59F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Bullet">
    <w:name w:val="Bullet"/>
    <w:basedOn w:val="Normal"/>
    <w:rsid w:val="00BA59FB"/>
    <w:pPr>
      <w:numPr>
        <w:numId w:val="3"/>
      </w:numPr>
      <w:spacing w:after="120" w:line="240" w:lineRule="auto"/>
    </w:pPr>
    <w:rPr>
      <w:rFonts w:asciiTheme="minorHAnsi" w:hAnsiTheme="minorHAnsi"/>
    </w:rPr>
  </w:style>
  <w:style w:type="paragraph" w:customStyle="1" w:styleId="TableFigureHeading">
    <w:name w:val="Table/Figure Heading"/>
    <w:next w:val="In-tableHeading"/>
    <w:link w:val="TableFigureHeadingChar"/>
    <w:rsid w:val="00F257B5"/>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257B5"/>
    <w:rPr>
      <w:rFonts w:ascii="Arial Narrow" w:eastAsiaTheme="majorEastAsia" w:hAnsi="Arial Narrow" w:cstheme="majorBidi"/>
      <w:b/>
      <w:bCs/>
      <w:sz w:val="20"/>
      <w:szCs w:val="24"/>
      <w:lang w:eastAsia="en-AU"/>
    </w:rPr>
  </w:style>
  <w:style w:type="paragraph" w:customStyle="1" w:styleId="Tabletext0">
    <w:name w:val="Table text"/>
    <w:basedOn w:val="Normal"/>
    <w:link w:val="TabletextChar0"/>
    <w:qFormat/>
    <w:rsid w:val="001B2CD4"/>
    <w:pPr>
      <w:spacing w:before="40" w:after="40" w:line="240" w:lineRule="auto"/>
      <w:jc w:val="both"/>
    </w:pPr>
    <w:rPr>
      <w:rFonts w:ascii="Arial Narrow" w:eastAsia="Times New Roman" w:hAnsi="Arial Narrow" w:cs="Tahoma"/>
      <w:sz w:val="20"/>
      <w:szCs w:val="20"/>
      <w:lang w:eastAsia="en-AU"/>
    </w:rPr>
  </w:style>
  <w:style w:type="character" w:customStyle="1" w:styleId="TabletextChar0">
    <w:name w:val="Table text Char"/>
    <w:link w:val="Tabletext0"/>
    <w:rsid w:val="001B2CD4"/>
    <w:rPr>
      <w:rFonts w:ascii="Arial Narrow" w:eastAsia="Times New Roman" w:hAnsi="Arial Narrow" w:cs="Tahoma"/>
      <w:sz w:val="20"/>
      <w:szCs w:val="20"/>
      <w:lang w:eastAsia="en-AU"/>
    </w:rPr>
  </w:style>
  <w:style w:type="paragraph" w:customStyle="1" w:styleId="Tablenotes0">
    <w:name w:val="Table notes"/>
    <w:basedOn w:val="Normal"/>
    <w:link w:val="TablenotesChar0"/>
    <w:rsid w:val="001B2CD4"/>
    <w:pPr>
      <w:spacing w:after="240"/>
      <w:contextualSpacing/>
      <w:jc w:val="both"/>
    </w:pPr>
    <w:rPr>
      <w:rFonts w:ascii="Arial Narrow" w:hAnsi="Arial Narrow" w:cs="Arial"/>
      <w:sz w:val="18"/>
    </w:rPr>
  </w:style>
  <w:style w:type="character" w:customStyle="1" w:styleId="TablenotesChar0">
    <w:name w:val="Table notes Char"/>
    <w:basedOn w:val="DefaultParagraphFont"/>
    <w:link w:val="Tablenotes0"/>
    <w:rsid w:val="001B2CD4"/>
    <w:rPr>
      <w:rFonts w:ascii="Arial Narrow" w:hAnsi="Arial Narrow" w:cs="Arial"/>
      <w:sz w:val="18"/>
    </w:rPr>
  </w:style>
  <w:style w:type="numbering" w:customStyle="1" w:styleId="ESSectionheading-numbered">
    <w:name w:val="ES. Section heading - numbered"/>
    <w:uiPriority w:val="99"/>
    <w:rsid w:val="002A4084"/>
    <w:pPr>
      <w:numPr>
        <w:numId w:val="4"/>
      </w:numPr>
    </w:pPr>
  </w:style>
  <w:style w:type="paragraph" w:customStyle="1" w:styleId="2-SectionHeading">
    <w:name w:val="2-Section Heading"/>
    <w:qFormat/>
    <w:rsid w:val="005131D3"/>
    <w:pPr>
      <w:keepNext/>
      <w:numPr>
        <w:numId w:val="5"/>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rsid w:val="005131D3"/>
    <w:pPr>
      <w:numPr>
        <w:ilvl w:val="1"/>
        <w:numId w:val="5"/>
      </w:numPr>
      <w:spacing w:after="120" w:line="240" w:lineRule="auto"/>
      <w:contextualSpacing w:val="0"/>
      <w:jc w:val="both"/>
    </w:pPr>
    <w:rPr>
      <w:rFonts w:asciiTheme="minorHAnsi" w:eastAsia="Times New Roman" w:hAnsiTheme="minorHAnsi" w:cs="Arial"/>
      <w:snapToGrid w:val="0"/>
      <w:sz w:val="24"/>
      <w:szCs w:val="24"/>
      <w:lang w:eastAsia="en-AU"/>
    </w:rPr>
  </w:style>
  <w:style w:type="paragraph" w:customStyle="1" w:styleId="BoxName">
    <w:name w:val="Box Name"/>
    <w:basedOn w:val="Normal"/>
    <w:rsid w:val="002B667C"/>
    <w:pPr>
      <w:pBdr>
        <w:top w:val="single" w:sz="4" w:space="4" w:color="auto"/>
        <w:left w:val="single" w:sz="4" w:space="4" w:color="auto"/>
        <w:bottom w:val="single" w:sz="4" w:space="4" w:color="auto"/>
        <w:right w:val="single" w:sz="4" w:space="4" w:color="auto"/>
      </w:pBdr>
      <w:spacing w:after="120" w:line="240" w:lineRule="auto"/>
    </w:pPr>
    <w:rPr>
      <w:rFonts w:ascii="Franklin Gothic Medium" w:hAnsi="Franklin Gothic Medium"/>
      <w:sz w:val="21"/>
    </w:rPr>
  </w:style>
  <w:style w:type="character" w:customStyle="1" w:styleId="InstructionBulletpointChar">
    <w:name w:val="Instruction Bullet point Char"/>
    <w:basedOn w:val="DefaultParagraphFont"/>
    <w:link w:val="InstructionBulletpoint"/>
    <w:uiPriority w:val="3"/>
    <w:locked/>
    <w:rsid w:val="00107DCD"/>
    <w:rPr>
      <w:rFonts w:ascii="Calibri" w:hAnsi="Calibri" w:cs="Calibri"/>
      <w:color w:val="0070C0"/>
      <w:sz w:val="24"/>
    </w:rPr>
  </w:style>
  <w:style w:type="paragraph" w:customStyle="1" w:styleId="InstructionBulletpoint">
    <w:name w:val="Instruction Bullet point"/>
    <w:basedOn w:val="Normal"/>
    <w:link w:val="InstructionBulletpointChar"/>
    <w:uiPriority w:val="3"/>
    <w:rsid w:val="00107DCD"/>
    <w:pPr>
      <w:numPr>
        <w:numId w:val="6"/>
      </w:numPr>
      <w:spacing w:after="120" w:line="240" w:lineRule="auto"/>
      <w:ind w:left="714" w:hanging="357"/>
    </w:pPr>
    <w:rPr>
      <w:rFonts w:ascii="Calibri" w:hAnsi="Calibri" w:cs="Calibri"/>
      <w:color w:val="0070C0"/>
      <w:sz w:val="24"/>
    </w:rPr>
  </w:style>
  <w:style w:type="character" w:customStyle="1" w:styleId="TableFooterChar">
    <w:name w:val="Table Footer Char"/>
    <w:link w:val="TableFooter"/>
    <w:locked/>
    <w:rsid w:val="0066503C"/>
    <w:rPr>
      <w:rFonts w:ascii="Arial Narrow" w:eastAsia="Times New Roman" w:hAnsi="Arial Narrow" w:cs="Arial"/>
      <w:sz w:val="18"/>
      <w:szCs w:val="20"/>
    </w:rPr>
  </w:style>
  <w:style w:type="paragraph" w:customStyle="1" w:styleId="TableFooter">
    <w:name w:val="Table Footer"/>
    <w:basedOn w:val="Normal"/>
    <w:link w:val="TableFooterChar"/>
    <w:qFormat/>
    <w:rsid w:val="0066503C"/>
    <w:pPr>
      <w:widowControl w:val="0"/>
      <w:snapToGrid w:val="0"/>
      <w:spacing w:before="0" w:after="120" w:line="240" w:lineRule="auto"/>
      <w:contextualSpacing/>
      <w:jc w:val="both"/>
    </w:pPr>
    <w:rPr>
      <w:rFonts w:ascii="Arial Narrow" w:eastAsia="Times New Roman" w:hAnsi="Arial Narrow" w:cs="Arial"/>
      <w:sz w:val="18"/>
      <w:szCs w:val="20"/>
    </w:rPr>
  </w:style>
  <w:style w:type="table" w:customStyle="1" w:styleId="PBACTableStyle">
    <w:name w:val="PBAC Table Style"/>
    <w:basedOn w:val="TableGrid10"/>
    <w:uiPriority w:val="99"/>
    <w:rsid w:val="007B0880"/>
    <w:pPr>
      <w:widowControl w:val="0"/>
      <w:spacing w:before="120" w:after="0" w:line="240" w:lineRule="auto"/>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Tahoma" w:hAnsi="Tahoma"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Tahoma" w:hAnsi="Tahoma"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Tahoma" w:hAnsi="Tahoma"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0">
    <w:name w:val="Table Grid 1"/>
    <w:basedOn w:val="TableNormal"/>
    <w:uiPriority w:val="99"/>
    <w:semiHidden/>
    <w:unhideWhenUsed/>
    <w:rsid w:val="007B08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SACESParagraphChar">
    <w:name w:val="MSAC ES Paragraph Char"/>
    <w:basedOn w:val="DefaultParagraphFont"/>
    <w:link w:val="MSACESParagraph"/>
    <w:uiPriority w:val="1"/>
    <w:locked/>
    <w:rsid w:val="000B720C"/>
    <w:rPr>
      <w:rFonts w:ascii="Times New Roman" w:hAnsi="Times New Roman" w:cs="Times New Roman"/>
      <w:sz w:val="24"/>
    </w:rPr>
  </w:style>
  <w:style w:type="paragraph" w:customStyle="1" w:styleId="MSACESParagraph">
    <w:name w:val="MSAC ES Paragraph"/>
    <w:link w:val="MSACESParagraphChar"/>
    <w:uiPriority w:val="1"/>
    <w:qFormat/>
    <w:rsid w:val="000B720C"/>
    <w:pPr>
      <w:spacing w:after="240" w:line="240" w:lineRule="auto"/>
    </w:pPr>
    <w:rPr>
      <w:rFonts w:ascii="Times New Roman" w:hAnsi="Times New Roman" w:cs="Times New Roman"/>
      <w:sz w:val="24"/>
    </w:rPr>
  </w:style>
  <w:style w:type="paragraph" w:styleId="FootnoteText">
    <w:name w:val="footnote text"/>
    <w:basedOn w:val="Normal"/>
    <w:link w:val="FootnoteTextChar"/>
    <w:uiPriority w:val="99"/>
    <w:unhideWhenUsed/>
    <w:rsid w:val="00804632"/>
    <w:pPr>
      <w:spacing w:after="0" w:line="240" w:lineRule="auto"/>
    </w:pPr>
    <w:rPr>
      <w:rFonts w:asciiTheme="minorHAnsi" w:hAnsiTheme="minorHAnsi"/>
      <w:sz w:val="18"/>
      <w:szCs w:val="20"/>
    </w:rPr>
  </w:style>
  <w:style w:type="character" w:customStyle="1" w:styleId="FootnoteTextChar">
    <w:name w:val="Footnote Text Char"/>
    <w:basedOn w:val="DefaultParagraphFont"/>
    <w:link w:val="FootnoteText"/>
    <w:uiPriority w:val="99"/>
    <w:rsid w:val="00804632"/>
    <w:rPr>
      <w:sz w:val="18"/>
      <w:szCs w:val="20"/>
    </w:rPr>
  </w:style>
  <w:style w:type="character" w:styleId="FootnoteReference">
    <w:name w:val="footnote reference"/>
    <w:basedOn w:val="DefaultParagraphFont"/>
    <w:unhideWhenUsed/>
    <w:rsid w:val="00804632"/>
    <w:rPr>
      <w:vertAlign w:val="superscript"/>
    </w:rPr>
  </w:style>
  <w:style w:type="paragraph" w:customStyle="1" w:styleId="TableFigNoteHanging">
    <w:name w:val="TableFigNoteHanging"/>
    <w:basedOn w:val="TableFigNoteHangingLast"/>
    <w:rsid w:val="00804632"/>
    <w:pPr>
      <w:spacing w:after="0"/>
      <w:contextualSpacing w:val="0"/>
    </w:pPr>
    <w:rPr>
      <w:rFonts w:asciiTheme="minorHAnsi" w:hAnsiTheme="minorHAnsi"/>
    </w:rPr>
  </w:style>
  <w:style w:type="table" w:customStyle="1" w:styleId="TableGrid2">
    <w:name w:val="Table Grid2"/>
    <w:basedOn w:val="TableNormal"/>
    <w:next w:val="TableGrid"/>
    <w:uiPriority w:val="59"/>
    <w:rsid w:val="00804632"/>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boxheading">
    <w:name w:val="Summary box heading"/>
    <w:basedOn w:val="Normal"/>
    <w:rsid w:val="00666A58"/>
    <w:pPr>
      <w:spacing w:after="100" w:afterAutospacing="1"/>
      <w:jc w:val="both"/>
    </w:pPr>
    <w:rPr>
      <w:rFonts w:ascii="Arial Narrow" w:eastAsia="Times New Roman" w:hAnsi="Arial Narrow" w:cs="Tahoma"/>
      <w:b/>
      <w:lang w:eastAsia="en-AU"/>
    </w:rPr>
  </w:style>
  <w:style w:type="paragraph" w:customStyle="1" w:styleId="TableText1">
    <w:name w:val="TableText"/>
    <w:basedOn w:val="Normal"/>
    <w:link w:val="TableTextChar1"/>
    <w:rsid w:val="001C2A48"/>
    <w:pPr>
      <w:keepNext/>
      <w:spacing w:before="40" w:after="40"/>
      <w:jc w:val="both"/>
    </w:pPr>
    <w:rPr>
      <w:rFonts w:ascii="Arial Narrow" w:eastAsia="Times New Roman" w:hAnsi="Arial Narrow" w:cs="Tahoma"/>
      <w:sz w:val="18"/>
      <w:lang w:eastAsia="en-AU"/>
    </w:rPr>
  </w:style>
  <w:style w:type="character" w:customStyle="1" w:styleId="TableTextChar1">
    <w:name w:val="TableText Char"/>
    <w:link w:val="TableText1"/>
    <w:rsid w:val="001C2A48"/>
    <w:rPr>
      <w:rFonts w:ascii="Arial Narrow" w:eastAsia="Times New Roman" w:hAnsi="Arial Narrow" w:cs="Tahoma"/>
      <w:sz w:val="18"/>
      <w:lang w:eastAsia="en-AU"/>
    </w:rPr>
  </w:style>
  <w:style w:type="paragraph" w:customStyle="1" w:styleId="References">
    <w:name w:val="References"/>
    <w:basedOn w:val="Normal"/>
    <w:rsid w:val="001C2A48"/>
    <w:pPr>
      <w:keepLines/>
      <w:spacing w:after="240" w:line="312" w:lineRule="auto"/>
      <w:ind w:left="1440" w:hanging="720"/>
    </w:pPr>
    <w:rPr>
      <w:rFonts w:ascii="Calibri" w:eastAsia="Times New Roman" w:hAnsi="Calibri" w:cs="Tahoma"/>
      <w:lang w:eastAsia="en-AU"/>
    </w:rPr>
  </w:style>
  <w:style w:type="paragraph" w:styleId="Title">
    <w:name w:val="Title"/>
    <w:basedOn w:val="Normal"/>
    <w:next w:val="Normal"/>
    <w:link w:val="TitleChar"/>
    <w:qFormat/>
    <w:rsid w:val="00772829"/>
    <w:pPr>
      <w:spacing w:before="480" w:after="240" w:line="240" w:lineRule="auto"/>
      <w:jc w:val="center"/>
    </w:pPr>
    <w:rPr>
      <w:rFonts w:ascii="Arial" w:eastAsia="Times New Roman" w:hAnsi="Arial" w:cs="Arial"/>
      <w:b/>
      <w:bCs/>
      <w:color w:val="000080"/>
      <w:sz w:val="36"/>
      <w:szCs w:val="36"/>
      <w:lang w:eastAsia="en-AU"/>
    </w:rPr>
  </w:style>
  <w:style w:type="character" w:customStyle="1" w:styleId="TitleChar">
    <w:name w:val="Title Char"/>
    <w:basedOn w:val="DefaultParagraphFont"/>
    <w:link w:val="Title"/>
    <w:rsid w:val="00772829"/>
    <w:rPr>
      <w:rFonts w:ascii="Arial" w:eastAsia="Times New Roman" w:hAnsi="Arial" w:cs="Arial"/>
      <w:b/>
      <w:bCs/>
      <w:color w:val="000080"/>
      <w:sz w:val="36"/>
      <w:szCs w:val="36"/>
      <w:lang w:eastAsia="en-AU"/>
    </w:rPr>
  </w:style>
  <w:style w:type="paragraph" w:styleId="Subtitle">
    <w:name w:val="Subtitle"/>
    <w:basedOn w:val="Normal"/>
    <w:next w:val="Normal"/>
    <w:link w:val="SubtitleChar"/>
    <w:qFormat/>
    <w:rsid w:val="00772829"/>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772829"/>
    <w:rPr>
      <w:rFonts w:ascii="Arial" w:eastAsia="Times New Roman" w:hAnsi="Arial" w:cs="Arial"/>
      <w:b/>
      <w:bCs/>
      <w:i/>
      <w:color w:val="000080"/>
      <w:sz w:val="28"/>
      <w:szCs w:val="28"/>
      <w:lang w:eastAsia="en-AU"/>
    </w:rPr>
  </w:style>
  <w:style w:type="paragraph" w:customStyle="1" w:styleId="ESHeading1">
    <w:name w:val="ES Heading1"/>
    <w:basedOn w:val="Heading2"/>
    <w:next w:val="Normal"/>
    <w:qFormat/>
    <w:rsid w:val="002C70CE"/>
    <w:pPr>
      <w:numPr>
        <w:ilvl w:val="0"/>
        <w:numId w:val="8"/>
      </w:numPr>
      <w:spacing w:before="240"/>
      <w:ind w:left="2154" w:hanging="357"/>
    </w:pPr>
  </w:style>
  <w:style w:type="paragraph" w:customStyle="1" w:styleId="NormalBeforeBullet">
    <w:name w:val="Normal Before Bullet"/>
    <w:basedOn w:val="Normal"/>
    <w:qFormat/>
    <w:rsid w:val="00610ECF"/>
  </w:style>
  <w:style w:type="paragraph" w:customStyle="1" w:styleId="Dash">
    <w:name w:val="Dash"/>
    <w:basedOn w:val="Bullet"/>
    <w:qFormat/>
    <w:rsid w:val="00091C59"/>
    <w:pPr>
      <w:numPr>
        <w:numId w:val="9"/>
      </w:numPr>
      <w:spacing w:after="40"/>
      <w:ind w:left="714" w:hanging="357"/>
    </w:pPr>
  </w:style>
  <w:style w:type="paragraph" w:customStyle="1" w:styleId="Instructionaltext">
    <w:name w:val="Instructional text"/>
    <w:basedOn w:val="Normal"/>
    <w:link w:val="InstructionaltextChar"/>
    <w:qFormat/>
    <w:rsid w:val="00E436A2"/>
    <w:rPr>
      <w:color w:val="258221"/>
    </w:rPr>
  </w:style>
  <w:style w:type="character" w:customStyle="1" w:styleId="UnresolvedMention1">
    <w:name w:val="Unresolved Mention1"/>
    <w:basedOn w:val="DefaultParagraphFont"/>
    <w:uiPriority w:val="99"/>
    <w:semiHidden/>
    <w:unhideWhenUsed/>
    <w:rsid w:val="00997BA8"/>
    <w:rPr>
      <w:color w:val="605E5C"/>
      <w:shd w:val="clear" w:color="auto" w:fill="E1DFDD"/>
    </w:rPr>
  </w:style>
  <w:style w:type="character" w:customStyle="1" w:styleId="InstructionaltextChar">
    <w:name w:val="Instructional text Char"/>
    <w:basedOn w:val="DefaultParagraphFont"/>
    <w:link w:val="Instructionaltext"/>
    <w:rsid w:val="00DF39E9"/>
    <w:rPr>
      <w:rFonts w:ascii="Franklin Gothic Book" w:hAnsi="Franklin Gothic Book"/>
      <w:color w:val="258221"/>
    </w:rPr>
  </w:style>
  <w:style w:type="paragraph" w:customStyle="1" w:styleId="Instructionaltext-bullet">
    <w:name w:val="Instructional text - bullet"/>
    <w:basedOn w:val="Instructionaltext"/>
    <w:qFormat/>
    <w:rsid w:val="002463A6"/>
    <w:pPr>
      <w:numPr>
        <w:numId w:val="13"/>
      </w:numPr>
      <w:spacing w:before="0" w:after="0"/>
      <w:ind w:left="714" w:hanging="357"/>
    </w:pPr>
  </w:style>
  <w:style w:type="paragraph" w:customStyle="1" w:styleId="Instructionaltext-afterfiguretable">
    <w:name w:val="Instructional text - after figure/table"/>
    <w:basedOn w:val="Instructionaltext"/>
    <w:rsid w:val="00B151CF"/>
    <w:pPr>
      <w:spacing w:before="360"/>
    </w:pPr>
  </w:style>
  <w:style w:type="paragraph" w:customStyle="1" w:styleId="Guidelinescross-ref">
    <w:name w:val="Guidelines cross-ref"/>
    <w:basedOn w:val="Normal"/>
    <w:rsid w:val="005B7D6C"/>
    <w:pPr>
      <w:spacing w:before="240" w:after="240"/>
    </w:pPr>
    <w:rPr>
      <w:b/>
      <w:color w:val="0070C0"/>
      <w:sz w:val="24"/>
    </w:rPr>
  </w:style>
  <w:style w:type="paragraph" w:styleId="Revision">
    <w:name w:val="Revision"/>
    <w:hidden/>
    <w:uiPriority w:val="99"/>
    <w:semiHidden/>
    <w:rsid w:val="00610ABA"/>
    <w:pPr>
      <w:spacing w:after="0" w:line="240" w:lineRule="auto"/>
    </w:pPr>
    <w:rPr>
      <w:rFonts w:ascii="Franklin Gothic Book" w:hAnsi="Franklin Gothic Book"/>
    </w:rPr>
  </w:style>
  <w:style w:type="character" w:customStyle="1" w:styleId="UnresolvedMention2">
    <w:name w:val="Unresolved Mention2"/>
    <w:basedOn w:val="DefaultParagraphFont"/>
    <w:uiPriority w:val="99"/>
    <w:semiHidden/>
    <w:unhideWhenUsed/>
    <w:rsid w:val="00223664"/>
    <w:rPr>
      <w:color w:val="605E5C"/>
      <w:shd w:val="clear" w:color="auto" w:fill="E1DFDD"/>
    </w:rPr>
  </w:style>
  <w:style w:type="character" w:customStyle="1" w:styleId="UnresolvedMention3">
    <w:name w:val="Unresolved Mention3"/>
    <w:basedOn w:val="DefaultParagraphFont"/>
    <w:uiPriority w:val="99"/>
    <w:semiHidden/>
    <w:unhideWhenUsed/>
    <w:rsid w:val="00D13865"/>
    <w:rPr>
      <w:color w:val="605E5C"/>
      <w:shd w:val="clear" w:color="auto" w:fill="E1DFDD"/>
    </w:rPr>
  </w:style>
  <w:style w:type="character" w:customStyle="1" w:styleId="cf01">
    <w:name w:val="cf01"/>
    <w:basedOn w:val="DefaultParagraphFont"/>
    <w:rsid w:val="00714B8D"/>
    <w:rPr>
      <w:rFonts w:ascii="Segoe UI" w:hAnsi="Segoe UI" w:cs="Segoe UI" w:hint="default"/>
      <w:b/>
      <w:bCs/>
      <w:sz w:val="18"/>
      <w:szCs w:val="18"/>
    </w:rPr>
  </w:style>
  <w:style w:type="character" w:customStyle="1" w:styleId="cf11">
    <w:name w:val="cf11"/>
    <w:basedOn w:val="DefaultParagraphFont"/>
    <w:rsid w:val="00714B8D"/>
    <w:rPr>
      <w:rFonts w:ascii="Segoe UI" w:hAnsi="Segoe UI" w:cs="Segoe UI" w:hint="default"/>
      <w:i/>
      <w:iCs/>
      <w:sz w:val="18"/>
      <w:szCs w:val="18"/>
    </w:rPr>
  </w:style>
  <w:style w:type="paragraph" w:styleId="Quote">
    <w:name w:val="Quote"/>
    <w:basedOn w:val="Normal"/>
    <w:next w:val="Normal"/>
    <w:link w:val="QuoteChar"/>
    <w:uiPriority w:val="29"/>
    <w:qFormat/>
    <w:rsid w:val="006A518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A5183"/>
    <w:rPr>
      <w:rFonts w:ascii="Franklin Gothic Book" w:hAnsi="Franklin Gothic Book"/>
      <w:i/>
      <w:iCs/>
      <w:color w:val="404040" w:themeColor="text1" w:themeTint="BF"/>
    </w:rPr>
  </w:style>
  <w:style w:type="character" w:customStyle="1" w:styleId="Heading5Char">
    <w:name w:val="Heading 5 Char"/>
    <w:basedOn w:val="DefaultParagraphFont"/>
    <w:link w:val="Heading5"/>
    <w:uiPriority w:val="9"/>
    <w:rsid w:val="00AC08AD"/>
    <w:rPr>
      <w:rFonts w:asciiTheme="majorHAnsi" w:eastAsiaTheme="majorEastAsia" w:hAnsiTheme="majorHAnsi" w:cstheme="majorBidi"/>
      <w:color w:val="2E74B5" w:themeColor="accent1" w:themeShade="BF"/>
    </w:rPr>
  </w:style>
  <w:style w:type="character" w:customStyle="1" w:styleId="normaltextrun">
    <w:name w:val="normaltextrun"/>
    <w:basedOn w:val="DefaultParagraphFont"/>
    <w:rsid w:val="00724C9F"/>
  </w:style>
  <w:style w:type="character" w:customStyle="1" w:styleId="eop">
    <w:name w:val="eop"/>
    <w:basedOn w:val="DefaultParagraphFont"/>
    <w:rsid w:val="00724C9F"/>
  </w:style>
  <w:style w:type="paragraph" w:customStyle="1" w:styleId="paragraph">
    <w:name w:val="paragraph"/>
    <w:basedOn w:val="Normal"/>
    <w:rsid w:val="00083D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7123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712378"/>
  </w:style>
  <w:style w:type="character" w:styleId="PlaceholderText">
    <w:name w:val="Placeholder Text"/>
    <w:basedOn w:val="DefaultParagraphFont"/>
    <w:uiPriority w:val="99"/>
    <w:semiHidden/>
    <w:rsid w:val="0004492E"/>
    <w:rPr>
      <w:color w:val="808080"/>
    </w:rPr>
  </w:style>
  <w:style w:type="character" w:customStyle="1" w:styleId="UnresolvedMention31">
    <w:name w:val="Unresolved Mention31"/>
    <w:basedOn w:val="DefaultParagraphFont"/>
    <w:uiPriority w:val="99"/>
    <w:semiHidden/>
    <w:unhideWhenUsed/>
    <w:rsid w:val="00A11C8A"/>
    <w:rPr>
      <w:color w:val="605E5C"/>
      <w:shd w:val="clear" w:color="auto" w:fill="E1DFDD"/>
    </w:rPr>
  </w:style>
  <w:style w:type="character" w:customStyle="1" w:styleId="Mention1">
    <w:name w:val="Mention1"/>
    <w:basedOn w:val="DefaultParagraphFont"/>
    <w:uiPriority w:val="99"/>
    <w:unhideWhenUsed/>
    <w:rsid w:val="00A11C8A"/>
    <w:rPr>
      <w:color w:val="2B579A"/>
      <w:shd w:val="clear" w:color="auto" w:fill="E6E6E6"/>
    </w:rPr>
  </w:style>
  <w:style w:type="character" w:customStyle="1" w:styleId="UnresolvedMention4">
    <w:name w:val="Unresolved Mention4"/>
    <w:basedOn w:val="DefaultParagraphFont"/>
    <w:uiPriority w:val="99"/>
    <w:semiHidden/>
    <w:unhideWhenUsed/>
    <w:rsid w:val="00B86576"/>
    <w:rPr>
      <w:color w:val="605E5C"/>
      <w:shd w:val="clear" w:color="auto" w:fill="E1DFDD"/>
    </w:rPr>
  </w:style>
  <w:style w:type="character" w:customStyle="1" w:styleId="Mention2">
    <w:name w:val="Mention2"/>
    <w:basedOn w:val="DefaultParagraphFont"/>
    <w:uiPriority w:val="99"/>
    <w:unhideWhenUsed/>
    <w:rsid w:val="00504E35"/>
    <w:rPr>
      <w:color w:val="2B579A"/>
      <w:shd w:val="clear" w:color="auto" w:fill="E6E6E6"/>
    </w:rPr>
  </w:style>
  <w:style w:type="paragraph" w:customStyle="1" w:styleId="EndNoteBibliographyTitle">
    <w:name w:val="EndNote Bibliography Title"/>
    <w:basedOn w:val="Normal"/>
    <w:link w:val="EndNoteBibliographyTitleChar"/>
    <w:rsid w:val="00B4668F"/>
    <w:pPr>
      <w:spacing w:after="0"/>
      <w:jc w:val="center"/>
    </w:pPr>
    <w:rPr>
      <w:noProof/>
      <w:lang w:val="en-US"/>
    </w:rPr>
  </w:style>
  <w:style w:type="character" w:customStyle="1" w:styleId="EndNoteBibliographyTitleChar">
    <w:name w:val="EndNote Bibliography Title Char"/>
    <w:basedOn w:val="TableTextChar"/>
    <w:link w:val="EndNoteBibliographyTitle"/>
    <w:rsid w:val="00B4668F"/>
    <w:rPr>
      <w:rFonts w:ascii="Franklin Gothic Book" w:hAnsi="Franklin Gothic Book"/>
      <w:noProof/>
      <w:sz w:val="20"/>
      <w:lang w:val="en-US"/>
    </w:rPr>
  </w:style>
  <w:style w:type="paragraph" w:customStyle="1" w:styleId="EndNoteBibliography">
    <w:name w:val="EndNote Bibliography"/>
    <w:basedOn w:val="Normal"/>
    <w:link w:val="EndNoteBibliographyChar"/>
    <w:rsid w:val="00B4668F"/>
    <w:pPr>
      <w:spacing w:line="240" w:lineRule="auto"/>
    </w:pPr>
    <w:rPr>
      <w:noProof/>
      <w:lang w:val="en-US"/>
    </w:rPr>
  </w:style>
  <w:style w:type="character" w:customStyle="1" w:styleId="EndNoteBibliographyChar">
    <w:name w:val="EndNote Bibliography Char"/>
    <w:basedOn w:val="TableTextChar"/>
    <w:link w:val="EndNoteBibliography"/>
    <w:rsid w:val="00B4668F"/>
    <w:rPr>
      <w:rFonts w:ascii="Franklin Gothic Book" w:hAnsi="Franklin Gothic Book"/>
      <w:noProof/>
      <w:sz w:val="20"/>
      <w:lang w:val="en-US"/>
    </w:rPr>
  </w:style>
  <w:style w:type="character" w:customStyle="1" w:styleId="UnresolvedMention5">
    <w:name w:val="Unresolved Mention5"/>
    <w:basedOn w:val="DefaultParagraphFont"/>
    <w:uiPriority w:val="99"/>
    <w:semiHidden/>
    <w:unhideWhenUsed/>
    <w:rsid w:val="00A23180"/>
    <w:rPr>
      <w:color w:val="605E5C"/>
      <w:shd w:val="clear" w:color="auto" w:fill="E1DFDD"/>
    </w:rPr>
  </w:style>
  <w:style w:type="paragraph" w:styleId="NormalWeb">
    <w:name w:val="Normal (Web)"/>
    <w:basedOn w:val="Normal"/>
    <w:uiPriority w:val="99"/>
    <w:unhideWhenUsed/>
    <w:rsid w:val="000620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E14978"/>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83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5403">
      <w:bodyDiv w:val="1"/>
      <w:marLeft w:val="0"/>
      <w:marRight w:val="0"/>
      <w:marTop w:val="0"/>
      <w:marBottom w:val="0"/>
      <w:divBdr>
        <w:top w:val="none" w:sz="0" w:space="0" w:color="auto"/>
        <w:left w:val="none" w:sz="0" w:space="0" w:color="auto"/>
        <w:bottom w:val="none" w:sz="0" w:space="0" w:color="auto"/>
        <w:right w:val="none" w:sz="0" w:space="0" w:color="auto"/>
      </w:divBdr>
    </w:div>
    <w:div w:id="26613780">
      <w:bodyDiv w:val="1"/>
      <w:marLeft w:val="0"/>
      <w:marRight w:val="0"/>
      <w:marTop w:val="0"/>
      <w:marBottom w:val="0"/>
      <w:divBdr>
        <w:top w:val="none" w:sz="0" w:space="0" w:color="auto"/>
        <w:left w:val="none" w:sz="0" w:space="0" w:color="auto"/>
        <w:bottom w:val="none" w:sz="0" w:space="0" w:color="auto"/>
        <w:right w:val="none" w:sz="0" w:space="0" w:color="auto"/>
      </w:divBdr>
    </w:div>
    <w:div w:id="34738093">
      <w:bodyDiv w:val="1"/>
      <w:marLeft w:val="0"/>
      <w:marRight w:val="0"/>
      <w:marTop w:val="0"/>
      <w:marBottom w:val="0"/>
      <w:divBdr>
        <w:top w:val="none" w:sz="0" w:space="0" w:color="auto"/>
        <w:left w:val="none" w:sz="0" w:space="0" w:color="auto"/>
        <w:bottom w:val="none" w:sz="0" w:space="0" w:color="auto"/>
        <w:right w:val="none" w:sz="0" w:space="0" w:color="auto"/>
      </w:divBdr>
    </w:div>
    <w:div w:id="48313023">
      <w:bodyDiv w:val="1"/>
      <w:marLeft w:val="0"/>
      <w:marRight w:val="0"/>
      <w:marTop w:val="0"/>
      <w:marBottom w:val="0"/>
      <w:divBdr>
        <w:top w:val="none" w:sz="0" w:space="0" w:color="auto"/>
        <w:left w:val="none" w:sz="0" w:space="0" w:color="auto"/>
        <w:bottom w:val="none" w:sz="0" w:space="0" w:color="auto"/>
        <w:right w:val="none" w:sz="0" w:space="0" w:color="auto"/>
      </w:divBdr>
    </w:div>
    <w:div w:id="53163535">
      <w:bodyDiv w:val="1"/>
      <w:marLeft w:val="0"/>
      <w:marRight w:val="0"/>
      <w:marTop w:val="0"/>
      <w:marBottom w:val="0"/>
      <w:divBdr>
        <w:top w:val="none" w:sz="0" w:space="0" w:color="auto"/>
        <w:left w:val="none" w:sz="0" w:space="0" w:color="auto"/>
        <w:bottom w:val="none" w:sz="0" w:space="0" w:color="auto"/>
        <w:right w:val="none" w:sz="0" w:space="0" w:color="auto"/>
      </w:divBdr>
    </w:div>
    <w:div w:id="74130392">
      <w:bodyDiv w:val="1"/>
      <w:marLeft w:val="0"/>
      <w:marRight w:val="0"/>
      <w:marTop w:val="0"/>
      <w:marBottom w:val="0"/>
      <w:divBdr>
        <w:top w:val="none" w:sz="0" w:space="0" w:color="auto"/>
        <w:left w:val="none" w:sz="0" w:space="0" w:color="auto"/>
        <w:bottom w:val="none" w:sz="0" w:space="0" w:color="auto"/>
        <w:right w:val="none" w:sz="0" w:space="0" w:color="auto"/>
      </w:divBdr>
    </w:div>
    <w:div w:id="105776119">
      <w:bodyDiv w:val="1"/>
      <w:marLeft w:val="0"/>
      <w:marRight w:val="0"/>
      <w:marTop w:val="0"/>
      <w:marBottom w:val="0"/>
      <w:divBdr>
        <w:top w:val="none" w:sz="0" w:space="0" w:color="auto"/>
        <w:left w:val="none" w:sz="0" w:space="0" w:color="auto"/>
        <w:bottom w:val="none" w:sz="0" w:space="0" w:color="auto"/>
        <w:right w:val="none" w:sz="0" w:space="0" w:color="auto"/>
      </w:divBdr>
    </w:div>
    <w:div w:id="116604177">
      <w:bodyDiv w:val="1"/>
      <w:marLeft w:val="0"/>
      <w:marRight w:val="0"/>
      <w:marTop w:val="0"/>
      <w:marBottom w:val="0"/>
      <w:divBdr>
        <w:top w:val="none" w:sz="0" w:space="0" w:color="auto"/>
        <w:left w:val="none" w:sz="0" w:space="0" w:color="auto"/>
        <w:bottom w:val="none" w:sz="0" w:space="0" w:color="auto"/>
        <w:right w:val="none" w:sz="0" w:space="0" w:color="auto"/>
      </w:divBdr>
    </w:div>
    <w:div w:id="151995093">
      <w:bodyDiv w:val="1"/>
      <w:marLeft w:val="0"/>
      <w:marRight w:val="0"/>
      <w:marTop w:val="0"/>
      <w:marBottom w:val="0"/>
      <w:divBdr>
        <w:top w:val="none" w:sz="0" w:space="0" w:color="auto"/>
        <w:left w:val="none" w:sz="0" w:space="0" w:color="auto"/>
        <w:bottom w:val="none" w:sz="0" w:space="0" w:color="auto"/>
        <w:right w:val="none" w:sz="0" w:space="0" w:color="auto"/>
      </w:divBdr>
    </w:div>
    <w:div w:id="174998036">
      <w:bodyDiv w:val="1"/>
      <w:marLeft w:val="0"/>
      <w:marRight w:val="0"/>
      <w:marTop w:val="0"/>
      <w:marBottom w:val="0"/>
      <w:divBdr>
        <w:top w:val="none" w:sz="0" w:space="0" w:color="auto"/>
        <w:left w:val="none" w:sz="0" w:space="0" w:color="auto"/>
        <w:bottom w:val="none" w:sz="0" w:space="0" w:color="auto"/>
        <w:right w:val="none" w:sz="0" w:space="0" w:color="auto"/>
      </w:divBdr>
    </w:div>
    <w:div w:id="178348329">
      <w:bodyDiv w:val="1"/>
      <w:marLeft w:val="0"/>
      <w:marRight w:val="0"/>
      <w:marTop w:val="0"/>
      <w:marBottom w:val="0"/>
      <w:divBdr>
        <w:top w:val="none" w:sz="0" w:space="0" w:color="auto"/>
        <w:left w:val="none" w:sz="0" w:space="0" w:color="auto"/>
        <w:bottom w:val="none" w:sz="0" w:space="0" w:color="auto"/>
        <w:right w:val="none" w:sz="0" w:space="0" w:color="auto"/>
      </w:divBdr>
    </w:div>
    <w:div w:id="184029289">
      <w:bodyDiv w:val="1"/>
      <w:marLeft w:val="0"/>
      <w:marRight w:val="0"/>
      <w:marTop w:val="0"/>
      <w:marBottom w:val="0"/>
      <w:divBdr>
        <w:top w:val="none" w:sz="0" w:space="0" w:color="auto"/>
        <w:left w:val="none" w:sz="0" w:space="0" w:color="auto"/>
        <w:bottom w:val="none" w:sz="0" w:space="0" w:color="auto"/>
        <w:right w:val="none" w:sz="0" w:space="0" w:color="auto"/>
      </w:divBdr>
    </w:div>
    <w:div w:id="203182161">
      <w:bodyDiv w:val="1"/>
      <w:marLeft w:val="0"/>
      <w:marRight w:val="0"/>
      <w:marTop w:val="0"/>
      <w:marBottom w:val="0"/>
      <w:divBdr>
        <w:top w:val="none" w:sz="0" w:space="0" w:color="auto"/>
        <w:left w:val="none" w:sz="0" w:space="0" w:color="auto"/>
        <w:bottom w:val="none" w:sz="0" w:space="0" w:color="auto"/>
        <w:right w:val="none" w:sz="0" w:space="0" w:color="auto"/>
      </w:divBdr>
    </w:div>
    <w:div w:id="206065801">
      <w:bodyDiv w:val="1"/>
      <w:marLeft w:val="0"/>
      <w:marRight w:val="0"/>
      <w:marTop w:val="0"/>
      <w:marBottom w:val="0"/>
      <w:divBdr>
        <w:top w:val="none" w:sz="0" w:space="0" w:color="auto"/>
        <w:left w:val="none" w:sz="0" w:space="0" w:color="auto"/>
        <w:bottom w:val="none" w:sz="0" w:space="0" w:color="auto"/>
        <w:right w:val="none" w:sz="0" w:space="0" w:color="auto"/>
      </w:divBdr>
    </w:div>
    <w:div w:id="206991689">
      <w:bodyDiv w:val="1"/>
      <w:marLeft w:val="0"/>
      <w:marRight w:val="0"/>
      <w:marTop w:val="0"/>
      <w:marBottom w:val="0"/>
      <w:divBdr>
        <w:top w:val="none" w:sz="0" w:space="0" w:color="auto"/>
        <w:left w:val="none" w:sz="0" w:space="0" w:color="auto"/>
        <w:bottom w:val="none" w:sz="0" w:space="0" w:color="auto"/>
        <w:right w:val="none" w:sz="0" w:space="0" w:color="auto"/>
      </w:divBdr>
    </w:div>
    <w:div w:id="213352429">
      <w:bodyDiv w:val="1"/>
      <w:marLeft w:val="0"/>
      <w:marRight w:val="0"/>
      <w:marTop w:val="0"/>
      <w:marBottom w:val="0"/>
      <w:divBdr>
        <w:top w:val="none" w:sz="0" w:space="0" w:color="auto"/>
        <w:left w:val="none" w:sz="0" w:space="0" w:color="auto"/>
        <w:bottom w:val="none" w:sz="0" w:space="0" w:color="auto"/>
        <w:right w:val="none" w:sz="0" w:space="0" w:color="auto"/>
      </w:divBdr>
    </w:div>
    <w:div w:id="240987840">
      <w:bodyDiv w:val="1"/>
      <w:marLeft w:val="0"/>
      <w:marRight w:val="0"/>
      <w:marTop w:val="0"/>
      <w:marBottom w:val="0"/>
      <w:divBdr>
        <w:top w:val="none" w:sz="0" w:space="0" w:color="auto"/>
        <w:left w:val="none" w:sz="0" w:space="0" w:color="auto"/>
        <w:bottom w:val="none" w:sz="0" w:space="0" w:color="auto"/>
        <w:right w:val="none" w:sz="0" w:space="0" w:color="auto"/>
      </w:divBdr>
    </w:div>
    <w:div w:id="259148225">
      <w:bodyDiv w:val="1"/>
      <w:marLeft w:val="0"/>
      <w:marRight w:val="0"/>
      <w:marTop w:val="0"/>
      <w:marBottom w:val="0"/>
      <w:divBdr>
        <w:top w:val="none" w:sz="0" w:space="0" w:color="auto"/>
        <w:left w:val="none" w:sz="0" w:space="0" w:color="auto"/>
        <w:bottom w:val="none" w:sz="0" w:space="0" w:color="auto"/>
        <w:right w:val="none" w:sz="0" w:space="0" w:color="auto"/>
      </w:divBdr>
    </w:div>
    <w:div w:id="272252394">
      <w:bodyDiv w:val="1"/>
      <w:marLeft w:val="0"/>
      <w:marRight w:val="0"/>
      <w:marTop w:val="0"/>
      <w:marBottom w:val="0"/>
      <w:divBdr>
        <w:top w:val="none" w:sz="0" w:space="0" w:color="auto"/>
        <w:left w:val="none" w:sz="0" w:space="0" w:color="auto"/>
        <w:bottom w:val="none" w:sz="0" w:space="0" w:color="auto"/>
        <w:right w:val="none" w:sz="0" w:space="0" w:color="auto"/>
      </w:divBdr>
      <w:divsChild>
        <w:div w:id="1312247727">
          <w:marLeft w:val="0"/>
          <w:marRight w:val="0"/>
          <w:marTop w:val="0"/>
          <w:marBottom w:val="0"/>
          <w:divBdr>
            <w:top w:val="none" w:sz="0" w:space="0" w:color="auto"/>
            <w:left w:val="none" w:sz="0" w:space="0" w:color="auto"/>
            <w:bottom w:val="none" w:sz="0" w:space="0" w:color="auto"/>
            <w:right w:val="none" w:sz="0" w:space="0" w:color="auto"/>
          </w:divBdr>
        </w:div>
        <w:div w:id="1704549851">
          <w:marLeft w:val="0"/>
          <w:marRight w:val="0"/>
          <w:marTop w:val="0"/>
          <w:marBottom w:val="0"/>
          <w:divBdr>
            <w:top w:val="none" w:sz="0" w:space="0" w:color="auto"/>
            <w:left w:val="none" w:sz="0" w:space="0" w:color="auto"/>
            <w:bottom w:val="none" w:sz="0" w:space="0" w:color="auto"/>
            <w:right w:val="none" w:sz="0" w:space="0" w:color="auto"/>
          </w:divBdr>
        </w:div>
      </w:divsChild>
    </w:div>
    <w:div w:id="280771447">
      <w:bodyDiv w:val="1"/>
      <w:marLeft w:val="0"/>
      <w:marRight w:val="0"/>
      <w:marTop w:val="0"/>
      <w:marBottom w:val="0"/>
      <w:divBdr>
        <w:top w:val="none" w:sz="0" w:space="0" w:color="auto"/>
        <w:left w:val="none" w:sz="0" w:space="0" w:color="auto"/>
        <w:bottom w:val="none" w:sz="0" w:space="0" w:color="auto"/>
        <w:right w:val="none" w:sz="0" w:space="0" w:color="auto"/>
      </w:divBdr>
    </w:div>
    <w:div w:id="300578383">
      <w:bodyDiv w:val="1"/>
      <w:marLeft w:val="0"/>
      <w:marRight w:val="0"/>
      <w:marTop w:val="0"/>
      <w:marBottom w:val="0"/>
      <w:divBdr>
        <w:top w:val="none" w:sz="0" w:space="0" w:color="auto"/>
        <w:left w:val="none" w:sz="0" w:space="0" w:color="auto"/>
        <w:bottom w:val="none" w:sz="0" w:space="0" w:color="auto"/>
        <w:right w:val="none" w:sz="0" w:space="0" w:color="auto"/>
      </w:divBdr>
    </w:div>
    <w:div w:id="335304448">
      <w:bodyDiv w:val="1"/>
      <w:marLeft w:val="0"/>
      <w:marRight w:val="0"/>
      <w:marTop w:val="0"/>
      <w:marBottom w:val="0"/>
      <w:divBdr>
        <w:top w:val="none" w:sz="0" w:space="0" w:color="auto"/>
        <w:left w:val="none" w:sz="0" w:space="0" w:color="auto"/>
        <w:bottom w:val="none" w:sz="0" w:space="0" w:color="auto"/>
        <w:right w:val="none" w:sz="0" w:space="0" w:color="auto"/>
      </w:divBdr>
    </w:div>
    <w:div w:id="348723397">
      <w:bodyDiv w:val="1"/>
      <w:marLeft w:val="0"/>
      <w:marRight w:val="0"/>
      <w:marTop w:val="0"/>
      <w:marBottom w:val="0"/>
      <w:divBdr>
        <w:top w:val="none" w:sz="0" w:space="0" w:color="auto"/>
        <w:left w:val="none" w:sz="0" w:space="0" w:color="auto"/>
        <w:bottom w:val="none" w:sz="0" w:space="0" w:color="auto"/>
        <w:right w:val="none" w:sz="0" w:space="0" w:color="auto"/>
      </w:divBdr>
      <w:divsChild>
        <w:div w:id="282661">
          <w:marLeft w:val="0"/>
          <w:marRight w:val="0"/>
          <w:marTop w:val="0"/>
          <w:marBottom w:val="0"/>
          <w:divBdr>
            <w:top w:val="none" w:sz="0" w:space="0" w:color="auto"/>
            <w:left w:val="none" w:sz="0" w:space="0" w:color="auto"/>
            <w:bottom w:val="none" w:sz="0" w:space="0" w:color="auto"/>
            <w:right w:val="none" w:sz="0" w:space="0" w:color="auto"/>
          </w:divBdr>
          <w:divsChild>
            <w:div w:id="1057124069">
              <w:marLeft w:val="0"/>
              <w:marRight w:val="0"/>
              <w:marTop w:val="0"/>
              <w:marBottom w:val="0"/>
              <w:divBdr>
                <w:top w:val="none" w:sz="0" w:space="0" w:color="auto"/>
                <w:left w:val="none" w:sz="0" w:space="0" w:color="auto"/>
                <w:bottom w:val="none" w:sz="0" w:space="0" w:color="auto"/>
                <w:right w:val="none" w:sz="0" w:space="0" w:color="auto"/>
              </w:divBdr>
            </w:div>
          </w:divsChild>
        </w:div>
        <w:div w:id="8064688">
          <w:marLeft w:val="0"/>
          <w:marRight w:val="0"/>
          <w:marTop w:val="0"/>
          <w:marBottom w:val="0"/>
          <w:divBdr>
            <w:top w:val="none" w:sz="0" w:space="0" w:color="auto"/>
            <w:left w:val="none" w:sz="0" w:space="0" w:color="auto"/>
            <w:bottom w:val="none" w:sz="0" w:space="0" w:color="auto"/>
            <w:right w:val="none" w:sz="0" w:space="0" w:color="auto"/>
          </w:divBdr>
          <w:divsChild>
            <w:div w:id="892935060">
              <w:marLeft w:val="0"/>
              <w:marRight w:val="0"/>
              <w:marTop w:val="0"/>
              <w:marBottom w:val="0"/>
              <w:divBdr>
                <w:top w:val="none" w:sz="0" w:space="0" w:color="auto"/>
                <w:left w:val="none" w:sz="0" w:space="0" w:color="auto"/>
                <w:bottom w:val="none" w:sz="0" w:space="0" w:color="auto"/>
                <w:right w:val="none" w:sz="0" w:space="0" w:color="auto"/>
              </w:divBdr>
            </w:div>
          </w:divsChild>
        </w:div>
        <w:div w:id="10255863">
          <w:marLeft w:val="0"/>
          <w:marRight w:val="0"/>
          <w:marTop w:val="0"/>
          <w:marBottom w:val="0"/>
          <w:divBdr>
            <w:top w:val="none" w:sz="0" w:space="0" w:color="auto"/>
            <w:left w:val="none" w:sz="0" w:space="0" w:color="auto"/>
            <w:bottom w:val="none" w:sz="0" w:space="0" w:color="auto"/>
            <w:right w:val="none" w:sz="0" w:space="0" w:color="auto"/>
          </w:divBdr>
          <w:divsChild>
            <w:div w:id="1659654480">
              <w:marLeft w:val="0"/>
              <w:marRight w:val="0"/>
              <w:marTop w:val="0"/>
              <w:marBottom w:val="0"/>
              <w:divBdr>
                <w:top w:val="none" w:sz="0" w:space="0" w:color="auto"/>
                <w:left w:val="none" w:sz="0" w:space="0" w:color="auto"/>
                <w:bottom w:val="none" w:sz="0" w:space="0" w:color="auto"/>
                <w:right w:val="none" w:sz="0" w:space="0" w:color="auto"/>
              </w:divBdr>
            </w:div>
          </w:divsChild>
        </w:div>
        <w:div w:id="11031922">
          <w:marLeft w:val="0"/>
          <w:marRight w:val="0"/>
          <w:marTop w:val="0"/>
          <w:marBottom w:val="0"/>
          <w:divBdr>
            <w:top w:val="none" w:sz="0" w:space="0" w:color="auto"/>
            <w:left w:val="none" w:sz="0" w:space="0" w:color="auto"/>
            <w:bottom w:val="none" w:sz="0" w:space="0" w:color="auto"/>
            <w:right w:val="none" w:sz="0" w:space="0" w:color="auto"/>
          </w:divBdr>
          <w:divsChild>
            <w:div w:id="127478930">
              <w:marLeft w:val="0"/>
              <w:marRight w:val="0"/>
              <w:marTop w:val="0"/>
              <w:marBottom w:val="0"/>
              <w:divBdr>
                <w:top w:val="none" w:sz="0" w:space="0" w:color="auto"/>
                <w:left w:val="none" w:sz="0" w:space="0" w:color="auto"/>
                <w:bottom w:val="none" w:sz="0" w:space="0" w:color="auto"/>
                <w:right w:val="none" w:sz="0" w:space="0" w:color="auto"/>
              </w:divBdr>
            </w:div>
          </w:divsChild>
        </w:div>
        <w:div w:id="11499279">
          <w:marLeft w:val="0"/>
          <w:marRight w:val="0"/>
          <w:marTop w:val="0"/>
          <w:marBottom w:val="0"/>
          <w:divBdr>
            <w:top w:val="none" w:sz="0" w:space="0" w:color="auto"/>
            <w:left w:val="none" w:sz="0" w:space="0" w:color="auto"/>
            <w:bottom w:val="none" w:sz="0" w:space="0" w:color="auto"/>
            <w:right w:val="none" w:sz="0" w:space="0" w:color="auto"/>
          </w:divBdr>
          <w:divsChild>
            <w:div w:id="2096633180">
              <w:marLeft w:val="0"/>
              <w:marRight w:val="0"/>
              <w:marTop w:val="0"/>
              <w:marBottom w:val="0"/>
              <w:divBdr>
                <w:top w:val="none" w:sz="0" w:space="0" w:color="auto"/>
                <w:left w:val="none" w:sz="0" w:space="0" w:color="auto"/>
                <w:bottom w:val="none" w:sz="0" w:space="0" w:color="auto"/>
                <w:right w:val="none" w:sz="0" w:space="0" w:color="auto"/>
              </w:divBdr>
            </w:div>
          </w:divsChild>
        </w:div>
        <w:div w:id="14238530">
          <w:marLeft w:val="0"/>
          <w:marRight w:val="0"/>
          <w:marTop w:val="0"/>
          <w:marBottom w:val="0"/>
          <w:divBdr>
            <w:top w:val="none" w:sz="0" w:space="0" w:color="auto"/>
            <w:left w:val="none" w:sz="0" w:space="0" w:color="auto"/>
            <w:bottom w:val="none" w:sz="0" w:space="0" w:color="auto"/>
            <w:right w:val="none" w:sz="0" w:space="0" w:color="auto"/>
          </w:divBdr>
          <w:divsChild>
            <w:div w:id="1837067739">
              <w:marLeft w:val="0"/>
              <w:marRight w:val="0"/>
              <w:marTop w:val="0"/>
              <w:marBottom w:val="0"/>
              <w:divBdr>
                <w:top w:val="none" w:sz="0" w:space="0" w:color="auto"/>
                <w:left w:val="none" w:sz="0" w:space="0" w:color="auto"/>
                <w:bottom w:val="none" w:sz="0" w:space="0" w:color="auto"/>
                <w:right w:val="none" w:sz="0" w:space="0" w:color="auto"/>
              </w:divBdr>
            </w:div>
          </w:divsChild>
        </w:div>
        <w:div w:id="18481529">
          <w:marLeft w:val="0"/>
          <w:marRight w:val="0"/>
          <w:marTop w:val="0"/>
          <w:marBottom w:val="0"/>
          <w:divBdr>
            <w:top w:val="none" w:sz="0" w:space="0" w:color="auto"/>
            <w:left w:val="none" w:sz="0" w:space="0" w:color="auto"/>
            <w:bottom w:val="none" w:sz="0" w:space="0" w:color="auto"/>
            <w:right w:val="none" w:sz="0" w:space="0" w:color="auto"/>
          </w:divBdr>
          <w:divsChild>
            <w:div w:id="398334748">
              <w:marLeft w:val="0"/>
              <w:marRight w:val="0"/>
              <w:marTop w:val="0"/>
              <w:marBottom w:val="0"/>
              <w:divBdr>
                <w:top w:val="none" w:sz="0" w:space="0" w:color="auto"/>
                <w:left w:val="none" w:sz="0" w:space="0" w:color="auto"/>
                <w:bottom w:val="none" w:sz="0" w:space="0" w:color="auto"/>
                <w:right w:val="none" w:sz="0" w:space="0" w:color="auto"/>
              </w:divBdr>
            </w:div>
          </w:divsChild>
        </w:div>
        <w:div w:id="18704219">
          <w:marLeft w:val="0"/>
          <w:marRight w:val="0"/>
          <w:marTop w:val="0"/>
          <w:marBottom w:val="0"/>
          <w:divBdr>
            <w:top w:val="none" w:sz="0" w:space="0" w:color="auto"/>
            <w:left w:val="none" w:sz="0" w:space="0" w:color="auto"/>
            <w:bottom w:val="none" w:sz="0" w:space="0" w:color="auto"/>
            <w:right w:val="none" w:sz="0" w:space="0" w:color="auto"/>
          </w:divBdr>
          <w:divsChild>
            <w:div w:id="2064596509">
              <w:marLeft w:val="0"/>
              <w:marRight w:val="0"/>
              <w:marTop w:val="0"/>
              <w:marBottom w:val="0"/>
              <w:divBdr>
                <w:top w:val="none" w:sz="0" w:space="0" w:color="auto"/>
                <w:left w:val="none" w:sz="0" w:space="0" w:color="auto"/>
                <w:bottom w:val="none" w:sz="0" w:space="0" w:color="auto"/>
                <w:right w:val="none" w:sz="0" w:space="0" w:color="auto"/>
              </w:divBdr>
            </w:div>
          </w:divsChild>
        </w:div>
        <w:div w:id="25647002">
          <w:marLeft w:val="0"/>
          <w:marRight w:val="0"/>
          <w:marTop w:val="0"/>
          <w:marBottom w:val="0"/>
          <w:divBdr>
            <w:top w:val="none" w:sz="0" w:space="0" w:color="auto"/>
            <w:left w:val="none" w:sz="0" w:space="0" w:color="auto"/>
            <w:bottom w:val="none" w:sz="0" w:space="0" w:color="auto"/>
            <w:right w:val="none" w:sz="0" w:space="0" w:color="auto"/>
          </w:divBdr>
          <w:divsChild>
            <w:div w:id="2134473960">
              <w:marLeft w:val="0"/>
              <w:marRight w:val="0"/>
              <w:marTop w:val="0"/>
              <w:marBottom w:val="0"/>
              <w:divBdr>
                <w:top w:val="none" w:sz="0" w:space="0" w:color="auto"/>
                <w:left w:val="none" w:sz="0" w:space="0" w:color="auto"/>
                <w:bottom w:val="none" w:sz="0" w:space="0" w:color="auto"/>
                <w:right w:val="none" w:sz="0" w:space="0" w:color="auto"/>
              </w:divBdr>
            </w:div>
          </w:divsChild>
        </w:div>
        <w:div w:id="27799330">
          <w:marLeft w:val="0"/>
          <w:marRight w:val="0"/>
          <w:marTop w:val="0"/>
          <w:marBottom w:val="0"/>
          <w:divBdr>
            <w:top w:val="none" w:sz="0" w:space="0" w:color="auto"/>
            <w:left w:val="none" w:sz="0" w:space="0" w:color="auto"/>
            <w:bottom w:val="none" w:sz="0" w:space="0" w:color="auto"/>
            <w:right w:val="none" w:sz="0" w:space="0" w:color="auto"/>
          </w:divBdr>
          <w:divsChild>
            <w:div w:id="1545022500">
              <w:marLeft w:val="0"/>
              <w:marRight w:val="0"/>
              <w:marTop w:val="0"/>
              <w:marBottom w:val="0"/>
              <w:divBdr>
                <w:top w:val="none" w:sz="0" w:space="0" w:color="auto"/>
                <w:left w:val="none" w:sz="0" w:space="0" w:color="auto"/>
                <w:bottom w:val="none" w:sz="0" w:space="0" w:color="auto"/>
                <w:right w:val="none" w:sz="0" w:space="0" w:color="auto"/>
              </w:divBdr>
            </w:div>
          </w:divsChild>
        </w:div>
        <w:div w:id="31806447">
          <w:marLeft w:val="0"/>
          <w:marRight w:val="0"/>
          <w:marTop w:val="0"/>
          <w:marBottom w:val="0"/>
          <w:divBdr>
            <w:top w:val="none" w:sz="0" w:space="0" w:color="auto"/>
            <w:left w:val="none" w:sz="0" w:space="0" w:color="auto"/>
            <w:bottom w:val="none" w:sz="0" w:space="0" w:color="auto"/>
            <w:right w:val="none" w:sz="0" w:space="0" w:color="auto"/>
          </w:divBdr>
          <w:divsChild>
            <w:div w:id="774443072">
              <w:marLeft w:val="0"/>
              <w:marRight w:val="0"/>
              <w:marTop w:val="0"/>
              <w:marBottom w:val="0"/>
              <w:divBdr>
                <w:top w:val="none" w:sz="0" w:space="0" w:color="auto"/>
                <w:left w:val="none" w:sz="0" w:space="0" w:color="auto"/>
                <w:bottom w:val="none" w:sz="0" w:space="0" w:color="auto"/>
                <w:right w:val="none" w:sz="0" w:space="0" w:color="auto"/>
              </w:divBdr>
            </w:div>
          </w:divsChild>
        </w:div>
        <w:div w:id="43717040">
          <w:marLeft w:val="0"/>
          <w:marRight w:val="0"/>
          <w:marTop w:val="0"/>
          <w:marBottom w:val="0"/>
          <w:divBdr>
            <w:top w:val="none" w:sz="0" w:space="0" w:color="auto"/>
            <w:left w:val="none" w:sz="0" w:space="0" w:color="auto"/>
            <w:bottom w:val="none" w:sz="0" w:space="0" w:color="auto"/>
            <w:right w:val="none" w:sz="0" w:space="0" w:color="auto"/>
          </w:divBdr>
          <w:divsChild>
            <w:div w:id="552429445">
              <w:marLeft w:val="0"/>
              <w:marRight w:val="0"/>
              <w:marTop w:val="0"/>
              <w:marBottom w:val="0"/>
              <w:divBdr>
                <w:top w:val="none" w:sz="0" w:space="0" w:color="auto"/>
                <w:left w:val="none" w:sz="0" w:space="0" w:color="auto"/>
                <w:bottom w:val="none" w:sz="0" w:space="0" w:color="auto"/>
                <w:right w:val="none" w:sz="0" w:space="0" w:color="auto"/>
              </w:divBdr>
            </w:div>
          </w:divsChild>
        </w:div>
        <w:div w:id="43993171">
          <w:marLeft w:val="0"/>
          <w:marRight w:val="0"/>
          <w:marTop w:val="0"/>
          <w:marBottom w:val="0"/>
          <w:divBdr>
            <w:top w:val="none" w:sz="0" w:space="0" w:color="auto"/>
            <w:left w:val="none" w:sz="0" w:space="0" w:color="auto"/>
            <w:bottom w:val="none" w:sz="0" w:space="0" w:color="auto"/>
            <w:right w:val="none" w:sz="0" w:space="0" w:color="auto"/>
          </w:divBdr>
          <w:divsChild>
            <w:div w:id="1511750608">
              <w:marLeft w:val="0"/>
              <w:marRight w:val="0"/>
              <w:marTop w:val="0"/>
              <w:marBottom w:val="0"/>
              <w:divBdr>
                <w:top w:val="none" w:sz="0" w:space="0" w:color="auto"/>
                <w:left w:val="none" w:sz="0" w:space="0" w:color="auto"/>
                <w:bottom w:val="none" w:sz="0" w:space="0" w:color="auto"/>
                <w:right w:val="none" w:sz="0" w:space="0" w:color="auto"/>
              </w:divBdr>
            </w:div>
          </w:divsChild>
        </w:div>
        <w:div w:id="49572870">
          <w:marLeft w:val="0"/>
          <w:marRight w:val="0"/>
          <w:marTop w:val="0"/>
          <w:marBottom w:val="0"/>
          <w:divBdr>
            <w:top w:val="none" w:sz="0" w:space="0" w:color="auto"/>
            <w:left w:val="none" w:sz="0" w:space="0" w:color="auto"/>
            <w:bottom w:val="none" w:sz="0" w:space="0" w:color="auto"/>
            <w:right w:val="none" w:sz="0" w:space="0" w:color="auto"/>
          </w:divBdr>
          <w:divsChild>
            <w:div w:id="1285774716">
              <w:marLeft w:val="0"/>
              <w:marRight w:val="0"/>
              <w:marTop w:val="0"/>
              <w:marBottom w:val="0"/>
              <w:divBdr>
                <w:top w:val="none" w:sz="0" w:space="0" w:color="auto"/>
                <w:left w:val="none" w:sz="0" w:space="0" w:color="auto"/>
                <w:bottom w:val="none" w:sz="0" w:space="0" w:color="auto"/>
                <w:right w:val="none" w:sz="0" w:space="0" w:color="auto"/>
              </w:divBdr>
            </w:div>
          </w:divsChild>
        </w:div>
        <w:div w:id="51004998">
          <w:marLeft w:val="0"/>
          <w:marRight w:val="0"/>
          <w:marTop w:val="0"/>
          <w:marBottom w:val="0"/>
          <w:divBdr>
            <w:top w:val="none" w:sz="0" w:space="0" w:color="auto"/>
            <w:left w:val="none" w:sz="0" w:space="0" w:color="auto"/>
            <w:bottom w:val="none" w:sz="0" w:space="0" w:color="auto"/>
            <w:right w:val="none" w:sz="0" w:space="0" w:color="auto"/>
          </w:divBdr>
          <w:divsChild>
            <w:div w:id="666982326">
              <w:marLeft w:val="0"/>
              <w:marRight w:val="0"/>
              <w:marTop w:val="0"/>
              <w:marBottom w:val="0"/>
              <w:divBdr>
                <w:top w:val="none" w:sz="0" w:space="0" w:color="auto"/>
                <w:left w:val="none" w:sz="0" w:space="0" w:color="auto"/>
                <w:bottom w:val="none" w:sz="0" w:space="0" w:color="auto"/>
                <w:right w:val="none" w:sz="0" w:space="0" w:color="auto"/>
              </w:divBdr>
            </w:div>
          </w:divsChild>
        </w:div>
        <w:div w:id="51974794">
          <w:marLeft w:val="0"/>
          <w:marRight w:val="0"/>
          <w:marTop w:val="0"/>
          <w:marBottom w:val="0"/>
          <w:divBdr>
            <w:top w:val="none" w:sz="0" w:space="0" w:color="auto"/>
            <w:left w:val="none" w:sz="0" w:space="0" w:color="auto"/>
            <w:bottom w:val="none" w:sz="0" w:space="0" w:color="auto"/>
            <w:right w:val="none" w:sz="0" w:space="0" w:color="auto"/>
          </w:divBdr>
          <w:divsChild>
            <w:div w:id="1702439782">
              <w:marLeft w:val="0"/>
              <w:marRight w:val="0"/>
              <w:marTop w:val="0"/>
              <w:marBottom w:val="0"/>
              <w:divBdr>
                <w:top w:val="none" w:sz="0" w:space="0" w:color="auto"/>
                <w:left w:val="none" w:sz="0" w:space="0" w:color="auto"/>
                <w:bottom w:val="none" w:sz="0" w:space="0" w:color="auto"/>
                <w:right w:val="none" w:sz="0" w:space="0" w:color="auto"/>
              </w:divBdr>
            </w:div>
          </w:divsChild>
        </w:div>
        <w:div w:id="54621183">
          <w:marLeft w:val="0"/>
          <w:marRight w:val="0"/>
          <w:marTop w:val="0"/>
          <w:marBottom w:val="0"/>
          <w:divBdr>
            <w:top w:val="none" w:sz="0" w:space="0" w:color="auto"/>
            <w:left w:val="none" w:sz="0" w:space="0" w:color="auto"/>
            <w:bottom w:val="none" w:sz="0" w:space="0" w:color="auto"/>
            <w:right w:val="none" w:sz="0" w:space="0" w:color="auto"/>
          </w:divBdr>
          <w:divsChild>
            <w:div w:id="235482625">
              <w:marLeft w:val="0"/>
              <w:marRight w:val="0"/>
              <w:marTop w:val="0"/>
              <w:marBottom w:val="0"/>
              <w:divBdr>
                <w:top w:val="none" w:sz="0" w:space="0" w:color="auto"/>
                <w:left w:val="none" w:sz="0" w:space="0" w:color="auto"/>
                <w:bottom w:val="none" w:sz="0" w:space="0" w:color="auto"/>
                <w:right w:val="none" w:sz="0" w:space="0" w:color="auto"/>
              </w:divBdr>
            </w:div>
          </w:divsChild>
        </w:div>
        <w:div w:id="57478115">
          <w:marLeft w:val="0"/>
          <w:marRight w:val="0"/>
          <w:marTop w:val="0"/>
          <w:marBottom w:val="0"/>
          <w:divBdr>
            <w:top w:val="none" w:sz="0" w:space="0" w:color="auto"/>
            <w:left w:val="none" w:sz="0" w:space="0" w:color="auto"/>
            <w:bottom w:val="none" w:sz="0" w:space="0" w:color="auto"/>
            <w:right w:val="none" w:sz="0" w:space="0" w:color="auto"/>
          </w:divBdr>
          <w:divsChild>
            <w:div w:id="260527724">
              <w:marLeft w:val="0"/>
              <w:marRight w:val="0"/>
              <w:marTop w:val="0"/>
              <w:marBottom w:val="0"/>
              <w:divBdr>
                <w:top w:val="none" w:sz="0" w:space="0" w:color="auto"/>
                <w:left w:val="none" w:sz="0" w:space="0" w:color="auto"/>
                <w:bottom w:val="none" w:sz="0" w:space="0" w:color="auto"/>
                <w:right w:val="none" w:sz="0" w:space="0" w:color="auto"/>
              </w:divBdr>
            </w:div>
          </w:divsChild>
        </w:div>
        <w:div w:id="57872731">
          <w:marLeft w:val="0"/>
          <w:marRight w:val="0"/>
          <w:marTop w:val="0"/>
          <w:marBottom w:val="0"/>
          <w:divBdr>
            <w:top w:val="none" w:sz="0" w:space="0" w:color="auto"/>
            <w:left w:val="none" w:sz="0" w:space="0" w:color="auto"/>
            <w:bottom w:val="none" w:sz="0" w:space="0" w:color="auto"/>
            <w:right w:val="none" w:sz="0" w:space="0" w:color="auto"/>
          </w:divBdr>
          <w:divsChild>
            <w:div w:id="1875848592">
              <w:marLeft w:val="0"/>
              <w:marRight w:val="0"/>
              <w:marTop w:val="0"/>
              <w:marBottom w:val="0"/>
              <w:divBdr>
                <w:top w:val="none" w:sz="0" w:space="0" w:color="auto"/>
                <w:left w:val="none" w:sz="0" w:space="0" w:color="auto"/>
                <w:bottom w:val="none" w:sz="0" w:space="0" w:color="auto"/>
                <w:right w:val="none" w:sz="0" w:space="0" w:color="auto"/>
              </w:divBdr>
            </w:div>
          </w:divsChild>
        </w:div>
        <w:div w:id="59912854">
          <w:marLeft w:val="0"/>
          <w:marRight w:val="0"/>
          <w:marTop w:val="0"/>
          <w:marBottom w:val="0"/>
          <w:divBdr>
            <w:top w:val="none" w:sz="0" w:space="0" w:color="auto"/>
            <w:left w:val="none" w:sz="0" w:space="0" w:color="auto"/>
            <w:bottom w:val="none" w:sz="0" w:space="0" w:color="auto"/>
            <w:right w:val="none" w:sz="0" w:space="0" w:color="auto"/>
          </w:divBdr>
          <w:divsChild>
            <w:div w:id="229729504">
              <w:marLeft w:val="0"/>
              <w:marRight w:val="0"/>
              <w:marTop w:val="0"/>
              <w:marBottom w:val="0"/>
              <w:divBdr>
                <w:top w:val="none" w:sz="0" w:space="0" w:color="auto"/>
                <w:left w:val="none" w:sz="0" w:space="0" w:color="auto"/>
                <w:bottom w:val="none" w:sz="0" w:space="0" w:color="auto"/>
                <w:right w:val="none" w:sz="0" w:space="0" w:color="auto"/>
              </w:divBdr>
            </w:div>
          </w:divsChild>
        </w:div>
        <w:div w:id="64495566">
          <w:marLeft w:val="0"/>
          <w:marRight w:val="0"/>
          <w:marTop w:val="0"/>
          <w:marBottom w:val="0"/>
          <w:divBdr>
            <w:top w:val="none" w:sz="0" w:space="0" w:color="auto"/>
            <w:left w:val="none" w:sz="0" w:space="0" w:color="auto"/>
            <w:bottom w:val="none" w:sz="0" w:space="0" w:color="auto"/>
            <w:right w:val="none" w:sz="0" w:space="0" w:color="auto"/>
          </w:divBdr>
          <w:divsChild>
            <w:div w:id="75834297">
              <w:marLeft w:val="0"/>
              <w:marRight w:val="0"/>
              <w:marTop w:val="0"/>
              <w:marBottom w:val="0"/>
              <w:divBdr>
                <w:top w:val="none" w:sz="0" w:space="0" w:color="auto"/>
                <w:left w:val="none" w:sz="0" w:space="0" w:color="auto"/>
                <w:bottom w:val="none" w:sz="0" w:space="0" w:color="auto"/>
                <w:right w:val="none" w:sz="0" w:space="0" w:color="auto"/>
              </w:divBdr>
            </w:div>
          </w:divsChild>
        </w:div>
        <w:div w:id="69041920">
          <w:marLeft w:val="0"/>
          <w:marRight w:val="0"/>
          <w:marTop w:val="0"/>
          <w:marBottom w:val="0"/>
          <w:divBdr>
            <w:top w:val="none" w:sz="0" w:space="0" w:color="auto"/>
            <w:left w:val="none" w:sz="0" w:space="0" w:color="auto"/>
            <w:bottom w:val="none" w:sz="0" w:space="0" w:color="auto"/>
            <w:right w:val="none" w:sz="0" w:space="0" w:color="auto"/>
          </w:divBdr>
          <w:divsChild>
            <w:div w:id="262691763">
              <w:marLeft w:val="0"/>
              <w:marRight w:val="0"/>
              <w:marTop w:val="0"/>
              <w:marBottom w:val="0"/>
              <w:divBdr>
                <w:top w:val="none" w:sz="0" w:space="0" w:color="auto"/>
                <w:left w:val="none" w:sz="0" w:space="0" w:color="auto"/>
                <w:bottom w:val="none" w:sz="0" w:space="0" w:color="auto"/>
                <w:right w:val="none" w:sz="0" w:space="0" w:color="auto"/>
              </w:divBdr>
            </w:div>
          </w:divsChild>
        </w:div>
        <w:div w:id="71199395">
          <w:marLeft w:val="0"/>
          <w:marRight w:val="0"/>
          <w:marTop w:val="0"/>
          <w:marBottom w:val="0"/>
          <w:divBdr>
            <w:top w:val="none" w:sz="0" w:space="0" w:color="auto"/>
            <w:left w:val="none" w:sz="0" w:space="0" w:color="auto"/>
            <w:bottom w:val="none" w:sz="0" w:space="0" w:color="auto"/>
            <w:right w:val="none" w:sz="0" w:space="0" w:color="auto"/>
          </w:divBdr>
          <w:divsChild>
            <w:div w:id="795607994">
              <w:marLeft w:val="0"/>
              <w:marRight w:val="0"/>
              <w:marTop w:val="0"/>
              <w:marBottom w:val="0"/>
              <w:divBdr>
                <w:top w:val="none" w:sz="0" w:space="0" w:color="auto"/>
                <w:left w:val="none" w:sz="0" w:space="0" w:color="auto"/>
                <w:bottom w:val="none" w:sz="0" w:space="0" w:color="auto"/>
                <w:right w:val="none" w:sz="0" w:space="0" w:color="auto"/>
              </w:divBdr>
            </w:div>
          </w:divsChild>
        </w:div>
        <w:div w:id="76942201">
          <w:marLeft w:val="0"/>
          <w:marRight w:val="0"/>
          <w:marTop w:val="0"/>
          <w:marBottom w:val="0"/>
          <w:divBdr>
            <w:top w:val="none" w:sz="0" w:space="0" w:color="auto"/>
            <w:left w:val="none" w:sz="0" w:space="0" w:color="auto"/>
            <w:bottom w:val="none" w:sz="0" w:space="0" w:color="auto"/>
            <w:right w:val="none" w:sz="0" w:space="0" w:color="auto"/>
          </w:divBdr>
          <w:divsChild>
            <w:div w:id="1398087248">
              <w:marLeft w:val="0"/>
              <w:marRight w:val="0"/>
              <w:marTop w:val="0"/>
              <w:marBottom w:val="0"/>
              <w:divBdr>
                <w:top w:val="none" w:sz="0" w:space="0" w:color="auto"/>
                <w:left w:val="none" w:sz="0" w:space="0" w:color="auto"/>
                <w:bottom w:val="none" w:sz="0" w:space="0" w:color="auto"/>
                <w:right w:val="none" w:sz="0" w:space="0" w:color="auto"/>
              </w:divBdr>
            </w:div>
          </w:divsChild>
        </w:div>
        <w:div w:id="78448336">
          <w:marLeft w:val="0"/>
          <w:marRight w:val="0"/>
          <w:marTop w:val="0"/>
          <w:marBottom w:val="0"/>
          <w:divBdr>
            <w:top w:val="none" w:sz="0" w:space="0" w:color="auto"/>
            <w:left w:val="none" w:sz="0" w:space="0" w:color="auto"/>
            <w:bottom w:val="none" w:sz="0" w:space="0" w:color="auto"/>
            <w:right w:val="none" w:sz="0" w:space="0" w:color="auto"/>
          </w:divBdr>
          <w:divsChild>
            <w:div w:id="65107019">
              <w:marLeft w:val="0"/>
              <w:marRight w:val="0"/>
              <w:marTop w:val="0"/>
              <w:marBottom w:val="0"/>
              <w:divBdr>
                <w:top w:val="none" w:sz="0" w:space="0" w:color="auto"/>
                <w:left w:val="none" w:sz="0" w:space="0" w:color="auto"/>
                <w:bottom w:val="none" w:sz="0" w:space="0" w:color="auto"/>
                <w:right w:val="none" w:sz="0" w:space="0" w:color="auto"/>
              </w:divBdr>
            </w:div>
          </w:divsChild>
        </w:div>
        <w:div w:id="81462110">
          <w:marLeft w:val="0"/>
          <w:marRight w:val="0"/>
          <w:marTop w:val="0"/>
          <w:marBottom w:val="0"/>
          <w:divBdr>
            <w:top w:val="none" w:sz="0" w:space="0" w:color="auto"/>
            <w:left w:val="none" w:sz="0" w:space="0" w:color="auto"/>
            <w:bottom w:val="none" w:sz="0" w:space="0" w:color="auto"/>
            <w:right w:val="none" w:sz="0" w:space="0" w:color="auto"/>
          </w:divBdr>
          <w:divsChild>
            <w:div w:id="162012105">
              <w:marLeft w:val="0"/>
              <w:marRight w:val="0"/>
              <w:marTop w:val="0"/>
              <w:marBottom w:val="0"/>
              <w:divBdr>
                <w:top w:val="none" w:sz="0" w:space="0" w:color="auto"/>
                <w:left w:val="none" w:sz="0" w:space="0" w:color="auto"/>
                <w:bottom w:val="none" w:sz="0" w:space="0" w:color="auto"/>
                <w:right w:val="none" w:sz="0" w:space="0" w:color="auto"/>
              </w:divBdr>
            </w:div>
          </w:divsChild>
        </w:div>
        <w:div w:id="85006365">
          <w:marLeft w:val="0"/>
          <w:marRight w:val="0"/>
          <w:marTop w:val="0"/>
          <w:marBottom w:val="0"/>
          <w:divBdr>
            <w:top w:val="none" w:sz="0" w:space="0" w:color="auto"/>
            <w:left w:val="none" w:sz="0" w:space="0" w:color="auto"/>
            <w:bottom w:val="none" w:sz="0" w:space="0" w:color="auto"/>
            <w:right w:val="none" w:sz="0" w:space="0" w:color="auto"/>
          </w:divBdr>
          <w:divsChild>
            <w:div w:id="1767841831">
              <w:marLeft w:val="0"/>
              <w:marRight w:val="0"/>
              <w:marTop w:val="0"/>
              <w:marBottom w:val="0"/>
              <w:divBdr>
                <w:top w:val="none" w:sz="0" w:space="0" w:color="auto"/>
                <w:left w:val="none" w:sz="0" w:space="0" w:color="auto"/>
                <w:bottom w:val="none" w:sz="0" w:space="0" w:color="auto"/>
                <w:right w:val="none" w:sz="0" w:space="0" w:color="auto"/>
              </w:divBdr>
            </w:div>
          </w:divsChild>
        </w:div>
        <w:div w:id="86079720">
          <w:marLeft w:val="0"/>
          <w:marRight w:val="0"/>
          <w:marTop w:val="0"/>
          <w:marBottom w:val="0"/>
          <w:divBdr>
            <w:top w:val="none" w:sz="0" w:space="0" w:color="auto"/>
            <w:left w:val="none" w:sz="0" w:space="0" w:color="auto"/>
            <w:bottom w:val="none" w:sz="0" w:space="0" w:color="auto"/>
            <w:right w:val="none" w:sz="0" w:space="0" w:color="auto"/>
          </w:divBdr>
          <w:divsChild>
            <w:div w:id="590236027">
              <w:marLeft w:val="0"/>
              <w:marRight w:val="0"/>
              <w:marTop w:val="0"/>
              <w:marBottom w:val="0"/>
              <w:divBdr>
                <w:top w:val="none" w:sz="0" w:space="0" w:color="auto"/>
                <w:left w:val="none" w:sz="0" w:space="0" w:color="auto"/>
                <w:bottom w:val="none" w:sz="0" w:space="0" w:color="auto"/>
                <w:right w:val="none" w:sz="0" w:space="0" w:color="auto"/>
              </w:divBdr>
            </w:div>
          </w:divsChild>
        </w:div>
        <w:div w:id="89589408">
          <w:marLeft w:val="0"/>
          <w:marRight w:val="0"/>
          <w:marTop w:val="0"/>
          <w:marBottom w:val="0"/>
          <w:divBdr>
            <w:top w:val="none" w:sz="0" w:space="0" w:color="auto"/>
            <w:left w:val="none" w:sz="0" w:space="0" w:color="auto"/>
            <w:bottom w:val="none" w:sz="0" w:space="0" w:color="auto"/>
            <w:right w:val="none" w:sz="0" w:space="0" w:color="auto"/>
          </w:divBdr>
          <w:divsChild>
            <w:div w:id="534392909">
              <w:marLeft w:val="0"/>
              <w:marRight w:val="0"/>
              <w:marTop w:val="0"/>
              <w:marBottom w:val="0"/>
              <w:divBdr>
                <w:top w:val="none" w:sz="0" w:space="0" w:color="auto"/>
                <w:left w:val="none" w:sz="0" w:space="0" w:color="auto"/>
                <w:bottom w:val="none" w:sz="0" w:space="0" w:color="auto"/>
                <w:right w:val="none" w:sz="0" w:space="0" w:color="auto"/>
              </w:divBdr>
            </w:div>
          </w:divsChild>
        </w:div>
        <w:div w:id="94327318">
          <w:marLeft w:val="0"/>
          <w:marRight w:val="0"/>
          <w:marTop w:val="0"/>
          <w:marBottom w:val="0"/>
          <w:divBdr>
            <w:top w:val="none" w:sz="0" w:space="0" w:color="auto"/>
            <w:left w:val="none" w:sz="0" w:space="0" w:color="auto"/>
            <w:bottom w:val="none" w:sz="0" w:space="0" w:color="auto"/>
            <w:right w:val="none" w:sz="0" w:space="0" w:color="auto"/>
          </w:divBdr>
          <w:divsChild>
            <w:div w:id="1720930183">
              <w:marLeft w:val="0"/>
              <w:marRight w:val="0"/>
              <w:marTop w:val="0"/>
              <w:marBottom w:val="0"/>
              <w:divBdr>
                <w:top w:val="none" w:sz="0" w:space="0" w:color="auto"/>
                <w:left w:val="none" w:sz="0" w:space="0" w:color="auto"/>
                <w:bottom w:val="none" w:sz="0" w:space="0" w:color="auto"/>
                <w:right w:val="none" w:sz="0" w:space="0" w:color="auto"/>
              </w:divBdr>
            </w:div>
          </w:divsChild>
        </w:div>
        <w:div w:id="101076355">
          <w:marLeft w:val="0"/>
          <w:marRight w:val="0"/>
          <w:marTop w:val="0"/>
          <w:marBottom w:val="0"/>
          <w:divBdr>
            <w:top w:val="none" w:sz="0" w:space="0" w:color="auto"/>
            <w:left w:val="none" w:sz="0" w:space="0" w:color="auto"/>
            <w:bottom w:val="none" w:sz="0" w:space="0" w:color="auto"/>
            <w:right w:val="none" w:sz="0" w:space="0" w:color="auto"/>
          </w:divBdr>
          <w:divsChild>
            <w:div w:id="319696049">
              <w:marLeft w:val="0"/>
              <w:marRight w:val="0"/>
              <w:marTop w:val="0"/>
              <w:marBottom w:val="0"/>
              <w:divBdr>
                <w:top w:val="none" w:sz="0" w:space="0" w:color="auto"/>
                <w:left w:val="none" w:sz="0" w:space="0" w:color="auto"/>
                <w:bottom w:val="none" w:sz="0" w:space="0" w:color="auto"/>
                <w:right w:val="none" w:sz="0" w:space="0" w:color="auto"/>
              </w:divBdr>
            </w:div>
          </w:divsChild>
        </w:div>
        <w:div w:id="108858570">
          <w:marLeft w:val="0"/>
          <w:marRight w:val="0"/>
          <w:marTop w:val="0"/>
          <w:marBottom w:val="0"/>
          <w:divBdr>
            <w:top w:val="none" w:sz="0" w:space="0" w:color="auto"/>
            <w:left w:val="none" w:sz="0" w:space="0" w:color="auto"/>
            <w:bottom w:val="none" w:sz="0" w:space="0" w:color="auto"/>
            <w:right w:val="none" w:sz="0" w:space="0" w:color="auto"/>
          </w:divBdr>
          <w:divsChild>
            <w:div w:id="1612972429">
              <w:marLeft w:val="0"/>
              <w:marRight w:val="0"/>
              <w:marTop w:val="0"/>
              <w:marBottom w:val="0"/>
              <w:divBdr>
                <w:top w:val="none" w:sz="0" w:space="0" w:color="auto"/>
                <w:left w:val="none" w:sz="0" w:space="0" w:color="auto"/>
                <w:bottom w:val="none" w:sz="0" w:space="0" w:color="auto"/>
                <w:right w:val="none" w:sz="0" w:space="0" w:color="auto"/>
              </w:divBdr>
            </w:div>
          </w:divsChild>
        </w:div>
        <w:div w:id="109857238">
          <w:marLeft w:val="0"/>
          <w:marRight w:val="0"/>
          <w:marTop w:val="0"/>
          <w:marBottom w:val="0"/>
          <w:divBdr>
            <w:top w:val="none" w:sz="0" w:space="0" w:color="auto"/>
            <w:left w:val="none" w:sz="0" w:space="0" w:color="auto"/>
            <w:bottom w:val="none" w:sz="0" w:space="0" w:color="auto"/>
            <w:right w:val="none" w:sz="0" w:space="0" w:color="auto"/>
          </w:divBdr>
          <w:divsChild>
            <w:div w:id="887424531">
              <w:marLeft w:val="0"/>
              <w:marRight w:val="0"/>
              <w:marTop w:val="0"/>
              <w:marBottom w:val="0"/>
              <w:divBdr>
                <w:top w:val="none" w:sz="0" w:space="0" w:color="auto"/>
                <w:left w:val="none" w:sz="0" w:space="0" w:color="auto"/>
                <w:bottom w:val="none" w:sz="0" w:space="0" w:color="auto"/>
                <w:right w:val="none" w:sz="0" w:space="0" w:color="auto"/>
              </w:divBdr>
            </w:div>
          </w:divsChild>
        </w:div>
        <w:div w:id="109933101">
          <w:marLeft w:val="0"/>
          <w:marRight w:val="0"/>
          <w:marTop w:val="0"/>
          <w:marBottom w:val="0"/>
          <w:divBdr>
            <w:top w:val="none" w:sz="0" w:space="0" w:color="auto"/>
            <w:left w:val="none" w:sz="0" w:space="0" w:color="auto"/>
            <w:bottom w:val="none" w:sz="0" w:space="0" w:color="auto"/>
            <w:right w:val="none" w:sz="0" w:space="0" w:color="auto"/>
          </w:divBdr>
          <w:divsChild>
            <w:div w:id="384374782">
              <w:marLeft w:val="0"/>
              <w:marRight w:val="0"/>
              <w:marTop w:val="0"/>
              <w:marBottom w:val="0"/>
              <w:divBdr>
                <w:top w:val="none" w:sz="0" w:space="0" w:color="auto"/>
                <w:left w:val="none" w:sz="0" w:space="0" w:color="auto"/>
                <w:bottom w:val="none" w:sz="0" w:space="0" w:color="auto"/>
                <w:right w:val="none" w:sz="0" w:space="0" w:color="auto"/>
              </w:divBdr>
            </w:div>
          </w:divsChild>
        </w:div>
        <w:div w:id="110906777">
          <w:marLeft w:val="0"/>
          <w:marRight w:val="0"/>
          <w:marTop w:val="0"/>
          <w:marBottom w:val="0"/>
          <w:divBdr>
            <w:top w:val="none" w:sz="0" w:space="0" w:color="auto"/>
            <w:left w:val="none" w:sz="0" w:space="0" w:color="auto"/>
            <w:bottom w:val="none" w:sz="0" w:space="0" w:color="auto"/>
            <w:right w:val="none" w:sz="0" w:space="0" w:color="auto"/>
          </w:divBdr>
          <w:divsChild>
            <w:div w:id="1684627136">
              <w:marLeft w:val="0"/>
              <w:marRight w:val="0"/>
              <w:marTop w:val="0"/>
              <w:marBottom w:val="0"/>
              <w:divBdr>
                <w:top w:val="none" w:sz="0" w:space="0" w:color="auto"/>
                <w:left w:val="none" w:sz="0" w:space="0" w:color="auto"/>
                <w:bottom w:val="none" w:sz="0" w:space="0" w:color="auto"/>
                <w:right w:val="none" w:sz="0" w:space="0" w:color="auto"/>
              </w:divBdr>
            </w:div>
          </w:divsChild>
        </w:div>
        <w:div w:id="114299609">
          <w:marLeft w:val="0"/>
          <w:marRight w:val="0"/>
          <w:marTop w:val="0"/>
          <w:marBottom w:val="0"/>
          <w:divBdr>
            <w:top w:val="none" w:sz="0" w:space="0" w:color="auto"/>
            <w:left w:val="none" w:sz="0" w:space="0" w:color="auto"/>
            <w:bottom w:val="none" w:sz="0" w:space="0" w:color="auto"/>
            <w:right w:val="none" w:sz="0" w:space="0" w:color="auto"/>
          </w:divBdr>
          <w:divsChild>
            <w:div w:id="566961919">
              <w:marLeft w:val="0"/>
              <w:marRight w:val="0"/>
              <w:marTop w:val="0"/>
              <w:marBottom w:val="0"/>
              <w:divBdr>
                <w:top w:val="none" w:sz="0" w:space="0" w:color="auto"/>
                <w:left w:val="none" w:sz="0" w:space="0" w:color="auto"/>
                <w:bottom w:val="none" w:sz="0" w:space="0" w:color="auto"/>
                <w:right w:val="none" w:sz="0" w:space="0" w:color="auto"/>
              </w:divBdr>
            </w:div>
          </w:divsChild>
        </w:div>
        <w:div w:id="119538580">
          <w:marLeft w:val="0"/>
          <w:marRight w:val="0"/>
          <w:marTop w:val="0"/>
          <w:marBottom w:val="0"/>
          <w:divBdr>
            <w:top w:val="none" w:sz="0" w:space="0" w:color="auto"/>
            <w:left w:val="none" w:sz="0" w:space="0" w:color="auto"/>
            <w:bottom w:val="none" w:sz="0" w:space="0" w:color="auto"/>
            <w:right w:val="none" w:sz="0" w:space="0" w:color="auto"/>
          </w:divBdr>
          <w:divsChild>
            <w:div w:id="2063360340">
              <w:marLeft w:val="0"/>
              <w:marRight w:val="0"/>
              <w:marTop w:val="0"/>
              <w:marBottom w:val="0"/>
              <w:divBdr>
                <w:top w:val="none" w:sz="0" w:space="0" w:color="auto"/>
                <w:left w:val="none" w:sz="0" w:space="0" w:color="auto"/>
                <w:bottom w:val="none" w:sz="0" w:space="0" w:color="auto"/>
                <w:right w:val="none" w:sz="0" w:space="0" w:color="auto"/>
              </w:divBdr>
            </w:div>
          </w:divsChild>
        </w:div>
        <w:div w:id="119692858">
          <w:marLeft w:val="0"/>
          <w:marRight w:val="0"/>
          <w:marTop w:val="0"/>
          <w:marBottom w:val="0"/>
          <w:divBdr>
            <w:top w:val="none" w:sz="0" w:space="0" w:color="auto"/>
            <w:left w:val="none" w:sz="0" w:space="0" w:color="auto"/>
            <w:bottom w:val="none" w:sz="0" w:space="0" w:color="auto"/>
            <w:right w:val="none" w:sz="0" w:space="0" w:color="auto"/>
          </w:divBdr>
          <w:divsChild>
            <w:div w:id="446892033">
              <w:marLeft w:val="0"/>
              <w:marRight w:val="0"/>
              <w:marTop w:val="0"/>
              <w:marBottom w:val="0"/>
              <w:divBdr>
                <w:top w:val="none" w:sz="0" w:space="0" w:color="auto"/>
                <w:left w:val="none" w:sz="0" w:space="0" w:color="auto"/>
                <w:bottom w:val="none" w:sz="0" w:space="0" w:color="auto"/>
                <w:right w:val="none" w:sz="0" w:space="0" w:color="auto"/>
              </w:divBdr>
            </w:div>
          </w:divsChild>
        </w:div>
        <w:div w:id="124008103">
          <w:marLeft w:val="0"/>
          <w:marRight w:val="0"/>
          <w:marTop w:val="0"/>
          <w:marBottom w:val="0"/>
          <w:divBdr>
            <w:top w:val="none" w:sz="0" w:space="0" w:color="auto"/>
            <w:left w:val="none" w:sz="0" w:space="0" w:color="auto"/>
            <w:bottom w:val="none" w:sz="0" w:space="0" w:color="auto"/>
            <w:right w:val="none" w:sz="0" w:space="0" w:color="auto"/>
          </w:divBdr>
          <w:divsChild>
            <w:div w:id="1507090192">
              <w:marLeft w:val="0"/>
              <w:marRight w:val="0"/>
              <w:marTop w:val="0"/>
              <w:marBottom w:val="0"/>
              <w:divBdr>
                <w:top w:val="none" w:sz="0" w:space="0" w:color="auto"/>
                <w:left w:val="none" w:sz="0" w:space="0" w:color="auto"/>
                <w:bottom w:val="none" w:sz="0" w:space="0" w:color="auto"/>
                <w:right w:val="none" w:sz="0" w:space="0" w:color="auto"/>
              </w:divBdr>
            </w:div>
          </w:divsChild>
        </w:div>
        <w:div w:id="128939862">
          <w:marLeft w:val="0"/>
          <w:marRight w:val="0"/>
          <w:marTop w:val="0"/>
          <w:marBottom w:val="0"/>
          <w:divBdr>
            <w:top w:val="none" w:sz="0" w:space="0" w:color="auto"/>
            <w:left w:val="none" w:sz="0" w:space="0" w:color="auto"/>
            <w:bottom w:val="none" w:sz="0" w:space="0" w:color="auto"/>
            <w:right w:val="none" w:sz="0" w:space="0" w:color="auto"/>
          </w:divBdr>
          <w:divsChild>
            <w:div w:id="577710747">
              <w:marLeft w:val="0"/>
              <w:marRight w:val="0"/>
              <w:marTop w:val="0"/>
              <w:marBottom w:val="0"/>
              <w:divBdr>
                <w:top w:val="none" w:sz="0" w:space="0" w:color="auto"/>
                <w:left w:val="none" w:sz="0" w:space="0" w:color="auto"/>
                <w:bottom w:val="none" w:sz="0" w:space="0" w:color="auto"/>
                <w:right w:val="none" w:sz="0" w:space="0" w:color="auto"/>
              </w:divBdr>
            </w:div>
          </w:divsChild>
        </w:div>
        <w:div w:id="129398196">
          <w:marLeft w:val="0"/>
          <w:marRight w:val="0"/>
          <w:marTop w:val="0"/>
          <w:marBottom w:val="0"/>
          <w:divBdr>
            <w:top w:val="none" w:sz="0" w:space="0" w:color="auto"/>
            <w:left w:val="none" w:sz="0" w:space="0" w:color="auto"/>
            <w:bottom w:val="none" w:sz="0" w:space="0" w:color="auto"/>
            <w:right w:val="none" w:sz="0" w:space="0" w:color="auto"/>
          </w:divBdr>
          <w:divsChild>
            <w:div w:id="745080322">
              <w:marLeft w:val="0"/>
              <w:marRight w:val="0"/>
              <w:marTop w:val="0"/>
              <w:marBottom w:val="0"/>
              <w:divBdr>
                <w:top w:val="none" w:sz="0" w:space="0" w:color="auto"/>
                <w:left w:val="none" w:sz="0" w:space="0" w:color="auto"/>
                <w:bottom w:val="none" w:sz="0" w:space="0" w:color="auto"/>
                <w:right w:val="none" w:sz="0" w:space="0" w:color="auto"/>
              </w:divBdr>
            </w:div>
          </w:divsChild>
        </w:div>
        <w:div w:id="130830673">
          <w:marLeft w:val="0"/>
          <w:marRight w:val="0"/>
          <w:marTop w:val="0"/>
          <w:marBottom w:val="0"/>
          <w:divBdr>
            <w:top w:val="none" w:sz="0" w:space="0" w:color="auto"/>
            <w:left w:val="none" w:sz="0" w:space="0" w:color="auto"/>
            <w:bottom w:val="none" w:sz="0" w:space="0" w:color="auto"/>
            <w:right w:val="none" w:sz="0" w:space="0" w:color="auto"/>
          </w:divBdr>
          <w:divsChild>
            <w:div w:id="1049845533">
              <w:marLeft w:val="0"/>
              <w:marRight w:val="0"/>
              <w:marTop w:val="0"/>
              <w:marBottom w:val="0"/>
              <w:divBdr>
                <w:top w:val="none" w:sz="0" w:space="0" w:color="auto"/>
                <w:left w:val="none" w:sz="0" w:space="0" w:color="auto"/>
                <w:bottom w:val="none" w:sz="0" w:space="0" w:color="auto"/>
                <w:right w:val="none" w:sz="0" w:space="0" w:color="auto"/>
              </w:divBdr>
            </w:div>
          </w:divsChild>
        </w:div>
        <w:div w:id="144319625">
          <w:marLeft w:val="0"/>
          <w:marRight w:val="0"/>
          <w:marTop w:val="0"/>
          <w:marBottom w:val="0"/>
          <w:divBdr>
            <w:top w:val="none" w:sz="0" w:space="0" w:color="auto"/>
            <w:left w:val="none" w:sz="0" w:space="0" w:color="auto"/>
            <w:bottom w:val="none" w:sz="0" w:space="0" w:color="auto"/>
            <w:right w:val="none" w:sz="0" w:space="0" w:color="auto"/>
          </w:divBdr>
          <w:divsChild>
            <w:div w:id="103810002">
              <w:marLeft w:val="0"/>
              <w:marRight w:val="0"/>
              <w:marTop w:val="0"/>
              <w:marBottom w:val="0"/>
              <w:divBdr>
                <w:top w:val="none" w:sz="0" w:space="0" w:color="auto"/>
                <w:left w:val="none" w:sz="0" w:space="0" w:color="auto"/>
                <w:bottom w:val="none" w:sz="0" w:space="0" w:color="auto"/>
                <w:right w:val="none" w:sz="0" w:space="0" w:color="auto"/>
              </w:divBdr>
            </w:div>
          </w:divsChild>
        </w:div>
        <w:div w:id="146170694">
          <w:marLeft w:val="0"/>
          <w:marRight w:val="0"/>
          <w:marTop w:val="0"/>
          <w:marBottom w:val="0"/>
          <w:divBdr>
            <w:top w:val="none" w:sz="0" w:space="0" w:color="auto"/>
            <w:left w:val="none" w:sz="0" w:space="0" w:color="auto"/>
            <w:bottom w:val="none" w:sz="0" w:space="0" w:color="auto"/>
            <w:right w:val="none" w:sz="0" w:space="0" w:color="auto"/>
          </w:divBdr>
          <w:divsChild>
            <w:div w:id="2063794553">
              <w:marLeft w:val="0"/>
              <w:marRight w:val="0"/>
              <w:marTop w:val="0"/>
              <w:marBottom w:val="0"/>
              <w:divBdr>
                <w:top w:val="none" w:sz="0" w:space="0" w:color="auto"/>
                <w:left w:val="none" w:sz="0" w:space="0" w:color="auto"/>
                <w:bottom w:val="none" w:sz="0" w:space="0" w:color="auto"/>
                <w:right w:val="none" w:sz="0" w:space="0" w:color="auto"/>
              </w:divBdr>
            </w:div>
          </w:divsChild>
        </w:div>
        <w:div w:id="149366334">
          <w:marLeft w:val="0"/>
          <w:marRight w:val="0"/>
          <w:marTop w:val="0"/>
          <w:marBottom w:val="0"/>
          <w:divBdr>
            <w:top w:val="none" w:sz="0" w:space="0" w:color="auto"/>
            <w:left w:val="none" w:sz="0" w:space="0" w:color="auto"/>
            <w:bottom w:val="none" w:sz="0" w:space="0" w:color="auto"/>
            <w:right w:val="none" w:sz="0" w:space="0" w:color="auto"/>
          </w:divBdr>
          <w:divsChild>
            <w:div w:id="1122844310">
              <w:marLeft w:val="0"/>
              <w:marRight w:val="0"/>
              <w:marTop w:val="0"/>
              <w:marBottom w:val="0"/>
              <w:divBdr>
                <w:top w:val="none" w:sz="0" w:space="0" w:color="auto"/>
                <w:left w:val="none" w:sz="0" w:space="0" w:color="auto"/>
                <w:bottom w:val="none" w:sz="0" w:space="0" w:color="auto"/>
                <w:right w:val="none" w:sz="0" w:space="0" w:color="auto"/>
              </w:divBdr>
            </w:div>
          </w:divsChild>
        </w:div>
        <w:div w:id="155726161">
          <w:marLeft w:val="0"/>
          <w:marRight w:val="0"/>
          <w:marTop w:val="0"/>
          <w:marBottom w:val="0"/>
          <w:divBdr>
            <w:top w:val="none" w:sz="0" w:space="0" w:color="auto"/>
            <w:left w:val="none" w:sz="0" w:space="0" w:color="auto"/>
            <w:bottom w:val="none" w:sz="0" w:space="0" w:color="auto"/>
            <w:right w:val="none" w:sz="0" w:space="0" w:color="auto"/>
          </w:divBdr>
          <w:divsChild>
            <w:div w:id="1710640978">
              <w:marLeft w:val="0"/>
              <w:marRight w:val="0"/>
              <w:marTop w:val="0"/>
              <w:marBottom w:val="0"/>
              <w:divBdr>
                <w:top w:val="none" w:sz="0" w:space="0" w:color="auto"/>
                <w:left w:val="none" w:sz="0" w:space="0" w:color="auto"/>
                <w:bottom w:val="none" w:sz="0" w:space="0" w:color="auto"/>
                <w:right w:val="none" w:sz="0" w:space="0" w:color="auto"/>
              </w:divBdr>
            </w:div>
          </w:divsChild>
        </w:div>
        <w:div w:id="161094813">
          <w:marLeft w:val="0"/>
          <w:marRight w:val="0"/>
          <w:marTop w:val="0"/>
          <w:marBottom w:val="0"/>
          <w:divBdr>
            <w:top w:val="none" w:sz="0" w:space="0" w:color="auto"/>
            <w:left w:val="none" w:sz="0" w:space="0" w:color="auto"/>
            <w:bottom w:val="none" w:sz="0" w:space="0" w:color="auto"/>
            <w:right w:val="none" w:sz="0" w:space="0" w:color="auto"/>
          </w:divBdr>
          <w:divsChild>
            <w:div w:id="1403021786">
              <w:marLeft w:val="0"/>
              <w:marRight w:val="0"/>
              <w:marTop w:val="0"/>
              <w:marBottom w:val="0"/>
              <w:divBdr>
                <w:top w:val="none" w:sz="0" w:space="0" w:color="auto"/>
                <w:left w:val="none" w:sz="0" w:space="0" w:color="auto"/>
                <w:bottom w:val="none" w:sz="0" w:space="0" w:color="auto"/>
                <w:right w:val="none" w:sz="0" w:space="0" w:color="auto"/>
              </w:divBdr>
            </w:div>
          </w:divsChild>
        </w:div>
        <w:div w:id="163277541">
          <w:marLeft w:val="0"/>
          <w:marRight w:val="0"/>
          <w:marTop w:val="0"/>
          <w:marBottom w:val="0"/>
          <w:divBdr>
            <w:top w:val="none" w:sz="0" w:space="0" w:color="auto"/>
            <w:left w:val="none" w:sz="0" w:space="0" w:color="auto"/>
            <w:bottom w:val="none" w:sz="0" w:space="0" w:color="auto"/>
            <w:right w:val="none" w:sz="0" w:space="0" w:color="auto"/>
          </w:divBdr>
          <w:divsChild>
            <w:div w:id="1573270709">
              <w:marLeft w:val="0"/>
              <w:marRight w:val="0"/>
              <w:marTop w:val="0"/>
              <w:marBottom w:val="0"/>
              <w:divBdr>
                <w:top w:val="none" w:sz="0" w:space="0" w:color="auto"/>
                <w:left w:val="none" w:sz="0" w:space="0" w:color="auto"/>
                <w:bottom w:val="none" w:sz="0" w:space="0" w:color="auto"/>
                <w:right w:val="none" w:sz="0" w:space="0" w:color="auto"/>
              </w:divBdr>
            </w:div>
          </w:divsChild>
        </w:div>
        <w:div w:id="163325019">
          <w:marLeft w:val="0"/>
          <w:marRight w:val="0"/>
          <w:marTop w:val="0"/>
          <w:marBottom w:val="0"/>
          <w:divBdr>
            <w:top w:val="none" w:sz="0" w:space="0" w:color="auto"/>
            <w:left w:val="none" w:sz="0" w:space="0" w:color="auto"/>
            <w:bottom w:val="none" w:sz="0" w:space="0" w:color="auto"/>
            <w:right w:val="none" w:sz="0" w:space="0" w:color="auto"/>
          </w:divBdr>
          <w:divsChild>
            <w:div w:id="660624864">
              <w:marLeft w:val="0"/>
              <w:marRight w:val="0"/>
              <w:marTop w:val="0"/>
              <w:marBottom w:val="0"/>
              <w:divBdr>
                <w:top w:val="none" w:sz="0" w:space="0" w:color="auto"/>
                <w:left w:val="none" w:sz="0" w:space="0" w:color="auto"/>
                <w:bottom w:val="none" w:sz="0" w:space="0" w:color="auto"/>
                <w:right w:val="none" w:sz="0" w:space="0" w:color="auto"/>
              </w:divBdr>
            </w:div>
          </w:divsChild>
        </w:div>
        <w:div w:id="163478856">
          <w:marLeft w:val="0"/>
          <w:marRight w:val="0"/>
          <w:marTop w:val="0"/>
          <w:marBottom w:val="0"/>
          <w:divBdr>
            <w:top w:val="none" w:sz="0" w:space="0" w:color="auto"/>
            <w:left w:val="none" w:sz="0" w:space="0" w:color="auto"/>
            <w:bottom w:val="none" w:sz="0" w:space="0" w:color="auto"/>
            <w:right w:val="none" w:sz="0" w:space="0" w:color="auto"/>
          </w:divBdr>
          <w:divsChild>
            <w:div w:id="1204250638">
              <w:marLeft w:val="0"/>
              <w:marRight w:val="0"/>
              <w:marTop w:val="0"/>
              <w:marBottom w:val="0"/>
              <w:divBdr>
                <w:top w:val="none" w:sz="0" w:space="0" w:color="auto"/>
                <w:left w:val="none" w:sz="0" w:space="0" w:color="auto"/>
                <w:bottom w:val="none" w:sz="0" w:space="0" w:color="auto"/>
                <w:right w:val="none" w:sz="0" w:space="0" w:color="auto"/>
              </w:divBdr>
            </w:div>
          </w:divsChild>
        </w:div>
        <w:div w:id="164170565">
          <w:marLeft w:val="0"/>
          <w:marRight w:val="0"/>
          <w:marTop w:val="0"/>
          <w:marBottom w:val="0"/>
          <w:divBdr>
            <w:top w:val="none" w:sz="0" w:space="0" w:color="auto"/>
            <w:left w:val="none" w:sz="0" w:space="0" w:color="auto"/>
            <w:bottom w:val="none" w:sz="0" w:space="0" w:color="auto"/>
            <w:right w:val="none" w:sz="0" w:space="0" w:color="auto"/>
          </w:divBdr>
          <w:divsChild>
            <w:div w:id="1062027239">
              <w:marLeft w:val="0"/>
              <w:marRight w:val="0"/>
              <w:marTop w:val="0"/>
              <w:marBottom w:val="0"/>
              <w:divBdr>
                <w:top w:val="none" w:sz="0" w:space="0" w:color="auto"/>
                <w:left w:val="none" w:sz="0" w:space="0" w:color="auto"/>
                <w:bottom w:val="none" w:sz="0" w:space="0" w:color="auto"/>
                <w:right w:val="none" w:sz="0" w:space="0" w:color="auto"/>
              </w:divBdr>
            </w:div>
          </w:divsChild>
        </w:div>
        <w:div w:id="165022320">
          <w:marLeft w:val="0"/>
          <w:marRight w:val="0"/>
          <w:marTop w:val="0"/>
          <w:marBottom w:val="0"/>
          <w:divBdr>
            <w:top w:val="none" w:sz="0" w:space="0" w:color="auto"/>
            <w:left w:val="none" w:sz="0" w:space="0" w:color="auto"/>
            <w:bottom w:val="none" w:sz="0" w:space="0" w:color="auto"/>
            <w:right w:val="none" w:sz="0" w:space="0" w:color="auto"/>
          </w:divBdr>
          <w:divsChild>
            <w:div w:id="322514177">
              <w:marLeft w:val="0"/>
              <w:marRight w:val="0"/>
              <w:marTop w:val="0"/>
              <w:marBottom w:val="0"/>
              <w:divBdr>
                <w:top w:val="none" w:sz="0" w:space="0" w:color="auto"/>
                <w:left w:val="none" w:sz="0" w:space="0" w:color="auto"/>
                <w:bottom w:val="none" w:sz="0" w:space="0" w:color="auto"/>
                <w:right w:val="none" w:sz="0" w:space="0" w:color="auto"/>
              </w:divBdr>
            </w:div>
          </w:divsChild>
        </w:div>
        <w:div w:id="167990877">
          <w:marLeft w:val="0"/>
          <w:marRight w:val="0"/>
          <w:marTop w:val="0"/>
          <w:marBottom w:val="0"/>
          <w:divBdr>
            <w:top w:val="none" w:sz="0" w:space="0" w:color="auto"/>
            <w:left w:val="none" w:sz="0" w:space="0" w:color="auto"/>
            <w:bottom w:val="none" w:sz="0" w:space="0" w:color="auto"/>
            <w:right w:val="none" w:sz="0" w:space="0" w:color="auto"/>
          </w:divBdr>
          <w:divsChild>
            <w:div w:id="1848057558">
              <w:marLeft w:val="0"/>
              <w:marRight w:val="0"/>
              <w:marTop w:val="0"/>
              <w:marBottom w:val="0"/>
              <w:divBdr>
                <w:top w:val="none" w:sz="0" w:space="0" w:color="auto"/>
                <w:left w:val="none" w:sz="0" w:space="0" w:color="auto"/>
                <w:bottom w:val="none" w:sz="0" w:space="0" w:color="auto"/>
                <w:right w:val="none" w:sz="0" w:space="0" w:color="auto"/>
              </w:divBdr>
            </w:div>
          </w:divsChild>
        </w:div>
        <w:div w:id="175577155">
          <w:marLeft w:val="0"/>
          <w:marRight w:val="0"/>
          <w:marTop w:val="0"/>
          <w:marBottom w:val="0"/>
          <w:divBdr>
            <w:top w:val="none" w:sz="0" w:space="0" w:color="auto"/>
            <w:left w:val="none" w:sz="0" w:space="0" w:color="auto"/>
            <w:bottom w:val="none" w:sz="0" w:space="0" w:color="auto"/>
            <w:right w:val="none" w:sz="0" w:space="0" w:color="auto"/>
          </w:divBdr>
          <w:divsChild>
            <w:div w:id="1656763182">
              <w:marLeft w:val="0"/>
              <w:marRight w:val="0"/>
              <w:marTop w:val="0"/>
              <w:marBottom w:val="0"/>
              <w:divBdr>
                <w:top w:val="none" w:sz="0" w:space="0" w:color="auto"/>
                <w:left w:val="none" w:sz="0" w:space="0" w:color="auto"/>
                <w:bottom w:val="none" w:sz="0" w:space="0" w:color="auto"/>
                <w:right w:val="none" w:sz="0" w:space="0" w:color="auto"/>
              </w:divBdr>
            </w:div>
          </w:divsChild>
        </w:div>
        <w:div w:id="175653769">
          <w:marLeft w:val="0"/>
          <w:marRight w:val="0"/>
          <w:marTop w:val="0"/>
          <w:marBottom w:val="0"/>
          <w:divBdr>
            <w:top w:val="none" w:sz="0" w:space="0" w:color="auto"/>
            <w:left w:val="none" w:sz="0" w:space="0" w:color="auto"/>
            <w:bottom w:val="none" w:sz="0" w:space="0" w:color="auto"/>
            <w:right w:val="none" w:sz="0" w:space="0" w:color="auto"/>
          </w:divBdr>
          <w:divsChild>
            <w:div w:id="1395935014">
              <w:marLeft w:val="0"/>
              <w:marRight w:val="0"/>
              <w:marTop w:val="0"/>
              <w:marBottom w:val="0"/>
              <w:divBdr>
                <w:top w:val="none" w:sz="0" w:space="0" w:color="auto"/>
                <w:left w:val="none" w:sz="0" w:space="0" w:color="auto"/>
                <w:bottom w:val="none" w:sz="0" w:space="0" w:color="auto"/>
                <w:right w:val="none" w:sz="0" w:space="0" w:color="auto"/>
              </w:divBdr>
            </w:div>
          </w:divsChild>
        </w:div>
        <w:div w:id="177237044">
          <w:marLeft w:val="0"/>
          <w:marRight w:val="0"/>
          <w:marTop w:val="0"/>
          <w:marBottom w:val="0"/>
          <w:divBdr>
            <w:top w:val="none" w:sz="0" w:space="0" w:color="auto"/>
            <w:left w:val="none" w:sz="0" w:space="0" w:color="auto"/>
            <w:bottom w:val="none" w:sz="0" w:space="0" w:color="auto"/>
            <w:right w:val="none" w:sz="0" w:space="0" w:color="auto"/>
          </w:divBdr>
          <w:divsChild>
            <w:div w:id="622271106">
              <w:marLeft w:val="0"/>
              <w:marRight w:val="0"/>
              <w:marTop w:val="0"/>
              <w:marBottom w:val="0"/>
              <w:divBdr>
                <w:top w:val="none" w:sz="0" w:space="0" w:color="auto"/>
                <w:left w:val="none" w:sz="0" w:space="0" w:color="auto"/>
                <w:bottom w:val="none" w:sz="0" w:space="0" w:color="auto"/>
                <w:right w:val="none" w:sz="0" w:space="0" w:color="auto"/>
              </w:divBdr>
            </w:div>
          </w:divsChild>
        </w:div>
        <w:div w:id="179315439">
          <w:marLeft w:val="0"/>
          <w:marRight w:val="0"/>
          <w:marTop w:val="0"/>
          <w:marBottom w:val="0"/>
          <w:divBdr>
            <w:top w:val="none" w:sz="0" w:space="0" w:color="auto"/>
            <w:left w:val="none" w:sz="0" w:space="0" w:color="auto"/>
            <w:bottom w:val="none" w:sz="0" w:space="0" w:color="auto"/>
            <w:right w:val="none" w:sz="0" w:space="0" w:color="auto"/>
          </w:divBdr>
          <w:divsChild>
            <w:div w:id="1066104474">
              <w:marLeft w:val="0"/>
              <w:marRight w:val="0"/>
              <w:marTop w:val="0"/>
              <w:marBottom w:val="0"/>
              <w:divBdr>
                <w:top w:val="none" w:sz="0" w:space="0" w:color="auto"/>
                <w:left w:val="none" w:sz="0" w:space="0" w:color="auto"/>
                <w:bottom w:val="none" w:sz="0" w:space="0" w:color="auto"/>
                <w:right w:val="none" w:sz="0" w:space="0" w:color="auto"/>
              </w:divBdr>
            </w:div>
          </w:divsChild>
        </w:div>
        <w:div w:id="181170943">
          <w:marLeft w:val="0"/>
          <w:marRight w:val="0"/>
          <w:marTop w:val="0"/>
          <w:marBottom w:val="0"/>
          <w:divBdr>
            <w:top w:val="none" w:sz="0" w:space="0" w:color="auto"/>
            <w:left w:val="none" w:sz="0" w:space="0" w:color="auto"/>
            <w:bottom w:val="none" w:sz="0" w:space="0" w:color="auto"/>
            <w:right w:val="none" w:sz="0" w:space="0" w:color="auto"/>
          </w:divBdr>
          <w:divsChild>
            <w:div w:id="1685128906">
              <w:marLeft w:val="0"/>
              <w:marRight w:val="0"/>
              <w:marTop w:val="0"/>
              <w:marBottom w:val="0"/>
              <w:divBdr>
                <w:top w:val="none" w:sz="0" w:space="0" w:color="auto"/>
                <w:left w:val="none" w:sz="0" w:space="0" w:color="auto"/>
                <w:bottom w:val="none" w:sz="0" w:space="0" w:color="auto"/>
                <w:right w:val="none" w:sz="0" w:space="0" w:color="auto"/>
              </w:divBdr>
            </w:div>
          </w:divsChild>
        </w:div>
        <w:div w:id="184291365">
          <w:marLeft w:val="0"/>
          <w:marRight w:val="0"/>
          <w:marTop w:val="0"/>
          <w:marBottom w:val="0"/>
          <w:divBdr>
            <w:top w:val="none" w:sz="0" w:space="0" w:color="auto"/>
            <w:left w:val="none" w:sz="0" w:space="0" w:color="auto"/>
            <w:bottom w:val="none" w:sz="0" w:space="0" w:color="auto"/>
            <w:right w:val="none" w:sz="0" w:space="0" w:color="auto"/>
          </w:divBdr>
          <w:divsChild>
            <w:div w:id="142311223">
              <w:marLeft w:val="0"/>
              <w:marRight w:val="0"/>
              <w:marTop w:val="0"/>
              <w:marBottom w:val="0"/>
              <w:divBdr>
                <w:top w:val="none" w:sz="0" w:space="0" w:color="auto"/>
                <w:left w:val="none" w:sz="0" w:space="0" w:color="auto"/>
                <w:bottom w:val="none" w:sz="0" w:space="0" w:color="auto"/>
                <w:right w:val="none" w:sz="0" w:space="0" w:color="auto"/>
              </w:divBdr>
            </w:div>
          </w:divsChild>
        </w:div>
        <w:div w:id="185095366">
          <w:marLeft w:val="0"/>
          <w:marRight w:val="0"/>
          <w:marTop w:val="0"/>
          <w:marBottom w:val="0"/>
          <w:divBdr>
            <w:top w:val="none" w:sz="0" w:space="0" w:color="auto"/>
            <w:left w:val="none" w:sz="0" w:space="0" w:color="auto"/>
            <w:bottom w:val="none" w:sz="0" w:space="0" w:color="auto"/>
            <w:right w:val="none" w:sz="0" w:space="0" w:color="auto"/>
          </w:divBdr>
          <w:divsChild>
            <w:div w:id="1023942622">
              <w:marLeft w:val="0"/>
              <w:marRight w:val="0"/>
              <w:marTop w:val="0"/>
              <w:marBottom w:val="0"/>
              <w:divBdr>
                <w:top w:val="none" w:sz="0" w:space="0" w:color="auto"/>
                <w:left w:val="none" w:sz="0" w:space="0" w:color="auto"/>
                <w:bottom w:val="none" w:sz="0" w:space="0" w:color="auto"/>
                <w:right w:val="none" w:sz="0" w:space="0" w:color="auto"/>
              </w:divBdr>
            </w:div>
          </w:divsChild>
        </w:div>
        <w:div w:id="187182872">
          <w:marLeft w:val="0"/>
          <w:marRight w:val="0"/>
          <w:marTop w:val="0"/>
          <w:marBottom w:val="0"/>
          <w:divBdr>
            <w:top w:val="none" w:sz="0" w:space="0" w:color="auto"/>
            <w:left w:val="none" w:sz="0" w:space="0" w:color="auto"/>
            <w:bottom w:val="none" w:sz="0" w:space="0" w:color="auto"/>
            <w:right w:val="none" w:sz="0" w:space="0" w:color="auto"/>
          </w:divBdr>
          <w:divsChild>
            <w:div w:id="1882208787">
              <w:marLeft w:val="0"/>
              <w:marRight w:val="0"/>
              <w:marTop w:val="0"/>
              <w:marBottom w:val="0"/>
              <w:divBdr>
                <w:top w:val="none" w:sz="0" w:space="0" w:color="auto"/>
                <w:left w:val="none" w:sz="0" w:space="0" w:color="auto"/>
                <w:bottom w:val="none" w:sz="0" w:space="0" w:color="auto"/>
                <w:right w:val="none" w:sz="0" w:space="0" w:color="auto"/>
              </w:divBdr>
            </w:div>
          </w:divsChild>
        </w:div>
        <w:div w:id="204299231">
          <w:marLeft w:val="0"/>
          <w:marRight w:val="0"/>
          <w:marTop w:val="0"/>
          <w:marBottom w:val="0"/>
          <w:divBdr>
            <w:top w:val="none" w:sz="0" w:space="0" w:color="auto"/>
            <w:left w:val="none" w:sz="0" w:space="0" w:color="auto"/>
            <w:bottom w:val="none" w:sz="0" w:space="0" w:color="auto"/>
            <w:right w:val="none" w:sz="0" w:space="0" w:color="auto"/>
          </w:divBdr>
          <w:divsChild>
            <w:div w:id="1321928304">
              <w:marLeft w:val="0"/>
              <w:marRight w:val="0"/>
              <w:marTop w:val="0"/>
              <w:marBottom w:val="0"/>
              <w:divBdr>
                <w:top w:val="none" w:sz="0" w:space="0" w:color="auto"/>
                <w:left w:val="none" w:sz="0" w:space="0" w:color="auto"/>
                <w:bottom w:val="none" w:sz="0" w:space="0" w:color="auto"/>
                <w:right w:val="none" w:sz="0" w:space="0" w:color="auto"/>
              </w:divBdr>
            </w:div>
          </w:divsChild>
        </w:div>
        <w:div w:id="206142733">
          <w:marLeft w:val="0"/>
          <w:marRight w:val="0"/>
          <w:marTop w:val="0"/>
          <w:marBottom w:val="0"/>
          <w:divBdr>
            <w:top w:val="none" w:sz="0" w:space="0" w:color="auto"/>
            <w:left w:val="none" w:sz="0" w:space="0" w:color="auto"/>
            <w:bottom w:val="none" w:sz="0" w:space="0" w:color="auto"/>
            <w:right w:val="none" w:sz="0" w:space="0" w:color="auto"/>
          </w:divBdr>
          <w:divsChild>
            <w:div w:id="630326259">
              <w:marLeft w:val="0"/>
              <w:marRight w:val="0"/>
              <w:marTop w:val="0"/>
              <w:marBottom w:val="0"/>
              <w:divBdr>
                <w:top w:val="none" w:sz="0" w:space="0" w:color="auto"/>
                <w:left w:val="none" w:sz="0" w:space="0" w:color="auto"/>
                <w:bottom w:val="none" w:sz="0" w:space="0" w:color="auto"/>
                <w:right w:val="none" w:sz="0" w:space="0" w:color="auto"/>
              </w:divBdr>
            </w:div>
          </w:divsChild>
        </w:div>
        <w:div w:id="208733494">
          <w:marLeft w:val="0"/>
          <w:marRight w:val="0"/>
          <w:marTop w:val="0"/>
          <w:marBottom w:val="0"/>
          <w:divBdr>
            <w:top w:val="none" w:sz="0" w:space="0" w:color="auto"/>
            <w:left w:val="none" w:sz="0" w:space="0" w:color="auto"/>
            <w:bottom w:val="none" w:sz="0" w:space="0" w:color="auto"/>
            <w:right w:val="none" w:sz="0" w:space="0" w:color="auto"/>
          </w:divBdr>
          <w:divsChild>
            <w:div w:id="580024479">
              <w:marLeft w:val="0"/>
              <w:marRight w:val="0"/>
              <w:marTop w:val="0"/>
              <w:marBottom w:val="0"/>
              <w:divBdr>
                <w:top w:val="none" w:sz="0" w:space="0" w:color="auto"/>
                <w:left w:val="none" w:sz="0" w:space="0" w:color="auto"/>
                <w:bottom w:val="none" w:sz="0" w:space="0" w:color="auto"/>
                <w:right w:val="none" w:sz="0" w:space="0" w:color="auto"/>
              </w:divBdr>
            </w:div>
          </w:divsChild>
        </w:div>
        <w:div w:id="212086035">
          <w:marLeft w:val="0"/>
          <w:marRight w:val="0"/>
          <w:marTop w:val="0"/>
          <w:marBottom w:val="0"/>
          <w:divBdr>
            <w:top w:val="none" w:sz="0" w:space="0" w:color="auto"/>
            <w:left w:val="none" w:sz="0" w:space="0" w:color="auto"/>
            <w:bottom w:val="none" w:sz="0" w:space="0" w:color="auto"/>
            <w:right w:val="none" w:sz="0" w:space="0" w:color="auto"/>
          </w:divBdr>
          <w:divsChild>
            <w:div w:id="1911305917">
              <w:marLeft w:val="0"/>
              <w:marRight w:val="0"/>
              <w:marTop w:val="0"/>
              <w:marBottom w:val="0"/>
              <w:divBdr>
                <w:top w:val="none" w:sz="0" w:space="0" w:color="auto"/>
                <w:left w:val="none" w:sz="0" w:space="0" w:color="auto"/>
                <w:bottom w:val="none" w:sz="0" w:space="0" w:color="auto"/>
                <w:right w:val="none" w:sz="0" w:space="0" w:color="auto"/>
              </w:divBdr>
            </w:div>
          </w:divsChild>
        </w:div>
        <w:div w:id="213659148">
          <w:marLeft w:val="0"/>
          <w:marRight w:val="0"/>
          <w:marTop w:val="0"/>
          <w:marBottom w:val="0"/>
          <w:divBdr>
            <w:top w:val="none" w:sz="0" w:space="0" w:color="auto"/>
            <w:left w:val="none" w:sz="0" w:space="0" w:color="auto"/>
            <w:bottom w:val="none" w:sz="0" w:space="0" w:color="auto"/>
            <w:right w:val="none" w:sz="0" w:space="0" w:color="auto"/>
          </w:divBdr>
          <w:divsChild>
            <w:div w:id="1481577677">
              <w:marLeft w:val="0"/>
              <w:marRight w:val="0"/>
              <w:marTop w:val="0"/>
              <w:marBottom w:val="0"/>
              <w:divBdr>
                <w:top w:val="none" w:sz="0" w:space="0" w:color="auto"/>
                <w:left w:val="none" w:sz="0" w:space="0" w:color="auto"/>
                <w:bottom w:val="none" w:sz="0" w:space="0" w:color="auto"/>
                <w:right w:val="none" w:sz="0" w:space="0" w:color="auto"/>
              </w:divBdr>
            </w:div>
          </w:divsChild>
        </w:div>
        <w:div w:id="215314117">
          <w:marLeft w:val="0"/>
          <w:marRight w:val="0"/>
          <w:marTop w:val="0"/>
          <w:marBottom w:val="0"/>
          <w:divBdr>
            <w:top w:val="none" w:sz="0" w:space="0" w:color="auto"/>
            <w:left w:val="none" w:sz="0" w:space="0" w:color="auto"/>
            <w:bottom w:val="none" w:sz="0" w:space="0" w:color="auto"/>
            <w:right w:val="none" w:sz="0" w:space="0" w:color="auto"/>
          </w:divBdr>
          <w:divsChild>
            <w:div w:id="1685086315">
              <w:marLeft w:val="0"/>
              <w:marRight w:val="0"/>
              <w:marTop w:val="0"/>
              <w:marBottom w:val="0"/>
              <w:divBdr>
                <w:top w:val="none" w:sz="0" w:space="0" w:color="auto"/>
                <w:left w:val="none" w:sz="0" w:space="0" w:color="auto"/>
                <w:bottom w:val="none" w:sz="0" w:space="0" w:color="auto"/>
                <w:right w:val="none" w:sz="0" w:space="0" w:color="auto"/>
              </w:divBdr>
            </w:div>
          </w:divsChild>
        </w:div>
        <w:div w:id="217592381">
          <w:marLeft w:val="0"/>
          <w:marRight w:val="0"/>
          <w:marTop w:val="0"/>
          <w:marBottom w:val="0"/>
          <w:divBdr>
            <w:top w:val="none" w:sz="0" w:space="0" w:color="auto"/>
            <w:left w:val="none" w:sz="0" w:space="0" w:color="auto"/>
            <w:bottom w:val="none" w:sz="0" w:space="0" w:color="auto"/>
            <w:right w:val="none" w:sz="0" w:space="0" w:color="auto"/>
          </w:divBdr>
          <w:divsChild>
            <w:div w:id="1801533694">
              <w:marLeft w:val="0"/>
              <w:marRight w:val="0"/>
              <w:marTop w:val="0"/>
              <w:marBottom w:val="0"/>
              <w:divBdr>
                <w:top w:val="none" w:sz="0" w:space="0" w:color="auto"/>
                <w:left w:val="none" w:sz="0" w:space="0" w:color="auto"/>
                <w:bottom w:val="none" w:sz="0" w:space="0" w:color="auto"/>
                <w:right w:val="none" w:sz="0" w:space="0" w:color="auto"/>
              </w:divBdr>
            </w:div>
          </w:divsChild>
        </w:div>
        <w:div w:id="218250765">
          <w:marLeft w:val="0"/>
          <w:marRight w:val="0"/>
          <w:marTop w:val="0"/>
          <w:marBottom w:val="0"/>
          <w:divBdr>
            <w:top w:val="none" w:sz="0" w:space="0" w:color="auto"/>
            <w:left w:val="none" w:sz="0" w:space="0" w:color="auto"/>
            <w:bottom w:val="none" w:sz="0" w:space="0" w:color="auto"/>
            <w:right w:val="none" w:sz="0" w:space="0" w:color="auto"/>
          </w:divBdr>
          <w:divsChild>
            <w:div w:id="307781025">
              <w:marLeft w:val="0"/>
              <w:marRight w:val="0"/>
              <w:marTop w:val="0"/>
              <w:marBottom w:val="0"/>
              <w:divBdr>
                <w:top w:val="none" w:sz="0" w:space="0" w:color="auto"/>
                <w:left w:val="none" w:sz="0" w:space="0" w:color="auto"/>
                <w:bottom w:val="none" w:sz="0" w:space="0" w:color="auto"/>
                <w:right w:val="none" w:sz="0" w:space="0" w:color="auto"/>
              </w:divBdr>
            </w:div>
          </w:divsChild>
        </w:div>
        <w:div w:id="219289291">
          <w:marLeft w:val="0"/>
          <w:marRight w:val="0"/>
          <w:marTop w:val="0"/>
          <w:marBottom w:val="0"/>
          <w:divBdr>
            <w:top w:val="none" w:sz="0" w:space="0" w:color="auto"/>
            <w:left w:val="none" w:sz="0" w:space="0" w:color="auto"/>
            <w:bottom w:val="none" w:sz="0" w:space="0" w:color="auto"/>
            <w:right w:val="none" w:sz="0" w:space="0" w:color="auto"/>
          </w:divBdr>
          <w:divsChild>
            <w:div w:id="1945187445">
              <w:marLeft w:val="0"/>
              <w:marRight w:val="0"/>
              <w:marTop w:val="0"/>
              <w:marBottom w:val="0"/>
              <w:divBdr>
                <w:top w:val="none" w:sz="0" w:space="0" w:color="auto"/>
                <w:left w:val="none" w:sz="0" w:space="0" w:color="auto"/>
                <w:bottom w:val="none" w:sz="0" w:space="0" w:color="auto"/>
                <w:right w:val="none" w:sz="0" w:space="0" w:color="auto"/>
              </w:divBdr>
            </w:div>
          </w:divsChild>
        </w:div>
        <w:div w:id="219902001">
          <w:marLeft w:val="0"/>
          <w:marRight w:val="0"/>
          <w:marTop w:val="0"/>
          <w:marBottom w:val="0"/>
          <w:divBdr>
            <w:top w:val="none" w:sz="0" w:space="0" w:color="auto"/>
            <w:left w:val="none" w:sz="0" w:space="0" w:color="auto"/>
            <w:bottom w:val="none" w:sz="0" w:space="0" w:color="auto"/>
            <w:right w:val="none" w:sz="0" w:space="0" w:color="auto"/>
          </w:divBdr>
          <w:divsChild>
            <w:div w:id="263154372">
              <w:marLeft w:val="0"/>
              <w:marRight w:val="0"/>
              <w:marTop w:val="0"/>
              <w:marBottom w:val="0"/>
              <w:divBdr>
                <w:top w:val="none" w:sz="0" w:space="0" w:color="auto"/>
                <w:left w:val="none" w:sz="0" w:space="0" w:color="auto"/>
                <w:bottom w:val="none" w:sz="0" w:space="0" w:color="auto"/>
                <w:right w:val="none" w:sz="0" w:space="0" w:color="auto"/>
              </w:divBdr>
            </w:div>
          </w:divsChild>
        </w:div>
        <w:div w:id="221327457">
          <w:marLeft w:val="0"/>
          <w:marRight w:val="0"/>
          <w:marTop w:val="0"/>
          <w:marBottom w:val="0"/>
          <w:divBdr>
            <w:top w:val="none" w:sz="0" w:space="0" w:color="auto"/>
            <w:left w:val="none" w:sz="0" w:space="0" w:color="auto"/>
            <w:bottom w:val="none" w:sz="0" w:space="0" w:color="auto"/>
            <w:right w:val="none" w:sz="0" w:space="0" w:color="auto"/>
          </w:divBdr>
          <w:divsChild>
            <w:div w:id="1709573658">
              <w:marLeft w:val="0"/>
              <w:marRight w:val="0"/>
              <w:marTop w:val="0"/>
              <w:marBottom w:val="0"/>
              <w:divBdr>
                <w:top w:val="none" w:sz="0" w:space="0" w:color="auto"/>
                <w:left w:val="none" w:sz="0" w:space="0" w:color="auto"/>
                <w:bottom w:val="none" w:sz="0" w:space="0" w:color="auto"/>
                <w:right w:val="none" w:sz="0" w:space="0" w:color="auto"/>
              </w:divBdr>
            </w:div>
          </w:divsChild>
        </w:div>
        <w:div w:id="225844883">
          <w:marLeft w:val="0"/>
          <w:marRight w:val="0"/>
          <w:marTop w:val="0"/>
          <w:marBottom w:val="0"/>
          <w:divBdr>
            <w:top w:val="none" w:sz="0" w:space="0" w:color="auto"/>
            <w:left w:val="none" w:sz="0" w:space="0" w:color="auto"/>
            <w:bottom w:val="none" w:sz="0" w:space="0" w:color="auto"/>
            <w:right w:val="none" w:sz="0" w:space="0" w:color="auto"/>
          </w:divBdr>
          <w:divsChild>
            <w:div w:id="711928568">
              <w:marLeft w:val="0"/>
              <w:marRight w:val="0"/>
              <w:marTop w:val="0"/>
              <w:marBottom w:val="0"/>
              <w:divBdr>
                <w:top w:val="none" w:sz="0" w:space="0" w:color="auto"/>
                <w:left w:val="none" w:sz="0" w:space="0" w:color="auto"/>
                <w:bottom w:val="none" w:sz="0" w:space="0" w:color="auto"/>
                <w:right w:val="none" w:sz="0" w:space="0" w:color="auto"/>
              </w:divBdr>
            </w:div>
          </w:divsChild>
        </w:div>
        <w:div w:id="230123676">
          <w:marLeft w:val="0"/>
          <w:marRight w:val="0"/>
          <w:marTop w:val="0"/>
          <w:marBottom w:val="0"/>
          <w:divBdr>
            <w:top w:val="none" w:sz="0" w:space="0" w:color="auto"/>
            <w:left w:val="none" w:sz="0" w:space="0" w:color="auto"/>
            <w:bottom w:val="none" w:sz="0" w:space="0" w:color="auto"/>
            <w:right w:val="none" w:sz="0" w:space="0" w:color="auto"/>
          </w:divBdr>
          <w:divsChild>
            <w:div w:id="709495692">
              <w:marLeft w:val="0"/>
              <w:marRight w:val="0"/>
              <w:marTop w:val="0"/>
              <w:marBottom w:val="0"/>
              <w:divBdr>
                <w:top w:val="none" w:sz="0" w:space="0" w:color="auto"/>
                <w:left w:val="none" w:sz="0" w:space="0" w:color="auto"/>
                <w:bottom w:val="none" w:sz="0" w:space="0" w:color="auto"/>
                <w:right w:val="none" w:sz="0" w:space="0" w:color="auto"/>
              </w:divBdr>
            </w:div>
          </w:divsChild>
        </w:div>
        <w:div w:id="230626233">
          <w:marLeft w:val="0"/>
          <w:marRight w:val="0"/>
          <w:marTop w:val="0"/>
          <w:marBottom w:val="0"/>
          <w:divBdr>
            <w:top w:val="none" w:sz="0" w:space="0" w:color="auto"/>
            <w:left w:val="none" w:sz="0" w:space="0" w:color="auto"/>
            <w:bottom w:val="none" w:sz="0" w:space="0" w:color="auto"/>
            <w:right w:val="none" w:sz="0" w:space="0" w:color="auto"/>
          </w:divBdr>
          <w:divsChild>
            <w:div w:id="1389960504">
              <w:marLeft w:val="0"/>
              <w:marRight w:val="0"/>
              <w:marTop w:val="0"/>
              <w:marBottom w:val="0"/>
              <w:divBdr>
                <w:top w:val="none" w:sz="0" w:space="0" w:color="auto"/>
                <w:left w:val="none" w:sz="0" w:space="0" w:color="auto"/>
                <w:bottom w:val="none" w:sz="0" w:space="0" w:color="auto"/>
                <w:right w:val="none" w:sz="0" w:space="0" w:color="auto"/>
              </w:divBdr>
            </w:div>
          </w:divsChild>
        </w:div>
        <w:div w:id="239026277">
          <w:marLeft w:val="0"/>
          <w:marRight w:val="0"/>
          <w:marTop w:val="0"/>
          <w:marBottom w:val="0"/>
          <w:divBdr>
            <w:top w:val="none" w:sz="0" w:space="0" w:color="auto"/>
            <w:left w:val="none" w:sz="0" w:space="0" w:color="auto"/>
            <w:bottom w:val="none" w:sz="0" w:space="0" w:color="auto"/>
            <w:right w:val="none" w:sz="0" w:space="0" w:color="auto"/>
          </w:divBdr>
          <w:divsChild>
            <w:div w:id="1945069555">
              <w:marLeft w:val="0"/>
              <w:marRight w:val="0"/>
              <w:marTop w:val="0"/>
              <w:marBottom w:val="0"/>
              <w:divBdr>
                <w:top w:val="none" w:sz="0" w:space="0" w:color="auto"/>
                <w:left w:val="none" w:sz="0" w:space="0" w:color="auto"/>
                <w:bottom w:val="none" w:sz="0" w:space="0" w:color="auto"/>
                <w:right w:val="none" w:sz="0" w:space="0" w:color="auto"/>
              </w:divBdr>
            </w:div>
          </w:divsChild>
        </w:div>
        <w:div w:id="243299954">
          <w:marLeft w:val="0"/>
          <w:marRight w:val="0"/>
          <w:marTop w:val="0"/>
          <w:marBottom w:val="0"/>
          <w:divBdr>
            <w:top w:val="none" w:sz="0" w:space="0" w:color="auto"/>
            <w:left w:val="none" w:sz="0" w:space="0" w:color="auto"/>
            <w:bottom w:val="none" w:sz="0" w:space="0" w:color="auto"/>
            <w:right w:val="none" w:sz="0" w:space="0" w:color="auto"/>
          </w:divBdr>
          <w:divsChild>
            <w:div w:id="212696150">
              <w:marLeft w:val="0"/>
              <w:marRight w:val="0"/>
              <w:marTop w:val="0"/>
              <w:marBottom w:val="0"/>
              <w:divBdr>
                <w:top w:val="none" w:sz="0" w:space="0" w:color="auto"/>
                <w:left w:val="none" w:sz="0" w:space="0" w:color="auto"/>
                <w:bottom w:val="none" w:sz="0" w:space="0" w:color="auto"/>
                <w:right w:val="none" w:sz="0" w:space="0" w:color="auto"/>
              </w:divBdr>
            </w:div>
          </w:divsChild>
        </w:div>
        <w:div w:id="243538191">
          <w:marLeft w:val="0"/>
          <w:marRight w:val="0"/>
          <w:marTop w:val="0"/>
          <w:marBottom w:val="0"/>
          <w:divBdr>
            <w:top w:val="none" w:sz="0" w:space="0" w:color="auto"/>
            <w:left w:val="none" w:sz="0" w:space="0" w:color="auto"/>
            <w:bottom w:val="none" w:sz="0" w:space="0" w:color="auto"/>
            <w:right w:val="none" w:sz="0" w:space="0" w:color="auto"/>
          </w:divBdr>
          <w:divsChild>
            <w:div w:id="1073352949">
              <w:marLeft w:val="0"/>
              <w:marRight w:val="0"/>
              <w:marTop w:val="0"/>
              <w:marBottom w:val="0"/>
              <w:divBdr>
                <w:top w:val="none" w:sz="0" w:space="0" w:color="auto"/>
                <w:left w:val="none" w:sz="0" w:space="0" w:color="auto"/>
                <w:bottom w:val="none" w:sz="0" w:space="0" w:color="auto"/>
                <w:right w:val="none" w:sz="0" w:space="0" w:color="auto"/>
              </w:divBdr>
            </w:div>
          </w:divsChild>
        </w:div>
        <w:div w:id="245960587">
          <w:marLeft w:val="0"/>
          <w:marRight w:val="0"/>
          <w:marTop w:val="0"/>
          <w:marBottom w:val="0"/>
          <w:divBdr>
            <w:top w:val="none" w:sz="0" w:space="0" w:color="auto"/>
            <w:left w:val="none" w:sz="0" w:space="0" w:color="auto"/>
            <w:bottom w:val="none" w:sz="0" w:space="0" w:color="auto"/>
            <w:right w:val="none" w:sz="0" w:space="0" w:color="auto"/>
          </w:divBdr>
          <w:divsChild>
            <w:div w:id="2086173855">
              <w:marLeft w:val="0"/>
              <w:marRight w:val="0"/>
              <w:marTop w:val="0"/>
              <w:marBottom w:val="0"/>
              <w:divBdr>
                <w:top w:val="none" w:sz="0" w:space="0" w:color="auto"/>
                <w:left w:val="none" w:sz="0" w:space="0" w:color="auto"/>
                <w:bottom w:val="none" w:sz="0" w:space="0" w:color="auto"/>
                <w:right w:val="none" w:sz="0" w:space="0" w:color="auto"/>
              </w:divBdr>
            </w:div>
          </w:divsChild>
        </w:div>
        <w:div w:id="252319857">
          <w:marLeft w:val="0"/>
          <w:marRight w:val="0"/>
          <w:marTop w:val="0"/>
          <w:marBottom w:val="0"/>
          <w:divBdr>
            <w:top w:val="none" w:sz="0" w:space="0" w:color="auto"/>
            <w:left w:val="none" w:sz="0" w:space="0" w:color="auto"/>
            <w:bottom w:val="none" w:sz="0" w:space="0" w:color="auto"/>
            <w:right w:val="none" w:sz="0" w:space="0" w:color="auto"/>
          </w:divBdr>
          <w:divsChild>
            <w:div w:id="317807966">
              <w:marLeft w:val="0"/>
              <w:marRight w:val="0"/>
              <w:marTop w:val="0"/>
              <w:marBottom w:val="0"/>
              <w:divBdr>
                <w:top w:val="none" w:sz="0" w:space="0" w:color="auto"/>
                <w:left w:val="none" w:sz="0" w:space="0" w:color="auto"/>
                <w:bottom w:val="none" w:sz="0" w:space="0" w:color="auto"/>
                <w:right w:val="none" w:sz="0" w:space="0" w:color="auto"/>
              </w:divBdr>
            </w:div>
          </w:divsChild>
        </w:div>
        <w:div w:id="257105646">
          <w:marLeft w:val="0"/>
          <w:marRight w:val="0"/>
          <w:marTop w:val="0"/>
          <w:marBottom w:val="0"/>
          <w:divBdr>
            <w:top w:val="none" w:sz="0" w:space="0" w:color="auto"/>
            <w:left w:val="none" w:sz="0" w:space="0" w:color="auto"/>
            <w:bottom w:val="none" w:sz="0" w:space="0" w:color="auto"/>
            <w:right w:val="none" w:sz="0" w:space="0" w:color="auto"/>
          </w:divBdr>
          <w:divsChild>
            <w:div w:id="1726030644">
              <w:marLeft w:val="0"/>
              <w:marRight w:val="0"/>
              <w:marTop w:val="0"/>
              <w:marBottom w:val="0"/>
              <w:divBdr>
                <w:top w:val="none" w:sz="0" w:space="0" w:color="auto"/>
                <w:left w:val="none" w:sz="0" w:space="0" w:color="auto"/>
                <w:bottom w:val="none" w:sz="0" w:space="0" w:color="auto"/>
                <w:right w:val="none" w:sz="0" w:space="0" w:color="auto"/>
              </w:divBdr>
            </w:div>
          </w:divsChild>
        </w:div>
        <w:div w:id="259073498">
          <w:marLeft w:val="0"/>
          <w:marRight w:val="0"/>
          <w:marTop w:val="0"/>
          <w:marBottom w:val="0"/>
          <w:divBdr>
            <w:top w:val="none" w:sz="0" w:space="0" w:color="auto"/>
            <w:left w:val="none" w:sz="0" w:space="0" w:color="auto"/>
            <w:bottom w:val="none" w:sz="0" w:space="0" w:color="auto"/>
            <w:right w:val="none" w:sz="0" w:space="0" w:color="auto"/>
          </w:divBdr>
          <w:divsChild>
            <w:div w:id="594166519">
              <w:marLeft w:val="0"/>
              <w:marRight w:val="0"/>
              <w:marTop w:val="0"/>
              <w:marBottom w:val="0"/>
              <w:divBdr>
                <w:top w:val="none" w:sz="0" w:space="0" w:color="auto"/>
                <w:left w:val="none" w:sz="0" w:space="0" w:color="auto"/>
                <w:bottom w:val="none" w:sz="0" w:space="0" w:color="auto"/>
                <w:right w:val="none" w:sz="0" w:space="0" w:color="auto"/>
              </w:divBdr>
            </w:div>
          </w:divsChild>
        </w:div>
        <w:div w:id="261231801">
          <w:marLeft w:val="0"/>
          <w:marRight w:val="0"/>
          <w:marTop w:val="0"/>
          <w:marBottom w:val="0"/>
          <w:divBdr>
            <w:top w:val="none" w:sz="0" w:space="0" w:color="auto"/>
            <w:left w:val="none" w:sz="0" w:space="0" w:color="auto"/>
            <w:bottom w:val="none" w:sz="0" w:space="0" w:color="auto"/>
            <w:right w:val="none" w:sz="0" w:space="0" w:color="auto"/>
          </w:divBdr>
          <w:divsChild>
            <w:div w:id="1495678273">
              <w:marLeft w:val="0"/>
              <w:marRight w:val="0"/>
              <w:marTop w:val="0"/>
              <w:marBottom w:val="0"/>
              <w:divBdr>
                <w:top w:val="none" w:sz="0" w:space="0" w:color="auto"/>
                <w:left w:val="none" w:sz="0" w:space="0" w:color="auto"/>
                <w:bottom w:val="none" w:sz="0" w:space="0" w:color="auto"/>
                <w:right w:val="none" w:sz="0" w:space="0" w:color="auto"/>
              </w:divBdr>
            </w:div>
          </w:divsChild>
        </w:div>
        <w:div w:id="261571988">
          <w:marLeft w:val="0"/>
          <w:marRight w:val="0"/>
          <w:marTop w:val="0"/>
          <w:marBottom w:val="0"/>
          <w:divBdr>
            <w:top w:val="none" w:sz="0" w:space="0" w:color="auto"/>
            <w:left w:val="none" w:sz="0" w:space="0" w:color="auto"/>
            <w:bottom w:val="none" w:sz="0" w:space="0" w:color="auto"/>
            <w:right w:val="none" w:sz="0" w:space="0" w:color="auto"/>
          </w:divBdr>
          <w:divsChild>
            <w:div w:id="406079173">
              <w:marLeft w:val="0"/>
              <w:marRight w:val="0"/>
              <w:marTop w:val="0"/>
              <w:marBottom w:val="0"/>
              <w:divBdr>
                <w:top w:val="none" w:sz="0" w:space="0" w:color="auto"/>
                <w:left w:val="none" w:sz="0" w:space="0" w:color="auto"/>
                <w:bottom w:val="none" w:sz="0" w:space="0" w:color="auto"/>
                <w:right w:val="none" w:sz="0" w:space="0" w:color="auto"/>
              </w:divBdr>
            </w:div>
          </w:divsChild>
        </w:div>
        <w:div w:id="264267658">
          <w:marLeft w:val="0"/>
          <w:marRight w:val="0"/>
          <w:marTop w:val="0"/>
          <w:marBottom w:val="0"/>
          <w:divBdr>
            <w:top w:val="none" w:sz="0" w:space="0" w:color="auto"/>
            <w:left w:val="none" w:sz="0" w:space="0" w:color="auto"/>
            <w:bottom w:val="none" w:sz="0" w:space="0" w:color="auto"/>
            <w:right w:val="none" w:sz="0" w:space="0" w:color="auto"/>
          </w:divBdr>
          <w:divsChild>
            <w:div w:id="480780781">
              <w:marLeft w:val="0"/>
              <w:marRight w:val="0"/>
              <w:marTop w:val="0"/>
              <w:marBottom w:val="0"/>
              <w:divBdr>
                <w:top w:val="none" w:sz="0" w:space="0" w:color="auto"/>
                <w:left w:val="none" w:sz="0" w:space="0" w:color="auto"/>
                <w:bottom w:val="none" w:sz="0" w:space="0" w:color="auto"/>
                <w:right w:val="none" w:sz="0" w:space="0" w:color="auto"/>
              </w:divBdr>
            </w:div>
          </w:divsChild>
        </w:div>
        <w:div w:id="264919882">
          <w:marLeft w:val="0"/>
          <w:marRight w:val="0"/>
          <w:marTop w:val="0"/>
          <w:marBottom w:val="0"/>
          <w:divBdr>
            <w:top w:val="none" w:sz="0" w:space="0" w:color="auto"/>
            <w:left w:val="none" w:sz="0" w:space="0" w:color="auto"/>
            <w:bottom w:val="none" w:sz="0" w:space="0" w:color="auto"/>
            <w:right w:val="none" w:sz="0" w:space="0" w:color="auto"/>
          </w:divBdr>
          <w:divsChild>
            <w:div w:id="522717051">
              <w:marLeft w:val="0"/>
              <w:marRight w:val="0"/>
              <w:marTop w:val="0"/>
              <w:marBottom w:val="0"/>
              <w:divBdr>
                <w:top w:val="none" w:sz="0" w:space="0" w:color="auto"/>
                <w:left w:val="none" w:sz="0" w:space="0" w:color="auto"/>
                <w:bottom w:val="none" w:sz="0" w:space="0" w:color="auto"/>
                <w:right w:val="none" w:sz="0" w:space="0" w:color="auto"/>
              </w:divBdr>
            </w:div>
          </w:divsChild>
        </w:div>
        <w:div w:id="268706229">
          <w:marLeft w:val="0"/>
          <w:marRight w:val="0"/>
          <w:marTop w:val="0"/>
          <w:marBottom w:val="0"/>
          <w:divBdr>
            <w:top w:val="none" w:sz="0" w:space="0" w:color="auto"/>
            <w:left w:val="none" w:sz="0" w:space="0" w:color="auto"/>
            <w:bottom w:val="none" w:sz="0" w:space="0" w:color="auto"/>
            <w:right w:val="none" w:sz="0" w:space="0" w:color="auto"/>
          </w:divBdr>
          <w:divsChild>
            <w:div w:id="162472536">
              <w:marLeft w:val="0"/>
              <w:marRight w:val="0"/>
              <w:marTop w:val="0"/>
              <w:marBottom w:val="0"/>
              <w:divBdr>
                <w:top w:val="none" w:sz="0" w:space="0" w:color="auto"/>
                <w:left w:val="none" w:sz="0" w:space="0" w:color="auto"/>
                <w:bottom w:val="none" w:sz="0" w:space="0" w:color="auto"/>
                <w:right w:val="none" w:sz="0" w:space="0" w:color="auto"/>
              </w:divBdr>
            </w:div>
          </w:divsChild>
        </w:div>
        <w:div w:id="268851736">
          <w:marLeft w:val="0"/>
          <w:marRight w:val="0"/>
          <w:marTop w:val="0"/>
          <w:marBottom w:val="0"/>
          <w:divBdr>
            <w:top w:val="none" w:sz="0" w:space="0" w:color="auto"/>
            <w:left w:val="none" w:sz="0" w:space="0" w:color="auto"/>
            <w:bottom w:val="none" w:sz="0" w:space="0" w:color="auto"/>
            <w:right w:val="none" w:sz="0" w:space="0" w:color="auto"/>
          </w:divBdr>
          <w:divsChild>
            <w:div w:id="752167522">
              <w:marLeft w:val="0"/>
              <w:marRight w:val="0"/>
              <w:marTop w:val="0"/>
              <w:marBottom w:val="0"/>
              <w:divBdr>
                <w:top w:val="none" w:sz="0" w:space="0" w:color="auto"/>
                <w:left w:val="none" w:sz="0" w:space="0" w:color="auto"/>
                <w:bottom w:val="none" w:sz="0" w:space="0" w:color="auto"/>
                <w:right w:val="none" w:sz="0" w:space="0" w:color="auto"/>
              </w:divBdr>
            </w:div>
          </w:divsChild>
        </w:div>
        <w:div w:id="271784698">
          <w:marLeft w:val="0"/>
          <w:marRight w:val="0"/>
          <w:marTop w:val="0"/>
          <w:marBottom w:val="0"/>
          <w:divBdr>
            <w:top w:val="none" w:sz="0" w:space="0" w:color="auto"/>
            <w:left w:val="none" w:sz="0" w:space="0" w:color="auto"/>
            <w:bottom w:val="none" w:sz="0" w:space="0" w:color="auto"/>
            <w:right w:val="none" w:sz="0" w:space="0" w:color="auto"/>
          </w:divBdr>
          <w:divsChild>
            <w:div w:id="1407997581">
              <w:marLeft w:val="0"/>
              <w:marRight w:val="0"/>
              <w:marTop w:val="0"/>
              <w:marBottom w:val="0"/>
              <w:divBdr>
                <w:top w:val="none" w:sz="0" w:space="0" w:color="auto"/>
                <w:left w:val="none" w:sz="0" w:space="0" w:color="auto"/>
                <w:bottom w:val="none" w:sz="0" w:space="0" w:color="auto"/>
                <w:right w:val="none" w:sz="0" w:space="0" w:color="auto"/>
              </w:divBdr>
            </w:div>
          </w:divsChild>
        </w:div>
        <w:div w:id="272447368">
          <w:marLeft w:val="0"/>
          <w:marRight w:val="0"/>
          <w:marTop w:val="0"/>
          <w:marBottom w:val="0"/>
          <w:divBdr>
            <w:top w:val="none" w:sz="0" w:space="0" w:color="auto"/>
            <w:left w:val="none" w:sz="0" w:space="0" w:color="auto"/>
            <w:bottom w:val="none" w:sz="0" w:space="0" w:color="auto"/>
            <w:right w:val="none" w:sz="0" w:space="0" w:color="auto"/>
          </w:divBdr>
          <w:divsChild>
            <w:div w:id="1795754011">
              <w:marLeft w:val="0"/>
              <w:marRight w:val="0"/>
              <w:marTop w:val="0"/>
              <w:marBottom w:val="0"/>
              <w:divBdr>
                <w:top w:val="none" w:sz="0" w:space="0" w:color="auto"/>
                <w:left w:val="none" w:sz="0" w:space="0" w:color="auto"/>
                <w:bottom w:val="none" w:sz="0" w:space="0" w:color="auto"/>
                <w:right w:val="none" w:sz="0" w:space="0" w:color="auto"/>
              </w:divBdr>
            </w:div>
          </w:divsChild>
        </w:div>
        <w:div w:id="281308088">
          <w:marLeft w:val="0"/>
          <w:marRight w:val="0"/>
          <w:marTop w:val="0"/>
          <w:marBottom w:val="0"/>
          <w:divBdr>
            <w:top w:val="none" w:sz="0" w:space="0" w:color="auto"/>
            <w:left w:val="none" w:sz="0" w:space="0" w:color="auto"/>
            <w:bottom w:val="none" w:sz="0" w:space="0" w:color="auto"/>
            <w:right w:val="none" w:sz="0" w:space="0" w:color="auto"/>
          </w:divBdr>
          <w:divsChild>
            <w:div w:id="550773683">
              <w:marLeft w:val="0"/>
              <w:marRight w:val="0"/>
              <w:marTop w:val="0"/>
              <w:marBottom w:val="0"/>
              <w:divBdr>
                <w:top w:val="none" w:sz="0" w:space="0" w:color="auto"/>
                <w:left w:val="none" w:sz="0" w:space="0" w:color="auto"/>
                <w:bottom w:val="none" w:sz="0" w:space="0" w:color="auto"/>
                <w:right w:val="none" w:sz="0" w:space="0" w:color="auto"/>
              </w:divBdr>
            </w:div>
          </w:divsChild>
        </w:div>
        <w:div w:id="285741106">
          <w:marLeft w:val="0"/>
          <w:marRight w:val="0"/>
          <w:marTop w:val="0"/>
          <w:marBottom w:val="0"/>
          <w:divBdr>
            <w:top w:val="none" w:sz="0" w:space="0" w:color="auto"/>
            <w:left w:val="none" w:sz="0" w:space="0" w:color="auto"/>
            <w:bottom w:val="none" w:sz="0" w:space="0" w:color="auto"/>
            <w:right w:val="none" w:sz="0" w:space="0" w:color="auto"/>
          </w:divBdr>
          <w:divsChild>
            <w:div w:id="1118522954">
              <w:marLeft w:val="0"/>
              <w:marRight w:val="0"/>
              <w:marTop w:val="0"/>
              <w:marBottom w:val="0"/>
              <w:divBdr>
                <w:top w:val="none" w:sz="0" w:space="0" w:color="auto"/>
                <w:left w:val="none" w:sz="0" w:space="0" w:color="auto"/>
                <w:bottom w:val="none" w:sz="0" w:space="0" w:color="auto"/>
                <w:right w:val="none" w:sz="0" w:space="0" w:color="auto"/>
              </w:divBdr>
            </w:div>
          </w:divsChild>
        </w:div>
        <w:div w:id="288051178">
          <w:marLeft w:val="0"/>
          <w:marRight w:val="0"/>
          <w:marTop w:val="0"/>
          <w:marBottom w:val="0"/>
          <w:divBdr>
            <w:top w:val="none" w:sz="0" w:space="0" w:color="auto"/>
            <w:left w:val="none" w:sz="0" w:space="0" w:color="auto"/>
            <w:bottom w:val="none" w:sz="0" w:space="0" w:color="auto"/>
            <w:right w:val="none" w:sz="0" w:space="0" w:color="auto"/>
          </w:divBdr>
          <w:divsChild>
            <w:div w:id="1676692149">
              <w:marLeft w:val="0"/>
              <w:marRight w:val="0"/>
              <w:marTop w:val="0"/>
              <w:marBottom w:val="0"/>
              <w:divBdr>
                <w:top w:val="none" w:sz="0" w:space="0" w:color="auto"/>
                <w:left w:val="none" w:sz="0" w:space="0" w:color="auto"/>
                <w:bottom w:val="none" w:sz="0" w:space="0" w:color="auto"/>
                <w:right w:val="none" w:sz="0" w:space="0" w:color="auto"/>
              </w:divBdr>
            </w:div>
          </w:divsChild>
        </w:div>
        <w:div w:id="288172252">
          <w:marLeft w:val="0"/>
          <w:marRight w:val="0"/>
          <w:marTop w:val="0"/>
          <w:marBottom w:val="0"/>
          <w:divBdr>
            <w:top w:val="none" w:sz="0" w:space="0" w:color="auto"/>
            <w:left w:val="none" w:sz="0" w:space="0" w:color="auto"/>
            <w:bottom w:val="none" w:sz="0" w:space="0" w:color="auto"/>
            <w:right w:val="none" w:sz="0" w:space="0" w:color="auto"/>
          </w:divBdr>
          <w:divsChild>
            <w:div w:id="1786578318">
              <w:marLeft w:val="0"/>
              <w:marRight w:val="0"/>
              <w:marTop w:val="0"/>
              <w:marBottom w:val="0"/>
              <w:divBdr>
                <w:top w:val="none" w:sz="0" w:space="0" w:color="auto"/>
                <w:left w:val="none" w:sz="0" w:space="0" w:color="auto"/>
                <w:bottom w:val="none" w:sz="0" w:space="0" w:color="auto"/>
                <w:right w:val="none" w:sz="0" w:space="0" w:color="auto"/>
              </w:divBdr>
            </w:div>
          </w:divsChild>
        </w:div>
        <w:div w:id="290981971">
          <w:marLeft w:val="0"/>
          <w:marRight w:val="0"/>
          <w:marTop w:val="0"/>
          <w:marBottom w:val="0"/>
          <w:divBdr>
            <w:top w:val="none" w:sz="0" w:space="0" w:color="auto"/>
            <w:left w:val="none" w:sz="0" w:space="0" w:color="auto"/>
            <w:bottom w:val="none" w:sz="0" w:space="0" w:color="auto"/>
            <w:right w:val="none" w:sz="0" w:space="0" w:color="auto"/>
          </w:divBdr>
          <w:divsChild>
            <w:div w:id="1871913346">
              <w:marLeft w:val="0"/>
              <w:marRight w:val="0"/>
              <w:marTop w:val="0"/>
              <w:marBottom w:val="0"/>
              <w:divBdr>
                <w:top w:val="none" w:sz="0" w:space="0" w:color="auto"/>
                <w:left w:val="none" w:sz="0" w:space="0" w:color="auto"/>
                <w:bottom w:val="none" w:sz="0" w:space="0" w:color="auto"/>
                <w:right w:val="none" w:sz="0" w:space="0" w:color="auto"/>
              </w:divBdr>
            </w:div>
          </w:divsChild>
        </w:div>
        <w:div w:id="299194244">
          <w:marLeft w:val="0"/>
          <w:marRight w:val="0"/>
          <w:marTop w:val="0"/>
          <w:marBottom w:val="0"/>
          <w:divBdr>
            <w:top w:val="none" w:sz="0" w:space="0" w:color="auto"/>
            <w:left w:val="none" w:sz="0" w:space="0" w:color="auto"/>
            <w:bottom w:val="none" w:sz="0" w:space="0" w:color="auto"/>
            <w:right w:val="none" w:sz="0" w:space="0" w:color="auto"/>
          </w:divBdr>
          <w:divsChild>
            <w:div w:id="231625871">
              <w:marLeft w:val="0"/>
              <w:marRight w:val="0"/>
              <w:marTop w:val="0"/>
              <w:marBottom w:val="0"/>
              <w:divBdr>
                <w:top w:val="none" w:sz="0" w:space="0" w:color="auto"/>
                <w:left w:val="none" w:sz="0" w:space="0" w:color="auto"/>
                <w:bottom w:val="none" w:sz="0" w:space="0" w:color="auto"/>
                <w:right w:val="none" w:sz="0" w:space="0" w:color="auto"/>
              </w:divBdr>
            </w:div>
          </w:divsChild>
        </w:div>
        <w:div w:id="304119356">
          <w:marLeft w:val="0"/>
          <w:marRight w:val="0"/>
          <w:marTop w:val="0"/>
          <w:marBottom w:val="0"/>
          <w:divBdr>
            <w:top w:val="none" w:sz="0" w:space="0" w:color="auto"/>
            <w:left w:val="none" w:sz="0" w:space="0" w:color="auto"/>
            <w:bottom w:val="none" w:sz="0" w:space="0" w:color="auto"/>
            <w:right w:val="none" w:sz="0" w:space="0" w:color="auto"/>
          </w:divBdr>
          <w:divsChild>
            <w:div w:id="1599217036">
              <w:marLeft w:val="0"/>
              <w:marRight w:val="0"/>
              <w:marTop w:val="0"/>
              <w:marBottom w:val="0"/>
              <w:divBdr>
                <w:top w:val="none" w:sz="0" w:space="0" w:color="auto"/>
                <w:left w:val="none" w:sz="0" w:space="0" w:color="auto"/>
                <w:bottom w:val="none" w:sz="0" w:space="0" w:color="auto"/>
                <w:right w:val="none" w:sz="0" w:space="0" w:color="auto"/>
              </w:divBdr>
            </w:div>
          </w:divsChild>
        </w:div>
        <w:div w:id="305739702">
          <w:marLeft w:val="0"/>
          <w:marRight w:val="0"/>
          <w:marTop w:val="0"/>
          <w:marBottom w:val="0"/>
          <w:divBdr>
            <w:top w:val="none" w:sz="0" w:space="0" w:color="auto"/>
            <w:left w:val="none" w:sz="0" w:space="0" w:color="auto"/>
            <w:bottom w:val="none" w:sz="0" w:space="0" w:color="auto"/>
            <w:right w:val="none" w:sz="0" w:space="0" w:color="auto"/>
          </w:divBdr>
          <w:divsChild>
            <w:div w:id="1610116034">
              <w:marLeft w:val="0"/>
              <w:marRight w:val="0"/>
              <w:marTop w:val="0"/>
              <w:marBottom w:val="0"/>
              <w:divBdr>
                <w:top w:val="none" w:sz="0" w:space="0" w:color="auto"/>
                <w:left w:val="none" w:sz="0" w:space="0" w:color="auto"/>
                <w:bottom w:val="none" w:sz="0" w:space="0" w:color="auto"/>
                <w:right w:val="none" w:sz="0" w:space="0" w:color="auto"/>
              </w:divBdr>
            </w:div>
          </w:divsChild>
        </w:div>
        <w:div w:id="305939644">
          <w:marLeft w:val="0"/>
          <w:marRight w:val="0"/>
          <w:marTop w:val="0"/>
          <w:marBottom w:val="0"/>
          <w:divBdr>
            <w:top w:val="none" w:sz="0" w:space="0" w:color="auto"/>
            <w:left w:val="none" w:sz="0" w:space="0" w:color="auto"/>
            <w:bottom w:val="none" w:sz="0" w:space="0" w:color="auto"/>
            <w:right w:val="none" w:sz="0" w:space="0" w:color="auto"/>
          </w:divBdr>
          <w:divsChild>
            <w:div w:id="1431851651">
              <w:marLeft w:val="0"/>
              <w:marRight w:val="0"/>
              <w:marTop w:val="0"/>
              <w:marBottom w:val="0"/>
              <w:divBdr>
                <w:top w:val="none" w:sz="0" w:space="0" w:color="auto"/>
                <w:left w:val="none" w:sz="0" w:space="0" w:color="auto"/>
                <w:bottom w:val="none" w:sz="0" w:space="0" w:color="auto"/>
                <w:right w:val="none" w:sz="0" w:space="0" w:color="auto"/>
              </w:divBdr>
            </w:div>
          </w:divsChild>
        </w:div>
        <w:div w:id="307513936">
          <w:marLeft w:val="0"/>
          <w:marRight w:val="0"/>
          <w:marTop w:val="0"/>
          <w:marBottom w:val="0"/>
          <w:divBdr>
            <w:top w:val="none" w:sz="0" w:space="0" w:color="auto"/>
            <w:left w:val="none" w:sz="0" w:space="0" w:color="auto"/>
            <w:bottom w:val="none" w:sz="0" w:space="0" w:color="auto"/>
            <w:right w:val="none" w:sz="0" w:space="0" w:color="auto"/>
          </w:divBdr>
          <w:divsChild>
            <w:div w:id="25372425">
              <w:marLeft w:val="0"/>
              <w:marRight w:val="0"/>
              <w:marTop w:val="0"/>
              <w:marBottom w:val="0"/>
              <w:divBdr>
                <w:top w:val="none" w:sz="0" w:space="0" w:color="auto"/>
                <w:left w:val="none" w:sz="0" w:space="0" w:color="auto"/>
                <w:bottom w:val="none" w:sz="0" w:space="0" w:color="auto"/>
                <w:right w:val="none" w:sz="0" w:space="0" w:color="auto"/>
              </w:divBdr>
            </w:div>
          </w:divsChild>
        </w:div>
        <w:div w:id="311834875">
          <w:marLeft w:val="0"/>
          <w:marRight w:val="0"/>
          <w:marTop w:val="0"/>
          <w:marBottom w:val="0"/>
          <w:divBdr>
            <w:top w:val="none" w:sz="0" w:space="0" w:color="auto"/>
            <w:left w:val="none" w:sz="0" w:space="0" w:color="auto"/>
            <w:bottom w:val="none" w:sz="0" w:space="0" w:color="auto"/>
            <w:right w:val="none" w:sz="0" w:space="0" w:color="auto"/>
          </w:divBdr>
          <w:divsChild>
            <w:div w:id="872307395">
              <w:marLeft w:val="0"/>
              <w:marRight w:val="0"/>
              <w:marTop w:val="0"/>
              <w:marBottom w:val="0"/>
              <w:divBdr>
                <w:top w:val="none" w:sz="0" w:space="0" w:color="auto"/>
                <w:left w:val="none" w:sz="0" w:space="0" w:color="auto"/>
                <w:bottom w:val="none" w:sz="0" w:space="0" w:color="auto"/>
                <w:right w:val="none" w:sz="0" w:space="0" w:color="auto"/>
              </w:divBdr>
            </w:div>
          </w:divsChild>
        </w:div>
        <w:div w:id="314723582">
          <w:marLeft w:val="0"/>
          <w:marRight w:val="0"/>
          <w:marTop w:val="0"/>
          <w:marBottom w:val="0"/>
          <w:divBdr>
            <w:top w:val="none" w:sz="0" w:space="0" w:color="auto"/>
            <w:left w:val="none" w:sz="0" w:space="0" w:color="auto"/>
            <w:bottom w:val="none" w:sz="0" w:space="0" w:color="auto"/>
            <w:right w:val="none" w:sz="0" w:space="0" w:color="auto"/>
          </w:divBdr>
          <w:divsChild>
            <w:div w:id="1319069467">
              <w:marLeft w:val="0"/>
              <w:marRight w:val="0"/>
              <w:marTop w:val="0"/>
              <w:marBottom w:val="0"/>
              <w:divBdr>
                <w:top w:val="none" w:sz="0" w:space="0" w:color="auto"/>
                <w:left w:val="none" w:sz="0" w:space="0" w:color="auto"/>
                <w:bottom w:val="none" w:sz="0" w:space="0" w:color="auto"/>
                <w:right w:val="none" w:sz="0" w:space="0" w:color="auto"/>
              </w:divBdr>
            </w:div>
          </w:divsChild>
        </w:div>
        <w:div w:id="318848428">
          <w:marLeft w:val="0"/>
          <w:marRight w:val="0"/>
          <w:marTop w:val="0"/>
          <w:marBottom w:val="0"/>
          <w:divBdr>
            <w:top w:val="none" w:sz="0" w:space="0" w:color="auto"/>
            <w:left w:val="none" w:sz="0" w:space="0" w:color="auto"/>
            <w:bottom w:val="none" w:sz="0" w:space="0" w:color="auto"/>
            <w:right w:val="none" w:sz="0" w:space="0" w:color="auto"/>
          </w:divBdr>
          <w:divsChild>
            <w:div w:id="1569460529">
              <w:marLeft w:val="0"/>
              <w:marRight w:val="0"/>
              <w:marTop w:val="0"/>
              <w:marBottom w:val="0"/>
              <w:divBdr>
                <w:top w:val="none" w:sz="0" w:space="0" w:color="auto"/>
                <w:left w:val="none" w:sz="0" w:space="0" w:color="auto"/>
                <w:bottom w:val="none" w:sz="0" w:space="0" w:color="auto"/>
                <w:right w:val="none" w:sz="0" w:space="0" w:color="auto"/>
              </w:divBdr>
            </w:div>
          </w:divsChild>
        </w:div>
        <w:div w:id="324869060">
          <w:marLeft w:val="0"/>
          <w:marRight w:val="0"/>
          <w:marTop w:val="0"/>
          <w:marBottom w:val="0"/>
          <w:divBdr>
            <w:top w:val="none" w:sz="0" w:space="0" w:color="auto"/>
            <w:left w:val="none" w:sz="0" w:space="0" w:color="auto"/>
            <w:bottom w:val="none" w:sz="0" w:space="0" w:color="auto"/>
            <w:right w:val="none" w:sz="0" w:space="0" w:color="auto"/>
          </w:divBdr>
          <w:divsChild>
            <w:div w:id="782922794">
              <w:marLeft w:val="0"/>
              <w:marRight w:val="0"/>
              <w:marTop w:val="0"/>
              <w:marBottom w:val="0"/>
              <w:divBdr>
                <w:top w:val="none" w:sz="0" w:space="0" w:color="auto"/>
                <w:left w:val="none" w:sz="0" w:space="0" w:color="auto"/>
                <w:bottom w:val="none" w:sz="0" w:space="0" w:color="auto"/>
                <w:right w:val="none" w:sz="0" w:space="0" w:color="auto"/>
              </w:divBdr>
            </w:div>
          </w:divsChild>
        </w:div>
        <w:div w:id="328874259">
          <w:marLeft w:val="0"/>
          <w:marRight w:val="0"/>
          <w:marTop w:val="0"/>
          <w:marBottom w:val="0"/>
          <w:divBdr>
            <w:top w:val="none" w:sz="0" w:space="0" w:color="auto"/>
            <w:left w:val="none" w:sz="0" w:space="0" w:color="auto"/>
            <w:bottom w:val="none" w:sz="0" w:space="0" w:color="auto"/>
            <w:right w:val="none" w:sz="0" w:space="0" w:color="auto"/>
          </w:divBdr>
          <w:divsChild>
            <w:div w:id="1710451590">
              <w:marLeft w:val="0"/>
              <w:marRight w:val="0"/>
              <w:marTop w:val="0"/>
              <w:marBottom w:val="0"/>
              <w:divBdr>
                <w:top w:val="none" w:sz="0" w:space="0" w:color="auto"/>
                <w:left w:val="none" w:sz="0" w:space="0" w:color="auto"/>
                <w:bottom w:val="none" w:sz="0" w:space="0" w:color="auto"/>
                <w:right w:val="none" w:sz="0" w:space="0" w:color="auto"/>
              </w:divBdr>
            </w:div>
          </w:divsChild>
        </w:div>
        <w:div w:id="339159319">
          <w:marLeft w:val="0"/>
          <w:marRight w:val="0"/>
          <w:marTop w:val="0"/>
          <w:marBottom w:val="0"/>
          <w:divBdr>
            <w:top w:val="none" w:sz="0" w:space="0" w:color="auto"/>
            <w:left w:val="none" w:sz="0" w:space="0" w:color="auto"/>
            <w:bottom w:val="none" w:sz="0" w:space="0" w:color="auto"/>
            <w:right w:val="none" w:sz="0" w:space="0" w:color="auto"/>
          </w:divBdr>
          <w:divsChild>
            <w:div w:id="1010765622">
              <w:marLeft w:val="0"/>
              <w:marRight w:val="0"/>
              <w:marTop w:val="0"/>
              <w:marBottom w:val="0"/>
              <w:divBdr>
                <w:top w:val="none" w:sz="0" w:space="0" w:color="auto"/>
                <w:left w:val="none" w:sz="0" w:space="0" w:color="auto"/>
                <w:bottom w:val="none" w:sz="0" w:space="0" w:color="auto"/>
                <w:right w:val="none" w:sz="0" w:space="0" w:color="auto"/>
              </w:divBdr>
            </w:div>
          </w:divsChild>
        </w:div>
        <w:div w:id="346054811">
          <w:marLeft w:val="0"/>
          <w:marRight w:val="0"/>
          <w:marTop w:val="0"/>
          <w:marBottom w:val="0"/>
          <w:divBdr>
            <w:top w:val="none" w:sz="0" w:space="0" w:color="auto"/>
            <w:left w:val="none" w:sz="0" w:space="0" w:color="auto"/>
            <w:bottom w:val="none" w:sz="0" w:space="0" w:color="auto"/>
            <w:right w:val="none" w:sz="0" w:space="0" w:color="auto"/>
          </w:divBdr>
          <w:divsChild>
            <w:div w:id="2054766790">
              <w:marLeft w:val="0"/>
              <w:marRight w:val="0"/>
              <w:marTop w:val="0"/>
              <w:marBottom w:val="0"/>
              <w:divBdr>
                <w:top w:val="none" w:sz="0" w:space="0" w:color="auto"/>
                <w:left w:val="none" w:sz="0" w:space="0" w:color="auto"/>
                <w:bottom w:val="none" w:sz="0" w:space="0" w:color="auto"/>
                <w:right w:val="none" w:sz="0" w:space="0" w:color="auto"/>
              </w:divBdr>
            </w:div>
          </w:divsChild>
        </w:div>
        <w:div w:id="346296732">
          <w:marLeft w:val="0"/>
          <w:marRight w:val="0"/>
          <w:marTop w:val="0"/>
          <w:marBottom w:val="0"/>
          <w:divBdr>
            <w:top w:val="none" w:sz="0" w:space="0" w:color="auto"/>
            <w:left w:val="none" w:sz="0" w:space="0" w:color="auto"/>
            <w:bottom w:val="none" w:sz="0" w:space="0" w:color="auto"/>
            <w:right w:val="none" w:sz="0" w:space="0" w:color="auto"/>
          </w:divBdr>
          <w:divsChild>
            <w:div w:id="80955908">
              <w:marLeft w:val="0"/>
              <w:marRight w:val="0"/>
              <w:marTop w:val="0"/>
              <w:marBottom w:val="0"/>
              <w:divBdr>
                <w:top w:val="none" w:sz="0" w:space="0" w:color="auto"/>
                <w:left w:val="none" w:sz="0" w:space="0" w:color="auto"/>
                <w:bottom w:val="none" w:sz="0" w:space="0" w:color="auto"/>
                <w:right w:val="none" w:sz="0" w:space="0" w:color="auto"/>
              </w:divBdr>
            </w:div>
          </w:divsChild>
        </w:div>
        <w:div w:id="351882170">
          <w:marLeft w:val="0"/>
          <w:marRight w:val="0"/>
          <w:marTop w:val="0"/>
          <w:marBottom w:val="0"/>
          <w:divBdr>
            <w:top w:val="none" w:sz="0" w:space="0" w:color="auto"/>
            <w:left w:val="none" w:sz="0" w:space="0" w:color="auto"/>
            <w:bottom w:val="none" w:sz="0" w:space="0" w:color="auto"/>
            <w:right w:val="none" w:sz="0" w:space="0" w:color="auto"/>
          </w:divBdr>
          <w:divsChild>
            <w:div w:id="1716848571">
              <w:marLeft w:val="0"/>
              <w:marRight w:val="0"/>
              <w:marTop w:val="0"/>
              <w:marBottom w:val="0"/>
              <w:divBdr>
                <w:top w:val="none" w:sz="0" w:space="0" w:color="auto"/>
                <w:left w:val="none" w:sz="0" w:space="0" w:color="auto"/>
                <w:bottom w:val="none" w:sz="0" w:space="0" w:color="auto"/>
                <w:right w:val="none" w:sz="0" w:space="0" w:color="auto"/>
              </w:divBdr>
            </w:div>
          </w:divsChild>
        </w:div>
        <w:div w:id="352075464">
          <w:marLeft w:val="0"/>
          <w:marRight w:val="0"/>
          <w:marTop w:val="0"/>
          <w:marBottom w:val="0"/>
          <w:divBdr>
            <w:top w:val="none" w:sz="0" w:space="0" w:color="auto"/>
            <w:left w:val="none" w:sz="0" w:space="0" w:color="auto"/>
            <w:bottom w:val="none" w:sz="0" w:space="0" w:color="auto"/>
            <w:right w:val="none" w:sz="0" w:space="0" w:color="auto"/>
          </w:divBdr>
          <w:divsChild>
            <w:div w:id="1777482246">
              <w:marLeft w:val="0"/>
              <w:marRight w:val="0"/>
              <w:marTop w:val="0"/>
              <w:marBottom w:val="0"/>
              <w:divBdr>
                <w:top w:val="none" w:sz="0" w:space="0" w:color="auto"/>
                <w:left w:val="none" w:sz="0" w:space="0" w:color="auto"/>
                <w:bottom w:val="none" w:sz="0" w:space="0" w:color="auto"/>
                <w:right w:val="none" w:sz="0" w:space="0" w:color="auto"/>
              </w:divBdr>
            </w:div>
          </w:divsChild>
        </w:div>
        <w:div w:id="354353961">
          <w:marLeft w:val="0"/>
          <w:marRight w:val="0"/>
          <w:marTop w:val="0"/>
          <w:marBottom w:val="0"/>
          <w:divBdr>
            <w:top w:val="none" w:sz="0" w:space="0" w:color="auto"/>
            <w:left w:val="none" w:sz="0" w:space="0" w:color="auto"/>
            <w:bottom w:val="none" w:sz="0" w:space="0" w:color="auto"/>
            <w:right w:val="none" w:sz="0" w:space="0" w:color="auto"/>
          </w:divBdr>
          <w:divsChild>
            <w:div w:id="517890826">
              <w:marLeft w:val="0"/>
              <w:marRight w:val="0"/>
              <w:marTop w:val="0"/>
              <w:marBottom w:val="0"/>
              <w:divBdr>
                <w:top w:val="none" w:sz="0" w:space="0" w:color="auto"/>
                <w:left w:val="none" w:sz="0" w:space="0" w:color="auto"/>
                <w:bottom w:val="none" w:sz="0" w:space="0" w:color="auto"/>
                <w:right w:val="none" w:sz="0" w:space="0" w:color="auto"/>
              </w:divBdr>
            </w:div>
          </w:divsChild>
        </w:div>
        <w:div w:id="362487352">
          <w:marLeft w:val="0"/>
          <w:marRight w:val="0"/>
          <w:marTop w:val="0"/>
          <w:marBottom w:val="0"/>
          <w:divBdr>
            <w:top w:val="none" w:sz="0" w:space="0" w:color="auto"/>
            <w:left w:val="none" w:sz="0" w:space="0" w:color="auto"/>
            <w:bottom w:val="none" w:sz="0" w:space="0" w:color="auto"/>
            <w:right w:val="none" w:sz="0" w:space="0" w:color="auto"/>
          </w:divBdr>
          <w:divsChild>
            <w:div w:id="1571578634">
              <w:marLeft w:val="0"/>
              <w:marRight w:val="0"/>
              <w:marTop w:val="0"/>
              <w:marBottom w:val="0"/>
              <w:divBdr>
                <w:top w:val="none" w:sz="0" w:space="0" w:color="auto"/>
                <w:left w:val="none" w:sz="0" w:space="0" w:color="auto"/>
                <w:bottom w:val="none" w:sz="0" w:space="0" w:color="auto"/>
                <w:right w:val="none" w:sz="0" w:space="0" w:color="auto"/>
              </w:divBdr>
            </w:div>
          </w:divsChild>
        </w:div>
        <w:div w:id="363792650">
          <w:marLeft w:val="0"/>
          <w:marRight w:val="0"/>
          <w:marTop w:val="0"/>
          <w:marBottom w:val="0"/>
          <w:divBdr>
            <w:top w:val="none" w:sz="0" w:space="0" w:color="auto"/>
            <w:left w:val="none" w:sz="0" w:space="0" w:color="auto"/>
            <w:bottom w:val="none" w:sz="0" w:space="0" w:color="auto"/>
            <w:right w:val="none" w:sz="0" w:space="0" w:color="auto"/>
          </w:divBdr>
          <w:divsChild>
            <w:div w:id="1502575518">
              <w:marLeft w:val="0"/>
              <w:marRight w:val="0"/>
              <w:marTop w:val="0"/>
              <w:marBottom w:val="0"/>
              <w:divBdr>
                <w:top w:val="none" w:sz="0" w:space="0" w:color="auto"/>
                <w:left w:val="none" w:sz="0" w:space="0" w:color="auto"/>
                <w:bottom w:val="none" w:sz="0" w:space="0" w:color="auto"/>
                <w:right w:val="none" w:sz="0" w:space="0" w:color="auto"/>
              </w:divBdr>
            </w:div>
          </w:divsChild>
        </w:div>
        <w:div w:id="366101358">
          <w:marLeft w:val="0"/>
          <w:marRight w:val="0"/>
          <w:marTop w:val="0"/>
          <w:marBottom w:val="0"/>
          <w:divBdr>
            <w:top w:val="none" w:sz="0" w:space="0" w:color="auto"/>
            <w:left w:val="none" w:sz="0" w:space="0" w:color="auto"/>
            <w:bottom w:val="none" w:sz="0" w:space="0" w:color="auto"/>
            <w:right w:val="none" w:sz="0" w:space="0" w:color="auto"/>
          </w:divBdr>
          <w:divsChild>
            <w:div w:id="2070955297">
              <w:marLeft w:val="0"/>
              <w:marRight w:val="0"/>
              <w:marTop w:val="0"/>
              <w:marBottom w:val="0"/>
              <w:divBdr>
                <w:top w:val="none" w:sz="0" w:space="0" w:color="auto"/>
                <w:left w:val="none" w:sz="0" w:space="0" w:color="auto"/>
                <w:bottom w:val="none" w:sz="0" w:space="0" w:color="auto"/>
                <w:right w:val="none" w:sz="0" w:space="0" w:color="auto"/>
              </w:divBdr>
            </w:div>
          </w:divsChild>
        </w:div>
        <w:div w:id="371157140">
          <w:marLeft w:val="0"/>
          <w:marRight w:val="0"/>
          <w:marTop w:val="0"/>
          <w:marBottom w:val="0"/>
          <w:divBdr>
            <w:top w:val="none" w:sz="0" w:space="0" w:color="auto"/>
            <w:left w:val="none" w:sz="0" w:space="0" w:color="auto"/>
            <w:bottom w:val="none" w:sz="0" w:space="0" w:color="auto"/>
            <w:right w:val="none" w:sz="0" w:space="0" w:color="auto"/>
          </w:divBdr>
          <w:divsChild>
            <w:div w:id="1752727158">
              <w:marLeft w:val="0"/>
              <w:marRight w:val="0"/>
              <w:marTop w:val="0"/>
              <w:marBottom w:val="0"/>
              <w:divBdr>
                <w:top w:val="none" w:sz="0" w:space="0" w:color="auto"/>
                <w:left w:val="none" w:sz="0" w:space="0" w:color="auto"/>
                <w:bottom w:val="none" w:sz="0" w:space="0" w:color="auto"/>
                <w:right w:val="none" w:sz="0" w:space="0" w:color="auto"/>
              </w:divBdr>
            </w:div>
          </w:divsChild>
        </w:div>
        <w:div w:id="371808958">
          <w:marLeft w:val="0"/>
          <w:marRight w:val="0"/>
          <w:marTop w:val="0"/>
          <w:marBottom w:val="0"/>
          <w:divBdr>
            <w:top w:val="none" w:sz="0" w:space="0" w:color="auto"/>
            <w:left w:val="none" w:sz="0" w:space="0" w:color="auto"/>
            <w:bottom w:val="none" w:sz="0" w:space="0" w:color="auto"/>
            <w:right w:val="none" w:sz="0" w:space="0" w:color="auto"/>
          </w:divBdr>
          <w:divsChild>
            <w:div w:id="1779986744">
              <w:marLeft w:val="0"/>
              <w:marRight w:val="0"/>
              <w:marTop w:val="0"/>
              <w:marBottom w:val="0"/>
              <w:divBdr>
                <w:top w:val="none" w:sz="0" w:space="0" w:color="auto"/>
                <w:left w:val="none" w:sz="0" w:space="0" w:color="auto"/>
                <w:bottom w:val="none" w:sz="0" w:space="0" w:color="auto"/>
                <w:right w:val="none" w:sz="0" w:space="0" w:color="auto"/>
              </w:divBdr>
            </w:div>
          </w:divsChild>
        </w:div>
        <w:div w:id="374164077">
          <w:marLeft w:val="0"/>
          <w:marRight w:val="0"/>
          <w:marTop w:val="0"/>
          <w:marBottom w:val="0"/>
          <w:divBdr>
            <w:top w:val="none" w:sz="0" w:space="0" w:color="auto"/>
            <w:left w:val="none" w:sz="0" w:space="0" w:color="auto"/>
            <w:bottom w:val="none" w:sz="0" w:space="0" w:color="auto"/>
            <w:right w:val="none" w:sz="0" w:space="0" w:color="auto"/>
          </w:divBdr>
          <w:divsChild>
            <w:div w:id="1872454590">
              <w:marLeft w:val="0"/>
              <w:marRight w:val="0"/>
              <w:marTop w:val="0"/>
              <w:marBottom w:val="0"/>
              <w:divBdr>
                <w:top w:val="none" w:sz="0" w:space="0" w:color="auto"/>
                <w:left w:val="none" w:sz="0" w:space="0" w:color="auto"/>
                <w:bottom w:val="none" w:sz="0" w:space="0" w:color="auto"/>
                <w:right w:val="none" w:sz="0" w:space="0" w:color="auto"/>
              </w:divBdr>
            </w:div>
          </w:divsChild>
        </w:div>
        <w:div w:id="378405183">
          <w:marLeft w:val="0"/>
          <w:marRight w:val="0"/>
          <w:marTop w:val="0"/>
          <w:marBottom w:val="0"/>
          <w:divBdr>
            <w:top w:val="none" w:sz="0" w:space="0" w:color="auto"/>
            <w:left w:val="none" w:sz="0" w:space="0" w:color="auto"/>
            <w:bottom w:val="none" w:sz="0" w:space="0" w:color="auto"/>
            <w:right w:val="none" w:sz="0" w:space="0" w:color="auto"/>
          </w:divBdr>
          <w:divsChild>
            <w:div w:id="1832942174">
              <w:marLeft w:val="0"/>
              <w:marRight w:val="0"/>
              <w:marTop w:val="0"/>
              <w:marBottom w:val="0"/>
              <w:divBdr>
                <w:top w:val="none" w:sz="0" w:space="0" w:color="auto"/>
                <w:left w:val="none" w:sz="0" w:space="0" w:color="auto"/>
                <w:bottom w:val="none" w:sz="0" w:space="0" w:color="auto"/>
                <w:right w:val="none" w:sz="0" w:space="0" w:color="auto"/>
              </w:divBdr>
            </w:div>
          </w:divsChild>
        </w:div>
        <w:div w:id="380250045">
          <w:marLeft w:val="0"/>
          <w:marRight w:val="0"/>
          <w:marTop w:val="0"/>
          <w:marBottom w:val="0"/>
          <w:divBdr>
            <w:top w:val="none" w:sz="0" w:space="0" w:color="auto"/>
            <w:left w:val="none" w:sz="0" w:space="0" w:color="auto"/>
            <w:bottom w:val="none" w:sz="0" w:space="0" w:color="auto"/>
            <w:right w:val="none" w:sz="0" w:space="0" w:color="auto"/>
          </w:divBdr>
          <w:divsChild>
            <w:div w:id="1375351475">
              <w:marLeft w:val="0"/>
              <w:marRight w:val="0"/>
              <w:marTop w:val="0"/>
              <w:marBottom w:val="0"/>
              <w:divBdr>
                <w:top w:val="none" w:sz="0" w:space="0" w:color="auto"/>
                <w:left w:val="none" w:sz="0" w:space="0" w:color="auto"/>
                <w:bottom w:val="none" w:sz="0" w:space="0" w:color="auto"/>
                <w:right w:val="none" w:sz="0" w:space="0" w:color="auto"/>
              </w:divBdr>
            </w:div>
          </w:divsChild>
        </w:div>
        <w:div w:id="387074073">
          <w:marLeft w:val="0"/>
          <w:marRight w:val="0"/>
          <w:marTop w:val="0"/>
          <w:marBottom w:val="0"/>
          <w:divBdr>
            <w:top w:val="none" w:sz="0" w:space="0" w:color="auto"/>
            <w:left w:val="none" w:sz="0" w:space="0" w:color="auto"/>
            <w:bottom w:val="none" w:sz="0" w:space="0" w:color="auto"/>
            <w:right w:val="none" w:sz="0" w:space="0" w:color="auto"/>
          </w:divBdr>
          <w:divsChild>
            <w:div w:id="1687436813">
              <w:marLeft w:val="0"/>
              <w:marRight w:val="0"/>
              <w:marTop w:val="0"/>
              <w:marBottom w:val="0"/>
              <w:divBdr>
                <w:top w:val="none" w:sz="0" w:space="0" w:color="auto"/>
                <w:left w:val="none" w:sz="0" w:space="0" w:color="auto"/>
                <w:bottom w:val="none" w:sz="0" w:space="0" w:color="auto"/>
                <w:right w:val="none" w:sz="0" w:space="0" w:color="auto"/>
              </w:divBdr>
            </w:div>
          </w:divsChild>
        </w:div>
        <w:div w:id="389574127">
          <w:marLeft w:val="0"/>
          <w:marRight w:val="0"/>
          <w:marTop w:val="0"/>
          <w:marBottom w:val="0"/>
          <w:divBdr>
            <w:top w:val="none" w:sz="0" w:space="0" w:color="auto"/>
            <w:left w:val="none" w:sz="0" w:space="0" w:color="auto"/>
            <w:bottom w:val="none" w:sz="0" w:space="0" w:color="auto"/>
            <w:right w:val="none" w:sz="0" w:space="0" w:color="auto"/>
          </w:divBdr>
          <w:divsChild>
            <w:div w:id="2105110860">
              <w:marLeft w:val="0"/>
              <w:marRight w:val="0"/>
              <w:marTop w:val="0"/>
              <w:marBottom w:val="0"/>
              <w:divBdr>
                <w:top w:val="none" w:sz="0" w:space="0" w:color="auto"/>
                <w:left w:val="none" w:sz="0" w:space="0" w:color="auto"/>
                <w:bottom w:val="none" w:sz="0" w:space="0" w:color="auto"/>
                <w:right w:val="none" w:sz="0" w:space="0" w:color="auto"/>
              </w:divBdr>
            </w:div>
          </w:divsChild>
        </w:div>
        <w:div w:id="394207370">
          <w:marLeft w:val="0"/>
          <w:marRight w:val="0"/>
          <w:marTop w:val="0"/>
          <w:marBottom w:val="0"/>
          <w:divBdr>
            <w:top w:val="none" w:sz="0" w:space="0" w:color="auto"/>
            <w:left w:val="none" w:sz="0" w:space="0" w:color="auto"/>
            <w:bottom w:val="none" w:sz="0" w:space="0" w:color="auto"/>
            <w:right w:val="none" w:sz="0" w:space="0" w:color="auto"/>
          </w:divBdr>
          <w:divsChild>
            <w:div w:id="1737821672">
              <w:marLeft w:val="0"/>
              <w:marRight w:val="0"/>
              <w:marTop w:val="0"/>
              <w:marBottom w:val="0"/>
              <w:divBdr>
                <w:top w:val="none" w:sz="0" w:space="0" w:color="auto"/>
                <w:left w:val="none" w:sz="0" w:space="0" w:color="auto"/>
                <w:bottom w:val="none" w:sz="0" w:space="0" w:color="auto"/>
                <w:right w:val="none" w:sz="0" w:space="0" w:color="auto"/>
              </w:divBdr>
            </w:div>
          </w:divsChild>
        </w:div>
        <w:div w:id="400950725">
          <w:marLeft w:val="0"/>
          <w:marRight w:val="0"/>
          <w:marTop w:val="0"/>
          <w:marBottom w:val="0"/>
          <w:divBdr>
            <w:top w:val="none" w:sz="0" w:space="0" w:color="auto"/>
            <w:left w:val="none" w:sz="0" w:space="0" w:color="auto"/>
            <w:bottom w:val="none" w:sz="0" w:space="0" w:color="auto"/>
            <w:right w:val="none" w:sz="0" w:space="0" w:color="auto"/>
          </w:divBdr>
          <w:divsChild>
            <w:div w:id="276059356">
              <w:marLeft w:val="0"/>
              <w:marRight w:val="0"/>
              <w:marTop w:val="0"/>
              <w:marBottom w:val="0"/>
              <w:divBdr>
                <w:top w:val="none" w:sz="0" w:space="0" w:color="auto"/>
                <w:left w:val="none" w:sz="0" w:space="0" w:color="auto"/>
                <w:bottom w:val="none" w:sz="0" w:space="0" w:color="auto"/>
                <w:right w:val="none" w:sz="0" w:space="0" w:color="auto"/>
              </w:divBdr>
            </w:div>
          </w:divsChild>
        </w:div>
        <w:div w:id="406421211">
          <w:marLeft w:val="0"/>
          <w:marRight w:val="0"/>
          <w:marTop w:val="0"/>
          <w:marBottom w:val="0"/>
          <w:divBdr>
            <w:top w:val="none" w:sz="0" w:space="0" w:color="auto"/>
            <w:left w:val="none" w:sz="0" w:space="0" w:color="auto"/>
            <w:bottom w:val="none" w:sz="0" w:space="0" w:color="auto"/>
            <w:right w:val="none" w:sz="0" w:space="0" w:color="auto"/>
          </w:divBdr>
          <w:divsChild>
            <w:div w:id="1066605817">
              <w:marLeft w:val="0"/>
              <w:marRight w:val="0"/>
              <w:marTop w:val="0"/>
              <w:marBottom w:val="0"/>
              <w:divBdr>
                <w:top w:val="none" w:sz="0" w:space="0" w:color="auto"/>
                <w:left w:val="none" w:sz="0" w:space="0" w:color="auto"/>
                <w:bottom w:val="none" w:sz="0" w:space="0" w:color="auto"/>
                <w:right w:val="none" w:sz="0" w:space="0" w:color="auto"/>
              </w:divBdr>
            </w:div>
          </w:divsChild>
        </w:div>
        <w:div w:id="407456886">
          <w:marLeft w:val="0"/>
          <w:marRight w:val="0"/>
          <w:marTop w:val="0"/>
          <w:marBottom w:val="0"/>
          <w:divBdr>
            <w:top w:val="none" w:sz="0" w:space="0" w:color="auto"/>
            <w:left w:val="none" w:sz="0" w:space="0" w:color="auto"/>
            <w:bottom w:val="none" w:sz="0" w:space="0" w:color="auto"/>
            <w:right w:val="none" w:sz="0" w:space="0" w:color="auto"/>
          </w:divBdr>
          <w:divsChild>
            <w:div w:id="1895503560">
              <w:marLeft w:val="0"/>
              <w:marRight w:val="0"/>
              <w:marTop w:val="0"/>
              <w:marBottom w:val="0"/>
              <w:divBdr>
                <w:top w:val="none" w:sz="0" w:space="0" w:color="auto"/>
                <w:left w:val="none" w:sz="0" w:space="0" w:color="auto"/>
                <w:bottom w:val="none" w:sz="0" w:space="0" w:color="auto"/>
                <w:right w:val="none" w:sz="0" w:space="0" w:color="auto"/>
              </w:divBdr>
            </w:div>
          </w:divsChild>
        </w:div>
        <w:div w:id="410002802">
          <w:marLeft w:val="0"/>
          <w:marRight w:val="0"/>
          <w:marTop w:val="0"/>
          <w:marBottom w:val="0"/>
          <w:divBdr>
            <w:top w:val="none" w:sz="0" w:space="0" w:color="auto"/>
            <w:left w:val="none" w:sz="0" w:space="0" w:color="auto"/>
            <w:bottom w:val="none" w:sz="0" w:space="0" w:color="auto"/>
            <w:right w:val="none" w:sz="0" w:space="0" w:color="auto"/>
          </w:divBdr>
          <w:divsChild>
            <w:div w:id="1468157855">
              <w:marLeft w:val="0"/>
              <w:marRight w:val="0"/>
              <w:marTop w:val="0"/>
              <w:marBottom w:val="0"/>
              <w:divBdr>
                <w:top w:val="none" w:sz="0" w:space="0" w:color="auto"/>
                <w:left w:val="none" w:sz="0" w:space="0" w:color="auto"/>
                <w:bottom w:val="none" w:sz="0" w:space="0" w:color="auto"/>
                <w:right w:val="none" w:sz="0" w:space="0" w:color="auto"/>
              </w:divBdr>
            </w:div>
          </w:divsChild>
        </w:div>
        <w:div w:id="414208136">
          <w:marLeft w:val="0"/>
          <w:marRight w:val="0"/>
          <w:marTop w:val="0"/>
          <w:marBottom w:val="0"/>
          <w:divBdr>
            <w:top w:val="none" w:sz="0" w:space="0" w:color="auto"/>
            <w:left w:val="none" w:sz="0" w:space="0" w:color="auto"/>
            <w:bottom w:val="none" w:sz="0" w:space="0" w:color="auto"/>
            <w:right w:val="none" w:sz="0" w:space="0" w:color="auto"/>
          </w:divBdr>
          <w:divsChild>
            <w:div w:id="1072121885">
              <w:marLeft w:val="0"/>
              <w:marRight w:val="0"/>
              <w:marTop w:val="0"/>
              <w:marBottom w:val="0"/>
              <w:divBdr>
                <w:top w:val="none" w:sz="0" w:space="0" w:color="auto"/>
                <w:left w:val="none" w:sz="0" w:space="0" w:color="auto"/>
                <w:bottom w:val="none" w:sz="0" w:space="0" w:color="auto"/>
                <w:right w:val="none" w:sz="0" w:space="0" w:color="auto"/>
              </w:divBdr>
            </w:div>
          </w:divsChild>
        </w:div>
        <w:div w:id="425620019">
          <w:marLeft w:val="0"/>
          <w:marRight w:val="0"/>
          <w:marTop w:val="0"/>
          <w:marBottom w:val="0"/>
          <w:divBdr>
            <w:top w:val="none" w:sz="0" w:space="0" w:color="auto"/>
            <w:left w:val="none" w:sz="0" w:space="0" w:color="auto"/>
            <w:bottom w:val="none" w:sz="0" w:space="0" w:color="auto"/>
            <w:right w:val="none" w:sz="0" w:space="0" w:color="auto"/>
          </w:divBdr>
          <w:divsChild>
            <w:div w:id="820846528">
              <w:marLeft w:val="0"/>
              <w:marRight w:val="0"/>
              <w:marTop w:val="0"/>
              <w:marBottom w:val="0"/>
              <w:divBdr>
                <w:top w:val="none" w:sz="0" w:space="0" w:color="auto"/>
                <w:left w:val="none" w:sz="0" w:space="0" w:color="auto"/>
                <w:bottom w:val="none" w:sz="0" w:space="0" w:color="auto"/>
                <w:right w:val="none" w:sz="0" w:space="0" w:color="auto"/>
              </w:divBdr>
            </w:div>
          </w:divsChild>
        </w:div>
        <w:div w:id="425999048">
          <w:marLeft w:val="0"/>
          <w:marRight w:val="0"/>
          <w:marTop w:val="0"/>
          <w:marBottom w:val="0"/>
          <w:divBdr>
            <w:top w:val="none" w:sz="0" w:space="0" w:color="auto"/>
            <w:left w:val="none" w:sz="0" w:space="0" w:color="auto"/>
            <w:bottom w:val="none" w:sz="0" w:space="0" w:color="auto"/>
            <w:right w:val="none" w:sz="0" w:space="0" w:color="auto"/>
          </w:divBdr>
          <w:divsChild>
            <w:div w:id="1607493973">
              <w:marLeft w:val="0"/>
              <w:marRight w:val="0"/>
              <w:marTop w:val="0"/>
              <w:marBottom w:val="0"/>
              <w:divBdr>
                <w:top w:val="none" w:sz="0" w:space="0" w:color="auto"/>
                <w:left w:val="none" w:sz="0" w:space="0" w:color="auto"/>
                <w:bottom w:val="none" w:sz="0" w:space="0" w:color="auto"/>
                <w:right w:val="none" w:sz="0" w:space="0" w:color="auto"/>
              </w:divBdr>
            </w:div>
          </w:divsChild>
        </w:div>
        <w:div w:id="429591480">
          <w:marLeft w:val="0"/>
          <w:marRight w:val="0"/>
          <w:marTop w:val="0"/>
          <w:marBottom w:val="0"/>
          <w:divBdr>
            <w:top w:val="none" w:sz="0" w:space="0" w:color="auto"/>
            <w:left w:val="none" w:sz="0" w:space="0" w:color="auto"/>
            <w:bottom w:val="none" w:sz="0" w:space="0" w:color="auto"/>
            <w:right w:val="none" w:sz="0" w:space="0" w:color="auto"/>
          </w:divBdr>
          <w:divsChild>
            <w:div w:id="1522626301">
              <w:marLeft w:val="0"/>
              <w:marRight w:val="0"/>
              <w:marTop w:val="0"/>
              <w:marBottom w:val="0"/>
              <w:divBdr>
                <w:top w:val="none" w:sz="0" w:space="0" w:color="auto"/>
                <w:left w:val="none" w:sz="0" w:space="0" w:color="auto"/>
                <w:bottom w:val="none" w:sz="0" w:space="0" w:color="auto"/>
                <w:right w:val="none" w:sz="0" w:space="0" w:color="auto"/>
              </w:divBdr>
            </w:div>
          </w:divsChild>
        </w:div>
        <w:div w:id="430243983">
          <w:marLeft w:val="0"/>
          <w:marRight w:val="0"/>
          <w:marTop w:val="0"/>
          <w:marBottom w:val="0"/>
          <w:divBdr>
            <w:top w:val="none" w:sz="0" w:space="0" w:color="auto"/>
            <w:left w:val="none" w:sz="0" w:space="0" w:color="auto"/>
            <w:bottom w:val="none" w:sz="0" w:space="0" w:color="auto"/>
            <w:right w:val="none" w:sz="0" w:space="0" w:color="auto"/>
          </w:divBdr>
          <w:divsChild>
            <w:div w:id="756050372">
              <w:marLeft w:val="0"/>
              <w:marRight w:val="0"/>
              <w:marTop w:val="0"/>
              <w:marBottom w:val="0"/>
              <w:divBdr>
                <w:top w:val="none" w:sz="0" w:space="0" w:color="auto"/>
                <w:left w:val="none" w:sz="0" w:space="0" w:color="auto"/>
                <w:bottom w:val="none" w:sz="0" w:space="0" w:color="auto"/>
                <w:right w:val="none" w:sz="0" w:space="0" w:color="auto"/>
              </w:divBdr>
            </w:div>
          </w:divsChild>
        </w:div>
        <w:div w:id="435370817">
          <w:marLeft w:val="0"/>
          <w:marRight w:val="0"/>
          <w:marTop w:val="0"/>
          <w:marBottom w:val="0"/>
          <w:divBdr>
            <w:top w:val="none" w:sz="0" w:space="0" w:color="auto"/>
            <w:left w:val="none" w:sz="0" w:space="0" w:color="auto"/>
            <w:bottom w:val="none" w:sz="0" w:space="0" w:color="auto"/>
            <w:right w:val="none" w:sz="0" w:space="0" w:color="auto"/>
          </w:divBdr>
          <w:divsChild>
            <w:div w:id="1113668910">
              <w:marLeft w:val="0"/>
              <w:marRight w:val="0"/>
              <w:marTop w:val="0"/>
              <w:marBottom w:val="0"/>
              <w:divBdr>
                <w:top w:val="none" w:sz="0" w:space="0" w:color="auto"/>
                <w:left w:val="none" w:sz="0" w:space="0" w:color="auto"/>
                <w:bottom w:val="none" w:sz="0" w:space="0" w:color="auto"/>
                <w:right w:val="none" w:sz="0" w:space="0" w:color="auto"/>
              </w:divBdr>
            </w:div>
          </w:divsChild>
        </w:div>
        <w:div w:id="453135026">
          <w:marLeft w:val="0"/>
          <w:marRight w:val="0"/>
          <w:marTop w:val="0"/>
          <w:marBottom w:val="0"/>
          <w:divBdr>
            <w:top w:val="none" w:sz="0" w:space="0" w:color="auto"/>
            <w:left w:val="none" w:sz="0" w:space="0" w:color="auto"/>
            <w:bottom w:val="none" w:sz="0" w:space="0" w:color="auto"/>
            <w:right w:val="none" w:sz="0" w:space="0" w:color="auto"/>
          </w:divBdr>
          <w:divsChild>
            <w:div w:id="607153400">
              <w:marLeft w:val="0"/>
              <w:marRight w:val="0"/>
              <w:marTop w:val="0"/>
              <w:marBottom w:val="0"/>
              <w:divBdr>
                <w:top w:val="none" w:sz="0" w:space="0" w:color="auto"/>
                <w:left w:val="none" w:sz="0" w:space="0" w:color="auto"/>
                <w:bottom w:val="none" w:sz="0" w:space="0" w:color="auto"/>
                <w:right w:val="none" w:sz="0" w:space="0" w:color="auto"/>
              </w:divBdr>
            </w:div>
          </w:divsChild>
        </w:div>
        <w:div w:id="453672268">
          <w:marLeft w:val="0"/>
          <w:marRight w:val="0"/>
          <w:marTop w:val="0"/>
          <w:marBottom w:val="0"/>
          <w:divBdr>
            <w:top w:val="none" w:sz="0" w:space="0" w:color="auto"/>
            <w:left w:val="none" w:sz="0" w:space="0" w:color="auto"/>
            <w:bottom w:val="none" w:sz="0" w:space="0" w:color="auto"/>
            <w:right w:val="none" w:sz="0" w:space="0" w:color="auto"/>
          </w:divBdr>
          <w:divsChild>
            <w:div w:id="2075082230">
              <w:marLeft w:val="0"/>
              <w:marRight w:val="0"/>
              <w:marTop w:val="0"/>
              <w:marBottom w:val="0"/>
              <w:divBdr>
                <w:top w:val="none" w:sz="0" w:space="0" w:color="auto"/>
                <w:left w:val="none" w:sz="0" w:space="0" w:color="auto"/>
                <w:bottom w:val="none" w:sz="0" w:space="0" w:color="auto"/>
                <w:right w:val="none" w:sz="0" w:space="0" w:color="auto"/>
              </w:divBdr>
            </w:div>
          </w:divsChild>
        </w:div>
        <w:div w:id="456798267">
          <w:marLeft w:val="0"/>
          <w:marRight w:val="0"/>
          <w:marTop w:val="0"/>
          <w:marBottom w:val="0"/>
          <w:divBdr>
            <w:top w:val="none" w:sz="0" w:space="0" w:color="auto"/>
            <w:left w:val="none" w:sz="0" w:space="0" w:color="auto"/>
            <w:bottom w:val="none" w:sz="0" w:space="0" w:color="auto"/>
            <w:right w:val="none" w:sz="0" w:space="0" w:color="auto"/>
          </w:divBdr>
          <w:divsChild>
            <w:div w:id="712777094">
              <w:marLeft w:val="0"/>
              <w:marRight w:val="0"/>
              <w:marTop w:val="0"/>
              <w:marBottom w:val="0"/>
              <w:divBdr>
                <w:top w:val="none" w:sz="0" w:space="0" w:color="auto"/>
                <w:left w:val="none" w:sz="0" w:space="0" w:color="auto"/>
                <w:bottom w:val="none" w:sz="0" w:space="0" w:color="auto"/>
                <w:right w:val="none" w:sz="0" w:space="0" w:color="auto"/>
              </w:divBdr>
            </w:div>
          </w:divsChild>
        </w:div>
        <w:div w:id="459612757">
          <w:marLeft w:val="0"/>
          <w:marRight w:val="0"/>
          <w:marTop w:val="0"/>
          <w:marBottom w:val="0"/>
          <w:divBdr>
            <w:top w:val="none" w:sz="0" w:space="0" w:color="auto"/>
            <w:left w:val="none" w:sz="0" w:space="0" w:color="auto"/>
            <w:bottom w:val="none" w:sz="0" w:space="0" w:color="auto"/>
            <w:right w:val="none" w:sz="0" w:space="0" w:color="auto"/>
          </w:divBdr>
          <w:divsChild>
            <w:div w:id="94130986">
              <w:marLeft w:val="0"/>
              <w:marRight w:val="0"/>
              <w:marTop w:val="0"/>
              <w:marBottom w:val="0"/>
              <w:divBdr>
                <w:top w:val="none" w:sz="0" w:space="0" w:color="auto"/>
                <w:left w:val="none" w:sz="0" w:space="0" w:color="auto"/>
                <w:bottom w:val="none" w:sz="0" w:space="0" w:color="auto"/>
                <w:right w:val="none" w:sz="0" w:space="0" w:color="auto"/>
              </w:divBdr>
            </w:div>
          </w:divsChild>
        </w:div>
        <w:div w:id="459767107">
          <w:marLeft w:val="0"/>
          <w:marRight w:val="0"/>
          <w:marTop w:val="0"/>
          <w:marBottom w:val="0"/>
          <w:divBdr>
            <w:top w:val="none" w:sz="0" w:space="0" w:color="auto"/>
            <w:left w:val="none" w:sz="0" w:space="0" w:color="auto"/>
            <w:bottom w:val="none" w:sz="0" w:space="0" w:color="auto"/>
            <w:right w:val="none" w:sz="0" w:space="0" w:color="auto"/>
          </w:divBdr>
          <w:divsChild>
            <w:div w:id="1166552415">
              <w:marLeft w:val="0"/>
              <w:marRight w:val="0"/>
              <w:marTop w:val="0"/>
              <w:marBottom w:val="0"/>
              <w:divBdr>
                <w:top w:val="none" w:sz="0" w:space="0" w:color="auto"/>
                <w:left w:val="none" w:sz="0" w:space="0" w:color="auto"/>
                <w:bottom w:val="none" w:sz="0" w:space="0" w:color="auto"/>
                <w:right w:val="none" w:sz="0" w:space="0" w:color="auto"/>
              </w:divBdr>
            </w:div>
          </w:divsChild>
        </w:div>
        <w:div w:id="462506577">
          <w:marLeft w:val="0"/>
          <w:marRight w:val="0"/>
          <w:marTop w:val="0"/>
          <w:marBottom w:val="0"/>
          <w:divBdr>
            <w:top w:val="none" w:sz="0" w:space="0" w:color="auto"/>
            <w:left w:val="none" w:sz="0" w:space="0" w:color="auto"/>
            <w:bottom w:val="none" w:sz="0" w:space="0" w:color="auto"/>
            <w:right w:val="none" w:sz="0" w:space="0" w:color="auto"/>
          </w:divBdr>
          <w:divsChild>
            <w:div w:id="1857108987">
              <w:marLeft w:val="0"/>
              <w:marRight w:val="0"/>
              <w:marTop w:val="0"/>
              <w:marBottom w:val="0"/>
              <w:divBdr>
                <w:top w:val="none" w:sz="0" w:space="0" w:color="auto"/>
                <w:left w:val="none" w:sz="0" w:space="0" w:color="auto"/>
                <w:bottom w:val="none" w:sz="0" w:space="0" w:color="auto"/>
                <w:right w:val="none" w:sz="0" w:space="0" w:color="auto"/>
              </w:divBdr>
            </w:div>
          </w:divsChild>
        </w:div>
        <w:div w:id="467825611">
          <w:marLeft w:val="0"/>
          <w:marRight w:val="0"/>
          <w:marTop w:val="0"/>
          <w:marBottom w:val="0"/>
          <w:divBdr>
            <w:top w:val="none" w:sz="0" w:space="0" w:color="auto"/>
            <w:left w:val="none" w:sz="0" w:space="0" w:color="auto"/>
            <w:bottom w:val="none" w:sz="0" w:space="0" w:color="auto"/>
            <w:right w:val="none" w:sz="0" w:space="0" w:color="auto"/>
          </w:divBdr>
          <w:divsChild>
            <w:div w:id="1658145818">
              <w:marLeft w:val="0"/>
              <w:marRight w:val="0"/>
              <w:marTop w:val="0"/>
              <w:marBottom w:val="0"/>
              <w:divBdr>
                <w:top w:val="none" w:sz="0" w:space="0" w:color="auto"/>
                <w:left w:val="none" w:sz="0" w:space="0" w:color="auto"/>
                <w:bottom w:val="none" w:sz="0" w:space="0" w:color="auto"/>
                <w:right w:val="none" w:sz="0" w:space="0" w:color="auto"/>
              </w:divBdr>
            </w:div>
          </w:divsChild>
        </w:div>
        <w:div w:id="474108734">
          <w:marLeft w:val="0"/>
          <w:marRight w:val="0"/>
          <w:marTop w:val="0"/>
          <w:marBottom w:val="0"/>
          <w:divBdr>
            <w:top w:val="none" w:sz="0" w:space="0" w:color="auto"/>
            <w:left w:val="none" w:sz="0" w:space="0" w:color="auto"/>
            <w:bottom w:val="none" w:sz="0" w:space="0" w:color="auto"/>
            <w:right w:val="none" w:sz="0" w:space="0" w:color="auto"/>
          </w:divBdr>
          <w:divsChild>
            <w:div w:id="940719913">
              <w:marLeft w:val="0"/>
              <w:marRight w:val="0"/>
              <w:marTop w:val="0"/>
              <w:marBottom w:val="0"/>
              <w:divBdr>
                <w:top w:val="none" w:sz="0" w:space="0" w:color="auto"/>
                <w:left w:val="none" w:sz="0" w:space="0" w:color="auto"/>
                <w:bottom w:val="none" w:sz="0" w:space="0" w:color="auto"/>
                <w:right w:val="none" w:sz="0" w:space="0" w:color="auto"/>
              </w:divBdr>
            </w:div>
          </w:divsChild>
        </w:div>
        <w:div w:id="482235194">
          <w:marLeft w:val="0"/>
          <w:marRight w:val="0"/>
          <w:marTop w:val="0"/>
          <w:marBottom w:val="0"/>
          <w:divBdr>
            <w:top w:val="none" w:sz="0" w:space="0" w:color="auto"/>
            <w:left w:val="none" w:sz="0" w:space="0" w:color="auto"/>
            <w:bottom w:val="none" w:sz="0" w:space="0" w:color="auto"/>
            <w:right w:val="none" w:sz="0" w:space="0" w:color="auto"/>
          </w:divBdr>
          <w:divsChild>
            <w:div w:id="1535725177">
              <w:marLeft w:val="0"/>
              <w:marRight w:val="0"/>
              <w:marTop w:val="0"/>
              <w:marBottom w:val="0"/>
              <w:divBdr>
                <w:top w:val="none" w:sz="0" w:space="0" w:color="auto"/>
                <w:left w:val="none" w:sz="0" w:space="0" w:color="auto"/>
                <w:bottom w:val="none" w:sz="0" w:space="0" w:color="auto"/>
                <w:right w:val="none" w:sz="0" w:space="0" w:color="auto"/>
              </w:divBdr>
            </w:div>
          </w:divsChild>
        </w:div>
        <w:div w:id="482745662">
          <w:marLeft w:val="0"/>
          <w:marRight w:val="0"/>
          <w:marTop w:val="0"/>
          <w:marBottom w:val="0"/>
          <w:divBdr>
            <w:top w:val="none" w:sz="0" w:space="0" w:color="auto"/>
            <w:left w:val="none" w:sz="0" w:space="0" w:color="auto"/>
            <w:bottom w:val="none" w:sz="0" w:space="0" w:color="auto"/>
            <w:right w:val="none" w:sz="0" w:space="0" w:color="auto"/>
          </w:divBdr>
          <w:divsChild>
            <w:div w:id="161706613">
              <w:marLeft w:val="0"/>
              <w:marRight w:val="0"/>
              <w:marTop w:val="0"/>
              <w:marBottom w:val="0"/>
              <w:divBdr>
                <w:top w:val="none" w:sz="0" w:space="0" w:color="auto"/>
                <w:left w:val="none" w:sz="0" w:space="0" w:color="auto"/>
                <w:bottom w:val="none" w:sz="0" w:space="0" w:color="auto"/>
                <w:right w:val="none" w:sz="0" w:space="0" w:color="auto"/>
              </w:divBdr>
            </w:div>
          </w:divsChild>
        </w:div>
        <w:div w:id="496070174">
          <w:marLeft w:val="0"/>
          <w:marRight w:val="0"/>
          <w:marTop w:val="0"/>
          <w:marBottom w:val="0"/>
          <w:divBdr>
            <w:top w:val="none" w:sz="0" w:space="0" w:color="auto"/>
            <w:left w:val="none" w:sz="0" w:space="0" w:color="auto"/>
            <w:bottom w:val="none" w:sz="0" w:space="0" w:color="auto"/>
            <w:right w:val="none" w:sz="0" w:space="0" w:color="auto"/>
          </w:divBdr>
          <w:divsChild>
            <w:div w:id="1620994203">
              <w:marLeft w:val="0"/>
              <w:marRight w:val="0"/>
              <w:marTop w:val="0"/>
              <w:marBottom w:val="0"/>
              <w:divBdr>
                <w:top w:val="none" w:sz="0" w:space="0" w:color="auto"/>
                <w:left w:val="none" w:sz="0" w:space="0" w:color="auto"/>
                <w:bottom w:val="none" w:sz="0" w:space="0" w:color="auto"/>
                <w:right w:val="none" w:sz="0" w:space="0" w:color="auto"/>
              </w:divBdr>
            </w:div>
          </w:divsChild>
        </w:div>
        <w:div w:id="497353461">
          <w:marLeft w:val="0"/>
          <w:marRight w:val="0"/>
          <w:marTop w:val="0"/>
          <w:marBottom w:val="0"/>
          <w:divBdr>
            <w:top w:val="none" w:sz="0" w:space="0" w:color="auto"/>
            <w:left w:val="none" w:sz="0" w:space="0" w:color="auto"/>
            <w:bottom w:val="none" w:sz="0" w:space="0" w:color="auto"/>
            <w:right w:val="none" w:sz="0" w:space="0" w:color="auto"/>
          </w:divBdr>
          <w:divsChild>
            <w:div w:id="441151443">
              <w:marLeft w:val="0"/>
              <w:marRight w:val="0"/>
              <w:marTop w:val="0"/>
              <w:marBottom w:val="0"/>
              <w:divBdr>
                <w:top w:val="none" w:sz="0" w:space="0" w:color="auto"/>
                <w:left w:val="none" w:sz="0" w:space="0" w:color="auto"/>
                <w:bottom w:val="none" w:sz="0" w:space="0" w:color="auto"/>
                <w:right w:val="none" w:sz="0" w:space="0" w:color="auto"/>
              </w:divBdr>
            </w:div>
          </w:divsChild>
        </w:div>
        <w:div w:id="499002337">
          <w:marLeft w:val="0"/>
          <w:marRight w:val="0"/>
          <w:marTop w:val="0"/>
          <w:marBottom w:val="0"/>
          <w:divBdr>
            <w:top w:val="none" w:sz="0" w:space="0" w:color="auto"/>
            <w:left w:val="none" w:sz="0" w:space="0" w:color="auto"/>
            <w:bottom w:val="none" w:sz="0" w:space="0" w:color="auto"/>
            <w:right w:val="none" w:sz="0" w:space="0" w:color="auto"/>
          </w:divBdr>
          <w:divsChild>
            <w:div w:id="1897549353">
              <w:marLeft w:val="0"/>
              <w:marRight w:val="0"/>
              <w:marTop w:val="0"/>
              <w:marBottom w:val="0"/>
              <w:divBdr>
                <w:top w:val="none" w:sz="0" w:space="0" w:color="auto"/>
                <w:left w:val="none" w:sz="0" w:space="0" w:color="auto"/>
                <w:bottom w:val="none" w:sz="0" w:space="0" w:color="auto"/>
                <w:right w:val="none" w:sz="0" w:space="0" w:color="auto"/>
              </w:divBdr>
            </w:div>
          </w:divsChild>
        </w:div>
        <w:div w:id="502085097">
          <w:marLeft w:val="0"/>
          <w:marRight w:val="0"/>
          <w:marTop w:val="0"/>
          <w:marBottom w:val="0"/>
          <w:divBdr>
            <w:top w:val="none" w:sz="0" w:space="0" w:color="auto"/>
            <w:left w:val="none" w:sz="0" w:space="0" w:color="auto"/>
            <w:bottom w:val="none" w:sz="0" w:space="0" w:color="auto"/>
            <w:right w:val="none" w:sz="0" w:space="0" w:color="auto"/>
          </w:divBdr>
          <w:divsChild>
            <w:div w:id="1736464377">
              <w:marLeft w:val="0"/>
              <w:marRight w:val="0"/>
              <w:marTop w:val="0"/>
              <w:marBottom w:val="0"/>
              <w:divBdr>
                <w:top w:val="none" w:sz="0" w:space="0" w:color="auto"/>
                <w:left w:val="none" w:sz="0" w:space="0" w:color="auto"/>
                <w:bottom w:val="none" w:sz="0" w:space="0" w:color="auto"/>
                <w:right w:val="none" w:sz="0" w:space="0" w:color="auto"/>
              </w:divBdr>
            </w:div>
          </w:divsChild>
        </w:div>
        <w:div w:id="505946918">
          <w:marLeft w:val="0"/>
          <w:marRight w:val="0"/>
          <w:marTop w:val="0"/>
          <w:marBottom w:val="0"/>
          <w:divBdr>
            <w:top w:val="none" w:sz="0" w:space="0" w:color="auto"/>
            <w:left w:val="none" w:sz="0" w:space="0" w:color="auto"/>
            <w:bottom w:val="none" w:sz="0" w:space="0" w:color="auto"/>
            <w:right w:val="none" w:sz="0" w:space="0" w:color="auto"/>
          </w:divBdr>
          <w:divsChild>
            <w:div w:id="1083911262">
              <w:marLeft w:val="0"/>
              <w:marRight w:val="0"/>
              <w:marTop w:val="0"/>
              <w:marBottom w:val="0"/>
              <w:divBdr>
                <w:top w:val="none" w:sz="0" w:space="0" w:color="auto"/>
                <w:left w:val="none" w:sz="0" w:space="0" w:color="auto"/>
                <w:bottom w:val="none" w:sz="0" w:space="0" w:color="auto"/>
                <w:right w:val="none" w:sz="0" w:space="0" w:color="auto"/>
              </w:divBdr>
            </w:div>
          </w:divsChild>
        </w:div>
        <w:div w:id="507718395">
          <w:marLeft w:val="0"/>
          <w:marRight w:val="0"/>
          <w:marTop w:val="0"/>
          <w:marBottom w:val="0"/>
          <w:divBdr>
            <w:top w:val="none" w:sz="0" w:space="0" w:color="auto"/>
            <w:left w:val="none" w:sz="0" w:space="0" w:color="auto"/>
            <w:bottom w:val="none" w:sz="0" w:space="0" w:color="auto"/>
            <w:right w:val="none" w:sz="0" w:space="0" w:color="auto"/>
          </w:divBdr>
          <w:divsChild>
            <w:div w:id="1303343356">
              <w:marLeft w:val="0"/>
              <w:marRight w:val="0"/>
              <w:marTop w:val="0"/>
              <w:marBottom w:val="0"/>
              <w:divBdr>
                <w:top w:val="none" w:sz="0" w:space="0" w:color="auto"/>
                <w:left w:val="none" w:sz="0" w:space="0" w:color="auto"/>
                <w:bottom w:val="none" w:sz="0" w:space="0" w:color="auto"/>
                <w:right w:val="none" w:sz="0" w:space="0" w:color="auto"/>
              </w:divBdr>
            </w:div>
          </w:divsChild>
        </w:div>
        <w:div w:id="511070447">
          <w:marLeft w:val="0"/>
          <w:marRight w:val="0"/>
          <w:marTop w:val="0"/>
          <w:marBottom w:val="0"/>
          <w:divBdr>
            <w:top w:val="none" w:sz="0" w:space="0" w:color="auto"/>
            <w:left w:val="none" w:sz="0" w:space="0" w:color="auto"/>
            <w:bottom w:val="none" w:sz="0" w:space="0" w:color="auto"/>
            <w:right w:val="none" w:sz="0" w:space="0" w:color="auto"/>
          </w:divBdr>
          <w:divsChild>
            <w:div w:id="999309474">
              <w:marLeft w:val="0"/>
              <w:marRight w:val="0"/>
              <w:marTop w:val="0"/>
              <w:marBottom w:val="0"/>
              <w:divBdr>
                <w:top w:val="none" w:sz="0" w:space="0" w:color="auto"/>
                <w:left w:val="none" w:sz="0" w:space="0" w:color="auto"/>
                <w:bottom w:val="none" w:sz="0" w:space="0" w:color="auto"/>
                <w:right w:val="none" w:sz="0" w:space="0" w:color="auto"/>
              </w:divBdr>
            </w:div>
          </w:divsChild>
        </w:div>
        <w:div w:id="511529878">
          <w:marLeft w:val="0"/>
          <w:marRight w:val="0"/>
          <w:marTop w:val="0"/>
          <w:marBottom w:val="0"/>
          <w:divBdr>
            <w:top w:val="none" w:sz="0" w:space="0" w:color="auto"/>
            <w:left w:val="none" w:sz="0" w:space="0" w:color="auto"/>
            <w:bottom w:val="none" w:sz="0" w:space="0" w:color="auto"/>
            <w:right w:val="none" w:sz="0" w:space="0" w:color="auto"/>
          </w:divBdr>
          <w:divsChild>
            <w:div w:id="1888880137">
              <w:marLeft w:val="0"/>
              <w:marRight w:val="0"/>
              <w:marTop w:val="0"/>
              <w:marBottom w:val="0"/>
              <w:divBdr>
                <w:top w:val="none" w:sz="0" w:space="0" w:color="auto"/>
                <w:left w:val="none" w:sz="0" w:space="0" w:color="auto"/>
                <w:bottom w:val="none" w:sz="0" w:space="0" w:color="auto"/>
                <w:right w:val="none" w:sz="0" w:space="0" w:color="auto"/>
              </w:divBdr>
            </w:div>
          </w:divsChild>
        </w:div>
        <w:div w:id="512257452">
          <w:marLeft w:val="0"/>
          <w:marRight w:val="0"/>
          <w:marTop w:val="0"/>
          <w:marBottom w:val="0"/>
          <w:divBdr>
            <w:top w:val="none" w:sz="0" w:space="0" w:color="auto"/>
            <w:left w:val="none" w:sz="0" w:space="0" w:color="auto"/>
            <w:bottom w:val="none" w:sz="0" w:space="0" w:color="auto"/>
            <w:right w:val="none" w:sz="0" w:space="0" w:color="auto"/>
          </w:divBdr>
          <w:divsChild>
            <w:div w:id="1836729079">
              <w:marLeft w:val="0"/>
              <w:marRight w:val="0"/>
              <w:marTop w:val="0"/>
              <w:marBottom w:val="0"/>
              <w:divBdr>
                <w:top w:val="none" w:sz="0" w:space="0" w:color="auto"/>
                <w:left w:val="none" w:sz="0" w:space="0" w:color="auto"/>
                <w:bottom w:val="none" w:sz="0" w:space="0" w:color="auto"/>
                <w:right w:val="none" w:sz="0" w:space="0" w:color="auto"/>
              </w:divBdr>
            </w:div>
          </w:divsChild>
        </w:div>
        <w:div w:id="515584766">
          <w:marLeft w:val="0"/>
          <w:marRight w:val="0"/>
          <w:marTop w:val="0"/>
          <w:marBottom w:val="0"/>
          <w:divBdr>
            <w:top w:val="none" w:sz="0" w:space="0" w:color="auto"/>
            <w:left w:val="none" w:sz="0" w:space="0" w:color="auto"/>
            <w:bottom w:val="none" w:sz="0" w:space="0" w:color="auto"/>
            <w:right w:val="none" w:sz="0" w:space="0" w:color="auto"/>
          </w:divBdr>
          <w:divsChild>
            <w:div w:id="1092429557">
              <w:marLeft w:val="0"/>
              <w:marRight w:val="0"/>
              <w:marTop w:val="0"/>
              <w:marBottom w:val="0"/>
              <w:divBdr>
                <w:top w:val="none" w:sz="0" w:space="0" w:color="auto"/>
                <w:left w:val="none" w:sz="0" w:space="0" w:color="auto"/>
                <w:bottom w:val="none" w:sz="0" w:space="0" w:color="auto"/>
                <w:right w:val="none" w:sz="0" w:space="0" w:color="auto"/>
              </w:divBdr>
            </w:div>
          </w:divsChild>
        </w:div>
        <w:div w:id="518086151">
          <w:marLeft w:val="0"/>
          <w:marRight w:val="0"/>
          <w:marTop w:val="0"/>
          <w:marBottom w:val="0"/>
          <w:divBdr>
            <w:top w:val="none" w:sz="0" w:space="0" w:color="auto"/>
            <w:left w:val="none" w:sz="0" w:space="0" w:color="auto"/>
            <w:bottom w:val="none" w:sz="0" w:space="0" w:color="auto"/>
            <w:right w:val="none" w:sz="0" w:space="0" w:color="auto"/>
          </w:divBdr>
          <w:divsChild>
            <w:div w:id="1817141939">
              <w:marLeft w:val="0"/>
              <w:marRight w:val="0"/>
              <w:marTop w:val="0"/>
              <w:marBottom w:val="0"/>
              <w:divBdr>
                <w:top w:val="none" w:sz="0" w:space="0" w:color="auto"/>
                <w:left w:val="none" w:sz="0" w:space="0" w:color="auto"/>
                <w:bottom w:val="none" w:sz="0" w:space="0" w:color="auto"/>
                <w:right w:val="none" w:sz="0" w:space="0" w:color="auto"/>
              </w:divBdr>
            </w:div>
          </w:divsChild>
        </w:div>
        <w:div w:id="519510528">
          <w:marLeft w:val="0"/>
          <w:marRight w:val="0"/>
          <w:marTop w:val="0"/>
          <w:marBottom w:val="0"/>
          <w:divBdr>
            <w:top w:val="none" w:sz="0" w:space="0" w:color="auto"/>
            <w:left w:val="none" w:sz="0" w:space="0" w:color="auto"/>
            <w:bottom w:val="none" w:sz="0" w:space="0" w:color="auto"/>
            <w:right w:val="none" w:sz="0" w:space="0" w:color="auto"/>
          </w:divBdr>
          <w:divsChild>
            <w:div w:id="908735469">
              <w:marLeft w:val="0"/>
              <w:marRight w:val="0"/>
              <w:marTop w:val="0"/>
              <w:marBottom w:val="0"/>
              <w:divBdr>
                <w:top w:val="none" w:sz="0" w:space="0" w:color="auto"/>
                <w:left w:val="none" w:sz="0" w:space="0" w:color="auto"/>
                <w:bottom w:val="none" w:sz="0" w:space="0" w:color="auto"/>
                <w:right w:val="none" w:sz="0" w:space="0" w:color="auto"/>
              </w:divBdr>
            </w:div>
          </w:divsChild>
        </w:div>
        <w:div w:id="523517918">
          <w:marLeft w:val="0"/>
          <w:marRight w:val="0"/>
          <w:marTop w:val="0"/>
          <w:marBottom w:val="0"/>
          <w:divBdr>
            <w:top w:val="none" w:sz="0" w:space="0" w:color="auto"/>
            <w:left w:val="none" w:sz="0" w:space="0" w:color="auto"/>
            <w:bottom w:val="none" w:sz="0" w:space="0" w:color="auto"/>
            <w:right w:val="none" w:sz="0" w:space="0" w:color="auto"/>
          </w:divBdr>
          <w:divsChild>
            <w:div w:id="1226992111">
              <w:marLeft w:val="0"/>
              <w:marRight w:val="0"/>
              <w:marTop w:val="0"/>
              <w:marBottom w:val="0"/>
              <w:divBdr>
                <w:top w:val="none" w:sz="0" w:space="0" w:color="auto"/>
                <w:left w:val="none" w:sz="0" w:space="0" w:color="auto"/>
                <w:bottom w:val="none" w:sz="0" w:space="0" w:color="auto"/>
                <w:right w:val="none" w:sz="0" w:space="0" w:color="auto"/>
              </w:divBdr>
            </w:div>
          </w:divsChild>
        </w:div>
        <w:div w:id="550313780">
          <w:marLeft w:val="0"/>
          <w:marRight w:val="0"/>
          <w:marTop w:val="0"/>
          <w:marBottom w:val="0"/>
          <w:divBdr>
            <w:top w:val="none" w:sz="0" w:space="0" w:color="auto"/>
            <w:left w:val="none" w:sz="0" w:space="0" w:color="auto"/>
            <w:bottom w:val="none" w:sz="0" w:space="0" w:color="auto"/>
            <w:right w:val="none" w:sz="0" w:space="0" w:color="auto"/>
          </w:divBdr>
          <w:divsChild>
            <w:div w:id="517350440">
              <w:marLeft w:val="0"/>
              <w:marRight w:val="0"/>
              <w:marTop w:val="0"/>
              <w:marBottom w:val="0"/>
              <w:divBdr>
                <w:top w:val="none" w:sz="0" w:space="0" w:color="auto"/>
                <w:left w:val="none" w:sz="0" w:space="0" w:color="auto"/>
                <w:bottom w:val="none" w:sz="0" w:space="0" w:color="auto"/>
                <w:right w:val="none" w:sz="0" w:space="0" w:color="auto"/>
              </w:divBdr>
            </w:div>
          </w:divsChild>
        </w:div>
        <w:div w:id="556746405">
          <w:marLeft w:val="0"/>
          <w:marRight w:val="0"/>
          <w:marTop w:val="0"/>
          <w:marBottom w:val="0"/>
          <w:divBdr>
            <w:top w:val="none" w:sz="0" w:space="0" w:color="auto"/>
            <w:left w:val="none" w:sz="0" w:space="0" w:color="auto"/>
            <w:bottom w:val="none" w:sz="0" w:space="0" w:color="auto"/>
            <w:right w:val="none" w:sz="0" w:space="0" w:color="auto"/>
          </w:divBdr>
          <w:divsChild>
            <w:div w:id="1306082352">
              <w:marLeft w:val="0"/>
              <w:marRight w:val="0"/>
              <w:marTop w:val="0"/>
              <w:marBottom w:val="0"/>
              <w:divBdr>
                <w:top w:val="none" w:sz="0" w:space="0" w:color="auto"/>
                <w:left w:val="none" w:sz="0" w:space="0" w:color="auto"/>
                <w:bottom w:val="none" w:sz="0" w:space="0" w:color="auto"/>
                <w:right w:val="none" w:sz="0" w:space="0" w:color="auto"/>
              </w:divBdr>
            </w:div>
          </w:divsChild>
        </w:div>
        <w:div w:id="557744035">
          <w:marLeft w:val="0"/>
          <w:marRight w:val="0"/>
          <w:marTop w:val="0"/>
          <w:marBottom w:val="0"/>
          <w:divBdr>
            <w:top w:val="none" w:sz="0" w:space="0" w:color="auto"/>
            <w:left w:val="none" w:sz="0" w:space="0" w:color="auto"/>
            <w:bottom w:val="none" w:sz="0" w:space="0" w:color="auto"/>
            <w:right w:val="none" w:sz="0" w:space="0" w:color="auto"/>
          </w:divBdr>
          <w:divsChild>
            <w:div w:id="8223810">
              <w:marLeft w:val="0"/>
              <w:marRight w:val="0"/>
              <w:marTop w:val="0"/>
              <w:marBottom w:val="0"/>
              <w:divBdr>
                <w:top w:val="none" w:sz="0" w:space="0" w:color="auto"/>
                <w:left w:val="none" w:sz="0" w:space="0" w:color="auto"/>
                <w:bottom w:val="none" w:sz="0" w:space="0" w:color="auto"/>
                <w:right w:val="none" w:sz="0" w:space="0" w:color="auto"/>
              </w:divBdr>
            </w:div>
          </w:divsChild>
        </w:div>
        <w:div w:id="563492150">
          <w:marLeft w:val="0"/>
          <w:marRight w:val="0"/>
          <w:marTop w:val="0"/>
          <w:marBottom w:val="0"/>
          <w:divBdr>
            <w:top w:val="none" w:sz="0" w:space="0" w:color="auto"/>
            <w:left w:val="none" w:sz="0" w:space="0" w:color="auto"/>
            <w:bottom w:val="none" w:sz="0" w:space="0" w:color="auto"/>
            <w:right w:val="none" w:sz="0" w:space="0" w:color="auto"/>
          </w:divBdr>
          <w:divsChild>
            <w:div w:id="1950890616">
              <w:marLeft w:val="0"/>
              <w:marRight w:val="0"/>
              <w:marTop w:val="0"/>
              <w:marBottom w:val="0"/>
              <w:divBdr>
                <w:top w:val="none" w:sz="0" w:space="0" w:color="auto"/>
                <w:left w:val="none" w:sz="0" w:space="0" w:color="auto"/>
                <w:bottom w:val="none" w:sz="0" w:space="0" w:color="auto"/>
                <w:right w:val="none" w:sz="0" w:space="0" w:color="auto"/>
              </w:divBdr>
            </w:div>
          </w:divsChild>
        </w:div>
        <w:div w:id="563872915">
          <w:marLeft w:val="0"/>
          <w:marRight w:val="0"/>
          <w:marTop w:val="0"/>
          <w:marBottom w:val="0"/>
          <w:divBdr>
            <w:top w:val="none" w:sz="0" w:space="0" w:color="auto"/>
            <w:left w:val="none" w:sz="0" w:space="0" w:color="auto"/>
            <w:bottom w:val="none" w:sz="0" w:space="0" w:color="auto"/>
            <w:right w:val="none" w:sz="0" w:space="0" w:color="auto"/>
          </w:divBdr>
          <w:divsChild>
            <w:div w:id="512691145">
              <w:marLeft w:val="0"/>
              <w:marRight w:val="0"/>
              <w:marTop w:val="0"/>
              <w:marBottom w:val="0"/>
              <w:divBdr>
                <w:top w:val="none" w:sz="0" w:space="0" w:color="auto"/>
                <w:left w:val="none" w:sz="0" w:space="0" w:color="auto"/>
                <w:bottom w:val="none" w:sz="0" w:space="0" w:color="auto"/>
                <w:right w:val="none" w:sz="0" w:space="0" w:color="auto"/>
              </w:divBdr>
            </w:div>
          </w:divsChild>
        </w:div>
        <w:div w:id="568611172">
          <w:marLeft w:val="0"/>
          <w:marRight w:val="0"/>
          <w:marTop w:val="0"/>
          <w:marBottom w:val="0"/>
          <w:divBdr>
            <w:top w:val="none" w:sz="0" w:space="0" w:color="auto"/>
            <w:left w:val="none" w:sz="0" w:space="0" w:color="auto"/>
            <w:bottom w:val="none" w:sz="0" w:space="0" w:color="auto"/>
            <w:right w:val="none" w:sz="0" w:space="0" w:color="auto"/>
          </w:divBdr>
          <w:divsChild>
            <w:div w:id="157615952">
              <w:marLeft w:val="0"/>
              <w:marRight w:val="0"/>
              <w:marTop w:val="0"/>
              <w:marBottom w:val="0"/>
              <w:divBdr>
                <w:top w:val="none" w:sz="0" w:space="0" w:color="auto"/>
                <w:left w:val="none" w:sz="0" w:space="0" w:color="auto"/>
                <w:bottom w:val="none" w:sz="0" w:space="0" w:color="auto"/>
                <w:right w:val="none" w:sz="0" w:space="0" w:color="auto"/>
              </w:divBdr>
            </w:div>
          </w:divsChild>
        </w:div>
        <w:div w:id="572087423">
          <w:marLeft w:val="0"/>
          <w:marRight w:val="0"/>
          <w:marTop w:val="0"/>
          <w:marBottom w:val="0"/>
          <w:divBdr>
            <w:top w:val="none" w:sz="0" w:space="0" w:color="auto"/>
            <w:left w:val="none" w:sz="0" w:space="0" w:color="auto"/>
            <w:bottom w:val="none" w:sz="0" w:space="0" w:color="auto"/>
            <w:right w:val="none" w:sz="0" w:space="0" w:color="auto"/>
          </w:divBdr>
          <w:divsChild>
            <w:div w:id="1982542792">
              <w:marLeft w:val="0"/>
              <w:marRight w:val="0"/>
              <w:marTop w:val="0"/>
              <w:marBottom w:val="0"/>
              <w:divBdr>
                <w:top w:val="none" w:sz="0" w:space="0" w:color="auto"/>
                <w:left w:val="none" w:sz="0" w:space="0" w:color="auto"/>
                <w:bottom w:val="none" w:sz="0" w:space="0" w:color="auto"/>
                <w:right w:val="none" w:sz="0" w:space="0" w:color="auto"/>
              </w:divBdr>
            </w:div>
          </w:divsChild>
        </w:div>
        <w:div w:id="572588900">
          <w:marLeft w:val="0"/>
          <w:marRight w:val="0"/>
          <w:marTop w:val="0"/>
          <w:marBottom w:val="0"/>
          <w:divBdr>
            <w:top w:val="none" w:sz="0" w:space="0" w:color="auto"/>
            <w:left w:val="none" w:sz="0" w:space="0" w:color="auto"/>
            <w:bottom w:val="none" w:sz="0" w:space="0" w:color="auto"/>
            <w:right w:val="none" w:sz="0" w:space="0" w:color="auto"/>
          </w:divBdr>
          <w:divsChild>
            <w:div w:id="147795111">
              <w:marLeft w:val="0"/>
              <w:marRight w:val="0"/>
              <w:marTop w:val="0"/>
              <w:marBottom w:val="0"/>
              <w:divBdr>
                <w:top w:val="none" w:sz="0" w:space="0" w:color="auto"/>
                <w:left w:val="none" w:sz="0" w:space="0" w:color="auto"/>
                <w:bottom w:val="none" w:sz="0" w:space="0" w:color="auto"/>
                <w:right w:val="none" w:sz="0" w:space="0" w:color="auto"/>
              </w:divBdr>
            </w:div>
          </w:divsChild>
        </w:div>
        <w:div w:id="573398499">
          <w:marLeft w:val="0"/>
          <w:marRight w:val="0"/>
          <w:marTop w:val="0"/>
          <w:marBottom w:val="0"/>
          <w:divBdr>
            <w:top w:val="none" w:sz="0" w:space="0" w:color="auto"/>
            <w:left w:val="none" w:sz="0" w:space="0" w:color="auto"/>
            <w:bottom w:val="none" w:sz="0" w:space="0" w:color="auto"/>
            <w:right w:val="none" w:sz="0" w:space="0" w:color="auto"/>
          </w:divBdr>
          <w:divsChild>
            <w:div w:id="1397975942">
              <w:marLeft w:val="0"/>
              <w:marRight w:val="0"/>
              <w:marTop w:val="0"/>
              <w:marBottom w:val="0"/>
              <w:divBdr>
                <w:top w:val="none" w:sz="0" w:space="0" w:color="auto"/>
                <w:left w:val="none" w:sz="0" w:space="0" w:color="auto"/>
                <w:bottom w:val="none" w:sz="0" w:space="0" w:color="auto"/>
                <w:right w:val="none" w:sz="0" w:space="0" w:color="auto"/>
              </w:divBdr>
            </w:div>
          </w:divsChild>
        </w:div>
        <w:div w:id="580061895">
          <w:marLeft w:val="0"/>
          <w:marRight w:val="0"/>
          <w:marTop w:val="0"/>
          <w:marBottom w:val="0"/>
          <w:divBdr>
            <w:top w:val="none" w:sz="0" w:space="0" w:color="auto"/>
            <w:left w:val="none" w:sz="0" w:space="0" w:color="auto"/>
            <w:bottom w:val="none" w:sz="0" w:space="0" w:color="auto"/>
            <w:right w:val="none" w:sz="0" w:space="0" w:color="auto"/>
          </w:divBdr>
          <w:divsChild>
            <w:div w:id="332496729">
              <w:marLeft w:val="0"/>
              <w:marRight w:val="0"/>
              <w:marTop w:val="0"/>
              <w:marBottom w:val="0"/>
              <w:divBdr>
                <w:top w:val="none" w:sz="0" w:space="0" w:color="auto"/>
                <w:left w:val="none" w:sz="0" w:space="0" w:color="auto"/>
                <w:bottom w:val="none" w:sz="0" w:space="0" w:color="auto"/>
                <w:right w:val="none" w:sz="0" w:space="0" w:color="auto"/>
              </w:divBdr>
            </w:div>
          </w:divsChild>
        </w:div>
        <w:div w:id="583227215">
          <w:marLeft w:val="0"/>
          <w:marRight w:val="0"/>
          <w:marTop w:val="0"/>
          <w:marBottom w:val="0"/>
          <w:divBdr>
            <w:top w:val="none" w:sz="0" w:space="0" w:color="auto"/>
            <w:left w:val="none" w:sz="0" w:space="0" w:color="auto"/>
            <w:bottom w:val="none" w:sz="0" w:space="0" w:color="auto"/>
            <w:right w:val="none" w:sz="0" w:space="0" w:color="auto"/>
          </w:divBdr>
          <w:divsChild>
            <w:div w:id="2056663127">
              <w:marLeft w:val="0"/>
              <w:marRight w:val="0"/>
              <w:marTop w:val="0"/>
              <w:marBottom w:val="0"/>
              <w:divBdr>
                <w:top w:val="none" w:sz="0" w:space="0" w:color="auto"/>
                <w:left w:val="none" w:sz="0" w:space="0" w:color="auto"/>
                <w:bottom w:val="none" w:sz="0" w:space="0" w:color="auto"/>
                <w:right w:val="none" w:sz="0" w:space="0" w:color="auto"/>
              </w:divBdr>
            </w:div>
          </w:divsChild>
        </w:div>
        <w:div w:id="584732598">
          <w:marLeft w:val="0"/>
          <w:marRight w:val="0"/>
          <w:marTop w:val="0"/>
          <w:marBottom w:val="0"/>
          <w:divBdr>
            <w:top w:val="none" w:sz="0" w:space="0" w:color="auto"/>
            <w:left w:val="none" w:sz="0" w:space="0" w:color="auto"/>
            <w:bottom w:val="none" w:sz="0" w:space="0" w:color="auto"/>
            <w:right w:val="none" w:sz="0" w:space="0" w:color="auto"/>
          </w:divBdr>
          <w:divsChild>
            <w:div w:id="1449591125">
              <w:marLeft w:val="0"/>
              <w:marRight w:val="0"/>
              <w:marTop w:val="0"/>
              <w:marBottom w:val="0"/>
              <w:divBdr>
                <w:top w:val="none" w:sz="0" w:space="0" w:color="auto"/>
                <w:left w:val="none" w:sz="0" w:space="0" w:color="auto"/>
                <w:bottom w:val="none" w:sz="0" w:space="0" w:color="auto"/>
                <w:right w:val="none" w:sz="0" w:space="0" w:color="auto"/>
              </w:divBdr>
            </w:div>
          </w:divsChild>
        </w:div>
        <w:div w:id="587541969">
          <w:marLeft w:val="0"/>
          <w:marRight w:val="0"/>
          <w:marTop w:val="0"/>
          <w:marBottom w:val="0"/>
          <w:divBdr>
            <w:top w:val="none" w:sz="0" w:space="0" w:color="auto"/>
            <w:left w:val="none" w:sz="0" w:space="0" w:color="auto"/>
            <w:bottom w:val="none" w:sz="0" w:space="0" w:color="auto"/>
            <w:right w:val="none" w:sz="0" w:space="0" w:color="auto"/>
          </w:divBdr>
          <w:divsChild>
            <w:div w:id="1065252550">
              <w:marLeft w:val="0"/>
              <w:marRight w:val="0"/>
              <w:marTop w:val="0"/>
              <w:marBottom w:val="0"/>
              <w:divBdr>
                <w:top w:val="none" w:sz="0" w:space="0" w:color="auto"/>
                <w:left w:val="none" w:sz="0" w:space="0" w:color="auto"/>
                <w:bottom w:val="none" w:sz="0" w:space="0" w:color="auto"/>
                <w:right w:val="none" w:sz="0" w:space="0" w:color="auto"/>
              </w:divBdr>
            </w:div>
          </w:divsChild>
        </w:div>
        <w:div w:id="588541582">
          <w:marLeft w:val="0"/>
          <w:marRight w:val="0"/>
          <w:marTop w:val="0"/>
          <w:marBottom w:val="0"/>
          <w:divBdr>
            <w:top w:val="none" w:sz="0" w:space="0" w:color="auto"/>
            <w:left w:val="none" w:sz="0" w:space="0" w:color="auto"/>
            <w:bottom w:val="none" w:sz="0" w:space="0" w:color="auto"/>
            <w:right w:val="none" w:sz="0" w:space="0" w:color="auto"/>
          </w:divBdr>
          <w:divsChild>
            <w:div w:id="1998025397">
              <w:marLeft w:val="0"/>
              <w:marRight w:val="0"/>
              <w:marTop w:val="0"/>
              <w:marBottom w:val="0"/>
              <w:divBdr>
                <w:top w:val="none" w:sz="0" w:space="0" w:color="auto"/>
                <w:left w:val="none" w:sz="0" w:space="0" w:color="auto"/>
                <w:bottom w:val="none" w:sz="0" w:space="0" w:color="auto"/>
                <w:right w:val="none" w:sz="0" w:space="0" w:color="auto"/>
              </w:divBdr>
            </w:div>
          </w:divsChild>
        </w:div>
        <w:div w:id="599720291">
          <w:marLeft w:val="0"/>
          <w:marRight w:val="0"/>
          <w:marTop w:val="0"/>
          <w:marBottom w:val="0"/>
          <w:divBdr>
            <w:top w:val="none" w:sz="0" w:space="0" w:color="auto"/>
            <w:left w:val="none" w:sz="0" w:space="0" w:color="auto"/>
            <w:bottom w:val="none" w:sz="0" w:space="0" w:color="auto"/>
            <w:right w:val="none" w:sz="0" w:space="0" w:color="auto"/>
          </w:divBdr>
          <w:divsChild>
            <w:div w:id="1345477062">
              <w:marLeft w:val="0"/>
              <w:marRight w:val="0"/>
              <w:marTop w:val="0"/>
              <w:marBottom w:val="0"/>
              <w:divBdr>
                <w:top w:val="none" w:sz="0" w:space="0" w:color="auto"/>
                <w:left w:val="none" w:sz="0" w:space="0" w:color="auto"/>
                <w:bottom w:val="none" w:sz="0" w:space="0" w:color="auto"/>
                <w:right w:val="none" w:sz="0" w:space="0" w:color="auto"/>
              </w:divBdr>
            </w:div>
          </w:divsChild>
        </w:div>
        <w:div w:id="603345652">
          <w:marLeft w:val="0"/>
          <w:marRight w:val="0"/>
          <w:marTop w:val="0"/>
          <w:marBottom w:val="0"/>
          <w:divBdr>
            <w:top w:val="none" w:sz="0" w:space="0" w:color="auto"/>
            <w:left w:val="none" w:sz="0" w:space="0" w:color="auto"/>
            <w:bottom w:val="none" w:sz="0" w:space="0" w:color="auto"/>
            <w:right w:val="none" w:sz="0" w:space="0" w:color="auto"/>
          </w:divBdr>
          <w:divsChild>
            <w:div w:id="242567537">
              <w:marLeft w:val="0"/>
              <w:marRight w:val="0"/>
              <w:marTop w:val="0"/>
              <w:marBottom w:val="0"/>
              <w:divBdr>
                <w:top w:val="none" w:sz="0" w:space="0" w:color="auto"/>
                <w:left w:val="none" w:sz="0" w:space="0" w:color="auto"/>
                <w:bottom w:val="none" w:sz="0" w:space="0" w:color="auto"/>
                <w:right w:val="none" w:sz="0" w:space="0" w:color="auto"/>
              </w:divBdr>
            </w:div>
          </w:divsChild>
        </w:div>
        <w:div w:id="604000756">
          <w:marLeft w:val="0"/>
          <w:marRight w:val="0"/>
          <w:marTop w:val="0"/>
          <w:marBottom w:val="0"/>
          <w:divBdr>
            <w:top w:val="none" w:sz="0" w:space="0" w:color="auto"/>
            <w:left w:val="none" w:sz="0" w:space="0" w:color="auto"/>
            <w:bottom w:val="none" w:sz="0" w:space="0" w:color="auto"/>
            <w:right w:val="none" w:sz="0" w:space="0" w:color="auto"/>
          </w:divBdr>
          <w:divsChild>
            <w:div w:id="494804224">
              <w:marLeft w:val="0"/>
              <w:marRight w:val="0"/>
              <w:marTop w:val="0"/>
              <w:marBottom w:val="0"/>
              <w:divBdr>
                <w:top w:val="none" w:sz="0" w:space="0" w:color="auto"/>
                <w:left w:val="none" w:sz="0" w:space="0" w:color="auto"/>
                <w:bottom w:val="none" w:sz="0" w:space="0" w:color="auto"/>
                <w:right w:val="none" w:sz="0" w:space="0" w:color="auto"/>
              </w:divBdr>
            </w:div>
          </w:divsChild>
        </w:div>
        <w:div w:id="604844007">
          <w:marLeft w:val="0"/>
          <w:marRight w:val="0"/>
          <w:marTop w:val="0"/>
          <w:marBottom w:val="0"/>
          <w:divBdr>
            <w:top w:val="none" w:sz="0" w:space="0" w:color="auto"/>
            <w:left w:val="none" w:sz="0" w:space="0" w:color="auto"/>
            <w:bottom w:val="none" w:sz="0" w:space="0" w:color="auto"/>
            <w:right w:val="none" w:sz="0" w:space="0" w:color="auto"/>
          </w:divBdr>
          <w:divsChild>
            <w:div w:id="1988587759">
              <w:marLeft w:val="0"/>
              <w:marRight w:val="0"/>
              <w:marTop w:val="0"/>
              <w:marBottom w:val="0"/>
              <w:divBdr>
                <w:top w:val="none" w:sz="0" w:space="0" w:color="auto"/>
                <w:left w:val="none" w:sz="0" w:space="0" w:color="auto"/>
                <w:bottom w:val="none" w:sz="0" w:space="0" w:color="auto"/>
                <w:right w:val="none" w:sz="0" w:space="0" w:color="auto"/>
              </w:divBdr>
            </w:div>
          </w:divsChild>
        </w:div>
        <w:div w:id="605619245">
          <w:marLeft w:val="0"/>
          <w:marRight w:val="0"/>
          <w:marTop w:val="0"/>
          <w:marBottom w:val="0"/>
          <w:divBdr>
            <w:top w:val="none" w:sz="0" w:space="0" w:color="auto"/>
            <w:left w:val="none" w:sz="0" w:space="0" w:color="auto"/>
            <w:bottom w:val="none" w:sz="0" w:space="0" w:color="auto"/>
            <w:right w:val="none" w:sz="0" w:space="0" w:color="auto"/>
          </w:divBdr>
          <w:divsChild>
            <w:div w:id="176040694">
              <w:marLeft w:val="0"/>
              <w:marRight w:val="0"/>
              <w:marTop w:val="0"/>
              <w:marBottom w:val="0"/>
              <w:divBdr>
                <w:top w:val="none" w:sz="0" w:space="0" w:color="auto"/>
                <w:left w:val="none" w:sz="0" w:space="0" w:color="auto"/>
                <w:bottom w:val="none" w:sz="0" w:space="0" w:color="auto"/>
                <w:right w:val="none" w:sz="0" w:space="0" w:color="auto"/>
              </w:divBdr>
            </w:div>
          </w:divsChild>
        </w:div>
        <w:div w:id="607354095">
          <w:marLeft w:val="0"/>
          <w:marRight w:val="0"/>
          <w:marTop w:val="0"/>
          <w:marBottom w:val="0"/>
          <w:divBdr>
            <w:top w:val="none" w:sz="0" w:space="0" w:color="auto"/>
            <w:left w:val="none" w:sz="0" w:space="0" w:color="auto"/>
            <w:bottom w:val="none" w:sz="0" w:space="0" w:color="auto"/>
            <w:right w:val="none" w:sz="0" w:space="0" w:color="auto"/>
          </w:divBdr>
          <w:divsChild>
            <w:div w:id="85461510">
              <w:marLeft w:val="0"/>
              <w:marRight w:val="0"/>
              <w:marTop w:val="0"/>
              <w:marBottom w:val="0"/>
              <w:divBdr>
                <w:top w:val="none" w:sz="0" w:space="0" w:color="auto"/>
                <w:left w:val="none" w:sz="0" w:space="0" w:color="auto"/>
                <w:bottom w:val="none" w:sz="0" w:space="0" w:color="auto"/>
                <w:right w:val="none" w:sz="0" w:space="0" w:color="auto"/>
              </w:divBdr>
            </w:div>
          </w:divsChild>
        </w:div>
        <w:div w:id="608463528">
          <w:marLeft w:val="0"/>
          <w:marRight w:val="0"/>
          <w:marTop w:val="0"/>
          <w:marBottom w:val="0"/>
          <w:divBdr>
            <w:top w:val="none" w:sz="0" w:space="0" w:color="auto"/>
            <w:left w:val="none" w:sz="0" w:space="0" w:color="auto"/>
            <w:bottom w:val="none" w:sz="0" w:space="0" w:color="auto"/>
            <w:right w:val="none" w:sz="0" w:space="0" w:color="auto"/>
          </w:divBdr>
          <w:divsChild>
            <w:div w:id="931546835">
              <w:marLeft w:val="0"/>
              <w:marRight w:val="0"/>
              <w:marTop w:val="0"/>
              <w:marBottom w:val="0"/>
              <w:divBdr>
                <w:top w:val="none" w:sz="0" w:space="0" w:color="auto"/>
                <w:left w:val="none" w:sz="0" w:space="0" w:color="auto"/>
                <w:bottom w:val="none" w:sz="0" w:space="0" w:color="auto"/>
                <w:right w:val="none" w:sz="0" w:space="0" w:color="auto"/>
              </w:divBdr>
            </w:div>
          </w:divsChild>
        </w:div>
        <w:div w:id="610555569">
          <w:marLeft w:val="0"/>
          <w:marRight w:val="0"/>
          <w:marTop w:val="0"/>
          <w:marBottom w:val="0"/>
          <w:divBdr>
            <w:top w:val="none" w:sz="0" w:space="0" w:color="auto"/>
            <w:left w:val="none" w:sz="0" w:space="0" w:color="auto"/>
            <w:bottom w:val="none" w:sz="0" w:space="0" w:color="auto"/>
            <w:right w:val="none" w:sz="0" w:space="0" w:color="auto"/>
          </w:divBdr>
          <w:divsChild>
            <w:div w:id="2052798238">
              <w:marLeft w:val="0"/>
              <w:marRight w:val="0"/>
              <w:marTop w:val="0"/>
              <w:marBottom w:val="0"/>
              <w:divBdr>
                <w:top w:val="none" w:sz="0" w:space="0" w:color="auto"/>
                <w:left w:val="none" w:sz="0" w:space="0" w:color="auto"/>
                <w:bottom w:val="none" w:sz="0" w:space="0" w:color="auto"/>
                <w:right w:val="none" w:sz="0" w:space="0" w:color="auto"/>
              </w:divBdr>
            </w:div>
          </w:divsChild>
        </w:div>
        <w:div w:id="614990996">
          <w:marLeft w:val="0"/>
          <w:marRight w:val="0"/>
          <w:marTop w:val="0"/>
          <w:marBottom w:val="0"/>
          <w:divBdr>
            <w:top w:val="none" w:sz="0" w:space="0" w:color="auto"/>
            <w:left w:val="none" w:sz="0" w:space="0" w:color="auto"/>
            <w:bottom w:val="none" w:sz="0" w:space="0" w:color="auto"/>
            <w:right w:val="none" w:sz="0" w:space="0" w:color="auto"/>
          </w:divBdr>
          <w:divsChild>
            <w:div w:id="1204319645">
              <w:marLeft w:val="0"/>
              <w:marRight w:val="0"/>
              <w:marTop w:val="0"/>
              <w:marBottom w:val="0"/>
              <w:divBdr>
                <w:top w:val="none" w:sz="0" w:space="0" w:color="auto"/>
                <w:left w:val="none" w:sz="0" w:space="0" w:color="auto"/>
                <w:bottom w:val="none" w:sz="0" w:space="0" w:color="auto"/>
                <w:right w:val="none" w:sz="0" w:space="0" w:color="auto"/>
              </w:divBdr>
            </w:div>
          </w:divsChild>
        </w:div>
        <w:div w:id="618219498">
          <w:marLeft w:val="0"/>
          <w:marRight w:val="0"/>
          <w:marTop w:val="0"/>
          <w:marBottom w:val="0"/>
          <w:divBdr>
            <w:top w:val="none" w:sz="0" w:space="0" w:color="auto"/>
            <w:left w:val="none" w:sz="0" w:space="0" w:color="auto"/>
            <w:bottom w:val="none" w:sz="0" w:space="0" w:color="auto"/>
            <w:right w:val="none" w:sz="0" w:space="0" w:color="auto"/>
          </w:divBdr>
          <w:divsChild>
            <w:div w:id="1598638643">
              <w:marLeft w:val="0"/>
              <w:marRight w:val="0"/>
              <w:marTop w:val="0"/>
              <w:marBottom w:val="0"/>
              <w:divBdr>
                <w:top w:val="none" w:sz="0" w:space="0" w:color="auto"/>
                <w:left w:val="none" w:sz="0" w:space="0" w:color="auto"/>
                <w:bottom w:val="none" w:sz="0" w:space="0" w:color="auto"/>
                <w:right w:val="none" w:sz="0" w:space="0" w:color="auto"/>
              </w:divBdr>
            </w:div>
          </w:divsChild>
        </w:div>
        <w:div w:id="631600207">
          <w:marLeft w:val="0"/>
          <w:marRight w:val="0"/>
          <w:marTop w:val="0"/>
          <w:marBottom w:val="0"/>
          <w:divBdr>
            <w:top w:val="none" w:sz="0" w:space="0" w:color="auto"/>
            <w:left w:val="none" w:sz="0" w:space="0" w:color="auto"/>
            <w:bottom w:val="none" w:sz="0" w:space="0" w:color="auto"/>
            <w:right w:val="none" w:sz="0" w:space="0" w:color="auto"/>
          </w:divBdr>
          <w:divsChild>
            <w:div w:id="838617991">
              <w:marLeft w:val="0"/>
              <w:marRight w:val="0"/>
              <w:marTop w:val="0"/>
              <w:marBottom w:val="0"/>
              <w:divBdr>
                <w:top w:val="none" w:sz="0" w:space="0" w:color="auto"/>
                <w:left w:val="none" w:sz="0" w:space="0" w:color="auto"/>
                <w:bottom w:val="none" w:sz="0" w:space="0" w:color="auto"/>
                <w:right w:val="none" w:sz="0" w:space="0" w:color="auto"/>
              </w:divBdr>
            </w:div>
          </w:divsChild>
        </w:div>
        <w:div w:id="633679187">
          <w:marLeft w:val="0"/>
          <w:marRight w:val="0"/>
          <w:marTop w:val="0"/>
          <w:marBottom w:val="0"/>
          <w:divBdr>
            <w:top w:val="none" w:sz="0" w:space="0" w:color="auto"/>
            <w:left w:val="none" w:sz="0" w:space="0" w:color="auto"/>
            <w:bottom w:val="none" w:sz="0" w:space="0" w:color="auto"/>
            <w:right w:val="none" w:sz="0" w:space="0" w:color="auto"/>
          </w:divBdr>
          <w:divsChild>
            <w:div w:id="1719238582">
              <w:marLeft w:val="0"/>
              <w:marRight w:val="0"/>
              <w:marTop w:val="0"/>
              <w:marBottom w:val="0"/>
              <w:divBdr>
                <w:top w:val="none" w:sz="0" w:space="0" w:color="auto"/>
                <w:left w:val="none" w:sz="0" w:space="0" w:color="auto"/>
                <w:bottom w:val="none" w:sz="0" w:space="0" w:color="auto"/>
                <w:right w:val="none" w:sz="0" w:space="0" w:color="auto"/>
              </w:divBdr>
            </w:div>
          </w:divsChild>
        </w:div>
        <w:div w:id="635574292">
          <w:marLeft w:val="0"/>
          <w:marRight w:val="0"/>
          <w:marTop w:val="0"/>
          <w:marBottom w:val="0"/>
          <w:divBdr>
            <w:top w:val="none" w:sz="0" w:space="0" w:color="auto"/>
            <w:left w:val="none" w:sz="0" w:space="0" w:color="auto"/>
            <w:bottom w:val="none" w:sz="0" w:space="0" w:color="auto"/>
            <w:right w:val="none" w:sz="0" w:space="0" w:color="auto"/>
          </w:divBdr>
          <w:divsChild>
            <w:div w:id="83117392">
              <w:marLeft w:val="0"/>
              <w:marRight w:val="0"/>
              <w:marTop w:val="0"/>
              <w:marBottom w:val="0"/>
              <w:divBdr>
                <w:top w:val="none" w:sz="0" w:space="0" w:color="auto"/>
                <w:left w:val="none" w:sz="0" w:space="0" w:color="auto"/>
                <w:bottom w:val="none" w:sz="0" w:space="0" w:color="auto"/>
                <w:right w:val="none" w:sz="0" w:space="0" w:color="auto"/>
              </w:divBdr>
            </w:div>
          </w:divsChild>
        </w:div>
        <w:div w:id="638806530">
          <w:marLeft w:val="0"/>
          <w:marRight w:val="0"/>
          <w:marTop w:val="0"/>
          <w:marBottom w:val="0"/>
          <w:divBdr>
            <w:top w:val="none" w:sz="0" w:space="0" w:color="auto"/>
            <w:left w:val="none" w:sz="0" w:space="0" w:color="auto"/>
            <w:bottom w:val="none" w:sz="0" w:space="0" w:color="auto"/>
            <w:right w:val="none" w:sz="0" w:space="0" w:color="auto"/>
          </w:divBdr>
          <w:divsChild>
            <w:div w:id="2145733458">
              <w:marLeft w:val="0"/>
              <w:marRight w:val="0"/>
              <w:marTop w:val="0"/>
              <w:marBottom w:val="0"/>
              <w:divBdr>
                <w:top w:val="none" w:sz="0" w:space="0" w:color="auto"/>
                <w:left w:val="none" w:sz="0" w:space="0" w:color="auto"/>
                <w:bottom w:val="none" w:sz="0" w:space="0" w:color="auto"/>
                <w:right w:val="none" w:sz="0" w:space="0" w:color="auto"/>
              </w:divBdr>
            </w:div>
          </w:divsChild>
        </w:div>
        <w:div w:id="653534667">
          <w:marLeft w:val="0"/>
          <w:marRight w:val="0"/>
          <w:marTop w:val="0"/>
          <w:marBottom w:val="0"/>
          <w:divBdr>
            <w:top w:val="none" w:sz="0" w:space="0" w:color="auto"/>
            <w:left w:val="none" w:sz="0" w:space="0" w:color="auto"/>
            <w:bottom w:val="none" w:sz="0" w:space="0" w:color="auto"/>
            <w:right w:val="none" w:sz="0" w:space="0" w:color="auto"/>
          </w:divBdr>
          <w:divsChild>
            <w:div w:id="425612115">
              <w:marLeft w:val="0"/>
              <w:marRight w:val="0"/>
              <w:marTop w:val="0"/>
              <w:marBottom w:val="0"/>
              <w:divBdr>
                <w:top w:val="none" w:sz="0" w:space="0" w:color="auto"/>
                <w:left w:val="none" w:sz="0" w:space="0" w:color="auto"/>
                <w:bottom w:val="none" w:sz="0" w:space="0" w:color="auto"/>
                <w:right w:val="none" w:sz="0" w:space="0" w:color="auto"/>
              </w:divBdr>
            </w:div>
          </w:divsChild>
        </w:div>
        <w:div w:id="662395121">
          <w:marLeft w:val="0"/>
          <w:marRight w:val="0"/>
          <w:marTop w:val="0"/>
          <w:marBottom w:val="0"/>
          <w:divBdr>
            <w:top w:val="none" w:sz="0" w:space="0" w:color="auto"/>
            <w:left w:val="none" w:sz="0" w:space="0" w:color="auto"/>
            <w:bottom w:val="none" w:sz="0" w:space="0" w:color="auto"/>
            <w:right w:val="none" w:sz="0" w:space="0" w:color="auto"/>
          </w:divBdr>
          <w:divsChild>
            <w:div w:id="1045833181">
              <w:marLeft w:val="0"/>
              <w:marRight w:val="0"/>
              <w:marTop w:val="0"/>
              <w:marBottom w:val="0"/>
              <w:divBdr>
                <w:top w:val="none" w:sz="0" w:space="0" w:color="auto"/>
                <w:left w:val="none" w:sz="0" w:space="0" w:color="auto"/>
                <w:bottom w:val="none" w:sz="0" w:space="0" w:color="auto"/>
                <w:right w:val="none" w:sz="0" w:space="0" w:color="auto"/>
              </w:divBdr>
            </w:div>
          </w:divsChild>
        </w:div>
        <w:div w:id="662977609">
          <w:marLeft w:val="0"/>
          <w:marRight w:val="0"/>
          <w:marTop w:val="0"/>
          <w:marBottom w:val="0"/>
          <w:divBdr>
            <w:top w:val="none" w:sz="0" w:space="0" w:color="auto"/>
            <w:left w:val="none" w:sz="0" w:space="0" w:color="auto"/>
            <w:bottom w:val="none" w:sz="0" w:space="0" w:color="auto"/>
            <w:right w:val="none" w:sz="0" w:space="0" w:color="auto"/>
          </w:divBdr>
          <w:divsChild>
            <w:div w:id="256252017">
              <w:marLeft w:val="0"/>
              <w:marRight w:val="0"/>
              <w:marTop w:val="0"/>
              <w:marBottom w:val="0"/>
              <w:divBdr>
                <w:top w:val="none" w:sz="0" w:space="0" w:color="auto"/>
                <w:left w:val="none" w:sz="0" w:space="0" w:color="auto"/>
                <w:bottom w:val="none" w:sz="0" w:space="0" w:color="auto"/>
                <w:right w:val="none" w:sz="0" w:space="0" w:color="auto"/>
              </w:divBdr>
            </w:div>
          </w:divsChild>
        </w:div>
        <w:div w:id="666326138">
          <w:marLeft w:val="0"/>
          <w:marRight w:val="0"/>
          <w:marTop w:val="0"/>
          <w:marBottom w:val="0"/>
          <w:divBdr>
            <w:top w:val="none" w:sz="0" w:space="0" w:color="auto"/>
            <w:left w:val="none" w:sz="0" w:space="0" w:color="auto"/>
            <w:bottom w:val="none" w:sz="0" w:space="0" w:color="auto"/>
            <w:right w:val="none" w:sz="0" w:space="0" w:color="auto"/>
          </w:divBdr>
          <w:divsChild>
            <w:div w:id="280963710">
              <w:marLeft w:val="0"/>
              <w:marRight w:val="0"/>
              <w:marTop w:val="0"/>
              <w:marBottom w:val="0"/>
              <w:divBdr>
                <w:top w:val="none" w:sz="0" w:space="0" w:color="auto"/>
                <w:left w:val="none" w:sz="0" w:space="0" w:color="auto"/>
                <w:bottom w:val="none" w:sz="0" w:space="0" w:color="auto"/>
                <w:right w:val="none" w:sz="0" w:space="0" w:color="auto"/>
              </w:divBdr>
            </w:div>
          </w:divsChild>
        </w:div>
        <w:div w:id="667513645">
          <w:marLeft w:val="0"/>
          <w:marRight w:val="0"/>
          <w:marTop w:val="0"/>
          <w:marBottom w:val="0"/>
          <w:divBdr>
            <w:top w:val="none" w:sz="0" w:space="0" w:color="auto"/>
            <w:left w:val="none" w:sz="0" w:space="0" w:color="auto"/>
            <w:bottom w:val="none" w:sz="0" w:space="0" w:color="auto"/>
            <w:right w:val="none" w:sz="0" w:space="0" w:color="auto"/>
          </w:divBdr>
          <w:divsChild>
            <w:div w:id="1683898327">
              <w:marLeft w:val="0"/>
              <w:marRight w:val="0"/>
              <w:marTop w:val="0"/>
              <w:marBottom w:val="0"/>
              <w:divBdr>
                <w:top w:val="none" w:sz="0" w:space="0" w:color="auto"/>
                <w:left w:val="none" w:sz="0" w:space="0" w:color="auto"/>
                <w:bottom w:val="none" w:sz="0" w:space="0" w:color="auto"/>
                <w:right w:val="none" w:sz="0" w:space="0" w:color="auto"/>
              </w:divBdr>
            </w:div>
          </w:divsChild>
        </w:div>
        <w:div w:id="668563623">
          <w:marLeft w:val="0"/>
          <w:marRight w:val="0"/>
          <w:marTop w:val="0"/>
          <w:marBottom w:val="0"/>
          <w:divBdr>
            <w:top w:val="none" w:sz="0" w:space="0" w:color="auto"/>
            <w:left w:val="none" w:sz="0" w:space="0" w:color="auto"/>
            <w:bottom w:val="none" w:sz="0" w:space="0" w:color="auto"/>
            <w:right w:val="none" w:sz="0" w:space="0" w:color="auto"/>
          </w:divBdr>
          <w:divsChild>
            <w:div w:id="265504630">
              <w:marLeft w:val="0"/>
              <w:marRight w:val="0"/>
              <w:marTop w:val="0"/>
              <w:marBottom w:val="0"/>
              <w:divBdr>
                <w:top w:val="none" w:sz="0" w:space="0" w:color="auto"/>
                <w:left w:val="none" w:sz="0" w:space="0" w:color="auto"/>
                <w:bottom w:val="none" w:sz="0" w:space="0" w:color="auto"/>
                <w:right w:val="none" w:sz="0" w:space="0" w:color="auto"/>
              </w:divBdr>
            </w:div>
          </w:divsChild>
        </w:div>
        <w:div w:id="670522628">
          <w:marLeft w:val="0"/>
          <w:marRight w:val="0"/>
          <w:marTop w:val="0"/>
          <w:marBottom w:val="0"/>
          <w:divBdr>
            <w:top w:val="none" w:sz="0" w:space="0" w:color="auto"/>
            <w:left w:val="none" w:sz="0" w:space="0" w:color="auto"/>
            <w:bottom w:val="none" w:sz="0" w:space="0" w:color="auto"/>
            <w:right w:val="none" w:sz="0" w:space="0" w:color="auto"/>
          </w:divBdr>
          <w:divsChild>
            <w:div w:id="1950307875">
              <w:marLeft w:val="0"/>
              <w:marRight w:val="0"/>
              <w:marTop w:val="0"/>
              <w:marBottom w:val="0"/>
              <w:divBdr>
                <w:top w:val="none" w:sz="0" w:space="0" w:color="auto"/>
                <w:left w:val="none" w:sz="0" w:space="0" w:color="auto"/>
                <w:bottom w:val="none" w:sz="0" w:space="0" w:color="auto"/>
                <w:right w:val="none" w:sz="0" w:space="0" w:color="auto"/>
              </w:divBdr>
            </w:div>
          </w:divsChild>
        </w:div>
        <w:div w:id="672682501">
          <w:marLeft w:val="0"/>
          <w:marRight w:val="0"/>
          <w:marTop w:val="0"/>
          <w:marBottom w:val="0"/>
          <w:divBdr>
            <w:top w:val="none" w:sz="0" w:space="0" w:color="auto"/>
            <w:left w:val="none" w:sz="0" w:space="0" w:color="auto"/>
            <w:bottom w:val="none" w:sz="0" w:space="0" w:color="auto"/>
            <w:right w:val="none" w:sz="0" w:space="0" w:color="auto"/>
          </w:divBdr>
          <w:divsChild>
            <w:div w:id="1675916824">
              <w:marLeft w:val="0"/>
              <w:marRight w:val="0"/>
              <w:marTop w:val="0"/>
              <w:marBottom w:val="0"/>
              <w:divBdr>
                <w:top w:val="none" w:sz="0" w:space="0" w:color="auto"/>
                <w:left w:val="none" w:sz="0" w:space="0" w:color="auto"/>
                <w:bottom w:val="none" w:sz="0" w:space="0" w:color="auto"/>
                <w:right w:val="none" w:sz="0" w:space="0" w:color="auto"/>
              </w:divBdr>
            </w:div>
          </w:divsChild>
        </w:div>
        <w:div w:id="679357376">
          <w:marLeft w:val="0"/>
          <w:marRight w:val="0"/>
          <w:marTop w:val="0"/>
          <w:marBottom w:val="0"/>
          <w:divBdr>
            <w:top w:val="none" w:sz="0" w:space="0" w:color="auto"/>
            <w:left w:val="none" w:sz="0" w:space="0" w:color="auto"/>
            <w:bottom w:val="none" w:sz="0" w:space="0" w:color="auto"/>
            <w:right w:val="none" w:sz="0" w:space="0" w:color="auto"/>
          </w:divBdr>
          <w:divsChild>
            <w:div w:id="730157156">
              <w:marLeft w:val="0"/>
              <w:marRight w:val="0"/>
              <w:marTop w:val="0"/>
              <w:marBottom w:val="0"/>
              <w:divBdr>
                <w:top w:val="none" w:sz="0" w:space="0" w:color="auto"/>
                <w:left w:val="none" w:sz="0" w:space="0" w:color="auto"/>
                <w:bottom w:val="none" w:sz="0" w:space="0" w:color="auto"/>
                <w:right w:val="none" w:sz="0" w:space="0" w:color="auto"/>
              </w:divBdr>
            </w:div>
          </w:divsChild>
        </w:div>
        <w:div w:id="681200456">
          <w:marLeft w:val="0"/>
          <w:marRight w:val="0"/>
          <w:marTop w:val="0"/>
          <w:marBottom w:val="0"/>
          <w:divBdr>
            <w:top w:val="none" w:sz="0" w:space="0" w:color="auto"/>
            <w:left w:val="none" w:sz="0" w:space="0" w:color="auto"/>
            <w:bottom w:val="none" w:sz="0" w:space="0" w:color="auto"/>
            <w:right w:val="none" w:sz="0" w:space="0" w:color="auto"/>
          </w:divBdr>
          <w:divsChild>
            <w:div w:id="967903420">
              <w:marLeft w:val="0"/>
              <w:marRight w:val="0"/>
              <w:marTop w:val="0"/>
              <w:marBottom w:val="0"/>
              <w:divBdr>
                <w:top w:val="none" w:sz="0" w:space="0" w:color="auto"/>
                <w:left w:val="none" w:sz="0" w:space="0" w:color="auto"/>
                <w:bottom w:val="none" w:sz="0" w:space="0" w:color="auto"/>
                <w:right w:val="none" w:sz="0" w:space="0" w:color="auto"/>
              </w:divBdr>
            </w:div>
          </w:divsChild>
        </w:div>
        <w:div w:id="684596014">
          <w:marLeft w:val="0"/>
          <w:marRight w:val="0"/>
          <w:marTop w:val="0"/>
          <w:marBottom w:val="0"/>
          <w:divBdr>
            <w:top w:val="none" w:sz="0" w:space="0" w:color="auto"/>
            <w:left w:val="none" w:sz="0" w:space="0" w:color="auto"/>
            <w:bottom w:val="none" w:sz="0" w:space="0" w:color="auto"/>
            <w:right w:val="none" w:sz="0" w:space="0" w:color="auto"/>
          </w:divBdr>
          <w:divsChild>
            <w:div w:id="1629235080">
              <w:marLeft w:val="0"/>
              <w:marRight w:val="0"/>
              <w:marTop w:val="0"/>
              <w:marBottom w:val="0"/>
              <w:divBdr>
                <w:top w:val="none" w:sz="0" w:space="0" w:color="auto"/>
                <w:left w:val="none" w:sz="0" w:space="0" w:color="auto"/>
                <w:bottom w:val="none" w:sz="0" w:space="0" w:color="auto"/>
                <w:right w:val="none" w:sz="0" w:space="0" w:color="auto"/>
              </w:divBdr>
            </w:div>
          </w:divsChild>
        </w:div>
        <w:div w:id="688608997">
          <w:marLeft w:val="0"/>
          <w:marRight w:val="0"/>
          <w:marTop w:val="0"/>
          <w:marBottom w:val="0"/>
          <w:divBdr>
            <w:top w:val="none" w:sz="0" w:space="0" w:color="auto"/>
            <w:left w:val="none" w:sz="0" w:space="0" w:color="auto"/>
            <w:bottom w:val="none" w:sz="0" w:space="0" w:color="auto"/>
            <w:right w:val="none" w:sz="0" w:space="0" w:color="auto"/>
          </w:divBdr>
          <w:divsChild>
            <w:div w:id="285506493">
              <w:marLeft w:val="0"/>
              <w:marRight w:val="0"/>
              <w:marTop w:val="0"/>
              <w:marBottom w:val="0"/>
              <w:divBdr>
                <w:top w:val="none" w:sz="0" w:space="0" w:color="auto"/>
                <w:left w:val="none" w:sz="0" w:space="0" w:color="auto"/>
                <w:bottom w:val="none" w:sz="0" w:space="0" w:color="auto"/>
                <w:right w:val="none" w:sz="0" w:space="0" w:color="auto"/>
              </w:divBdr>
            </w:div>
          </w:divsChild>
        </w:div>
        <w:div w:id="692849769">
          <w:marLeft w:val="0"/>
          <w:marRight w:val="0"/>
          <w:marTop w:val="0"/>
          <w:marBottom w:val="0"/>
          <w:divBdr>
            <w:top w:val="none" w:sz="0" w:space="0" w:color="auto"/>
            <w:left w:val="none" w:sz="0" w:space="0" w:color="auto"/>
            <w:bottom w:val="none" w:sz="0" w:space="0" w:color="auto"/>
            <w:right w:val="none" w:sz="0" w:space="0" w:color="auto"/>
          </w:divBdr>
          <w:divsChild>
            <w:div w:id="169758520">
              <w:marLeft w:val="0"/>
              <w:marRight w:val="0"/>
              <w:marTop w:val="0"/>
              <w:marBottom w:val="0"/>
              <w:divBdr>
                <w:top w:val="none" w:sz="0" w:space="0" w:color="auto"/>
                <w:left w:val="none" w:sz="0" w:space="0" w:color="auto"/>
                <w:bottom w:val="none" w:sz="0" w:space="0" w:color="auto"/>
                <w:right w:val="none" w:sz="0" w:space="0" w:color="auto"/>
              </w:divBdr>
            </w:div>
          </w:divsChild>
        </w:div>
        <w:div w:id="694425263">
          <w:marLeft w:val="0"/>
          <w:marRight w:val="0"/>
          <w:marTop w:val="0"/>
          <w:marBottom w:val="0"/>
          <w:divBdr>
            <w:top w:val="none" w:sz="0" w:space="0" w:color="auto"/>
            <w:left w:val="none" w:sz="0" w:space="0" w:color="auto"/>
            <w:bottom w:val="none" w:sz="0" w:space="0" w:color="auto"/>
            <w:right w:val="none" w:sz="0" w:space="0" w:color="auto"/>
          </w:divBdr>
          <w:divsChild>
            <w:div w:id="642467345">
              <w:marLeft w:val="0"/>
              <w:marRight w:val="0"/>
              <w:marTop w:val="0"/>
              <w:marBottom w:val="0"/>
              <w:divBdr>
                <w:top w:val="none" w:sz="0" w:space="0" w:color="auto"/>
                <w:left w:val="none" w:sz="0" w:space="0" w:color="auto"/>
                <w:bottom w:val="none" w:sz="0" w:space="0" w:color="auto"/>
                <w:right w:val="none" w:sz="0" w:space="0" w:color="auto"/>
              </w:divBdr>
            </w:div>
          </w:divsChild>
        </w:div>
        <w:div w:id="695271484">
          <w:marLeft w:val="0"/>
          <w:marRight w:val="0"/>
          <w:marTop w:val="0"/>
          <w:marBottom w:val="0"/>
          <w:divBdr>
            <w:top w:val="none" w:sz="0" w:space="0" w:color="auto"/>
            <w:left w:val="none" w:sz="0" w:space="0" w:color="auto"/>
            <w:bottom w:val="none" w:sz="0" w:space="0" w:color="auto"/>
            <w:right w:val="none" w:sz="0" w:space="0" w:color="auto"/>
          </w:divBdr>
          <w:divsChild>
            <w:div w:id="533541425">
              <w:marLeft w:val="0"/>
              <w:marRight w:val="0"/>
              <w:marTop w:val="0"/>
              <w:marBottom w:val="0"/>
              <w:divBdr>
                <w:top w:val="none" w:sz="0" w:space="0" w:color="auto"/>
                <w:left w:val="none" w:sz="0" w:space="0" w:color="auto"/>
                <w:bottom w:val="none" w:sz="0" w:space="0" w:color="auto"/>
                <w:right w:val="none" w:sz="0" w:space="0" w:color="auto"/>
              </w:divBdr>
            </w:div>
          </w:divsChild>
        </w:div>
        <w:div w:id="701244090">
          <w:marLeft w:val="0"/>
          <w:marRight w:val="0"/>
          <w:marTop w:val="0"/>
          <w:marBottom w:val="0"/>
          <w:divBdr>
            <w:top w:val="none" w:sz="0" w:space="0" w:color="auto"/>
            <w:left w:val="none" w:sz="0" w:space="0" w:color="auto"/>
            <w:bottom w:val="none" w:sz="0" w:space="0" w:color="auto"/>
            <w:right w:val="none" w:sz="0" w:space="0" w:color="auto"/>
          </w:divBdr>
          <w:divsChild>
            <w:div w:id="1665431495">
              <w:marLeft w:val="0"/>
              <w:marRight w:val="0"/>
              <w:marTop w:val="0"/>
              <w:marBottom w:val="0"/>
              <w:divBdr>
                <w:top w:val="none" w:sz="0" w:space="0" w:color="auto"/>
                <w:left w:val="none" w:sz="0" w:space="0" w:color="auto"/>
                <w:bottom w:val="none" w:sz="0" w:space="0" w:color="auto"/>
                <w:right w:val="none" w:sz="0" w:space="0" w:color="auto"/>
              </w:divBdr>
            </w:div>
          </w:divsChild>
        </w:div>
        <w:div w:id="702634519">
          <w:marLeft w:val="0"/>
          <w:marRight w:val="0"/>
          <w:marTop w:val="0"/>
          <w:marBottom w:val="0"/>
          <w:divBdr>
            <w:top w:val="none" w:sz="0" w:space="0" w:color="auto"/>
            <w:left w:val="none" w:sz="0" w:space="0" w:color="auto"/>
            <w:bottom w:val="none" w:sz="0" w:space="0" w:color="auto"/>
            <w:right w:val="none" w:sz="0" w:space="0" w:color="auto"/>
          </w:divBdr>
          <w:divsChild>
            <w:div w:id="551890688">
              <w:marLeft w:val="0"/>
              <w:marRight w:val="0"/>
              <w:marTop w:val="0"/>
              <w:marBottom w:val="0"/>
              <w:divBdr>
                <w:top w:val="none" w:sz="0" w:space="0" w:color="auto"/>
                <w:left w:val="none" w:sz="0" w:space="0" w:color="auto"/>
                <w:bottom w:val="none" w:sz="0" w:space="0" w:color="auto"/>
                <w:right w:val="none" w:sz="0" w:space="0" w:color="auto"/>
              </w:divBdr>
            </w:div>
          </w:divsChild>
        </w:div>
        <w:div w:id="707342299">
          <w:marLeft w:val="0"/>
          <w:marRight w:val="0"/>
          <w:marTop w:val="0"/>
          <w:marBottom w:val="0"/>
          <w:divBdr>
            <w:top w:val="none" w:sz="0" w:space="0" w:color="auto"/>
            <w:left w:val="none" w:sz="0" w:space="0" w:color="auto"/>
            <w:bottom w:val="none" w:sz="0" w:space="0" w:color="auto"/>
            <w:right w:val="none" w:sz="0" w:space="0" w:color="auto"/>
          </w:divBdr>
          <w:divsChild>
            <w:div w:id="852380955">
              <w:marLeft w:val="0"/>
              <w:marRight w:val="0"/>
              <w:marTop w:val="0"/>
              <w:marBottom w:val="0"/>
              <w:divBdr>
                <w:top w:val="none" w:sz="0" w:space="0" w:color="auto"/>
                <w:left w:val="none" w:sz="0" w:space="0" w:color="auto"/>
                <w:bottom w:val="none" w:sz="0" w:space="0" w:color="auto"/>
                <w:right w:val="none" w:sz="0" w:space="0" w:color="auto"/>
              </w:divBdr>
            </w:div>
          </w:divsChild>
        </w:div>
        <w:div w:id="709261681">
          <w:marLeft w:val="0"/>
          <w:marRight w:val="0"/>
          <w:marTop w:val="0"/>
          <w:marBottom w:val="0"/>
          <w:divBdr>
            <w:top w:val="none" w:sz="0" w:space="0" w:color="auto"/>
            <w:left w:val="none" w:sz="0" w:space="0" w:color="auto"/>
            <w:bottom w:val="none" w:sz="0" w:space="0" w:color="auto"/>
            <w:right w:val="none" w:sz="0" w:space="0" w:color="auto"/>
          </w:divBdr>
          <w:divsChild>
            <w:div w:id="689843451">
              <w:marLeft w:val="0"/>
              <w:marRight w:val="0"/>
              <w:marTop w:val="0"/>
              <w:marBottom w:val="0"/>
              <w:divBdr>
                <w:top w:val="none" w:sz="0" w:space="0" w:color="auto"/>
                <w:left w:val="none" w:sz="0" w:space="0" w:color="auto"/>
                <w:bottom w:val="none" w:sz="0" w:space="0" w:color="auto"/>
                <w:right w:val="none" w:sz="0" w:space="0" w:color="auto"/>
              </w:divBdr>
            </w:div>
          </w:divsChild>
        </w:div>
        <w:div w:id="709500108">
          <w:marLeft w:val="0"/>
          <w:marRight w:val="0"/>
          <w:marTop w:val="0"/>
          <w:marBottom w:val="0"/>
          <w:divBdr>
            <w:top w:val="none" w:sz="0" w:space="0" w:color="auto"/>
            <w:left w:val="none" w:sz="0" w:space="0" w:color="auto"/>
            <w:bottom w:val="none" w:sz="0" w:space="0" w:color="auto"/>
            <w:right w:val="none" w:sz="0" w:space="0" w:color="auto"/>
          </w:divBdr>
          <w:divsChild>
            <w:div w:id="1770083221">
              <w:marLeft w:val="0"/>
              <w:marRight w:val="0"/>
              <w:marTop w:val="0"/>
              <w:marBottom w:val="0"/>
              <w:divBdr>
                <w:top w:val="none" w:sz="0" w:space="0" w:color="auto"/>
                <w:left w:val="none" w:sz="0" w:space="0" w:color="auto"/>
                <w:bottom w:val="none" w:sz="0" w:space="0" w:color="auto"/>
                <w:right w:val="none" w:sz="0" w:space="0" w:color="auto"/>
              </w:divBdr>
            </w:div>
          </w:divsChild>
        </w:div>
        <w:div w:id="715205802">
          <w:marLeft w:val="0"/>
          <w:marRight w:val="0"/>
          <w:marTop w:val="0"/>
          <w:marBottom w:val="0"/>
          <w:divBdr>
            <w:top w:val="none" w:sz="0" w:space="0" w:color="auto"/>
            <w:left w:val="none" w:sz="0" w:space="0" w:color="auto"/>
            <w:bottom w:val="none" w:sz="0" w:space="0" w:color="auto"/>
            <w:right w:val="none" w:sz="0" w:space="0" w:color="auto"/>
          </w:divBdr>
          <w:divsChild>
            <w:div w:id="692876274">
              <w:marLeft w:val="0"/>
              <w:marRight w:val="0"/>
              <w:marTop w:val="0"/>
              <w:marBottom w:val="0"/>
              <w:divBdr>
                <w:top w:val="none" w:sz="0" w:space="0" w:color="auto"/>
                <w:left w:val="none" w:sz="0" w:space="0" w:color="auto"/>
                <w:bottom w:val="none" w:sz="0" w:space="0" w:color="auto"/>
                <w:right w:val="none" w:sz="0" w:space="0" w:color="auto"/>
              </w:divBdr>
            </w:div>
          </w:divsChild>
        </w:div>
        <w:div w:id="715811256">
          <w:marLeft w:val="0"/>
          <w:marRight w:val="0"/>
          <w:marTop w:val="0"/>
          <w:marBottom w:val="0"/>
          <w:divBdr>
            <w:top w:val="none" w:sz="0" w:space="0" w:color="auto"/>
            <w:left w:val="none" w:sz="0" w:space="0" w:color="auto"/>
            <w:bottom w:val="none" w:sz="0" w:space="0" w:color="auto"/>
            <w:right w:val="none" w:sz="0" w:space="0" w:color="auto"/>
          </w:divBdr>
          <w:divsChild>
            <w:div w:id="1907372677">
              <w:marLeft w:val="0"/>
              <w:marRight w:val="0"/>
              <w:marTop w:val="0"/>
              <w:marBottom w:val="0"/>
              <w:divBdr>
                <w:top w:val="none" w:sz="0" w:space="0" w:color="auto"/>
                <w:left w:val="none" w:sz="0" w:space="0" w:color="auto"/>
                <w:bottom w:val="none" w:sz="0" w:space="0" w:color="auto"/>
                <w:right w:val="none" w:sz="0" w:space="0" w:color="auto"/>
              </w:divBdr>
            </w:div>
          </w:divsChild>
        </w:div>
        <w:div w:id="716974401">
          <w:marLeft w:val="0"/>
          <w:marRight w:val="0"/>
          <w:marTop w:val="0"/>
          <w:marBottom w:val="0"/>
          <w:divBdr>
            <w:top w:val="none" w:sz="0" w:space="0" w:color="auto"/>
            <w:left w:val="none" w:sz="0" w:space="0" w:color="auto"/>
            <w:bottom w:val="none" w:sz="0" w:space="0" w:color="auto"/>
            <w:right w:val="none" w:sz="0" w:space="0" w:color="auto"/>
          </w:divBdr>
          <w:divsChild>
            <w:div w:id="1268465336">
              <w:marLeft w:val="0"/>
              <w:marRight w:val="0"/>
              <w:marTop w:val="0"/>
              <w:marBottom w:val="0"/>
              <w:divBdr>
                <w:top w:val="none" w:sz="0" w:space="0" w:color="auto"/>
                <w:left w:val="none" w:sz="0" w:space="0" w:color="auto"/>
                <w:bottom w:val="none" w:sz="0" w:space="0" w:color="auto"/>
                <w:right w:val="none" w:sz="0" w:space="0" w:color="auto"/>
              </w:divBdr>
            </w:div>
          </w:divsChild>
        </w:div>
        <w:div w:id="721487832">
          <w:marLeft w:val="0"/>
          <w:marRight w:val="0"/>
          <w:marTop w:val="0"/>
          <w:marBottom w:val="0"/>
          <w:divBdr>
            <w:top w:val="none" w:sz="0" w:space="0" w:color="auto"/>
            <w:left w:val="none" w:sz="0" w:space="0" w:color="auto"/>
            <w:bottom w:val="none" w:sz="0" w:space="0" w:color="auto"/>
            <w:right w:val="none" w:sz="0" w:space="0" w:color="auto"/>
          </w:divBdr>
          <w:divsChild>
            <w:div w:id="50007262">
              <w:marLeft w:val="0"/>
              <w:marRight w:val="0"/>
              <w:marTop w:val="0"/>
              <w:marBottom w:val="0"/>
              <w:divBdr>
                <w:top w:val="none" w:sz="0" w:space="0" w:color="auto"/>
                <w:left w:val="none" w:sz="0" w:space="0" w:color="auto"/>
                <w:bottom w:val="none" w:sz="0" w:space="0" w:color="auto"/>
                <w:right w:val="none" w:sz="0" w:space="0" w:color="auto"/>
              </w:divBdr>
            </w:div>
          </w:divsChild>
        </w:div>
        <w:div w:id="723599533">
          <w:marLeft w:val="0"/>
          <w:marRight w:val="0"/>
          <w:marTop w:val="0"/>
          <w:marBottom w:val="0"/>
          <w:divBdr>
            <w:top w:val="none" w:sz="0" w:space="0" w:color="auto"/>
            <w:left w:val="none" w:sz="0" w:space="0" w:color="auto"/>
            <w:bottom w:val="none" w:sz="0" w:space="0" w:color="auto"/>
            <w:right w:val="none" w:sz="0" w:space="0" w:color="auto"/>
          </w:divBdr>
          <w:divsChild>
            <w:div w:id="135530431">
              <w:marLeft w:val="0"/>
              <w:marRight w:val="0"/>
              <w:marTop w:val="0"/>
              <w:marBottom w:val="0"/>
              <w:divBdr>
                <w:top w:val="none" w:sz="0" w:space="0" w:color="auto"/>
                <w:left w:val="none" w:sz="0" w:space="0" w:color="auto"/>
                <w:bottom w:val="none" w:sz="0" w:space="0" w:color="auto"/>
                <w:right w:val="none" w:sz="0" w:space="0" w:color="auto"/>
              </w:divBdr>
            </w:div>
          </w:divsChild>
        </w:div>
        <w:div w:id="723992185">
          <w:marLeft w:val="0"/>
          <w:marRight w:val="0"/>
          <w:marTop w:val="0"/>
          <w:marBottom w:val="0"/>
          <w:divBdr>
            <w:top w:val="none" w:sz="0" w:space="0" w:color="auto"/>
            <w:left w:val="none" w:sz="0" w:space="0" w:color="auto"/>
            <w:bottom w:val="none" w:sz="0" w:space="0" w:color="auto"/>
            <w:right w:val="none" w:sz="0" w:space="0" w:color="auto"/>
          </w:divBdr>
          <w:divsChild>
            <w:div w:id="1431269995">
              <w:marLeft w:val="0"/>
              <w:marRight w:val="0"/>
              <w:marTop w:val="0"/>
              <w:marBottom w:val="0"/>
              <w:divBdr>
                <w:top w:val="none" w:sz="0" w:space="0" w:color="auto"/>
                <w:left w:val="none" w:sz="0" w:space="0" w:color="auto"/>
                <w:bottom w:val="none" w:sz="0" w:space="0" w:color="auto"/>
                <w:right w:val="none" w:sz="0" w:space="0" w:color="auto"/>
              </w:divBdr>
            </w:div>
          </w:divsChild>
        </w:div>
        <w:div w:id="729186115">
          <w:marLeft w:val="0"/>
          <w:marRight w:val="0"/>
          <w:marTop w:val="0"/>
          <w:marBottom w:val="0"/>
          <w:divBdr>
            <w:top w:val="none" w:sz="0" w:space="0" w:color="auto"/>
            <w:left w:val="none" w:sz="0" w:space="0" w:color="auto"/>
            <w:bottom w:val="none" w:sz="0" w:space="0" w:color="auto"/>
            <w:right w:val="none" w:sz="0" w:space="0" w:color="auto"/>
          </w:divBdr>
          <w:divsChild>
            <w:div w:id="142233820">
              <w:marLeft w:val="0"/>
              <w:marRight w:val="0"/>
              <w:marTop w:val="0"/>
              <w:marBottom w:val="0"/>
              <w:divBdr>
                <w:top w:val="none" w:sz="0" w:space="0" w:color="auto"/>
                <w:left w:val="none" w:sz="0" w:space="0" w:color="auto"/>
                <w:bottom w:val="none" w:sz="0" w:space="0" w:color="auto"/>
                <w:right w:val="none" w:sz="0" w:space="0" w:color="auto"/>
              </w:divBdr>
            </w:div>
          </w:divsChild>
        </w:div>
        <w:div w:id="729496330">
          <w:marLeft w:val="0"/>
          <w:marRight w:val="0"/>
          <w:marTop w:val="0"/>
          <w:marBottom w:val="0"/>
          <w:divBdr>
            <w:top w:val="none" w:sz="0" w:space="0" w:color="auto"/>
            <w:left w:val="none" w:sz="0" w:space="0" w:color="auto"/>
            <w:bottom w:val="none" w:sz="0" w:space="0" w:color="auto"/>
            <w:right w:val="none" w:sz="0" w:space="0" w:color="auto"/>
          </w:divBdr>
          <w:divsChild>
            <w:div w:id="1570652145">
              <w:marLeft w:val="0"/>
              <w:marRight w:val="0"/>
              <w:marTop w:val="0"/>
              <w:marBottom w:val="0"/>
              <w:divBdr>
                <w:top w:val="none" w:sz="0" w:space="0" w:color="auto"/>
                <w:left w:val="none" w:sz="0" w:space="0" w:color="auto"/>
                <w:bottom w:val="none" w:sz="0" w:space="0" w:color="auto"/>
                <w:right w:val="none" w:sz="0" w:space="0" w:color="auto"/>
              </w:divBdr>
            </w:div>
          </w:divsChild>
        </w:div>
        <w:div w:id="729571100">
          <w:marLeft w:val="0"/>
          <w:marRight w:val="0"/>
          <w:marTop w:val="0"/>
          <w:marBottom w:val="0"/>
          <w:divBdr>
            <w:top w:val="none" w:sz="0" w:space="0" w:color="auto"/>
            <w:left w:val="none" w:sz="0" w:space="0" w:color="auto"/>
            <w:bottom w:val="none" w:sz="0" w:space="0" w:color="auto"/>
            <w:right w:val="none" w:sz="0" w:space="0" w:color="auto"/>
          </w:divBdr>
          <w:divsChild>
            <w:div w:id="102653646">
              <w:marLeft w:val="0"/>
              <w:marRight w:val="0"/>
              <w:marTop w:val="0"/>
              <w:marBottom w:val="0"/>
              <w:divBdr>
                <w:top w:val="none" w:sz="0" w:space="0" w:color="auto"/>
                <w:left w:val="none" w:sz="0" w:space="0" w:color="auto"/>
                <w:bottom w:val="none" w:sz="0" w:space="0" w:color="auto"/>
                <w:right w:val="none" w:sz="0" w:space="0" w:color="auto"/>
              </w:divBdr>
            </w:div>
          </w:divsChild>
        </w:div>
        <w:div w:id="731929177">
          <w:marLeft w:val="0"/>
          <w:marRight w:val="0"/>
          <w:marTop w:val="0"/>
          <w:marBottom w:val="0"/>
          <w:divBdr>
            <w:top w:val="none" w:sz="0" w:space="0" w:color="auto"/>
            <w:left w:val="none" w:sz="0" w:space="0" w:color="auto"/>
            <w:bottom w:val="none" w:sz="0" w:space="0" w:color="auto"/>
            <w:right w:val="none" w:sz="0" w:space="0" w:color="auto"/>
          </w:divBdr>
          <w:divsChild>
            <w:div w:id="157236546">
              <w:marLeft w:val="0"/>
              <w:marRight w:val="0"/>
              <w:marTop w:val="0"/>
              <w:marBottom w:val="0"/>
              <w:divBdr>
                <w:top w:val="none" w:sz="0" w:space="0" w:color="auto"/>
                <w:left w:val="none" w:sz="0" w:space="0" w:color="auto"/>
                <w:bottom w:val="none" w:sz="0" w:space="0" w:color="auto"/>
                <w:right w:val="none" w:sz="0" w:space="0" w:color="auto"/>
              </w:divBdr>
            </w:div>
          </w:divsChild>
        </w:div>
        <w:div w:id="732003990">
          <w:marLeft w:val="0"/>
          <w:marRight w:val="0"/>
          <w:marTop w:val="0"/>
          <w:marBottom w:val="0"/>
          <w:divBdr>
            <w:top w:val="none" w:sz="0" w:space="0" w:color="auto"/>
            <w:left w:val="none" w:sz="0" w:space="0" w:color="auto"/>
            <w:bottom w:val="none" w:sz="0" w:space="0" w:color="auto"/>
            <w:right w:val="none" w:sz="0" w:space="0" w:color="auto"/>
          </w:divBdr>
          <w:divsChild>
            <w:div w:id="509220119">
              <w:marLeft w:val="0"/>
              <w:marRight w:val="0"/>
              <w:marTop w:val="0"/>
              <w:marBottom w:val="0"/>
              <w:divBdr>
                <w:top w:val="none" w:sz="0" w:space="0" w:color="auto"/>
                <w:left w:val="none" w:sz="0" w:space="0" w:color="auto"/>
                <w:bottom w:val="none" w:sz="0" w:space="0" w:color="auto"/>
                <w:right w:val="none" w:sz="0" w:space="0" w:color="auto"/>
              </w:divBdr>
            </w:div>
          </w:divsChild>
        </w:div>
        <w:div w:id="733940376">
          <w:marLeft w:val="0"/>
          <w:marRight w:val="0"/>
          <w:marTop w:val="0"/>
          <w:marBottom w:val="0"/>
          <w:divBdr>
            <w:top w:val="none" w:sz="0" w:space="0" w:color="auto"/>
            <w:left w:val="none" w:sz="0" w:space="0" w:color="auto"/>
            <w:bottom w:val="none" w:sz="0" w:space="0" w:color="auto"/>
            <w:right w:val="none" w:sz="0" w:space="0" w:color="auto"/>
          </w:divBdr>
          <w:divsChild>
            <w:div w:id="1696808475">
              <w:marLeft w:val="0"/>
              <w:marRight w:val="0"/>
              <w:marTop w:val="0"/>
              <w:marBottom w:val="0"/>
              <w:divBdr>
                <w:top w:val="none" w:sz="0" w:space="0" w:color="auto"/>
                <w:left w:val="none" w:sz="0" w:space="0" w:color="auto"/>
                <w:bottom w:val="none" w:sz="0" w:space="0" w:color="auto"/>
                <w:right w:val="none" w:sz="0" w:space="0" w:color="auto"/>
              </w:divBdr>
            </w:div>
          </w:divsChild>
        </w:div>
        <w:div w:id="744570844">
          <w:marLeft w:val="0"/>
          <w:marRight w:val="0"/>
          <w:marTop w:val="0"/>
          <w:marBottom w:val="0"/>
          <w:divBdr>
            <w:top w:val="none" w:sz="0" w:space="0" w:color="auto"/>
            <w:left w:val="none" w:sz="0" w:space="0" w:color="auto"/>
            <w:bottom w:val="none" w:sz="0" w:space="0" w:color="auto"/>
            <w:right w:val="none" w:sz="0" w:space="0" w:color="auto"/>
          </w:divBdr>
          <w:divsChild>
            <w:div w:id="261571526">
              <w:marLeft w:val="0"/>
              <w:marRight w:val="0"/>
              <w:marTop w:val="0"/>
              <w:marBottom w:val="0"/>
              <w:divBdr>
                <w:top w:val="none" w:sz="0" w:space="0" w:color="auto"/>
                <w:left w:val="none" w:sz="0" w:space="0" w:color="auto"/>
                <w:bottom w:val="none" w:sz="0" w:space="0" w:color="auto"/>
                <w:right w:val="none" w:sz="0" w:space="0" w:color="auto"/>
              </w:divBdr>
            </w:div>
          </w:divsChild>
        </w:div>
        <w:div w:id="752894224">
          <w:marLeft w:val="0"/>
          <w:marRight w:val="0"/>
          <w:marTop w:val="0"/>
          <w:marBottom w:val="0"/>
          <w:divBdr>
            <w:top w:val="none" w:sz="0" w:space="0" w:color="auto"/>
            <w:left w:val="none" w:sz="0" w:space="0" w:color="auto"/>
            <w:bottom w:val="none" w:sz="0" w:space="0" w:color="auto"/>
            <w:right w:val="none" w:sz="0" w:space="0" w:color="auto"/>
          </w:divBdr>
          <w:divsChild>
            <w:div w:id="968122693">
              <w:marLeft w:val="0"/>
              <w:marRight w:val="0"/>
              <w:marTop w:val="0"/>
              <w:marBottom w:val="0"/>
              <w:divBdr>
                <w:top w:val="none" w:sz="0" w:space="0" w:color="auto"/>
                <w:left w:val="none" w:sz="0" w:space="0" w:color="auto"/>
                <w:bottom w:val="none" w:sz="0" w:space="0" w:color="auto"/>
                <w:right w:val="none" w:sz="0" w:space="0" w:color="auto"/>
              </w:divBdr>
            </w:div>
          </w:divsChild>
        </w:div>
        <w:div w:id="753665219">
          <w:marLeft w:val="0"/>
          <w:marRight w:val="0"/>
          <w:marTop w:val="0"/>
          <w:marBottom w:val="0"/>
          <w:divBdr>
            <w:top w:val="none" w:sz="0" w:space="0" w:color="auto"/>
            <w:left w:val="none" w:sz="0" w:space="0" w:color="auto"/>
            <w:bottom w:val="none" w:sz="0" w:space="0" w:color="auto"/>
            <w:right w:val="none" w:sz="0" w:space="0" w:color="auto"/>
          </w:divBdr>
          <w:divsChild>
            <w:div w:id="316034038">
              <w:marLeft w:val="0"/>
              <w:marRight w:val="0"/>
              <w:marTop w:val="0"/>
              <w:marBottom w:val="0"/>
              <w:divBdr>
                <w:top w:val="none" w:sz="0" w:space="0" w:color="auto"/>
                <w:left w:val="none" w:sz="0" w:space="0" w:color="auto"/>
                <w:bottom w:val="none" w:sz="0" w:space="0" w:color="auto"/>
                <w:right w:val="none" w:sz="0" w:space="0" w:color="auto"/>
              </w:divBdr>
            </w:div>
          </w:divsChild>
        </w:div>
        <w:div w:id="760493086">
          <w:marLeft w:val="0"/>
          <w:marRight w:val="0"/>
          <w:marTop w:val="0"/>
          <w:marBottom w:val="0"/>
          <w:divBdr>
            <w:top w:val="none" w:sz="0" w:space="0" w:color="auto"/>
            <w:left w:val="none" w:sz="0" w:space="0" w:color="auto"/>
            <w:bottom w:val="none" w:sz="0" w:space="0" w:color="auto"/>
            <w:right w:val="none" w:sz="0" w:space="0" w:color="auto"/>
          </w:divBdr>
          <w:divsChild>
            <w:div w:id="1400246578">
              <w:marLeft w:val="0"/>
              <w:marRight w:val="0"/>
              <w:marTop w:val="0"/>
              <w:marBottom w:val="0"/>
              <w:divBdr>
                <w:top w:val="none" w:sz="0" w:space="0" w:color="auto"/>
                <w:left w:val="none" w:sz="0" w:space="0" w:color="auto"/>
                <w:bottom w:val="none" w:sz="0" w:space="0" w:color="auto"/>
                <w:right w:val="none" w:sz="0" w:space="0" w:color="auto"/>
              </w:divBdr>
            </w:div>
          </w:divsChild>
        </w:div>
        <w:div w:id="763190258">
          <w:marLeft w:val="0"/>
          <w:marRight w:val="0"/>
          <w:marTop w:val="0"/>
          <w:marBottom w:val="0"/>
          <w:divBdr>
            <w:top w:val="none" w:sz="0" w:space="0" w:color="auto"/>
            <w:left w:val="none" w:sz="0" w:space="0" w:color="auto"/>
            <w:bottom w:val="none" w:sz="0" w:space="0" w:color="auto"/>
            <w:right w:val="none" w:sz="0" w:space="0" w:color="auto"/>
          </w:divBdr>
          <w:divsChild>
            <w:div w:id="1727727074">
              <w:marLeft w:val="0"/>
              <w:marRight w:val="0"/>
              <w:marTop w:val="0"/>
              <w:marBottom w:val="0"/>
              <w:divBdr>
                <w:top w:val="none" w:sz="0" w:space="0" w:color="auto"/>
                <w:left w:val="none" w:sz="0" w:space="0" w:color="auto"/>
                <w:bottom w:val="none" w:sz="0" w:space="0" w:color="auto"/>
                <w:right w:val="none" w:sz="0" w:space="0" w:color="auto"/>
              </w:divBdr>
            </w:div>
          </w:divsChild>
        </w:div>
        <w:div w:id="764885775">
          <w:marLeft w:val="0"/>
          <w:marRight w:val="0"/>
          <w:marTop w:val="0"/>
          <w:marBottom w:val="0"/>
          <w:divBdr>
            <w:top w:val="none" w:sz="0" w:space="0" w:color="auto"/>
            <w:left w:val="none" w:sz="0" w:space="0" w:color="auto"/>
            <w:bottom w:val="none" w:sz="0" w:space="0" w:color="auto"/>
            <w:right w:val="none" w:sz="0" w:space="0" w:color="auto"/>
          </w:divBdr>
          <w:divsChild>
            <w:div w:id="1260526408">
              <w:marLeft w:val="0"/>
              <w:marRight w:val="0"/>
              <w:marTop w:val="0"/>
              <w:marBottom w:val="0"/>
              <w:divBdr>
                <w:top w:val="none" w:sz="0" w:space="0" w:color="auto"/>
                <w:left w:val="none" w:sz="0" w:space="0" w:color="auto"/>
                <w:bottom w:val="none" w:sz="0" w:space="0" w:color="auto"/>
                <w:right w:val="none" w:sz="0" w:space="0" w:color="auto"/>
              </w:divBdr>
            </w:div>
          </w:divsChild>
        </w:div>
        <w:div w:id="767387913">
          <w:marLeft w:val="0"/>
          <w:marRight w:val="0"/>
          <w:marTop w:val="0"/>
          <w:marBottom w:val="0"/>
          <w:divBdr>
            <w:top w:val="none" w:sz="0" w:space="0" w:color="auto"/>
            <w:left w:val="none" w:sz="0" w:space="0" w:color="auto"/>
            <w:bottom w:val="none" w:sz="0" w:space="0" w:color="auto"/>
            <w:right w:val="none" w:sz="0" w:space="0" w:color="auto"/>
          </w:divBdr>
          <w:divsChild>
            <w:div w:id="918320898">
              <w:marLeft w:val="0"/>
              <w:marRight w:val="0"/>
              <w:marTop w:val="0"/>
              <w:marBottom w:val="0"/>
              <w:divBdr>
                <w:top w:val="none" w:sz="0" w:space="0" w:color="auto"/>
                <w:left w:val="none" w:sz="0" w:space="0" w:color="auto"/>
                <w:bottom w:val="none" w:sz="0" w:space="0" w:color="auto"/>
                <w:right w:val="none" w:sz="0" w:space="0" w:color="auto"/>
              </w:divBdr>
            </w:div>
          </w:divsChild>
        </w:div>
        <w:div w:id="772480487">
          <w:marLeft w:val="0"/>
          <w:marRight w:val="0"/>
          <w:marTop w:val="0"/>
          <w:marBottom w:val="0"/>
          <w:divBdr>
            <w:top w:val="none" w:sz="0" w:space="0" w:color="auto"/>
            <w:left w:val="none" w:sz="0" w:space="0" w:color="auto"/>
            <w:bottom w:val="none" w:sz="0" w:space="0" w:color="auto"/>
            <w:right w:val="none" w:sz="0" w:space="0" w:color="auto"/>
          </w:divBdr>
          <w:divsChild>
            <w:div w:id="2005549228">
              <w:marLeft w:val="0"/>
              <w:marRight w:val="0"/>
              <w:marTop w:val="0"/>
              <w:marBottom w:val="0"/>
              <w:divBdr>
                <w:top w:val="none" w:sz="0" w:space="0" w:color="auto"/>
                <w:left w:val="none" w:sz="0" w:space="0" w:color="auto"/>
                <w:bottom w:val="none" w:sz="0" w:space="0" w:color="auto"/>
                <w:right w:val="none" w:sz="0" w:space="0" w:color="auto"/>
              </w:divBdr>
            </w:div>
          </w:divsChild>
        </w:div>
        <w:div w:id="778523051">
          <w:marLeft w:val="0"/>
          <w:marRight w:val="0"/>
          <w:marTop w:val="0"/>
          <w:marBottom w:val="0"/>
          <w:divBdr>
            <w:top w:val="none" w:sz="0" w:space="0" w:color="auto"/>
            <w:left w:val="none" w:sz="0" w:space="0" w:color="auto"/>
            <w:bottom w:val="none" w:sz="0" w:space="0" w:color="auto"/>
            <w:right w:val="none" w:sz="0" w:space="0" w:color="auto"/>
          </w:divBdr>
          <w:divsChild>
            <w:div w:id="1548952379">
              <w:marLeft w:val="0"/>
              <w:marRight w:val="0"/>
              <w:marTop w:val="0"/>
              <w:marBottom w:val="0"/>
              <w:divBdr>
                <w:top w:val="none" w:sz="0" w:space="0" w:color="auto"/>
                <w:left w:val="none" w:sz="0" w:space="0" w:color="auto"/>
                <w:bottom w:val="none" w:sz="0" w:space="0" w:color="auto"/>
                <w:right w:val="none" w:sz="0" w:space="0" w:color="auto"/>
              </w:divBdr>
            </w:div>
          </w:divsChild>
        </w:div>
        <w:div w:id="780300329">
          <w:marLeft w:val="0"/>
          <w:marRight w:val="0"/>
          <w:marTop w:val="0"/>
          <w:marBottom w:val="0"/>
          <w:divBdr>
            <w:top w:val="none" w:sz="0" w:space="0" w:color="auto"/>
            <w:left w:val="none" w:sz="0" w:space="0" w:color="auto"/>
            <w:bottom w:val="none" w:sz="0" w:space="0" w:color="auto"/>
            <w:right w:val="none" w:sz="0" w:space="0" w:color="auto"/>
          </w:divBdr>
          <w:divsChild>
            <w:div w:id="694041131">
              <w:marLeft w:val="0"/>
              <w:marRight w:val="0"/>
              <w:marTop w:val="0"/>
              <w:marBottom w:val="0"/>
              <w:divBdr>
                <w:top w:val="none" w:sz="0" w:space="0" w:color="auto"/>
                <w:left w:val="none" w:sz="0" w:space="0" w:color="auto"/>
                <w:bottom w:val="none" w:sz="0" w:space="0" w:color="auto"/>
                <w:right w:val="none" w:sz="0" w:space="0" w:color="auto"/>
              </w:divBdr>
            </w:div>
          </w:divsChild>
        </w:div>
        <w:div w:id="785581445">
          <w:marLeft w:val="0"/>
          <w:marRight w:val="0"/>
          <w:marTop w:val="0"/>
          <w:marBottom w:val="0"/>
          <w:divBdr>
            <w:top w:val="none" w:sz="0" w:space="0" w:color="auto"/>
            <w:left w:val="none" w:sz="0" w:space="0" w:color="auto"/>
            <w:bottom w:val="none" w:sz="0" w:space="0" w:color="auto"/>
            <w:right w:val="none" w:sz="0" w:space="0" w:color="auto"/>
          </w:divBdr>
          <w:divsChild>
            <w:div w:id="1246691926">
              <w:marLeft w:val="0"/>
              <w:marRight w:val="0"/>
              <w:marTop w:val="0"/>
              <w:marBottom w:val="0"/>
              <w:divBdr>
                <w:top w:val="none" w:sz="0" w:space="0" w:color="auto"/>
                <w:left w:val="none" w:sz="0" w:space="0" w:color="auto"/>
                <w:bottom w:val="none" w:sz="0" w:space="0" w:color="auto"/>
                <w:right w:val="none" w:sz="0" w:space="0" w:color="auto"/>
              </w:divBdr>
            </w:div>
          </w:divsChild>
        </w:div>
        <w:div w:id="785658958">
          <w:marLeft w:val="0"/>
          <w:marRight w:val="0"/>
          <w:marTop w:val="0"/>
          <w:marBottom w:val="0"/>
          <w:divBdr>
            <w:top w:val="none" w:sz="0" w:space="0" w:color="auto"/>
            <w:left w:val="none" w:sz="0" w:space="0" w:color="auto"/>
            <w:bottom w:val="none" w:sz="0" w:space="0" w:color="auto"/>
            <w:right w:val="none" w:sz="0" w:space="0" w:color="auto"/>
          </w:divBdr>
          <w:divsChild>
            <w:div w:id="2005279184">
              <w:marLeft w:val="0"/>
              <w:marRight w:val="0"/>
              <w:marTop w:val="0"/>
              <w:marBottom w:val="0"/>
              <w:divBdr>
                <w:top w:val="none" w:sz="0" w:space="0" w:color="auto"/>
                <w:left w:val="none" w:sz="0" w:space="0" w:color="auto"/>
                <w:bottom w:val="none" w:sz="0" w:space="0" w:color="auto"/>
                <w:right w:val="none" w:sz="0" w:space="0" w:color="auto"/>
              </w:divBdr>
            </w:div>
          </w:divsChild>
        </w:div>
        <w:div w:id="794056062">
          <w:marLeft w:val="0"/>
          <w:marRight w:val="0"/>
          <w:marTop w:val="0"/>
          <w:marBottom w:val="0"/>
          <w:divBdr>
            <w:top w:val="none" w:sz="0" w:space="0" w:color="auto"/>
            <w:left w:val="none" w:sz="0" w:space="0" w:color="auto"/>
            <w:bottom w:val="none" w:sz="0" w:space="0" w:color="auto"/>
            <w:right w:val="none" w:sz="0" w:space="0" w:color="auto"/>
          </w:divBdr>
          <w:divsChild>
            <w:div w:id="500048196">
              <w:marLeft w:val="0"/>
              <w:marRight w:val="0"/>
              <w:marTop w:val="0"/>
              <w:marBottom w:val="0"/>
              <w:divBdr>
                <w:top w:val="none" w:sz="0" w:space="0" w:color="auto"/>
                <w:left w:val="none" w:sz="0" w:space="0" w:color="auto"/>
                <w:bottom w:val="none" w:sz="0" w:space="0" w:color="auto"/>
                <w:right w:val="none" w:sz="0" w:space="0" w:color="auto"/>
              </w:divBdr>
            </w:div>
          </w:divsChild>
        </w:div>
        <w:div w:id="800881815">
          <w:marLeft w:val="0"/>
          <w:marRight w:val="0"/>
          <w:marTop w:val="0"/>
          <w:marBottom w:val="0"/>
          <w:divBdr>
            <w:top w:val="none" w:sz="0" w:space="0" w:color="auto"/>
            <w:left w:val="none" w:sz="0" w:space="0" w:color="auto"/>
            <w:bottom w:val="none" w:sz="0" w:space="0" w:color="auto"/>
            <w:right w:val="none" w:sz="0" w:space="0" w:color="auto"/>
          </w:divBdr>
          <w:divsChild>
            <w:div w:id="336080827">
              <w:marLeft w:val="0"/>
              <w:marRight w:val="0"/>
              <w:marTop w:val="0"/>
              <w:marBottom w:val="0"/>
              <w:divBdr>
                <w:top w:val="none" w:sz="0" w:space="0" w:color="auto"/>
                <w:left w:val="none" w:sz="0" w:space="0" w:color="auto"/>
                <w:bottom w:val="none" w:sz="0" w:space="0" w:color="auto"/>
                <w:right w:val="none" w:sz="0" w:space="0" w:color="auto"/>
              </w:divBdr>
            </w:div>
          </w:divsChild>
        </w:div>
        <w:div w:id="801263394">
          <w:marLeft w:val="0"/>
          <w:marRight w:val="0"/>
          <w:marTop w:val="0"/>
          <w:marBottom w:val="0"/>
          <w:divBdr>
            <w:top w:val="none" w:sz="0" w:space="0" w:color="auto"/>
            <w:left w:val="none" w:sz="0" w:space="0" w:color="auto"/>
            <w:bottom w:val="none" w:sz="0" w:space="0" w:color="auto"/>
            <w:right w:val="none" w:sz="0" w:space="0" w:color="auto"/>
          </w:divBdr>
          <w:divsChild>
            <w:div w:id="150143891">
              <w:marLeft w:val="0"/>
              <w:marRight w:val="0"/>
              <w:marTop w:val="0"/>
              <w:marBottom w:val="0"/>
              <w:divBdr>
                <w:top w:val="none" w:sz="0" w:space="0" w:color="auto"/>
                <w:left w:val="none" w:sz="0" w:space="0" w:color="auto"/>
                <w:bottom w:val="none" w:sz="0" w:space="0" w:color="auto"/>
                <w:right w:val="none" w:sz="0" w:space="0" w:color="auto"/>
              </w:divBdr>
            </w:div>
          </w:divsChild>
        </w:div>
        <w:div w:id="802383639">
          <w:marLeft w:val="0"/>
          <w:marRight w:val="0"/>
          <w:marTop w:val="0"/>
          <w:marBottom w:val="0"/>
          <w:divBdr>
            <w:top w:val="none" w:sz="0" w:space="0" w:color="auto"/>
            <w:left w:val="none" w:sz="0" w:space="0" w:color="auto"/>
            <w:bottom w:val="none" w:sz="0" w:space="0" w:color="auto"/>
            <w:right w:val="none" w:sz="0" w:space="0" w:color="auto"/>
          </w:divBdr>
          <w:divsChild>
            <w:div w:id="1611740822">
              <w:marLeft w:val="0"/>
              <w:marRight w:val="0"/>
              <w:marTop w:val="0"/>
              <w:marBottom w:val="0"/>
              <w:divBdr>
                <w:top w:val="none" w:sz="0" w:space="0" w:color="auto"/>
                <w:left w:val="none" w:sz="0" w:space="0" w:color="auto"/>
                <w:bottom w:val="none" w:sz="0" w:space="0" w:color="auto"/>
                <w:right w:val="none" w:sz="0" w:space="0" w:color="auto"/>
              </w:divBdr>
            </w:div>
          </w:divsChild>
        </w:div>
        <w:div w:id="813714541">
          <w:marLeft w:val="0"/>
          <w:marRight w:val="0"/>
          <w:marTop w:val="0"/>
          <w:marBottom w:val="0"/>
          <w:divBdr>
            <w:top w:val="none" w:sz="0" w:space="0" w:color="auto"/>
            <w:left w:val="none" w:sz="0" w:space="0" w:color="auto"/>
            <w:bottom w:val="none" w:sz="0" w:space="0" w:color="auto"/>
            <w:right w:val="none" w:sz="0" w:space="0" w:color="auto"/>
          </w:divBdr>
          <w:divsChild>
            <w:div w:id="103162463">
              <w:marLeft w:val="0"/>
              <w:marRight w:val="0"/>
              <w:marTop w:val="0"/>
              <w:marBottom w:val="0"/>
              <w:divBdr>
                <w:top w:val="none" w:sz="0" w:space="0" w:color="auto"/>
                <w:left w:val="none" w:sz="0" w:space="0" w:color="auto"/>
                <w:bottom w:val="none" w:sz="0" w:space="0" w:color="auto"/>
                <w:right w:val="none" w:sz="0" w:space="0" w:color="auto"/>
              </w:divBdr>
            </w:div>
          </w:divsChild>
        </w:div>
        <w:div w:id="813833609">
          <w:marLeft w:val="0"/>
          <w:marRight w:val="0"/>
          <w:marTop w:val="0"/>
          <w:marBottom w:val="0"/>
          <w:divBdr>
            <w:top w:val="none" w:sz="0" w:space="0" w:color="auto"/>
            <w:left w:val="none" w:sz="0" w:space="0" w:color="auto"/>
            <w:bottom w:val="none" w:sz="0" w:space="0" w:color="auto"/>
            <w:right w:val="none" w:sz="0" w:space="0" w:color="auto"/>
          </w:divBdr>
          <w:divsChild>
            <w:div w:id="1219243493">
              <w:marLeft w:val="0"/>
              <w:marRight w:val="0"/>
              <w:marTop w:val="0"/>
              <w:marBottom w:val="0"/>
              <w:divBdr>
                <w:top w:val="none" w:sz="0" w:space="0" w:color="auto"/>
                <w:left w:val="none" w:sz="0" w:space="0" w:color="auto"/>
                <w:bottom w:val="none" w:sz="0" w:space="0" w:color="auto"/>
                <w:right w:val="none" w:sz="0" w:space="0" w:color="auto"/>
              </w:divBdr>
            </w:div>
          </w:divsChild>
        </w:div>
        <w:div w:id="815218441">
          <w:marLeft w:val="0"/>
          <w:marRight w:val="0"/>
          <w:marTop w:val="0"/>
          <w:marBottom w:val="0"/>
          <w:divBdr>
            <w:top w:val="none" w:sz="0" w:space="0" w:color="auto"/>
            <w:left w:val="none" w:sz="0" w:space="0" w:color="auto"/>
            <w:bottom w:val="none" w:sz="0" w:space="0" w:color="auto"/>
            <w:right w:val="none" w:sz="0" w:space="0" w:color="auto"/>
          </w:divBdr>
          <w:divsChild>
            <w:div w:id="101802282">
              <w:marLeft w:val="0"/>
              <w:marRight w:val="0"/>
              <w:marTop w:val="0"/>
              <w:marBottom w:val="0"/>
              <w:divBdr>
                <w:top w:val="none" w:sz="0" w:space="0" w:color="auto"/>
                <w:left w:val="none" w:sz="0" w:space="0" w:color="auto"/>
                <w:bottom w:val="none" w:sz="0" w:space="0" w:color="auto"/>
                <w:right w:val="none" w:sz="0" w:space="0" w:color="auto"/>
              </w:divBdr>
            </w:div>
          </w:divsChild>
        </w:div>
        <w:div w:id="818422674">
          <w:marLeft w:val="0"/>
          <w:marRight w:val="0"/>
          <w:marTop w:val="0"/>
          <w:marBottom w:val="0"/>
          <w:divBdr>
            <w:top w:val="none" w:sz="0" w:space="0" w:color="auto"/>
            <w:left w:val="none" w:sz="0" w:space="0" w:color="auto"/>
            <w:bottom w:val="none" w:sz="0" w:space="0" w:color="auto"/>
            <w:right w:val="none" w:sz="0" w:space="0" w:color="auto"/>
          </w:divBdr>
          <w:divsChild>
            <w:div w:id="259139928">
              <w:marLeft w:val="0"/>
              <w:marRight w:val="0"/>
              <w:marTop w:val="0"/>
              <w:marBottom w:val="0"/>
              <w:divBdr>
                <w:top w:val="none" w:sz="0" w:space="0" w:color="auto"/>
                <w:left w:val="none" w:sz="0" w:space="0" w:color="auto"/>
                <w:bottom w:val="none" w:sz="0" w:space="0" w:color="auto"/>
                <w:right w:val="none" w:sz="0" w:space="0" w:color="auto"/>
              </w:divBdr>
            </w:div>
          </w:divsChild>
        </w:div>
        <w:div w:id="819075975">
          <w:marLeft w:val="0"/>
          <w:marRight w:val="0"/>
          <w:marTop w:val="0"/>
          <w:marBottom w:val="0"/>
          <w:divBdr>
            <w:top w:val="none" w:sz="0" w:space="0" w:color="auto"/>
            <w:left w:val="none" w:sz="0" w:space="0" w:color="auto"/>
            <w:bottom w:val="none" w:sz="0" w:space="0" w:color="auto"/>
            <w:right w:val="none" w:sz="0" w:space="0" w:color="auto"/>
          </w:divBdr>
          <w:divsChild>
            <w:div w:id="206188452">
              <w:marLeft w:val="0"/>
              <w:marRight w:val="0"/>
              <w:marTop w:val="0"/>
              <w:marBottom w:val="0"/>
              <w:divBdr>
                <w:top w:val="none" w:sz="0" w:space="0" w:color="auto"/>
                <w:left w:val="none" w:sz="0" w:space="0" w:color="auto"/>
                <w:bottom w:val="none" w:sz="0" w:space="0" w:color="auto"/>
                <w:right w:val="none" w:sz="0" w:space="0" w:color="auto"/>
              </w:divBdr>
            </w:div>
          </w:divsChild>
        </w:div>
        <w:div w:id="821046628">
          <w:marLeft w:val="0"/>
          <w:marRight w:val="0"/>
          <w:marTop w:val="0"/>
          <w:marBottom w:val="0"/>
          <w:divBdr>
            <w:top w:val="none" w:sz="0" w:space="0" w:color="auto"/>
            <w:left w:val="none" w:sz="0" w:space="0" w:color="auto"/>
            <w:bottom w:val="none" w:sz="0" w:space="0" w:color="auto"/>
            <w:right w:val="none" w:sz="0" w:space="0" w:color="auto"/>
          </w:divBdr>
          <w:divsChild>
            <w:div w:id="598492846">
              <w:marLeft w:val="0"/>
              <w:marRight w:val="0"/>
              <w:marTop w:val="0"/>
              <w:marBottom w:val="0"/>
              <w:divBdr>
                <w:top w:val="none" w:sz="0" w:space="0" w:color="auto"/>
                <w:left w:val="none" w:sz="0" w:space="0" w:color="auto"/>
                <w:bottom w:val="none" w:sz="0" w:space="0" w:color="auto"/>
                <w:right w:val="none" w:sz="0" w:space="0" w:color="auto"/>
              </w:divBdr>
            </w:div>
          </w:divsChild>
        </w:div>
        <w:div w:id="824201062">
          <w:marLeft w:val="0"/>
          <w:marRight w:val="0"/>
          <w:marTop w:val="0"/>
          <w:marBottom w:val="0"/>
          <w:divBdr>
            <w:top w:val="none" w:sz="0" w:space="0" w:color="auto"/>
            <w:left w:val="none" w:sz="0" w:space="0" w:color="auto"/>
            <w:bottom w:val="none" w:sz="0" w:space="0" w:color="auto"/>
            <w:right w:val="none" w:sz="0" w:space="0" w:color="auto"/>
          </w:divBdr>
          <w:divsChild>
            <w:div w:id="981349931">
              <w:marLeft w:val="0"/>
              <w:marRight w:val="0"/>
              <w:marTop w:val="0"/>
              <w:marBottom w:val="0"/>
              <w:divBdr>
                <w:top w:val="none" w:sz="0" w:space="0" w:color="auto"/>
                <w:left w:val="none" w:sz="0" w:space="0" w:color="auto"/>
                <w:bottom w:val="none" w:sz="0" w:space="0" w:color="auto"/>
                <w:right w:val="none" w:sz="0" w:space="0" w:color="auto"/>
              </w:divBdr>
            </w:div>
          </w:divsChild>
        </w:div>
        <w:div w:id="826478174">
          <w:marLeft w:val="0"/>
          <w:marRight w:val="0"/>
          <w:marTop w:val="0"/>
          <w:marBottom w:val="0"/>
          <w:divBdr>
            <w:top w:val="none" w:sz="0" w:space="0" w:color="auto"/>
            <w:left w:val="none" w:sz="0" w:space="0" w:color="auto"/>
            <w:bottom w:val="none" w:sz="0" w:space="0" w:color="auto"/>
            <w:right w:val="none" w:sz="0" w:space="0" w:color="auto"/>
          </w:divBdr>
          <w:divsChild>
            <w:div w:id="1476483396">
              <w:marLeft w:val="0"/>
              <w:marRight w:val="0"/>
              <w:marTop w:val="0"/>
              <w:marBottom w:val="0"/>
              <w:divBdr>
                <w:top w:val="none" w:sz="0" w:space="0" w:color="auto"/>
                <w:left w:val="none" w:sz="0" w:space="0" w:color="auto"/>
                <w:bottom w:val="none" w:sz="0" w:space="0" w:color="auto"/>
                <w:right w:val="none" w:sz="0" w:space="0" w:color="auto"/>
              </w:divBdr>
            </w:div>
          </w:divsChild>
        </w:div>
        <w:div w:id="830022958">
          <w:marLeft w:val="0"/>
          <w:marRight w:val="0"/>
          <w:marTop w:val="0"/>
          <w:marBottom w:val="0"/>
          <w:divBdr>
            <w:top w:val="none" w:sz="0" w:space="0" w:color="auto"/>
            <w:left w:val="none" w:sz="0" w:space="0" w:color="auto"/>
            <w:bottom w:val="none" w:sz="0" w:space="0" w:color="auto"/>
            <w:right w:val="none" w:sz="0" w:space="0" w:color="auto"/>
          </w:divBdr>
          <w:divsChild>
            <w:div w:id="154536478">
              <w:marLeft w:val="0"/>
              <w:marRight w:val="0"/>
              <w:marTop w:val="0"/>
              <w:marBottom w:val="0"/>
              <w:divBdr>
                <w:top w:val="none" w:sz="0" w:space="0" w:color="auto"/>
                <w:left w:val="none" w:sz="0" w:space="0" w:color="auto"/>
                <w:bottom w:val="none" w:sz="0" w:space="0" w:color="auto"/>
                <w:right w:val="none" w:sz="0" w:space="0" w:color="auto"/>
              </w:divBdr>
            </w:div>
          </w:divsChild>
        </w:div>
        <w:div w:id="830293767">
          <w:marLeft w:val="0"/>
          <w:marRight w:val="0"/>
          <w:marTop w:val="0"/>
          <w:marBottom w:val="0"/>
          <w:divBdr>
            <w:top w:val="none" w:sz="0" w:space="0" w:color="auto"/>
            <w:left w:val="none" w:sz="0" w:space="0" w:color="auto"/>
            <w:bottom w:val="none" w:sz="0" w:space="0" w:color="auto"/>
            <w:right w:val="none" w:sz="0" w:space="0" w:color="auto"/>
          </w:divBdr>
          <w:divsChild>
            <w:div w:id="203179411">
              <w:marLeft w:val="0"/>
              <w:marRight w:val="0"/>
              <w:marTop w:val="0"/>
              <w:marBottom w:val="0"/>
              <w:divBdr>
                <w:top w:val="none" w:sz="0" w:space="0" w:color="auto"/>
                <w:left w:val="none" w:sz="0" w:space="0" w:color="auto"/>
                <w:bottom w:val="none" w:sz="0" w:space="0" w:color="auto"/>
                <w:right w:val="none" w:sz="0" w:space="0" w:color="auto"/>
              </w:divBdr>
            </w:div>
          </w:divsChild>
        </w:div>
        <w:div w:id="838082777">
          <w:marLeft w:val="0"/>
          <w:marRight w:val="0"/>
          <w:marTop w:val="0"/>
          <w:marBottom w:val="0"/>
          <w:divBdr>
            <w:top w:val="none" w:sz="0" w:space="0" w:color="auto"/>
            <w:left w:val="none" w:sz="0" w:space="0" w:color="auto"/>
            <w:bottom w:val="none" w:sz="0" w:space="0" w:color="auto"/>
            <w:right w:val="none" w:sz="0" w:space="0" w:color="auto"/>
          </w:divBdr>
          <w:divsChild>
            <w:div w:id="681932689">
              <w:marLeft w:val="0"/>
              <w:marRight w:val="0"/>
              <w:marTop w:val="0"/>
              <w:marBottom w:val="0"/>
              <w:divBdr>
                <w:top w:val="none" w:sz="0" w:space="0" w:color="auto"/>
                <w:left w:val="none" w:sz="0" w:space="0" w:color="auto"/>
                <w:bottom w:val="none" w:sz="0" w:space="0" w:color="auto"/>
                <w:right w:val="none" w:sz="0" w:space="0" w:color="auto"/>
              </w:divBdr>
            </w:div>
          </w:divsChild>
        </w:div>
        <w:div w:id="844326343">
          <w:marLeft w:val="0"/>
          <w:marRight w:val="0"/>
          <w:marTop w:val="0"/>
          <w:marBottom w:val="0"/>
          <w:divBdr>
            <w:top w:val="none" w:sz="0" w:space="0" w:color="auto"/>
            <w:left w:val="none" w:sz="0" w:space="0" w:color="auto"/>
            <w:bottom w:val="none" w:sz="0" w:space="0" w:color="auto"/>
            <w:right w:val="none" w:sz="0" w:space="0" w:color="auto"/>
          </w:divBdr>
          <w:divsChild>
            <w:div w:id="2085369951">
              <w:marLeft w:val="0"/>
              <w:marRight w:val="0"/>
              <w:marTop w:val="0"/>
              <w:marBottom w:val="0"/>
              <w:divBdr>
                <w:top w:val="none" w:sz="0" w:space="0" w:color="auto"/>
                <w:left w:val="none" w:sz="0" w:space="0" w:color="auto"/>
                <w:bottom w:val="none" w:sz="0" w:space="0" w:color="auto"/>
                <w:right w:val="none" w:sz="0" w:space="0" w:color="auto"/>
              </w:divBdr>
            </w:div>
          </w:divsChild>
        </w:div>
        <w:div w:id="845022722">
          <w:marLeft w:val="0"/>
          <w:marRight w:val="0"/>
          <w:marTop w:val="0"/>
          <w:marBottom w:val="0"/>
          <w:divBdr>
            <w:top w:val="none" w:sz="0" w:space="0" w:color="auto"/>
            <w:left w:val="none" w:sz="0" w:space="0" w:color="auto"/>
            <w:bottom w:val="none" w:sz="0" w:space="0" w:color="auto"/>
            <w:right w:val="none" w:sz="0" w:space="0" w:color="auto"/>
          </w:divBdr>
          <w:divsChild>
            <w:div w:id="1735657507">
              <w:marLeft w:val="0"/>
              <w:marRight w:val="0"/>
              <w:marTop w:val="0"/>
              <w:marBottom w:val="0"/>
              <w:divBdr>
                <w:top w:val="none" w:sz="0" w:space="0" w:color="auto"/>
                <w:left w:val="none" w:sz="0" w:space="0" w:color="auto"/>
                <w:bottom w:val="none" w:sz="0" w:space="0" w:color="auto"/>
                <w:right w:val="none" w:sz="0" w:space="0" w:color="auto"/>
              </w:divBdr>
            </w:div>
          </w:divsChild>
        </w:div>
        <w:div w:id="845562206">
          <w:marLeft w:val="0"/>
          <w:marRight w:val="0"/>
          <w:marTop w:val="0"/>
          <w:marBottom w:val="0"/>
          <w:divBdr>
            <w:top w:val="none" w:sz="0" w:space="0" w:color="auto"/>
            <w:left w:val="none" w:sz="0" w:space="0" w:color="auto"/>
            <w:bottom w:val="none" w:sz="0" w:space="0" w:color="auto"/>
            <w:right w:val="none" w:sz="0" w:space="0" w:color="auto"/>
          </w:divBdr>
          <w:divsChild>
            <w:div w:id="1930649298">
              <w:marLeft w:val="0"/>
              <w:marRight w:val="0"/>
              <w:marTop w:val="0"/>
              <w:marBottom w:val="0"/>
              <w:divBdr>
                <w:top w:val="none" w:sz="0" w:space="0" w:color="auto"/>
                <w:left w:val="none" w:sz="0" w:space="0" w:color="auto"/>
                <w:bottom w:val="none" w:sz="0" w:space="0" w:color="auto"/>
                <w:right w:val="none" w:sz="0" w:space="0" w:color="auto"/>
              </w:divBdr>
            </w:div>
          </w:divsChild>
        </w:div>
        <w:div w:id="846792283">
          <w:marLeft w:val="0"/>
          <w:marRight w:val="0"/>
          <w:marTop w:val="0"/>
          <w:marBottom w:val="0"/>
          <w:divBdr>
            <w:top w:val="none" w:sz="0" w:space="0" w:color="auto"/>
            <w:left w:val="none" w:sz="0" w:space="0" w:color="auto"/>
            <w:bottom w:val="none" w:sz="0" w:space="0" w:color="auto"/>
            <w:right w:val="none" w:sz="0" w:space="0" w:color="auto"/>
          </w:divBdr>
          <w:divsChild>
            <w:div w:id="1607730871">
              <w:marLeft w:val="0"/>
              <w:marRight w:val="0"/>
              <w:marTop w:val="0"/>
              <w:marBottom w:val="0"/>
              <w:divBdr>
                <w:top w:val="none" w:sz="0" w:space="0" w:color="auto"/>
                <w:left w:val="none" w:sz="0" w:space="0" w:color="auto"/>
                <w:bottom w:val="none" w:sz="0" w:space="0" w:color="auto"/>
                <w:right w:val="none" w:sz="0" w:space="0" w:color="auto"/>
              </w:divBdr>
            </w:div>
          </w:divsChild>
        </w:div>
        <w:div w:id="851384249">
          <w:marLeft w:val="0"/>
          <w:marRight w:val="0"/>
          <w:marTop w:val="0"/>
          <w:marBottom w:val="0"/>
          <w:divBdr>
            <w:top w:val="none" w:sz="0" w:space="0" w:color="auto"/>
            <w:left w:val="none" w:sz="0" w:space="0" w:color="auto"/>
            <w:bottom w:val="none" w:sz="0" w:space="0" w:color="auto"/>
            <w:right w:val="none" w:sz="0" w:space="0" w:color="auto"/>
          </w:divBdr>
          <w:divsChild>
            <w:div w:id="724569754">
              <w:marLeft w:val="0"/>
              <w:marRight w:val="0"/>
              <w:marTop w:val="0"/>
              <w:marBottom w:val="0"/>
              <w:divBdr>
                <w:top w:val="none" w:sz="0" w:space="0" w:color="auto"/>
                <w:left w:val="none" w:sz="0" w:space="0" w:color="auto"/>
                <w:bottom w:val="none" w:sz="0" w:space="0" w:color="auto"/>
                <w:right w:val="none" w:sz="0" w:space="0" w:color="auto"/>
              </w:divBdr>
            </w:div>
          </w:divsChild>
        </w:div>
        <w:div w:id="853149506">
          <w:marLeft w:val="0"/>
          <w:marRight w:val="0"/>
          <w:marTop w:val="0"/>
          <w:marBottom w:val="0"/>
          <w:divBdr>
            <w:top w:val="none" w:sz="0" w:space="0" w:color="auto"/>
            <w:left w:val="none" w:sz="0" w:space="0" w:color="auto"/>
            <w:bottom w:val="none" w:sz="0" w:space="0" w:color="auto"/>
            <w:right w:val="none" w:sz="0" w:space="0" w:color="auto"/>
          </w:divBdr>
          <w:divsChild>
            <w:div w:id="426274808">
              <w:marLeft w:val="0"/>
              <w:marRight w:val="0"/>
              <w:marTop w:val="0"/>
              <w:marBottom w:val="0"/>
              <w:divBdr>
                <w:top w:val="none" w:sz="0" w:space="0" w:color="auto"/>
                <w:left w:val="none" w:sz="0" w:space="0" w:color="auto"/>
                <w:bottom w:val="none" w:sz="0" w:space="0" w:color="auto"/>
                <w:right w:val="none" w:sz="0" w:space="0" w:color="auto"/>
              </w:divBdr>
            </w:div>
          </w:divsChild>
        </w:div>
        <w:div w:id="854733133">
          <w:marLeft w:val="0"/>
          <w:marRight w:val="0"/>
          <w:marTop w:val="0"/>
          <w:marBottom w:val="0"/>
          <w:divBdr>
            <w:top w:val="none" w:sz="0" w:space="0" w:color="auto"/>
            <w:left w:val="none" w:sz="0" w:space="0" w:color="auto"/>
            <w:bottom w:val="none" w:sz="0" w:space="0" w:color="auto"/>
            <w:right w:val="none" w:sz="0" w:space="0" w:color="auto"/>
          </w:divBdr>
          <w:divsChild>
            <w:div w:id="1219899260">
              <w:marLeft w:val="0"/>
              <w:marRight w:val="0"/>
              <w:marTop w:val="0"/>
              <w:marBottom w:val="0"/>
              <w:divBdr>
                <w:top w:val="none" w:sz="0" w:space="0" w:color="auto"/>
                <w:left w:val="none" w:sz="0" w:space="0" w:color="auto"/>
                <w:bottom w:val="none" w:sz="0" w:space="0" w:color="auto"/>
                <w:right w:val="none" w:sz="0" w:space="0" w:color="auto"/>
              </w:divBdr>
            </w:div>
          </w:divsChild>
        </w:div>
        <w:div w:id="855967400">
          <w:marLeft w:val="0"/>
          <w:marRight w:val="0"/>
          <w:marTop w:val="0"/>
          <w:marBottom w:val="0"/>
          <w:divBdr>
            <w:top w:val="none" w:sz="0" w:space="0" w:color="auto"/>
            <w:left w:val="none" w:sz="0" w:space="0" w:color="auto"/>
            <w:bottom w:val="none" w:sz="0" w:space="0" w:color="auto"/>
            <w:right w:val="none" w:sz="0" w:space="0" w:color="auto"/>
          </w:divBdr>
          <w:divsChild>
            <w:div w:id="1878464448">
              <w:marLeft w:val="0"/>
              <w:marRight w:val="0"/>
              <w:marTop w:val="0"/>
              <w:marBottom w:val="0"/>
              <w:divBdr>
                <w:top w:val="none" w:sz="0" w:space="0" w:color="auto"/>
                <w:left w:val="none" w:sz="0" w:space="0" w:color="auto"/>
                <w:bottom w:val="none" w:sz="0" w:space="0" w:color="auto"/>
                <w:right w:val="none" w:sz="0" w:space="0" w:color="auto"/>
              </w:divBdr>
            </w:div>
          </w:divsChild>
        </w:div>
        <w:div w:id="857425586">
          <w:marLeft w:val="0"/>
          <w:marRight w:val="0"/>
          <w:marTop w:val="0"/>
          <w:marBottom w:val="0"/>
          <w:divBdr>
            <w:top w:val="none" w:sz="0" w:space="0" w:color="auto"/>
            <w:left w:val="none" w:sz="0" w:space="0" w:color="auto"/>
            <w:bottom w:val="none" w:sz="0" w:space="0" w:color="auto"/>
            <w:right w:val="none" w:sz="0" w:space="0" w:color="auto"/>
          </w:divBdr>
          <w:divsChild>
            <w:div w:id="779952939">
              <w:marLeft w:val="0"/>
              <w:marRight w:val="0"/>
              <w:marTop w:val="0"/>
              <w:marBottom w:val="0"/>
              <w:divBdr>
                <w:top w:val="none" w:sz="0" w:space="0" w:color="auto"/>
                <w:left w:val="none" w:sz="0" w:space="0" w:color="auto"/>
                <w:bottom w:val="none" w:sz="0" w:space="0" w:color="auto"/>
                <w:right w:val="none" w:sz="0" w:space="0" w:color="auto"/>
              </w:divBdr>
            </w:div>
          </w:divsChild>
        </w:div>
        <w:div w:id="859005565">
          <w:marLeft w:val="0"/>
          <w:marRight w:val="0"/>
          <w:marTop w:val="0"/>
          <w:marBottom w:val="0"/>
          <w:divBdr>
            <w:top w:val="none" w:sz="0" w:space="0" w:color="auto"/>
            <w:left w:val="none" w:sz="0" w:space="0" w:color="auto"/>
            <w:bottom w:val="none" w:sz="0" w:space="0" w:color="auto"/>
            <w:right w:val="none" w:sz="0" w:space="0" w:color="auto"/>
          </w:divBdr>
          <w:divsChild>
            <w:div w:id="707528616">
              <w:marLeft w:val="0"/>
              <w:marRight w:val="0"/>
              <w:marTop w:val="0"/>
              <w:marBottom w:val="0"/>
              <w:divBdr>
                <w:top w:val="none" w:sz="0" w:space="0" w:color="auto"/>
                <w:left w:val="none" w:sz="0" w:space="0" w:color="auto"/>
                <w:bottom w:val="none" w:sz="0" w:space="0" w:color="auto"/>
                <w:right w:val="none" w:sz="0" w:space="0" w:color="auto"/>
              </w:divBdr>
            </w:div>
          </w:divsChild>
        </w:div>
        <w:div w:id="859585718">
          <w:marLeft w:val="0"/>
          <w:marRight w:val="0"/>
          <w:marTop w:val="0"/>
          <w:marBottom w:val="0"/>
          <w:divBdr>
            <w:top w:val="none" w:sz="0" w:space="0" w:color="auto"/>
            <w:left w:val="none" w:sz="0" w:space="0" w:color="auto"/>
            <w:bottom w:val="none" w:sz="0" w:space="0" w:color="auto"/>
            <w:right w:val="none" w:sz="0" w:space="0" w:color="auto"/>
          </w:divBdr>
          <w:divsChild>
            <w:div w:id="847064452">
              <w:marLeft w:val="0"/>
              <w:marRight w:val="0"/>
              <w:marTop w:val="0"/>
              <w:marBottom w:val="0"/>
              <w:divBdr>
                <w:top w:val="none" w:sz="0" w:space="0" w:color="auto"/>
                <w:left w:val="none" w:sz="0" w:space="0" w:color="auto"/>
                <w:bottom w:val="none" w:sz="0" w:space="0" w:color="auto"/>
                <w:right w:val="none" w:sz="0" w:space="0" w:color="auto"/>
              </w:divBdr>
            </w:div>
          </w:divsChild>
        </w:div>
        <w:div w:id="860244466">
          <w:marLeft w:val="0"/>
          <w:marRight w:val="0"/>
          <w:marTop w:val="0"/>
          <w:marBottom w:val="0"/>
          <w:divBdr>
            <w:top w:val="none" w:sz="0" w:space="0" w:color="auto"/>
            <w:left w:val="none" w:sz="0" w:space="0" w:color="auto"/>
            <w:bottom w:val="none" w:sz="0" w:space="0" w:color="auto"/>
            <w:right w:val="none" w:sz="0" w:space="0" w:color="auto"/>
          </w:divBdr>
          <w:divsChild>
            <w:div w:id="1656180479">
              <w:marLeft w:val="0"/>
              <w:marRight w:val="0"/>
              <w:marTop w:val="0"/>
              <w:marBottom w:val="0"/>
              <w:divBdr>
                <w:top w:val="none" w:sz="0" w:space="0" w:color="auto"/>
                <w:left w:val="none" w:sz="0" w:space="0" w:color="auto"/>
                <w:bottom w:val="none" w:sz="0" w:space="0" w:color="auto"/>
                <w:right w:val="none" w:sz="0" w:space="0" w:color="auto"/>
              </w:divBdr>
            </w:div>
          </w:divsChild>
        </w:div>
        <w:div w:id="860313357">
          <w:marLeft w:val="0"/>
          <w:marRight w:val="0"/>
          <w:marTop w:val="0"/>
          <w:marBottom w:val="0"/>
          <w:divBdr>
            <w:top w:val="none" w:sz="0" w:space="0" w:color="auto"/>
            <w:left w:val="none" w:sz="0" w:space="0" w:color="auto"/>
            <w:bottom w:val="none" w:sz="0" w:space="0" w:color="auto"/>
            <w:right w:val="none" w:sz="0" w:space="0" w:color="auto"/>
          </w:divBdr>
          <w:divsChild>
            <w:div w:id="644164609">
              <w:marLeft w:val="0"/>
              <w:marRight w:val="0"/>
              <w:marTop w:val="0"/>
              <w:marBottom w:val="0"/>
              <w:divBdr>
                <w:top w:val="none" w:sz="0" w:space="0" w:color="auto"/>
                <w:left w:val="none" w:sz="0" w:space="0" w:color="auto"/>
                <w:bottom w:val="none" w:sz="0" w:space="0" w:color="auto"/>
                <w:right w:val="none" w:sz="0" w:space="0" w:color="auto"/>
              </w:divBdr>
            </w:div>
          </w:divsChild>
        </w:div>
        <w:div w:id="868758848">
          <w:marLeft w:val="0"/>
          <w:marRight w:val="0"/>
          <w:marTop w:val="0"/>
          <w:marBottom w:val="0"/>
          <w:divBdr>
            <w:top w:val="none" w:sz="0" w:space="0" w:color="auto"/>
            <w:left w:val="none" w:sz="0" w:space="0" w:color="auto"/>
            <w:bottom w:val="none" w:sz="0" w:space="0" w:color="auto"/>
            <w:right w:val="none" w:sz="0" w:space="0" w:color="auto"/>
          </w:divBdr>
          <w:divsChild>
            <w:div w:id="1719282279">
              <w:marLeft w:val="0"/>
              <w:marRight w:val="0"/>
              <w:marTop w:val="0"/>
              <w:marBottom w:val="0"/>
              <w:divBdr>
                <w:top w:val="none" w:sz="0" w:space="0" w:color="auto"/>
                <w:left w:val="none" w:sz="0" w:space="0" w:color="auto"/>
                <w:bottom w:val="none" w:sz="0" w:space="0" w:color="auto"/>
                <w:right w:val="none" w:sz="0" w:space="0" w:color="auto"/>
              </w:divBdr>
            </w:div>
          </w:divsChild>
        </w:div>
        <w:div w:id="872421732">
          <w:marLeft w:val="0"/>
          <w:marRight w:val="0"/>
          <w:marTop w:val="0"/>
          <w:marBottom w:val="0"/>
          <w:divBdr>
            <w:top w:val="none" w:sz="0" w:space="0" w:color="auto"/>
            <w:left w:val="none" w:sz="0" w:space="0" w:color="auto"/>
            <w:bottom w:val="none" w:sz="0" w:space="0" w:color="auto"/>
            <w:right w:val="none" w:sz="0" w:space="0" w:color="auto"/>
          </w:divBdr>
          <w:divsChild>
            <w:div w:id="94372455">
              <w:marLeft w:val="0"/>
              <w:marRight w:val="0"/>
              <w:marTop w:val="0"/>
              <w:marBottom w:val="0"/>
              <w:divBdr>
                <w:top w:val="none" w:sz="0" w:space="0" w:color="auto"/>
                <w:left w:val="none" w:sz="0" w:space="0" w:color="auto"/>
                <w:bottom w:val="none" w:sz="0" w:space="0" w:color="auto"/>
                <w:right w:val="none" w:sz="0" w:space="0" w:color="auto"/>
              </w:divBdr>
            </w:div>
          </w:divsChild>
        </w:div>
        <w:div w:id="872692547">
          <w:marLeft w:val="0"/>
          <w:marRight w:val="0"/>
          <w:marTop w:val="0"/>
          <w:marBottom w:val="0"/>
          <w:divBdr>
            <w:top w:val="none" w:sz="0" w:space="0" w:color="auto"/>
            <w:left w:val="none" w:sz="0" w:space="0" w:color="auto"/>
            <w:bottom w:val="none" w:sz="0" w:space="0" w:color="auto"/>
            <w:right w:val="none" w:sz="0" w:space="0" w:color="auto"/>
          </w:divBdr>
          <w:divsChild>
            <w:div w:id="562567421">
              <w:marLeft w:val="0"/>
              <w:marRight w:val="0"/>
              <w:marTop w:val="0"/>
              <w:marBottom w:val="0"/>
              <w:divBdr>
                <w:top w:val="none" w:sz="0" w:space="0" w:color="auto"/>
                <w:left w:val="none" w:sz="0" w:space="0" w:color="auto"/>
                <w:bottom w:val="none" w:sz="0" w:space="0" w:color="auto"/>
                <w:right w:val="none" w:sz="0" w:space="0" w:color="auto"/>
              </w:divBdr>
            </w:div>
          </w:divsChild>
        </w:div>
        <w:div w:id="879711159">
          <w:marLeft w:val="0"/>
          <w:marRight w:val="0"/>
          <w:marTop w:val="0"/>
          <w:marBottom w:val="0"/>
          <w:divBdr>
            <w:top w:val="none" w:sz="0" w:space="0" w:color="auto"/>
            <w:left w:val="none" w:sz="0" w:space="0" w:color="auto"/>
            <w:bottom w:val="none" w:sz="0" w:space="0" w:color="auto"/>
            <w:right w:val="none" w:sz="0" w:space="0" w:color="auto"/>
          </w:divBdr>
          <w:divsChild>
            <w:div w:id="442069692">
              <w:marLeft w:val="0"/>
              <w:marRight w:val="0"/>
              <w:marTop w:val="0"/>
              <w:marBottom w:val="0"/>
              <w:divBdr>
                <w:top w:val="none" w:sz="0" w:space="0" w:color="auto"/>
                <w:left w:val="none" w:sz="0" w:space="0" w:color="auto"/>
                <w:bottom w:val="none" w:sz="0" w:space="0" w:color="auto"/>
                <w:right w:val="none" w:sz="0" w:space="0" w:color="auto"/>
              </w:divBdr>
            </w:div>
          </w:divsChild>
        </w:div>
        <w:div w:id="880946171">
          <w:marLeft w:val="0"/>
          <w:marRight w:val="0"/>
          <w:marTop w:val="0"/>
          <w:marBottom w:val="0"/>
          <w:divBdr>
            <w:top w:val="none" w:sz="0" w:space="0" w:color="auto"/>
            <w:left w:val="none" w:sz="0" w:space="0" w:color="auto"/>
            <w:bottom w:val="none" w:sz="0" w:space="0" w:color="auto"/>
            <w:right w:val="none" w:sz="0" w:space="0" w:color="auto"/>
          </w:divBdr>
          <w:divsChild>
            <w:div w:id="1804300677">
              <w:marLeft w:val="0"/>
              <w:marRight w:val="0"/>
              <w:marTop w:val="0"/>
              <w:marBottom w:val="0"/>
              <w:divBdr>
                <w:top w:val="none" w:sz="0" w:space="0" w:color="auto"/>
                <w:left w:val="none" w:sz="0" w:space="0" w:color="auto"/>
                <w:bottom w:val="none" w:sz="0" w:space="0" w:color="auto"/>
                <w:right w:val="none" w:sz="0" w:space="0" w:color="auto"/>
              </w:divBdr>
            </w:div>
          </w:divsChild>
        </w:div>
        <w:div w:id="881095248">
          <w:marLeft w:val="0"/>
          <w:marRight w:val="0"/>
          <w:marTop w:val="0"/>
          <w:marBottom w:val="0"/>
          <w:divBdr>
            <w:top w:val="none" w:sz="0" w:space="0" w:color="auto"/>
            <w:left w:val="none" w:sz="0" w:space="0" w:color="auto"/>
            <w:bottom w:val="none" w:sz="0" w:space="0" w:color="auto"/>
            <w:right w:val="none" w:sz="0" w:space="0" w:color="auto"/>
          </w:divBdr>
          <w:divsChild>
            <w:div w:id="1241716235">
              <w:marLeft w:val="0"/>
              <w:marRight w:val="0"/>
              <w:marTop w:val="0"/>
              <w:marBottom w:val="0"/>
              <w:divBdr>
                <w:top w:val="none" w:sz="0" w:space="0" w:color="auto"/>
                <w:left w:val="none" w:sz="0" w:space="0" w:color="auto"/>
                <w:bottom w:val="none" w:sz="0" w:space="0" w:color="auto"/>
                <w:right w:val="none" w:sz="0" w:space="0" w:color="auto"/>
              </w:divBdr>
            </w:div>
          </w:divsChild>
        </w:div>
        <w:div w:id="882137625">
          <w:marLeft w:val="0"/>
          <w:marRight w:val="0"/>
          <w:marTop w:val="0"/>
          <w:marBottom w:val="0"/>
          <w:divBdr>
            <w:top w:val="none" w:sz="0" w:space="0" w:color="auto"/>
            <w:left w:val="none" w:sz="0" w:space="0" w:color="auto"/>
            <w:bottom w:val="none" w:sz="0" w:space="0" w:color="auto"/>
            <w:right w:val="none" w:sz="0" w:space="0" w:color="auto"/>
          </w:divBdr>
          <w:divsChild>
            <w:div w:id="1185829458">
              <w:marLeft w:val="0"/>
              <w:marRight w:val="0"/>
              <w:marTop w:val="0"/>
              <w:marBottom w:val="0"/>
              <w:divBdr>
                <w:top w:val="none" w:sz="0" w:space="0" w:color="auto"/>
                <w:left w:val="none" w:sz="0" w:space="0" w:color="auto"/>
                <w:bottom w:val="none" w:sz="0" w:space="0" w:color="auto"/>
                <w:right w:val="none" w:sz="0" w:space="0" w:color="auto"/>
              </w:divBdr>
            </w:div>
          </w:divsChild>
        </w:div>
        <w:div w:id="883178069">
          <w:marLeft w:val="0"/>
          <w:marRight w:val="0"/>
          <w:marTop w:val="0"/>
          <w:marBottom w:val="0"/>
          <w:divBdr>
            <w:top w:val="none" w:sz="0" w:space="0" w:color="auto"/>
            <w:left w:val="none" w:sz="0" w:space="0" w:color="auto"/>
            <w:bottom w:val="none" w:sz="0" w:space="0" w:color="auto"/>
            <w:right w:val="none" w:sz="0" w:space="0" w:color="auto"/>
          </w:divBdr>
          <w:divsChild>
            <w:div w:id="771972814">
              <w:marLeft w:val="0"/>
              <w:marRight w:val="0"/>
              <w:marTop w:val="0"/>
              <w:marBottom w:val="0"/>
              <w:divBdr>
                <w:top w:val="none" w:sz="0" w:space="0" w:color="auto"/>
                <w:left w:val="none" w:sz="0" w:space="0" w:color="auto"/>
                <w:bottom w:val="none" w:sz="0" w:space="0" w:color="auto"/>
                <w:right w:val="none" w:sz="0" w:space="0" w:color="auto"/>
              </w:divBdr>
            </w:div>
          </w:divsChild>
        </w:div>
        <w:div w:id="883757690">
          <w:marLeft w:val="0"/>
          <w:marRight w:val="0"/>
          <w:marTop w:val="0"/>
          <w:marBottom w:val="0"/>
          <w:divBdr>
            <w:top w:val="none" w:sz="0" w:space="0" w:color="auto"/>
            <w:left w:val="none" w:sz="0" w:space="0" w:color="auto"/>
            <w:bottom w:val="none" w:sz="0" w:space="0" w:color="auto"/>
            <w:right w:val="none" w:sz="0" w:space="0" w:color="auto"/>
          </w:divBdr>
          <w:divsChild>
            <w:div w:id="258876013">
              <w:marLeft w:val="0"/>
              <w:marRight w:val="0"/>
              <w:marTop w:val="0"/>
              <w:marBottom w:val="0"/>
              <w:divBdr>
                <w:top w:val="none" w:sz="0" w:space="0" w:color="auto"/>
                <w:left w:val="none" w:sz="0" w:space="0" w:color="auto"/>
                <w:bottom w:val="none" w:sz="0" w:space="0" w:color="auto"/>
                <w:right w:val="none" w:sz="0" w:space="0" w:color="auto"/>
              </w:divBdr>
            </w:div>
          </w:divsChild>
        </w:div>
        <w:div w:id="887303430">
          <w:marLeft w:val="0"/>
          <w:marRight w:val="0"/>
          <w:marTop w:val="0"/>
          <w:marBottom w:val="0"/>
          <w:divBdr>
            <w:top w:val="none" w:sz="0" w:space="0" w:color="auto"/>
            <w:left w:val="none" w:sz="0" w:space="0" w:color="auto"/>
            <w:bottom w:val="none" w:sz="0" w:space="0" w:color="auto"/>
            <w:right w:val="none" w:sz="0" w:space="0" w:color="auto"/>
          </w:divBdr>
          <w:divsChild>
            <w:div w:id="1085496101">
              <w:marLeft w:val="0"/>
              <w:marRight w:val="0"/>
              <w:marTop w:val="0"/>
              <w:marBottom w:val="0"/>
              <w:divBdr>
                <w:top w:val="none" w:sz="0" w:space="0" w:color="auto"/>
                <w:left w:val="none" w:sz="0" w:space="0" w:color="auto"/>
                <w:bottom w:val="none" w:sz="0" w:space="0" w:color="auto"/>
                <w:right w:val="none" w:sz="0" w:space="0" w:color="auto"/>
              </w:divBdr>
            </w:div>
          </w:divsChild>
        </w:div>
        <w:div w:id="888761709">
          <w:marLeft w:val="0"/>
          <w:marRight w:val="0"/>
          <w:marTop w:val="0"/>
          <w:marBottom w:val="0"/>
          <w:divBdr>
            <w:top w:val="none" w:sz="0" w:space="0" w:color="auto"/>
            <w:left w:val="none" w:sz="0" w:space="0" w:color="auto"/>
            <w:bottom w:val="none" w:sz="0" w:space="0" w:color="auto"/>
            <w:right w:val="none" w:sz="0" w:space="0" w:color="auto"/>
          </w:divBdr>
          <w:divsChild>
            <w:div w:id="152184602">
              <w:marLeft w:val="0"/>
              <w:marRight w:val="0"/>
              <w:marTop w:val="0"/>
              <w:marBottom w:val="0"/>
              <w:divBdr>
                <w:top w:val="none" w:sz="0" w:space="0" w:color="auto"/>
                <w:left w:val="none" w:sz="0" w:space="0" w:color="auto"/>
                <w:bottom w:val="none" w:sz="0" w:space="0" w:color="auto"/>
                <w:right w:val="none" w:sz="0" w:space="0" w:color="auto"/>
              </w:divBdr>
            </w:div>
          </w:divsChild>
        </w:div>
        <w:div w:id="889000652">
          <w:marLeft w:val="0"/>
          <w:marRight w:val="0"/>
          <w:marTop w:val="0"/>
          <w:marBottom w:val="0"/>
          <w:divBdr>
            <w:top w:val="none" w:sz="0" w:space="0" w:color="auto"/>
            <w:left w:val="none" w:sz="0" w:space="0" w:color="auto"/>
            <w:bottom w:val="none" w:sz="0" w:space="0" w:color="auto"/>
            <w:right w:val="none" w:sz="0" w:space="0" w:color="auto"/>
          </w:divBdr>
          <w:divsChild>
            <w:div w:id="1893343896">
              <w:marLeft w:val="0"/>
              <w:marRight w:val="0"/>
              <w:marTop w:val="0"/>
              <w:marBottom w:val="0"/>
              <w:divBdr>
                <w:top w:val="none" w:sz="0" w:space="0" w:color="auto"/>
                <w:left w:val="none" w:sz="0" w:space="0" w:color="auto"/>
                <w:bottom w:val="none" w:sz="0" w:space="0" w:color="auto"/>
                <w:right w:val="none" w:sz="0" w:space="0" w:color="auto"/>
              </w:divBdr>
            </w:div>
          </w:divsChild>
        </w:div>
        <w:div w:id="890464436">
          <w:marLeft w:val="0"/>
          <w:marRight w:val="0"/>
          <w:marTop w:val="0"/>
          <w:marBottom w:val="0"/>
          <w:divBdr>
            <w:top w:val="none" w:sz="0" w:space="0" w:color="auto"/>
            <w:left w:val="none" w:sz="0" w:space="0" w:color="auto"/>
            <w:bottom w:val="none" w:sz="0" w:space="0" w:color="auto"/>
            <w:right w:val="none" w:sz="0" w:space="0" w:color="auto"/>
          </w:divBdr>
          <w:divsChild>
            <w:div w:id="743797019">
              <w:marLeft w:val="0"/>
              <w:marRight w:val="0"/>
              <w:marTop w:val="0"/>
              <w:marBottom w:val="0"/>
              <w:divBdr>
                <w:top w:val="none" w:sz="0" w:space="0" w:color="auto"/>
                <w:left w:val="none" w:sz="0" w:space="0" w:color="auto"/>
                <w:bottom w:val="none" w:sz="0" w:space="0" w:color="auto"/>
                <w:right w:val="none" w:sz="0" w:space="0" w:color="auto"/>
              </w:divBdr>
            </w:div>
          </w:divsChild>
        </w:div>
        <w:div w:id="897202774">
          <w:marLeft w:val="0"/>
          <w:marRight w:val="0"/>
          <w:marTop w:val="0"/>
          <w:marBottom w:val="0"/>
          <w:divBdr>
            <w:top w:val="none" w:sz="0" w:space="0" w:color="auto"/>
            <w:left w:val="none" w:sz="0" w:space="0" w:color="auto"/>
            <w:bottom w:val="none" w:sz="0" w:space="0" w:color="auto"/>
            <w:right w:val="none" w:sz="0" w:space="0" w:color="auto"/>
          </w:divBdr>
          <w:divsChild>
            <w:div w:id="1464620426">
              <w:marLeft w:val="0"/>
              <w:marRight w:val="0"/>
              <w:marTop w:val="0"/>
              <w:marBottom w:val="0"/>
              <w:divBdr>
                <w:top w:val="none" w:sz="0" w:space="0" w:color="auto"/>
                <w:left w:val="none" w:sz="0" w:space="0" w:color="auto"/>
                <w:bottom w:val="none" w:sz="0" w:space="0" w:color="auto"/>
                <w:right w:val="none" w:sz="0" w:space="0" w:color="auto"/>
              </w:divBdr>
            </w:div>
          </w:divsChild>
        </w:div>
        <w:div w:id="898438246">
          <w:marLeft w:val="0"/>
          <w:marRight w:val="0"/>
          <w:marTop w:val="0"/>
          <w:marBottom w:val="0"/>
          <w:divBdr>
            <w:top w:val="none" w:sz="0" w:space="0" w:color="auto"/>
            <w:left w:val="none" w:sz="0" w:space="0" w:color="auto"/>
            <w:bottom w:val="none" w:sz="0" w:space="0" w:color="auto"/>
            <w:right w:val="none" w:sz="0" w:space="0" w:color="auto"/>
          </w:divBdr>
          <w:divsChild>
            <w:div w:id="1787044804">
              <w:marLeft w:val="0"/>
              <w:marRight w:val="0"/>
              <w:marTop w:val="0"/>
              <w:marBottom w:val="0"/>
              <w:divBdr>
                <w:top w:val="none" w:sz="0" w:space="0" w:color="auto"/>
                <w:left w:val="none" w:sz="0" w:space="0" w:color="auto"/>
                <w:bottom w:val="none" w:sz="0" w:space="0" w:color="auto"/>
                <w:right w:val="none" w:sz="0" w:space="0" w:color="auto"/>
              </w:divBdr>
            </w:div>
          </w:divsChild>
        </w:div>
        <w:div w:id="898857079">
          <w:marLeft w:val="0"/>
          <w:marRight w:val="0"/>
          <w:marTop w:val="0"/>
          <w:marBottom w:val="0"/>
          <w:divBdr>
            <w:top w:val="none" w:sz="0" w:space="0" w:color="auto"/>
            <w:left w:val="none" w:sz="0" w:space="0" w:color="auto"/>
            <w:bottom w:val="none" w:sz="0" w:space="0" w:color="auto"/>
            <w:right w:val="none" w:sz="0" w:space="0" w:color="auto"/>
          </w:divBdr>
          <w:divsChild>
            <w:div w:id="1544947420">
              <w:marLeft w:val="0"/>
              <w:marRight w:val="0"/>
              <w:marTop w:val="0"/>
              <w:marBottom w:val="0"/>
              <w:divBdr>
                <w:top w:val="none" w:sz="0" w:space="0" w:color="auto"/>
                <w:left w:val="none" w:sz="0" w:space="0" w:color="auto"/>
                <w:bottom w:val="none" w:sz="0" w:space="0" w:color="auto"/>
                <w:right w:val="none" w:sz="0" w:space="0" w:color="auto"/>
              </w:divBdr>
            </w:div>
          </w:divsChild>
        </w:div>
        <w:div w:id="902105691">
          <w:marLeft w:val="0"/>
          <w:marRight w:val="0"/>
          <w:marTop w:val="0"/>
          <w:marBottom w:val="0"/>
          <w:divBdr>
            <w:top w:val="none" w:sz="0" w:space="0" w:color="auto"/>
            <w:left w:val="none" w:sz="0" w:space="0" w:color="auto"/>
            <w:bottom w:val="none" w:sz="0" w:space="0" w:color="auto"/>
            <w:right w:val="none" w:sz="0" w:space="0" w:color="auto"/>
          </w:divBdr>
          <w:divsChild>
            <w:div w:id="591934532">
              <w:marLeft w:val="0"/>
              <w:marRight w:val="0"/>
              <w:marTop w:val="0"/>
              <w:marBottom w:val="0"/>
              <w:divBdr>
                <w:top w:val="none" w:sz="0" w:space="0" w:color="auto"/>
                <w:left w:val="none" w:sz="0" w:space="0" w:color="auto"/>
                <w:bottom w:val="none" w:sz="0" w:space="0" w:color="auto"/>
                <w:right w:val="none" w:sz="0" w:space="0" w:color="auto"/>
              </w:divBdr>
            </w:div>
          </w:divsChild>
        </w:div>
        <w:div w:id="908617092">
          <w:marLeft w:val="0"/>
          <w:marRight w:val="0"/>
          <w:marTop w:val="0"/>
          <w:marBottom w:val="0"/>
          <w:divBdr>
            <w:top w:val="none" w:sz="0" w:space="0" w:color="auto"/>
            <w:left w:val="none" w:sz="0" w:space="0" w:color="auto"/>
            <w:bottom w:val="none" w:sz="0" w:space="0" w:color="auto"/>
            <w:right w:val="none" w:sz="0" w:space="0" w:color="auto"/>
          </w:divBdr>
          <w:divsChild>
            <w:div w:id="290330523">
              <w:marLeft w:val="0"/>
              <w:marRight w:val="0"/>
              <w:marTop w:val="0"/>
              <w:marBottom w:val="0"/>
              <w:divBdr>
                <w:top w:val="none" w:sz="0" w:space="0" w:color="auto"/>
                <w:left w:val="none" w:sz="0" w:space="0" w:color="auto"/>
                <w:bottom w:val="none" w:sz="0" w:space="0" w:color="auto"/>
                <w:right w:val="none" w:sz="0" w:space="0" w:color="auto"/>
              </w:divBdr>
            </w:div>
          </w:divsChild>
        </w:div>
        <w:div w:id="913123681">
          <w:marLeft w:val="0"/>
          <w:marRight w:val="0"/>
          <w:marTop w:val="0"/>
          <w:marBottom w:val="0"/>
          <w:divBdr>
            <w:top w:val="none" w:sz="0" w:space="0" w:color="auto"/>
            <w:left w:val="none" w:sz="0" w:space="0" w:color="auto"/>
            <w:bottom w:val="none" w:sz="0" w:space="0" w:color="auto"/>
            <w:right w:val="none" w:sz="0" w:space="0" w:color="auto"/>
          </w:divBdr>
          <w:divsChild>
            <w:div w:id="1044214153">
              <w:marLeft w:val="0"/>
              <w:marRight w:val="0"/>
              <w:marTop w:val="0"/>
              <w:marBottom w:val="0"/>
              <w:divBdr>
                <w:top w:val="none" w:sz="0" w:space="0" w:color="auto"/>
                <w:left w:val="none" w:sz="0" w:space="0" w:color="auto"/>
                <w:bottom w:val="none" w:sz="0" w:space="0" w:color="auto"/>
                <w:right w:val="none" w:sz="0" w:space="0" w:color="auto"/>
              </w:divBdr>
            </w:div>
          </w:divsChild>
        </w:div>
        <w:div w:id="920794849">
          <w:marLeft w:val="0"/>
          <w:marRight w:val="0"/>
          <w:marTop w:val="0"/>
          <w:marBottom w:val="0"/>
          <w:divBdr>
            <w:top w:val="none" w:sz="0" w:space="0" w:color="auto"/>
            <w:left w:val="none" w:sz="0" w:space="0" w:color="auto"/>
            <w:bottom w:val="none" w:sz="0" w:space="0" w:color="auto"/>
            <w:right w:val="none" w:sz="0" w:space="0" w:color="auto"/>
          </w:divBdr>
          <w:divsChild>
            <w:div w:id="1934626598">
              <w:marLeft w:val="0"/>
              <w:marRight w:val="0"/>
              <w:marTop w:val="0"/>
              <w:marBottom w:val="0"/>
              <w:divBdr>
                <w:top w:val="none" w:sz="0" w:space="0" w:color="auto"/>
                <w:left w:val="none" w:sz="0" w:space="0" w:color="auto"/>
                <w:bottom w:val="none" w:sz="0" w:space="0" w:color="auto"/>
                <w:right w:val="none" w:sz="0" w:space="0" w:color="auto"/>
              </w:divBdr>
            </w:div>
          </w:divsChild>
        </w:div>
        <w:div w:id="923799286">
          <w:marLeft w:val="0"/>
          <w:marRight w:val="0"/>
          <w:marTop w:val="0"/>
          <w:marBottom w:val="0"/>
          <w:divBdr>
            <w:top w:val="none" w:sz="0" w:space="0" w:color="auto"/>
            <w:left w:val="none" w:sz="0" w:space="0" w:color="auto"/>
            <w:bottom w:val="none" w:sz="0" w:space="0" w:color="auto"/>
            <w:right w:val="none" w:sz="0" w:space="0" w:color="auto"/>
          </w:divBdr>
          <w:divsChild>
            <w:div w:id="1610622149">
              <w:marLeft w:val="0"/>
              <w:marRight w:val="0"/>
              <w:marTop w:val="0"/>
              <w:marBottom w:val="0"/>
              <w:divBdr>
                <w:top w:val="none" w:sz="0" w:space="0" w:color="auto"/>
                <w:left w:val="none" w:sz="0" w:space="0" w:color="auto"/>
                <w:bottom w:val="none" w:sz="0" w:space="0" w:color="auto"/>
                <w:right w:val="none" w:sz="0" w:space="0" w:color="auto"/>
              </w:divBdr>
            </w:div>
          </w:divsChild>
        </w:div>
        <w:div w:id="926187379">
          <w:marLeft w:val="0"/>
          <w:marRight w:val="0"/>
          <w:marTop w:val="0"/>
          <w:marBottom w:val="0"/>
          <w:divBdr>
            <w:top w:val="none" w:sz="0" w:space="0" w:color="auto"/>
            <w:left w:val="none" w:sz="0" w:space="0" w:color="auto"/>
            <w:bottom w:val="none" w:sz="0" w:space="0" w:color="auto"/>
            <w:right w:val="none" w:sz="0" w:space="0" w:color="auto"/>
          </w:divBdr>
          <w:divsChild>
            <w:div w:id="1152719688">
              <w:marLeft w:val="0"/>
              <w:marRight w:val="0"/>
              <w:marTop w:val="0"/>
              <w:marBottom w:val="0"/>
              <w:divBdr>
                <w:top w:val="none" w:sz="0" w:space="0" w:color="auto"/>
                <w:left w:val="none" w:sz="0" w:space="0" w:color="auto"/>
                <w:bottom w:val="none" w:sz="0" w:space="0" w:color="auto"/>
                <w:right w:val="none" w:sz="0" w:space="0" w:color="auto"/>
              </w:divBdr>
            </w:div>
          </w:divsChild>
        </w:div>
        <w:div w:id="929389451">
          <w:marLeft w:val="0"/>
          <w:marRight w:val="0"/>
          <w:marTop w:val="0"/>
          <w:marBottom w:val="0"/>
          <w:divBdr>
            <w:top w:val="none" w:sz="0" w:space="0" w:color="auto"/>
            <w:left w:val="none" w:sz="0" w:space="0" w:color="auto"/>
            <w:bottom w:val="none" w:sz="0" w:space="0" w:color="auto"/>
            <w:right w:val="none" w:sz="0" w:space="0" w:color="auto"/>
          </w:divBdr>
          <w:divsChild>
            <w:div w:id="1451820724">
              <w:marLeft w:val="0"/>
              <w:marRight w:val="0"/>
              <w:marTop w:val="0"/>
              <w:marBottom w:val="0"/>
              <w:divBdr>
                <w:top w:val="none" w:sz="0" w:space="0" w:color="auto"/>
                <w:left w:val="none" w:sz="0" w:space="0" w:color="auto"/>
                <w:bottom w:val="none" w:sz="0" w:space="0" w:color="auto"/>
                <w:right w:val="none" w:sz="0" w:space="0" w:color="auto"/>
              </w:divBdr>
            </w:div>
          </w:divsChild>
        </w:div>
        <w:div w:id="935135270">
          <w:marLeft w:val="0"/>
          <w:marRight w:val="0"/>
          <w:marTop w:val="0"/>
          <w:marBottom w:val="0"/>
          <w:divBdr>
            <w:top w:val="none" w:sz="0" w:space="0" w:color="auto"/>
            <w:left w:val="none" w:sz="0" w:space="0" w:color="auto"/>
            <w:bottom w:val="none" w:sz="0" w:space="0" w:color="auto"/>
            <w:right w:val="none" w:sz="0" w:space="0" w:color="auto"/>
          </w:divBdr>
          <w:divsChild>
            <w:div w:id="2009820886">
              <w:marLeft w:val="0"/>
              <w:marRight w:val="0"/>
              <w:marTop w:val="0"/>
              <w:marBottom w:val="0"/>
              <w:divBdr>
                <w:top w:val="none" w:sz="0" w:space="0" w:color="auto"/>
                <w:left w:val="none" w:sz="0" w:space="0" w:color="auto"/>
                <w:bottom w:val="none" w:sz="0" w:space="0" w:color="auto"/>
                <w:right w:val="none" w:sz="0" w:space="0" w:color="auto"/>
              </w:divBdr>
            </w:div>
          </w:divsChild>
        </w:div>
        <w:div w:id="944461593">
          <w:marLeft w:val="0"/>
          <w:marRight w:val="0"/>
          <w:marTop w:val="0"/>
          <w:marBottom w:val="0"/>
          <w:divBdr>
            <w:top w:val="none" w:sz="0" w:space="0" w:color="auto"/>
            <w:left w:val="none" w:sz="0" w:space="0" w:color="auto"/>
            <w:bottom w:val="none" w:sz="0" w:space="0" w:color="auto"/>
            <w:right w:val="none" w:sz="0" w:space="0" w:color="auto"/>
          </w:divBdr>
          <w:divsChild>
            <w:div w:id="160240516">
              <w:marLeft w:val="0"/>
              <w:marRight w:val="0"/>
              <w:marTop w:val="0"/>
              <w:marBottom w:val="0"/>
              <w:divBdr>
                <w:top w:val="none" w:sz="0" w:space="0" w:color="auto"/>
                <w:left w:val="none" w:sz="0" w:space="0" w:color="auto"/>
                <w:bottom w:val="none" w:sz="0" w:space="0" w:color="auto"/>
                <w:right w:val="none" w:sz="0" w:space="0" w:color="auto"/>
              </w:divBdr>
            </w:div>
          </w:divsChild>
        </w:div>
        <w:div w:id="951204001">
          <w:marLeft w:val="0"/>
          <w:marRight w:val="0"/>
          <w:marTop w:val="0"/>
          <w:marBottom w:val="0"/>
          <w:divBdr>
            <w:top w:val="none" w:sz="0" w:space="0" w:color="auto"/>
            <w:left w:val="none" w:sz="0" w:space="0" w:color="auto"/>
            <w:bottom w:val="none" w:sz="0" w:space="0" w:color="auto"/>
            <w:right w:val="none" w:sz="0" w:space="0" w:color="auto"/>
          </w:divBdr>
          <w:divsChild>
            <w:div w:id="1263031654">
              <w:marLeft w:val="0"/>
              <w:marRight w:val="0"/>
              <w:marTop w:val="0"/>
              <w:marBottom w:val="0"/>
              <w:divBdr>
                <w:top w:val="none" w:sz="0" w:space="0" w:color="auto"/>
                <w:left w:val="none" w:sz="0" w:space="0" w:color="auto"/>
                <w:bottom w:val="none" w:sz="0" w:space="0" w:color="auto"/>
                <w:right w:val="none" w:sz="0" w:space="0" w:color="auto"/>
              </w:divBdr>
            </w:div>
          </w:divsChild>
        </w:div>
        <w:div w:id="957226882">
          <w:marLeft w:val="0"/>
          <w:marRight w:val="0"/>
          <w:marTop w:val="0"/>
          <w:marBottom w:val="0"/>
          <w:divBdr>
            <w:top w:val="none" w:sz="0" w:space="0" w:color="auto"/>
            <w:left w:val="none" w:sz="0" w:space="0" w:color="auto"/>
            <w:bottom w:val="none" w:sz="0" w:space="0" w:color="auto"/>
            <w:right w:val="none" w:sz="0" w:space="0" w:color="auto"/>
          </w:divBdr>
          <w:divsChild>
            <w:div w:id="1673334770">
              <w:marLeft w:val="0"/>
              <w:marRight w:val="0"/>
              <w:marTop w:val="0"/>
              <w:marBottom w:val="0"/>
              <w:divBdr>
                <w:top w:val="none" w:sz="0" w:space="0" w:color="auto"/>
                <w:left w:val="none" w:sz="0" w:space="0" w:color="auto"/>
                <w:bottom w:val="none" w:sz="0" w:space="0" w:color="auto"/>
                <w:right w:val="none" w:sz="0" w:space="0" w:color="auto"/>
              </w:divBdr>
            </w:div>
          </w:divsChild>
        </w:div>
        <w:div w:id="970474888">
          <w:marLeft w:val="0"/>
          <w:marRight w:val="0"/>
          <w:marTop w:val="0"/>
          <w:marBottom w:val="0"/>
          <w:divBdr>
            <w:top w:val="none" w:sz="0" w:space="0" w:color="auto"/>
            <w:left w:val="none" w:sz="0" w:space="0" w:color="auto"/>
            <w:bottom w:val="none" w:sz="0" w:space="0" w:color="auto"/>
            <w:right w:val="none" w:sz="0" w:space="0" w:color="auto"/>
          </w:divBdr>
          <w:divsChild>
            <w:div w:id="1993556634">
              <w:marLeft w:val="0"/>
              <w:marRight w:val="0"/>
              <w:marTop w:val="0"/>
              <w:marBottom w:val="0"/>
              <w:divBdr>
                <w:top w:val="none" w:sz="0" w:space="0" w:color="auto"/>
                <w:left w:val="none" w:sz="0" w:space="0" w:color="auto"/>
                <w:bottom w:val="none" w:sz="0" w:space="0" w:color="auto"/>
                <w:right w:val="none" w:sz="0" w:space="0" w:color="auto"/>
              </w:divBdr>
            </w:div>
          </w:divsChild>
        </w:div>
        <w:div w:id="990907962">
          <w:marLeft w:val="0"/>
          <w:marRight w:val="0"/>
          <w:marTop w:val="0"/>
          <w:marBottom w:val="0"/>
          <w:divBdr>
            <w:top w:val="none" w:sz="0" w:space="0" w:color="auto"/>
            <w:left w:val="none" w:sz="0" w:space="0" w:color="auto"/>
            <w:bottom w:val="none" w:sz="0" w:space="0" w:color="auto"/>
            <w:right w:val="none" w:sz="0" w:space="0" w:color="auto"/>
          </w:divBdr>
          <w:divsChild>
            <w:div w:id="1499076638">
              <w:marLeft w:val="0"/>
              <w:marRight w:val="0"/>
              <w:marTop w:val="0"/>
              <w:marBottom w:val="0"/>
              <w:divBdr>
                <w:top w:val="none" w:sz="0" w:space="0" w:color="auto"/>
                <w:left w:val="none" w:sz="0" w:space="0" w:color="auto"/>
                <w:bottom w:val="none" w:sz="0" w:space="0" w:color="auto"/>
                <w:right w:val="none" w:sz="0" w:space="0" w:color="auto"/>
              </w:divBdr>
            </w:div>
          </w:divsChild>
        </w:div>
        <w:div w:id="997347596">
          <w:marLeft w:val="0"/>
          <w:marRight w:val="0"/>
          <w:marTop w:val="0"/>
          <w:marBottom w:val="0"/>
          <w:divBdr>
            <w:top w:val="none" w:sz="0" w:space="0" w:color="auto"/>
            <w:left w:val="none" w:sz="0" w:space="0" w:color="auto"/>
            <w:bottom w:val="none" w:sz="0" w:space="0" w:color="auto"/>
            <w:right w:val="none" w:sz="0" w:space="0" w:color="auto"/>
          </w:divBdr>
          <w:divsChild>
            <w:div w:id="815997629">
              <w:marLeft w:val="0"/>
              <w:marRight w:val="0"/>
              <w:marTop w:val="0"/>
              <w:marBottom w:val="0"/>
              <w:divBdr>
                <w:top w:val="none" w:sz="0" w:space="0" w:color="auto"/>
                <w:left w:val="none" w:sz="0" w:space="0" w:color="auto"/>
                <w:bottom w:val="none" w:sz="0" w:space="0" w:color="auto"/>
                <w:right w:val="none" w:sz="0" w:space="0" w:color="auto"/>
              </w:divBdr>
            </w:div>
          </w:divsChild>
        </w:div>
        <w:div w:id="998457660">
          <w:marLeft w:val="0"/>
          <w:marRight w:val="0"/>
          <w:marTop w:val="0"/>
          <w:marBottom w:val="0"/>
          <w:divBdr>
            <w:top w:val="none" w:sz="0" w:space="0" w:color="auto"/>
            <w:left w:val="none" w:sz="0" w:space="0" w:color="auto"/>
            <w:bottom w:val="none" w:sz="0" w:space="0" w:color="auto"/>
            <w:right w:val="none" w:sz="0" w:space="0" w:color="auto"/>
          </w:divBdr>
          <w:divsChild>
            <w:div w:id="1982271437">
              <w:marLeft w:val="0"/>
              <w:marRight w:val="0"/>
              <w:marTop w:val="0"/>
              <w:marBottom w:val="0"/>
              <w:divBdr>
                <w:top w:val="none" w:sz="0" w:space="0" w:color="auto"/>
                <w:left w:val="none" w:sz="0" w:space="0" w:color="auto"/>
                <w:bottom w:val="none" w:sz="0" w:space="0" w:color="auto"/>
                <w:right w:val="none" w:sz="0" w:space="0" w:color="auto"/>
              </w:divBdr>
            </w:div>
          </w:divsChild>
        </w:div>
        <w:div w:id="1002971878">
          <w:marLeft w:val="0"/>
          <w:marRight w:val="0"/>
          <w:marTop w:val="0"/>
          <w:marBottom w:val="0"/>
          <w:divBdr>
            <w:top w:val="none" w:sz="0" w:space="0" w:color="auto"/>
            <w:left w:val="none" w:sz="0" w:space="0" w:color="auto"/>
            <w:bottom w:val="none" w:sz="0" w:space="0" w:color="auto"/>
            <w:right w:val="none" w:sz="0" w:space="0" w:color="auto"/>
          </w:divBdr>
          <w:divsChild>
            <w:div w:id="238636976">
              <w:marLeft w:val="0"/>
              <w:marRight w:val="0"/>
              <w:marTop w:val="0"/>
              <w:marBottom w:val="0"/>
              <w:divBdr>
                <w:top w:val="none" w:sz="0" w:space="0" w:color="auto"/>
                <w:left w:val="none" w:sz="0" w:space="0" w:color="auto"/>
                <w:bottom w:val="none" w:sz="0" w:space="0" w:color="auto"/>
                <w:right w:val="none" w:sz="0" w:space="0" w:color="auto"/>
              </w:divBdr>
            </w:div>
          </w:divsChild>
        </w:div>
        <w:div w:id="1006249343">
          <w:marLeft w:val="0"/>
          <w:marRight w:val="0"/>
          <w:marTop w:val="0"/>
          <w:marBottom w:val="0"/>
          <w:divBdr>
            <w:top w:val="none" w:sz="0" w:space="0" w:color="auto"/>
            <w:left w:val="none" w:sz="0" w:space="0" w:color="auto"/>
            <w:bottom w:val="none" w:sz="0" w:space="0" w:color="auto"/>
            <w:right w:val="none" w:sz="0" w:space="0" w:color="auto"/>
          </w:divBdr>
          <w:divsChild>
            <w:div w:id="315384076">
              <w:marLeft w:val="0"/>
              <w:marRight w:val="0"/>
              <w:marTop w:val="0"/>
              <w:marBottom w:val="0"/>
              <w:divBdr>
                <w:top w:val="none" w:sz="0" w:space="0" w:color="auto"/>
                <w:left w:val="none" w:sz="0" w:space="0" w:color="auto"/>
                <w:bottom w:val="none" w:sz="0" w:space="0" w:color="auto"/>
                <w:right w:val="none" w:sz="0" w:space="0" w:color="auto"/>
              </w:divBdr>
            </w:div>
          </w:divsChild>
        </w:div>
        <w:div w:id="1006251105">
          <w:marLeft w:val="0"/>
          <w:marRight w:val="0"/>
          <w:marTop w:val="0"/>
          <w:marBottom w:val="0"/>
          <w:divBdr>
            <w:top w:val="none" w:sz="0" w:space="0" w:color="auto"/>
            <w:left w:val="none" w:sz="0" w:space="0" w:color="auto"/>
            <w:bottom w:val="none" w:sz="0" w:space="0" w:color="auto"/>
            <w:right w:val="none" w:sz="0" w:space="0" w:color="auto"/>
          </w:divBdr>
          <w:divsChild>
            <w:div w:id="1799838211">
              <w:marLeft w:val="0"/>
              <w:marRight w:val="0"/>
              <w:marTop w:val="0"/>
              <w:marBottom w:val="0"/>
              <w:divBdr>
                <w:top w:val="none" w:sz="0" w:space="0" w:color="auto"/>
                <w:left w:val="none" w:sz="0" w:space="0" w:color="auto"/>
                <w:bottom w:val="none" w:sz="0" w:space="0" w:color="auto"/>
                <w:right w:val="none" w:sz="0" w:space="0" w:color="auto"/>
              </w:divBdr>
            </w:div>
          </w:divsChild>
        </w:div>
        <w:div w:id="1008211587">
          <w:marLeft w:val="0"/>
          <w:marRight w:val="0"/>
          <w:marTop w:val="0"/>
          <w:marBottom w:val="0"/>
          <w:divBdr>
            <w:top w:val="none" w:sz="0" w:space="0" w:color="auto"/>
            <w:left w:val="none" w:sz="0" w:space="0" w:color="auto"/>
            <w:bottom w:val="none" w:sz="0" w:space="0" w:color="auto"/>
            <w:right w:val="none" w:sz="0" w:space="0" w:color="auto"/>
          </w:divBdr>
          <w:divsChild>
            <w:div w:id="562330951">
              <w:marLeft w:val="0"/>
              <w:marRight w:val="0"/>
              <w:marTop w:val="0"/>
              <w:marBottom w:val="0"/>
              <w:divBdr>
                <w:top w:val="none" w:sz="0" w:space="0" w:color="auto"/>
                <w:left w:val="none" w:sz="0" w:space="0" w:color="auto"/>
                <w:bottom w:val="none" w:sz="0" w:space="0" w:color="auto"/>
                <w:right w:val="none" w:sz="0" w:space="0" w:color="auto"/>
              </w:divBdr>
            </w:div>
          </w:divsChild>
        </w:div>
        <w:div w:id="1018237274">
          <w:marLeft w:val="0"/>
          <w:marRight w:val="0"/>
          <w:marTop w:val="0"/>
          <w:marBottom w:val="0"/>
          <w:divBdr>
            <w:top w:val="none" w:sz="0" w:space="0" w:color="auto"/>
            <w:left w:val="none" w:sz="0" w:space="0" w:color="auto"/>
            <w:bottom w:val="none" w:sz="0" w:space="0" w:color="auto"/>
            <w:right w:val="none" w:sz="0" w:space="0" w:color="auto"/>
          </w:divBdr>
          <w:divsChild>
            <w:div w:id="1290933698">
              <w:marLeft w:val="0"/>
              <w:marRight w:val="0"/>
              <w:marTop w:val="0"/>
              <w:marBottom w:val="0"/>
              <w:divBdr>
                <w:top w:val="none" w:sz="0" w:space="0" w:color="auto"/>
                <w:left w:val="none" w:sz="0" w:space="0" w:color="auto"/>
                <w:bottom w:val="none" w:sz="0" w:space="0" w:color="auto"/>
                <w:right w:val="none" w:sz="0" w:space="0" w:color="auto"/>
              </w:divBdr>
            </w:div>
          </w:divsChild>
        </w:div>
        <w:div w:id="1018699150">
          <w:marLeft w:val="0"/>
          <w:marRight w:val="0"/>
          <w:marTop w:val="0"/>
          <w:marBottom w:val="0"/>
          <w:divBdr>
            <w:top w:val="none" w:sz="0" w:space="0" w:color="auto"/>
            <w:left w:val="none" w:sz="0" w:space="0" w:color="auto"/>
            <w:bottom w:val="none" w:sz="0" w:space="0" w:color="auto"/>
            <w:right w:val="none" w:sz="0" w:space="0" w:color="auto"/>
          </w:divBdr>
          <w:divsChild>
            <w:div w:id="768820203">
              <w:marLeft w:val="0"/>
              <w:marRight w:val="0"/>
              <w:marTop w:val="0"/>
              <w:marBottom w:val="0"/>
              <w:divBdr>
                <w:top w:val="none" w:sz="0" w:space="0" w:color="auto"/>
                <w:left w:val="none" w:sz="0" w:space="0" w:color="auto"/>
                <w:bottom w:val="none" w:sz="0" w:space="0" w:color="auto"/>
                <w:right w:val="none" w:sz="0" w:space="0" w:color="auto"/>
              </w:divBdr>
            </w:div>
          </w:divsChild>
        </w:div>
        <w:div w:id="1020281153">
          <w:marLeft w:val="0"/>
          <w:marRight w:val="0"/>
          <w:marTop w:val="0"/>
          <w:marBottom w:val="0"/>
          <w:divBdr>
            <w:top w:val="none" w:sz="0" w:space="0" w:color="auto"/>
            <w:left w:val="none" w:sz="0" w:space="0" w:color="auto"/>
            <w:bottom w:val="none" w:sz="0" w:space="0" w:color="auto"/>
            <w:right w:val="none" w:sz="0" w:space="0" w:color="auto"/>
          </w:divBdr>
          <w:divsChild>
            <w:div w:id="77216040">
              <w:marLeft w:val="0"/>
              <w:marRight w:val="0"/>
              <w:marTop w:val="0"/>
              <w:marBottom w:val="0"/>
              <w:divBdr>
                <w:top w:val="none" w:sz="0" w:space="0" w:color="auto"/>
                <w:left w:val="none" w:sz="0" w:space="0" w:color="auto"/>
                <w:bottom w:val="none" w:sz="0" w:space="0" w:color="auto"/>
                <w:right w:val="none" w:sz="0" w:space="0" w:color="auto"/>
              </w:divBdr>
            </w:div>
          </w:divsChild>
        </w:div>
        <w:div w:id="1020929354">
          <w:marLeft w:val="0"/>
          <w:marRight w:val="0"/>
          <w:marTop w:val="0"/>
          <w:marBottom w:val="0"/>
          <w:divBdr>
            <w:top w:val="none" w:sz="0" w:space="0" w:color="auto"/>
            <w:left w:val="none" w:sz="0" w:space="0" w:color="auto"/>
            <w:bottom w:val="none" w:sz="0" w:space="0" w:color="auto"/>
            <w:right w:val="none" w:sz="0" w:space="0" w:color="auto"/>
          </w:divBdr>
          <w:divsChild>
            <w:div w:id="404570555">
              <w:marLeft w:val="0"/>
              <w:marRight w:val="0"/>
              <w:marTop w:val="0"/>
              <w:marBottom w:val="0"/>
              <w:divBdr>
                <w:top w:val="none" w:sz="0" w:space="0" w:color="auto"/>
                <w:left w:val="none" w:sz="0" w:space="0" w:color="auto"/>
                <w:bottom w:val="none" w:sz="0" w:space="0" w:color="auto"/>
                <w:right w:val="none" w:sz="0" w:space="0" w:color="auto"/>
              </w:divBdr>
            </w:div>
          </w:divsChild>
        </w:div>
        <w:div w:id="1025787125">
          <w:marLeft w:val="0"/>
          <w:marRight w:val="0"/>
          <w:marTop w:val="0"/>
          <w:marBottom w:val="0"/>
          <w:divBdr>
            <w:top w:val="none" w:sz="0" w:space="0" w:color="auto"/>
            <w:left w:val="none" w:sz="0" w:space="0" w:color="auto"/>
            <w:bottom w:val="none" w:sz="0" w:space="0" w:color="auto"/>
            <w:right w:val="none" w:sz="0" w:space="0" w:color="auto"/>
          </w:divBdr>
          <w:divsChild>
            <w:div w:id="527370906">
              <w:marLeft w:val="0"/>
              <w:marRight w:val="0"/>
              <w:marTop w:val="0"/>
              <w:marBottom w:val="0"/>
              <w:divBdr>
                <w:top w:val="none" w:sz="0" w:space="0" w:color="auto"/>
                <w:left w:val="none" w:sz="0" w:space="0" w:color="auto"/>
                <w:bottom w:val="none" w:sz="0" w:space="0" w:color="auto"/>
                <w:right w:val="none" w:sz="0" w:space="0" w:color="auto"/>
              </w:divBdr>
            </w:div>
          </w:divsChild>
        </w:div>
        <w:div w:id="1027175912">
          <w:marLeft w:val="0"/>
          <w:marRight w:val="0"/>
          <w:marTop w:val="0"/>
          <w:marBottom w:val="0"/>
          <w:divBdr>
            <w:top w:val="none" w:sz="0" w:space="0" w:color="auto"/>
            <w:left w:val="none" w:sz="0" w:space="0" w:color="auto"/>
            <w:bottom w:val="none" w:sz="0" w:space="0" w:color="auto"/>
            <w:right w:val="none" w:sz="0" w:space="0" w:color="auto"/>
          </w:divBdr>
          <w:divsChild>
            <w:div w:id="1040087794">
              <w:marLeft w:val="0"/>
              <w:marRight w:val="0"/>
              <w:marTop w:val="0"/>
              <w:marBottom w:val="0"/>
              <w:divBdr>
                <w:top w:val="none" w:sz="0" w:space="0" w:color="auto"/>
                <w:left w:val="none" w:sz="0" w:space="0" w:color="auto"/>
                <w:bottom w:val="none" w:sz="0" w:space="0" w:color="auto"/>
                <w:right w:val="none" w:sz="0" w:space="0" w:color="auto"/>
              </w:divBdr>
            </w:div>
          </w:divsChild>
        </w:div>
        <w:div w:id="1030453942">
          <w:marLeft w:val="0"/>
          <w:marRight w:val="0"/>
          <w:marTop w:val="0"/>
          <w:marBottom w:val="0"/>
          <w:divBdr>
            <w:top w:val="none" w:sz="0" w:space="0" w:color="auto"/>
            <w:left w:val="none" w:sz="0" w:space="0" w:color="auto"/>
            <w:bottom w:val="none" w:sz="0" w:space="0" w:color="auto"/>
            <w:right w:val="none" w:sz="0" w:space="0" w:color="auto"/>
          </w:divBdr>
          <w:divsChild>
            <w:div w:id="2071346799">
              <w:marLeft w:val="0"/>
              <w:marRight w:val="0"/>
              <w:marTop w:val="0"/>
              <w:marBottom w:val="0"/>
              <w:divBdr>
                <w:top w:val="none" w:sz="0" w:space="0" w:color="auto"/>
                <w:left w:val="none" w:sz="0" w:space="0" w:color="auto"/>
                <w:bottom w:val="none" w:sz="0" w:space="0" w:color="auto"/>
                <w:right w:val="none" w:sz="0" w:space="0" w:color="auto"/>
              </w:divBdr>
            </w:div>
          </w:divsChild>
        </w:div>
        <w:div w:id="1031151830">
          <w:marLeft w:val="0"/>
          <w:marRight w:val="0"/>
          <w:marTop w:val="0"/>
          <w:marBottom w:val="0"/>
          <w:divBdr>
            <w:top w:val="none" w:sz="0" w:space="0" w:color="auto"/>
            <w:left w:val="none" w:sz="0" w:space="0" w:color="auto"/>
            <w:bottom w:val="none" w:sz="0" w:space="0" w:color="auto"/>
            <w:right w:val="none" w:sz="0" w:space="0" w:color="auto"/>
          </w:divBdr>
          <w:divsChild>
            <w:div w:id="1335763245">
              <w:marLeft w:val="0"/>
              <w:marRight w:val="0"/>
              <w:marTop w:val="0"/>
              <w:marBottom w:val="0"/>
              <w:divBdr>
                <w:top w:val="none" w:sz="0" w:space="0" w:color="auto"/>
                <w:left w:val="none" w:sz="0" w:space="0" w:color="auto"/>
                <w:bottom w:val="none" w:sz="0" w:space="0" w:color="auto"/>
                <w:right w:val="none" w:sz="0" w:space="0" w:color="auto"/>
              </w:divBdr>
            </w:div>
          </w:divsChild>
        </w:div>
        <w:div w:id="1035010301">
          <w:marLeft w:val="0"/>
          <w:marRight w:val="0"/>
          <w:marTop w:val="0"/>
          <w:marBottom w:val="0"/>
          <w:divBdr>
            <w:top w:val="none" w:sz="0" w:space="0" w:color="auto"/>
            <w:left w:val="none" w:sz="0" w:space="0" w:color="auto"/>
            <w:bottom w:val="none" w:sz="0" w:space="0" w:color="auto"/>
            <w:right w:val="none" w:sz="0" w:space="0" w:color="auto"/>
          </w:divBdr>
          <w:divsChild>
            <w:div w:id="625240914">
              <w:marLeft w:val="0"/>
              <w:marRight w:val="0"/>
              <w:marTop w:val="0"/>
              <w:marBottom w:val="0"/>
              <w:divBdr>
                <w:top w:val="none" w:sz="0" w:space="0" w:color="auto"/>
                <w:left w:val="none" w:sz="0" w:space="0" w:color="auto"/>
                <w:bottom w:val="none" w:sz="0" w:space="0" w:color="auto"/>
                <w:right w:val="none" w:sz="0" w:space="0" w:color="auto"/>
              </w:divBdr>
            </w:div>
          </w:divsChild>
        </w:div>
        <w:div w:id="1040473974">
          <w:marLeft w:val="0"/>
          <w:marRight w:val="0"/>
          <w:marTop w:val="0"/>
          <w:marBottom w:val="0"/>
          <w:divBdr>
            <w:top w:val="none" w:sz="0" w:space="0" w:color="auto"/>
            <w:left w:val="none" w:sz="0" w:space="0" w:color="auto"/>
            <w:bottom w:val="none" w:sz="0" w:space="0" w:color="auto"/>
            <w:right w:val="none" w:sz="0" w:space="0" w:color="auto"/>
          </w:divBdr>
          <w:divsChild>
            <w:div w:id="2063945738">
              <w:marLeft w:val="0"/>
              <w:marRight w:val="0"/>
              <w:marTop w:val="0"/>
              <w:marBottom w:val="0"/>
              <w:divBdr>
                <w:top w:val="none" w:sz="0" w:space="0" w:color="auto"/>
                <w:left w:val="none" w:sz="0" w:space="0" w:color="auto"/>
                <w:bottom w:val="none" w:sz="0" w:space="0" w:color="auto"/>
                <w:right w:val="none" w:sz="0" w:space="0" w:color="auto"/>
              </w:divBdr>
            </w:div>
          </w:divsChild>
        </w:div>
        <w:div w:id="1047293358">
          <w:marLeft w:val="0"/>
          <w:marRight w:val="0"/>
          <w:marTop w:val="0"/>
          <w:marBottom w:val="0"/>
          <w:divBdr>
            <w:top w:val="none" w:sz="0" w:space="0" w:color="auto"/>
            <w:left w:val="none" w:sz="0" w:space="0" w:color="auto"/>
            <w:bottom w:val="none" w:sz="0" w:space="0" w:color="auto"/>
            <w:right w:val="none" w:sz="0" w:space="0" w:color="auto"/>
          </w:divBdr>
          <w:divsChild>
            <w:div w:id="970981761">
              <w:marLeft w:val="0"/>
              <w:marRight w:val="0"/>
              <w:marTop w:val="0"/>
              <w:marBottom w:val="0"/>
              <w:divBdr>
                <w:top w:val="none" w:sz="0" w:space="0" w:color="auto"/>
                <w:left w:val="none" w:sz="0" w:space="0" w:color="auto"/>
                <w:bottom w:val="none" w:sz="0" w:space="0" w:color="auto"/>
                <w:right w:val="none" w:sz="0" w:space="0" w:color="auto"/>
              </w:divBdr>
            </w:div>
          </w:divsChild>
        </w:div>
        <w:div w:id="1054738449">
          <w:marLeft w:val="0"/>
          <w:marRight w:val="0"/>
          <w:marTop w:val="0"/>
          <w:marBottom w:val="0"/>
          <w:divBdr>
            <w:top w:val="none" w:sz="0" w:space="0" w:color="auto"/>
            <w:left w:val="none" w:sz="0" w:space="0" w:color="auto"/>
            <w:bottom w:val="none" w:sz="0" w:space="0" w:color="auto"/>
            <w:right w:val="none" w:sz="0" w:space="0" w:color="auto"/>
          </w:divBdr>
          <w:divsChild>
            <w:div w:id="1953708731">
              <w:marLeft w:val="0"/>
              <w:marRight w:val="0"/>
              <w:marTop w:val="0"/>
              <w:marBottom w:val="0"/>
              <w:divBdr>
                <w:top w:val="none" w:sz="0" w:space="0" w:color="auto"/>
                <w:left w:val="none" w:sz="0" w:space="0" w:color="auto"/>
                <w:bottom w:val="none" w:sz="0" w:space="0" w:color="auto"/>
                <w:right w:val="none" w:sz="0" w:space="0" w:color="auto"/>
              </w:divBdr>
            </w:div>
          </w:divsChild>
        </w:div>
        <w:div w:id="1064371850">
          <w:marLeft w:val="0"/>
          <w:marRight w:val="0"/>
          <w:marTop w:val="0"/>
          <w:marBottom w:val="0"/>
          <w:divBdr>
            <w:top w:val="none" w:sz="0" w:space="0" w:color="auto"/>
            <w:left w:val="none" w:sz="0" w:space="0" w:color="auto"/>
            <w:bottom w:val="none" w:sz="0" w:space="0" w:color="auto"/>
            <w:right w:val="none" w:sz="0" w:space="0" w:color="auto"/>
          </w:divBdr>
          <w:divsChild>
            <w:div w:id="383600410">
              <w:marLeft w:val="0"/>
              <w:marRight w:val="0"/>
              <w:marTop w:val="0"/>
              <w:marBottom w:val="0"/>
              <w:divBdr>
                <w:top w:val="none" w:sz="0" w:space="0" w:color="auto"/>
                <w:left w:val="none" w:sz="0" w:space="0" w:color="auto"/>
                <w:bottom w:val="none" w:sz="0" w:space="0" w:color="auto"/>
                <w:right w:val="none" w:sz="0" w:space="0" w:color="auto"/>
              </w:divBdr>
            </w:div>
          </w:divsChild>
        </w:div>
        <w:div w:id="1064571484">
          <w:marLeft w:val="0"/>
          <w:marRight w:val="0"/>
          <w:marTop w:val="0"/>
          <w:marBottom w:val="0"/>
          <w:divBdr>
            <w:top w:val="none" w:sz="0" w:space="0" w:color="auto"/>
            <w:left w:val="none" w:sz="0" w:space="0" w:color="auto"/>
            <w:bottom w:val="none" w:sz="0" w:space="0" w:color="auto"/>
            <w:right w:val="none" w:sz="0" w:space="0" w:color="auto"/>
          </w:divBdr>
          <w:divsChild>
            <w:div w:id="504783453">
              <w:marLeft w:val="0"/>
              <w:marRight w:val="0"/>
              <w:marTop w:val="0"/>
              <w:marBottom w:val="0"/>
              <w:divBdr>
                <w:top w:val="none" w:sz="0" w:space="0" w:color="auto"/>
                <w:left w:val="none" w:sz="0" w:space="0" w:color="auto"/>
                <w:bottom w:val="none" w:sz="0" w:space="0" w:color="auto"/>
                <w:right w:val="none" w:sz="0" w:space="0" w:color="auto"/>
              </w:divBdr>
            </w:div>
          </w:divsChild>
        </w:div>
        <w:div w:id="1075855737">
          <w:marLeft w:val="0"/>
          <w:marRight w:val="0"/>
          <w:marTop w:val="0"/>
          <w:marBottom w:val="0"/>
          <w:divBdr>
            <w:top w:val="none" w:sz="0" w:space="0" w:color="auto"/>
            <w:left w:val="none" w:sz="0" w:space="0" w:color="auto"/>
            <w:bottom w:val="none" w:sz="0" w:space="0" w:color="auto"/>
            <w:right w:val="none" w:sz="0" w:space="0" w:color="auto"/>
          </w:divBdr>
          <w:divsChild>
            <w:div w:id="717441157">
              <w:marLeft w:val="0"/>
              <w:marRight w:val="0"/>
              <w:marTop w:val="0"/>
              <w:marBottom w:val="0"/>
              <w:divBdr>
                <w:top w:val="none" w:sz="0" w:space="0" w:color="auto"/>
                <w:left w:val="none" w:sz="0" w:space="0" w:color="auto"/>
                <w:bottom w:val="none" w:sz="0" w:space="0" w:color="auto"/>
                <w:right w:val="none" w:sz="0" w:space="0" w:color="auto"/>
              </w:divBdr>
            </w:div>
          </w:divsChild>
        </w:div>
        <w:div w:id="1086223902">
          <w:marLeft w:val="0"/>
          <w:marRight w:val="0"/>
          <w:marTop w:val="0"/>
          <w:marBottom w:val="0"/>
          <w:divBdr>
            <w:top w:val="none" w:sz="0" w:space="0" w:color="auto"/>
            <w:left w:val="none" w:sz="0" w:space="0" w:color="auto"/>
            <w:bottom w:val="none" w:sz="0" w:space="0" w:color="auto"/>
            <w:right w:val="none" w:sz="0" w:space="0" w:color="auto"/>
          </w:divBdr>
          <w:divsChild>
            <w:div w:id="443112710">
              <w:marLeft w:val="0"/>
              <w:marRight w:val="0"/>
              <w:marTop w:val="0"/>
              <w:marBottom w:val="0"/>
              <w:divBdr>
                <w:top w:val="none" w:sz="0" w:space="0" w:color="auto"/>
                <w:left w:val="none" w:sz="0" w:space="0" w:color="auto"/>
                <w:bottom w:val="none" w:sz="0" w:space="0" w:color="auto"/>
                <w:right w:val="none" w:sz="0" w:space="0" w:color="auto"/>
              </w:divBdr>
            </w:div>
          </w:divsChild>
        </w:div>
        <w:div w:id="1088844900">
          <w:marLeft w:val="0"/>
          <w:marRight w:val="0"/>
          <w:marTop w:val="0"/>
          <w:marBottom w:val="0"/>
          <w:divBdr>
            <w:top w:val="none" w:sz="0" w:space="0" w:color="auto"/>
            <w:left w:val="none" w:sz="0" w:space="0" w:color="auto"/>
            <w:bottom w:val="none" w:sz="0" w:space="0" w:color="auto"/>
            <w:right w:val="none" w:sz="0" w:space="0" w:color="auto"/>
          </w:divBdr>
          <w:divsChild>
            <w:div w:id="1110853505">
              <w:marLeft w:val="0"/>
              <w:marRight w:val="0"/>
              <w:marTop w:val="0"/>
              <w:marBottom w:val="0"/>
              <w:divBdr>
                <w:top w:val="none" w:sz="0" w:space="0" w:color="auto"/>
                <w:left w:val="none" w:sz="0" w:space="0" w:color="auto"/>
                <w:bottom w:val="none" w:sz="0" w:space="0" w:color="auto"/>
                <w:right w:val="none" w:sz="0" w:space="0" w:color="auto"/>
              </w:divBdr>
            </w:div>
          </w:divsChild>
        </w:div>
        <w:div w:id="1091047837">
          <w:marLeft w:val="0"/>
          <w:marRight w:val="0"/>
          <w:marTop w:val="0"/>
          <w:marBottom w:val="0"/>
          <w:divBdr>
            <w:top w:val="none" w:sz="0" w:space="0" w:color="auto"/>
            <w:left w:val="none" w:sz="0" w:space="0" w:color="auto"/>
            <w:bottom w:val="none" w:sz="0" w:space="0" w:color="auto"/>
            <w:right w:val="none" w:sz="0" w:space="0" w:color="auto"/>
          </w:divBdr>
          <w:divsChild>
            <w:div w:id="670566038">
              <w:marLeft w:val="0"/>
              <w:marRight w:val="0"/>
              <w:marTop w:val="0"/>
              <w:marBottom w:val="0"/>
              <w:divBdr>
                <w:top w:val="none" w:sz="0" w:space="0" w:color="auto"/>
                <w:left w:val="none" w:sz="0" w:space="0" w:color="auto"/>
                <w:bottom w:val="none" w:sz="0" w:space="0" w:color="auto"/>
                <w:right w:val="none" w:sz="0" w:space="0" w:color="auto"/>
              </w:divBdr>
            </w:div>
          </w:divsChild>
        </w:div>
        <w:div w:id="1093237195">
          <w:marLeft w:val="0"/>
          <w:marRight w:val="0"/>
          <w:marTop w:val="0"/>
          <w:marBottom w:val="0"/>
          <w:divBdr>
            <w:top w:val="none" w:sz="0" w:space="0" w:color="auto"/>
            <w:left w:val="none" w:sz="0" w:space="0" w:color="auto"/>
            <w:bottom w:val="none" w:sz="0" w:space="0" w:color="auto"/>
            <w:right w:val="none" w:sz="0" w:space="0" w:color="auto"/>
          </w:divBdr>
          <w:divsChild>
            <w:div w:id="183788312">
              <w:marLeft w:val="0"/>
              <w:marRight w:val="0"/>
              <w:marTop w:val="0"/>
              <w:marBottom w:val="0"/>
              <w:divBdr>
                <w:top w:val="none" w:sz="0" w:space="0" w:color="auto"/>
                <w:left w:val="none" w:sz="0" w:space="0" w:color="auto"/>
                <w:bottom w:val="none" w:sz="0" w:space="0" w:color="auto"/>
                <w:right w:val="none" w:sz="0" w:space="0" w:color="auto"/>
              </w:divBdr>
            </w:div>
          </w:divsChild>
        </w:div>
        <w:div w:id="1094087531">
          <w:marLeft w:val="0"/>
          <w:marRight w:val="0"/>
          <w:marTop w:val="0"/>
          <w:marBottom w:val="0"/>
          <w:divBdr>
            <w:top w:val="none" w:sz="0" w:space="0" w:color="auto"/>
            <w:left w:val="none" w:sz="0" w:space="0" w:color="auto"/>
            <w:bottom w:val="none" w:sz="0" w:space="0" w:color="auto"/>
            <w:right w:val="none" w:sz="0" w:space="0" w:color="auto"/>
          </w:divBdr>
          <w:divsChild>
            <w:div w:id="1772122965">
              <w:marLeft w:val="0"/>
              <w:marRight w:val="0"/>
              <w:marTop w:val="0"/>
              <w:marBottom w:val="0"/>
              <w:divBdr>
                <w:top w:val="none" w:sz="0" w:space="0" w:color="auto"/>
                <w:left w:val="none" w:sz="0" w:space="0" w:color="auto"/>
                <w:bottom w:val="none" w:sz="0" w:space="0" w:color="auto"/>
                <w:right w:val="none" w:sz="0" w:space="0" w:color="auto"/>
              </w:divBdr>
            </w:div>
          </w:divsChild>
        </w:div>
        <w:div w:id="1096176632">
          <w:marLeft w:val="0"/>
          <w:marRight w:val="0"/>
          <w:marTop w:val="0"/>
          <w:marBottom w:val="0"/>
          <w:divBdr>
            <w:top w:val="none" w:sz="0" w:space="0" w:color="auto"/>
            <w:left w:val="none" w:sz="0" w:space="0" w:color="auto"/>
            <w:bottom w:val="none" w:sz="0" w:space="0" w:color="auto"/>
            <w:right w:val="none" w:sz="0" w:space="0" w:color="auto"/>
          </w:divBdr>
          <w:divsChild>
            <w:div w:id="483351100">
              <w:marLeft w:val="0"/>
              <w:marRight w:val="0"/>
              <w:marTop w:val="0"/>
              <w:marBottom w:val="0"/>
              <w:divBdr>
                <w:top w:val="none" w:sz="0" w:space="0" w:color="auto"/>
                <w:left w:val="none" w:sz="0" w:space="0" w:color="auto"/>
                <w:bottom w:val="none" w:sz="0" w:space="0" w:color="auto"/>
                <w:right w:val="none" w:sz="0" w:space="0" w:color="auto"/>
              </w:divBdr>
            </w:div>
          </w:divsChild>
        </w:div>
        <w:div w:id="1101418629">
          <w:marLeft w:val="0"/>
          <w:marRight w:val="0"/>
          <w:marTop w:val="0"/>
          <w:marBottom w:val="0"/>
          <w:divBdr>
            <w:top w:val="none" w:sz="0" w:space="0" w:color="auto"/>
            <w:left w:val="none" w:sz="0" w:space="0" w:color="auto"/>
            <w:bottom w:val="none" w:sz="0" w:space="0" w:color="auto"/>
            <w:right w:val="none" w:sz="0" w:space="0" w:color="auto"/>
          </w:divBdr>
          <w:divsChild>
            <w:div w:id="1300920350">
              <w:marLeft w:val="0"/>
              <w:marRight w:val="0"/>
              <w:marTop w:val="0"/>
              <w:marBottom w:val="0"/>
              <w:divBdr>
                <w:top w:val="none" w:sz="0" w:space="0" w:color="auto"/>
                <w:left w:val="none" w:sz="0" w:space="0" w:color="auto"/>
                <w:bottom w:val="none" w:sz="0" w:space="0" w:color="auto"/>
                <w:right w:val="none" w:sz="0" w:space="0" w:color="auto"/>
              </w:divBdr>
            </w:div>
          </w:divsChild>
        </w:div>
        <w:div w:id="1109085793">
          <w:marLeft w:val="0"/>
          <w:marRight w:val="0"/>
          <w:marTop w:val="0"/>
          <w:marBottom w:val="0"/>
          <w:divBdr>
            <w:top w:val="none" w:sz="0" w:space="0" w:color="auto"/>
            <w:left w:val="none" w:sz="0" w:space="0" w:color="auto"/>
            <w:bottom w:val="none" w:sz="0" w:space="0" w:color="auto"/>
            <w:right w:val="none" w:sz="0" w:space="0" w:color="auto"/>
          </w:divBdr>
          <w:divsChild>
            <w:div w:id="1695495610">
              <w:marLeft w:val="0"/>
              <w:marRight w:val="0"/>
              <w:marTop w:val="0"/>
              <w:marBottom w:val="0"/>
              <w:divBdr>
                <w:top w:val="none" w:sz="0" w:space="0" w:color="auto"/>
                <w:left w:val="none" w:sz="0" w:space="0" w:color="auto"/>
                <w:bottom w:val="none" w:sz="0" w:space="0" w:color="auto"/>
                <w:right w:val="none" w:sz="0" w:space="0" w:color="auto"/>
              </w:divBdr>
            </w:div>
          </w:divsChild>
        </w:div>
        <w:div w:id="1117721211">
          <w:marLeft w:val="0"/>
          <w:marRight w:val="0"/>
          <w:marTop w:val="0"/>
          <w:marBottom w:val="0"/>
          <w:divBdr>
            <w:top w:val="none" w:sz="0" w:space="0" w:color="auto"/>
            <w:left w:val="none" w:sz="0" w:space="0" w:color="auto"/>
            <w:bottom w:val="none" w:sz="0" w:space="0" w:color="auto"/>
            <w:right w:val="none" w:sz="0" w:space="0" w:color="auto"/>
          </w:divBdr>
          <w:divsChild>
            <w:div w:id="1099329779">
              <w:marLeft w:val="0"/>
              <w:marRight w:val="0"/>
              <w:marTop w:val="0"/>
              <w:marBottom w:val="0"/>
              <w:divBdr>
                <w:top w:val="none" w:sz="0" w:space="0" w:color="auto"/>
                <w:left w:val="none" w:sz="0" w:space="0" w:color="auto"/>
                <w:bottom w:val="none" w:sz="0" w:space="0" w:color="auto"/>
                <w:right w:val="none" w:sz="0" w:space="0" w:color="auto"/>
              </w:divBdr>
            </w:div>
          </w:divsChild>
        </w:div>
        <w:div w:id="1119836545">
          <w:marLeft w:val="0"/>
          <w:marRight w:val="0"/>
          <w:marTop w:val="0"/>
          <w:marBottom w:val="0"/>
          <w:divBdr>
            <w:top w:val="none" w:sz="0" w:space="0" w:color="auto"/>
            <w:left w:val="none" w:sz="0" w:space="0" w:color="auto"/>
            <w:bottom w:val="none" w:sz="0" w:space="0" w:color="auto"/>
            <w:right w:val="none" w:sz="0" w:space="0" w:color="auto"/>
          </w:divBdr>
          <w:divsChild>
            <w:div w:id="1356418485">
              <w:marLeft w:val="0"/>
              <w:marRight w:val="0"/>
              <w:marTop w:val="0"/>
              <w:marBottom w:val="0"/>
              <w:divBdr>
                <w:top w:val="none" w:sz="0" w:space="0" w:color="auto"/>
                <w:left w:val="none" w:sz="0" w:space="0" w:color="auto"/>
                <w:bottom w:val="none" w:sz="0" w:space="0" w:color="auto"/>
                <w:right w:val="none" w:sz="0" w:space="0" w:color="auto"/>
              </w:divBdr>
            </w:div>
          </w:divsChild>
        </w:div>
        <w:div w:id="1125151020">
          <w:marLeft w:val="0"/>
          <w:marRight w:val="0"/>
          <w:marTop w:val="0"/>
          <w:marBottom w:val="0"/>
          <w:divBdr>
            <w:top w:val="none" w:sz="0" w:space="0" w:color="auto"/>
            <w:left w:val="none" w:sz="0" w:space="0" w:color="auto"/>
            <w:bottom w:val="none" w:sz="0" w:space="0" w:color="auto"/>
            <w:right w:val="none" w:sz="0" w:space="0" w:color="auto"/>
          </w:divBdr>
          <w:divsChild>
            <w:div w:id="595670688">
              <w:marLeft w:val="0"/>
              <w:marRight w:val="0"/>
              <w:marTop w:val="0"/>
              <w:marBottom w:val="0"/>
              <w:divBdr>
                <w:top w:val="none" w:sz="0" w:space="0" w:color="auto"/>
                <w:left w:val="none" w:sz="0" w:space="0" w:color="auto"/>
                <w:bottom w:val="none" w:sz="0" w:space="0" w:color="auto"/>
                <w:right w:val="none" w:sz="0" w:space="0" w:color="auto"/>
              </w:divBdr>
            </w:div>
          </w:divsChild>
        </w:div>
        <w:div w:id="1126966364">
          <w:marLeft w:val="0"/>
          <w:marRight w:val="0"/>
          <w:marTop w:val="0"/>
          <w:marBottom w:val="0"/>
          <w:divBdr>
            <w:top w:val="none" w:sz="0" w:space="0" w:color="auto"/>
            <w:left w:val="none" w:sz="0" w:space="0" w:color="auto"/>
            <w:bottom w:val="none" w:sz="0" w:space="0" w:color="auto"/>
            <w:right w:val="none" w:sz="0" w:space="0" w:color="auto"/>
          </w:divBdr>
          <w:divsChild>
            <w:div w:id="428235671">
              <w:marLeft w:val="0"/>
              <w:marRight w:val="0"/>
              <w:marTop w:val="0"/>
              <w:marBottom w:val="0"/>
              <w:divBdr>
                <w:top w:val="none" w:sz="0" w:space="0" w:color="auto"/>
                <w:left w:val="none" w:sz="0" w:space="0" w:color="auto"/>
                <w:bottom w:val="none" w:sz="0" w:space="0" w:color="auto"/>
                <w:right w:val="none" w:sz="0" w:space="0" w:color="auto"/>
              </w:divBdr>
            </w:div>
          </w:divsChild>
        </w:div>
        <w:div w:id="1157577855">
          <w:marLeft w:val="0"/>
          <w:marRight w:val="0"/>
          <w:marTop w:val="0"/>
          <w:marBottom w:val="0"/>
          <w:divBdr>
            <w:top w:val="none" w:sz="0" w:space="0" w:color="auto"/>
            <w:left w:val="none" w:sz="0" w:space="0" w:color="auto"/>
            <w:bottom w:val="none" w:sz="0" w:space="0" w:color="auto"/>
            <w:right w:val="none" w:sz="0" w:space="0" w:color="auto"/>
          </w:divBdr>
          <w:divsChild>
            <w:div w:id="976380183">
              <w:marLeft w:val="0"/>
              <w:marRight w:val="0"/>
              <w:marTop w:val="0"/>
              <w:marBottom w:val="0"/>
              <w:divBdr>
                <w:top w:val="none" w:sz="0" w:space="0" w:color="auto"/>
                <w:left w:val="none" w:sz="0" w:space="0" w:color="auto"/>
                <w:bottom w:val="none" w:sz="0" w:space="0" w:color="auto"/>
                <w:right w:val="none" w:sz="0" w:space="0" w:color="auto"/>
              </w:divBdr>
            </w:div>
          </w:divsChild>
        </w:div>
        <w:div w:id="1158111354">
          <w:marLeft w:val="0"/>
          <w:marRight w:val="0"/>
          <w:marTop w:val="0"/>
          <w:marBottom w:val="0"/>
          <w:divBdr>
            <w:top w:val="none" w:sz="0" w:space="0" w:color="auto"/>
            <w:left w:val="none" w:sz="0" w:space="0" w:color="auto"/>
            <w:bottom w:val="none" w:sz="0" w:space="0" w:color="auto"/>
            <w:right w:val="none" w:sz="0" w:space="0" w:color="auto"/>
          </w:divBdr>
          <w:divsChild>
            <w:div w:id="231162886">
              <w:marLeft w:val="0"/>
              <w:marRight w:val="0"/>
              <w:marTop w:val="0"/>
              <w:marBottom w:val="0"/>
              <w:divBdr>
                <w:top w:val="none" w:sz="0" w:space="0" w:color="auto"/>
                <w:left w:val="none" w:sz="0" w:space="0" w:color="auto"/>
                <w:bottom w:val="none" w:sz="0" w:space="0" w:color="auto"/>
                <w:right w:val="none" w:sz="0" w:space="0" w:color="auto"/>
              </w:divBdr>
            </w:div>
          </w:divsChild>
        </w:div>
        <w:div w:id="1160118515">
          <w:marLeft w:val="0"/>
          <w:marRight w:val="0"/>
          <w:marTop w:val="0"/>
          <w:marBottom w:val="0"/>
          <w:divBdr>
            <w:top w:val="none" w:sz="0" w:space="0" w:color="auto"/>
            <w:left w:val="none" w:sz="0" w:space="0" w:color="auto"/>
            <w:bottom w:val="none" w:sz="0" w:space="0" w:color="auto"/>
            <w:right w:val="none" w:sz="0" w:space="0" w:color="auto"/>
          </w:divBdr>
          <w:divsChild>
            <w:div w:id="776414866">
              <w:marLeft w:val="0"/>
              <w:marRight w:val="0"/>
              <w:marTop w:val="0"/>
              <w:marBottom w:val="0"/>
              <w:divBdr>
                <w:top w:val="none" w:sz="0" w:space="0" w:color="auto"/>
                <w:left w:val="none" w:sz="0" w:space="0" w:color="auto"/>
                <w:bottom w:val="none" w:sz="0" w:space="0" w:color="auto"/>
                <w:right w:val="none" w:sz="0" w:space="0" w:color="auto"/>
              </w:divBdr>
            </w:div>
          </w:divsChild>
        </w:div>
        <w:div w:id="1160540158">
          <w:marLeft w:val="0"/>
          <w:marRight w:val="0"/>
          <w:marTop w:val="0"/>
          <w:marBottom w:val="0"/>
          <w:divBdr>
            <w:top w:val="none" w:sz="0" w:space="0" w:color="auto"/>
            <w:left w:val="none" w:sz="0" w:space="0" w:color="auto"/>
            <w:bottom w:val="none" w:sz="0" w:space="0" w:color="auto"/>
            <w:right w:val="none" w:sz="0" w:space="0" w:color="auto"/>
          </w:divBdr>
          <w:divsChild>
            <w:div w:id="96877601">
              <w:marLeft w:val="0"/>
              <w:marRight w:val="0"/>
              <w:marTop w:val="0"/>
              <w:marBottom w:val="0"/>
              <w:divBdr>
                <w:top w:val="none" w:sz="0" w:space="0" w:color="auto"/>
                <w:left w:val="none" w:sz="0" w:space="0" w:color="auto"/>
                <w:bottom w:val="none" w:sz="0" w:space="0" w:color="auto"/>
                <w:right w:val="none" w:sz="0" w:space="0" w:color="auto"/>
              </w:divBdr>
            </w:div>
          </w:divsChild>
        </w:div>
        <w:div w:id="1163087630">
          <w:marLeft w:val="0"/>
          <w:marRight w:val="0"/>
          <w:marTop w:val="0"/>
          <w:marBottom w:val="0"/>
          <w:divBdr>
            <w:top w:val="none" w:sz="0" w:space="0" w:color="auto"/>
            <w:left w:val="none" w:sz="0" w:space="0" w:color="auto"/>
            <w:bottom w:val="none" w:sz="0" w:space="0" w:color="auto"/>
            <w:right w:val="none" w:sz="0" w:space="0" w:color="auto"/>
          </w:divBdr>
          <w:divsChild>
            <w:div w:id="337313954">
              <w:marLeft w:val="0"/>
              <w:marRight w:val="0"/>
              <w:marTop w:val="0"/>
              <w:marBottom w:val="0"/>
              <w:divBdr>
                <w:top w:val="none" w:sz="0" w:space="0" w:color="auto"/>
                <w:left w:val="none" w:sz="0" w:space="0" w:color="auto"/>
                <w:bottom w:val="none" w:sz="0" w:space="0" w:color="auto"/>
                <w:right w:val="none" w:sz="0" w:space="0" w:color="auto"/>
              </w:divBdr>
            </w:div>
          </w:divsChild>
        </w:div>
        <w:div w:id="1168209913">
          <w:marLeft w:val="0"/>
          <w:marRight w:val="0"/>
          <w:marTop w:val="0"/>
          <w:marBottom w:val="0"/>
          <w:divBdr>
            <w:top w:val="none" w:sz="0" w:space="0" w:color="auto"/>
            <w:left w:val="none" w:sz="0" w:space="0" w:color="auto"/>
            <w:bottom w:val="none" w:sz="0" w:space="0" w:color="auto"/>
            <w:right w:val="none" w:sz="0" w:space="0" w:color="auto"/>
          </w:divBdr>
          <w:divsChild>
            <w:div w:id="999430311">
              <w:marLeft w:val="0"/>
              <w:marRight w:val="0"/>
              <w:marTop w:val="0"/>
              <w:marBottom w:val="0"/>
              <w:divBdr>
                <w:top w:val="none" w:sz="0" w:space="0" w:color="auto"/>
                <w:left w:val="none" w:sz="0" w:space="0" w:color="auto"/>
                <w:bottom w:val="none" w:sz="0" w:space="0" w:color="auto"/>
                <w:right w:val="none" w:sz="0" w:space="0" w:color="auto"/>
              </w:divBdr>
            </w:div>
          </w:divsChild>
        </w:div>
        <w:div w:id="1168329733">
          <w:marLeft w:val="0"/>
          <w:marRight w:val="0"/>
          <w:marTop w:val="0"/>
          <w:marBottom w:val="0"/>
          <w:divBdr>
            <w:top w:val="none" w:sz="0" w:space="0" w:color="auto"/>
            <w:left w:val="none" w:sz="0" w:space="0" w:color="auto"/>
            <w:bottom w:val="none" w:sz="0" w:space="0" w:color="auto"/>
            <w:right w:val="none" w:sz="0" w:space="0" w:color="auto"/>
          </w:divBdr>
          <w:divsChild>
            <w:div w:id="626817121">
              <w:marLeft w:val="0"/>
              <w:marRight w:val="0"/>
              <w:marTop w:val="0"/>
              <w:marBottom w:val="0"/>
              <w:divBdr>
                <w:top w:val="none" w:sz="0" w:space="0" w:color="auto"/>
                <w:left w:val="none" w:sz="0" w:space="0" w:color="auto"/>
                <w:bottom w:val="none" w:sz="0" w:space="0" w:color="auto"/>
                <w:right w:val="none" w:sz="0" w:space="0" w:color="auto"/>
              </w:divBdr>
            </w:div>
          </w:divsChild>
        </w:div>
        <w:div w:id="1172531001">
          <w:marLeft w:val="0"/>
          <w:marRight w:val="0"/>
          <w:marTop w:val="0"/>
          <w:marBottom w:val="0"/>
          <w:divBdr>
            <w:top w:val="none" w:sz="0" w:space="0" w:color="auto"/>
            <w:left w:val="none" w:sz="0" w:space="0" w:color="auto"/>
            <w:bottom w:val="none" w:sz="0" w:space="0" w:color="auto"/>
            <w:right w:val="none" w:sz="0" w:space="0" w:color="auto"/>
          </w:divBdr>
          <w:divsChild>
            <w:div w:id="1225337911">
              <w:marLeft w:val="0"/>
              <w:marRight w:val="0"/>
              <w:marTop w:val="0"/>
              <w:marBottom w:val="0"/>
              <w:divBdr>
                <w:top w:val="none" w:sz="0" w:space="0" w:color="auto"/>
                <w:left w:val="none" w:sz="0" w:space="0" w:color="auto"/>
                <w:bottom w:val="none" w:sz="0" w:space="0" w:color="auto"/>
                <w:right w:val="none" w:sz="0" w:space="0" w:color="auto"/>
              </w:divBdr>
            </w:div>
          </w:divsChild>
        </w:div>
        <w:div w:id="1178422950">
          <w:marLeft w:val="0"/>
          <w:marRight w:val="0"/>
          <w:marTop w:val="0"/>
          <w:marBottom w:val="0"/>
          <w:divBdr>
            <w:top w:val="none" w:sz="0" w:space="0" w:color="auto"/>
            <w:left w:val="none" w:sz="0" w:space="0" w:color="auto"/>
            <w:bottom w:val="none" w:sz="0" w:space="0" w:color="auto"/>
            <w:right w:val="none" w:sz="0" w:space="0" w:color="auto"/>
          </w:divBdr>
          <w:divsChild>
            <w:div w:id="1437368231">
              <w:marLeft w:val="0"/>
              <w:marRight w:val="0"/>
              <w:marTop w:val="0"/>
              <w:marBottom w:val="0"/>
              <w:divBdr>
                <w:top w:val="none" w:sz="0" w:space="0" w:color="auto"/>
                <w:left w:val="none" w:sz="0" w:space="0" w:color="auto"/>
                <w:bottom w:val="none" w:sz="0" w:space="0" w:color="auto"/>
                <w:right w:val="none" w:sz="0" w:space="0" w:color="auto"/>
              </w:divBdr>
            </w:div>
          </w:divsChild>
        </w:div>
        <w:div w:id="1180002989">
          <w:marLeft w:val="0"/>
          <w:marRight w:val="0"/>
          <w:marTop w:val="0"/>
          <w:marBottom w:val="0"/>
          <w:divBdr>
            <w:top w:val="none" w:sz="0" w:space="0" w:color="auto"/>
            <w:left w:val="none" w:sz="0" w:space="0" w:color="auto"/>
            <w:bottom w:val="none" w:sz="0" w:space="0" w:color="auto"/>
            <w:right w:val="none" w:sz="0" w:space="0" w:color="auto"/>
          </w:divBdr>
          <w:divsChild>
            <w:div w:id="1025180043">
              <w:marLeft w:val="0"/>
              <w:marRight w:val="0"/>
              <w:marTop w:val="0"/>
              <w:marBottom w:val="0"/>
              <w:divBdr>
                <w:top w:val="none" w:sz="0" w:space="0" w:color="auto"/>
                <w:left w:val="none" w:sz="0" w:space="0" w:color="auto"/>
                <w:bottom w:val="none" w:sz="0" w:space="0" w:color="auto"/>
                <w:right w:val="none" w:sz="0" w:space="0" w:color="auto"/>
              </w:divBdr>
            </w:div>
          </w:divsChild>
        </w:div>
        <w:div w:id="1191334651">
          <w:marLeft w:val="0"/>
          <w:marRight w:val="0"/>
          <w:marTop w:val="0"/>
          <w:marBottom w:val="0"/>
          <w:divBdr>
            <w:top w:val="none" w:sz="0" w:space="0" w:color="auto"/>
            <w:left w:val="none" w:sz="0" w:space="0" w:color="auto"/>
            <w:bottom w:val="none" w:sz="0" w:space="0" w:color="auto"/>
            <w:right w:val="none" w:sz="0" w:space="0" w:color="auto"/>
          </w:divBdr>
          <w:divsChild>
            <w:div w:id="1800758381">
              <w:marLeft w:val="0"/>
              <w:marRight w:val="0"/>
              <w:marTop w:val="0"/>
              <w:marBottom w:val="0"/>
              <w:divBdr>
                <w:top w:val="none" w:sz="0" w:space="0" w:color="auto"/>
                <w:left w:val="none" w:sz="0" w:space="0" w:color="auto"/>
                <w:bottom w:val="none" w:sz="0" w:space="0" w:color="auto"/>
                <w:right w:val="none" w:sz="0" w:space="0" w:color="auto"/>
              </w:divBdr>
            </w:div>
          </w:divsChild>
        </w:div>
        <w:div w:id="1196231582">
          <w:marLeft w:val="0"/>
          <w:marRight w:val="0"/>
          <w:marTop w:val="0"/>
          <w:marBottom w:val="0"/>
          <w:divBdr>
            <w:top w:val="none" w:sz="0" w:space="0" w:color="auto"/>
            <w:left w:val="none" w:sz="0" w:space="0" w:color="auto"/>
            <w:bottom w:val="none" w:sz="0" w:space="0" w:color="auto"/>
            <w:right w:val="none" w:sz="0" w:space="0" w:color="auto"/>
          </w:divBdr>
          <w:divsChild>
            <w:div w:id="1638292735">
              <w:marLeft w:val="0"/>
              <w:marRight w:val="0"/>
              <w:marTop w:val="0"/>
              <w:marBottom w:val="0"/>
              <w:divBdr>
                <w:top w:val="none" w:sz="0" w:space="0" w:color="auto"/>
                <w:left w:val="none" w:sz="0" w:space="0" w:color="auto"/>
                <w:bottom w:val="none" w:sz="0" w:space="0" w:color="auto"/>
                <w:right w:val="none" w:sz="0" w:space="0" w:color="auto"/>
              </w:divBdr>
            </w:div>
          </w:divsChild>
        </w:div>
        <w:div w:id="1196964459">
          <w:marLeft w:val="0"/>
          <w:marRight w:val="0"/>
          <w:marTop w:val="0"/>
          <w:marBottom w:val="0"/>
          <w:divBdr>
            <w:top w:val="none" w:sz="0" w:space="0" w:color="auto"/>
            <w:left w:val="none" w:sz="0" w:space="0" w:color="auto"/>
            <w:bottom w:val="none" w:sz="0" w:space="0" w:color="auto"/>
            <w:right w:val="none" w:sz="0" w:space="0" w:color="auto"/>
          </w:divBdr>
          <w:divsChild>
            <w:div w:id="903879060">
              <w:marLeft w:val="0"/>
              <w:marRight w:val="0"/>
              <w:marTop w:val="0"/>
              <w:marBottom w:val="0"/>
              <w:divBdr>
                <w:top w:val="none" w:sz="0" w:space="0" w:color="auto"/>
                <w:left w:val="none" w:sz="0" w:space="0" w:color="auto"/>
                <w:bottom w:val="none" w:sz="0" w:space="0" w:color="auto"/>
                <w:right w:val="none" w:sz="0" w:space="0" w:color="auto"/>
              </w:divBdr>
            </w:div>
          </w:divsChild>
        </w:div>
        <w:div w:id="1197933402">
          <w:marLeft w:val="0"/>
          <w:marRight w:val="0"/>
          <w:marTop w:val="0"/>
          <w:marBottom w:val="0"/>
          <w:divBdr>
            <w:top w:val="none" w:sz="0" w:space="0" w:color="auto"/>
            <w:left w:val="none" w:sz="0" w:space="0" w:color="auto"/>
            <w:bottom w:val="none" w:sz="0" w:space="0" w:color="auto"/>
            <w:right w:val="none" w:sz="0" w:space="0" w:color="auto"/>
          </w:divBdr>
          <w:divsChild>
            <w:div w:id="1713964451">
              <w:marLeft w:val="0"/>
              <w:marRight w:val="0"/>
              <w:marTop w:val="0"/>
              <w:marBottom w:val="0"/>
              <w:divBdr>
                <w:top w:val="none" w:sz="0" w:space="0" w:color="auto"/>
                <w:left w:val="none" w:sz="0" w:space="0" w:color="auto"/>
                <w:bottom w:val="none" w:sz="0" w:space="0" w:color="auto"/>
                <w:right w:val="none" w:sz="0" w:space="0" w:color="auto"/>
              </w:divBdr>
            </w:div>
          </w:divsChild>
        </w:div>
        <w:div w:id="1215577979">
          <w:marLeft w:val="0"/>
          <w:marRight w:val="0"/>
          <w:marTop w:val="0"/>
          <w:marBottom w:val="0"/>
          <w:divBdr>
            <w:top w:val="none" w:sz="0" w:space="0" w:color="auto"/>
            <w:left w:val="none" w:sz="0" w:space="0" w:color="auto"/>
            <w:bottom w:val="none" w:sz="0" w:space="0" w:color="auto"/>
            <w:right w:val="none" w:sz="0" w:space="0" w:color="auto"/>
          </w:divBdr>
          <w:divsChild>
            <w:div w:id="147285645">
              <w:marLeft w:val="0"/>
              <w:marRight w:val="0"/>
              <w:marTop w:val="0"/>
              <w:marBottom w:val="0"/>
              <w:divBdr>
                <w:top w:val="none" w:sz="0" w:space="0" w:color="auto"/>
                <w:left w:val="none" w:sz="0" w:space="0" w:color="auto"/>
                <w:bottom w:val="none" w:sz="0" w:space="0" w:color="auto"/>
                <w:right w:val="none" w:sz="0" w:space="0" w:color="auto"/>
              </w:divBdr>
            </w:div>
          </w:divsChild>
        </w:div>
        <w:div w:id="1219781974">
          <w:marLeft w:val="0"/>
          <w:marRight w:val="0"/>
          <w:marTop w:val="0"/>
          <w:marBottom w:val="0"/>
          <w:divBdr>
            <w:top w:val="none" w:sz="0" w:space="0" w:color="auto"/>
            <w:left w:val="none" w:sz="0" w:space="0" w:color="auto"/>
            <w:bottom w:val="none" w:sz="0" w:space="0" w:color="auto"/>
            <w:right w:val="none" w:sz="0" w:space="0" w:color="auto"/>
          </w:divBdr>
          <w:divsChild>
            <w:div w:id="1274677687">
              <w:marLeft w:val="0"/>
              <w:marRight w:val="0"/>
              <w:marTop w:val="0"/>
              <w:marBottom w:val="0"/>
              <w:divBdr>
                <w:top w:val="none" w:sz="0" w:space="0" w:color="auto"/>
                <w:left w:val="none" w:sz="0" w:space="0" w:color="auto"/>
                <w:bottom w:val="none" w:sz="0" w:space="0" w:color="auto"/>
                <w:right w:val="none" w:sz="0" w:space="0" w:color="auto"/>
              </w:divBdr>
            </w:div>
          </w:divsChild>
        </w:div>
        <w:div w:id="1220433899">
          <w:marLeft w:val="0"/>
          <w:marRight w:val="0"/>
          <w:marTop w:val="0"/>
          <w:marBottom w:val="0"/>
          <w:divBdr>
            <w:top w:val="none" w:sz="0" w:space="0" w:color="auto"/>
            <w:left w:val="none" w:sz="0" w:space="0" w:color="auto"/>
            <w:bottom w:val="none" w:sz="0" w:space="0" w:color="auto"/>
            <w:right w:val="none" w:sz="0" w:space="0" w:color="auto"/>
          </w:divBdr>
          <w:divsChild>
            <w:div w:id="606278362">
              <w:marLeft w:val="0"/>
              <w:marRight w:val="0"/>
              <w:marTop w:val="0"/>
              <w:marBottom w:val="0"/>
              <w:divBdr>
                <w:top w:val="none" w:sz="0" w:space="0" w:color="auto"/>
                <w:left w:val="none" w:sz="0" w:space="0" w:color="auto"/>
                <w:bottom w:val="none" w:sz="0" w:space="0" w:color="auto"/>
                <w:right w:val="none" w:sz="0" w:space="0" w:color="auto"/>
              </w:divBdr>
            </w:div>
          </w:divsChild>
        </w:div>
        <w:div w:id="1222405553">
          <w:marLeft w:val="0"/>
          <w:marRight w:val="0"/>
          <w:marTop w:val="0"/>
          <w:marBottom w:val="0"/>
          <w:divBdr>
            <w:top w:val="none" w:sz="0" w:space="0" w:color="auto"/>
            <w:left w:val="none" w:sz="0" w:space="0" w:color="auto"/>
            <w:bottom w:val="none" w:sz="0" w:space="0" w:color="auto"/>
            <w:right w:val="none" w:sz="0" w:space="0" w:color="auto"/>
          </w:divBdr>
          <w:divsChild>
            <w:div w:id="583760306">
              <w:marLeft w:val="0"/>
              <w:marRight w:val="0"/>
              <w:marTop w:val="0"/>
              <w:marBottom w:val="0"/>
              <w:divBdr>
                <w:top w:val="none" w:sz="0" w:space="0" w:color="auto"/>
                <w:left w:val="none" w:sz="0" w:space="0" w:color="auto"/>
                <w:bottom w:val="none" w:sz="0" w:space="0" w:color="auto"/>
                <w:right w:val="none" w:sz="0" w:space="0" w:color="auto"/>
              </w:divBdr>
            </w:div>
          </w:divsChild>
        </w:div>
        <w:div w:id="1222445046">
          <w:marLeft w:val="0"/>
          <w:marRight w:val="0"/>
          <w:marTop w:val="0"/>
          <w:marBottom w:val="0"/>
          <w:divBdr>
            <w:top w:val="none" w:sz="0" w:space="0" w:color="auto"/>
            <w:left w:val="none" w:sz="0" w:space="0" w:color="auto"/>
            <w:bottom w:val="none" w:sz="0" w:space="0" w:color="auto"/>
            <w:right w:val="none" w:sz="0" w:space="0" w:color="auto"/>
          </w:divBdr>
          <w:divsChild>
            <w:div w:id="1827622569">
              <w:marLeft w:val="0"/>
              <w:marRight w:val="0"/>
              <w:marTop w:val="0"/>
              <w:marBottom w:val="0"/>
              <w:divBdr>
                <w:top w:val="none" w:sz="0" w:space="0" w:color="auto"/>
                <w:left w:val="none" w:sz="0" w:space="0" w:color="auto"/>
                <w:bottom w:val="none" w:sz="0" w:space="0" w:color="auto"/>
                <w:right w:val="none" w:sz="0" w:space="0" w:color="auto"/>
              </w:divBdr>
            </w:div>
          </w:divsChild>
        </w:div>
        <w:div w:id="1233471675">
          <w:marLeft w:val="0"/>
          <w:marRight w:val="0"/>
          <w:marTop w:val="0"/>
          <w:marBottom w:val="0"/>
          <w:divBdr>
            <w:top w:val="none" w:sz="0" w:space="0" w:color="auto"/>
            <w:left w:val="none" w:sz="0" w:space="0" w:color="auto"/>
            <w:bottom w:val="none" w:sz="0" w:space="0" w:color="auto"/>
            <w:right w:val="none" w:sz="0" w:space="0" w:color="auto"/>
          </w:divBdr>
          <w:divsChild>
            <w:div w:id="1532300644">
              <w:marLeft w:val="0"/>
              <w:marRight w:val="0"/>
              <w:marTop w:val="0"/>
              <w:marBottom w:val="0"/>
              <w:divBdr>
                <w:top w:val="none" w:sz="0" w:space="0" w:color="auto"/>
                <w:left w:val="none" w:sz="0" w:space="0" w:color="auto"/>
                <w:bottom w:val="none" w:sz="0" w:space="0" w:color="auto"/>
                <w:right w:val="none" w:sz="0" w:space="0" w:color="auto"/>
              </w:divBdr>
            </w:div>
          </w:divsChild>
        </w:div>
        <w:div w:id="1234773998">
          <w:marLeft w:val="0"/>
          <w:marRight w:val="0"/>
          <w:marTop w:val="0"/>
          <w:marBottom w:val="0"/>
          <w:divBdr>
            <w:top w:val="none" w:sz="0" w:space="0" w:color="auto"/>
            <w:left w:val="none" w:sz="0" w:space="0" w:color="auto"/>
            <w:bottom w:val="none" w:sz="0" w:space="0" w:color="auto"/>
            <w:right w:val="none" w:sz="0" w:space="0" w:color="auto"/>
          </w:divBdr>
          <w:divsChild>
            <w:div w:id="722876335">
              <w:marLeft w:val="0"/>
              <w:marRight w:val="0"/>
              <w:marTop w:val="0"/>
              <w:marBottom w:val="0"/>
              <w:divBdr>
                <w:top w:val="none" w:sz="0" w:space="0" w:color="auto"/>
                <w:left w:val="none" w:sz="0" w:space="0" w:color="auto"/>
                <w:bottom w:val="none" w:sz="0" w:space="0" w:color="auto"/>
                <w:right w:val="none" w:sz="0" w:space="0" w:color="auto"/>
              </w:divBdr>
            </w:div>
          </w:divsChild>
        </w:div>
        <w:div w:id="1243836157">
          <w:marLeft w:val="0"/>
          <w:marRight w:val="0"/>
          <w:marTop w:val="0"/>
          <w:marBottom w:val="0"/>
          <w:divBdr>
            <w:top w:val="none" w:sz="0" w:space="0" w:color="auto"/>
            <w:left w:val="none" w:sz="0" w:space="0" w:color="auto"/>
            <w:bottom w:val="none" w:sz="0" w:space="0" w:color="auto"/>
            <w:right w:val="none" w:sz="0" w:space="0" w:color="auto"/>
          </w:divBdr>
          <w:divsChild>
            <w:div w:id="710568782">
              <w:marLeft w:val="0"/>
              <w:marRight w:val="0"/>
              <w:marTop w:val="0"/>
              <w:marBottom w:val="0"/>
              <w:divBdr>
                <w:top w:val="none" w:sz="0" w:space="0" w:color="auto"/>
                <w:left w:val="none" w:sz="0" w:space="0" w:color="auto"/>
                <w:bottom w:val="none" w:sz="0" w:space="0" w:color="auto"/>
                <w:right w:val="none" w:sz="0" w:space="0" w:color="auto"/>
              </w:divBdr>
            </w:div>
          </w:divsChild>
        </w:div>
        <w:div w:id="1244953967">
          <w:marLeft w:val="0"/>
          <w:marRight w:val="0"/>
          <w:marTop w:val="0"/>
          <w:marBottom w:val="0"/>
          <w:divBdr>
            <w:top w:val="none" w:sz="0" w:space="0" w:color="auto"/>
            <w:left w:val="none" w:sz="0" w:space="0" w:color="auto"/>
            <w:bottom w:val="none" w:sz="0" w:space="0" w:color="auto"/>
            <w:right w:val="none" w:sz="0" w:space="0" w:color="auto"/>
          </w:divBdr>
          <w:divsChild>
            <w:div w:id="2096396568">
              <w:marLeft w:val="0"/>
              <w:marRight w:val="0"/>
              <w:marTop w:val="0"/>
              <w:marBottom w:val="0"/>
              <w:divBdr>
                <w:top w:val="none" w:sz="0" w:space="0" w:color="auto"/>
                <w:left w:val="none" w:sz="0" w:space="0" w:color="auto"/>
                <w:bottom w:val="none" w:sz="0" w:space="0" w:color="auto"/>
                <w:right w:val="none" w:sz="0" w:space="0" w:color="auto"/>
              </w:divBdr>
            </w:div>
          </w:divsChild>
        </w:div>
        <w:div w:id="1246299801">
          <w:marLeft w:val="0"/>
          <w:marRight w:val="0"/>
          <w:marTop w:val="0"/>
          <w:marBottom w:val="0"/>
          <w:divBdr>
            <w:top w:val="none" w:sz="0" w:space="0" w:color="auto"/>
            <w:left w:val="none" w:sz="0" w:space="0" w:color="auto"/>
            <w:bottom w:val="none" w:sz="0" w:space="0" w:color="auto"/>
            <w:right w:val="none" w:sz="0" w:space="0" w:color="auto"/>
          </w:divBdr>
          <w:divsChild>
            <w:div w:id="926574684">
              <w:marLeft w:val="0"/>
              <w:marRight w:val="0"/>
              <w:marTop w:val="0"/>
              <w:marBottom w:val="0"/>
              <w:divBdr>
                <w:top w:val="none" w:sz="0" w:space="0" w:color="auto"/>
                <w:left w:val="none" w:sz="0" w:space="0" w:color="auto"/>
                <w:bottom w:val="none" w:sz="0" w:space="0" w:color="auto"/>
                <w:right w:val="none" w:sz="0" w:space="0" w:color="auto"/>
              </w:divBdr>
            </w:div>
          </w:divsChild>
        </w:div>
        <w:div w:id="1251082303">
          <w:marLeft w:val="0"/>
          <w:marRight w:val="0"/>
          <w:marTop w:val="0"/>
          <w:marBottom w:val="0"/>
          <w:divBdr>
            <w:top w:val="none" w:sz="0" w:space="0" w:color="auto"/>
            <w:left w:val="none" w:sz="0" w:space="0" w:color="auto"/>
            <w:bottom w:val="none" w:sz="0" w:space="0" w:color="auto"/>
            <w:right w:val="none" w:sz="0" w:space="0" w:color="auto"/>
          </w:divBdr>
          <w:divsChild>
            <w:div w:id="900022171">
              <w:marLeft w:val="0"/>
              <w:marRight w:val="0"/>
              <w:marTop w:val="0"/>
              <w:marBottom w:val="0"/>
              <w:divBdr>
                <w:top w:val="none" w:sz="0" w:space="0" w:color="auto"/>
                <w:left w:val="none" w:sz="0" w:space="0" w:color="auto"/>
                <w:bottom w:val="none" w:sz="0" w:space="0" w:color="auto"/>
                <w:right w:val="none" w:sz="0" w:space="0" w:color="auto"/>
              </w:divBdr>
            </w:div>
          </w:divsChild>
        </w:div>
        <w:div w:id="1253078688">
          <w:marLeft w:val="0"/>
          <w:marRight w:val="0"/>
          <w:marTop w:val="0"/>
          <w:marBottom w:val="0"/>
          <w:divBdr>
            <w:top w:val="none" w:sz="0" w:space="0" w:color="auto"/>
            <w:left w:val="none" w:sz="0" w:space="0" w:color="auto"/>
            <w:bottom w:val="none" w:sz="0" w:space="0" w:color="auto"/>
            <w:right w:val="none" w:sz="0" w:space="0" w:color="auto"/>
          </w:divBdr>
          <w:divsChild>
            <w:div w:id="1379936664">
              <w:marLeft w:val="0"/>
              <w:marRight w:val="0"/>
              <w:marTop w:val="0"/>
              <w:marBottom w:val="0"/>
              <w:divBdr>
                <w:top w:val="none" w:sz="0" w:space="0" w:color="auto"/>
                <w:left w:val="none" w:sz="0" w:space="0" w:color="auto"/>
                <w:bottom w:val="none" w:sz="0" w:space="0" w:color="auto"/>
                <w:right w:val="none" w:sz="0" w:space="0" w:color="auto"/>
              </w:divBdr>
            </w:div>
          </w:divsChild>
        </w:div>
        <w:div w:id="1259826584">
          <w:marLeft w:val="0"/>
          <w:marRight w:val="0"/>
          <w:marTop w:val="0"/>
          <w:marBottom w:val="0"/>
          <w:divBdr>
            <w:top w:val="none" w:sz="0" w:space="0" w:color="auto"/>
            <w:left w:val="none" w:sz="0" w:space="0" w:color="auto"/>
            <w:bottom w:val="none" w:sz="0" w:space="0" w:color="auto"/>
            <w:right w:val="none" w:sz="0" w:space="0" w:color="auto"/>
          </w:divBdr>
          <w:divsChild>
            <w:div w:id="2029139286">
              <w:marLeft w:val="0"/>
              <w:marRight w:val="0"/>
              <w:marTop w:val="0"/>
              <w:marBottom w:val="0"/>
              <w:divBdr>
                <w:top w:val="none" w:sz="0" w:space="0" w:color="auto"/>
                <w:left w:val="none" w:sz="0" w:space="0" w:color="auto"/>
                <w:bottom w:val="none" w:sz="0" w:space="0" w:color="auto"/>
                <w:right w:val="none" w:sz="0" w:space="0" w:color="auto"/>
              </w:divBdr>
            </w:div>
          </w:divsChild>
        </w:div>
        <w:div w:id="1270772571">
          <w:marLeft w:val="0"/>
          <w:marRight w:val="0"/>
          <w:marTop w:val="0"/>
          <w:marBottom w:val="0"/>
          <w:divBdr>
            <w:top w:val="none" w:sz="0" w:space="0" w:color="auto"/>
            <w:left w:val="none" w:sz="0" w:space="0" w:color="auto"/>
            <w:bottom w:val="none" w:sz="0" w:space="0" w:color="auto"/>
            <w:right w:val="none" w:sz="0" w:space="0" w:color="auto"/>
          </w:divBdr>
          <w:divsChild>
            <w:div w:id="104465457">
              <w:marLeft w:val="0"/>
              <w:marRight w:val="0"/>
              <w:marTop w:val="0"/>
              <w:marBottom w:val="0"/>
              <w:divBdr>
                <w:top w:val="none" w:sz="0" w:space="0" w:color="auto"/>
                <w:left w:val="none" w:sz="0" w:space="0" w:color="auto"/>
                <w:bottom w:val="none" w:sz="0" w:space="0" w:color="auto"/>
                <w:right w:val="none" w:sz="0" w:space="0" w:color="auto"/>
              </w:divBdr>
            </w:div>
          </w:divsChild>
        </w:div>
        <w:div w:id="1275214649">
          <w:marLeft w:val="0"/>
          <w:marRight w:val="0"/>
          <w:marTop w:val="0"/>
          <w:marBottom w:val="0"/>
          <w:divBdr>
            <w:top w:val="none" w:sz="0" w:space="0" w:color="auto"/>
            <w:left w:val="none" w:sz="0" w:space="0" w:color="auto"/>
            <w:bottom w:val="none" w:sz="0" w:space="0" w:color="auto"/>
            <w:right w:val="none" w:sz="0" w:space="0" w:color="auto"/>
          </w:divBdr>
          <w:divsChild>
            <w:div w:id="1358850471">
              <w:marLeft w:val="0"/>
              <w:marRight w:val="0"/>
              <w:marTop w:val="0"/>
              <w:marBottom w:val="0"/>
              <w:divBdr>
                <w:top w:val="none" w:sz="0" w:space="0" w:color="auto"/>
                <w:left w:val="none" w:sz="0" w:space="0" w:color="auto"/>
                <w:bottom w:val="none" w:sz="0" w:space="0" w:color="auto"/>
                <w:right w:val="none" w:sz="0" w:space="0" w:color="auto"/>
              </w:divBdr>
            </w:div>
          </w:divsChild>
        </w:div>
        <w:div w:id="1275551860">
          <w:marLeft w:val="0"/>
          <w:marRight w:val="0"/>
          <w:marTop w:val="0"/>
          <w:marBottom w:val="0"/>
          <w:divBdr>
            <w:top w:val="none" w:sz="0" w:space="0" w:color="auto"/>
            <w:left w:val="none" w:sz="0" w:space="0" w:color="auto"/>
            <w:bottom w:val="none" w:sz="0" w:space="0" w:color="auto"/>
            <w:right w:val="none" w:sz="0" w:space="0" w:color="auto"/>
          </w:divBdr>
          <w:divsChild>
            <w:div w:id="158473620">
              <w:marLeft w:val="0"/>
              <w:marRight w:val="0"/>
              <w:marTop w:val="0"/>
              <w:marBottom w:val="0"/>
              <w:divBdr>
                <w:top w:val="none" w:sz="0" w:space="0" w:color="auto"/>
                <w:left w:val="none" w:sz="0" w:space="0" w:color="auto"/>
                <w:bottom w:val="none" w:sz="0" w:space="0" w:color="auto"/>
                <w:right w:val="none" w:sz="0" w:space="0" w:color="auto"/>
              </w:divBdr>
            </w:div>
          </w:divsChild>
        </w:div>
        <w:div w:id="1279601481">
          <w:marLeft w:val="0"/>
          <w:marRight w:val="0"/>
          <w:marTop w:val="0"/>
          <w:marBottom w:val="0"/>
          <w:divBdr>
            <w:top w:val="none" w:sz="0" w:space="0" w:color="auto"/>
            <w:left w:val="none" w:sz="0" w:space="0" w:color="auto"/>
            <w:bottom w:val="none" w:sz="0" w:space="0" w:color="auto"/>
            <w:right w:val="none" w:sz="0" w:space="0" w:color="auto"/>
          </w:divBdr>
          <w:divsChild>
            <w:div w:id="1700667433">
              <w:marLeft w:val="0"/>
              <w:marRight w:val="0"/>
              <w:marTop w:val="0"/>
              <w:marBottom w:val="0"/>
              <w:divBdr>
                <w:top w:val="none" w:sz="0" w:space="0" w:color="auto"/>
                <w:left w:val="none" w:sz="0" w:space="0" w:color="auto"/>
                <w:bottom w:val="none" w:sz="0" w:space="0" w:color="auto"/>
                <w:right w:val="none" w:sz="0" w:space="0" w:color="auto"/>
              </w:divBdr>
            </w:div>
          </w:divsChild>
        </w:div>
        <w:div w:id="1288006881">
          <w:marLeft w:val="0"/>
          <w:marRight w:val="0"/>
          <w:marTop w:val="0"/>
          <w:marBottom w:val="0"/>
          <w:divBdr>
            <w:top w:val="none" w:sz="0" w:space="0" w:color="auto"/>
            <w:left w:val="none" w:sz="0" w:space="0" w:color="auto"/>
            <w:bottom w:val="none" w:sz="0" w:space="0" w:color="auto"/>
            <w:right w:val="none" w:sz="0" w:space="0" w:color="auto"/>
          </w:divBdr>
          <w:divsChild>
            <w:div w:id="868177981">
              <w:marLeft w:val="0"/>
              <w:marRight w:val="0"/>
              <w:marTop w:val="0"/>
              <w:marBottom w:val="0"/>
              <w:divBdr>
                <w:top w:val="none" w:sz="0" w:space="0" w:color="auto"/>
                <w:left w:val="none" w:sz="0" w:space="0" w:color="auto"/>
                <w:bottom w:val="none" w:sz="0" w:space="0" w:color="auto"/>
                <w:right w:val="none" w:sz="0" w:space="0" w:color="auto"/>
              </w:divBdr>
            </w:div>
          </w:divsChild>
        </w:div>
        <w:div w:id="1291741834">
          <w:marLeft w:val="0"/>
          <w:marRight w:val="0"/>
          <w:marTop w:val="0"/>
          <w:marBottom w:val="0"/>
          <w:divBdr>
            <w:top w:val="none" w:sz="0" w:space="0" w:color="auto"/>
            <w:left w:val="none" w:sz="0" w:space="0" w:color="auto"/>
            <w:bottom w:val="none" w:sz="0" w:space="0" w:color="auto"/>
            <w:right w:val="none" w:sz="0" w:space="0" w:color="auto"/>
          </w:divBdr>
          <w:divsChild>
            <w:div w:id="1801264155">
              <w:marLeft w:val="0"/>
              <w:marRight w:val="0"/>
              <w:marTop w:val="0"/>
              <w:marBottom w:val="0"/>
              <w:divBdr>
                <w:top w:val="none" w:sz="0" w:space="0" w:color="auto"/>
                <w:left w:val="none" w:sz="0" w:space="0" w:color="auto"/>
                <w:bottom w:val="none" w:sz="0" w:space="0" w:color="auto"/>
                <w:right w:val="none" w:sz="0" w:space="0" w:color="auto"/>
              </w:divBdr>
            </w:div>
          </w:divsChild>
        </w:div>
        <w:div w:id="1296791146">
          <w:marLeft w:val="0"/>
          <w:marRight w:val="0"/>
          <w:marTop w:val="0"/>
          <w:marBottom w:val="0"/>
          <w:divBdr>
            <w:top w:val="none" w:sz="0" w:space="0" w:color="auto"/>
            <w:left w:val="none" w:sz="0" w:space="0" w:color="auto"/>
            <w:bottom w:val="none" w:sz="0" w:space="0" w:color="auto"/>
            <w:right w:val="none" w:sz="0" w:space="0" w:color="auto"/>
          </w:divBdr>
          <w:divsChild>
            <w:div w:id="1428771768">
              <w:marLeft w:val="0"/>
              <w:marRight w:val="0"/>
              <w:marTop w:val="0"/>
              <w:marBottom w:val="0"/>
              <w:divBdr>
                <w:top w:val="none" w:sz="0" w:space="0" w:color="auto"/>
                <w:left w:val="none" w:sz="0" w:space="0" w:color="auto"/>
                <w:bottom w:val="none" w:sz="0" w:space="0" w:color="auto"/>
                <w:right w:val="none" w:sz="0" w:space="0" w:color="auto"/>
              </w:divBdr>
            </w:div>
          </w:divsChild>
        </w:div>
        <w:div w:id="1299915619">
          <w:marLeft w:val="0"/>
          <w:marRight w:val="0"/>
          <w:marTop w:val="0"/>
          <w:marBottom w:val="0"/>
          <w:divBdr>
            <w:top w:val="none" w:sz="0" w:space="0" w:color="auto"/>
            <w:left w:val="none" w:sz="0" w:space="0" w:color="auto"/>
            <w:bottom w:val="none" w:sz="0" w:space="0" w:color="auto"/>
            <w:right w:val="none" w:sz="0" w:space="0" w:color="auto"/>
          </w:divBdr>
          <w:divsChild>
            <w:div w:id="1420907034">
              <w:marLeft w:val="0"/>
              <w:marRight w:val="0"/>
              <w:marTop w:val="0"/>
              <w:marBottom w:val="0"/>
              <w:divBdr>
                <w:top w:val="none" w:sz="0" w:space="0" w:color="auto"/>
                <w:left w:val="none" w:sz="0" w:space="0" w:color="auto"/>
                <w:bottom w:val="none" w:sz="0" w:space="0" w:color="auto"/>
                <w:right w:val="none" w:sz="0" w:space="0" w:color="auto"/>
              </w:divBdr>
            </w:div>
          </w:divsChild>
        </w:div>
        <w:div w:id="1304509286">
          <w:marLeft w:val="0"/>
          <w:marRight w:val="0"/>
          <w:marTop w:val="0"/>
          <w:marBottom w:val="0"/>
          <w:divBdr>
            <w:top w:val="none" w:sz="0" w:space="0" w:color="auto"/>
            <w:left w:val="none" w:sz="0" w:space="0" w:color="auto"/>
            <w:bottom w:val="none" w:sz="0" w:space="0" w:color="auto"/>
            <w:right w:val="none" w:sz="0" w:space="0" w:color="auto"/>
          </w:divBdr>
          <w:divsChild>
            <w:div w:id="1671441570">
              <w:marLeft w:val="0"/>
              <w:marRight w:val="0"/>
              <w:marTop w:val="0"/>
              <w:marBottom w:val="0"/>
              <w:divBdr>
                <w:top w:val="none" w:sz="0" w:space="0" w:color="auto"/>
                <w:left w:val="none" w:sz="0" w:space="0" w:color="auto"/>
                <w:bottom w:val="none" w:sz="0" w:space="0" w:color="auto"/>
                <w:right w:val="none" w:sz="0" w:space="0" w:color="auto"/>
              </w:divBdr>
            </w:div>
          </w:divsChild>
        </w:div>
        <w:div w:id="1306935114">
          <w:marLeft w:val="0"/>
          <w:marRight w:val="0"/>
          <w:marTop w:val="0"/>
          <w:marBottom w:val="0"/>
          <w:divBdr>
            <w:top w:val="none" w:sz="0" w:space="0" w:color="auto"/>
            <w:left w:val="none" w:sz="0" w:space="0" w:color="auto"/>
            <w:bottom w:val="none" w:sz="0" w:space="0" w:color="auto"/>
            <w:right w:val="none" w:sz="0" w:space="0" w:color="auto"/>
          </w:divBdr>
          <w:divsChild>
            <w:div w:id="660306464">
              <w:marLeft w:val="0"/>
              <w:marRight w:val="0"/>
              <w:marTop w:val="0"/>
              <w:marBottom w:val="0"/>
              <w:divBdr>
                <w:top w:val="none" w:sz="0" w:space="0" w:color="auto"/>
                <w:left w:val="none" w:sz="0" w:space="0" w:color="auto"/>
                <w:bottom w:val="none" w:sz="0" w:space="0" w:color="auto"/>
                <w:right w:val="none" w:sz="0" w:space="0" w:color="auto"/>
              </w:divBdr>
            </w:div>
          </w:divsChild>
        </w:div>
        <w:div w:id="1307004100">
          <w:marLeft w:val="0"/>
          <w:marRight w:val="0"/>
          <w:marTop w:val="0"/>
          <w:marBottom w:val="0"/>
          <w:divBdr>
            <w:top w:val="none" w:sz="0" w:space="0" w:color="auto"/>
            <w:left w:val="none" w:sz="0" w:space="0" w:color="auto"/>
            <w:bottom w:val="none" w:sz="0" w:space="0" w:color="auto"/>
            <w:right w:val="none" w:sz="0" w:space="0" w:color="auto"/>
          </w:divBdr>
          <w:divsChild>
            <w:div w:id="193537846">
              <w:marLeft w:val="0"/>
              <w:marRight w:val="0"/>
              <w:marTop w:val="0"/>
              <w:marBottom w:val="0"/>
              <w:divBdr>
                <w:top w:val="none" w:sz="0" w:space="0" w:color="auto"/>
                <w:left w:val="none" w:sz="0" w:space="0" w:color="auto"/>
                <w:bottom w:val="none" w:sz="0" w:space="0" w:color="auto"/>
                <w:right w:val="none" w:sz="0" w:space="0" w:color="auto"/>
              </w:divBdr>
            </w:div>
          </w:divsChild>
        </w:div>
        <w:div w:id="1308365498">
          <w:marLeft w:val="0"/>
          <w:marRight w:val="0"/>
          <w:marTop w:val="0"/>
          <w:marBottom w:val="0"/>
          <w:divBdr>
            <w:top w:val="none" w:sz="0" w:space="0" w:color="auto"/>
            <w:left w:val="none" w:sz="0" w:space="0" w:color="auto"/>
            <w:bottom w:val="none" w:sz="0" w:space="0" w:color="auto"/>
            <w:right w:val="none" w:sz="0" w:space="0" w:color="auto"/>
          </w:divBdr>
          <w:divsChild>
            <w:div w:id="754667237">
              <w:marLeft w:val="0"/>
              <w:marRight w:val="0"/>
              <w:marTop w:val="0"/>
              <w:marBottom w:val="0"/>
              <w:divBdr>
                <w:top w:val="none" w:sz="0" w:space="0" w:color="auto"/>
                <w:left w:val="none" w:sz="0" w:space="0" w:color="auto"/>
                <w:bottom w:val="none" w:sz="0" w:space="0" w:color="auto"/>
                <w:right w:val="none" w:sz="0" w:space="0" w:color="auto"/>
              </w:divBdr>
            </w:div>
          </w:divsChild>
        </w:div>
        <w:div w:id="1308508718">
          <w:marLeft w:val="0"/>
          <w:marRight w:val="0"/>
          <w:marTop w:val="0"/>
          <w:marBottom w:val="0"/>
          <w:divBdr>
            <w:top w:val="none" w:sz="0" w:space="0" w:color="auto"/>
            <w:left w:val="none" w:sz="0" w:space="0" w:color="auto"/>
            <w:bottom w:val="none" w:sz="0" w:space="0" w:color="auto"/>
            <w:right w:val="none" w:sz="0" w:space="0" w:color="auto"/>
          </w:divBdr>
          <w:divsChild>
            <w:div w:id="1184245738">
              <w:marLeft w:val="0"/>
              <w:marRight w:val="0"/>
              <w:marTop w:val="0"/>
              <w:marBottom w:val="0"/>
              <w:divBdr>
                <w:top w:val="none" w:sz="0" w:space="0" w:color="auto"/>
                <w:left w:val="none" w:sz="0" w:space="0" w:color="auto"/>
                <w:bottom w:val="none" w:sz="0" w:space="0" w:color="auto"/>
                <w:right w:val="none" w:sz="0" w:space="0" w:color="auto"/>
              </w:divBdr>
            </w:div>
          </w:divsChild>
        </w:div>
        <w:div w:id="1308827724">
          <w:marLeft w:val="0"/>
          <w:marRight w:val="0"/>
          <w:marTop w:val="0"/>
          <w:marBottom w:val="0"/>
          <w:divBdr>
            <w:top w:val="none" w:sz="0" w:space="0" w:color="auto"/>
            <w:left w:val="none" w:sz="0" w:space="0" w:color="auto"/>
            <w:bottom w:val="none" w:sz="0" w:space="0" w:color="auto"/>
            <w:right w:val="none" w:sz="0" w:space="0" w:color="auto"/>
          </w:divBdr>
          <w:divsChild>
            <w:div w:id="266427287">
              <w:marLeft w:val="0"/>
              <w:marRight w:val="0"/>
              <w:marTop w:val="0"/>
              <w:marBottom w:val="0"/>
              <w:divBdr>
                <w:top w:val="none" w:sz="0" w:space="0" w:color="auto"/>
                <w:left w:val="none" w:sz="0" w:space="0" w:color="auto"/>
                <w:bottom w:val="none" w:sz="0" w:space="0" w:color="auto"/>
                <w:right w:val="none" w:sz="0" w:space="0" w:color="auto"/>
              </w:divBdr>
            </w:div>
          </w:divsChild>
        </w:div>
        <w:div w:id="1312518639">
          <w:marLeft w:val="0"/>
          <w:marRight w:val="0"/>
          <w:marTop w:val="0"/>
          <w:marBottom w:val="0"/>
          <w:divBdr>
            <w:top w:val="none" w:sz="0" w:space="0" w:color="auto"/>
            <w:left w:val="none" w:sz="0" w:space="0" w:color="auto"/>
            <w:bottom w:val="none" w:sz="0" w:space="0" w:color="auto"/>
            <w:right w:val="none" w:sz="0" w:space="0" w:color="auto"/>
          </w:divBdr>
          <w:divsChild>
            <w:div w:id="1121806562">
              <w:marLeft w:val="0"/>
              <w:marRight w:val="0"/>
              <w:marTop w:val="0"/>
              <w:marBottom w:val="0"/>
              <w:divBdr>
                <w:top w:val="none" w:sz="0" w:space="0" w:color="auto"/>
                <w:left w:val="none" w:sz="0" w:space="0" w:color="auto"/>
                <w:bottom w:val="none" w:sz="0" w:space="0" w:color="auto"/>
                <w:right w:val="none" w:sz="0" w:space="0" w:color="auto"/>
              </w:divBdr>
            </w:div>
          </w:divsChild>
        </w:div>
        <w:div w:id="1315916557">
          <w:marLeft w:val="0"/>
          <w:marRight w:val="0"/>
          <w:marTop w:val="0"/>
          <w:marBottom w:val="0"/>
          <w:divBdr>
            <w:top w:val="none" w:sz="0" w:space="0" w:color="auto"/>
            <w:left w:val="none" w:sz="0" w:space="0" w:color="auto"/>
            <w:bottom w:val="none" w:sz="0" w:space="0" w:color="auto"/>
            <w:right w:val="none" w:sz="0" w:space="0" w:color="auto"/>
          </w:divBdr>
          <w:divsChild>
            <w:div w:id="805467950">
              <w:marLeft w:val="0"/>
              <w:marRight w:val="0"/>
              <w:marTop w:val="0"/>
              <w:marBottom w:val="0"/>
              <w:divBdr>
                <w:top w:val="none" w:sz="0" w:space="0" w:color="auto"/>
                <w:left w:val="none" w:sz="0" w:space="0" w:color="auto"/>
                <w:bottom w:val="none" w:sz="0" w:space="0" w:color="auto"/>
                <w:right w:val="none" w:sz="0" w:space="0" w:color="auto"/>
              </w:divBdr>
            </w:div>
          </w:divsChild>
        </w:div>
        <w:div w:id="1318454932">
          <w:marLeft w:val="0"/>
          <w:marRight w:val="0"/>
          <w:marTop w:val="0"/>
          <w:marBottom w:val="0"/>
          <w:divBdr>
            <w:top w:val="none" w:sz="0" w:space="0" w:color="auto"/>
            <w:left w:val="none" w:sz="0" w:space="0" w:color="auto"/>
            <w:bottom w:val="none" w:sz="0" w:space="0" w:color="auto"/>
            <w:right w:val="none" w:sz="0" w:space="0" w:color="auto"/>
          </w:divBdr>
          <w:divsChild>
            <w:div w:id="1187137983">
              <w:marLeft w:val="0"/>
              <w:marRight w:val="0"/>
              <w:marTop w:val="0"/>
              <w:marBottom w:val="0"/>
              <w:divBdr>
                <w:top w:val="none" w:sz="0" w:space="0" w:color="auto"/>
                <w:left w:val="none" w:sz="0" w:space="0" w:color="auto"/>
                <w:bottom w:val="none" w:sz="0" w:space="0" w:color="auto"/>
                <w:right w:val="none" w:sz="0" w:space="0" w:color="auto"/>
              </w:divBdr>
            </w:div>
          </w:divsChild>
        </w:div>
        <w:div w:id="1323435337">
          <w:marLeft w:val="0"/>
          <w:marRight w:val="0"/>
          <w:marTop w:val="0"/>
          <w:marBottom w:val="0"/>
          <w:divBdr>
            <w:top w:val="none" w:sz="0" w:space="0" w:color="auto"/>
            <w:left w:val="none" w:sz="0" w:space="0" w:color="auto"/>
            <w:bottom w:val="none" w:sz="0" w:space="0" w:color="auto"/>
            <w:right w:val="none" w:sz="0" w:space="0" w:color="auto"/>
          </w:divBdr>
          <w:divsChild>
            <w:div w:id="311764029">
              <w:marLeft w:val="0"/>
              <w:marRight w:val="0"/>
              <w:marTop w:val="0"/>
              <w:marBottom w:val="0"/>
              <w:divBdr>
                <w:top w:val="none" w:sz="0" w:space="0" w:color="auto"/>
                <w:left w:val="none" w:sz="0" w:space="0" w:color="auto"/>
                <w:bottom w:val="none" w:sz="0" w:space="0" w:color="auto"/>
                <w:right w:val="none" w:sz="0" w:space="0" w:color="auto"/>
              </w:divBdr>
            </w:div>
          </w:divsChild>
        </w:div>
        <w:div w:id="1325085581">
          <w:marLeft w:val="0"/>
          <w:marRight w:val="0"/>
          <w:marTop w:val="0"/>
          <w:marBottom w:val="0"/>
          <w:divBdr>
            <w:top w:val="none" w:sz="0" w:space="0" w:color="auto"/>
            <w:left w:val="none" w:sz="0" w:space="0" w:color="auto"/>
            <w:bottom w:val="none" w:sz="0" w:space="0" w:color="auto"/>
            <w:right w:val="none" w:sz="0" w:space="0" w:color="auto"/>
          </w:divBdr>
          <w:divsChild>
            <w:div w:id="1335302862">
              <w:marLeft w:val="0"/>
              <w:marRight w:val="0"/>
              <w:marTop w:val="0"/>
              <w:marBottom w:val="0"/>
              <w:divBdr>
                <w:top w:val="none" w:sz="0" w:space="0" w:color="auto"/>
                <w:left w:val="none" w:sz="0" w:space="0" w:color="auto"/>
                <w:bottom w:val="none" w:sz="0" w:space="0" w:color="auto"/>
                <w:right w:val="none" w:sz="0" w:space="0" w:color="auto"/>
              </w:divBdr>
            </w:div>
          </w:divsChild>
        </w:div>
        <w:div w:id="1325203702">
          <w:marLeft w:val="0"/>
          <w:marRight w:val="0"/>
          <w:marTop w:val="0"/>
          <w:marBottom w:val="0"/>
          <w:divBdr>
            <w:top w:val="none" w:sz="0" w:space="0" w:color="auto"/>
            <w:left w:val="none" w:sz="0" w:space="0" w:color="auto"/>
            <w:bottom w:val="none" w:sz="0" w:space="0" w:color="auto"/>
            <w:right w:val="none" w:sz="0" w:space="0" w:color="auto"/>
          </w:divBdr>
          <w:divsChild>
            <w:div w:id="1389723125">
              <w:marLeft w:val="0"/>
              <w:marRight w:val="0"/>
              <w:marTop w:val="0"/>
              <w:marBottom w:val="0"/>
              <w:divBdr>
                <w:top w:val="none" w:sz="0" w:space="0" w:color="auto"/>
                <w:left w:val="none" w:sz="0" w:space="0" w:color="auto"/>
                <w:bottom w:val="none" w:sz="0" w:space="0" w:color="auto"/>
                <w:right w:val="none" w:sz="0" w:space="0" w:color="auto"/>
              </w:divBdr>
            </w:div>
          </w:divsChild>
        </w:div>
        <w:div w:id="1328510407">
          <w:marLeft w:val="0"/>
          <w:marRight w:val="0"/>
          <w:marTop w:val="0"/>
          <w:marBottom w:val="0"/>
          <w:divBdr>
            <w:top w:val="none" w:sz="0" w:space="0" w:color="auto"/>
            <w:left w:val="none" w:sz="0" w:space="0" w:color="auto"/>
            <w:bottom w:val="none" w:sz="0" w:space="0" w:color="auto"/>
            <w:right w:val="none" w:sz="0" w:space="0" w:color="auto"/>
          </w:divBdr>
          <w:divsChild>
            <w:div w:id="793601890">
              <w:marLeft w:val="0"/>
              <w:marRight w:val="0"/>
              <w:marTop w:val="0"/>
              <w:marBottom w:val="0"/>
              <w:divBdr>
                <w:top w:val="none" w:sz="0" w:space="0" w:color="auto"/>
                <w:left w:val="none" w:sz="0" w:space="0" w:color="auto"/>
                <w:bottom w:val="none" w:sz="0" w:space="0" w:color="auto"/>
                <w:right w:val="none" w:sz="0" w:space="0" w:color="auto"/>
              </w:divBdr>
            </w:div>
          </w:divsChild>
        </w:div>
        <w:div w:id="1329167320">
          <w:marLeft w:val="0"/>
          <w:marRight w:val="0"/>
          <w:marTop w:val="0"/>
          <w:marBottom w:val="0"/>
          <w:divBdr>
            <w:top w:val="none" w:sz="0" w:space="0" w:color="auto"/>
            <w:left w:val="none" w:sz="0" w:space="0" w:color="auto"/>
            <w:bottom w:val="none" w:sz="0" w:space="0" w:color="auto"/>
            <w:right w:val="none" w:sz="0" w:space="0" w:color="auto"/>
          </w:divBdr>
          <w:divsChild>
            <w:div w:id="594561371">
              <w:marLeft w:val="0"/>
              <w:marRight w:val="0"/>
              <w:marTop w:val="0"/>
              <w:marBottom w:val="0"/>
              <w:divBdr>
                <w:top w:val="none" w:sz="0" w:space="0" w:color="auto"/>
                <w:left w:val="none" w:sz="0" w:space="0" w:color="auto"/>
                <w:bottom w:val="none" w:sz="0" w:space="0" w:color="auto"/>
                <w:right w:val="none" w:sz="0" w:space="0" w:color="auto"/>
              </w:divBdr>
            </w:div>
          </w:divsChild>
        </w:div>
        <w:div w:id="1329675953">
          <w:marLeft w:val="0"/>
          <w:marRight w:val="0"/>
          <w:marTop w:val="0"/>
          <w:marBottom w:val="0"/>
          <w:divBdr>
            <w:top w:val="none" w:sz="0" w:space="0" w:color="auto"/>
            <w:left w:val="none" w:sz="0" w:space="0" w:color="auto"/>
            <w:bottom w:val="none" w:sz="0" w:space="0" w:color="auto"/>
            <w:right w:val="none" w:sz="0" w:space="0" w:color="auto"/>
          </w:divBdr>
          <w:divsChild>
            <w:div w:id="590822229">
              <w:marLeft w:val="0"/>
              <w:marRight w:val="0"/>
              <w:marTop w:val="0"/>
              <w:marBottom w:val="0"/>
              <w:divBdr>
                <w:top w:val="none" w:sz="0" w:space="0" w:color="auto"/>
                <w:left w:val="none" w:sz="0" w:space="0" w:color="auto"/>
                <w:bottom w:val="none" w:sz="0" w:space="0" w:color="auto"/>
                <w:right w:val="none" w:sz="0" w:space="0" w:color="auto"/>
              </w:divBdr>
            </w:div>
          </w:divsChild>
        </w:div>
        <w:div w:id="1332368008">
          <w:marLeft w:val="0"/>
          <w:marRight w:val="0"/>
          <w:marTop w:val="0"/>
          <w:marBottom w:val="0"/>
          <w:divBdr>
            <w:top w:val="none" w:sz="0" w:space="0" w:color="auto"/>
            <w:left w:val="none" w:sz="0" w:space="0" w:color="auto"/>
            <w:bottom w:val="none" w:sz="0" w:space="0" w:color="auto"/>
            <w:right w:val="none" w:sz="0" w:space="0" w:color="auto"/>
          </w:divBdr>
          <w:divsChild>
            <w:div w:id="583488907">
              <w:marLeft w:val="0"/>
              <w:marRight w:val="0"/>
              <w:marTop w:val="0"/>
              <w:marBottom w:val="0"/>
              <w:divBdr>
                <w:top w:val="none" w:sz="0" w:space="0" w:color="auto"/>
                <w:left w:val="none" w:sz="0" w:space="0" w:color="auto"/>
                <w:bottom w:val="none" w:sz="0" w:space="0" w:color="auto"/>
                <w:right w:val="none" w:sz="0" w:space="0" w:color="auto"/>
              </w:divBdr>
            </w:div>
          </w:divsChild>
        </w:div>
        <w:div w:id="1342395131">
          <w:marLeft w:val="0"/>
          <w:marRight w:val="0"/>
          <w:marTop w:val="0"/>
          <w:marBottom w:val="0"/>
          <w:divBdr>
            <w:top w:val="none" w:sz="0" w:space="0" w:color="auto"/>
            <w:left w:val="none" w:sz="0" w:space="0" w:color="auto"/>
            <w:bottom w:val="none" w:sz="0" w:space="0" w:color="auto"/>
            <w:right w:val="none" w:sz="0" w:space="0" w:color="auto"/>
          </w:divBdr>
          <w:divsChild>
            <w:div w:id="1032464215">
              <w:marLeft w:val="0"/>
              <w:marRight w:val="0"/>
              <w:marTop w:val="0"/>
              <w:marBottom w:val="0"/>
              <w:divBdr>
                <w:top w:val="none" w:sz="0" w:space="0" w:color="auto"/>
                <w:left w:val="none" w:sz="0" w:space="0" w:color="auto"/>
                <w:bottom w:val="none" w:sz="0" w:space="0" w:color="auto"/>
                <w:right w:val="none" w:sz="0" w:space="0" w:color="auto"/>
              </w:divBdr>
            </w:div>
          </w:divsChild>
        </w:div>
        <w:div w:id="1346515322">
          <w:marLeft w:val="0"/>
          <w:marRight w:val="0"/>
          <w:marTop w:val="0"/>
          <w:marBottom w:val="0"/>
          <w:divBdr>
            <w:top w:val="none" w:sz="0" w:space="0" w:color="auto"/>
            <w:left w:val="none" w:sz="0" w:space="0" w:color="auto"/>
            <w:bottom w:val="none" w:sz="0" w:space="0" w:color="auto"/>
            <w:right w:val="none" w:sz="0" w:space="0" w:color="auto"/>
          </w:divBdr>
          <w:divsChild>
            <w:div w:id="475026623">
              <w:marLeft w:val="0"/>
              <w:marRight w:val="0"/>
              <w:marTop w:val="0"/>
              <w:marBottom w:val="0"/>
              <w:divBdr>
                <w:top w:val="none" w:sz="0" w:space="0" w:color="auto"/>
                <w:left w:val="none" w:sz="0" w:space="0" w:color="auto"/>
                <w:bottom w:val="none" w:sz="0" w:space="0" w:color="auto"/>
                <w:right w:val="none" w:sz="0" w:space="0" w:color="auto"/>
              </w:divBdr>
            </w:div>
          </w:divsChild>
        </w:div>
        <w:div w:id="1348364857">
          <w:marLeft w:val="0"/>
          <w:marRight w:val="0"/>
          <w:marTop w:val="0"/>
          <w:marBottom w:val="0"/>
          <w:divBdr>
            <w:top w:val="none" w:sz="0" w:space="0" w:color="auto"/>
            <w:left w:val="none" w:sz="0" w:space="0" w:color="auto"/>
            <w:bottom w:val="none" w:sz="0" w:space="0" w:color="auto"/>
            <w:right w:val="none" w:sz="0" w:space="0" w:color="auto"/>
          </w:divBdr>
          <w:divsChild>
            <w:div w:id="657536850">
              <w:marLeft w:val="0"/>
              <w:marRight w:val="0"/>
              <w:marTop w:val="0"/>
              <w:marBottom w:val="0"/>
              <w:divBdr>
                <w:top w:val="none" w:sz="0" w:space="0" w:color="auto"/>
                <w:left w:val="none" w:sz="0" w:space="0" w:color="auto"/>
                <w:bottom w:val="none" w:sz="0" w:space="0" w:color="auto"/>
                <w:right w:val="none" w:sz="0" w:space="0" w:color="auto"/>
              </w:divBdr>
            </w:div>
          </w:divsChild>
        </w:div>
        <w:div w:id="1349404130">
          <w:marLeft w:val="0"/>
          <w:marRight w:val="0"/>
          <w:marTop w:val="0"/>
          <w:marBottom w:val="0"/>
          <w:divBdr>
            <w:top w:val="none" w:sz="0" w:space="0" w:color="auto"/>
            <w:left w:val="none" w:sz="0" w:space="0" w:color="auto"/>
            <w:bottom w:val="none" w:sz="0" w:space="0" w:color="auto"/>
            <w:right w:val="none" w:sz="0" w:space="0" w:color="auto"/>
          </w:divBdr>
          <w:divsChild>
            <w:div w:id="2061592829">
              <w:marLeft w:val="0"/>
              <w:marRight w:val="0"/>
              <w:marTop w:val="0"/>
              <w:marBottom w:val="0"/>
              <w:divBdr>
                <w:top w:val="none" w:sz="0" w:space="0" w:color="auto"/>
                <w:left w:val="none" w:sz="0" w:space="0" w:color="auto"/>
                <w:bottom w:val="none" w:sz="0" w:space="0" w:color="auto"/>
                <w:right w:val="none" w:sz="0" w:space="0" w:color="auto"/>
              </w:divBdr>
            </w:div>
          </w:divsChild>
        </w:div>
        <w:div w:id="1353067962">
          <w:marLeft w:val="0"/>
          <w:marRight w:val="0"/>
          <w:marTop w:val="0"/>
          <w:marBottom w:val="0"/>
          <w:divBdr>
            <w:top w:val="none" w:sz="0" w:space="0" w:color="auto"/>
            <w:left w:val="none" w:sz="0" w:space="0" w:color="auto"/>
            <w:bottom w:val="none" w:sz="0" w:space="0" w:color="auto"/>
            <w:right w:val="none" w:sz="0" w:space="0" w:color="auto"/>
          </w:divBdr>
          <w:divsChild>
            <w:div w:id="874854699">
              <w:marLeft w:val="0"/>
              <w:marRight w:val="0"/>
              <w:marTop w:val="0"/>
              <w:marBottom w:val="0"/>
              <w:divBdr>
                <w:top w:val="none" w:sz="0" w:space="0" w:color="auto"/>
                <w:left w:val="none" w:sz="0" w:space="0" w:color="auto"/>
                <w:bottom w:val="none" w:sz="0" w:space="0" w:color="auto"/>
                <w:right w:val="none" w:sz="0" w:space="0" w:color="auto"/>
              </w:divBdr>
            </w:div>
          </w:divsChild>
        </w:div>
        <w:div w:id="1359237961">
          <w:marLeft w:val="0"/>
          <w:marRight w:val="0"/>
          <w:marTop w:val="0"/>
          <w:marBottom w:val="0"/>
          <w:divBdr>
            <w:top w:val="none" w:sz="0" w:space="0" w:color="auto"/>
            <w:left w:val="none" w:sz="0" w:space="0" w:color="auto"/>
            <w:bottom w:val="none" w:sz="0" w:space="0" w:color="auto"/>
            <w:right w:val="none" w:sz="0" w:space="0" w:color="auto"/>
          </w:divBdr>
          <w:divsChild>
            <w:div w:id="1551847432">
              <w:marLeft w:val="0"/>
              <w:marRight w:val="0"/>
              <w:marTop w:val="0"/>
              <w:marBottom w:val="0"/>
              <w:divBdr>
                <w:top w:val="none" w:sz="0" w:space="0" w:color="auto"/>
                <w:left w:val="none" w:sz="0" w:space="0" w:color="auto"/>
                <w:bottom w:val="none" w:sz="0" w:space="0" w:color="auto"/>
                <w:right w:val="none" w:sz="0" w:space="0" w:color="auto"/>
              </w:divBdr>
            </w:div>
          </w:divsChild>
        </w:div>
        <w:div w:id="1361123304">
          <w:marLeft w:val="0"/>
          <w:marRight w:val="0"/>
          <w:marTop w:val="0"/>
          <w:marBottom w:val="0"/>
          <w:divBdr>
            <w:top w:val="none" w:sz="0" w:space="0" w:color="auto"/>
            <w:left w:val="none" w:sz="0" w:space="0" w:color="auto"/>
            <w:bottom w:val="none" w:sz="0" w:space="0" w:color="auto"/>
            <w:right w:val="none" w:sz="0" w:space="0" w:color="auto"/>
          </w:divBdr>
          <w:divsChild>
            <w:div w:id="240456717">
              <w:marLeft w:val="0"/>
              <w:marRight w:val="0"/>
              <w:marTop w:val="0"/>
              <w:marBottom w:val="0"/>
              <w:divBdr>
                <w:top w:val="none" w:sz="0" w:space="0" w:color="auto"/>
                <w:left w:val="none" w:sz="0" w:space="0" w:color="auto"/>
                <w:bottom w:val="none" w:sz="0" w:space="0" w:color="auto"/>
                <w:right w:val="none" w:sz="0" w:space="0" w:color="auto"/>
              </w:divBdr>
            </w:div>
          </w:divsChild>
        </w:div>
        <w:div w:id="1362702522">
          <w:marLeft w:val="0"/>
          <w:marRight w:val="0"/>
          <w:marTop w:val="0"/>
          <w:marBottom w:val="0"/>
          <w:divBdr>
            <w:top w:val="none" w:sz="0" w:space="0" w:color="auto"/>
            <w:left w:val="none" w:sz="0" w:space="0" w:color="auto"/>
            <w:bottom w:val="none" w:sz="0" w:space="0" w:color="auto"/>
            <w:right w:val="none" w:sz="0" w:space="0" w:color="auto"/>
          </w:divBdr>
          <w:divsChild>
            <w:div w:id="1107584346">
              <w:marLeft w:val="0"/>
              <w:marRight w:val="0"/>
              <w:marTop w:val="0"/>
              <w:marBottom w:val="0"/>
              <w:divBdr>
                <w:top w:val="none" w:sz="0" w:space="0" w:color="auto"/>
                <w:left w:val="none" w:sz="0" w:space="0" w:color="auto"/>
                <w:bottom w:val="none" w:sz="0" w:space="0" w:color="auto"/>
                <w:right w:val="none" w:sz="0" w:space="0" w:color="auto"/>
              </w:divBdr>
            </w:div>
          </w:divsChild>
        </w:div>
        <w:div w:id="1364672396">
          <w:marLeft w:val="0"/>
          <w:marRight w:val="0"/>
          <w:marTop w:val="0"/>
          <w:marBottom w:val="0"/>
          <w:divBdr>
            <w:top w:val="none" w:sz="0" w:space="0" w:color="auto"/>
            <w:left w:val="none" w:sz="0" w:space="0" w:color="auto"/>
            <w:bottom w:val="none" w:sz="0" w:space="0" w:color="auto"/>
            <w:right w:val="none" w:sz="0" w:space="0" w:color="auto"/>
          </w:divBdr>
          <w:divsChild>
            <w:div w:id="594943450">
              <w:marLeft w:val="0"/>
              <w:marRight w:val="0"/>
              <w:marTop w:val="0"/>
              <w:marBottom w:val="0"/>
              <w:divBdr>
                <w:top w:val="none" w:sz="0" w:space="0" w:color="auto"/>
                <w:left w:val="none" w:sz="0" w:space="0" w:color="auto"/>
                <w:bottom w:val="none" w:sz="0" w:space="0" w:color="auto"/>
                <w:right w:val="none" w:sz="0" w:space="0" w:color="auto"/>
              </w:divBdr>
            </w:div>
          </w:divsChild>
        </w:div>
        <w:div w:id="1372193998">
          <w:marLeft w:val="0"/>
          <w:marRight w:val="0"/>
          <w:marTop w:val="0"/>
          <w:marBottom w:val="0"/>
          <w:divBdr>
            <w:top w:val="none" w:sz="0" w:space="0" w:color="auto"/>
            <w:left w:val="none" w:sz="0" w:space="0" w:color="auto"/>
            <w:bottom w:val="none" w:sz="0" w:space="0" w:color="auto"/>
            <w:right w:val="none" w:sz="0" w:space="0" w:color="auto"/>
          </w:divBdr>
          <w:divsChild>
            <w:div w:id="1293487314">
              <w:marLeft w:val="0"/>
              <w:marRight w:val="0"/>
              <w:marTop w:val="0"/>
              <w:marBottom w:val="0"/>
              <w:divBdr>
                <w:top w:val="none" w:sz="0" w:space="0" w:color="auto"/>
                <w:left w:val="none" w:sz="0" w:space="0" w:color="auto"/>
                <w:bottom w:val="none" w:sz="0" w:space="0" w:color="auto"/>
                <w:right w:val="none" w:sz="0" w:space="0" w:color="auto"/>
              </w:divBdr>
            </w:div>
          </w:divsChild>
        </w:div>
        <w:div w:id="1381904861">
          <w:marLeft w:val="0"/>
          <w:marRight w:val="0"/>
          <w:marTop w:val="0"/>
          <w:marBottom w:val="0"/>
          <w:divBdr>
            <w:top w:val="none" w:sz="0" w:space="0" w:color="auto"/>
            <w:left w:val="none" w:sz="0" w:space="0" w:color="auto"/>
            <w:bottom w:val="none" w:sz="0" w:space="0" w:color="auto"/>
            <w:right w:val="none" w:sz="0" w:space="0" w:color="auto"/>
          </w:divBdr>
          <w:divsChild>
            <w:div w:id="171916017">
              <w:marLeft w:val="0"/>
              <w:marRight w:val="0"/>
              <w:marTop w:val="0"/>
              <w:marBottom w:val="0"/>
              <w:divBdr>
                <w:top w:val="none" w:sz="0" w:space="0" w:color="auto"/>
                <w:left w:val="none" w:sz="0" w:space="0" w:color="auto"/>
                <w:bottom w:val="none" w:sz="0" w:space="0" w:color="auto"/>
                <w:right w:val="none" w:sz="0" w:space="0" w:color="auto"/>
              </w:divBdr>
            </w:div>
          </w:divsChild>
        </w:div>
        <w:div w:id="1384138052">
          <w:marLeft w:val="0"/>
          <w:marRight w:val="0"/>
          <w:marTop w:val="0"/>
          <w:marBottom w:val="0"/>
          <w:divBdr>
            <w:top w:val="none" w:sz="0" w:space="0" w:color="auto"/>
            <w:left w:val="none" w:sz="0" w:space="0" w:color="auto"/>
            <w:bottom w:val="none" w:sz="0" w:space="0" w:color="auto"/>
            <w:right w:val="none" w:sz="0" w:space="0" w:color="auto"/>
          </w:divBdr>
          <w:divsChild>
            <w:div w:id="156655965">
              <w:marLeft w:val="0"/>
              <w:marRight w:val="0"/>
              <w:marTop w:val="0"/>
              <w:marBottom w:val="0"/>
              <w:divBdr>
                <w:top w:val="none" w:sz="0" w:space="0" w:color="auto"/>
                <w:left w:val="none" w:sz="0" w:space="0" w:color="auto"/>
                <w:bottom w:val="none" w:sz="0" w:space="0" w:color="auto"/>
                <w:right w:val="none" w:sz="0" w:space="0" w:color="auto"/>
              </w:divBdr>
            </w:div>
          </w:divsChild>
        </w:div>
        <w:div w:id="1388727203">
          <w:marLeft w:val="0"/>
          <w:marRight w:val="0"/>
          <w:marTop w:val="0"/>
          <w:marBottom w:val="0"/>
          <w:divBdr>
            <w:top w:val="none" w:sz="0" w:space="0" w:color="auto"/>
            <w:left w:val="none" w:sz="0" w:space="0" w:color="auto"/>
            <w:bottom w:val="none" w:sz="0" w:space="0" w:color="auto"/>
            <w:right w:val="none" w:sz="0" w:space="0" w:color="auto"/>
          </w:divBdr>
          <w:divsChild>
            <w:div w:id="2045598285">
              <w:marLeft w:val="0"/>
              <w:marRight w:val="0"/>
              <w:marTop w:val="0"/>
              <w:marBottom w:val="0"/>
              <w:divBdr>
                <w:top w:val="none" w:sz="0" w:space="0" w:color="auto"/>
                <w:left w:val="none" w:sz="0" w:space="0" w:color="auto"/>
                <w:bottom w:val="none" w:sz="0" w:space="0" w:color="auto"/>
                <w:right w:val="none" w:sz="0" w:space="0" w:color="auto"/>
              </w:divBdr>
            </w:div>
          </w:divsChild>
        </w:div>
        <w:div w:id="1390615546">
          <w:marLeft w:val="0"/>
          <w:marRight w:val="0"/>
          <w:marTop w:val="0"/>
          <w:marBottom w:val="0"/>
          <w:divBdr>
            <w:top w:val="none" w:sz="0" w:space="0" w:color="auto"/>
            <w:left w:val="none" w:sz="0" w:space="0" w:color="auto"/>
            <w:bottom w:val="none" w:sz="0" w:space="0" w:color="auto"/>
            <w:right w:val="none" w:sz="0" w:space="0" w:color="auto"/>
          </w:divBdr>
          <w:divsChild>
            <w:div w:id="289288201">
              <w:marLeft w:val="0"/>
              <w:marRight w:val="0"/>
              <w:marTop w:val="0"/>
              <w:marBottom w:val="0"/>
              <w:divBdr>
                <w:top w:val="none" w:sz="0" w:space="0" w:color="auto"/>
                <w:left w:val="none" w:sz="0" w:space="0" w:color="auto"/>
                <w:bottom w:val="none" w:sz="0" w:space="0" w:color="auto"/>
                <w:right w:val="none" w:sz="0" w:space="0" w:color="auto"/>
              </w:divBdr>
            </w:div>
          </w:divsChild>
        </w:div>
        <w:div w:id="1405565542">
          <w:marLeft w:val="0"/>
          <w:marRight w:val="0"/>
          <w:marTop w:val="0"/>
          <w:marBottom w:val="0"/>
          <w:divBdr>
            <w:top w:val="none" w:sz="0" w:space="0" w:color="auto"/>
            <w:left w:val="none" w:sz="0" w:space="0" w:color="auto"/>
            <w:bottom w:val="none" w:sz="0" w:space="0" w:color="auto"/>
            <w:right w:val="none" w:sz="0" w:space="0" w:color="auto"/>
          </w:divBdr>
          <w:divsChild>
            <w:div w:id="2064793863">
              <w:marLeft w:val="0"/>
              <w:marRight w:val="0"/>
              <w:marTop w:val="0"/>
              <w:marBottom w:val="0"/>
              <w:divBdr>
                <w:top w:val="none" w:sz="0" w:space="0" w:color="auto"/>
                <w:left w:val="none" w:sz="0" w:space="0" w:color="auto"/>
                <w:bottom w:val="none" w:sz="0" w:space="0" w:color="auto"/>
                <w:right w:val="none" w:sz="0" w:space="0" w:color="auto"/>
              </w:divBdr>
            </w:div>
          </w:divsChild>
        </w:div>
        <w:div w:id="1405840493">
          <w:marLeft w:val="0"/>
          <w:marRight w:val="0"/>
          <w:marTop w:val="0"/>
          <w:marBottom w:val="0"/>
          <w:divBdr>
            <w:top w:val="none" w:sz="0" w:space="0" w:color="auto"/>
            <w:left w:val="none" w:sz="0" w:space="0" w:color="auto"/>
            <w:bottom w:val="none" w:sz="0" w:space="0" w:color="auto"/>
            <w:right w:val="none" w:sz="0" w:space="0" w:color="auto"/>
          </w:divBdr>
          <w:divsChild>
            <w:div w:id="1490635997">
              <w:marLeft w:val="0"/>
              <w:marRight w:val="0"/>
              <w:marTop w:val="0"/>
              <w:marBottom w:val="0"/>
              <w:divBdr>
                <w:top w:val="none" w:sz="0" w:space="0" w:color="auto"/>
                <w:left w:val="none" w:sz="0" w:space="0" w:color="auto"/>
                <w:bottom w:val="none" w:sz="0" w:space="0" w:color="auto"/>
                <w:right w:val="none" w:sz="0" w:space="0" w:color="auto"/>
              </w:divBdr>
            </w:div>
          </w:divsChild>
        </w:div>
        <w:div w:id="1411855343">
          <w:marLeft w:val="0"/>
          <w:marRight w:val="0"/>
          <w:marTop w:val="0"/>
          <w:marBottom w:val="0"/>
          <w:divBdr>
            <w:top w:val="none" w:sz="0" w:space="0" w:color="auto"/>
            <w:left w:val="none" w:sz="0" w:space="0" w:color="auto"/>
            <w:bottom w:val="none" w:sz="0" w:space="0" w:color="auto"/>
            <w:right w:val="none" w:sz="0" w:space="0" w:color="auto"/>
          </w:divBdr>
          <w:divsChild>
            <w:div w:id="1805658791">
              <w:marLeft w:val="0"/>
              <w:marRight w:val="0"/>
              <w:marTop w:val="0"/>
              <w:marBottom w:val="0"/>
              <w:divBdr>
                <w:top w:val="none" w:sz="0" w:space="0" w:color="auto"/>
                <w:left w:val="none" w:sz="0" w:space="0" w:color="auto"/>
                <w:bottom w:val="none" w:sz="0" w:space="0" w:color="auto"/>
                <w:right w:val="none" w:sz="0" w:space="0" w:color="auto"/>
              </w:divBdr>
            </w:div>
          </w:divsChild>
        </w:div>
        <w:div w:id="1413509030">
          <w:marLeft w:val="0"/>
          <w:marRight w:val="0"/>
          <w:marTop w:val="0"/>
          <w:marBottom w:val="0"/>
          <w:divBdr>
            <w:top w:val="none" w:sz="0" w:space="0" w:color="auto"/>
            <w:left w:val="none" w:sz="0" w:space="0" w:color="auto"/>
            <w:bottom w:val="none" w:sz="0" w:space="0" w:color="auto"/>
            <w:right w:val="none" w:sz="0" w:space="0" w:color="auto"/>
          </w:divBdr>
          <w:divsChild>
            <w:div w:id="1244489631">
              <w:marLeft w:val="0"/>
              <w:marRight w:val="0"/>
              <w:marTop w:val="0"/>
              <w:marBottom w:val="0"/>
              <w:divBdr>
                <w:top w:val="none" w:sz="0" w:space="0" w:color="auto"/>
                <w:left w:val="none" w:sz="0" w:space="0" w:color="auto"/>
                <w:bottom w:val="none" w:sz="0" w:space="0" w:color="auto"/>
                <w:right w:val="none" w:sz="0" w:space="0" w:color="auto"/>
              </w:divBdr>
            </w:div>
          </w:divsChild>
        </w:div>
        <w:div w:id="1420247493">
          <w:marLeft w:val="0"/>
          <w:marRight w:val="0"/>
          <w:marTop w:val="0"/>
          <w:marBottom w:val="0"/>
          <w:divBdr>
            <w:top w:val="none" w:sz="0" w:space="0" w:color="auto"/>
            <w:left w:val="none" w:sz="0" w:space="0" w:color="auto"/>
            <w:bottom w:val="none" w:sz="0" w:space="0" w:color="auto"/>
            <w:right w:val="none" w:sz="0" w:space="0" w:color="auto"/>
          </w:divBdr>
          <w:divsChild>
            <w:div w:id="1070269546">
              <w:marLeft w:val="0"/>
              <w:marRight w:val="0"/>
              <w:marTop w:val="0"/>
              <w:marBottom w:val="0"/>
              <w:divBdr>
                <w:top w:val="none" w:sz="0" w:space="0" w:color="auto"/>
                <w:left w:val="none" w:sz="0" w:space="0" w:color="auto"/>
                <w:bottom w:val="none" w:sz="0" w:space="0" w:color="auto"/>
                <w:right w:val="none" w:sz="0" w:space="0" w:color="auto"/>
              </w:divBdr>
            </w:div>
          </w:divsChild>
        </w:div>
        <w:div w:id="1426028398">
          <w:marLeft w:val="0"/>
          <w:marRight w:val="0"/>
          <w:marTop w:val="0"/>
          <w:marBottom w:val="0"/>
          <w:divBdr>
            <w:top w:val="none" w:sz="0" w:space="0" w:color="auto"/>
            <w:left w:val="none" w:sz="0" w:space="0" w:color="auto"/>
            <w:bottom w:val="none" w:sz="0" w:space="0" w:color="auto"/>
            <w:right w:val="none" w:sz="0" w:space="0" w:color="auto"/>
          </w:divBdr>
          <w:divsChild>
            <w:div w:id="795442207">
              <w:marLeft w:val="0"/>
              <w:marRight w:val="0"/>
              <w:marTop w:val="0"/>
              <w:marBottom w:val="0"/>
              <w:divBdr>
                <w:top w:val="none" w:sz="0" w:space="0" w:color="auto"/>
                <w:left w:val="none" w:sz="0" w:space="0" w:color="auto"/>
                <w:bottom w:val="none" w:sz="0" w:space="0" w:color="auto"/>
                <w:right w:val="none" w:sz="0" w:space="0" w:color="auto"/>
              </w:divBdr>
            </w:div>
          </w:divsChild>
        </w:div>
        <w:div w:id="1441340258">
          <w:marLeft w:val="0"/>
          <w:marRight w:val="0"/>
          <w:marTop w:val="0"/>
          <w:marBottom w:val="0"/>
          <w:divBdr>
            <w:top w:val="none" w:sz="0" w:space="0" w:color="auto"/>
            <w:left w:val="none" w:sz="0" w:space="0" w:color="auto"/>
            <w:bottom w:val="none" w:sz="0" w:space="0" w:color="auto"/>
            <w:right w:val="none" w:sz="0" w:space="0" w:color="auto"/>
          </w:divBdr>
          <w:divsChild>
            <w:div w:id="879053034">
              <w:marLeft w:val="0"/>
              <w:marRight w:val="0"/>
              <w:marTop w:val="0"/>
              <w:marBottom w:val="0"/>
              <w:divBdr>
                <w:top w:val="none" w:sz="0" w:space="0" w:color="auto"/>
                <w:left w:val="none" w:sz="0" w:space="0" w:color="auto"/>
                <w:bottom w:val="none" w:sz="0" w:space="0" w:color="auto"/>
                <w:right w:val="none" w:sz="0" w:space="0" w:color="auto"/>
              </w:divBdr>
            </w:div>
          </w:divsChild>
        </w:div>
        <w:div w:id="1441874012">
          <w:marLeft w:val="0"/>
          <w:marRight w:val="0"/>
          <w:marTop w:val="0"/>
          <w:marBottom w:val="0"/>
          <w:divBdr>
            <w:top w:val="none" w:sz="0" w:space="0" w:color="auto"/>
            <w:left w:val="none" w:sz="0" w:space="0" w:color="auto"/>
            <w:bottom w:val="none" w:sz="0" w:space="0" w:color="auto"/>
            <w:right w:val="none" w:sz="0" w:space="0" w:color="auto"/>
          </w:divBdr>
          <w:divsChild>
            <w:div w:id="1425880984">
              <w:marLeft w:val="0"/>
              <w:marRight w:val="0"/>
              <w:marTop w:val="0"/>
              <w:marBottom w:val="0"/>
              <w:divBdr>
                <w:top w:val="none" w:sz="0" w:space="0" w:color="auto"/>
                <w:left w:val="none" w:sz="0" w:space="0" w:color="auto"/>
                <w:bottom w:val="none" w:sz="0" w:space="0" w:color="auto"/>
                <w:right w:val="none" w:sz="0" w:space="0" w:color="auto"/>
              </w:divBdr>
            </w:div>
          </w:divsChild>
        </w:div>
        <w:div w:id="1446845647">
          <w:marLeft w:val="0"/>
          <w:marRight w:val="0"/>
          <w:marTop w:val="0"/>
          <w:marBottom w:val="0"/>
          <w:divBdr>
            <w:top w:val="none" w:sz="0" w:space="0" w:color="auto"/>
            <w:left w:val="none" w:sz="0" w:space="0" w:color="auto"/>
            <w:bottom w:val="none" w:sz="0" w:space="0" w:color="auto"/>
            <w:right w:val="none" w:sz="0" w:space="0" w:color="auto"/>
          </w:divBdr>
          <w:divsChild>
            <w:div w:id="1607738579">
              <w:marLeft w:val="0"/>
              <w:marRight w:val="0"/>
              <w:marTop w:val="0"/>
              <w:marBottom w:val="0"/>
              <w:divBdr>
                <w:top w:val="none" w:sz="0" w:space="0" w:color="auto"/>
                <w:left w:val="none" w:sz="0" w:space="0" w:color="auto"/>
                <w:bottom w:val="none" w:sz="0" w:space="0" w:color="auto"/>
                <w:right w:val="none" w:sz="0" w:space="0" w:color="auto"/>
              </w:divBdr>
            </w:div>
          </w:divsChild>
        </w:div>
        <w:div w:id="1447037639">
          <w:marLeft w:val="0"/>
          <w:marRight w:val="0"/>
          <w:marTop w:val="0"/>
          <w:marBottom w:val="0"/>
          <w:divBdr>
            <w:top w:val="none" w:sz="0" w:space="0" w:color="auto"/>
            <w:left w:val="none" w:sz="0" w:space="0" w:color="auto"/>
            <w:bottom w:val="none" w:sz="0" w:space="0" w:color="auto"/>
            <w:right w:val="none" w:sz="0" w:space="0" w:color="auto"/>
          </w:divBdr>
          <w:divsChild>
            <w:div w:id="360786342">
              <w:marLeft w:val="0"/>
              <w:marRight w:val="0"/>
              <w:marTop w:val="0"/>
              <w:marBottom w:val="0"/>
              <w:divBdr>
                <w:top w:val="none" w:sz="0" w:space="0" w:color="auto"/>
                <w:left w:val="none" w:sz="0" w:space="0" w:color="auto"/>
                <w:bottom w:val="none" w:sz="0" w:space="0" w:color="auto"/>
                <w:right w:val="none" w:sz="0" w:space="0" w:color="auto"/>
              </w:divBdr>
            </w:div>
          </w:divsChild>
        </w:div>
        <w:div w:id="1447695484">
          <w:marLeft w:val="0"/>
          <w:marRight w:val="0"/>
          <w:marTop w:val="0"/>
          <w:marBottom w:val="0"/>
          <w:divBdr>
            <w:top w:val="none" w:sz="0" w:space="0" w:color="auto"/>
            <w:left w:val="none" w:sz="0" w:space="0" w:color="auto"/>
            <w:bottom w:val="none" w:sz="0" w:space="0" w:color="auto"/>
            <w:right w:val="none" w:sz="0" w:space="0" w:color="auto"/>
          </w:divBdr>
          <w:divsChild>
            <w:div w:id="779568775">
              <w:marLeft w:val="0"/>
              <w:marRight w:val="0"/>
              <w:marTop w:val="0"/>
              <w:marBottom w:val="0"/>
              <w:divBdr>
                <w:top w:val="none" w:sz="0" w:space="0" w:color="auto"/>
                <w:left w:val="none" w:sz="0" w:space="0" w:color="auto"/>
                <w:bottom w:val="none" w:sz="0" w:space="0" w:color="auto"/>
                <w:right w:val="none" w:sz="0" w:space="0" w:color="auto"/>
              </w:divBdr>
            </w:div>
          </w:divsChild>
        </w:div>
        <w:div w:id="1449277640">
          <w:marLeft w:val="0"/>
          <w:marRight w:val="0"/>
          <w:marTop w:val="0"/>
          <w:marBottom w:val="0"/>
          <w:divBdr>
            <w:top w:val="none" w:sz="0" w:space="0" w:color="auto"/>
            <w:left w:val="none" w:sz="0" w:space="0" w:color="auto"/>
            <w:bottom w:val="none" w:sz="0" w:space="0" w:color="auto"/>
            <w:right w:val="none" w:sz="0" w:space="0" w:color="auto"/>
          </w:divBdr>
          <w:divsChild>
            <w:div w:id="353456149">
              <w:marLeft w:val="0"/>
              <w:marRight w:val="0"/>
              <w:marTop w:val="0"/>
              <w:marBottom w:val="0"/>
              <w:divBdr>
                <w:top w:val="none" w:sz="0" w:space="0" w:color="auto"/>
                <w:left w:val="none" w:sz="0" w:space="0" w:color="auto"/>
                <w:bottom w:val="none" w:sz="0" w:space="0" w:color="auto"/>
                <w:right w:val="none" w:sz="0" w:space="0" w:color="auto"/>
              </w:divBdr>
            </w:div>
          </w:divsChild>
        </w:div>
        <w:div w:id="1449660736">
          <w:marLeft w:val="0"/>
          <w:marRight w:val="0"/>
          <w:marTop w:val="0"/>
          <w:marBottom w:val="0"/>
          <w:divBdr>
            <w:top w:val="none" w:sz="0" w:space="0" w:color="auto"/>
            <w:left w:val="none" w:sz="0" w:space="0" w:color="auto"/>
            <w:bottom w:val="none" w:sz="0" w:space="0" w:color="auto"/>
            <w:right w:val="none" w:sz="0" w:space="0" w:color="auto"/>
          </w:divBdr>
          <w:divsChild>
            <w:div w:id="2108184991">
              <w:marLeft w:val="0"/>
              <w:marRight w:val="0"/>
              <w:marTop w:val="0"/>
              <w:marBottom w:val="0"/>
              <w:divBdr>
                <w:top w:val="none" w:sz="0" w:space="0" w:color="auto"/>
                <w:left w:val="none" w:sz="0" w:space="0" w:color="auto"/>
                <w:bottom w:val="none" w:sz="0" w:space="0" w:color="auto"/>
                <w:right w:val="none" w:sz="0" w:space="0" w:color="auto"/>
              </w:divBdr>
            </w:div>
          </w:divsChild>
        </w:div>
        <w:div w:id="1450540904">
          <w:marLeft w:val="0"/>
          <w:marRight w:val="0"/>
          <w:marTop w:val="0"/>
          <w:marBottom w:val="0"/>
          <w:divBdr>
            <w:top w:val="none" w:sz="0" w:space="0" w:color="auto"/>
            <w:left w:val="none" w:sz="0" w:space="0" w:color="auto"/>
            <w:bottom w:val="none" w:sz="0" w:space="0" w:color="auto"/>
            <w:right w:val="none" w:sz="0" w:space="0" w:color="auto"/>
          </w:divBdr>
          <w:divsChild>
            <w:div w:id="575750397">
              <w:marLeft w:val="0"/>
              <w:marRight w:val="0"/>
              <w:marTop w:val="0"/>
              <w:marBottom w:val="0"/>
              <w:divBdr>
                <w:top w:val="none" w:sz="0" w:space="0" w:color="auto"/>
                <w:left w:val="none" w:sz="0" w:space="0" w:color="auto"/>
                <w:bottom w:val="none" w:sz="0" w:space="0" w:color="auto"/>
                <w:right w:val="none" w:sz="0" w:space="0" w:color="auto"/>
              </w:divBdr>
            </w:div>
          </w:divsChild>
        </w:div>
        <w:div w:id="1451826180">
          <w:marLeft w:val="0"/>
          <w:marRight w:val="0"/>
          <w:marTop w:val="0"/>
          <w:marBottom w:val="0"/>
          <w:divBdr>
            <w:top w:val="none" w:sz="0" w:space="0" w:color="auto"/>
            <w:left w:val="none" w:sz="0" w:space="0" w:color="auto"/>
            <w:bottom w:val="none" w:sz="0" w:space="0" w:color="auto"/>
            <w:right w:val="none" w:sz="0" w:space="0" w:color="auto"/>
          </w:divBdr>
          <w:divsChild>
            <w:div w:id="190609926">
              <w:marLeft w:val="0"/>
              <w:marRight w:val="0"/>
              <w:marTop w:val="0"/>
              <w:marBottom w:val="0"/>
              <w:divBdr>
                <w:top w:val="none" w:sz="0" w:space="0" w:color="auto"/>
                <w:left w:val="none" w:sz="0" w:space="0" w:color="auto"/>
                <w:bottom w:val="none" w:sz="0" w:space="0" w:color="auto"/>
                <w:right w:val="none" w:sz="0" w:space="0" w:color="auto"/>
              </w:divBdr>
            </w:div>
          </w:divsChild>
        </w:div>
        <w:div w:id="1453939934">
          <w:marLeft w:val="0"/>
          <w:marRight w:val="0"/>
          <w:marTop w:val="0"/>
          <w:marBottom w:val="0"/>
          <w:divBdr>
            <w:top w:val="none" w:sz="0" w:space="0" w:color="auto"/>
            <w:left w:val="none" w:sz="0" w:space="0" w:color="auto"/>
            <w:bottom w:val="none" w:sz="0" w:space="0" w:color="auto"/>
            <w:right w:val="none" w:sz="0" w:space="0" w:color="auto"/>
          </w:divBdr>
          <w:divsChild>
            <w:div w:id="111822138">
              <w:marLeft w:val="0"/>
              <w:marRight w:val="0"/>
              <w:marTop w:val="0"/>
              <w:marBottom w:val="0"/>
              <w:divBdr>
                <w:top w:val="none" w:sz="0" w:space="0" w:color="auto"/>
                <w:left w:val="none" w:sz="0" w:space="0" w:color="auto"/>
                <w:bottom w:val="none" w:sz="0" w:space="0" w:color="auto"/>
                <w:right w:val="none" w:sz="0" w:space="0" w:color="auto"/>
              </w:divBdr>
            </w:div>
          </w:divsChild>
        </w:div>
        <w:div w:id="1462458992">
          <w:marLeft w:val="0"/>
          <w:marRight w:val="0"/>
          <w:marTop w:val="0"/>
          <w:marBottom w:val="0"/>
          <w:divBdr>
            <w:top w:val="none" w:sz="0" w:space="0" w:color="auto"/>
            <w:left w:val="none" w:sz="0" w:space="0" w:color="auto"/>
            <w:bottom w:val="none" w:sz="0" w:space="0" w:color="auto"/>
            <w:right w:val="none" w:sz="0" w:space="0" w:color="auto"/>
          </w:divBdr>
          <w:divsChild>
            <w:div w:id="241523073">
              <w:marLeft w:val="0"/>
              <w:marRight w:val="0"/>
              <w:marTop w:val="0"/>
              <w:marBottom w:val="0"/>
              <w:divBdr>
                <w:top w:val="none" w:sz="0" w:space="0" w:color="auto"/>
                <w:left w:val="none" w:sz="0" w:space="0" w:color="auto"/>
                <w:bottom w:val="none" w:sz="0" w:space="0" w:color="auto"/>
                <w:right w:val="none" w:sz="0" w:space="0" w:color="auto"/>
              </w:divBdr>
            </w:div>
          </w:divsChild>
        </w:div>
        <w:div w:id="1462767120">
          <w:marLeft w:val="0"/>
          <w:marRight w:val="0"/>
          <w:marTop w:val="0"/>
          <w:marBottom w:val="0"/>
          <w:divBdr>
            <w:top w:val="none" w:sz="0" w:space="0" w:color="auto"/>
            <w:left w:val="none" w:sz="0" w:space="0" w:color="auto"/>
            <w:bottom w:val="none" w:sz="0" w:space="0" w:color="auto"/>
            <w:right w:val="none" w:sz="0" w:space="0" w:color="auto"/>
          </w:divBdr>
          <w:divsChild>
            <w:div w:id="271976484">
              <w:marLeft w:val="0"/>
              <w:marRight w:val="0"/>
              <w:marTop w:val="0"/>
              <w:marBottom w:val="0"/>
              <w:divBdr>
                <w:top w:val="none" w:sz="0" w:space="0" w:color="auto"/>
                <w:left w:val="none" w:sz="0" w:space="0" w:color="auto"/>
                <w:bottom w:val="none" w:sz="0" w:space="0" w:color="auto"/>
                <w:right w:val="none" w:sz="0" w:space="0" w:color="auto"/>
              </w:divBdr>
            </w:div>
          </w:divsChild>
        </w:div>
        <w:div w:id="1463383007">
          <w:marLeft w:val="0"/>
          <w:marRight w:val="0"/>
          <w:marTop w:val="0"/>
          <w:marBottom w:val="0"/>
          <w:divBdr>
            <w:top w:val="none" w:sz="0" w:space="0" w:color="auto"/>
            <w:left w:val="none" w:sz="0" w:space="0" w:color="auto"/>
            <w:bottom w:val="none" w:sz="0" w:space="0" w:color="auto"/>
            <w:right w:val="none" w:sz="0" w:space="0" w:color="auto"/>
          </w:divBdr>
          <w:divsChild>
            <w:div w:id="605694724">
              <w:marLeft w:val="0"/>
              <w:marRight w:val="0"/>
              <w:marTop w:val="0"/>
              <w:marBottom w:val="0"/>
              <w:divBdr>
                <w:top w:val="none" w:sz="0" w:space="0" w:color="auto"/>
                <w:left w:val="none" w:sz="0" w:space="0" w:color="auto"/>
                <w:bottom w:val="none" w:sz="0" w:space="0" w:color="auto"/>
                <w:right w:val="none" w:sz="0" w:space="0" w:color="auto"/>
              </w:divBdr>
            </w:div>
          </w:divsChild>
        </w:div>
        <w:div w:id="1466462126">
          <w:marLeft w:val="0"/>
          <w:marRight w:val="0"/>
          <w:marTop w:val="0"/>
          <w:marBottom w:val="0"/>
          <w:divBdr>
            <w:top w:val="none" w:sz="0" w:space="0" w:color="auto"/>
            <w:left w:val="none" w:sz="0" w:space="0" w:color="auto"/>
            <w:bottom w:val="none" w:sz="0" w:space="0" w:color="auto"/>
            <w:right w:val="none" w:sz="0" w:space="0" w:color="auto"/>
          </w:divBdr>
          <w:divsChild>
            <w:div w:id="917790766">
              <w:marLeft w:val="0"/>
              <w:marRight w:val="0"/>
              <w:marTop w:val="0"/>
              <w:marBottom w:val="0"/>
              <w:divBdr>
                <w:top w:val="none" w:sz="0" w:space="0" w:color="auto"/>
                <w:left w:val="none" w:sz="0" w:space="0" w:color="auto"/>
                <w:bottom w:val="none" w:sz="0" w:space="0" w:color="auto"/>
                <w:right w:val="none" w:sz="0" w:space="0" w:color="auto"/>
              </w:divBdr>
            </w:div>
          </w:divsChild>
        </w:div>
        <w:div w:id="1466462502">
          <w:marLeft w:val="0"/>
          <w:marRight w:val="0"/>
          <w:marTop w:val="0"/>
          <w:marBottom w:val="0"/>
          <w:divBdr>
            <w:top w:val="none" w:sz="0" w:space="0" w:color="auto"/>
            <w:left w:val="none" w:sz="0" w:space="0" w:color="auto"/>
            <w:bottom w:val="none" w:sz="0" w:space="0" w:color="auto"/>
            <w:right w:val="none" w:sz="0" w:space="0" w:color="auto"/>
          </w:divBdr>
          <w:divsChild>
            <w:div w:id="388378770">
              <w:marLeft w:val="0"/>
              <w:marRight w:val="0"/>
              <w:marTop w:val="0"/>
              <w:marBottom w:val="0"/>
              <w:divBdr>
                <w:top w:val="none" w:sz="0" w:space="0" w:color="auto"/>
                <w:left w:val="none" w:sz="0" w:space="0" w:color="auto"/>
                <w:bottom w:val="none" w:sz="0" w:space="0" w:color="auto"/>
                <w:right w:val="none" w:sz="0" w:space="0" w:color="auto"/>
              </w:divBdr>
            </w:div>
          </w:divsChild>
        </w:div>
        <w:div w:id="1477378728">
          <w:marLeft w:val="0"/>
          <w:marRight w:val="0"/>
          <w:marTop w:val="0"/>
          <w:marBottom w:val="0"/>
          <w:divBdr>
            <w:top w:val="none" w:sz="0" w:space="0" w:color="auto"/>
            <w:left w:val="none" w:sz="0" w:space="0" w:color="auto"/>
            <w:bottom w:val="none" w:sz="0" w:space="0" w:color="auto"/>
            <w:right w:val="none" w:sz="0" w:space="0" w:color="auto"/>
          </w:divBdr>
          <w:divsChild>
            <w:div w:id="1100837094">
              <w:marLeft w:val="0"/>
              <w:marRight w:val="0"/>
              <w:marTop w:val="0"/>
              <w:marBottom w:val="0"/>
              <w:divBdr>
                <w:top w:val="none" w:sz="0" w:space="0" w:color="auto"/>
                <w:left w:val="none" w:sz="0" w:space="0" w:color="auto"/>
                <w:bottom w:val="none" w:sz="0" w:space="0" w:color="auto"/>
                <w:right w:val="none" w:sz="0" w:space="0" w:color="auto"/>
              </w:divBdr>
            </w:div>
          </w:divsChild>
        </w:div>
        <w:div w:id="1484002020">
          <w:marLeft w:val="0"/>
          <w:marRight w:val="0"/>
          <w:marTop w:val="0"/>
          <w:marBottom w:val="0"/>
          <w:divBdr>
            <w:top w:val="none" w:sz="0" w:space="0" w:color="auto"/>
            <w:left w:val="none" w:sz="0" w:space="0" w:color="auto"/>
            <w:bottom w:val="none" w:sz="0" w:space="0" w:color="auto"/>
            <w:right w:val="none" w:sz="0" w:space="0" w:color="auto"/>
          </w:divBdr>
          <w:divsChild>
            <w:div w:id="1165584163">
              <w:marLeft w:val="0"/>
              <w:marRight w:val="0"/>
              <w:marTop w:val="0"/>
              <w:marBottom w:val="0"/>
              <w:divBdr>
                <w:top w:val="none" w:sz="0" w:space="0" w:color="auto"/>
                <w:left w:val="none" w:sz="0" w:space="0" w:color="auto"/>
                <w:bottom w:val="none" w:sz="0" w:space="0" w:color="auto"/>
                <w:right w:val="none" w:sz="0" w:space="0" w:color="auto"/>
              </w:divBdr>
            </w:div>
          </w:divsChild>
        </w:div>
        <w:div w:id="1495417694">
          <w:marLeft w:val="0"/>
          <w:marRight w:val="0"/>
          <w:marTop w:val="0"/>
          <w:marBottom w:val="0"/>
          <w:divBdr>
            <w:top w:val="none" w:sz="0" w:space="0" w:color="auto"/>
            <w:left w:val="none" w:sz="0" w:space="0" w:color="auto"/>
            <w:bottom w:val="none" w:sz="0" w:space="0" w:color="auto"/>
            <w:right w:val="none" w:sz="0" w:space="0" w:color="auto"/>
          </w:divBdr>
          <w:divsChild>
            <w:div w:id="1152601669">
              <w:marLeft w:val="0"/>
              <w:marRight w:val="0"/>
              <w:marTop w:val="0"/>
              <w:marBottom w:val="0"/>
              <w:divBdr>
                <w:top w:val="none" w:sz="0" w:space="0" w:color="auto"/>
                <w:left w:val="none" w:sz="0" w:space="0" w:color="auto"/>
                <w:bottom w:val="none" w:sz="0" w:space="0" w:color="auto"/>
                <w:right w:val="none" w:sz="0" w:space="0" w:color="auto"/>
              </w:divBdr>
            </w:div>
          </w:divsChild>
        </w:div>
        <w:div w:id="1495679275">
          <w:marLeft w:val="0"/>
          <w:marRight w:val="0"/>
          <w:marTop w:val="0"/>
          <w:marBottom w:val="0"/>
          <w:divBdr>
            <w:top w:val="none" w:sz="0" w:space="0" w:color="auto"/>
            <w:left w:val="none" w:sz="0" w:space="0" w:color="auto"/>
            <w:bottom w:val="none" w:sz="0" w:space="0" w:color="auto"/>
            <w:right w:val="none" w:sz="0" w:space="0" w:color="auto"/>
          </w:divBdr>
          <w:divsChild>
            <w:div w:id="1792237897">
              <w:marLeft w:val="0"/>
              <w:marRight w:val="0"/>
              <w:marTop w:val="0"/>
              <w:marBottom w:val="0"/>
              <w:divBdr>
                <w:top w:val="none" w:sz="0" w:space="0" w:color="auto"/>
                <w:left w:val="none" w:sz="0" w:space="0" w:color="auto"/>
                <w:bottom w:val="none" w:sz="0" w:space="0" w:color="auto"/>
                <w:right w:val="none" w:sz="0" w:space="0" w:color="auto"/>
              </w:divBdr>
            </w:div>
          </w:divsChild>
        </w:div>
        <w:div w:id="1499036472">
          <w:marLeft w:val="0"/>
          <w:marRight w:val="0"/>
          <w:marTop w:val="0"/>
          <w:marBottom w:val="0"/>
          <w:divBdr>
            <w:top w:val="none" w:sz="0" w:space="0" w:color="auto"/>
            <w:left w:val="none" w:sz="0" w:space="0" w:color="auto"/>
            <w:bottom w:val="none" w:sz="0" w:space="0" w:color="auto"/>
            <w:right w:val="none" w:sz="0" w:space="0" w:color="auto"/>
          </w:divBdr>
          <w:divsChild>
            <w:div w:id="1217666676">
              <w:marLeft w:val="0"/>
              <w:marRight w:val="0"/>
              <w:marTop w:val="0"/>
              <w:marBottom w:val="0"/>
              <w:divBdr>
                <w:top w:val="none" w:sz="0" w:space="0" w:color="auto"/>
                <w:left w:val="none" w:sz="0" w:space="0" w:color="auto"/>
                <w:bottom w:val="none" w:sz="0" w:space="0" w:color="auto"/>
                <w:right w:val="none" w:sz="0" w:space="0" w:color="auto"/>
              </w:divBdr>
            </w:div>
          </w:divsChild>
        </w:div>
        <w:div w:id="1500077861">
          <w:marLeft w:val="0"/>
          <w:marRight w:val="0"/>
          <w:marTop w:val="0"/>
          <w:marBottom w:val="0"/>
          <w:divBdr>
            <w:top w:val="none" w:sz="0" w:space="0" w:color="auto"/>
            <w:left w:val="none" w:sz="0" w:space="0" w:color="auto"/>
            <w:bottom w:val="none" w:sz="0" w:space="0" w:color="auto"/>
            <w:right w:val="none" w:sz="0" w:space="0" w:color="auto"/>
          </w:divBdr>
          <w:divsChild>
            <w:div w:id="555630922">
              <w:marLeft w:val="0"/>
              <w:marRight w:val="0"/>
              <w:marTop w:val="0"/>
              <w:marBottom w:val="0"/>
              <w:divBdr>
                <w:top w:val="none" w:sz="0" w:space="0" w:color="auto"/>
                <w:left w:val="none" w:sz="0" w:space="0" w:color="auto"/>
                <w:bottom w:val="none" w:sz="0" w:space="0" w:color="auto"/>
                <w:right w:val="none" w:sz="0" w:space="0" w:color="auto"/>
              </w:divBdr>
            </w:div>
          </w:divsChild>
        </w:div>
        <w:div w:id="1502817716">
          <w:marLeft w:val="0"/>
          <w:marRight w:val="0"/>
          <w:marTop w:val="0"/>
          <w:marBottom w:val="0"/>
          <w:divBdr>
            <w:top w:val="none" w:sz="0" w:space="0" w:color="auto"/>
            <w:left w:val="none" w:sz="0" w:space="0" w:color="auto"/>
            <w:bottom w:val="none" w:sz="0" w:space="0" w:color="auto"/>
            <w:right w:val="none" w:sz="0" w:space="0" w:color="auto"/>
          </w:divBdr>
          <w:divsChild>
            <w:div w:id="1063525367">
              <w:marLeft w:val="0"/>
              <w:marRight w:val="0"/>
              <w:marTop w:val="0"/>
              <w:marBottom w:val="0"/>
              <w:divBdr>
                <w:top w:val="none" w:sz="0" w:space="0" w:color="auto"/>
                <w:left w:val="none" w:sz="0" w:space="0" w:color="auto"/>
                <w:bottom w:val="none" w:sz="0" w:space="0" w:color="auto"/>
                <w:right w:val="none" w:sz="0" w:space="0" w:color="auto"/>
              </w:divBdr>
            </w:div>
          </w:divsChild>
        </w:div>
        <w:div w:id="1507554391">
          <w:marLeft w:val="0"/>
          <w:marRight w:val="0"/>
          <w:marTop w:val="0"/>
          <w:marBottom w:val="0"/>
          <w:divBdr>
            <w:top w:val="none" w:sz="0" w:space="0" w:color="auto"/>
            <w:left w:val="none" w:sz="0" w:space="0" w:color="auto"/>
            <w:bottom w:val="none" w:sz="0" w:space="0" w:color="auto"/>
            <w:right w:val="none" w:sz="0" w:space="0" w:color="auto"/>
          </w:divBdr>
          <w:divsChild>
            <w:div w:id="400257811">
              <w:marLeft w:val="0"/>
              <w:marRight w:val="0"/>
              <w:marTop w:val="0"/>
              <w:marBottom w:val="0"/>
              <w:divBdr>
                <w:top w:val="none" w:sz="0" w:space="0" w:color="auto"/>
                <w:left w:val="none" w:sz="0" w:space="0" w:color="auto"/>
                <w:bottom w:val="none" w:sz="0" w:space="0" w:color="auto"/>
                <w:right w:val="none" w:sz="0" w:space="0" w:color="auto"/>
              </w:divBdr>
            </w:div>
          </w:divsChild>
        </w:div>
        <w:div w:id="1508205405">
          <w:marLeft w:val="0"/>
          <w:marRight w:val="0"/>
          <w:marTop w:val="0"/>
          <w:marBottom w:val="0"/>
          <w:divBdr>
            <w:top w:val="none" w:sz="0" w:space="0" w:color="auto"/>
            <w:left w:val="none" w:sz="0" w:space="0" w:color="auto"/>
            <w:bottom w:val="none" w:sz="0" w:space="0" w:color="auto"/>
            <w:right w:val="none" w:sz="0" w:space="0" w:color="auto"/>
          </w:divBdr>
          <w:divsChild>
            <w:div w:id="1659771087">
              <w:marLeft w:val="0"/>
              <w:marRight w:val="0"/>
              <w:marTop w:val="0"/>
              <w:marBottom w:val="0"/>
              <w:divBdr>
                <w:top w:val="none" w:sz="0" w:space="0" w:color="auto"/>
                <w:left w:val="none" w:sz="0" w:space="0" w:color="auto"/>
                <w:bottom w:val="none" w:sz="0" w:space="0" w:color="auto"/>
                <w:right w:val="none" w:sz="0" w:space="0" w:color="auto"/>
              </w:divBdr>
            </w:div>
          </w:divsChild>
        </w:div>
        <w:div w:id="1508207747">
          <w:marLeft w:val="0"/>
          <w:marRight w:val="0"/>
          <w:marTop w:val="0"/>
          <w:marBottom w:val="0"/>
          <w:divBdr>
            <w:top w:val="none" w:sz="0" w:space="0" w:color="auto"/>
            <w:left w:val="none" w:sz="0" w:space="0" w:color="auto"/>
            <w:bottom w:val="none" w:sz="0" w:space="0" w:color="auto"/>
            <w:right w:val="none" w:sz="0" w:space="0" w:color="auto"/>
          </w:divBdr>
          <w:divsChild>
            <w:div w:id="2041007612">
              <w:marLeft w:val="0"/>
              <w:marRight w:val="0"/>
              <w:marTop w:val="0"/>
              <w:marBottom w:val="0"/>
              <w:divBdr>
                <w:top w:val="none" w:sz="0" w:space="0" w:color="auto"/>
                <w:left w:val="none" w:sz="0" w:space="0" w:color="auto"/>
                <w:bottom w:val="none" w:sz="0" w:space="0" w:color="auto"/>
                <w:right w:val="none" w:sz="0" w:space="0" w:color="auto"/>
              </w:divBdr>
            </w:div>
          </w:divsChild>
        </w:div>
        <w:div w:id="1510876217">
          <w:marLeft w:val="0"/>
          <w:marRight w:val="0"/>
          <w:marTop w:val="0"/>
          <w:marBottom w:val="0"/>
          <w:divBdr>
            <w:top w:val="none" w:sz="0" w:space="0" w:color="auto"/>
            <w:left w:val="none" w:sz="0" w:space="0" w:color="auto"/>
            <w:bottom w:val="none" w:sz="0" w:space="0" w:color="auto"/>
            <w:right w:val="none" w:sz="0" w:space="0" w:color="auto"/>
          </w:divBdr>
          <w:divsChild>
            <w:div w:id="2083140407">
              <w:marLeft w:val="0"/>
              <w:marRight w:val="0"/>
              <w:marTop w:val="0"/>
              <w:marBottom w:val="0"/>
              <w:divBdr>
                <w:top w:val="none" w:sz="0" w:space="0" w:color="auto"/>
                <w:left w:val="none" w:sz="0" w:space="0" w:color="auto"/>
                <w:bottom w:val="none" w:sz="0" w:space="0" w:color="auto"/>
                <w:right w:val="none" w:sz="0" w:space="0" w:color="auto"/>
              </w:divBdr>
            </w:div>
          </w:divsChild>
        </w:div>
        <w:div w:id="1511069817">
          <w:marLeft w:val="0"/>
          <w:marRight w:val="0"/>
          <w:marTop w:val="0"/>
          <w:marBottom w:val="0"/>
          <w:divBdr>
            <w:top w:val="none" w:sz="0" w:space="0" w:color="auto"/>
            <w:left w:val="none" w:sz="0" w:space="0" w:color="auto"/>
            <w:bottom w:val="none" w:sz="0" w:space="0" w:color="auto"/>
            <w:right w:val="none" w:sz="0" w:space="0" w:color="auto"/>
          </w:divBdr>
          <w:divsChild>
            <w:div w:id="347173658">
              <w:marLeft w:val="0"/>
              <w:marRight w:val="0"/>
              <w:marTop w:val="0"/>
              <w:marBottom w:val="0"/>
              <w:divBdr>
                <w:top w:val="none" w:sz="0" w:space="0" w:color="auto"/>
                <w:left w:val="none" w:sz="0" w:space="0" w:color="auto"/>
                <w:bottom w:val="none" w:sz="0" w:space="0" w:color="auto"/>
                <w:right w:val="none" w:sz="0" w:space="0" w:color="auto"/>
              </w:divBdr>
            </w:div>
          </w:divsChild>
        </w:div>
        <w:div w:id="1518156902">
          <w:marLeft w:val="0"/>
          <w:marRight w:val="0"/>
          <w:marTop w:val="0"/>
          <w:marBottom w:val="0"/>
          <w:divBdr>
            <w:top w:val="none" w:sz="0" w:space="0" w:color="auto"/>
            <w:left w:val="none" w:sz="0" w:space="0" w:color="auto"/>
            <w:bottom w:val="none" w:sz="0" w:space="0" w:color="auto"/>
            <w:right w:val="none" w:sz="0" w:space="0" w:color="auto"/>
          </w:divBdr>
          <w:divsChild>
            <w:div w:id="2006738693">
              <w:marLeft w:val="0"/>
              <w:marRight w:val="0"/>
              <w:marTop w:val="0"/>
              <w:marBottom w:val="0"/>
              <w:divBdr>
                <w:top w:val="none" w:sz="0" w:space="0" w:color="auto"/>
                <w:left w:val="none" w:sz="0" w:space="0" w:color="auto"/>
                <w:bottom w:val="none" w:sz="0" w:space="0" w:color="auto"/>
                <w:right w:val="none" w:sz="0" w:space="0" w:color="auto"/>
              </w:divBdr>
            </w:div>
          </w:divsChild>
        </w:div>
        <w:div w:id="1520856511">
          <w:marLeft w:val="0"/>
          <w:marRight w:val="0"/>
          <w:marTop w:val="0"/>
          <w:marBottom w:val="0"/>
          <w:divBdr>
            <w:top w:val="none" w:sz="0" w:space="0" w:color="auto"/>
            <w:left w:val="none" w:sz="0" w:space="0" w:color="auto"/>
            <w:bottom w:val="none" w:sz="0" w:space="0" w:color="auto"/>
            <w:right w:val="none" w:sz="0" w:space="0" w:color="auto"/>
          </w:divBdr>
          <w:divsChild>
            <w:div w:id="436606286">
              <w:marLeft w:val="0"/>
              <w:marRight w:val="0"/>
              <w:marTop w:val="0"/>
              <w:marBottom w:val="0"/>
              <w:divBdr>
                <w:top w:val="none" w:sz="0" w:space="0" w:color="auto"/>
                <w:left w:val="none" w:sz="0" w:space="0" w:color="auto"/>
                <w:bottom w:val="none" w:sz="0" w:space="0" w:color="auto"/>
                <w:right w:val="none" w:sz="0" w:space="0" w:color="auto"/>
              </w:divBdr>
            </w:div>
          </w:divsChild>
        </w:div>
        <w:div w:id="1530290659">
          <w:marLeft w:val="0"/>
          <w:marRight w:val="0"/>
          <w:marTop w:val="0"/>
          <w:marBottom w:val="0"/>
          <w:divBdr>
            <w:top w:val="none" w:sz="0" w:space="0" w:color="auto"/>
            <w:left w:val="none" w:sz="0" w:space="0" w:color="auto"/>
            <w:bottom w:val="none" w:sz="0" w:space="0" w:color="auto"/>
            <w:right w:val="none" w:sz="0" w:space="0" w:color="auto"/>
          </w:divBdr>
          <w:divsChild>
            <w:div w:id="880946655">
              <w:marLeft w:val="0"/>
              <w:marRight w:val="0"/>
              <w:marTop w:val="0"/>
              <w:marBottom w:val="0"/>
              <w:divBdr>
                <w:top w:val="none" w:sz="0" w:space="0" w:color="auto"/>
                <w:left w:val="none" w:sz="0" w:space="0" w:color="auto"/>
                <w:bottom w:val="none" w:sz="0" w:space="0" w:color="auto"/>
                <w:right w:val="none" w:sz="0" w:space="0" w:color="auto"/>
              </w:divBdr>
            </w:div>
          </w:divsChild>
        </w:div>
        <w:div w:id="1531917371">
          <w:marLeft w:val="0"/>
          <w:marRight w:val="0"/>
          <w:marTop w:val="0"/>
          <w:marBottom w:val="0"/>
          <w:divBdr>
            <w:top w:val="none" w:sz="0" w:space="0" w:color="auto"/>
            <w:left w:val="none" w:sz="0" w:space="0" w:color="auto"/>
            <w:bottom w:val="none" w:sz="0" w:space="0" w:color="auto"/>
            <w:right w:val="none" w:sz="0" w:space="0" w:color="auto"/>
          </w:divBdr>
          <w:divsChild>
            <w:div w:id="1518038510">
              <w:marLeft w:val="0"/>
              <w:marRight w:val="0"/>
              <w:marTop w:val="0"/>
              <w:marBottom w:val="0"/>
              <w:divBdr>
                <w:top w:val="none" w:sz="0" w:space="0" w:color="auto"/>
                <w:left w:val="none" w:sz="0" w:space="0" w:color="auto"/>
                <w:bottom w:val="none" w:sz="0" w:space="0" w:color="auto"/>
                <w:right w:val="none" w:sz="0" w:space="0" w:color="auto"/>
              </w:divBdr>
            </w:div>
          </w:divsChild>
        </w:div>
        <w:div w:id="1532378218">
          <w:marLeft w:val="0"/>
          <w:marRight w:val="0"/>
          <w:marTop w:val="0"/>
          <w:marBottom w:val="0"/>
          <w:divBdr>
            <w:top w:val="none" w:sz="0" w:space="0" w:color="auto"/>
            <w:left w:val="none" w:sz="0" w:space="0" w:color="auto"/>
            <w:bottom w:val="none" w:sz="0" w:space="0" w:color="auto"/>
            <w:right w:val="none" w:sz="0" w:space="0" w:color="auto"/>
          </w:divBdr>
          <w:divsChild>
            <w:div w:id="304046206">
              <w:marLeft w:val="0"/>
              <w:marRight w:val="0"/>
              <w:marTop w:val="0"/>
              <w:marBottom w:val="0"/>
              <w:divBdr>
                <w:top w:val="none" w:sz="0" w:space="0" w:color="auto"/>
                <w:left w:val="none" w:sz="0" w:space="0" w:color="auto"/>
                <w:bottom w:val="none" w:sz="0" w:space="0" w:color="auto"/>
                <w:right w:val="none" w:sz="0" w:space="0" w:color="auto"/>
              </w:divBdr>
            </w:div>
          </w:divsChild>
        </w:div>
        <w:div w:id="1543395372">
          <w:marLeft w:val="0"/>
          <w:marRight w:val="0"/>
          <w:marTop w:val="0"/>
          <w:marBottom w:val="0"/>
          <w:divBdr>
            <w:top w:val="none" w:sz="0" w:space="0" w:color="auto"/>
            <w:left w:val="none" w:sz="0" w:space="0" w:color="auto"/>
            <w:bottom w:val="none" w:sz="0" w:space="0" w:color="auto"/>
            <w:right w:val="none" w:sz="0" w:space="0" w:color="auto"/>
          </w:divBdr>
          <w:divsChild>
            <w:div w:id="1209298824">
              <w:marLeft w:val="0"/>
              <w:marRight w:val="0"/>
              <w:marTop w:val="0"/>
              <w:marBottom w:val="0"/>
              <w:divBdr>
                <w:top w:val="none" w:sz="0" w:space="0" w:color="auto"/>
                <w:left w:val="none" w:sz="0" w:space="0" w:color="auto"/>
                <w:bottom w:val="none" w:sz="0" w:space="0" w:color="auto"/>
                <w:right w:val="none" w:sz="0" w:space="0" w:color="auto"/>
              </w:divBdr>
            </w:div>
          </w:divsChild>
        </w:div>
        <w:div w:id="1552112085">
          <w:marLeft w:val="0"/>
          <w:marRight w:val="0"/>
          <w:marTop w:val="0"/>
          <w:marBottom w:val="0"/>
          <w:divBdr>
            <w:top w:val="none" w:sz="0" w:space="0" w:color="auto"/>
            <w:left w:val="none" w:sz="0" w:space="0" w:color="auto"/>
            <w:bottom w:val="none" w:sz="0" w:space="0" w:color="auto"/>
            <w:right w:val="none" w:sz="0" w:space="0" w:color="auto"/>
          </w:divBdr>
          <w:divsChild>
            <w:div w:id="759760862">
              <w:marLeft w:val="0"/>
              <w:marRight w:val="0"/>
              <w:marTop w:val="0"/>
              <w:marBottom w:val="0"/>
              <w:divBdr>
                <w:top w:val="none" w:sz="0" w:space="0" w:color="auto"/>
                <w:left w:val="none" w:sz="0" w:space="0" w:color="auto"/>
                <w:bottom w:val="none" w:sz="0" w:space="0" w:color="auto"/>
                <w:right w:val="none" w:sz="0" w:space="0" w:color="auto"/>
              </w:divBdr>
            </w:div>
          </w:divsChild>
        </w:div>
        <w:div w:id="1555118805">
          <w:marLeft w:val="0"/>
          <w:marRight w:val="0"/>
          <w:marTop w:val="0"/>
          <w:marBottom w:val="0"/>
          <w:divBdr>
            <w:top w:val="none" w:sz="0" w:space="0" w:color="auto"/>
            <w:left w:val="none" w:sz="0" w:space="0" w:color="auto"/>
            <w:bottom w:val="none" w:sz="0" w:space="0" w:color="auto"/>
            <w:right w:val="none" w:sz="0" w:space="0" w:color="auto"/>
          </w:divBdr>
          <w:divsChild>
            <w:div w:id="950665845">
              <w:marLeft w:val="0"/>
              <w:marRight w:val="0"/>
              <w:marTop w:val="0"/>
              <w:marBottom w:val="0"/>
              <w:divBdr>
                <w:top w:val="none" w:sz="0" w:space="0" w:color="auto"/>
                <w:left w:val="none" w:sz="0" w:space="0" w:color="auto"/>
                <w:bottom w:val="none" w:sz="0" w:space="0" w:color="auto"/>
                <w:right w:val="none" w:sz="0" w:space="0" w:color="auto"/>
              </w:divBdr>
            </w:div>
          </w:divsChild>
        </w:div>
        <w:div w:id="1567183111">
          <w:marLeft w:val="0"/>
          <w:marRight w:val="0"/>
          <w:marTop w:val="0"/>
          <w:marBottom w:val="0"/>
          <w:divBdr>
            <w:top w:val="none" w:sz="0" w:space="0" w:color="auto"/>
            <w:left w:val="none" w:sz="0" w:space="0" w:color="auto"/>
            <w:bottom w:val="none" w:sz="0" w:space="0" w:color="auto"/>
            <w:right w:val="none" w:sz="0" w:space="0" w:color="auto"/>
          </w:divBdr>
          <w:divsChild>
            <w:div w:id="1566796693">
              <w:marLeft w:val="0"/>
              <w:marRight w:val="0"/>
              <w:marTop w:val="0"/>
              <w:marBottom w:val="0"/>
              <w:divBdr>
                <w:top w:val="none" w:sz="0" w:space="0" w:color="auto"/>
                <w:left w:val="none" w:sz="0" w:space="0" w:color="auto"/>
                <w:bottom w:val="none" w:sz="0" w:space="0" w:color="auto"/>
                <w:right w:val="none" w:sz="0" w:space="0" w:color="auto"/>
              </w:divBdr>
            </w:div>
          </w:divsChild>
        </w:div>
        <w:div w:id="1571840719">
          <w:marLeft w:val="0"/>
          <w:marRight w:val="0"/>
          <w:marTop w:val="0"/>
          <w:marBottom w:val="0"/>
          <w:divBdr>
            <w:top w:val="none" w:sz="0" w:space="0" w:color="auto"/>
            <w:left w:val="none" w:sz="0" w:space="0" w:color="auto"/>
            <w:bottom w:val="none" w:sz="0" w:space="0" w:color="auto"/>
            <w:right w:val="none" w:sz="0" w:space="0" w:color="auto"/>
          </w:divBdr>
          <w:divsChild>
            <w:div w:id="1968272318">
              <w:marLeft w:val="0"/>
              <w:marRight w:val="0"/>
              <w:marTop w:val="0"/>
              <w:marBottom w:val="0"/>
              <w:divBdr>
                <w:top w:val="none" w:sz="0" w:space="0" w:color="auto"/>
                <w:left w:val="none" w:sz="0" w:space="0" w:color="auto"/>
                <w:bottom w:val="none" w:sz="0" w:space="0" w:color="auto"/>
                <w:right w:val="none" w:sz="0" w:space="0" w:color="auto"/>
              </w:divBdr>
            </w:div>
          </w:divsChild>
        </w:div>
        <w:div w:id="1573201055">
          <w:marLeft w:val="0"/>
          <w:marRight w:val="0"/>
          <w:marTop w:val="0"/>
          <w:marBottom w:val="0"/>
          <w:divBdr>
            <w:top w:val="none" w:sz="0" w:space="0" w:color="auto"/>
            <w:left w:val="none" w:sz="0" w:space="0" w:color="auto"/>
            <w:bottom w:val="none" w:sz="0" w:space="0" w:color="auto"/>
            <w:right w:val="none" w:sz="0" w:space="0" w:color="auto"/>
          </w:divBdr>
          <w:divsChild>
            <w:div w:id="490801325">
              <w:marLeft w:val="0"/>
              <w:marRight w:val="0"/>
              <w:marTop w:val="0"/>
              <w:marBottom w:val="0"/>
              <w:divBdr>
                <w:top w:val="none" w:sz="0" w:space="0" w:color="auto"/>
                <w:left w:val="none" w:sz="0" w:space="0" w:color="auto"/>
                <w:bottom w:val="none" w:sz="0" w:space="0" w:color="auto"/>
                <w:right w:val="none" w:sz="0" w:space="0" w:color="auto"/>
              </w:divBdr>
            </w:div>
          </w:divsChild>
        </w:div>
        <w:div w:id="1575773920">
          <w:marLeft w:val="0"/>
          <w:marRight w:val="0"/>
          <w:marTop w:val="0"/>
          <w:marBottom w:val="0"/>
          <w:divBdr>
            <w:top w:val="none" w:sz="0" w:space="0" w:color="auto"/>
            <w:left w:val="none" w:sz="0" w:space="0" w:color="auto"/>
            <w:bottom w:val="none" w:sz="0" w:space="0" w:color="auto"/>
            <w:right w:val="none" w:sz="0" w:space="0" w:color="auto"/>
          </w:divBdr>
          <w:divsChild>
            <w:div w:id="1287350495">
              <w:marLeft w:val="0"/>
              <w:marRight w:val="0"/>
              <w:marTop w:val="0"/>
              <w:marBottom w:val="0"/>
              <w:divBdr>
                <w:top w:val="none" w:sz="0" w:space="0" w:color="auto"/>
                <w:left w:val="none" w:sz="0" w:space="0" w:color="auto"/>
                <w:bottom w:val="none" w:sz="0" w:space="0" w:color="auto"/>
                <w:right w:val="none" w:sz="0" w:space="0" w:color="auto"/>
              </w:divBdr>
            </w:div>
          </w:divsChild>
        </w:div>
        <w:div w:id="1577277589">
          <w:marLeft w:val="0"/>
          <w:marRight w:val="0"/>
          <w:marTop w:val="0"/>
          <w:marBottom w:val="0"/>
          <w:divBdr>
            <w:top w:val="none" w:sz="0" w:space="0" w:color="auto"/>
            <w:left w:val="none" w:sz="0" w:space="0" w:color="auto"/>
            <w:bottom w:val="none" w:sz="0" w:space="0" w:color="auto"/>
            <w:right w:val="none" w:sz="0" w:space="0" w:color="auto"/>
          </w:divBdr>
          <w:divsChild>
            <w:div w:id="1260602529">
              <w:marLeft w:val="0"/>
              <w:marRight w:val="0"/>
              <w:marTop w:val="0"/>
              <w:marBottom w:val="0"/>
              <w:divBdr>
                <w:top w:val="none" w:sz="0" w:space="0" w:color="auto"/>
                <w:left w:val="none" w:sz="0" w:space="0" w:color="auto"/>
                <w:bottom w:val="none" w:sz="0" w:space="0" w:color="auto"/>
                <w:right w:val="none" w:sz="0" w:space="0" w:color="auto"/>
              </w:divBdr>
            </w:div>
          </w:divsChild>
        </w:div>
        <w:div w:id="1583486437">
          <w:marLeft w:val="0"/>
          <w:marRight w:val="0"/>
          <w:marTop w:val="0"/>
          <w:marBottom w:val="0"/>
          <w:divBdr>
            <w:top w:val="none" w:sz="0" w:space="0" w:color="auto"/>
            <w:left w:val="none" w:sz="0" w:space="0" w:color="auto"/>
            <w:bottom w:val="none" w:sz="0" w:space="0" w:color="auto"/>
            <w:right w:val="none" w:sz="0" w:space="0" w:color="auto"/>
          </w:divBdr>
          <w:divsChild>
            <w:div w:id="104157669">
              <w:marLeft w:val="0"/>
              <w:marRight w:val="0"/>
              <w:marTop w:val="0"/>
              <w:marBottom w:val="0"/>
              <w:divBdr>
                <w:top w:val="none" w:sz="0" w:space="0" w:color="auto"/>
                <w:left w:val="none" w:sz="0" w:space="0" w:color="auto"/>
                <w:bottom w:val="none" w:sz="0" w:space="0" w:color="auto"/>
                <w:right w:val="none" w:sz="0" w:space="0" w:color="auto"/>
              </w:divBdr>
            </w:div>
          </w:divsChild>
        </w:div>
        <w:div w:id="1594319755">
          <w:marLeft w:val="0"/>
          <w:marRight w:val="0"/>
          <w:marTop w:val="0"/>
          <w:marBottom w:val="0"/>
          <w:divBdr>
            <w:top w:val="none" w:sz="0" w:space="0" w:color="auto"/>
            <w:left w:val="none" w:sz="0" w:space="0" w:color="auto"/>
            <w:bottom w:val="none" w:sz="0" w:space="0" w:color="auto"/>
            <w:right w:val="none" w:sz="0" w:space="0" w:color="auto"/>
          </w:divBdr>
          <w:divsChild>
            <w:div w:id="2043168605">
              <w:marLeft w:val="0"/>
              <w:marRight w:val="0"/>
              <w:marTop w:val="0"/>
              <w:marBottom w:val="0"/>
              <w:divBdr>
                <w:top w:val="none" w:sz="0" w:space="0" w:color="auto"/>
                <w:left w:val="none" w:sz="0" w:space="0" w:color="auto"/>
                <w:bottom w:val="none" w:sz="0" w:space="0" w:color="auto"/>
                <w:right w:val="none" w:sz="0" w:space="0" w:color="auto"/>
              </w:divBdr>
            </w:div>
          </w:divsChild>
        </w:div>
        <w:div w:id="1594820306">
          <w:marLeft w:val="0"/>
          <w:marRight w:val="0"/>
          <w:marTop w:val="0"/>
          <w:marBottom w:val="0"/>
          <w:divBdr>
            <w:top w:val="none" w:sz="0" w:space="0" w:color="auto"/>
            <w:left w:val="none" w:sz="0" w:space="0" w:color="auto"/>
            <w:bottom w:val="none" w:sz="0" w:space="0" w:color="auto"/>
            <w:right w:val="none" w:sz="0" w:space="0" w:color="auto"/>
          </w:divBdr>
          <w:divsChild>
            <w:div w:id="1582568699">
              <w:marLeft w:val="0"/>
              <w:marRight w:val="0"/>
              <w:marTop w:val="0"/>
              <w:marBottom w:val="0"/>
              <w:divBdr>
                <w:top w:val="none" w:sz="0" w:space="0" w:color="auto"/>
                <w:left w:val="none" w:sz="0" w:space="0" w:color="auto"/>
                <w:bottom w:val="none" w:sz="0" w:space="0" w:color="auto"/>
                <w:right w:val="none" w:sz="0" w:space="0" w:color="auto"/>
              </w:divBdr>
            </w:div>
          </w:divsChild>
        </w:div>
        <w:div w:id="1596858820">
          <w:marLeft w:val="0"/>
          <w:marRight w:val="0"/>
          <w:marTop w:val="0"/>
          <w:marBottom w:val="0"/>
          <w:divBdr>
            <w:top w:val="none" w:sz="0" w:space="0" w:color="auto"/>
            <w:left w:val="none" w:sz="0" w:space="0" w:color="auto"/>
            <w:bottom w:val="none" w:sz="0" w:space="0" w:color="auto"/>
            <w:right w:val="none" w:sz="0" w:space="0" w:color="auto"/>
          </w:divBdr>
          <w:divsChild>
            <w:div w:id="726756612">
              <w:marLeft w:val="0"/>
              <w:marRight w:val="0"/>
              <w:marTop w:val="0"/>
              <w:marBottom w:val="0"/>
              <w:divBdr>
                <w:top w:val="none" w:sz="0" w:space="0" w:color="auto"/>
                <w:left w:val="none" w:sz="0" w:space="0" w:color="auto"/>
                <w:bottom w:val="none" w:sz="0" w:space="0" w:color="auto"/>
                <w:right w:val="none" w:sz="0" w:space="0" w:color="auto"/>
              </w:divBdr>
            </w:div>
          </w:divsChild>
        </w:div>
        <w:div w:id="1597833471">
          <w:marLeft w:val="0"/>
          <w:marRight w:val="0"/>
          <w:marTop w:val="0"/>
          <w:marBottom w:val="0"/>
          <w:divBdr>
            <w:top w:val="none" w:sz="0" w:space="0" w:color="auto"/>
            <w:left w:val="none" w:sz="0" w:space="0" w:color="auto"/>
            <w:bottom w:val="none" w:sz="0" w:space="0" w:color="auto"/>
            <w:right w:val="none" w:sz="0" w:space="0" w:color="auto"/>
          </w:divBdr>
          <w:divsChild>
            <w:div w:id="2048943831">
              <w:marLeft w:val="0"/>
              <w:marRight w:val="0"/>
              <w:marTop w:val="0"/>
              <w:marBottom w:val="0"/>
              <w:divBdr>
                <w:top w:val="none" w:sz="0" w:space="0" w:color="auto"/>
                <w:left w:val="none" w:sz="0" w:space="0" w:color="auto"/>
                <w:bottom w:val="none" w:sz="0" w:space="0" w:color="auto"/>
                <w:right w:val="none" w:sz="0" w:space="0" w:color="auto"/>
              </w:divBdr>
            </w:div>
          </w:divsChild>
        </w:div>
        <w:div w:id="1599483622">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
          </w:divsChild>
        </w:div>
        <w:div w:id="1604148104">
          <w:marLeft w:val="0"/>
          <w:marRight w:val="0"/>
          <w:marTop w:val="0"/>
          <w:marBottom w:val="0"/>
          <w:divBdr>
            <w:top w:val="none" w:sz="0" w:space="0" w:color="auto"/>
            <w:left w:val="none" w:sz="0" w:space="0" w:color="auto"/>
            <w:bottom w:val="none" w:sz="0" w:space="0" w:color="auto"/>
            <w:right w:val="none" w:sz="0" w:space="0" w:color="auto"/>
          </w:divBdr>
          <w:divsChild>
            <w:div w:id="392319521">
              <w:marLeft w:val="0"/>
              <w:marRight w:val="0"/>
              <w:marTop w:val="0"/>
              <w:marBottom w:val="0"/>
              <w:divBdr>
                <w:top w:val="none" w:sz="0" w:space="0" w:color="auto"/>
                <w:left w:val="none" w:sz="0" w:space="0" w:color="auto"/>
                <w:bottom w:val="none" w:sz="0" w:space="0" w:color="auto"/>
                <w:right w:val="none" w:sz="0" w:space="0" w:color="auto"/>
              </w:divBdr>
            </w:div>
          </w:divsChild>
        </w:div>
        <w:div w:id="1605729403">
          <w:marLeft w:val="0"/>
          <w:marRight w:val="0"/>
          <w:marTop w:val="0"/>
          <w:marBottom w:val="0"/>
          <w:divBdr>
            <w:top w:val="none" w:sz="0" w:space="0" w:color="auto"/>
            <w:left w:val="none" w:sz="0" w:space="0" w:color="auto"/>
            <w:bottom w:val="none" w:sz="0" w:space="0" w:color="auto"/>
            <w:right w:val="none" w:sz="0" w:space="0" w:color="auto"/>
          </w:divBdr>
          <w:divsChild>
            <w:div w:id="1614823935">
              <w:marLeft w:val="0"/>
              <w:marRight w:val="0"/>
              <w:marTop w:val="0"/>
              <w:marBottom w:val="0"/>
              <w:divBdr>
                <w:top w:val="none" w:sz="0" w:space="0" w:color="auto"/>
                <w:left w:val="none" w:sz="0" w:space="0" w:color="auto"/>
                <w:bottom w:val="none" w:sz="0" w:space="0" w:color="auto"/>
                <w:right w:val="none" w:sz="0" w:space="0" w:color="auto"/>
              </w:divBdr>
            </w:div>
          </w:divsChild>
        </w:div>
        <w:div w:id="1607158627">
          <w:marLeft w:val="0"/>
          <w:marRight w:val="0"/>
          <w:marTop w:val="0"/>
          <w:marBottom w:val="0"/>
          <w:divBdr>
            <w:top w:val="none" w:sz="0" w:space="0" w:color="auto"/>
            <w:left w:val="none" w:sz="0" w:space="0" w:color="auto"/>
            <w:bottom w:val="none" w:sz="0" w:space="0" w:color="auto"/>
            <w:right w:val="none" w:sz="0" w:space="0" w:color="auto"/>
          </w:divBdr>
          <w:divsChild>
            <w:div w:id="1382561001">
              <w:marLeft w:val="0"/>
              <w:marRight w:val="0"/>
              <w:marTop w:val="0"/>
              <w:marBottom w:val="0"/>
              <w:divBdr>
                <w:top w:val="none" w:sz="0" w:space="0" w:color="auto"/>
                <w:left w:val="none" w:sz="0" w:space="0" w:color="auto"/>
                <w:bottom w:val="none" w:sz="0" w:space="0" w:color="auto"/>
                <w:right w:val="none" w:sz="0" w:space="0" w:color="auto"/>
              </w:divBdr>
            </w:div>
          </w:divsChild>
        </w:div>
        <w:div w:id="1612205221">
          <w:marLeft w:val="0"/>
          <w:marRight w:val="0"/>
          <w:marTop w:val="0"/>
          <w:marBottom w:val="0"/>
          <w:divBdr>
            <w:top w:val="none" w:sz="0" w:space="0" w:color="auto"/>
            <w:left w:val="none" w:sz="0" w:space="0" w:color="auto"/>
            <w:bottom w:val="none" w:sz="0" w:space="0" w:color="auto"/>
            <w:right w:val="none" w:sz="0" w:space="0" w:color="auto"/>
          </w:divBdr>
          <w:divsChild>
            <w:div w:id="911432860">
              <w:marLeft w:val="0"/>
              <w:marRight w:val="0"/>
              <w:marTop w:val="0"/>
              <w:marBottom w:val="0"/>
              <w:divBdr>
                <w:top w:val="none" w:sz="0" w:space="0" w:color="auto"/>
                <w:left w:val="none" w:sz="0" w:space="0" w:color="auto"/>
                <w:bottom w:val="none" w:sz="0" w:space="0" w:color="auto"/>
                <w:right w:val="none" w:sz="0" w:space="0" w:color="auto"/>
              </w:divBdr>
            </w:div>
          </w:divsChild>
        </w:div>
        <w:div w:id="1612857520">
          <w:marLeft w:val="0"/>
          <w:marRight w:val="0"/>
          <w:marTop w:val="0"/>
          <w:marBottom w:val="0"/>
          <w:divBdr>
            <w:top w:val="none" w:sz="0" w:space="0" w:color="auto"/>
            <w:left w:val="none" w:sz="0" w:space="0" w:color="auto"/>
            <w:bottom w:val="none" w:sz="0" w:space="0" w:color="auto"/>
            <w:right w:val="none" w:sz="0" w:space="0" w:color="auto"/>
          </w:divBdr>
          <w:divsChild>
            <w:div w:id="2023122110">
              <w:marLeft w:val="0"/>
              <w:marRight w:val="0"/>
              <w:marTop w:val="0"/>
              <w:marBottom w:val="0"/>
              <w:divBdr>
                <w:top w:val="none" w:sz="0" w:space="0" w:color="auto"/>
                <w:left w:val="none" w:sz="0" w:space="0" w:color="auto"/>
                <w:bottom w:val="none" w:sz="0" w:space="0" w:color="auto"/>
                <w:right w:val="none" w:sz="0" w:space="0" w:color="auto"/>
              </w:divBdr>
            </w:div>
          </w:divsChild>
        </w:div>
        <w:div w:id="1616711937">
          <w:marLeft w:val="0"/>
          <w:marRight w:val="0"/>
          <w:marTop w:val="0"/>
          <w:marBottom w:val="0"/>
          <w:divBdr>
            <w:top w:val="none" w:sz="0" w:space="0" w:color="auto"/>
            <w:left w:val="none" w:sz="0" w:space="0" w:color="auto"/>
            <w:bottom w:val="none" w:sz="0" w:space="0" w:color="auto"/>
            <w:right w:val="none" w:sz="0" w:space="0" w:color="auto"/>
          </w:divBdr>
          <w:divsChild>
            <w:div w:id="402683154">
              <w:marLeft w:val="0"/>
              <w:marRight w:val="0"/>
              <w:marTop w:val="0"/>
              <w:marBottom w:val="0"/>
              <w:divBdr>
                <w:top w:val="none" w:sz="0" w:space="0" w:color="auto"/>
                <w:left w:val="none" w:sz="0" w:space="0" w:color="auto"/>
                <w:bottom w:val="none" w:sz="0" w:space="0" w:color="auto"/>
                <w:right w:val="none" w:sz="0" w:space="0" w:color="auto"/>
              </w:divBdr>
            </w:div>
          </w:divsChild>
        </w:div>
        <w:div w:id="1620641525">
          <w:marLeft w:val="0"/>
          <w:marRight w:val="0"/>
          <w:marTop w:val="0"/>
          <w:marBottom w:val="0"/>
          <w:divBdr>
            <w:top w:val="none" w:sz="0" w:space="0" w:color="auto"/>
            <w:left w:val="none" w:sz="0" w:space="0" w:color="auto"/>
            <w:bottom w:val="none" w:sz="0" w:space="0" w:color="auto"/>
            <w:right w:val="none" w:sz="0" w:space="0" w:color="auto"/>
          </w:divBdr>
          <w:divsChild>
            <w:div w:id="1364671138">
              <w:marLeft w:val="0"/>
              <w:marRight w:val="0"/>
              <w:marTop w:val="0"/>
              <w:marBottom w:val="0"/>
              <w:divBdr>
                <w:top w:val="none" w:sz="0" w:space="0" w:color="auto"/>
                <w:left w:val="none" w:sz="0" w:space="0" w:color="auto"/>
                <w:bottom w:val="none" w:sz="0" w:space="0" w:color="auto"/>
                <w:right w:val="none" w:sz="0" w:space="0" w:color="auto"/>
              </w:divBdr>
            </w:div>
          </w:divsChild>
        </w:div>
        <w:div w:id="1621715929">
          <w:marLeft w:val="0"/>
          <w:marRight w:val="0"/>
          <w:marTop w:val="0"/>
          <w:marBottom w:val="0"/>
          <w:divBdr>
            <w:top w:val="none" w:sz="0" w:space="0" w:color="auto"/>
            <w:left w:val="none" w:sz="0" w:space="0" w:color="auto"/>
            <w:bottom w:val="none" w:sz="0" w:space="0" w:color="auto"/>
            <w:right w:val="none" w:sz="0" w:space="0" w:color="auto"/>
          </w:divBdr>
          <w:divsChild>
            <w:div w:id="1577397947">
              <w:marLeft w:val="0"/>
              <w:marRight w:val="0"/>
              <w:marTop w:val="0"/>
              <w:marBottom w:val="0"/>
              <w:divBdr>
                <w:top w:val="none" w:sz="0" w:space="0" w:color="auto"/>
                <w:left w:val="none" w:sz="0" w:space="0" w:color="auto"/>
                <w:bottom w:val="none" w:sz="0" w:space="0" w:color="auto"/>
                <w:right w:val="none" w:sz="0" w:space="0" w:color="auto"/>
              </w:divBdr>
            </w:div>
          </w:divsChild>
        </w:div>
        <w:div w:id="1621837899">
          <w:marLeft w:val="0"/>
          <w:marRight w:val="0"/>
          <w:marTop w:val="0"/>
          <w:marBottom w:val="0"/>
          <w:divBdr>
            <w:top w:val="none" w:sz="0" w:space="0" w:color="auto"/>
            <w:left w:val="none" w:sz="0" w:space="0" w:color="auto"/>
            <w:bottom w:val="none" w:sz="0" w:space="0" w:color="auto"/>
            <w:right w:val="none" w:sz="0" w:space="0" w:color="auto"/>
          </w:divBdr>
          <w:divsChild>
            <w:div w:id="1144931275">
              <w:marLeft w:val="0"/>
              <w:marRight w:val="0"/>
              <w:marTop w:val="0"/>
              <w:marBottom w:val="0"/>
              <w:divBdr>
                <w:top w:val="none" w:sz="0" w:space="0" w:color="auto"/>
                <w:left w:val="none" w:sz="0" w:space="0" w:color="auto"/>
                <w:bottom w:val="none" w:sz="0" w:space="0" w:color="auto"/>
                <w:right w:val="none" w:sz="0" w:space="0" w:color="auto"/>
              </w:divBdr>
            </w:div>
          </w:divsChild>
        </w:div>
        <w:div w:id="1623264632">
          <w:marLeft w:val="0"/>
          <w:marRight w:val="0"/>
          <w:marTop w:val="0"/>
          <w:marBottom w:val="0"/>
          <w:divBdr>
            <w:top w:val="none" w:sz="0" w:space="0" w:color="auto"/>
            <w:left w:val="none" w:sz="0" w:space="0" w:color="auto"/>
            <w:bottom w:val="none" w:sz="0" w:space="0" w:color="auto"/>
            <w:right w:val="none" w:sz="0" w:space="0" w:color="auto"/>
          </w:divBdr>
          <w:divsChild>
            <w:div w:id="1051001221">
              <w:marLeft w:val="0"/>
              <w:marRight w:val="0"/>
              <w:marTop w:val="0"/>
              <w:marBottom w:val="0"/>
              <w:divBdr>
                <w:top w:val="none" w:sz="0" w:space="0" w:color="auto"/>
                <w:left w:val="none" w:sz="0" w:space="0" w:color="auto"/>
                <w:bottom w:val="none" w:sz="0" w:space="0" w:color="auto"/>
                <w:right w:val="none" w:sz="0" w:space="0" w:color="auto"/>
              </w:divBdr>
            </w:div>
          </w:divsChild>
        </w:div>
        <w:div w:id="1623924016">
          <w:marLeft w:val="0"/>
          <w:marRight w:val="0"/>
          <w:marTop w:val="0"/>
          <w:marBottom w:val="0"/>
          <w:divBdr>
            <w:top w:val="none" w:sz="0" w:space="0" w:color="auto"/>
            <w:left w:val="none" w:sz="0" w:space="0" w:color="auto"/>
            <w:bottom w:val="none" w:sz="0" w:space="0" w:color="auto"/>
            <w:right w:val="none" w:sz="0" w:space="0" w:color="auto"/>
          </w:divBdr>
          <w:divsChild>
            <w:div w:id="1101101140">
              <w:marLeft w:val="0"/>
              <w:marRight w:val="0"/>
              <w:marTop w:val="0"/>
              <w:marBottom w:val="0"/>
              <w:divBdr>
                <w:top w:val="none" w:sz="0" w:space="0" w:color="auto"/>
                <w:left w:val="none" w:sz="0" w:space="0" w:color="auto"/>
                <w:bottom w:val="none" w:sz="0" w:space="0" w:color="auto"/>
                <w:right w:val="none" w:sz="0" w:space="0" w:color="auto"/>
              </w:divBdr>
            </w:div>
          </w:divsChild>
        </w:div>
        <w:div w:id="1626692497">
          <w:marLeft w:val="0"/>
          <w:marRight w:val="0"/>
          <w:marTop w:val="0"/>
          <w:marBottom w:val="0"/>
          <w:divBdr>
            <w:top w:val="none" w:sz="0" w:space="0" w:color="auto"/>
            <w:left w:val="none" w:sz="0" w:space="0" w:color="auto"/>
            <w:bottom w:val="none" w:sz="0" w:space="0" w:color="auto"/>
            <w:right w:val="none" w:sz="0" w:space="0" w:color="auto"/>
          </w:divBdr>
          <w:divsChild>
            <w:div w:id="706684823">
              <w:marLeft w:val="0"/>
              <w:marRight w:val="0"/>
              <w:marTop w:val="0"/>
              <w:marBottom w:val="0"/>
              <w:divBdr>
                <w:top w:val="none" w:sz="0" w:space="0" w:color="auto"/>
                <w:left w:val="none" w:sz="0" w:space="0" w:color="auto"/>
                <w:bottom w:val="none" w:sz="0" w:space="0" w:color="auto"/>
                <w:right w:val="none" w:sz="0" w:space="0" w:color="auto"/>
              </w:divBdr>
            </w:div>
          </w:divsChild>
        </w:div>
        <w:div w:id="1629237022">
          <w:marLeft w:val="0"/>
          <w:marRight w:val="0"/>
          <w:marTop w:val="0"/>
          <w:marBottom w:val="0"/>
          <w:divBdr>
            <w:top w:val="none" w:sz="0" w:space="0" w:color="auto"/>
            <w:left w:val="none" w:sz="0" w:space="0" w:color="auto"/>
            <w:bottom w:val="none" w:sz="0" w:space="0" w:color="auto"/>
            <w:right w:val="none" w:sz="0" w:space="0" w:color="auto"/>
          </w:divBdr>
          <w:divsChild>
            <w:div w:id="786318050">
              <w:marLeft w:val="0"/>
              <w:marRight w:val="0"/>
              <w:marTop w:val="0"/>
              <w:marBottom w:val="0"/>
              <w:divBdr>
                <w:top w:val="none" w:sz="0" w:space="0" w:color="auto"/>
                <w:left w:val="none" w:sz="0" w:space="0" w:color="auto"/>
                <w:bottom w:val="none" w:sz="0" w:space="0" w:color="auto"/>
                <w:right w:val="none" w:sz="0" w:space="0" w:color="auto"/>
              </w:divBdr>
            </w:div>
          </w:divsChild>
        </w:div>
        <w:div w:id="1633634993">
          <w:marLeft w:val="0"/>
          <w:marRight w:val="0"/>
          <w:marTop w:val="0"/>
          <w:marBottom w:val="0"/>
          <w:divBdr>
            <w:top w:val="none" w:sz="0" w:space="0" w:color="auto"/>
            <w:left w:val="none" w:sz="0" w:space="0" w:color="auto"/>
            <w:bottom w:val="none" w:sz="0" w:space="0" w:color="auto"/>
            <w:right w:val="none" w:sz="0" w:space="0" w:color="auto"/>
          </w:divBdr>
          <w:divsChild>
            <w:div w:id="1760904293">
              <w:marLeft w:val="0"/>
              <w:marRight w:val="0"/>
              <w:marTop w:val="0"/>
              <w:marBottom w:val="0"/>
              <w:divBdr>
                <w:top w:val="none" w:sz="0" w:space="0" w:color="auto"/>
                <w:left w:val="none" w:sz="0" w:space="0" w:color="auto"/>
                <w:bottom w:val="none" w:sz="0" w:space="0" w:color="auto"/>
                <w:right w:val="none" w:sz="0" w:space="0" w:color="auto"/>
              </w:divBdr>
            </w:div>
          </w:divsChild>
        </w:div>
        <w:div w:id="1636451279">
          <w:marLeft w:val="0"/>
          <w:marRight w:val="0"/>
          <w:marTop w:val="0"/>
          <w:marBottom w:val="0"/>
          <w:divBdr>
            <w:top w:val="none" w:sz="0" w:space="0" w:color="auto"/>
            <w:left w:val="none" w:sz="0" w:space="0" w:color="auto"/>
            <w:bottom w:val="none" w:sz="0" w:space="0" w:color="auto"/>
            <w:right w:val="none" w:sz="0" w:space="0" w:color="auto"/>
          </w:divBdr>
          <w:divsChild>
            <w:div w:id="323556192">
              <w:marLeft w:val="0"/>
              <w:marRight w:val="0"/>
              <w:marTop w:val="0"/>
              <w:marBottom w:val="0"/>
              <w:divBdr>
                <w:top w:val="none" w:sz="0" w:space="0" w:color="auto"/>
                <w:left w:val="none" w:sz="0" w:space="0" w:color="auto"/>
                <w:bottom w:val="none" w:sz="0" w:space="0" w:color="auto"/>
                <w:right w:val="none" w:sz="0" w:space="0" w:color="auto"/>
              </w:divBdr>
            </w:div>
          </w:divsChild>
        </w:div>
        <w:div w:id="1638335209">
          <w:marLeft w:val="0"/>
          <w:marRight w:val="0"/>
          <w:marTop w:val="0"/>
          <w:marBottom w:val="0"/>
          <w:divBdr>
            <w:top w:val="none" w:sz="0" w:space="0" w:color="auto"/>
            <w:left w:val="none" w:sz="0" w:space="0" w:color="auto"/>
            <w:bottom w:val="none" w:sz="0" w:space="0" w:color="auto"/>
            <w:right w:val="none" w:sz="0" w:space="0" w:color="auto"/>
          </w:divBdr>
          <w:divsChild>
            <w:div w:id="1165899305">
              <w:marLeft w:val="0"/>
              <w:marRight w:val="0"/>
              <w:marTop w:val="0"/>
              <w:marBottom w:val="0"/>
              <w:divBdr>
                <w:top w:val="none" w:sz="0" w:space="0" w:color="auto"/>
                <w:left w:val="none" w:sz="0" w:space="0" w:color="auto"/>
                <w:bottom w:val="none" w:sz="0" w:space="0" w:color="auto"/>
                <w:right w:val="none" w:sz="0" w:space="0" w:color="auto"/>
              </w:divBdr>
            </w:div>
          </w:divsChild>
        </w:div>
        <w:div w:id="1638414082">
          <w:marLeft w:val="0"/>
          <w:marRight w:val="0"/>
          <w:marTop w:val="0"/>
          <w:marBottom w:val="0"/>
          <w:divBdr>
            <w:top w:val="none" w:sz="0" w:space="0" w:color="auto"/>
            <w:left w:val="none" w:sz="0" w:space="0" w:color="auto"/>
            <w:bottom w:val="none" w:sz="0" w:space="0" w:color="auto"/>
            <w:right w:val="none" w:sz="0" w:space="0" w:color="auto"/>
          </w:divBdr>
          <w:divsChild>
            <w:div w:id="1289362536">
              <w:marLeft w:val="0"/>
              <w:marRight w:val="0"/>
              <w:marTop w:val="0"/>
              <w:marBottom w:val="0"/>
              <w:divBdr>
                <w:top w:val="none" w:sz="0" w:space="0" w:color="auto"/>
                <w:left w:val="none" w:sz="0" w:space="0" w:color="auto"/>
                <w:bottom w:val="none" w:sz="0" w:space="0" w:color="auto"/>
                <w:right w:val="none" w:sz="0" w:space="0" w:color="auto"/>
              </w:divBdr>
            </w:div>
          </w:divsChild>
        </w:div>
        <w:div w:id="1638685805">
          <w:marLeft w:val="0"/>
          <w:marRight w:val="0"/>
          <w:marTop w:val="0"/>
          <w:marBottom w:val="0"/>
          <w:divBdr>
            <w:top w:val="none" w:sz="0" w:space="0" w:color="auto"/>
            <w:left w:val="none" w:sz="0" w:space="0" w:color="auto"/>
            <w:bottom w:val="none" w:sz="0" w:space="0" w:color="auto"/>
            <w:right w:val="none" w:sz="0" w:space="0" w:color="auto"/>
          </w:divBdr>
          <w:divsChild>
            <w:div w:id="166528623">
              <w:marLeft w:val="0"/>
              <w:marRight w:val="0"/>
              <w:marTop w:val="0"/>
              <w:marBottom w:val="0"/>
              <w:divBdr>
                <w:top w:val="none" w:sz="0" w:space="0" w:color="auto"/>
                <w:left w:val="none" w:sz="0" w:space="0" w:color="auto"/>
                <w:bottom w:val="none" w:sz="0" w:space="0" w:color="auto"/>
                <w:right w:val="none" w:sz="0" w:space="0" w:color="auto"/>
              </w:divBdr>
            </w:div>
          </w:divsChild>
        </w:div>
        <w:div w:id="1644848251">
          <w:marLeft w:val="0"/>
          <w:marRight w:val="0"/>
          <w:marTop w:val="0"/>
          <w:marBottom w:val="0"/>
          <w:divBdr>
            <w:top w:val="none" w:sz="0" w:space="0" w:color="auto"/>
            <w:left w:val="none" w:sz="0" w:space="0" w:color="auto"/>
            <w:bottom w:val="none" w:sz="0" w:space="0" w:color="auto"/>
            <w:right w:val="none" w:sz="0" w:space="0" w:color="auto"/>
          </w:divBdr>
          <w:divsChild>
            <w:div w:id="1812744363">
              <w:marLeft w:val="0"/>
              <w:marRight w:val="0"/>
              <w:marTop w:val="0"/>
              <w:marBottom w:val="0"/>
              <w:divBdr>
                <w:top w:val="none" w:sz="0" w:space="0" w:color="auto"/>
                <w:left w:val="none" w:sz="0" w:space="0" w:color="auto"/>
                <w:bottom w:val="none" w:sz="0" w:space="0" w:color="auto"/>
                <w:right w:val="none" w:sz="0" w:space="0" w:color="auto"/>
              </w:divBdr>
            </w:div>
          </w:divsChild>
        </w:div>
        <w:div w:id="1649092183">
          <w:marLeft w:val="0"/>
          <w:marRight w:val="0"/>
          <w:marTop w:val="0"/>
          <w:marBottom w:val="0"/>
          <w:divBdr>
            <w:top w:val="none" w:sz="0" w:space="0" w:color="auto"/>
            <w:left w:val="none" w:sz="0" w:space="0" w:color="auto"/>
            <w:bottom w:val="none" w:sz="0" w:space="0" w:color="auto"/>
            <w:right w:val="none" w:sz="0" w:space="0" w:color="auto"/>
          </w:divBdr>
          <w:divsChild>
            <w:div w:id="2065520852">
              <w:marLeft w:val="0"/>
              <w:marRight w:val="0"/>
              <w:marTop w:val="0"/>
              <w:marBottom w:val="0"/>
              <w:divBdr>
                <w:top w:val="none" w:sz="0" w:space="0" w:color="auto"/>
                <w:left w:val="none" w:sz="0" w:space="0" w:color="auto"/>
                <w:bottom w:val="none" w:sz="0" w:space="0" w:color="auto"/>
                <w:right w:val="none" w:sz="0" w:space="0" w:color="auto"/>
              </w:divBdr>
            </w:div>
          </w:divsChild>
        </w:div>
        <w:div w:id="1656177298">
          <w:marLeft w:val="0"/>
          <w:marRight w:val="0"/>
          <w:marTop w:val="0"/>
          <w:marBottom w:val="0"/>
          <w:divBdr>
            <w:top w:val="none" w:sz="0" w:space="0" w:color="auto"/>
            <w:left w:val="none" w:sz="0" w:space="0" w:color="auto"/>
            <w:bottom w:val="none" w:sz="0" w:space="0" w:color="auto"/>
            <w:right w:val="none" w:sz="0" w:space="0" w:color="auto"/>
          </w:divBdr>
          <w:divsChild>
            <w:div w:id="127211681">
              <w:marLeft w:val="0"/>
              <w:marRight w:val="0"/>
              <w:marTop w:val="0"/>
              <w:marBottom w:val="0"/>
              <w:divBdr>
                <w:top w:val="none" w:sz="0" w:space="0" w:color="auto"/>
                <w:left w:val="none" w:sz="0" w:space="0" w:color="auto"/>
                <w:bottom w:val="none" w:sz="0" w:space="0" w:color="auto"/>
                <w:right w:val="none" w:sz="0" w:space="0" w:color="auto"/>
              </w:divBdr>
            </w:div>
          </w:divsChild>
        </w:div>
        <w:div w:id="1657150513">
          <w:marLeft w:val="0"/>
          <w:marRight w:val="0"/>
          <w:marTop w:val="0"/>
          <w:marBottom w:val="0"/>
          <w:divBdr>
            <w:top w:val="none" w:sz="0" w:space="0" w:color="auto"/>
            <w:left w:val="none" w:sz="0" w:space="0" w:color="auto"/>
            <w:bottom w:val="none" w:sz="0" w:space="0" w:color="auto"/>
            <w:right w:val="none" w:sz="0" w:space="0" w:color="auto"/>
          </w:divBdr>
          <w:divsChild>
            <w:div w:id="1980456699">
              <w:marLeft w:val="0"/>
              <w:marRight w:val="0"/>
              <w:marTop w:val="0"/>
              <w:marBottom w:val="0"/>
              <w:divBdr>
                <w:top w:val="none" w:sz="0" w:space="0" w:color="auto"/>
                <w:left w:val="none" w:sz="0" w:space="0" w:color="auto"/>
                <w:bottom w:val="none" w:sz="0" w:space="0" w:color="auto"/>
                <w:right w:val="none" w:sz="0" w:space="0" w:color="auto"/>
              </w:divBdr>
            </w:div>
          </w:divsChild>
        </w:div>
        <w:div w:id="1670213108">
          <w:marLeft w:val="0"/>
          <w:marRight w:val="0"/>
          <w:marTop w:val="0"/>
          <w:marBottom w:val="0"/>
          <w:divBdr>
            <w:top w:val="none" w:sz="0" w:space="0" w:color="auto"/>
            <w:left w:val="none" w:sz="0" w:space="0" w:color="auto"/>
            <w:bottom w:val="none" w:sz="0" w:space="0" w:color="auto"/>
            <w:right w:val="none" w:sz="0" w:space="0" w:color="auto"/>
          </w:divBdr>
          <w:divsChild>
            <w:div w:id="458651779">
              <w:marLeft w:val="0"/>
              <w:marRight w:val="0"/>
              <w:marTop w:val="0"/>
              <w:marBottom w:val="0"/>
              <w:divBdr>
                <w:top w:val="none" w:sz="0" w:space="0" w:color="auto"/>
                <w:left w:val="none" w:sz="0" w:space="0" w:color="auto"/>
                <w:bottom w:val="none" w:sz="0" w:space="0" w:color="auto"/>
                <w:right w:val="none" w:sz="0" w:space="0" w:color="auto"/>
              </w:divBdr>
            </w:div>
          </w:divsChild>
        </w:div>
        <w:div w:id="1670595949">
          <w:marLeft w:val="0"/>
          <w:marRight w:val="0"/>
          <w:marTop w:val="0"/>
          <w:marBottom w:val="0"/>
          <w:divBdr>
            <w:top w:val="none" w:sz="0" w:space="0" w:color="auto"/>
            <w:left w:val="none" w:sz="0" w:space="0" w:color="auto"/>
            <w:bottom w:val="none" w:sz="0" w:space="0" w:color="auto"/>
            <w:right w:val="none" w:sz="0" w:space="0" w:color="auto"/>
          </w:divBdr>
          <w:divsChild>
            <w:div w:id="1119030542">
              <w:marLeft w:val="0"/>
              <w:marRight w:val="0"/>
              <w:marTop w:val="0"/>
              <w:marBottom w:val="0"/>
              <w:divBdr>
                <w:top w:val="none" w:sz="0" w:space="0" w:color="auto"/>
                <w:left w:val="none" w:sz="0" w:space="0" w:color="auto"/>
                <w:bottom w:val="none" w:sz="0" w:space="0" w:color="auto"/>
                <w:right w:val="none" w:sz="0" w:space="0" w:color="auto"/>
              </w:divBdr>
            </w:div>
          </w:divsChild>
        </w:div>
        <w:div w:id="1674602171">
          <w:marLeft w:val="0"/>
          <w:marRight w:val="0"/>
          <w:marTop w:val="0"/>
          <w:marBottom w:val="0"/>
          <w:divBdr>
            <w:top w:val="none" w:sz="0" w:space="0" w:color="auto"/>
            <w:left w:val="none" w:sz="0" w:space="0" w:color="auto"/>
            <w:bottom w:val="none" w:sz="0" w:space="0" w:color="auto"/>
            <w:right w:val="none" w:sz="0" w:space="0" w:color="auto"/>
          </w:divBdr>
          <w:divsChild>
            <w:div w:id="391513061">
              <w:marLeft w:val="0"/>
              <w:marRight w:val="0"/>
              <w:marTop w:val="0"/>
              <w:marBottom w:val="0"/>
              <w:divBdr>
                <w:top w:val="none" w:sz="0" w:space="0" w:color="auto"/>
                <w:left w:val="none" w:sz="0" w:space="0" w:color="auto"/>
                <w:bottom w:val="none" w:sz="0" w:space="0" w:color="auto"/>
                <w:right w:val="none" w:sz="0" w:space="0" w:color="auto"/>
              </w:divBdr>
            </w:div>
          </w:divsChild>
        </w:div>
        <w:div w:id="1675720387">
          <w:marLeft w:val="0"/>
          <w:marRight w:val="0"/>
          <w:marTop w:val="0"/>
          <w:marBottom w:val="0"/>
          <w:divBdr>
            <w:top w:val="none" w:sz="0" w:space="0" w:color="auto"/>
            <w:left w:val="none" w:sz="0" w:space="0" w:color="auto"/>
            <w:bottom w:val="none" w:sz="0" w:space="0" w:color="auto"/>
            <w:right w:val="none" w:sz="0" w:space="0" w:color="auto"/>
          </w:divBdr>
          <w:divsChild>
            <w:div w:id="121731720">
              <w:marLeft w:val="0"/>
              <w:marRight w:val="0"/>
              <w:marTop w:val="0"/>
              <w:marBottom w:val="0"/>
              <w:divBdr>
                <w:top w:val="none" w:sz="0" w:space="0" w:color="auto"/>
                <w:left w:val="none" w:sz="0" w:space="0" w:color="auto"/>
                <w:bottom w:val="none" w:sz="0" w:space="0" w:color="auto"/>
                <w:right w:val="none" w:sz="0" w:space="0" w:color="auto"/>
              </w:divBdr>
            </w:div>
          </w:divsChild>
        </w:div>
        <w:div w:id="1681615353">
          <w:marLeft w:val="0"/>
          <w:marRight w:val="0"/>
          <w:marTop w:val="0"/>
          <w:marBottom w:val="0"/>
          <w:divBdr>
            <w:top w:val="none" w:sz="0" w:space="0" w:color="auto"/>
            <w:left w:val="none" w:sz="0" w:space="0" w:color="auto"/>
            <w:bottom w:val="none" w:sz="0" w:space="0" w:color="auto"/>
            <w:right w:val="none" w:sz="0" w:space="0" w:color="auto"/>
          </w:divBdr>
          <w:divsChild>
            <w:div w:id="968123158">
              <w:marLeft w:val="0"/>
              <w:marRight w:val="0"/>
              <w:marTop w:val="0"/>
              <w:marBottom w:val="0"/>
              <w:divBdr>
                <w:top w:val="none" w:sz="0" w:space="0" w:color="auto"/>
                <w:left w:val="none" w:sz="0" w:space="0" w:color="auto"/>
                <w:bottom w:val="none" w:sz="0" w:space="0" w:color="auto"/>
                <w:right w:val="none" w:sz="0" w:space="0" w:color="auto"/>
              </w:divBdr>
            </w:div>
          </w:divsChild>
        </w:div>
        <w:div w:id="1682202428">
          <w:marLeft w:val="0"/>
          <w:marRight w:val="0"/>
          <w:marTop w:val="0"/>
          <w:marBottom w:val="0"/>
          <w:divBdr>
            <w:top w:val="none" w:sz="0" w:space="0" w:color="auto"/>
            <w:left w:val="none" w:sz="0" w:space="0" w:color="auto"/>
            <w:bottom w:val="none" w:sz="0" w:space="0" w:color="auto"/>
            <w:right w:val="none" w:sz="0" w:space="0" w:color="auto"/>
          </w:divBdr>
          <w:divsChild>
            <w:div w:id="579028676">
              <w:marLeft w:val="0"/>
              <w:marRight w:val="0"/>
              <w:marTop w:val="0"/>
              <w:marBottom w:val="0"/>
              <w:divBdr>
                <w:top w:val="none" w:sz="0" w:space="0" w:color="auto"/>
                <w:left w:val="none" w:sz="0" w:space="0" w:color="auto"/>
                <w:bottom w:val="none" w:sz="0" w:space="0" w:color="auto"/>
                <w:right w:val="none" w:sz="0" w:space="0" w:color="auto"/>
              </w:divBdr>
            </w:div>
          </w:divsChild>
        </w:div>
        <w:div w:id="1691175480">
          <w:marLeft w:val="0"/>
          <w:marRight w:val="0"/>
          <w:marTop w:val="0"/>
          <w:marBottom w:val="0"/>
          <w:divBdr>
            <w:top w:val="none" w:sz="0" w:space="0" w:color="auto"/>
            <w:left w:val="none" w:sz="0" w:space="0" w:color="auto"/>
            <w:bottom w:val="none" w:sz="0" w:space="0" w:color="auto"/>
            <w:right w:val="none" w:sz="0" w:space="0" w:color="auto"/>
          </w:divBdr>
          <w:divsChild>
            <w:div w:id="1070812888">
              <w:marLeft w:val="0"/>
              <w:marRight w:val="0"/>
              <w:marTop w:val="0"/>
              <w:marBottom w:val="0"/>
              <w:divBdr>
                <w:top w:val="none" w:sz="0" w:space="0" w:color="auto"/>
                <w:left w:val="none" w:sz="0" w:space="0" w:color="auto"/>
                <w:bottom w:val="none" w:sz="0" w:space="0" w:color="auto"/>
                <w:right w:val="none" w:sz="0" w:space="0" w:color="auto"/>
              </w:divBdr>
            </w:div>
          </w:divsChild>
        </w:div>
        <w:div w:id="1691763083">
          <w:marLeft w:val="0"/>
          <w:marRight w:val="0"/>
          <w:marTop w:val="0"/>
          <w:marBottom w:val="0"/>
          <w:divBdr>
            <w:top w:val="none" w:sz="0" w:space="0" w:color="auto"/>
            <w:left w:val="none" w:sz="0" w:space="0" w:color="auto"/>
            <w:bottom w:val="none" w:sz="0" w:space="0" w:color="auto"/>
            <w:right w:val="none" w:sz="0" w:space="0" w:color="auto"/>
          </w:divBdr>
          <w:divsChild>
            <w:div w:id="1448160198">
              <w:marLeft w:val="0"/>
              <w:marRight w:val="0"/>
              <w:marTop w:val="0"/>
              <w:marBottom w:val="0"/>
              <w:divBdr>
                <w:top w:val="none" w:sz="0" w:space="0" w:color="auto"/>
                <w:left w:val="none" w:sz="0" w:space="0" w:color="auto"/>
                <w:bottom w:val="none" w:sz="0" w:space="0" w:color="auto"/>
                <w:right w:val="none" w:sz="0" w:space="0" w:color="auto"/>
              </w:divBdr>
            </w:div>
          </w:divsChild>
        </w:div>
        <w:div w:id="1692800617">
          <w:marLeft w:val="0"/>
          <w:marRight w:val="0"/>
          <w:marTop w:val="0"/>
          <w:marBottom w:val="0"/>
          <w:divBdr>
            <w:top w:val="none" w:sz="0" w:space="0" w:color="auto"/>
            <w:left w:val="none" w:sz="0" w:space="0" w:color="auto"/>
            <w:bottom w:val="none" w:sz="0" w:space="0" w:color="auto"/>
            <w:right w:val="none" w:sz="0" w:space="0" w:color="auto"/>
          </w:divBdr>
          <w:divsChild>
            <w:div w:id="777330890">
              <w:marLeft w:val="0"/>
              <w:marRight w:val="0"/>
              <w:marTop w:val="0"/>
              <w:marBottom w:val="0"/>
              <w:divBdr>
                <w:top w:val="none" w:sz="0" w:space="0" w:color="auto"/>
                <w:left w:val="none" w:sz="0" w:space="0" w:color="auto"/>
                <w:bottom w:val="none" w:sz="0" w:space="0" w:color="auto"/>
                <w:right w:val="none" w:sz="0" w:space="0" w:color="auto"/>
              </w:divBdr>
            </w:div>
          </w:divsChild>
        </w:div>
        <w:div w:id="1703748638">
          <w:marLeft w:val="0"/>
          <w:marRight w:val="0"/>
          <w:marTop w:val="0"/>
          <w:marBottom w:val="0"/>
          <w:divBdr>
            <w:top w:val="none" w:sz="0" w:space="0" w:color="auto"/>
            <w:left w:val="none" w:sz="0" w:space="0" w:color="auto"/>
            <w:bottom w:val="none" w:sz="0" w:space="0" w:color="auto"/>
            <w:right w:val="none" w:sz="0" w:space="0" w:color="auto"/>
          </w:divBdr>
          <w:divsChild>
            <w:div w:id="1565993472">
              <w:marLeft w:val="0"/>
              <w:marRight w:val="0"/>
              <w:marTop w:val="0"/>
              <w:marBottom w:val="0"/>
              <w:divBdr>
                <w:top w:val="none" w:sz="0" w:space="0" w:color="auto"/>
                <w:left w:val="none" w:sz="0" w:space="0" w:color="auto"/>
                <w:bottom w:val="none" w:sz="0" w:space="0" w:color="auto"/>
                <w:right w:val="none" w:sz="0" w:space="0" w:color="auto"/>
              </w:divBdr>
            </w:div>
          </w:divsChild>
        </w:div>
        <w:div w:id="1707488134">
          <w:marLeft w:val="0"/>
          <w:marRight w:val="0"/>
          <w:marTop w:val="0"/>
          <w:marBottom w:val="0"/>
          <w:divBdr>
            <w:top w:val="none" w:sz="0" w:space="0" w:color="auto"/>
            <w:left w:val="none" w:sz="0" w:space="0" w:color="auto"/>
            <w:bottom w:val="none" w:sz="0" w:space="0" w:color="auto"/>
            <w:right w:val="none" w:sz="0" w:space="0" w:color="auto"/>
          </w:divBdr>
          <w:divsChild>
            <w:div w:id="451900570">
              <w:marLeft w:val="0"/>
              <w:marRight w:val="0"/>
              <w:marTop w:val="0"/>
              <w:marBottom w:val="0"/>
              <w:divBdr>
                <w:top w:val="none" w:sz="0" w:space="0" w:color="auto"/>
                <w:left w:val="none" w:sz="0" w:space="0" w:color="auto"/>
                <w:bottom w:val="none" w:sz="0" w:space="0" w:color="auto"/>
                <w:right w:val="none" w:sz="0" w:space="0" w:color="auto"/>
              </w:divBdr>
            </w:div>
          </w:divsChild>
        </w:div>
        <w:div w:id="1709525507">
          <w:marLeft w:val="0"/>
          <w:marRight w:val="0"/>
          <w:marTop w:val="0"/>
          <w:marBottom w:val="0"/>
          <w:divBdr>
            <w:top w:val="none" w:sz="0" w:space="0" w:color="auto"/>
            <w:left w:val="none" w:sz="0" w:space="0" w:color="auto"/>
            <w:bottom w:val="none" w:sz="0" w:space="0" w:color="auto"/>
            <w:right w:val="none" w:sz="0" w:space="0" w:color="auto"/>
          </w:divBdr>
          <w:divsChild>
            <w:div w:id="1430463039">
              <w:marLeft w:val="0"/>
              <w:marRight w:val="0"/>
              <w:marTop w:val="0"/>
              <w:marBottom w:val="0"/>
              <w:divBdr>
                <w:top w:val="none" w:sz="0" w:space="0" w:color="auto"/>
                <w:left w:val="none" w:sz="0" w:space="0" w:color="auto"/>
                <w:bottom w:val="none" w:sz="0" w:space="0" w:color="auto"/>
                <w:right w:val="none" w:sz="0" w:space="0" w:color="auto"/>
              </w:divBdr>
            </w:div>
          </w:divsChild>
        </w:div>
        <w:div w:id="1712803461">
          <w:marLeft w:val="0"/>
          <w:marRight w:val="0"/>
          <w:marTop w:val="0"/>
          <w:marBottom w:val="0"/>
          <w:divBdr>
            <w:top w:val="none" w:sz="0" w:space="0" w:color="auto"/>
            <w:left w:val="none" w:sz="0" w:space="0" w:color="auto"/>
            <w:bottom w:val="none" w:sz="0" w:space="0" w:color="auto"/>
            <w:right w:val="none" w:sz="0" w:space="0" w:color="auto"/>
          </w:divBdr>
          <w:divsChild>
            <w:div w:id="547841297">
              <w:marLeft w:val="0"/>
              <w:marRight w:val="0"/>
              <w:marTop w:val="0"/>
              <w:marBottom w:val="0"/>
              <w:divBdr>
                <w:top w:val="none" w:sz="0" w:space="0" w:color="auto"/>
                <w:left w:val="none" w:sz="0" w:space="0" w:color="auto"/>
                <w:bottom w:val="none" w:sz="0" w:space="0" w:color="auto"/>
                <w:right w:val="none" w:sz="0" w:space="0" w:color="auto"/>
              </w:divBdr>
            </w:div>
          </w:divsChild>
        </w:div>
        <w:div w:id="1717393632">
          <w:marLeft w:val="0"/>
          <w:marRight w:val="0"/>
          <w:marTop w:val="0"/>
          <w:marBottom w:val="0"/>
          <w:divBdr>
            <w:top w:val="none" w:sz="0" w:space="0" w:color="auto"/>
            <w:left w:val="none" w:sz="0" w:space="0" w:color="auto"/>
            <w:bottom w:val="none" w:sz="0" w:space="0" w:color="auto"/>
            <w:right w:val="none" w:sz="0" w:space="0" w:color="auto"/>
          </w:divBdr>
          <w:divsChild>
            <w:div w:id="579948726">
              <w:marLeft w:val="0"/>
              <w:marRight w:val="0"/>
              <w:marTop w:val="0"/>
              <w:marBottom w:val="0"/>
              <w:divBdr>
                <w:top w:val="none" w:sz="0" w:space="0" w:color="auto"/>
                <w:left w:val="none" w:sz="0" w:space="0" w:color="auto"/>
                <w:bottom w:val="none" w:sz="0" w:space="0" w:color="auto"/>
                <w:right w:val="none" w:sz="0" w:space="0" w:color="auto"/>
              </w:divBdr>
            </w:div>
          </w:divsChild>
        </w:div>
        <w:div w:id="1724450358">
          <w:marLeft w:val="0"/>
          <w:marRight w:val="0"/>
          <w:marTop w:val="0"/>
          <w:marBottom w:val="0"/>
          <w:divBdr>
            <w:top w:val="none" w:sz="0" w:space="0" w:color="auto"/>
            <w:left w:val="none" w:sz="0" w:space="0" w:color="auto"/>
            <w:bottom w:val="none" w:sz="0" w:space="0" w:color="auto"/>
            <w:right w:val="none" w:sz="0" w:space="0" w:color="auto"/>
          </w:divBdr>
          <w:divsChild>
            <w:div w:id="1638491619">
              <w:marLeft w:val="0"/>
              <w:marRight w:val="0"/>
              <w:marTop w:val="0"/>
              <w:marBottom w:val="0"/>
              <w:divBdr>
                <w:top w:val="none" w:sz="0" w:space="0" w:color="auto"/>
                <w:left w:val="none" w:sz="0" w:space="0" w:color="auto"/>
                <w:bottom w:val="none" w:sz="0" w:space="0" w:color="auto"/>
                <w:right w:val="none" w:sz="0" w:space="0" w:color="auto"/>
              </w:divBdr>
            </w:div>
          </w:divsChild>
        </w:div>
        <w:div w:id="1728722895">
          <w:marLeft w:val="0"/>
          <w:marRight w:val="0"/>
          <w:marTop w:val="0"/>
          <w:marBottom w:val="0"/>
          <w:divBdr>
            <w:top w:val="none" w:sz="0" w:space="0" w:color="auto"/>
            <w:left w:val="none" w:sz="0" w:space="0" w:color="auto"/>
            <w:bottom w:val="none" w:sz="0" w:space="0" w:color="auto"/>
            <w:right w:val="none" w:sz="0" w:space="0" w:color="auto"/>
          </w:divBdr>
          <w:divsChild>
            <w:div w:id="1103454631">
              <w:marLeft w:val="0"/>
              <w:marRight w:val="0"/>
              <w:marTop w:val="0"/>
              <w:marBottom w:val="0"/>
              <w:divBdr>
                <w:top w:val="none" w:sz="0" w:space="0" w:color="auto"/>
                <w:left w:val="none" w:sz="0" w:space="0" w:color="auto"/>
                <w:bottom w:val="none" w:sz="0" w:space="0" w:color="auto"/>
                <w:right w:val="none" w:sz="0" w:space="0" w:color="auto"/>
              </w:divBdr>
            </w:div>
          </w:divsChild>
        </w:div>
        <w:div w:id="1729719905">
          <w:marLeft w:val="0"/>
          <w:marRight w:val="0"/>
          <w:marTop w:val="0"/>
          <w:marBottom w:val="0"/>
          <w:divBdr>
            <w:top w:val="none" w:sz="0" w:space="0" w:color="auto"/>
            <w:left w:val="none" w:sz="0" w:space="0" w:color="auto"/>
            <w:bottom w:val="none" w:sz="0" w:space="0" w:color="auto"/>
            <w:right w:val="none" w:sz="0" w:space="0" w:color="auto"/>
          </w:divBdr>
          <w:divsChild>
            <w:div w:id="1602030385">
              <w:marLeft w:val="0"/>
              <w:marRight w:val="0"/>
              <w:marTop w:val="0"/>
              <w:marBottom w:val="0"/>
              <w:divBdr>
                <w:top w:val="none" w:sz="0" w:space="0" w:color="auto"/>
                <w:left w:val="none" w:sz="0" w:space="0" w:color="auto"/>
                <w:bottom w:val="none" w:sz="0" w:space="0" w:color="auto"/>
                <w:right w:val="none" w:sz="0" w:space="0" w:color="auto"/>
              </w:divBdr>
            </w:div>
          </w:divsChild>
        </w:div>
        <w:div w:id="1731729427">
          <w:marLeft w:val="0"/>
          <w:marRight w:val="0"/>
          <w:marTop w:val="0"/>
          <w:marBottom w:val="0"/>
          <w:divBdr>
            <w:top w:val="none" w:sz="0" w:space="0" w:color="auto"/>
            <w:left w:val="none" w:sz="0" w:space="0" w:color="auto"/>
            <w:bottom w:val="none" w:sz="0" w:space="0" w:color="auto"/>
            <w:right w:val="none" w:sz="0" w:space="0" w:color="auto"/>
          </w:divBdr>
          <w:divsChild>
            <w:div w:id="902182078">
              <w:marLeft w:val="0"/>
              <w:marRight w:val="0"/>
              <w:marTop w:val="0"/>
              <w:marBottom w:val="0"/>
              <w:divBdr>
                <w:top w:val="none" w:sz="0" w:space="0" w:color="auto"/>
                <w:left w:val="none" w:sz="0" w:space="0" w:color="auto"/>
                <w:bottom w:val="none" w:sz="0" w:space="0" w:color="auto"/>
                <w:right w:val="none" w:sz="0" w:space="0" w:color="auto"/>
              </w:divBdr>
            </w:div>
          </w:divsChild>
        </w:div>
        <w:div w:id="1737973528">
          <w:marLeft w:val="0"/>
          <w:marRight w:val="0"/>
          <w:marTop w:val="0"/>
          <w:marBottom w:val="0"/>
          <w:divBdr>
            <w:top w:val="none" w:sz="0" w:space="0" w:color="auto"/>
            <w:left w:val="none" w:sz="0" w:space="0" w:color="auto"/>
            <w:bottom w:val="none" w:sz="0" w:space="0" w:color="auto"/>
            <w:right w:val="none" w:sz="0" w:space="0" w:color="auto"/>
          </w:divBdr>
          <w:divsChild>
            <w:div w:id="1449160277">
              <w:marLeft w:val="0"/>
              <w:marRight w:val="0"/>
              <w:marTop w:val="0"/>
              <w:marBottom w:val="0"/>
              <w:divBdr>
                <w:top w:val="none" w:sz="0" w:space="0" w:color="auto"/>
                <w:left w:val="none" w:sz="0" w:space="0" w:color="auto"/>
                <w:bottom w:val="none" w:sz="0" w:space="0" w:color="auto"/>
                <w:right w:val="none" w:sz="0" w:space="0" w:color="auto"/>
              </w:divBdr>
            </w:div>
          </w:divsChild>
        </w:div>
        <w:div w:id="1741826569">
          <w:marLeft w:val="0"/>
          <w:marRight w:val="0"/>
          <w:marTop w:val="0"/>
          <w:marBottom w:val="0"/>
          <w:divBdr>
            <w:top w:val="none" w:sz="0" w:space="0" w:color="auto"/>
            <w:left w:val="none" w:sz="0" w:space="0" w:color="auto"/>
            <w:bottom w:val="none" w:sz="0" w:space="0" w:color="auto"/>
            <w:right w:val="none" w:sz="0" w:space="0" w:color="auto"/>
          </w:divBdr>
          <w:divsChild>
            <w:div w:id="1542014446">
              <w:marLeft w:val="0"/>
              <w:marRight w:val="0"/>
              <w:marTop w:val="0"/>
              <w:marBottom w:val="0"/>
              <w:divBdr>
                <w:top w:val="none" w:sz="0" w:space="0" w:color="auto"/>
                <w:left w:val="none" w:sz="0" w:space="0" w:color="auto"/>
                <w:bottom w:val="none" w:sz="0" w:space="0" w:color="auto"/>
                <w:right w:val="none" w:sz="0" w:space="0" w:color="auto"/>
              </w:divBdr>
            </w:div>
          </w:divsChild>
        </w:div>
        <w:div w:id="1744329157">
          <w:marLeft w:val="0"/>
          <w:marRight w:val="0"/>
          <w:marTop w:val="0"/>
          <w:marBottom w:val="0"/>
          <w:divBdr>
            <w:top w:val="none" w:sz="0" w:space="0" w:color="auto"/>
            <w:left w:val="none" w:sz="0" w:space="0" w:color="auto"/>
            <w:bottom w:val="none" w:sz="0" w:space="0" w:color="auto"/>
            <w:right w:val="none" w:sz="0" w:space="0" w:color="auto"/>
          </w:divBdr>
          <w:divsChild>
            <w:div w:id="1810629488">
              <w:marLeft w:val="0"/>
              <w:marRight w:val="0"/>
              <w:marTop w:val="0"/>
              <w:marBottom w:val="0"/>
              <w:divBdr>
                <w:top w:val="none" w:sz="0" w:space="0" w:color="auto"/>
                <w:left w:val="none" w:sz="0" w:space="0" w:color="auto"/>
                <w:bottom w:val="none" w:sz="0" w:space="0" w:color="auto"/>
                <w:right w:val="none" w:sz="0" w:space="0" w:color="auto"/>
              </w:divBdr>
            </w:div>
          </w:divsChild>
        </w:div>
        <w:div w:id="1744913032">
          <w:marLeft w:val="0"/>
          <w:marRight w:val="0"/>
          <w:marTop w:val="0"/>
          <w:marBottom w:val="0"/>
          <w:divBdr>
            <w:top w:val="none" w:sz="0" w:space="0" w:color="auto"/>
            <w:left w:val="none" w:sz="0" w:space="0" w:color="auto"/>
            <w:bottom w:val="none" w:sz="0" w:space="0" w:color="auto"/>
            <w:right w:val="none" w:sz="0" w:space="0" w:color="auto"/>
          </w:divBdr>
          <w:divsChild>
            <w:div w:id="1476070594">
              <w:marLeft w:val="0"/>
              <w:marRight w:val="0"/>
              <w:marTop w:val="0"/>
              <w:marBottom w:val="0"/>
              <w:divBdr>
                <w:top w:val="none" w:sz="0" w:space="0" w:color="auto"/>
                <w:left w:val="none" w:sz="0" w:space="0" w:color="auto"/>
                <w:bottom w:val="none" w:sz="0" w:space="0" w:color="auto"/>
                <w:right w:val="none" w:sz="0" w:space="0" w:color="auto"/>
              </w:divBdr>
            </w:div>
          </w:divsChild>
        </w:div>
        <w:div w:id="1745956239">
          <w:marLeft w:val="0"/>
          <w:marRight w:val="0"/>
          <w:marTop w:val="0"/>
          <w:marBottom w:val="0"/>
          <w:divBdr>
            <w:top w:val="none" w:sz="0" w:space="0" w:color="auto"/>
            <w:left w:val="none" w:sz="0" w:space="0" w:color="auto"/>
            <w:bottom w:val="none" w:sz="0" w:space="0" w:color="auto"/>
            <w:right w:val="none" w:sz="0" w:space="0" w:color="auto"/>
          </w:divBdr>
          <w:divsChild>
            <w:div w:id="294260696">
              <w:marLeft w:val="0"/>
              <w:marRight w:val="0"/>
              <w:marTop w:val="0"/>
              <w:marBottom w:val="0"/>
              <w:divBdr>
                <w:top w:val="none" w:sz="0" w:space="0" w:color="auto"/>
                <w:left w:val="none" w:sz="0" w:space="0" w:color="auto"/>
                <w:bottom w:val="none" w:sz="0" w:space="0" w:color="auto"/>
                <w:right w:val="none" w:sz="0" w:space="0" w:color="auto"/>
              </w:divBdr>
            </w:div>
          </w:divsChild>
        </w:div>
        <w:div w:id="1752510298">
          <w:marLeft w:val="0"/>
          <w:marRight w:val="0"/>
          <w:marTop w:val="0"/>
          <w:marBottom w:val="0"/>
          <w:divBdr>
            <w:top w:val="none" w:sz="0" w:space="0" w:color="auto"/>
            <w:left w:val="none" w:sz="0" w:space="0" w:color="auto"/>
            <w:bottom w:val="none" w:sz="0" w:space="0" w:color="auto"/>
            <w:right w:val="none" w:sz="0" w:space="0" w:color="auto"/>
          </w:divBdr>
          <w:divsChild>
            <w:div w:id="1606110503">
              <w:marLeft w:val="0"/>
              <w:marRight w:val="0"/>
              <w:marTop w:val="0"/>
              <w:marBottom w:val="0"/>
              <w:divBdr>
                <w:top w:val="none" w:sz="0" w:space="0" w:color="auto"/>
                <w:left w:val="none" w:sz="0" w:space="0" w:color="auto"/>
                <w:bottom w:val="none" w:sz="0" w:space="0" w:color="auto"/>
                <w:right w:val="none" w:sz="0" w:space="0" w:color="auto"/>
              </w:divBdr>
            </w:div>
          </w:divsChild>
        </w:div>
        <w:div w:id="1753382660">
          <w:marLeft w:val="0"/>
          <w:marRight w:val="0"/>
          <w:marTop w:val="0"/>
          <w:marBottom w:val="0"/>
          <w:divBdr>
            <w:top w:val="none" w:sz="0" w:space="0" w:color="auto"/>
            <w:left w:val="none" w:sz="0" w:space="0" w:color="auto"/>
            <w:bottom w:val="none" w:sz="0" w:space="0" w:color="auto"/>
            <w:right w:val="none" w:sz="0" w:space="0" w:color="auto"/>
          </w:divBdr>
          <w:divsChild>
            <w:div w:id="1931816115">
              <w:marLeft w:val="0"/>
              <w:marRight w:val="0"/>
              <w:marTop w:val="0"/>
              <w:marBottom w:val="0"/>
              <w:divBdr>
                <w:top w:val="none" w:sz="0" w:space="0" w:color="auto"/>
                <w:left w:val="none" w:sz="0" w:space="0" w:color="auto"/>
                <w:bottom w:val="none" w:sz="0" w:space="0" w:color="auto"/>
                <w:right w:val="none" w:sz="0" w:space="0" w:color="auto"/>
              </w:divBdr>
            </w:div>
          </w:divsChild>
        </w:div>
        <w:div w:id="1754080269">
          <w:marLeft w:val="0"/>
          <w:marRight w:val="0"/>
          <w:marTop w:val="0"/>
          <w:marBottom w:val="0"/>
          <w:divBdr>
            <w:top w:val="none" w:sz="0" w:space="0" w:color="auto"/>
            <w:left w:val="none" w:sz="0" w:space="0" w:color="auto"/>
            <w:bottom w:val="none" w:sz="0" w:space="0" w:color="auto"/>
            <w:right w:val="none" w:sz="0" w:space="0" w:color="auto"/>
          </w:divBdr>
          <w:divsChild>
            <w:div w:id="1775976515">
              <w:marLeft w:val="0"/>
              <w:marRight w:val="0"/>
              <w:marTop w:val="0"/>
              <w:marBottom w:val="0"/>
              <w:divBdr>
                <w:top w:val="none" w:sz="0" w:space="0" w:color="auto"/>
                <w:left w:val="none" w:sz="0" w:space="0" w:color="auto"/>
                <w:bottom w:val="none" w:sz="0" w:space="0" w:color="auto"/>
                <w:right w:val="none" w:sz="0" w:space="0" w:color="auto"/>
              </w:divBdr>
            </w:div>
          </w:divsChild>
        </w:div>
        <w:div w:id="1758356250">
          <w:marLeft w:val="0"/>
          <w:marRight w:val="0"/>
          <w:marTop w:val="0"/>
          <w:marBottom w:val="0"/>
          <w:divBdr>
            <w:top w:val="none" w:sz="0" w:space="0" w:color="auto"/>
            <w:left w:val="none" w:sz="0" w:space="0" w:color="auto"/>
            <w:bottom w:val="none" w:sz="0" w:space="0" w:color="auto"/>
            <w:right w:val="none" w:sz="0" w:space="0" w:color="auto"/>
          </w:divBdr>
          <w:divsChild>
            <w:div w:id="15817590">
              <w:marLeft w:val="0"/>
              <w:marRight w:val="0"/>
              <w:marTop w:val="0"/>
              <w:marBottom w:val="0"/>
              <w:divBdr>
                <w:top w:val="none" w:sz="0" w:space="0" w:color="auto"/>
                <w:left w:val="none" w:sz="0" w:space="0" w:color="auto"/>
                <w:bottom w:val="none" w:sz="0" w:space="0" w:color="auto"/>
                <w:right w:val="none" w:sz="0" w:space="0" w:color="auto"/>
              </w:divBdr>
            </w:div>
          </w:divsChild>
        </w:div>
        <w:div w:id="1760054933">
          <w:marLeft w:val="0"/>
          <w:marRight w:val="0"/>
          <w:marTop w:val="0"/>
          <w:marBottom w:val="0"/>
          <w:divBdr>
            <w:top w:val="none" w:sz="0" w:space="0" w:color="auto"/>
            <w:left w:val="none" w:sz="0" w:space="0" w:color="auto"/>
            <w:bottom w:val="none" w:sz="0" w:space="0" w:color="auto"/>
            <w:right w:val="none" w:sz="0" w:space="0" w:color="auto"/>
          </w:divBdr>
          <w:divsChild>
            <w:div w:id="1648708909">
              <w:marLeft w:val="0"/>
              <w:marRight w:val="0"/>
              <w:marTop w:val="0"/>
              <w:marBottom w:val="0"/>
              <w:divBdr>
                <w:top w:val="none" w:sz="0" w:space="0" w:color="auto"/>
                <w:left w:val="none" w:sz="0" w:space="0" w:color="auto"/>
                <w:bottom w:val="none" w:sz="0" w:space="0" w:color="auto"/>
                <w:right w:val="none" w:sz="0" w:space="0" w:color="auto"/>
              </w:divBdr>
            </w:div>
          </w:divsChild>
        </w:div>
        <w:div w:id="1763065303">
          <w:marLeft w:val="0"/>
          <w:marRight w:val="0"/>
          <w:marTop w:val="0"/>
          <w:marBottom w:val="0"/>
          <w:divBdr>
            <w:top w:val="none" w:sz="0" w:space="0" w:color="auto"/>
            <w:left w:val="none" w:sz="0" w:space="0" w:color="auto"/>
            <w:bottom w:val="none" w:sz="0" w:space="0" w:color="auto"/>
            <w:right w:val="none" w:sz="0" w:space="0" w:color="auto"/>
          </w:divBdr>
          <w:divsChild>
            <w:div w:id="1546792445">
              <w:marLeft w:val="0"/>
              <w:marRight w:val="0"/>
              <w:marTop w:val="0"/>
              <w:marBottom w:val="0"/>
              <w:divBdr>
                <w:top w:val="none" w:sz="0" w:space="0" w:color="auto"/>
                <w:left w:val="none" w:sz="0" w:space="0" w:color="auto"/>
                <w:bottom w:val="none" w:sz="0" w:space="0" w:color="auto"/>
                <w:right w:val="none" w:sz="0" w:space="0" w:color="auto"/>
              </w:divBdr>
            </w:div>
          </w:divsChild>
        </w:div>
        <w:div w:id="1772553992">
          <w:marLeft w:val="0"/>
          <w:marRight w:val="0"/>
          <w:marTop w:val="0"/>
          <w:marBottom w:val="0"/>
          <w:divBdr>
            <w:top w:val="none" w:sz="0" w:space="0" w:color="auto"/>
            <w:left w:val="none" w:sz="0" w:space="0" w:color="auto"/>
            <w:bottom w:val="none" w:sz="0" w:space="0" w:color="auto"/>
            <w:right w:val="none" w:sz="0" w:space="0" w:color="auto"/>
          </w:divBdr>
          <w:divsChild>
            <w:div w:id="943075791">
              <w:marLeft w:val="0"/>
              <w:marRight w:val="0"/>
              <w:marTop w:val="0"/>
              <w:marBottom w:val="0"/>
              <w:divBdr>
                <w:top w:val="none" w:sz="0" w:space="0" w:color="auto"/>
                <w:left w:val="none" w:sz="0" w:space="0" w:color="auto"/>
                <w:bottom w:val="none" w:sz="0" w:space="0" w:color="auto"/>
                <w:right w:val="none" w:sz="0" w:space="0" w:color="auto"/>
              </w:divBdr>
            </w:div>
          </w:divsChild>
        </w:div>
        <w:div w:id="1772580090">
          <w:marLeft w:val="0"/>
          <w:marRight w:val="0"/>
          <w:marTop w:val="0"/>
          <w:marBottom w:val="0"/>
          <w:divBdr>
            <w:top w:val="none" w:sz="0" w:space="0" w:color="auto"/>
            <w:left w:val="none" w:sz="0" w:space="0" w:color="auto"/>
            <w:bottom w:val="none" w:sz="0" w:space="0" w:color="auto"/>
            <w:right w:val="none" w:sz="0" w:space="0" w:color="auto"/>
          </w:divBdr>
          <w:divsChild>
            <w:div w:id="1812745367">
              <w:marLeft w:val="0"/>
              <w:marRight w:val="0"/>
              <w:marTop w:val="0"/>
              <w:marBottom w:val="0"/>
              <w:divBdr>
                <w:top w:val="none" w:sz="0" w:space="0" w:color="auto"/>
                <w:left w:val="none" w:sz="0" w:space="0" w:color="auto"/>
                <w:bottom w:val="none" w:sz="0" w:space="0" w:color="auto"/>
                <w:right w:val="none" w:sz="0" w:space="0" w:color="auto"/>
              </w:divBdr>
            </w:div>
          </w:divsChild>
        </w:div>
        <w:div w:id="1775320968">
          <w:marLeft w:val="0"/>
          <w:marRight w:val="0"/>
          <w:marTop w:val="0"/>
          <w:marBottom w:val="0"/>
          <w:divBdr>
            <w:top w:val="none" w:sz="0" w:space="0" w:color="auto"/>
            <w:left w:val="none" w:sz="0" w:space="0" w:color="auto"/>
            <w:bottom w:val="none" w:sz="0" w:space="0" w:color="auto"/>
            <w:right w:val="none" w:sz="0" w:space="0" w:color="auto"/>
          </w:divBdr>
          <w:divsChild>
            <w:div w:id="422722991">
              <w:marLeft w:val="0"/>
              <w:marRight w:val="0"/>
              <w:marTop w:val="0"/>
              <w:marBottom w:val="0"/>
              <w:divBdr>
                <w:top w:val="none" w:sz="0" w:space="0" w:color="auto"/>
                <w:left w:val="none" w:sz="0" w:space="0" w:color="auto"/>
                <w:bottom w:val="none" w:sz="0" w:space="0" w:color="auto"/>
                <w:right w:val="none" w:sz="0" w:space="0" w:color="auto"/>
              </w:divBdr>
            </w:div>
          </w:divsChild>
        </w:div>
        <w:div w:id="1777941109">
          <w:marLeft w:val="0"/>
          <w:marRight w:val="0"/>
          <w:marTop w:val="0"/>
          <w:marBottom w:val="0"/>
          <w:divBdr>
            <w:top w:val="none" w:sz="0" w:space="0" w:color="auto"/>
            <w:left w:val="none" w:sz="0" w:space="0" w:color="auto"/>
            <w:bottom w:val="none" w:sz="0" w:space="0" w:color="auto"/>
            <w:right w:val="none" w:sz="0" w:space="0" w:color="auto"/>
          </w:divBdr>
          <w:divsChild>
            <w:div w:id="57287685">
              <w:marLeft w:val="0"/>
              <w:marRight w:val="0"/>
              <w:marTop w:val="0"/>
              <w:marBottom w:val="0"/>
              <w:divBdr>
                <w:top w:val="none" w:sz="0" w:space="0" w:color="auto"/>
                <w:left w:val="none" w:sz="0" w:space="0" w:color="auto"/>
                <w:bottom w:val="none" w:sz="0" w:space="0" w:color="auto"/>
                <w:right w:val="none" w:sz="0" w:space="0" w:color="auto"/>
              </w:divBdr>
            </w:div>
          </w:divsChild>
        </w:div>
        <w:div w:id="1779836188">
          <w:marLeft w:val="0"/>
          <w:marRight w:val="0"/>
          <w:marTop w:val="0"/>
          <w:marBottom w:val="0"/>
          <w:divBdr>
            <w:top w:val="none" w:sz="0" w:space="0" w:color="auto"/>
            <w:left w:val="none" w:sz="0" w:space="0" w:color="auto"/>
            <w:bottom w:val="none" w:sz="0" w:space="0" w:color="auto"/>
            <w:right w:val="none" w:sz="0" w:space="0" w:color="auto"/>
          </w:divBdr>
          <w:divsChild>
            <w:div w:id="1649480595">
              <w:marLeft w:val="0"/>
              <w:marRight w:val="0"/>
              <w:marTop w:val="0"/>
              <w:marBottom w:val="0"/>
              <w:divBdr>
                <w:top w:val="none" w:sz="0" w:space="0" w:color="auto"/>
                <w:left w:val="none" w:sz="0" w:space="0" w:color="auto"/>
                <w:bottom w:val="none" w:sz="0" w:space="0" w:color="auto"/>
                <w:right w:val="none" w:sz="0" w:space="0" w:color="auto"/>
              </w:divBdr>
            </w:div>
          </w:divsChild>
        </w:div>
        <w:div w:id="1782146684">
          <w:marLeft w:val="0"/>
          <w:marRight w:val="0"/>
          <w:marTop w:val="0"/>
          <w:marBottom w:val="0"/>
          <w:divBdr>
            <w:top w:val="none" w:sz="0" w:space="0" w:color="auto"/>
            <w:left w:val="none" w:sz="0" w:space="0" w:color="auto"/>
            <w:bottom w:val="none" w:sz="0" w:space="0" w:color="auto"/>
            <w:right w:val="none" w:sz="0" w:space="0" w:color="auto"/>
          </w:divBdr>
          <w:divsChild>
            <w:div w:id="1078752330">
              <w:marLeft w:val="0"/>
              <w:marRight w:val="0"/>
              <w:marTop w:val="0"/>
              <w:marBottom w:val="0"/>
              <w:divBdr>
                <w:top w:val="none" w:sz="0" w:space="0" w:color="auto"/>
                <w:left w:val="none" w:sz="0" w:space="0" w:color="auto"/>
                <w:bottom w:val="none" w:sz="0" w:space="0" w:color="auto"/>
                <w:right w:val="none" w:sz="0" w:space="0" w:color="auto"/>
              </w:divBdr>
            </w:div>
          </w:divsChild>
        </w:div>
        <w:div w:id="1785926760">
          <w:marLeft w:val="0"/>
          <w:marRight w:val="0"/>
          <w:marTop w:val="0"/>
          <w:marBottom w:val="0"/>
          <w:divBdr>
            <w:top w:val="none" w:sz="0" w:space="0" w:color="auto"/>
            <w:left w:val="none" w:sz="0" w:space="0" w:color="auto"/>
            <w:bottom w:val="none" w:sz="0" w:space="0" w:color="auto"/>
            <w:right w:val="none" w:sz="0" w:space="0" w:color="auto"/>
          </w:divBdr>
          <w:divsChild>
            <w:div w:id="1423840584">
              <w:marLeft w:val="0"/>
              <w:marRight w:val="0"/>
              <w:marTop w:val="0"/>
              <w:marBottom w:val="0"/>
              <w:divBdr>
                <w:top w:val="none" w:sz="0" w:space="0" w:color="auto"/>
                <w:left w:val="none" w:sz="0" w:space="0" w:color="auto"/>
                <w:bottom w:val="none" w:sz="0" w:space="0" w:color="auto"/>
                <w:right w:val="none" w:sz="0" w:space="0" w:color="auto"/>
              </w:divBdr>
            </w:div>
          </w:divsChild>
        </w:div>
        <w:div w:id="1796370125">
          <w:marLeft w:val="0"/>
          <w:marRight w:val="0"/>
          <w:marTop w:val="0"/>
          <w:marBottom w:val="0"/>
          <w:divBdr>
            <w:top w:val="none" w:sz="0" w:space="0" w:color="auto"/>
            <w:left w:val="none" w:sz="0" w:space="0" w:color="auto"/>
            <w:bottom w:val="none" w:sz="0" w:space="0" w:color="auto"/>
            <w:right w:val="none" w:sz="0" w:space="0" w:color="auto"/>
          </w:divBdr>
          <w:divsChild>
            <w:div w:id="1551768531">
              <w:marLeft w:val="0"/>
              <w:marRight w:val="0"/>
              <w:marTop w:val="0"/>
              <w:marBottom w:val="0"/>
              <w:divBdr>
                <w:top w:val="none" w:sz="0" w:space="0" w:color="auto"/>
                <w:left w:val="none" w:sz="0" w:space="0" w:color="auto"/>
                <w:bottom w:val="none" w:sz="0" w:space="0" w:color="auto"/>
                <w:right w:val="none" w:sz="0" w:space="0" w:color="auto"/>
              </w:divBdr>
            </w:div>
          </w:divsChild>
        </w:div>
        <w:div w:id="1798059772">
          <w:marLeft w:val="0"/>
          <w:marRight w:val="0"/>
          <w:marTop w:val="0"/>
          <w:marBottom w:val="0"/>
          <w:divBdr>
            <w:top w:val="none" w:sz="0" w:space="0" w:color="auto"/>
            <w:left w:val="none" w:sz="0" w:space="0" w:color="auto"/>
            <w:bottom w:val="none" w:sz="0" w:space="0" w:color="auto"/>
            <w:right w:val="none" w:sz="0" w:space="0" w:color="auto"/>
          </w:divBdr>
          <w:divsChild>
            <w:div w:id="1732534585">
              <w:marLeft w:val="0"/>
              <w:marRight w:val="0"/>
              <w:marTop w:val="0"/>
              <w:marBottom w:val="0"/>
              <w:divBdr>
                <w:top w:val="none" w:sz="0" w:space="0" w:color="auto"/>
                <w:left w:val="none" w:sz="0" w:space="0" w:color="auto"/>
                <w:bottom w:val="none" w:sz="0" w:space="0" w:color="auto"/>
                <w:right w:val="none" w:sz="0" w:space="0" w:color="auto"/>
              </w:divBdr>
            </w:div>
          </w:divsChild>
        </w:div>
        <w:div w:id="1800225977">
          <w:marLeft w:val="0"/>
          <w:marRight w:val="0"/>
          <w:marTop w:val="0"/>
          <w:marBottom w:val="0"/>
          <w:divBdr>
            <w:top w:val="none" w:sz="0" w:space="0" w:color="auto"/>
            <w:left w:val="none" w:sz="0" w:space="0" w:color="auto"/>
            <w:bottom w:val="none" w:sz="0" w:space="0" w:color="auto"/>
            <w:right w:val="none" w:sz="0" w:space="0" w:color="auto"/>
          </w:divBdr>
          <w:divsChild>
            <w:div w:id="148786604">
              <w:marLeft w:val="0"/>
              <w:marRight w:val="0"/>
              <w:marTop w:val="0"/>
              <w:marBottom w:val="0"/>
              <w:divBdr>
                <w:top w:val="none" w:sz="0" w:space="0" w:color="auto"/>
                <w:left w:val="none" w:sz="0" w:space="0" w:color="auto"/>
                <w:bottom w:val="none" w:sz="0" w:space="0" w:color="auto"/>
                <w:right w:val="none" w:sz="0" w:space="0" w:color="auto"/>
              </w:divBdr>
            </w:div>
          </w:divsChild>
        </w:div>
        <w:div w:id="1806510002">
          <w:marLeft w:val="0"/>
          <w:marRight w:val="0"/>
          <w:marTop w:val="0"/>
          <w:marBottom w:val="0"/>
          <w:divBdr>
            <w:top w:val="none" w:sz="0" w:space="0" w:color="auto"/>
            <w:left w:val="none" w:sz="0" w:space="0" w:color="auto"/>
            <w:bottom w:val="none" w:sz="0" w:space="0" w:color="auto"/>
            <w:right w:val="none" w:sz="0" w:space="0" w:color="auto"/>
          </w:divBdr>
          <w:divsChild>
            <w:div w:id="2118287105">
              <w:marLeft w:val="0"/>
              <w:marRight w:val="0"/>
              <w:marTop w:val="0"/>
              <w:marBottom w:val="0"/>
              <w:divBdr>
                <w:top w:val="none" w:sz="0" w:space="0" w:color="auto"/>
                <w:left w:val="none" w:sz="0" w:space="0" w:color="auto"/>
                <w:bottom w:val="none" w:sz="0" w:space="0" w:color="auto"/>
                <w:right w:val="none" w:sz="0" w:space="0" w:color="auto"/>
              </w:divBdr>
            </w:div>
          </w:divsChild>
        </w:div>
        <w:div w:id="1818257408">
          <w:marLeft w:val="0"/>
          <w:marRight w:val="0"/>
          <w:marTop w:val="0"/>
          <w:marBottom w:val="0"/>
          <w:divBdr>
            <w:top w:val="none" w:sz="0" w:space="0" w:color="auto"/>
            <w:left w:val="none" w:sz="0" w:space="0" w:color="auto"/>
            <w:bottom w:val="none" w:sz="0" w:space="0" w:color="auto"/>
            <w:right w:val="none" w:sz="0" w:space="0" w:color="auto"/>
          </w:divBdr>
          <w:divsChild>
            <w:div w:id="1816600918">
              <w:marLeft w:val="0"/>
              <w:marRight w:val="0"/>
              <w:marTop w:val="0"/>
              <w:marBottom w:val="0"/>
              <w:divBdr>
                <w:top w:val="none" w:sz="0" w:space="0" w:color="auto"/>
                <w:left w:val="none" w:sz="0" w:space="0" w:color="auto"/>
                <w:bottom w:val="none" w:sz="0" w:space="0" w:color="auto"/>
                <w:right w:val="none" w:sz="0" w:space="0" w:color="auto"/>
              </w:divBdr>
            </w:div>
          </w:divsChild>
        </w:div>
        <w:div w:id="1825584039">
          <w:marLeft w:val="0"/>
          <w:marRight w:val="0"/>
          <w:marTop w:val="0"/>
          <w:marBottom w:val="0"/>
          <w:divBdr>
            <w:top w:val="none" w:sz="0" w:space="0" w:color="auto"/>
            <w:left w:val="none" w:sz="0" w:space="0" w:color="auto"/>
            <w:bottom w:val="none" w:sz="0" w:space="0" w:color="auto"/>
            <w:right w:val="none" w:sz="0" w:space="0" w:color="auto"/>
          </w:divBdr>
          <w:divsChild>
            <w:div w:id="828983574">
              <w:marLeft w:val="0"/>
              <w:marRight w:val="0"/>
              <w:marTop w:val="0"/>
              <w:marBottom w:val="0"/>
              <w:divBdr>
                <w:top w:val="none" w:sz="0" w:space="0" w:color="auto"/>
                <w:left w:val="none" w:sz="0" w:space="0" w:color="auto"/>
                <w:bottom w:val="none" w:sz="0" w:space="0" w:color="auto"/>
                <w:right w:val="none" w:sz="0" w:space="0" w:color="auto"/>
              </w:divBdr>
            </w:div>
          </w:divsChild>
        </w:div>
        <w:div w:id="1826773197">
          <w:marLeft w:val="0"/>
          <w:marRight w:val="0"/>
          <w:marTop w:val="0"/>
          <w:marBottom w:val="0"/>
          <w:divBdr>
            <w:top w:val="none" w:sz="0" w:space="0" w:color="auto"/>
            <w:left w:val="none" w:sz="0" w:space="0" w:color="auto"/>
            <w:bottom w:val="none" w:sz="0" w:space="0" w:color="auto"/>
            <w:right w:val="none" w:sz="0" w:space="0" w:color="auto"/>
          </w:divBdr>
          <w:divsChild>
            <w:div w:id="1572424942">
              <w:marLeft w:val="0"/>
              <w:marRight w:val="0"/>
              <w:marTop w:val="0"/>
              <w:marBottom w:val="0"/>
              <w:divBdr>
                <w:top w:val="none" w:sz="0" w:space="0" w:color="auto"/>
                <w:left w:val="none" w:sz="0" w:space="0" w:color="auto"/>
                <w:bottom w:val="none" w:sz="0" w:space="0" w:color="auto"/>
                <w:right w:val="none" w:sz="0" w:space="0" w:color="auto"/>
              </w:divBdr>
            </w:div>
          </w:divsChild>
        </w:div>
        <w:div w:id="1830749116">
          <w:marLeft w:val="0"/>
          <w:marRight w:val="0"/>
          <w:marTop w:val="0"/>
          <w:marBottom w:val="0"/>
          <w:divBdr>
            <w:top w:val="none" w:sz="0" w:space="0" w:color="auto"/>
            <w:left w:val="none" w:sz="0" w:space="0" w:color="auto"/>
            <w:bottom w:val="none" w:sz="0" w:space="0" w:color="auto"/>
            <w:right w:val="none" w:sz="0" w:space="0" w:color="auto"/>
          </w:divBdr>
          <w:divsChild>
            <w:div w:id="544176086">
              <w:marLeft w:val="0"/>
              <w:marRight w:val="0"/>
              <w:marTop w:val="0"/>
              <w:marBottom w:val="0"/>
              <w:divBdr>
                <w:top w:val="none" w:sz="0" w:space="0" w:color="auto"/>
                <w:left w:val="none" w:sz="0" w:space="0" w:color="auto"/>
                <w:bottom w:val="none" w:sz="0" w:space="0" w:color="auto"/>
                <w:right w:val="none" w:sz="0" w:space="0" w:color="auto"/>
              </w:divBdr>
            </w:div>
          </w:divsChild>
        </w:div>
        <w:div w:id="1831747885">
          <w:marLeft w:val="0"/>
          <w:marRight w:val="0"/>
          <w:marTop w:val="0"/>
          <w:marBottom w:val="0"/>
          <w:divBdr>
            <w:top w:val="none" w:sz="0" w:space="0" w:color="auto"/>
            <w:left w:val="none" w:sz="0" w:space="0" w:color="auto"/>
            <w:bottom w:val="none" w:sz="0" w:space="0" w:color="auto"/>
            <w:right w:val="none" w:sz="0" w:space="0" w:color="auto"/>
          </w:divBdr>
          <w:divsChild>
            <w:div w:id="1611430093">
              <w:marLeft w:val="0"/>
              <w:marRight w:val="0"/>
              <w:marTop w:val="0"/>
              <w:marBottom w:val="0"/>
              <w:divBdr>
                <w:top w:val="none" w:sz="0" w:space="0" w:color="auto"/>
                <w:left w:val="none" w:sz="0" w:space="0" w:color="auto"/>
                <w:bottom w:val="none" w:sz="0" w:space="0" w:color="auto"/>
                <w:right w:val="none" w:sz="0" w:space="0" w:color="auto"/>
              </w:divBdr>
            </w:div>
          </w:divsChild>
        </w:div>
        <w:div w:id="1832989312">
          <w:marLeft w:val="0"/>
          <w:marRight w:val="0"/>
          <w:marTop w:val="0"/>
          <w:marBottom w:val="0"/>
          <w:divBdr>
            <w:top w:val="none" w:sz="0" w:space="0" w:color="auto"/>
            <w:left w:val="none" w:sz="0" w:space="0" w:color="auto"/>
            <w:bottom w:val="none" w:sz="0" w:space="0" w:color="auto"/>
            <w:right w:val="none" w:sz="0" w:space="0" w:color="auto"/>
          </w:divBdr>
          <w:divsChild>
            <w:div w:id="2112309763">
              <w:marLeft w:val="0"/>
              <w:marRight w:val="0"/>
              <w:marTop w:val="0"/>
              <w:marBottom w:val="0"/>
              <w:divBdr>
                <w:top w:val="none" w:sz="0" w:space="0" w:color="auto"/>
                <w:left w:val="none" w:sz="0" w:space="0" w:color="auto"/>
                <w:bottom w:val="none" w:sz="0" w:space="0" w:color="auto"/>
                <w:right w:val="none" w:sz="0" w:space="0" w:color="auto"/>
              </w:divBdr>
            </w:div>
          </w:divsChild>
        </w:div>
        <w:div w:id="1839736742">
          <w:marLeft w:val="0"/>
          <w:marRight w:val="0"/>
          <w:marTop w:val="0"/>
          <w:marBottom w:val="0"/>
          <w:divBdr>
            <w:top w:val="none" w:sz="0" w:space="0" w:color="auto"/>
            <w:left w:val="none" w:sz="0" w:space="0" w:color="auto"/>
            <w:bottom w:val="none" w:sz="0" w:space="0" w:color="auto"/>
            <w:right w:val="none" w:sz="0" w:space="0" w:color="auto"/>
          </w:divBdr>
          <w:divsChild>
            <w:div w:id="357122459">
              <w:marLeft w:val="0"/>
              <w:marRight w:val="0"/>
              <w:marTop w:val="0"/>
              <w:marBottom w:val="0"/>
              <w:divBdr>
                <w:top w:val="none" w:sz="0" w:space="0" w:color="auto"/>
                <w:left w:val="none" w:sz="0" w:space="0" w:color="auto"/>
                <w:bottom w:val="none" w:sz="0" w:space="0" w:color="auto"/>
                <w:right w:val="none" w:sz="0" w:space="0" w:color="auto"/>
              </w:divBdr>
            </w:div>
          </w:divsChild>
        </w:div>
        <w:div w:id="1843280806">
          <w:marLeft w:val="0"/>
          <w:marRight w:val="0"/>
          <w:marTop w:val="0"/>
          <w:marBottom w:val="0"/>
          <w:divBdr>
            <w:top w:val="none" w:sz="0" w:space="0" w:color="auto"/>
            <w:left w:val="none" w:sz="0" w:space="0" w:color="auto"/>
            <w:bottom w:val="none" w:sz="0" w:space="0" w:color="auto"/>
            <w:right w:val="none" w:sz="0" w:space="0" w:color="auto"/>
          </w:divBdr>
          <w:divsChild>
            <w:div w:id="1158305554">
              <w:marLeft w:val="0"/>
              <w:marRight w:val="0"/>
              <w:marTop w:val="0"/>
              <w:marBottom w:val="0"/>
              <w:divBdr>
                <w:top w:val="none" w:sz="0" w:space="0" w:color="auto"/>
                <w:left w:val="none" w:sz="0" w:space="0" w:color="auto"/>
                <w:bottom w:val="none" w:sz="0" w:space="0" w:color="auto"/>
                <w:right w:val="none" w:sz="0" w:space="0" w:color="auto"/>
              </w:divBdr>
            </w:div>
          </w:divsChild>
        </w:div>
        <w:div w:id="1844709256">
          <w:marLeft w:val="0"/>
          <w:marRight w:val="0"/>
          <w:marTop w:val="0"/>
          <w:marBottom w:val="0"/>
          <w:divBdr>
            <w:top w:val="none" w:sz="0" w:space="0" w:color="auto"/>
            <w:left w:val="none" w:sz="0" w:space="0" w:color="auto"/>
            <w:bottom w:val="none" w:sz="0" w:space="0" w:color="auto"/>
            <w:right w:val="none" w:sz="0" w:space="0" w:color="auto"/>
          </w:divBdr>
          <w:divsChild>
            <w:div w:id="1988430761">
              <w:marLeft w:val="0"/>
              <w:marRight w:val="0"/>
              <w:marTop w:val="0"/>
              <w:marBottom w:val="0"/>
              <w:divBdr>
                <w:top w:val="none" w:sz="0" w:space="0" w:color="auto"/>
                <w:left w:val="none" w:sz="0" w:space="0" w:color="auto"/>
                <w:bottom w:val="none" w:sz="0" w:space="0" w:color="auto"/>
                <w:right w:val="none" w:sz="0" w:space="0" w:color="auto"/>
              </w:divBdr>
            </w:div>
          </w:divsChild>
        </w:div>
        <w:div w:id="1852405219">
          <w:marLeft w:val="0"/>
          <w:marRight w:val="0"/>
          <w:marTop w:val="0"/>
          <w:marBottom w:val="0"/>
          <w:divBdr>
            <w:top w:val="none" w:sz="0" w:space="0" w:color="auto"/>
            <w:left w:val="none" w:sz="0" w:space="0" w:color="auto"/>
            <w:bottom w:val="none" w:sz="0" w:space="0" w:color="auto"/>
            <w:right w:val="none" w:sz="0" w:space="0" w:color="auto"/>
          </w:divBdr>
          <w:divsChild>
            <w:div w:id="251596093">
              <w:marLeft w:val="0"/>
              <w:marRight w:val="0"/>
              <w:marTop w:val="0"/>
              <w:marBottom w:val="0"/>
              <w:divBdr>
                <w:top w:val="none" w:sz="0" w:space="0" w:color="auto"/>
                <w:left w:val="none" w:sz="0" w:space="0" w:color="auto"/>
                <w:bottom w:val="none" w:sz="0" w:space="0" w:color="auto"/>
                <w:right w:val="none" w:sz="0" w:space="0" w:color="auto"/>
              </w:divBdr>
            </w:div>
          </w:divsChild>
        </w:div>
        <w:div w:id="1855069616">
          <w:marLeft w:val="0"/>
          <w:marRight w:val="0"/>
          <w:marTop w:val="0"/>
          <w:marBottom w:val="0"/>
          <w:divBdr>
            <w:top w:val="none" w:sz="0" w:space="0" w:color="auto"/>
            <w:left w:val="none" w:sz="0" w:space="0" w:color="auto"/>
            <w:bottom w:val="none" w:sz="0" w:space="0" w:color="auto"/>
            <w:right w:val="none" w:sz="0" w:space="0" w:color="auto"/>
          </w:divBdr>
          <w:divsChild>
            <w:div w:id="1191919800">
              <w:marLeft w:val="0"/>
              <w:marRight w:val="0"/>
              <w:marTop w:val="0"/>
              <w:marBottom w:val="0"/>
              <w:divBdr>
                <w:top w:val="none" w:sz="0" w:space="0" w:color="auto"/>
                <w:left w:val="none" w:sz="0" w:space="0" w:color="auto"/>
                <w:bottom w:val="none" w:sz="0" w:space="0" w:color="auto"/>
                <w:right w:val="none" w:sz="0" w:space="0" w:color="auto"/>
              </w:divBdr>
            </w:div>
          </w:divsChild>
        </w:div>
        <w:div w:id="1857117553">
          <w:marLeft w:val="0"/>
          <w:marRight w:val="0"/>
          <w:marTop w:val="0"/>
          <w:marBottom w:val="0"/>
          <w:divBdr>
            <w:top w:val="none" w:sz="0" w:space="0" w:color="auto"/>
            <w:left w:val="none" w:sz="0" w:space="0" w:color="auto"/>
            <w:bottom w:val="none" w:sz="0" w:space="0" w:color="auto"/>
            <w:right w:val="none" w:sz="0" w:space="0" w:color="auto"/>
          </w:divBdr>
          <w:divsChild>
            <w:div w:id="229463169">
              <w:marLeft w:val="0"/>
              <w:marRight w:val="0"/>
              <w:marTop w:val="0"/>
              <w:marBottom w:val="0"/>
              <w:divBdr>
                <w:top w:val="none" w:sz="0" w:space="0" w:color="auto"/>
                <w:left w:val="none" w:sz="0" w:space="0" w:color="auto"/>
                <w:bottom w:val="none" w:sz="0" w:space="0" w:color="auto"/>
                <w:right w:val="none" w:sz="0" w:space="0" w:color="auto"/>
              </w:divBdr>
            </w:div>
          </w:divsChild>
        </w:div>
        <w:div w:id="1861777272">
          <w:marLeft w:val="0"/>
          <w:marRight w:val="0"/>
          <w:marTop w:val="0"/>
          <w:marBottom w:val="0"/>
          <w:divBdr>
            <w:top w:val="none" w:sz="0" w:space="0" w:color="auto"/>
            <w:left w:val="none" w:sz="0" w:space="0" w:color="auto"/>
            <w:bottom w:val="none" w:sz="0" w:space="0" w:color="auto"/>
            <w:right w:val="none" w:sz="0" w:space="0" w:color="auto"/>
          </w:divBdr>
          <w:divsChild>
            <w:div w:id="1202472901">
              <w:marLeft w:val="0"/>
              <w:marRight w:val="0"/>
              <w:marTop w:val="0"/>
              <w:marBottom w:val="0"/>
              <w:divBdr>
                <w:top w:val="none" w:sz="0" w:space="0" w:color="auto"/>
                <w:left w:val="none" w:sz="0" w:space="0" w:color="auto"/>
                <w:bottom w:val="none" w:sz="0" w:space="0" w:color="auto"/>
                <w:right w:val="none" w:sz="0" w:space="0" w:color="auto"/>
              </w:divBdr>
            </w:div>
          </w:divsChild>
        </w:div>
        <w:div w:id="1866168126">
          <w:marLeft w:val="0"/>
          <w:marRight w:val="0"/>
          <w:marTop w:val="0"/>
          <w:marBottom w:val="0"/>
          <w:divBdr>
            <w:top w:val="none" w:sz="0" w:space="0" w:color="auto"/>
            <w:left w:val="none" w:sz="0" w:space="0" w:color="auto"/>
            <w:bottom w:val="none" w:sz="0" w:space="0" w:color="auto"/>
            <w:right w:val="none" w:sz="0" w:space="0" w:color="auto"/>
          </w:divBdr>
          <w:divsChild>
            <w:div w:id="1129855283">
              <w:marLeft w:val="0"/>
              <w:marRight w:val="0"/>
              <w:marTop w:val="0"/>
              <w:marBottom w:val="0"/>
              <w:divBdr>
                <w:top w:val="none" w:sz="0" w:space="0" w:color="auto"/>
                <w:left w:val="none" w:sz="0" w:space="0" w:color="auto"/>
                <w:bottom w:val="none" w:sz="0" w:space="0" w:color="auto"/>
                <w:right w:val="none" w:sz="0" w:space="0" w:color="auto"/>
              </w:divBdr>
            </w:div>
          </w:divsChild>
        </w:div>
        <w:div w:id="1871869452">
          <w:marLeft w:val="0"/>
          <w:marRight w:val="0"/>
          <w:marTop w:val="0"/>
          <w:marBottom w:val="0"/>
          <w:divBdr>
            <w:top w:val="none" w:sz="0" w:space="0" w:color="auto"/>
            <w:left w:val="none" w:sz="0" w:space="0" w:color="auto"/>
            <w:bottom w:val="none" w:sz="0" w:space="0" w:color="auto"/>
            <w:right w:val="none" w:sz="0" w:space="0" w:color="auto"/>
          </w:divBdr>
          <w:divsChild>
            <w:div w:id="1861578252">
              <w:marLeft w:val="0"/>
              <w:marRight w:val="0"/>
              <w:marTop w:val="0"/>
              <w:marBottom w:val="0"/>
              <w:divBdr>
                <w:top w:val="none" w:sz="0" w:space="0" w:color="auto"/>
                <w:left w:val="none" w:sz="0" w:space="0" w:color="auto"/>
                <w:bottom w:val="none" w:sz="0" w:space="0" w:color="auto"/>
                <w:right w:val="none" w:sz="0" w:space="0" w:color="auto"/>
              </w:divBdr>
            </w:div>
          </w:divsChild>
        </w:div>
        <w:div w:id="1879732896">
          <w:marLeft w:val="0"/>
          <w:marRight w:val="0"/>
          <w:marTop w:val="0"/>
          <w:marBottom w:val="0"/>
          <w:divBdr>
            <w:top w:val="none" w:sz="0" w:space="0" w:color="auto"/>
            <w:left w:val="none" w:sz="0" w:space="0" w:color="auto"/>
            <w:bottom w:val="none" w:sz="0" w:space="0" w:color="auto"/>
            <w:right w:val="none" w:sz="0" w:space="0" w:color="auto"/>
          </w:divBdr>
          <w:divsChild>
            <w:div w:id="1145777822">
              <w:marLeft w:val="0"/>
              <w:marRight w:val="0"/>
              <w:marTop w:val="0"/>
              <w:marBottom w:val="0"/>
              <w:divBdr>
                <w:top w:val="none" w:sz="0" w:space="0" w:color="auto"/>
                <w:left w:val="none" w:sz="0" w:space="0" w:color="auto"/>
                <w:bottom w:val="none" w:sz="0" w:space="0" w:color="auto"/>
                <w:right w:val="none" w:sz="0" w:space="0" w:color="auto"/>
              </w:divBdr>
            </w:div>
          </w:divsChild>
        </w:div>
        <w:div w:id="1885603364">
          <w:marLeft w:val="0"/>
          <w:marRight w:val="0"/>
          <w:marTop w:val="0"/>
          <w:marBottom w:val="0"/>
          <w:divBdr>
            <w:top w:val="none" w:sz="0" w:space="0" w:color="auto"/>
            <w:left w:val="none" w:sz="0" w:space="0" w:color="auto"/>
            <w:bottom w:val="none" w:sz="0" w:space="0" w:color="auto"/>
            <w:right w:val="none" w:sz="0" w:space="0" w:color="auto"/>
          </w:divBdr>
          <w:divsChild>
            <w:div w:id="140314954">
              <w:marLeft w:val="0"/>
              <w:marRight w:val="0"/>
              <w:marTop w:val="0"/>
              <w:marBottom w:val="0"/>
              <w:divBdr>
                <w:top w:val="none" w:sz="0" w:space="0" w:color="auto"/>
                <w:left w:val="none" w:sz="0" w:space="0" w:color="auto"/>
                <w:bottom w:val="none" w:sz="0" w:space="0" w:color="auto"/>
                <w:right w:val="none" w:sz="0" w:space="0" w:color="auto"/>
              </w:divBdr>
            </w:div>
          </w:divsChild>
        </w:div>
        <w:div w:id="1887254341">
          <w:marLeft w:val="0"/>
          <w:marRight w:val="0"/>
          <w:marTop w:val="0"/>
          <w:marBottom w:val="0"/>
          <w:divBdr>
            <w:top w:val="none" w:sz="0" w:space="0" w:color="auto"/>
            <w:left w:val="none" w:sz="0" w:space="0" w:color="auto"/>
            <w:bottom w:val="none" w:sz="0" w:space="0" w:color="auto"/>
            <w:right w:val="none" w:sz="0" w:space="0" w:color="auto"/>
          </w:divBdr>
          <w:divsChild>
            <w:div w:id="12807018">
              <w:marLeft w:val="0"/>
              <w:marRight w:val="0"/>
              <w:marTop w:val="0"/>
              <w:marBottom w:val="0"/>
              <w:divBdr>
                <w:top w:val="none" w:sz="0" w:space="0" w:color="auto"/>
                <w:left w:val="none" w:sz="0" w:space="0" w:color="auto"/>
                <w:bottom w:val="none" w:sz="0" w:space="0" w:color="auto"/>
                <w:right w:val="none" w:sz="0" w:space="0" w:color="auto"/>
              </w:divBdr>
            </w:div>
          </w:divsChild>
        </w:div>
        <w:div w:id="1890876663">
          <w:marLeft w:val="0"/>
          <w:marRight w:val="0"/>
          <w:marTop w:val="0"/>
          <w:marBottom w:val="0"/>
          <w:divBdr>
            <w:top w:val="none" w:sz="0" w:space="0" w:color="auto"/>
            <w:left w:val="none" w:sz="0" w:space="0" w:color="auto"/>
            <w:bottom w:val="none" w:sz="0" w:space="0" w:color="auto"/>
            <w:right w:val="none" w:sz="0" w:space="0" w:color="auto"/>
          </w:divBdr>
          <w:divsChild>
            <w:div w:id="302005809">
              <w:marLeft w:val="0"/>
              <w:marRight w:val="0"/>
              <w:marTop w:val="0"/>
              <w:marBottom w:val="0"/>
              <w:divBdr>
                <w:top w:val="none" w:sz="0" w:space="0" w:color="auto"/>
                <w:left w:val="none" w:sz="0" w:space="0" w:color="auto"/>
                <w:bottom w:val="none" w:sz="0" w:space="0" w:color="auto"/>
                <w:right w:val="none" w:sz="0" w:space="0" w:color="auto"/>
              </w:divBdr>
            </w:div>
          </w:divsChild>
        </w:div>
        <w:div w:id="1897472467">
          <w:marLeft w:val="0"/>
          <w:marRight w:val="0"/>
          <w:marTop w:val="0"/>
          <w:marBottom w:val="0"/>
          <w:divBdr>
            <w:top w:val="none" w:sz="0" w:space="0" w:color="auto"/>
            <w:left w:val="none" w:sz="0" w:space="0" w:color="auto"/>
            <w:bottom w:val="none" w:sz="0" w:space="0" w:color="auto"/>
            <w:right w:val="none" w:sz="0" w:space="0" w:color="auto"/>
          </w:divBdr>
          <w:divsChild>
            <w:div w:id="46271482">
              <w:marLeft w:val="0"/>
              <w:marRight w:val="0"/>
              <w:marTop w:val="0"/>
              <w:marBottom w:val="0"/>
              <w:divBdr>
                <w:top w:val="none" w:sz="0" w:space="0" w:color="auto"/>
                <w:left w:val="none" w:sz="0" w:space="0" w:color="auto"/>
                <w:bottom w:val="none" w:sz="0" w:space="0" w:color="auto"/>
                <w:right w:val="none" w:sz="0" w:space="0" w:color="auto"/>
              </w:divBdr>
            </w:div>
          </w:divsChild>
        </w:div>
        <w:div w:id="1899897731">
          <w:marLeft w:val="0"/>
          <w:marRight w:val="0"/>
          <w:marTop w:val="0"/>
          <w:marBottom w:val="0"/>
          <w:divBdr>
            <w:top w:val="none" w:sz="0" w:space="0" w:color="auto"/>
            <w:left w:val="none" w:sz="0" w:space="0" w:color="auto"/>
            <w:bottom w:val="none" w:sz="0" w:space="0" w:color="auto"/>
            <w:right w:val="none" w:sz="0" w:space="0" w:color="auto"/>
          </w:divBdr>
          <w:divsChild>
            <w:div w:id="1457604152">
              <w:marLeft w:val="0"/>
              <w:marRight w:val="0"/>
              <w:marTop w:val="0"/>
              <w:marBottom w:val="0"/>
              <w:divBdr>
                <w:top w:val="none" w:sz="0" w:space="0" w:color="auto"/>
                <w:left w:val="none" w:sz="0" w:space="0" w:color="auto"/>
                <w:bottom w:val="none" w:sz="0" w:space="0" w:color="auto"/>
                <w:right w:val="none" w:sz="0" w:space="0" w:color="auto"/>
              </w:divBdr>
            </w:div>
          </w:divsChild>
        </w:div>
        <w:div w:id="1913470407">
          <w:marLeft w:val="0"/>
          <w:marRight w:val="0"/>
          <w:marTop w:val="0"/>
          <w:marBottom w:val="0"/>
          <w:divBdr>
            <w:top w:val="none" w:sz="0" w:space="0" w:color="auto"/>
            <w:left w:val="none" w:sz="0" w:space="0" w:color="auto"/>
            <w:bottom w:val="none" w:sz="0" w:space="0" w:color="auto"/>
            <w:right w:val="none" w:sz="0" w:space="0" w:color="auto"/>
          </w:divBdr>
          <w:divsChild>
            <w:div w:id="713773572">
              <w:marLeft w:val="0"/>
              <w:marRight w:val="0"/>
              <w:marTop w:val="0"/>
              <w:marBottom w:val="0"/>
              <w:divBdr>
                <w:top w:val="none" w:sz="0" w:space="0" w:color="auto"/>
                <w:left w:val="none" w:sz="0" w:space="0" w:color="auto"/>
                <w:bottom w:val="none" w:sz="0" w:space="0" w:color="auto"/>
                <w:right w:val="none" w:sz="0" w:space="0" w:color="auto"/>
              </w:divBdr>
            </w:div>
          </w:divsChild>
        </w:div>
        <w:div w:id="1917662896">
          <w:marLeft w:val="0"/>
          <w:marRight w:val="0"/>
          <w:marTop w:val="0"/>
          <w:marBottom w:val="0"/>
          <w:divBdr>
            <w:top w:val="none" w:sz="0" w:space="0" w:color="auto"/>
            <w:left w:val="none" w:sz="0" w:space="0" w:color="auto"/>
            <w:bottom w:val="none" w:sz="0" w:space="0" w:color="auto"/>
            <w:right w:val="none" w:sz="0" w:space="0" w:color="auto"/>
          </w:divBdr>
          <w:divsChild>
            <w:div w:id="271522867">
              <w:marLeft w:val="0"/>
              <w:marRight w:val="0"/>
              <w:marTop w:val="0"/>
              <w:marBottom w:val="0"/>
              <w:divBdr>
                <w:top w:val="none" w:sz="0" w:space="0" w:color="auto"/>
                <w:left w:val="none" w:sz="0" w:space="0" w:color="auto"/>
                <w:bottom w:val="none" w:sz="0" w:space="0" w:color="auto"/>
                <w:right w:val="none" w:sz="0" w:space="0" w:color="auto"/>
              </w:divBdr>
            </w:div>
          </w:divsChild>
        </w:div>
        <w:div w:id="1931769934">
          <w:marLeft w:val="0"/>
          <w:marRight w:val="0"/>
          <w:marTop w:val="0"/>
          <w:marBottom w:val="0"/>
          <w:divBdr>
            <w:top w:val="none" w:sz="0" w:space="0" w:color="auto"/>
            <w:left w:val="none" w:sz="0" w:space="0" w:color="auto"/>
            <w:bottom w:val="none" w:sz="0" w:space="0" w:color="auto"/>
            <w:right w:val="none" w:sz="0" w:space="0" w:color="auto"/>
          </w:divBdr>
          <w:divsChild>
            <w:div w:id="932978960">
              <w:marLeft w:val="0"/>
              <w:marRight w:val="0"/>
              <w:marTop w:val="0"/>
              <w:marBottom w:val="0"/>
              <w:divBdr>
                <w:top w:val="none" w:sz="0" w:space="0" w:color="auto"/>
                <w:left w:val="none" w:sz="0" w:space="0" w:color="auto"/>
                <w:bottom w:val="none" w:sz="0" w:space="0" w:color="auto"/>
                <w:right w:val="none" w:sz="0" w:space="0" w:color="auto"/>
              </w:divBdr>
            </w:div>
          </w:divsChild>
        </w:div>
        <w:div w:id="1936939806">
          <w:marLeft w:val="0"/>
          <w:marRight w:val="0"/>
          <w:marTop w:val="0"/>
          <w:marBottom w:val="0"/>
          <w:divBdr>
            <w:top w:val="none" w:sz="0" w:space="0" w:color="auto"/>
            <w:left w:val="none" w:sz="0" w:space="0" w:color="auto"/>
            <w:bottom w:val="none" w:sz="0" w:space="0" w:color="auto"/>
            <w:right w:val="none" w:sz="0" w:space="0" w:color="auto"/>
          </w:divBdr>
          <w:divsChild>
            <w:div w:id="2096777634">
              <w:marLeft w:val="0"/>
              <w:marRight w:val="0"/>
              <w:marTop w:val="0"/>
              <w:marBottom w:val="0"/>
              <w:divBdr>
                <w:top w:val="none" w:sz="0" w:space="0" w:color="auto"/>
                <w:left w:val="none" w:sz="0" w:space="0" w:color="auto"/>
                <w:bottom w:val="none" w:sz="0" w:space="0" w:color="auto"/>
                <w:right w:val="none" w:sz="0" w:space="0" w:color="auto"/>
              </w:divBdr>
            </w:div>
          </w:divsChild>
        </w:div>
        <w:div w:id="1948460825">
          <w:marLeft w:val="0"/>
          <w:marRight w:val="0"/>
          <w:marTop w:val="0"/>
          <w:marBottom w:val="0"/>
          <w:divBdr>
            <w:top w:val="none" w:sz="0" w:space="0" w:color="auto"/>
            <w:left w:val="none" w:sz="0" w:space="0" w:color="auto"/>
            <w:bottom w:val="none" w:sz="0" w:space="0" w:color="auto"/>
            <w:right w:val="none" w:sz="0" w:space="0" w:color="auto"/>
          </w:divBdr>
          <w:divsChild>
            <w:div w:id="401559817">
              <w:marLeft w:val="0"/>
              <w:marRight w:val="0"/>
              <w:marTop w:val="0"/>
              <w:marBottom w:val="0"/>
              <w:divBdr>
                <w:top w:val="none" w:sz="0" w:space="0" w:color="auto"/>
                <w:left w:val="none" w:sz="0" w:space="0" w:color="auto"/>
                <w:bottom w:val="none" w:sz="0" w:space="0" w:color="auto"/>
                <w:right w:val="none" w:sz="0" w:space="0" w:color="auto"/>
              </w:divBdr>
            </w:div>
          </w:divsChild>
        </w:div>
        <w:div w:id="1951667258">
          <w:marLeft w:val="0"/>
          <w:marRight w:val="0"/>
          <w:marTop w:val="0"/>
          <w:marBottom w:val="0"/>
          <w:divBdr>
            <w:top w:val="none" w:sz="0" w:space="0" w:color="auto"/>
            <w:left w:val="none" w:sz="0" w:space="0" w:color="auto"/>
            <w:bottom w:val="none" w:sz="0" w:space="0" w:color="auto"/>
            <w:right w:val="none" w:sz="0" w:space="0" w:color="auto"/>
          </w:divBdr>
          <w:divsChild>
            <w:div w:id="1788893597">
              <w:marLeft w:val="0"/>
              <w:marRight w:val="0"/>
              <w:marTop w:val="0"/>
              <w:marBottom w:val="0"/>
              <w:divBdr>
                <w:top w:val="none" w:sz="0" w:space="0" w:color="auto"/>
                <w:left w:val="none" w:sz="0" w:space="0" w:color="auto"/>
                <w:bottom w:val="none" w:sz="0" w:space="0" w:color="auto"/>
                <w:right w:val="none" w:sz="0" w:space="0" w:color="auto"/>
              </w:divBdr>
            </w:div>
          </w:divsChild>
        </w:div>
        <w:div w:id="1951934379">
          <w:marLeft w:val="0"/>
          <w:marRight w:val="0"/>
          <w:marTop w:val="0"/>
          <w:marBottom w:val="0"/>
          <w:divBdr>
            <w:top w:val="none" w:sz="0" w:space="0" w:color="auto"/>
            <w:left w:val="none" w:sz="0" w:space="0" w:color="auto"/>
            <w:bottom w:val="none" w:sz="0" w:space="0" w:color="auto"/>
            <w:right w:val="none" w:sz="0" w:space="0" w:color="auto"/>
          </w:divBdr>
          <w:divsChild>
            <w:div w:id="514929944">
              <w:marLeft w:val="0"/>
              <w:marRight w:val="0"/>
              <w:marTop w:val="0"/>
              <w:marBottom w:val="0"/>
              <w:divBdr>
                <w:top w:val="none" w:sz="0" w:space="0" w:color="auto"/>
                <w:left w:val="none" w:sz="0" w:space="0" w:color="auto"/>
                <w:bottom w:val="none" w:sz="0" w:space="0" w:color="auto"/>
                <w:right w:val="none" w:sz="0" w:space="0" w:color="auto"/>
              </w:divBdr>
            </w:div>
          </w:divsChild>
        </w:div>
        <w:div w:id="1956211609">
          <w:marLeft w:val="0"/>
          <w:marRight w:val="0"/>
          <w:marTop w:val="0"/>
          <w:marBottom w:val="0"/>
          <w:divBdr>
            <w:top w:val="none" w:sz="0" w:space="0" w:color="auto"/>
            <w:left w:val="none" w:sz="0" w:space="0" w:color="auto"/>
            <w:bottom w:val="none" w:sz="0" w:space="0" w:color="auto"/>
            <w:right w:val="none" w:sz="0" w:space="0" w:color="auto"/>
          </w:divBdr>
          <w:divsChild>
            <w:div w:id="590240347">
              <w:marLeft w:val="0"/>
              <w:marRight w:val="0"/>
              <w:marTop w:val="0"/>
              <w:marBottom w:val="0"/>
              <w:divBdr>
                <w:top w:val="none" w:sz="0" w:space="0" w:color="auto"/>
                <w:left w:val="none" w:sz="0" w:space="0" w:color="auto"/>
                <w:bottom w:val="none" w:sz="0" w:space="0" w:color="auto"/>
                <w:right w:val="none" w:sz="0" w:space="0" w:color="auto"/>
              </w:divBdr>
            </w:div>
          </w:divsChild>
        </w:div>
        <w:div w:id="1956406589">
          <w:marLeft w:val="0"/>
          <w:marRight w:val="0"/>
          <w:marTop w:val="0"/>
          <w:marBottom w:val="0"/>
          <w:divBdr>
            <w:top w:val="none" w:sz="0" w:space="0" w:color="auto"/>
            <w:left w:val="none" w:sz="0" w:space="0" w:color="auto"/>
            <w:bottom w:val="none" w:sz="0" w:space="0" w:color="auto"/>
            <w:right w:val="none" w:sz="0" w:space="0" w:color="auto"/>
          </w:divBdr>
          <w:divsChild>
            <w:div w:id="268197971">
              <w:marLeft w:val="0"/>
              <w:marRight w:val="0"/>
              <w:marTop w:val="0"/>
              <w:marBottom w:val="0"/>
              <w:divBdr>
                <w:top w:val="none" w:sz="0" w:space="0" w:color="auto"/>
                <w:left w:val="none" w:sz="0" w:space="0" w:color="auto"/>
                <w:bottom w:val="none" w:sz="0" w:space="0" w:color="auto"/>
                <w:right w:val="none" w:sz="0" w:space="0" w:color="auto"/>
              </w:divBdr>
            </w:div>
          </w:divsChild>
        </w:div>
        <w:div w:id="1970626847">
          <w:marLeft w:val="0"/>
          <w:marRight w:val="0"/>
          <w:marTop w:val="0"/>
          <w:marBottom w:val="0"/>
          <w:divBdr>
            <w:top w:val="none" w:sz="0" w:space="0" w:color="auto"/>
            <w:left w:val="none" w:sz="0" w:space="0" w:color="auto"/>
            <w:bottom w:val="none" w:sz="0" w:space="0" w:color="auto"/>
            <w:right w:val="none" w:sz="0" w:space="0" w:color="auto"/>
          </w:divBdr>
          <w:divsChild>
            <w:div w:id="866255572">
              <w:marLeft w:val="0"/>
              <w:marRight w:val="0"/>
              <w:marTop w:val="0"/>
              <w:marBottom w:val="0"/>
              <w:divBdr>
                <w:top w:val="none" w:sz="0" w:space="0" w:color="auto"/>
                <w:left w:val="none" w:sz="0" w:space="0" w:color="auto"/>
                <w:bottom w:val="none" w:sz="0" w:space="0" w:color="auto"/>
                <w:right w:val="none" w:sz="0" w:space="0" w:color="auto"/>
              </w:divBdr>
            </w:div>
          </w:divsChild>
        </w:div>
        <w:div w:id="1978296911">
          <w:marLeft w:val="0"/>
          <w:marRight w:val="0"/>
          <w:marTop w:val="0"/>
          <w:marBottom w:val="0"/>
          <w:divBdr>
            <w:top w:val="none" w:sz="0" w:space="0" w:color="auto"/>
            <w:left w:val="none" w:sz="0" w:space="0" w:color="auto"/>
            <w:bottom w:val="none" w:sz="0" w:space="0" w:color="auto"/>
            <w:right w:val="none" w:sz="0" w:space="0" w:color="auto"/>
          </w:divBdr>
          <w:divsChild>
            <w:div w:id="48581834">
              <w:marLeft w:val="0"/>
              <w:marRight w:val="0"/>
              <w:marTop w:val="0"/>
              <w:marBottom w:val="0"/>
              <w:divBdr>
                <w:top w:val="none" w:sz="0" w:space="0" w:color="auto"/>
                <w:left w:val="none" w:sz="0" w:space="0" w:color="auto"/>
                <w:bottom w:val="none" w:sz="0" w:space="0" w:color="auto"/>
                <w:right w:val="none" w:sz="0" w:space="0" w:color="auto"/>
              </w:divBdr>
            </w:div>
          </w:divsChild>
        </w:div>
        <w:div w:id="1985885374">
          <w:marLeft w:val="0"/>
          <w:marRight w:val="0"/>
          <w:marTop w:val="0"/>
          <w:marBottom w:val="0"/>
          <w:divBdr>
            <w:top w:val="none" w:sz="0" w:space="0" w:color="auto"/>
            <w:left w:val="none" w:sz="0" w:space="0" w:color="auto"/>
            <w:bottom w:val="none" w:sz="0" w:space="0" w:color="auto"/>
            <w:right w:val="none" w:sz="0" w:space="0" w:color="auto"/>
          </w:divBdr>
          <w:divsChild>
            <w:div w:id="1858078453">
              <w:marLeft w:val="0"/>
              <w:marRight w:val="0"/>
              <w:marTop w:val="0"/>
              <w:marBottom w:val="0"/>
              <w:divBdr>
                <w:top w:val="none" w:sz="0" w:space="0" w:color="auto"/>
                <w:left w:val="none" w:sz="0" w:space="0" w:color="auto"/>
                <w:bottom w:val="none" w:sz="0" w:space="0" w:color="auto"/>
                <w:right w:val="none" w:sz="0" w:space="0" w:color="auto"/>
              </w:divBdr>
            </w:div>
          </w:divsChild>
        </w:div>
        <w:div w:id="1994988132">
          <w:marLeft w:val="0"/>
          <w:marRight w:val="0"/>
          <w:marTop w:val="0"/>
          <w:marBottom w:val="0"/>
          <w:divBdr>
            <w:top w:val="none" w:sz="0" w:space="0" w:color="auto"/>
            <w:left w:val="none" w:sz="0" w:space="0" w:color="auto"/>
            <w:bottom w:val="none" w:sz="0" w:space="0" w:color="auto"/>
            <w:right w:val="none" w:sz="0" w:space="0" w:color="auto"/>
          </w:divBdr>
          <w:divsChild>
            <w:div w:id="693386197">
              <w:marLeft w:val="0"/>
              <w:marRight w:val="0"/>
              <w:marTop w:val="0"/>
              <w:marBottom w:val="0"/>
              <w:divBdr>
                <w:top w:val="none" w:sz="0" w:space="0" w:color="auto"/>
                <w:left w:val="none" w:sz="0" w:space="0" w:color="auto"/>
                <w:bottom w:val="none" w:sz="0" w:space="0" w:color="auto"/>
                <w:right w:val="none" w:sz="0" w:space="0" w:color="auto"/>
              </w:divBdr>
            </w:div>
          </w:divsChild>
        </w:div>
        <w:div w:id="1995376008">
          <w:marLeft w:val="0"/>
          <w:marRight w:val="0"/>
          <w:marTop w:val="0"/>
          <w:marBottom w:val="0"/>
          <w:divBdr>
            <w:top w:val="none" w:sz="0" w:space="0" w:color="auto"/>
            <w:left w:val="none" w:sz="0" w:space="0" w:color="auto"/>
            <w:bottom w:val="none" w:sz="0" w:space="0" w:color="auto"/>
            <w:right w:val="none" w:sz="0" w:space="0" w:color="auto"/>
          </w:divBdr>
          <w:divsChild>
            <w:div w:id="1578051263">
              <w:marLeft w:val="0"/>
              <w:marRight w:val="0"/>
              <w:marTop w:val="0"/>
              <w:marBottom w:val="0"/>
              <w:divBdr>
                <w:top w:val="none" w:sz="0" w:space="0" w:color="auto"/>
                <w:left w:val="none" w:sz="0" w:space="0" w:color="auto"/>
                <w:bottom w:val="none" w:sz="0" w:space="0" w:color="auto"/>
                <w:right w:val="none" w:sz="0" w:space="0" w:color="auto"/>
              </w:divBdr>
            </w:div>
          </w:divsChild>
        </w:div>
        <w:div w:id="1995990345">
          <w:marLeft w:val="0"/>
          <w:marRight w:val="0"/>
          <w:marTop w:val="0"/>
          <w:marBottom w:val="0"/>
          <w:divBdr>
            <w:top w:val="none" w:sz="0" w:space="0" w:color="auto"/>
            <w:left w:val="none" w:sz="0" w:space="0" w:color="auto"/>
            <w:bottom w:val="none" w:sz="0" w:space="0" w:color="auto"/>
            <w:right w:val="none" w:sz="0" w:space="0" w:color="auto"/>
          </w:divBdr>
          <w:divsChild>
            <w:div w:id="434911045">
              <w:marLeft w:val="0"/>
              <w:marRight w:val="0"/>
              <w:marTop w:val="0"/>
              <w:marBottom w:val="0"/>
              <w:divBdr>
                <w:top w:val="none" w:sz="0" w:space="0" w:color="auto"/>
                <w:left w:val="none" w:sz="0" w:space="0" w:color="auto"/>
                <w:bottom w:val="none" w:sz="0" w:space="0" w:color="auto"/>
                <w:right w:val="none" w:sz="0" w:space="0" w:color="auto"/>
              </w:divBdr>
            </w:div>
          </w:divsChild>
        </w:div>
        <w:div w:id="2000771717">
          <w:marLeft w:val="0"/>
          <w:marRight w:val="0"/>
          <w:marTop w:val="0"/>
          <w:marBottom w:val="0"/>
          <w:divBdr>
            <w:top w:val="none" w:sz="0" w:space="0" w:color="auto"/>
            <w:left w:val="none" w:sz="0" w:space="0" w:color="auto"/>
            <w:bottom w:val="none" w:sz="0" w:space="0" w:color="auto"/>
            <w:right w:val="none" w:sz="0" w:space="0" w:color="auto"/>
          </w:divBdr>
          <w:divsChild>
            <w:div w:id="894320611">
              <w:marLeft w:val="0"/>
              <w:marRight w:val="0"/>
              <w:marTop w:val="0"/>
              <w:marBottom w:val="0"/>
              <w:divBdr>
                <w:top w:val="none" w:sz="0" w:space="0" w:color="auto"/>
                <w:left w:val="none" w:sz="0" w:space="0" w:color="auto"/>
                <w:bottom w:val="none" w:sz="0" w:space="0" w:color="auto"/>
                <w:right w:val="none" w:sz="0" w:space="0" w:color="auto"/>
              </w:divBdr>
            </w:div>
          </w:divsChild>
        </w:div>
        <w:div w:id="2014263134">
          <w:marLeft w:val="0"/>
          <w:marRight w:val="0"/>
          <w:marTop w:val="0"/>
          <w:marBottom w:val="0"/>
          <w:divBdr>
            <w:top w:val="none" w:sz="0" w:space="0" w:color="auto"/>
            <w:left w:val="none" w:sz="0" w:space="0" w:color="auto"/>
            <w:bottom w:val="none" w:sz="0" w:space="0" w:color="auto"/>
            <w:right w:val="none" w:sz="0" w:space="0" w:color="auto"/>
          </w:divBdr>
          <w:divsChild>
            <w:div w:id="1245143373">
              <w:marLeft w:val="0"/>
              <w:marRight w:val="0"/>
              <w:marTop w:val="0"/>
              <w:marBottom w:val="0"/>
              <w:divBdr>
                <w:top w:val="none" w:sz="0" w:space="0" w:color="auto"/>
                <w:left w:val="none" w:sz="0" w:space="0" w:color="auto"/>
                <w:bottom w:val="none" w:sz="0" w:space="0" w:color="auto"/>
                <w:right w:val="none" w:sz="0" w:space="0" w:color="auto"/>
              </w:divBdr>
            </w:div>
          </w:divsChild>
        </w:div>
        <w:div w:id="2017150902">
          <w:marLeft w:val="0"/>
          <w:marRight w:val="0"/>
          <w:marTop w:val="0"/>
          <w:marBottom w:val="0"/>
          <w:divBdr>
            <w:top w:val="none" w:sz="0" w:space="0" w:color="auto"/>
            <w:left w:val="none" w:sz="0" w:space="0" w:color="auto"/>
            <w:bottom w:val="none" w:sz="0" w:space="0" w:color="auto"/>
            <w:right w:val="none" w:sz="0" w:space="0" w:color="auto"/>
          </w:divBdr>
          <w:divsChild>
            <w:div w:id="1459370051">
              <w:marLeft w:val="0"/>
              <w:marRight w:val="0"/>
              <w:marTop w:val="0"/>
              <w:marBottom w:val="0"/>
              <w:divBdr>
                <w:top w:val="none" w:sz="0" w:space="0" w:color="auto"/>
                <w:left w:val="none" w:sz="0" w:space="0" w:color="auto"/>
                <w:bottom w:val="none" w:sz="0" w:space="0" w:color="auto"/>
                <w:right w:val="none" w:sz="0" w:space="0" w:color="auto"/>
              </w:divBdr>
            </w:div>
          </w:divsChild>
        </w:div>
        <w:div w:id="2018579938">
          <w:marLeft w:val="0"/>
          <w:marRight w:val="0"/>
          <w:marTop w:val="0"/>
          <w:marBottom w:val="0"/>
          <w:divBdr>
            <w:top w:val="none" w:sz="0" w:space="0" w:color="auto"/>
            <w:left w:val="none" w:sz="0" w:space="0" w:color="auto"/>
            <w:bottom w:val="none" w:sz="0" w:space="0" w:color="auto"/>
            <w:right w:val="none" w:sz="0" w:space="0" w:color="auto"/>
          </w:divBdr>
          <w:divsChild>
            <w:div w:id="1587809864">
              <w:marLeft w:val="0"/>
              <w:marRight w:val="0"/>
              <w:marTop w:val="0"/>
              <w:marBottom w:val="0"/>
              <w:divBdr>
                <w:top w:val="none" w:sz="0" w:space="0" w:color="auto"/>
                <w:left w:val="none" w:sz="0" w:space="0" w:color="auto"/>
                <w:bottom w:val="none" w:sz="0" w:space="0" w:color="auto"/>
                <w:right w:val="none" w:sz="0" w:space="0" w:color="auto"/>
              </w:divBdr>
            </w:div>
          </w:divsChild>
        </w:div>
        <w:div w:id="2020934819">
          <w:marLeft w:val="0"/>
          <w:marRight w:val="0"/>
          <w:marTop w:val="0"/>
          <w:marBottom w:val="0"/>
          <w:divBdr>
            <w:top w:val="none" w:sz="0" w:space="0" w:color="auto"/>
            <w:left w:val="none" w:sz="0" w:space="0" w:color="auto"/>
            <w:bottom w:val="none" w:sz="0" w:space="0" w:color="auto"/>
            <w:right w:val="none" w:sz="0" w:space="0" w:color="auto"/>
          </w:divBdr>
          <w:divsChild>
            <w:div w:id="1259678603">
              <w:marLeft w:val="0"/>
              <w:marRight w:val="0"/>
              <w:marTop w:val="0"/>
              <w:marBottom w:val="0"/>
              <w:divBdr>
                <w:top w:val="none" w:sz="0" w:space="0" w:color="auto"/>
                <w:left w:val="none" w:sz="0" w:space="0" w:color="auto"/>
                <w:bottom w:val="none" w:sz="0" w:space="0" w:color="auto"/>
                <w:right w:val="none" w:sz="0" w:space="0" w:color="auto"/>
              </w:divBdr>
            </w:div>
          </w:divsChild>
        </w:div>
        <w:div w:id="2031101149">
          <w:marLeft w:val="0"/>
          <w:marRight w:val="0"/>
          <w:marTop w:val="0"/>
          <w:marBottom w:val="0"/>
          <w:divBdr>
            <w:top w:val="none" w:sz="0" w:space="0" w:color="auto"/>
            <w:left w:val="none" w:sz="0" w:space="0" w:color="auto"/>
            <w:bottom w:val="none" w:sz="0" w:space="0" w:color="auto"/>
            <w:right w:val="none" w:sz="0" w:space="0" w:color="auto"/>
          </w:divBdr>
          <w:divsChild>
            <w:div w:id="1682732707">
              <w:marLeft w:val="0"/>
              <w:marRight w:val="0"/>
              <w:marTop w:val="0"/>
              <w:marBottom w:val="0"/>
              <w:divBdr>
                <w:top w:val="none" w:sz="0" w:space="0" w:color="auto"/>
                <w:left w:val="none" w:sz="0" w:space="0" w:color="auto"/>
                <w:bottom w:val="none" w:sz="0" w:space="0" w:color="auto"/>
                <w:right w:val="none" w:sz="0" w:space="0" w:color="auto"/>
              </w:divBdr>
            </w:div>
          </w:divsChild>
        </w:div>
        <w:div w:id="2031565825">
          <w:marLeft w:val="0"/>
          <w:marRight w:val="0"/>
          <w:marTop w:val="0"/>
          <w:marBottom w:val="0"/>
          <w:divBdr>
            <w:top w:val="none" w:sz="0" w:space="0" w:color="auto"/>
            <w:left w:val="none" w:sz="0" w:space="0" w:color="auto"/>
            <w:bottom w:val="none" w:sz="0" w:space="0" w:color="auto"/>
            <w:right w:val="none" w:sz="0" w:space="0" w:color="auto"/>
          </w:divBdr>
          <w:divsChild>
            <w:div w:id="30350718">
              <w:marLeft w:val="0"/>
              <w:marRight w:val="0"/>
              <w:marTop w:val="0"/>
              <w:marBottom w:val="0"/>
              <w:divBdr>
                <w:top w:val="none" w:sz="0" w:space="0" w:color="auto"/>
                <w:left w:val="none" w:sz="0" w:space="0" w:color="auto"/>
                <w:bottom w:val="none" w:sz="0" w:space="0" w:color="auto"/>
                <w:right w:val="none" w:sz="0" w:space="0" w:color="auto"/>
              </w:divBdr>
            </w:div>
          </w:divsChild>
        </w:div>
        <w:div w:id="2035378316">
          <w:marLeft w:val="0"/>
          <w:marRight w:val="0"/>
          <w:marTop w:val="0"/>
          <w:marBottom w:val="0"/>
          <w:divBdr>
            <w:top w:val="none" w:sz="0" w:space="0" w:color="auto"/>
            <w:left w:val="none" w:sz="0" w:space="0" w:color="auto"/>
            <w:bottom w:val="none" w:sz="0" w:space="0" w:color="auto"/>
            <w:right w:val="none" w:sz="0" w:space="0" w:color="auto"/>
          </w:divBdr>
          <w:divsChild>
            <w:div w:id="1547791801">
              <w:marLeft w:val="0"/>
              <w:marRight w:val="0"/>
              <w:marTop w:val="0"/>
              <w:marBottom w:val="0"/>
              <w:divBdr>
                <w:top w:val="none" w:sz="0" w:space="0" w:color="auto"/>
                <w:left w:val="none" w:sz="0" w:space="0" w:color="auto"/>
                <w:bottom w:val="none" w:sz="0" w:space="0" w:color="auto"/>
                <w:right w:val="none" w:sz="0" w:space="0" w:color="auto"/>
              </w:divBdr>
            </w:div>
          </w:divsChild>
        </w:div>
        <w:div w:id="2049377057">
          <w:marLeft w:val="0"/>
          <w:marRight w:val="0"/>
          <w:marTop w:val="0"/>
          <w:marBottom w:val="0"/>
          <w:divBdr>
            <w:top w:val="none" w:sz="0" w:space="0" w:color="auto"/>
            <w:left w:val="none" w:sz="0" w:space="0" w:color="auto"/>
            <w:bottom w:val="none" w:sz="0" w:space="0" w:color="auto"/>
            <w:right w:val="none" w:sz="0" w:space="0" w:color="auto"/>
          </w:divBdr>
          <w:divsChild>
            <w:div w:id="1359500307">
              <w:marLeft w:val="0"/>
              <w:marRight w:val="0"/>
              <w:marTop w:val="0"/>
              <w:marBottom w:val="0"/>
              <w:divBdr>
                <w:top w:val="none" w:sz="0" w:space="0" w:color="auto"/>
                <w:left w:val="none" w:sz="0" w:space="0" w:color="auto"/>
                <w:bottom w:val="none" w:sz="0" w:space="0" w:color="auto"/>
                <w:right w:val="none" w:sz="0" w:space="0" w:color="auto"/>
              </w:divBdr>
            </w:div>
          </w:divsChild>
        </w:div>
        <w:div w:id="2052874321">
          <w:marLeft w:val="0"/>
          <w:marRight w:val="0"/>
          <w:marTop w:val="0"/>
          <w:marBottom w:val="0"/>
          <w:divBdr>
            <w:top w:val="none" w:sz="0" w:space="0" w:color="auto"/>
            <w:left w:val="none" w:sz="0" w:space="0" w:color="auto"/>
            <w:bottom w:val="none" w:sz="0" w:space="0" w:color="auto"/>
            <w:right w:val="none" w:sz="0" w:space="0" w:color="auto"/>
          </w:divBdr>
          <w:divsChild>
            <w:div w:id="2102603345">
              <w:marLeft w:val="0"/>
              <w:marRight w:val="0"/>
              <w:marTop w:val="0"/>
              <w:marBottom w:val="0"/>
              <w:divBdr>
                <w:top w:val="none" w:sz="0" w:space="0" w:color="auto"/>
                <w:left w:val="none" w:sz="0" w:space="0" w:color="auto"/>
                <w:bottom w:val="none" w:sz="0" w:space="0" w:color="auto"/>
                <w:right w:val="none" w:sz="0" w:space="0" w:color="auto"/>
              </w:divBdr>
            </w:div>
          </w:divsChild>
        </w:div>
        <w:div w:id="2057772373">
          <w:marLeft w:val="0"/>
          <w:marRight w:val="0"/>
          <w:marTop w:val="0"/>
          <w:marBottom w:val="0"/>
          <w:divBdr>
            <w:top w:val="none" w:sz="0" w:space="0" w:color="auto"/>
            <w:left w:val="none" w:sz="0" w:space="0" w:color="auto"/>
            <w:bottom w:val="none" w:sz="0" w:space="0" w:color="auto"/>
            <w:right w:val="none" w:sz="0" w:space="0" w:color="auto"/>
          </w:divBdr>
          <w:divsChild>
            <w:div w:id="429159442">
              <w:marLeft w:val="0"/>
              <w:marRight w:val="0"/>
              <w:marTop w:val="0"/>
              <w:marBottom w:val="0"/>
              <w:divBdr>
                <w:top w:val="none" w:sz="0" w:space="0" w:color="auto"/>
                <w:left w:val="none" w:sz="0" w:space="0" w:color="auto"/>
                <w:bottom w:val="none" w:sz="0" w:space="0" w:color="auto"/>
                <w:right w:val="none" w:sz="0" w:space="0" w:color="auto"/>
              </w:divBdr>
            </w:div>
          </w:divsChild>
        </w:div>
        <w:div w:id="2062560124">
          <w:marLeft w:val="0"/>
          <w:marRight w:val="0"/>
          <w:marTop w:val="0"/>
          <w:marBottom w:val="0"/>
          <w:divBdr>
            <w:top w:val="none" w:sz="0" w:space="0" w:color="auto"/>
            <w:left w:val="none" w:sz="0" w:space="0" w:color="auto"/>
            <w:bottom w:val="none" w:sz="0" w:space="0" w:color="auto"/>
            <w:right w:val="none" w:sz="0" w:space="0" w:color="auto"/>
          </w:divBdr>
          <w:divsChild>
            <w:div w:id="800878937">
              <w:marLeft w:val="0"/>
              <w:marRight w:val="0"/>
              <w:marTop w:val="0"/>
              <w:marBottom w:val="0"/>
              <w:divBdr>
                <w:top w:val="none" w:sz="0" w:space="0" w:color="auto"/>
                <w:left w:val="none" w:sz="0" w:space="0" w:color="auto"/>
                <w:bottom w:val="none" w:sz="0" w:space="0" w:color="auto"/>
                <w:right w:val="none" w:sz="0" w:space="0" w:color="auto"/>
              </w:divBdr>
            </w:div>
          </w:divsChild>
        </w:div>
        <w:div w:id="2071422410">
          <w:marLeft w:val="0"/>
          <w:marRight w:val="0"/>
          <w:marTop w:val="0"/>
          <w:marBottom w:val="0"/>
          <w:divBdr>
            <w:top w:val="none" w:sz="0" w:space="0" w:color="auto"/>
            <w:left w:val="none" w:sz="0" w:space="0" w:color="auto"/>
            <w:bottom w:val="none" w:sz="0" w:space="0" w:color="auto"/>
            <w:right w:val="none" w:sz="0" w:space="0" w:color="auto"/>
          </w:divBdr>
          <w:divsChild>
            <w:div w:id="536282419">
              <w:marLeft w:val="0"/>
              <w:marRight w:val="0"/>
              <w:marTop w:val="0"/>
              <w:marBottom w:val="0"/>
              <w:divBdr>
                <w:top w:val="none" w:sz="0" w:space="0" w:color="auto"/>
                <w:left w:val="none" w:sz="0" w:space="0" w:color="auto"/>
                <w:bottom w:val="none" w:sz="0" w:space="0" w:color="auto"/>
                <w:right w:val="none" w:sz="0" w:space="0" w:color="auto"/>
              </w:divBdr>
            </w:div>
          </w:divsChild>
        </w:div>
        <w:div w:id="2075348291">
          <w:marLeft w:val="0"/>
          <w:marRight w:val="0"/>
          <w:marTop w:val="0"/>
          <w:marBottom w:val="0"/>
          <w:divBdr>
            <w:top w:val="none" w:sz="0" w:space="0" w:color="auto"/>
            <w:left w:val="none" w:sz="0" w:space="0" w:color="auto"/>
            <w:bottom w:val="none" w:sz="0" w:space="0" w:color="auto"/>
            <w:right w:val="none" w:sz="0" w:space="0" w:color="auto"/>
          </w:divBdr>
          <w:divsChild>
            <w:div w:id="1922716591">
              <w:marLeft w:val="0"/>
              <w:marRight w:val="0"/>
              <w:marTop w:val="0"/>
              <w:marBottom w:val="0"/>
              <w:divBdr>
                <w:top w:val="none" w:sz="0" w:space="0" w:color="auto"/>
                <w:left w:val="none" w:sz="0" w:space="0" w:color="auto"/>
                <w:bottom w:val="none" w:sz="0" w:space="0" w:color="auto"/>
                <w:right w:val="none" w:sz="0" w:space="0" w:color="auto"/>
              </w:divBdr>
            </w:div>
          </w:divsChild>
        </w:div>
        <w:div w:id="2079937868">
          <w:marLeft w:val="0"/>
          <w:marRight w:val="0"/>
          <w:marTop w:val="0"/>
          <w:marBottom w:val="0"/>
          <w:divBdr>
            <w:top w:val="none" w:sz="0" w:space="0" w:color="auto"/>
            <w:left w:val="none" w:sz="0" w:space="0" w:color="auto"/>
            <w:bottom w:val="none" w:sz="0" w:space="0" w:color="auto"/>
            <w:right w:val="none" w:sz="0" w:space="0" w:color="auto"/>
          </w:divBdr>
          <w:divsChild>
            <w:div w:id="508326102">
              <w:marLeft w:val="0"/>
              <w:marRight w:val="0"/>
              <w:marTop w:val="0"/>
              <w:marBottom w:val="0"/>
              <w:divBdr>
                <w:top w:val="none" w:sz="0" w:space="0" w:color="auto"/>
                <w:left w:val="none" w:sz="0" w:space="0" w:color="auto"/>
                <w:bottom w:val="none" w:sz="0" w:space="0" w:color="auto"/>
                <w:right w:val="none" w:sz="0" w:space="0" w:color="auto"/>
              </w:divBdr>
            </w:div>
          </w:divsChild>
        </w:div>
        <w:div w:id="2080246119">
          <w:marLeft w:val="0"/>
          <w:marRight w:val="0"/>
          <w:marTop w:val="0"/>
          <w:marBottom w:val="0"/>
          <w:divBdr>
            <w:top w:val="none" w:sz="0" w:space="0" w:color="auto"/>
            <w:left w:val="none" w:sz="0" w:space="0" w:color="auto"/>
            <w:bottom w:val="none" w:sz="0" w:space="0" w:color="auto"/>
            <w:right w:val="none" w:sz="0" w:space="0" w:color="auto"/>
          </w:divBdr>
          <w:divsChild>
            <w:div w:id="1660117092">
              <w:marLeft w:val="0"/>
              <w:marRight w:val="0"/>
              <w:marTop w:val="0"/>
              <w:marBottom w:val="0"/>
              <w:divBdr>
                <w:top w:val="none" w:sz="0" w:space="0" w:color="auto"/>
                <w:left w:val="none" w:sz="0" w:space="0" w:color="auto"/>
                <w:bottom w:val="none" w:sz="0" w:space="0" w:color="auto"/>
                <w:right w:val="none" w:sz="0" w:space="0" w:color="auto"/>
              </w:divBdr>
            </w:div>
          </w:divsChild>
        </w:div>
        <w:div w:id="2083597172">
          <w:marLeft w:val="0"/>
          <w:marRight w:val="0"/>
          <w:marTop w:val="0"/>
          <w:marBottom w:val="0"/>
          <w:divBdr>
            <w:top w:val="none" w:sz="0" w:space="0" w:color="auto"/>
            <w:left w:val="none" w:sz="0" w:space="0" w:color="auto"/>
            <w:bottom w:val="none" w:sz="0" w:space="0" w:color="auto"/>
            <w:right w:val="none" w:sz="0" w:space="0" w:color="auto"/>
          </w:divBdr>
          <w:divsChild>
            <w:div w:id="1889606227">
              <w:marLeft w:val="0"/>
              <w:marRight w:val="0"/>
              <w:marTop w:val="0"/>
              <w:marBottom w:val="0"/>
              <w:divBdr>
                <w:top w:val="none" w:sz="0" w:space="0" w:color="auto"/>
                <w:left w:val="none" w:sz="0" w:space="0" w:color="auto"/>
                <w:bottom w:val="none" w:sz="0" w:space="0" w:color="auto"/>
                <w:right w:val="none" w:sz="0" w:space="0" w:color="auto"/>
              </w:divBdr>
            </w:div>
          </w:divsChild>
        </w:div>
        <w:div w:id="2092461952">
          <w:marLeft w:val="0"/>
          <w:marRight w:val="0"/>
          <w:marTop w:val="0"/>
          <w:marBottom w:val="0"/>
          <w:divBdr>
            <w:top w:val="none" w:sz="0" w:space="0" w:color="auto"/>
            <w:left w:val="none" w:sz="0" w:space="0" w:color="auto"/>
            <w:bottom w:val="none" w:sz="0" w:space="0" w:color="auto"/>
            <w:right w:val="none" w:sz="0" w:space="0" w:color="auto"/>
          </w:divBdr>
          <w:divsChild>
            <w:div w:id="1399591213">
              <w:marLeft w:val="0"/>
              <w:marRight w:val="0"/>
              <w:marTop w:val="0"/>
              <w:marBottom w:val="0"/>
              <w:divBdr>
                <w:top w:val="none" w:sz="0" w:space="0" w:color="auto"/>
                <w:left w:val="none" w:sz="0" w:space="0" w:color="auto"/>
                <w:bottom w:val="none" w:sz="0" w:space="0" w:color="auto"/>
                <w:right w:val="none" w:sz="0" w:space="0" w:color="auto"/>
              </w:divBdr>
            </w:div>
          </w:divsChild>
        </w:div>
        <w:div w:id="2098405068">
          <w:marLeft w:val="0"/>
          <w:marRight w:val="0"/>
          <w:marTop w:val="0"/>
          <w:marBottom w:val="0"/>
          <w:divBdr>
            <w:top w:val="none" w:sz="0" w:space="0" w:color="auto"/>
            <w:left w:val="none" w:sz="0" w:space="0" w:color="auto"/>
            <w:bottom w:val="none" w:sz="0" w:space="0" w:color="auto"/>
            <w:right w:val="none" w:sz="0" w:space="0" w:color="auto"/>
          </w:divBdr>
          <w:divsChild>
            <w:div w:id="810830569">
              <w:marLeft w:val="0"/>
              <w:marRight w:val="0"/>
              <w:marTop w:val="0"/>
              <w:marBottom w:val="0"/>
              <w:divBdr>
                <w:top w:val="none" w:sz="0" w:space="0" w:color="auto"/>
                <w:left w:val="none" w:sz="0" w:space="0" w:color="auto"/>
                <w:bottom w:val="none" w:sz="0" w:space="0" w:color="auto"/>
                <w:right w:val="none" w:sz="0" w:space="0" w:color="auto"/>
              </w:divBdr>
            </w:div>
          </w:divsChild>
        </w:div>
        <w:div w:id="2103526644">
          <w:marLeft w:val="0"/>
          <w:marRight w:val="0"/>
          <w:marTop w:val="0"/>
          <w:marBottom w:val="0"/>
          <w:divBdr>
            <w:top w:val="none" w:sz="0" w:space="0" w:color="auto"/>
            <w:left w:val="none" w:sz="0" w:space="0" w:color="auto"/>
            <w:bottom w:val="none" w:sz="0" w:space="0" w:color="auto"/>
            <w:right w:val="none" w:sz="0" w:space="0" w:color="auto"/>
          </w:divBdr>
          <w:divsChild>
            <w:div w:id="600993916">
              <w:marLeft w:val="0"/>
              <w:marRight w:val="0"/>
              <w:marTop w:val="0"/>
              <w:marBottom w:val="0"/>
              <w:divBdr>
                <w:top w:val="none" w:sz="0" w:space="0" w:color="auto"/>
                <w:left w:val="none" w:sz="0" w:space="0" w:color="auto"/>
                <w:bottom w:val="none" w:sz="0" w:space="0" w:color="auto"/>
                <w:right w:val="none" w:sz="0" w:space="0" w:color="auto"/>
              </w:divBdr>
            </w:div>
          </w:divsChild>
        </w:div>
        <w:div w:id="2109621774">
          <w:marLeft w:val="0"/>
          <w:marRight w:val="0"/>
          <w:marTop w:val="0"/>
          <w:marBottom w:val="0"/>
          <w:divBdr>
            <w:top w:val="none" w:sz="0" w:space="0" w:color="auto"/>
            <w:left w:val="none" w:sz="0" w:space="0" w:color="auto"/>
            <w:bottom w:val="none" w:sz="0" w:space="0" w:color="auto"/>
            <w:right w:val="none" w:sz="0" w:space="0" w:color="auto"/>
          </w:divBdr>
          <w:divsChild>
            <w:div w:id="463041050">
              <w:marLeft w:val="0"/>
              <w:marRight w:val="0"/>
              <w:marTop w:val="0"/>
              <w:marBottom w:val="0"/>
              <w:divBdr>
                <w:top w:val="none" w:sz="0" w:space="0" w:color="auto"/>
                <w:left w:val="none" w:sz="0" w:space="0" w:color="auto"/>
                <w:bottom w:val="none" w:sz="0" w:space="0" w:color="auto"/>
                <w:right w:val="none" w:sz="0" w:space="0" w:color="auto"/>
              </w:divBdr>
            </w:div>
          </w:divsChild>
        </w:div>
        <w:div w:id="2111851511">
          <w:marLeft w:val="0"/>
          <w:marRight w:val="0"/>
          <w:marTop w:val="0"/>
          <w:marBottom w:val="0"/>
          <w:divBdr>
            <w:top w:val="none" w:sz="0" w:space="0" w:color="auto"/>
            <w:left w:val="none" w:sz="0" w:space="0" w:color="auto"/>
            <w:bottom w:val="none" w:sz="0" w:space="0" w:color="auto"/>
            <w:right w:val="none" w:sz="0" w:space="0" w:color="auto"/>
          </w:divBdr>
          <w:divsChild>
            <w:div w:id="981303165">
              <w:marLeft w:val="0"/>
              <w:marRight w:val="0"/>
              <w:marTop w:val="0"/>
              <w:marBottom w:val="0"/>
              <w:divBdr>
                <w:top w:val="none" w:sz="0" w:space="0" w:color="auto"/>
                <w:left w:val="none" w:sz="0" w:space="0" w:color="auto"/>
                <w:bottom w:val="none" w:sz="0" w:space="0" w:color="auto"/>
                <w:right w:val="none" w:sz="0" w:space="0" w:color="auto"/>
              </w:divBdr>
            </w:div>
          </w:divsChild>
        </w:div>
        <w:div w:id="2114781520">
          <w:marLeft w:val="0"/>
          <w:marRight w:val="0"/>
          <w:marTop w:val="0"/>
          <w:marBottom w:val="0"/>
          <w:divBdr>
            <w:top w:val="none" w:sz="0" w:space="0" w:color="auto"/>
            <w:left w:val="none" w:sz="0" w:space="0" w:color="auto"/>
            <w:bottom w:val="none" w:sz="0" w:space="0" w:color="auto"/>
            <w:right w:val="none" w:sz="0" w:space="0" w:color="auto"/>
          </w:divBdr>
          <w:divsChild>
            <w:div w:id="61484779">
              <w:marLeft w:val="0"/>
              <w:marRight w:val="0"/>
              <w:marTop w:val="0"/>
              <w:marBottom w:val="0"/>
              <w:divBdr>
                <w:top w:val="none" w:sz="0" w:space="0" w:color="auto"/>
                <w:left w:val="none" w:sz="0" w:space="0" w:color="auto"/>
                <w:bottom w:val="none" w:sz="0" w:space="0" w:color="auto"/>
                <w:right w:val="none" w:sz="0" w:space="0" w:color="auto"/>
              </w:divBdr>
            </w:div>
          </w:divsChild>
        </w:div>
        <w:div w:id="2117630752">
          <w:marLeft w:val="0"/>
          <w:marRight w:val="0"/>
          <w:marTop w:val="0"/>
          <w:marBottom w:val="0"/>
          <w:divBdr>
            <w:top w:val="none" w:sz="0" w:space="0" w:color="auto"/>
            <w:left w:val="none" w:sz="0" w:space="0" w:color="auto"/>
            <w:bottom w:val="none" w:sz="0" w:space="0" w:color="auto"/>
            <w:right w:val="none" w:sz="0" w:space="0" w:color="auto"/>
          </w:divBdr>
          <w:divsChild>
            <w:div w:id="475952313">
              <w:marLeft w:val="0"/>
              <w:marRight w:val="0"/>
              <w:marTop w:val="0"/>
              <w:marBottom w:val="0"/>
              <w:divBdr>
                <w:top w:val="none" w:sz="0" w:space="0" w:color="auto"/>
                <w:left w:val="none" w:sz="0" w:space="0" w:color="auto"/>
                <w:bottom w:val="none" w:sz="0" w:space="0" w:color="auto"/>
                <w:right w:val="none" w:sz="0" w:space="0" w:color="auto"/>
              </w:divBdr>
            </w:div>
          </w:divsChild>
        </w:div>
        <w:div w:id="2119635330">
          <w:marLeft w:val="0"/>
          <w:marRight w:val="0"/>
          <w:marTop w:val="0"/>
          <w:marBottom w:val="0"/>
          <w:divBdr>
            <w:top w:val="none" w:sz="0" w:space="0" w:color="auto"/>
            <w:left w:val="none" w:sz="0" w:space="0" w:color="auto"/>
            <w:bottom w:val="none" w:sz="0" w:space="0" w:color="auto"/>
            <w:right w:val="none" w:sz="0" w:space="0" w:color="auto"/>
          </w:divBdr>
          <w:divsChild>
            <w:div w:id="543757106">
              <w:marLeft w:val="0"/>
              <w:marRight w:val="0"/>
              <w:marTop w:val="0"/>
              <w:marBottom w:val="0"/>
              <w:divBdr>
                <w:top w:val="none" w:sz="0" w:space="0" w:color="auto"/>
                <w:left w:val="none" w:sz="0" w:space="0" w:color="auto"/>
                <w:bottom w:val="none" w:sz="0" w:space="0" w:color="auto"/>
                <w:right w:val="none" w:sz="0" w:space="0" w:color="auto"/>
              </w:divBdr>
            </w:div>
          </w:divsChild>
        </w:div>
        <w:div w:id="2129398437">
          <w:marLeft w:val="0"/>
          <w:marRight w:val="0"/>
          <w:marTop w:val="0"/>
          <w:marBottom w:val="0"/>
          <w:divBdr>
            <w:top w:val="none" w:sz="0" w:space="0" w:color="auto"/>
            <w:left w:val="none" w:sz="0" w:space="0" w:color="auto"/>
            <w:bottom w:val="none" w:sz="0" w:space="0" w:color="auto"/>
            <w:right w:val="none" w:sz="0" w:space="0" w:color="auto"/>
          </w:divBdr>
          <w:divsChild>
            <w:div w:id="1442873296">
              <w:marLeft w:val="0"/>
              <w:marRight w:val="0"/>
              <w:marTop w:val="0"/>
              <w:marBottom w:val="0"/>
              <w:divBdr>
                <w:top w:val="none" w:sz="0" w:space="0" w:color="auto"/>
                <w:left w:val="none" w:sz="0" w:space="0" w:color="auto"/>
                <w:bottom w:val="none" w:sz="0" w:space="0" w:color="auto"/>
                <w:right w:val="none" w:sz="0" w:space="0" w:color="auto"/>
              </w:divBdr>
            </w:div>
          </w:divsChild>
        </w:div>
        <w:div w:id="2133866080">
          <w:marLeft w:val="0"/>
          <w:marRight w:val="0"/>
          <w:marTop w:val="0"/>
          <w:marBottom w:val="0"/>
          <w:divBdr>
            <w:top w:val="none" w:sz="0" w:space="0" w:color="auto"/>
            <w:left w:val="none" w:sz="0" w:space="0" w:color="auto"/>
            <w:bottom w:val="none" w:sz="0" w:space="0" w:color="auto"/>
            <w:right w:val="none" w:sz="0" w:space="0" w:color="auto"/>
          </w:divBdr>
          <w:divsChild>
            <w:div w:id="596330738">
              <w:marLeft w:val="0"/>
              <w:marRight w:val="0"/>
              <w:marTop w:val="0"/>
              <w:marBottom w:val="0"/>
              <w:divBdr>
                <w:top w:val="none" w:sz="0" w:space="0" w:color="auto"/>
                <w:left w:val="none" w:sz="0" w:space="0" w:color="auto"/>
                <w:bottom w:val="none" w:sz="0" w:space="0" w:color="auto"/>
                <w:right w:val="none" w:sz="0" w:space="0" w:color="auto"/>
              </w:divBdr>
            </w:div>
          </w:divsChild>
        </w:div>
        <w:div w:id="2134866330">
          <w:marLeft w:val="0"/>
          <w:marRight w:val="0"/>
          <w:marTop w:val="0"/>
          <w:marBottom w:val="0"/>
          <w:divBdr>
            <w:top w:val="none" w:sz="0" w:space="0" w:color="auto"/>
            <w:left w:val="none" w:sz="0" w:space="0" w:color="auto"/>
            <w:bottom w:val="none" w:sz="0" w:space="0" w:color="auto"/>
            <w:right w:val="none" w:sz="0" w:space="0" w:color="auto"/>
          </w:divBdr>
          <w:divsChild>
            <w:div w:id="1819229705">
              <w:marLeft w:val="0"/>
              <w:marRight w:val="0"/>
              <w:marTop w:val="0"/>
              <w:marBottom w:val="0"/>
              <w:divBdr>
                <w:top w:val="none" w:sz="0" w:space="0" w:color="auto"/>
                <w:left w:val="none" w:sz="0" w:space="0" w:color="auto"/>
                <w:bottom w:val="none" w:sz="0" w:space="0" w:color="auto"/>
                <w:right w:val="none" w:sz="0" w:space="0" w:color="auto"/>
              </w:divBdr>
            </w:div>
          </w:divsChild>
        </w:div>
        <w:div w:id="2140103660">
          <w:marLeft w:val="0"/>
          <w:marRight w:val="0"/>
          <w:marTop w:val="0"/>
          <w:marBottom w:val="0"/>
          <w:divBdr>
            <w:top w:val="none" w:sz="0" w:space="0" w:color="auto"/>
            <w:left w:val="none" w:sz="0" w:space="0" w:color="auto"/>
            <w:bottom w:val="none" w:sz="0" w:space="0" w:color="auto"/>
            <w:right w:val="none" w:sz="0" w:space="0" w:color="auto"/>
          </w:divBdr>
          <w:divsChild>
            <w:div w:id="1231041329">
              <w:marLeft w:val="0"/>
              <w:marRight w:val="0"/>
              <w:marTop w:val="0"/>
              <w:marBottom w:val="0"/>
              <w:divBdr>
                <w:top w:val="none" w:sz="0" w:space="0" w:color="auto"/>
                <w:left w:val="none" w:sz="0" w:space="0" w:color="auto"/>
                <w:bottom w:val="none" w:sz="0" w:space="0" w:color="auto"/>
                <w:right w:val="none" w:sz="0" w:space="0" w:color="auto"/>
              </w:divBdr>
            </w:div>
          </w:divsChild>
        </w:div>
        <w:div w:id="2143573578">
          <w:marLeft w:val="0"/>
          <w:marRight w:val="0"/>
          <w:marTop w:val="0"/>
          <w:marBottom w:val="0"/>
          <w:divBdr>
            <w:top w:val="none" w:sz="0" w:space="0" w:color="auto"/>
            <w:left w:val="none" w:sz="0" w:space="0" w:color="auto"/>
            <w:bottom w:val="none" w:sz="0" w:space="0" w:color="auto"/>
            <w:right w:val="none" w:sz="0" w:space="0" w:color="auto"/>
          </w:divBdr>
          <w:divsChild>
            <w:div w:id="21241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859">
      <w:bodyDiv w:val="1"/>
      <w:marLeft w:val="0"/>
      <w:marRight w:val="0"/>
      <w:marTop w:val="0"/>
      <w:marBottom w:val="0"/>
      <w:divBdr>
        <w:top w:val="none" w:sz="0" w:space="0" w:color="auto"/>
        <w:left w:val="none" w:sz="0" w:space="0" w:color="auto"/>
        <w:bottom w:val="none" w:sz="0" w:space="0" w:color="auto"/>
        <w:right w:val="none" w:sz="0" w:space="0" w:color="auto"/>
      </w:divBdr>
    </w:div>
    <w:div w:id="382027804">
      <w:bodyDiv w:val="1"/>
      <w:marLeft w:val="0"/>
      <w:marRight w:val="0"/>
      <w:marTop w:val="0"/>
      <w:marBottom w:val="0"/>
      <w:divBdr>
        <w:top w:val="none" w:sz="0" w:space="0" w:color="auto"/>
        <w:left w:val="none" w:sz="0" w:space="0" w:color="auto"/>
        <w:bottom w:val="none" w:sz="0" w:space="0" w:color="auto"/>
        <w:right w:val="none" w:sz="0" w:space="0" w:color="auto"/>
      </w:divBdr>
    </w:div>
    <w:div w:id="387457214">
      <w:bodyDiv w:val="1"/>
      <w:marLeft w:val="0"/>
      <w:marRight w:val="0"/>
      <w:marTop w:val="0"/>
      <w:marBottom w:val="0"/>
      <w:divBdr>
        <w:top w:val="none" w:sz="0" w:space="0" w:color="auto"/>
        <w:left w:val="none" w:sz="0" w:space="0" w:color="auto"/>
        <w:bottom w:val="none" w:sz="0" w:space="0" w:color="auto"/>
        <w:right w:val="none" w:sz="0" w:space="0" w:color="auto"/>
      </w:divBdr>
    </w:div>
    <w:div w:id="388959748">
      <w:bodyDiv w:val="1"/>
      <w:marLeft w:val="0"/>
      <w:marRight w:val="0"/>
      <w:marTop w:val="0"/>
      <w:marBottom w:val="0"/>
      <w:divBdr>
        <w:top w:val="none" w:sz="0" w:space="0" w:color="auto"/>
        <w:left w:val="none" w:sz="0" w:space="0" w:color="auto"/>
        <w:bottom w:val="none" w:sz="0" w:space="0" w:color="auto"/>
        <w:right w:val="none" w:sz="0" w:space="0" w:color="auto"/>
      </w:divBdr>
    </w:div>
    <w:div w:id="393283070">
      <w:bodyDiv w:val="1"/>
      <w:marLeft w:val="0"/>
      <w:marRight w:val="0"/>
      <w:marTop w:val="0"/>
      <w:marBottom w:val="0"/>
      <w:divBdr>
        <w:top w:val="none" w:sz="0" w:space="0" w:color="auto"/>
        <w:left w:val="none" w:sz="0" w:space="0" w:color="auto"/>
        <w:bottom w:val="none" w:sz="0" w:space="0" w:color="auto"/>
        <w:right w:val="none" w:sz="0" w:space="0" w:color="auto"/>
      </w:divBdr>
    </w:div>
    <w:div w:id="414280912">
      <w:bodyDiv w:val="1"/>
      <w:marLeft w:val="0"/>
      <w:marRight w:val="0"/>
      <w:marTop w:val="0"/>
      <w:marBottom w:val="0"/>
      <w:divBdr>
        <w:top w:val="none" w:sz="0" w:space="0" w:color="auto"/>
        <w:left w:val="none" w:sz="0" w:space="0" w:color="auto"/>
        <w:bottom w:val="none" w:sz="0" w:space="0" w:color="auto"/>
        <w:right w:val="none" w:sz="0" w:space="0" w:color="auto"/>
      </w:divBdr>
    </w:div>
    <w:div w:id="425276192">
      <w:bodyDiv w:val="1"/>
      <w:marLeft w:val="0"/>
      <w:marRight w:val="0"/>
      <w:marTop w:val="0"/>
      <w:marBottom w:val="0"/>
      <w:divBdr>
        <w:top w:val="none" w:sz="0" w:space="0" w:color="auto"/>
        <w:left w:val="none" w:sz="0" w:space="0" w:color="auto"/>
        <w:bottom w:val="none" w:sz="0" w:space="0" w:color="auto"/>
        <w:right w:val="none" w:sz="0" w:space="0" w:color="auto"/>
      </w:divBdr>
    </w:div>
    <w:div w:id="445393862">
      <w:bodyDiv w:val="1"/>
      <w:marLeft w:val="0"/>
      <w:marRight w:val="0"/>
      <w:marTop w:val="0"/>
      <w:marBottom w:val="0"/>
      <w:divBdr>
        <w:top w:val="none" w:sz="0" w:space="0" w:color="auto"/>
        <w:left w:val="none" w:sz="0" w:space="0" w:color="auto"/>
        <w:bottom w:val="none" w:sz="0" w:space="0" w:color="auto"/>
        <w:right w:val="none" w:sz="0" w:space="0" w:color="auto"/>
      </w:divBdr>
    </w:div>
    <w:div w:id="492184807">
      <w:bodyDiv w:val="1"/>
      <w:marLeft w:val="0"/>
      <w:marRight w:val="0"/>
      <w:marTop w:val="0"/>
      <w:marBottom w:val="0"/>
      <w:divBdr>
        <w:top w:val="none" w:sz="0" w:space="0" w:color="auto"/>
        <w:left w:val="none" w:sz="0" w:space="0" w:color="auto"/>
        <w:bottom w:val="none" w:sz="0" w:space="0" w:color="auto"/>
        <w:right w:val="none" w:sz="0" w:space="0" w:color="auto"/>
      </w:divBdr>
    </w:div>
    <w:div w:id="497383534">
      <w:bodyDiv w:val="1"/>
      <w:marLeft w:val="0"/>
      <w:marRight w:val="0"/>
      <w:marTop w:val="0"/>
      <w:marBottom w:val="0"/>
      <w:divBdr>
        <w:top w:val="none" w:sz="0" w:space="0" w:color="auto"/>
        <w:left w:val="none" w:sz="0" w:space="0" w:color="auto"/>
        <w:bottom w:val="none" w:sz="0" w:space="0" w:color="auto"/>
        <w:right w:val="none" w:sz="0" w:space="0" w:color="auto"/>
      </w:divBdr>
    </w:div>
    <w:div w:id="503978552">
      <w:bodyDiv w:val="1"/>
      <w:marLeft w:val="0"/>
      <w:marRight w:val="0"/>
      <w:marTop w:val="0"/>
      <w:marBottom w:val="0"/>
      <w:divBdr>
        <w:top w:val="none" w:sz="0" w:space="0" w:color="auto"/>
        <w:left w:val="none" w:sz="0" w:space="0" w:color="auto"/>
        <w:bottom w:val="none" w:sz="0" w:space="0" w:color="auto"/>
        <w:right w:val="none" w:sz="0" w:space="0" w:color="auto"/>
      </w:divBdr>
    </w:div>
    <w:div w:id="516311779">
      <w:bodyDiv w:val="1"/>
      <w:marLeft w:val="0"/>
      <w:marRight w:val="0"/>
      <w:marTop w:val="0"/>
      <w:marBottom w:val="0"/>
      <w:divBdr>
        <w:top w:val="none" w:sz="0" w:space="0" w:color="auto"/>
        <w:left w:val="none" w:sz="0" w:space="0" w:color="auto"/>
        <w:bottom w:val="none" w:sz="0" w:space="0" w:color="auto"/>
        <w:right w:val="none" w:sz="0" w:space="0" w:color="auto"/>
      </w:divBdr>
    </w:div>
    <w:div w:id="525799212">
      <w:bodyDiv w:val="1"/>
      <w:marLeft w:val="0"/>
      <w:marRight w:val="0"/>
      <w:marTop w:val="0"/>
      <w:marBottom w:val="0"/>
      <w:divBdr>
        <w:top w:val="none" w:sz="0" w:space="0" w:color="auto"/>
        <w:left w:val="none" w:sz="0" w:space="0" w:color="auto"/>
        <w:bottom w:val="none" w:sz="0" w:space="0" w:color="auto"/>
        <w:right w:val="none" w:sz="0" w:space="0" w:color="auto"/>
      </w:divBdr>
    </w:div>
    <w:div w:id="536239954">
      <w:bodyDiv w:val="1"/>
      <w:marLeft w:val="0"/>
      <w:marRight w:val="0"/>
      <w:marTop w:val="0"/>
      <w:marBottom w:val="0"/>
      <w:divBdr>
        <w:top w:val="none" w:sz="0" w:space="0" w:color="auto"/>
        <w:left w:val="none" w:sz="0" w:space="0" w:color="auto"/>
        <w:bottom w:val="none" w:sz="0" w:space="0" w:color="auto"/>
        <w:right w:val="none" w:sz="0" w:space="0" w:color="auto"/>
      </w:divBdr>
    </w:div>
    <w:div w:id="547684622">
      <w:bodyDiv w:val="1"/>
      <w:marLeft w:val="0"/>
      <w:marRight w:val="0"/>
      <w:marTop w:val="0"/>
      <w:marBottom w:val="0"/>
      <w:divBdr>
        <w:top w:val="none" w:sz="0" w:space="0" w:color="auto"/>
        <w:left w:val="none" w:sz="0" w:space="0" w:color="auto"/>
        <w:bottom w:val="none" w:sz="0" w:space="0" w:color="auto"/>
        <w:right w:val="none" w:sz="0" w:space="0" w:color="auto"/>
      </w:divBdr>
    </w:div>
    <w:div w:id="553857340">
      <w:bodyDiv w:val="1"/>
      <w:marLeft w:val="0"/>
      <w:marRight w:val="0"/>
      <w:marTop w:val="0"/>
      <w:marBottom w:val="0"/>
      <w:divBdr>
        <w:top w:val="none" w:sz="0" w:space="0" w:color="auto"/>
        <w:left w:val="none" w:sz="0" w:space="0" w:color="auto"/>
        <w:bottom w:val="none" w:sz="0" w:space="0" w:color="auto"/>
        <w:right w:val="none" w:sz="0" w:space="0" w:color="auto"/>
      </w:divBdr>
    </w:div>
    <w:div w:id="561596668">
      <w:bodyDiv w:val="1"/>
      <w:marLeft w:val="0"/>
      <w:marRight w:val="0"/>
      <w:marTop w:val="0"/>
      <w:marBottom w:val="0"/>
      <w:divBdr>
        <w:top w:val="none" w:sz="0" w:space="0" w:color="auto"/>
        <w:left w:val="none" w:sz="0" w:space="0" w:color="auto"/>
        <w:bottom w:val="none" w:sz="0" w:space="0" w:color="auto"/>
        <w:right w:val="none" w:sz="0" w:space="0" w:color="auto"/>
      </w:divBdr>
    </w:div>
    <w:div w:id="574166080">
      <w:bodyDiv w:val="1"/>
      <w:marLeft w:val="0"/>
      <w:marRight w:val="0"/>
      <w:marTop w:val="0"/>
      <w:marBottom w:val="0"/>
      <w:divBdr>
        <w:top w:val="none" w:sz="0" w:space="0" w:color="auto"/>
        <w:left w:val="none" w:sz="0" w:space="0" w:color="auto"/>
        <w:bottom w:val="none" w:sz="0" w:space="0" w:color="auto"/>
        <w:right w:val="none" w:sz="0" w:space="0" w:color="auto"/>
      </w:divBdr>
    </w:div>
    <w:div w:id="608050933">
      <w:bodyDiv w:val="1"/>
      <w:marLeft w:val="0"/>
      <w:marRight w:val="0"/>
      <w:marTop w:val="0"/>
      <w:marBottom w:val="0"/>
      <w:divBdr>
        <w:top w:val="none" w:sz="0" w:space="0" w:color="auto"/>
        <w:left w:val="none" w:sz="0" w:space="0" w:color="auto"/>
        <w:bottom w:val="none" w:sz="0" w:space="0" w:color="auto"/>
        <w:right w:val="none" w:sz="0" w:space="0" w:color="auto"/>
      </w:divBdr>
    </w:div>
    <w:div w:id="633798868">
      <w:bodyDiv w:val="1"/>
      <w:marLeft w:val="0"/>
      <w:marRight w:val="0"/>
      <w:marTop w:val="0"/>
      <w:marBottom w:val="0"/>
      <w:divBdr>
        <w:top w:val="none" w:sz="0" w:space="0" w:color="auto"/>
        <w:left w:val="none" w:sz="0" w:space="0" w:color="auto"/>
        <w:bottom w:val="none" w:sz="0" w:space="0" w:color="auto"/>
        <w:right w:val="none" w:sz="0" w:space="0" w:color="auto"/>
      </w:divBdr>
    </w:div>
    <w:div w:id="650017405">
      <w:bodyDiv w:val="1"/>
      <w:marLeft w:val="0"/>
      <w:marRight w:val="0"/>
      <w:marTop w:val="0"/>
      <w:marBottom w:val="0"/>
      <w:divBdr>
        <w:top w:val="none" w:sz="0" w:space="0" w:color="auto"/>
        <w:left w:val="none" w:sz="0" w:space="0" w:color="auto"/>
        <w:bottom w:val="none" w:sz="0" w:space="0" w:color="auto"/>
        <w:right w:val="none" w:sz="0" w:space="0" w:color="auto"/>
      </w:divBdr>
    </w:div>
    <w:div w:id="671494923">
      <w:bodyDiv w:val="1"/>
      <w:marLeft w:val="0"/>
      <w:marRight w:val="0"/>
      <w:marTop w:val="0"/>
      <w:marBottom w:val="0"/>
      <w:divBdr>
        <w:top w:val="none" w:sz="0" w:space="0" w:color="auto"/>
        <w:left w:val="none" w:sz="0" w:space="0" w:color="auto"/>
        <w:bottom w:val="none" w:sz="0" w:space="0" w:color="auto"/>
        <w:right w:val="none" w:sz="0" w:space="0" w:color="auto"/>
      </w:divBdr>
    </w:div>
    <w:div w:id="682829618">
      <w:bodyDiv w:val="1"/>
      <w:marLeft w:val="0"/>
      <w:marRight w:val="0"/>
      <w:marTop w:val="0"/>
      <w:marBottom w:val="0"/>
      <w:divBdr>
        <w:top w:val="none" w:sz="0" w:space="0" w:color="auto"/>
        <w:left w:val="none" w:sz="0" w:space="0" w:color="auto"/>
        <w:bottom w:val="none" w:sz="0" w:space="0" w:color="auto"/>
        <w:right w:val="none" w:sz="0" w:space="0" w:color="auto"/>
      </w:divBdr>
    </w:div>
    <w:div w:id="714237195">
      <w:bodyDiv w:val="1"/>
      <w:marLeft w:val="0"/>
      <w:marRight w:val="0"/>
      <w:marTop w:val="0"/>
      <w:marBottom w:val="0"/>
      <w:divBdr>
        <w:top w:val="none" w:sz="0" w:space="0" w:color="auto"/>
        <w:left w:val="none" w:sz="0" w:space="0" w:color="auto"/>
        <w:bottom w:val="none" w:sz="0" w:space="0" w:color="auto"/>
        <w:right w:val="none" w:sz="0" w:space="0" w:color="auto"/>
      </w:divBdr>
    </w:div>
    <w:div w:id="719669662">
      <w:bodyDiv w:val="1"/>
      <w:marLeft w:val="0"/>
      <w:marRight w:val="0"/>
      <w:marTop w:val="0"/>
      <w:marBottom w:val="0"/>
      <w:divBdr>
        <w:top w:val="none" w:sz="0" w:space="0" w:color="auto"/>
        <w:left w:val="none" w:sz="0" w:space="0" w:color="auto"/>
        <w:bottom w:val="none" w:sz="0" w:space="0" w:color="auto"/>
        <w:right w:val="none" w:sz="0" w:space="0" w:color="auto"/>
      </w:divBdr>
    </w:div>
    <w:div w:id="733554141">
      <w:bodyDiv w:val="1"/>
      <w:marLeft w:val="0"/>
      <w:marRight w:val="0"/>
      <w:marTop w:val="0"/>
      <w:marBottom w:val="0"/>
      <w:divBdr>
        <w:top w:val="none" w:sz="0" w:space="0" w:color="auto"/>
        <w:left w:val="none" w:sz="0" w:space="0" w:color="auto"/>
        <w:bottom w:val="none" w:sz="0" w:space="0" w:color="auto"/>
        <w:right w:val="none" w:sz="0" w:space="0" w:color="auto"/>
      </w:divBdr>
    </w:div>
    <w:div w:id="739910631">
      <w:bodyDiv w:val="1"/>
      <w:marLeft w:val="0"/>
      <w:marRight w:val="0"/>
      <w:marTop w:val="0"/>
      <w:marBottom w:val="0"/>
      <w:divBdr>
        <w:top w:val="none" w:sz="0" w:space="0" w:color="auto"/>
        <w:left w:val="none" w:sz="0" w:space="0" w:color="auto"/>
        <w:bottom w:val="none" w:sz="0" w:space="0" w:color="auto"/>
        <w:right w:val="none" w:sz="0" w:space="0" w:color="auto"/>
      </w:divBdr>
    </w:div>
    <w:div w:id="752434724">
      <w:bodyDiv w:val="1"/>
      <w:marLeft w:val="0"/>
      <w:marRight w:val="0"/>
      <w:marTop w:val="0"/>
      <w:marBottom w:val="0"/>
      <w:divBdr>
        <w:top w:val="none" w:sz="0" w:space="0" w:color="auto"/>
        <w:left w:val="none" w:sz="0" w:space="0" w:color="auto"/>
        <w:bottom w:val="none" w:sz="0" w:space="0" w:color="auto"/>
        <w:right w:val="none" w:sz="0" w:space="0" w:color="auto"/>
      </w:divBdr>
    </w:div>
    <w:div w:id="776753022">
      <w:bodyDiv w:val="1"/>
      <w:marLeft w:val="0"/>
      <w:marRight w:val="0"/>
      <w:marTop w:val="0"/>
      <w:marBottom w:val="0"/>
      <w:divBdr>
        <w:top w:val="none" w:sz="0" w:space="0" w:color="auto"/>
        <w:left w:val="none" w:sz="0" w:space="0" w:color="auto"/>
        <w:bottom w:val="none" w:sz="0" w:space="0" w:color="auto"/>
        <w:right w:val="none" w:sz="0" w:space="0" w:color="auto"/>
      </w:divBdr>
    </w:div>
    <w:div w:id="785273523">
      <w:bodyDiv w:val="1"/>
      <w:marLeft w:val="0"/>
      <w:marRight w:val="0"/>
      <w:marTop w:val="0"/>
      <w:marBottom w:val="0"/>
      <w:divBdr>
        <w:top w:val="none" w:sz="0" w:space="0" w:color="auto"/>
        <w:left w:val="none" w:sz="0" w:space="0" w:color="auto"/>
        <w:bottom w:val="none" w:sz="0" w:space="0" w:color="auto"/>
        <w:right w:val="none" w:sz="0" w:space="0" w:color="auto"/>
      </w:divBdr>
    </w:div>
    <w:div w:id="786046268">
      <w:bodyDiv w:val="1"/>
      <w:marLeft w:val="0"/>
      <w:marRight w:val="0"/>
      <w:marTop w:val="0"/>
      <w:marBottom w:val="0"/>
      <w:divBdr>
        <w:top w:val="none" w:sz="0" w:space="0" w:color="auto"/>
        <w:left w:val="none" w:sz="0" w:space="0" w:color="auto"/>
        <w:bottom w:val="none" w:sz="0" w:space="0" w:color="auto"/>
        <w:right w:val="none" w:sz="0" w:space="0" w:color="auto"/>
      </w:divBdr>
    </w:div>
    <w:div w:id="815755281">
      <w:bodyDiv w:val="1"/>
      <w:marLeft w:val="0"/>
      <w:marRight w:val="0"/>
      <w:marTop w:val="0"/>
      <w:marBottom w:val="0"/>
      <w:divBdr>
        <w:top w:val="none" w:sz="0" w:space="0" w:color="auto"/>
        <w:left w:val="none" w:sz="0" w:space="0" w:color="auto"/>
        <w:bottom w:val="none" w:sz="0" w:space="0" w:color="auto"/>
        <w:right w:val="none" w:sz="0" w:space="0" w:color="auto"/>
      </w:divBdr>
    </w:div>
    <w:div w:id="850949379">
      <w:bodyDiv w:val="1"/>
      <w:marLeft w:val="0"/>
      <w:marRight w:val="0"/>
      <w:marTop w:val="0"/>
      <w:marBottom w:val="0"/>
      <w:divBdr>
        <w:top w:val="none" w:sz="0" w:space="0" w:color="auto"/>
        <w:left w:val="none" w:sz="0" w:space="0" w:color="auto"/>
        <w:bottom w:val="none" w:sz="0" w:space="0" w:color="auto"/>
        <w:right w:val="none" w:sz="0" w:space="0" w:color="auto"/>
      </w:divBdr>
    </w:div>
    <w:div w:id="883716246">
      <w:bodyDiv w:val="1"/>
      <w:marLeft w:val="0"/>
      <w:marRight w:val="0"/>
      <w:marTop w:val="0"/>
      <w:marBottom w:val="0"/>
      <w:divBdr>
        <w:top w:val="none" w:sz="0" w:space="0" w:color="auto"/>
        <w:left w:val="none" w:sz="0" w:space="0" w:color="auto"/>
        <w:bottom w:val="none" w:sz="0" w:space="0" w:color="auto"/>
        <w:right w:val="none" w:sz="0" w:space="0" w:color="auto"/>
      </w:divBdr>
    </w:div>
    <w:div w:id="912742429">
      <w:bodyDiv w:val="1"/>
      <w:marLeft w:val="0"/>
      <w:marRight w:val="0"/>
      <w:marTop w:val="0"/>
      <w:marBottom w:val="0"/>
      <w:divBdr>
        <w:top w:val="none" w:sz="0" w:space="0" w:color="auto"/>
        <w:left w:val="none" w:sz="0" w:space="0" w:color="auto"/>
        <w:bottom w:val="none" w:sz="0" w:space="0" w:color="auto"/>
        <w:right w:val="none" w:sz="0" w:space="0" w:color="auto"/>
      </w:divBdr>
    </w:div>
    <w:div w:id="921065123">
      <w:bodyDiv w:val="1"/>
      <w:marLeft w:val="0"/>
      <w:marRight w:val="0"/>
      <w:marTop w:val="0"/>
      <w:marBottom w:val="0"/>
      <w:divBdr>
        <w:top w:val="none" w:sz="0" w:space="0" w:color="auto"/>
        <w:left w:val="none" w:sz="0" w:space="0" w:color="auto"/>
        <w:bottom w:val="none" w:sz="0" w:space="0" w:color="auto"/>
        <w:right w:val="none" w:sz="0" w:space="0" w:color="auto"/>
      </w:divBdr>
    </w:div>
    <w:div w:id="923614458">
      <w:bodyDiv w:val="1"/>
      <w:marLeft w:val="0"/>
      <w:marRight w:val="0"/>
      <w:marTop w:val="0"/>
      <w:marBottom w:val="0"/>
      <w:divBdr>
        <w:top w:val="none" w:sz="0" w:space="0" w:color="auto"/>
        <w:left w:val="none" w:sz="0" w:space="0" w:color="auto"/>
        <w:bottom w:val="none" w:sz="0" w:space="0" w:color="auto"/>
        <w:right w:val="none" w:sz="0" w:space="0" w:color="auto"/>
      </w:divBdr>
    </w:div>
    <w:div w:id="944847599">
      <w:bodyDiv w:val="1"/>
      <w:marLeft w:val="0"/>
      <w:marRight w:val="0"/>
      <w:marTop w:val="0"/>
      <w:marBottom w:val="0"/>
      <w:divBdr>
        <w:top w:val="none" w:sz="0" w:space="0" w:color="auto"/>
        <w:left w:val="none" w:sz="0" w:space="0" w:color="auto"/>
        <w:bottom w:val="none" w:sz="0" w:space="0" w:color="auto"/>
        <w:right w:val="none" w:sz="0" w:space="0" w:color="auto"/>
      </w:divBdr>
    </w:div>
    <w:div w:id="954865785">
      <w:bodyDiv w:val="1"/>
      <w:marLeft w:val="0"/>
      <w:marRight w:val="0"/>
      <w:marTop w:val="0"/>
      <w:marBottom w:val="0"/>
      <w:divBdr>
        <w:top w:val="none" w:sz="0" w:space="0" w:color="auto"/>
        <w:left w:val="none" w:sz="0" w:space="0" w:color="auto"/>
        <w:bottom w:val="none" w:sz="0" w:space="0" w:color="auto"/>
        <w:right w:val="none" w:sz="0" w:space="0" w:color="auto"/>
      </w:divBdr>
    </w:div>
    <w:div w:id="959804743">
      <w:bodyDiv w:val="1"/>
      <w:marLeft w:val="0"/>
      <w:marRight w:val="0"/>
      <w:marTop w:val="0"/>
      <w:marBottom w:val="0"/>
      <w:divBdr>
        <w:top w:val="none" w:sz="0" w:space="0" w:color="auto"/>
        <w:left w:val="none" w:sz="0" w:space="0" w:color="auto"/>
        <w:bottom w:val="none" w:sz="0" w:space="0" w:color="auto"/>
        <w:right w:val="none" w:sz="0" w:space="0" w:color="auto"/>
      </w:divBdr>
    </w:div>
    <w:div w:id="976447681">
      <w:bodyDiv w:val="1"/>
      <w:marLeft w:val="0"/>
      <w:marRight w:val="0"/>
      <w:marTop w:val="0"/>
      <w:marBottom w:val="0"/>
      <w:divBdr>
        <w:top w:val="none" w:sz="0" w:space="0" w:color="auto"/>
        <w:left w:val="none" w:sz="0" w:space="0" w:color="auto"/>
        <w:bottom w:val="none" w:sz="0" w:space="0" w:color="auto"/>
        <w:right w:val="none" w:sz="0" w:space="0" w:color="auto"/>
      </w:divBdr>
    </w:div>
    <w:div w:id="1006053519">
      <w:bodyDiv w:val="1"/>
      <w:marLeft w:val="0"/>
      <w:marRight w:val="0"/>
      <w:marTop w:val="0"/>
      <w:marBottom w:val="0"/>
      <w:divBdr>
        <w:top w:val="none" w:sz="0" w:space="0" w:color="auto"/>
        <w:left w:val="none" w:sz="0" w:space="0" w:color="auto"/>
        <w:bottom w:val="none" w:sz="0" w:space="0" w:color="auto"/>
        <w:right w:val="none" w:sz="0" w:space="0" w:color="auto"/>
      </w:divBdr>
    </w:div>
    <w:div w:id="1019160309">
      <w:bodyDiv w:val="1"/>
      <w:marLeft w:val="0"/>
      <w:marRight w:val="0"/>
      <w:marTop w:val="0"/>
      <w:marBottom w:val="0"/>
      <w:divBdr>
        <w:top w:val="none" w:sz="0" w:space="0" w:color="auto"/>
        <w:left w:val="none" w:sz="0" w:space="0" w:color="auto"/>
        <w:bottom w:val="none" w:sz="0" w:space="0" w:color="auto"/>
        <w:right w:val="none" w:sz="0" w:space="0" w:color="auto"/>
      </w:divBdr>
    </w:div>
    <w:div w:id="1031108425">
      <w:bodyDiv w:val="1"/>
      <w:marLeft w:val="0"/>
      <w:marRight w:val="0"/>
      <w:marTop w:val="0"/>
      <w:marBottom w:val="0"/>
      <w:divBdr>
        <w:top w:val="none" w:sz="0" w:space="0" w:color="auto"/>
        <w:left w:val="none" w:sz="0" w:space="0" w:color="auto"/>
        <w:bottom w:val="none" w:sz="0" w:space="0" w:color="auto"/>
        <w:right w:val="none" w:sz="0" w:space="0" w:color="auto"/>
      </w:divBdr>
    </w:div>
    <w:div w:id="1038090592">
      <w:bodyDiv w:val="1"/>
      <w:marLeft w:val="0"/>
      <w:marRight w:val="0"/>
      <w:marTop w:val="0"/>
      <w:marBottom w:val="0"/>
      <w:divBdr>
        <w:top w:val="none" w:sz="0" w:space="0" w:color="auto"/>
        <w:left w:val="none" w:sz="0" w:space="0" w:color="auto"/>
        <w:bottom w:val="none" w:sz="0" w:space="0" w:color="auto"/>
        <w:right w:val="none" w:sz="0" w:space="0" w:color="auto"/>
      </w:divBdr>
    </w:div>
    <w:div w:id="1044330752">
      <w:bodyDiv w:val="1"/>
      <w:marLeft w:val="0"/>
      <w:marRight w:val="0"/>
      <w:marTop w:val="0"/>
      <w:marBottom w:val="0"/>
      <w:divBdr>
        <w:top w:val="none" w:sz="0" w:space="0" w:color="auto"/>
        <w:left w:val="none" w:sz="0" w:space="0" w:color="auto"/>
        <w:bottom w:val="none" w:sz="0" w:space="0" w:color="auto"/>
        <w:right w:val="none" w:sz="0" w:space="0" w:color="auto"/>
      </w:divBdr>
    </w:div>
    <w:div w:id="1050501266">
      <w:bodyDiv w:val="1"/>
      <w:marLeft w:val="0"/>
      <w:marRight w:val="0"/>
      <w:marTop w:val="0"/>
      <w:marBottom w:val="0"/>
      <w:divBdr>
        <w:top w:val="none" w:sz="0" w:space="0" w:color="auto"/>
        <w:left w:val="none" w:sz="0" w:space="0" w:color="auto"/>
        <w:bottom w:val="none" w:sz="0" w:space="0" w:color="auto"/>
        <w:right w:val="none" w:sz="0" w:space="0" w:color="auto"/>
      </w:divBdr>
    </w:div>
    <w:div w:id="1057389179">
      <w:bodyDiv w:val="1"/>
      <w:marLeft w:val="0"/>
      <w:marRight w:val="0"/>
      <w:marTop w:val="0"/>
      <w:marBottom w:val="0"/>
      <w:divBdr>
        <w:top w:val="none" w:sz="0" w:space="0" w:color="auto"/>
        <w:left w:val="none" w:sz="0" w:space="0" w:color="auto"/>
        <w:bottom w:val="none" w:sz="0" w:space="0" w:color="auto"/>
        <w:right w:val="none" w:sz="0" w:space="0" w:color="auto"/>
      </w:divBdr>
    </w:div>
    <w:div w:id="1115448293">
      <w:bodyDiv w:val="1"/>
      <w:marLeft w:val="0"/>
      <w:marRight w:val="0"/>
      <w:marTop w:val="0"/>
      <w:marBottom w:val="0"/>
      <w:divBdr>
        <w:top w:val="none" w:sz="0" w:space="0" w:color="auto"/>
        <w:left w:val="none" w:sz="0" w:space="0" w:color="auto"/>
        <w:bottom w:val="none" w:sz="0" w:space="0" w:color="auto"/>
        <w:right w:val="none" w:sz="0" w:space="0" w:color="auto"/>
      </w:divBdr>
    </w:div>
    <w:div w:id="1117408241">
      <w:bodyDiv w:val="1"/>
      <w:marLeft w:val="0"/>
      <w:marRight w:val="0"/>
      <w:marTop w:val="0"/>
      <w:marBottom w:val="0"/>
      <w:divBdr>
        <w:top w:val="none" w:sz="0" w:space="0" w:color="auto"/>
        <w:left w:val="none" w:sz="0" w:space="0" w:color="auto"/>
        <w:bottom w:val="none" w:sz="0" w:space="0" w:color="auto"/>
        <w:right w:val="none" w:sz="0" w:space="0" w:color="auto"/>
      </w:divBdr>
    </w:div>
    <w:div w:id="1140272256">
      <w:bodyDiv w:val="1"/>
      <w:marLeft w:val="0"/>
      <w:marRight w:val="0"/>
      <w:marTop w:val="0"/>
      <w:marBottom w:val="0"/>
      <w:divBdr>
        <w:top w:val="none" w:sz="0" w:space="0" w:color="auto"/>
        <w:left w:val="none" w:sz="0" w:space="0" w:color="auto"/>
        <w:bottom w:val="none" w:sz="0" w:space="0" w:color="auto"/>
        <w:right w:val="none" w:sz="0" w:space="0" w:color="auto"/>
      </w:divBdr>
    </w:div>
    <w:div w:id="1140881322">
      <w:bodyDiv w:val="1"/>
      <w:marLeft w:val="0"/>
      <w:marRight w:val="0"/>
      <w:marTop w:val="0"/>
      <w:marBottom w:val="0"/>
      <w:divBdr>
        <w:top w:val="none" w:sz="0" w:space="0" w:color="auto"/>
        <w:left w:val="none" w:sz="0" w:space="0" w:color="auto"/>
        <w:bottom w:val="none" w:sz="0" w:space="0" w:color="auto"/>
        <w:right w:val="none" w:sz="0" w:space="0" w:color="auto"/>
      </w:divBdr>
    </w:div>
    <w:div w:id="1165126174">
      <w:bodyDiv w:val="1"/>
      <w:marLeft w:val="0"/>
      <w:marRight w:val="0"/>
      <w:marTop w:val="0"/>
      <w:marBottom w:val="0"/>
      <w:divBdr>
        <w:top w:val="none" w:sz="0" w:space="0" w:color="auto"/>
        <w:left w:val="none" w:sz="0" w:space="0" w:color="auto"/>
        <w:bottom w:val="none" w:sz="0" w:space="0" w:color="auto"/>
        <w:right w:val="none" w:sz="0" w:space="0" w:color="auto"/>
      </w:divBdr>
    </w:div>
    <w:div w:id="1171220333">
      <w:bodyDiv w:val="1"/>
      <w:marLeft w:val="0"/>
      <w:marRight w:val="0"/>
      <w:marTop w:val="0"/>
      <w:marBottom w:val="0"/>
      <w:divBdr>
        <w:top w:val="none" w:sz="0" w:space="0" w:color="auto"/>
        <w:left w:val="none" w:sz="0" w:space="0" w:color="auto"/>
        <w:bottom w:val="none" w:sz="0" w:space="0" w:color="auto"/>
        <w:right w:val="none" w:sz="0" w:space="0" w:color="auto"/>
      </w:divBdr>
    </w:div>
    <w:div w:id="1224098787">
      <w:bodyDiv w:val="1"/>
      <w:marLeft w:val="0"/>
      <w:marRight w:val="0"/>
      <w:marTop w:val="0"/>
      <w:marBottom w:val="0"/>
      <w:divBdr>
        <w:top w:val="none" w:sz="0" w:space="0" w:color="auto"/>
        <w:left w:val="none" w:sz="0" w:space="0" w:color="auto"/>
        <w:bottom w:val="none" w:sz="0" w:space="0" w:color="auto"/>
        <w:right w:val="none" w:sz="0" w:space="0" w:color="auto"/>
      </w:divBdr>
    </w:div>
    <w:div w:id="1229151570">
      <w:bodyDiv w:val="1"/>
      <w:marLeft w:val="0"/>
      <w:marRight w:val="0"/>
      <w:marTop w:val="0"/>
      <w:marBottom w:val="0"/>
      <w:divBdr>
        <w:top w:val="none" w:sz="0" w:space="0" w:color="auto"/>
        <w:left w:val="none" w:sz="0" w:space="0" w:color="auto"/>
        <w:bottom w:val="none" w:sz="0" w:space="0" w:color="auto"/>
        <w:right w:val="none" w:sz="0" w:space="0" w:color="auto"/>
      </w:divBdr>
    </w:div>
    <w:div w:id="1244218186">
      <w:bodyDiv w:val="1"/>
      <w:marLeft w:val="0"/>
      <w:marRight w:val="0"/>
      <w:marTop w:val="0"/>
      <w:marBottom w:val="0"/>
      <w:divBdr>
        <w:top w:val="none" w:sz="0" w:space="0" w:color="auto"/>
        <w:left w:val="none" w:sz="0" w:space="0" w:color="auto"/>
        <w:bottom w:val="none" w:sz="0" w:space="0" w:color="auto"/>
        <w:right w:val="none" w:sz="0" w:space="0" w:color="auto"/>
      </w:divBdr>
    </w:div>
    <w:div w:id="1248148484">
      <w:bodyDiv w:val="1"/>
      <w:marLeft w:val="0"/>
      <w:marRight w:val="0"/>
      <w:marTop w:val="0"/>
      <w:marBottom w:val="0"/>
      <w:divBdr>
        <w:top w:val="none" w:sz="0" w:space="0" w:color="auto"/>
        <w:left w:val="none" w:sz="0" w:space="0" w:color="auto"/>
        <w:bottom w:val="none" w:sz="0" w:space="0" w:color="auto"/>
        <w:right w:val="none" w:sz="0" w:space="0" w:color="auto"/>
      </w:divBdr>
    </w:div>
    <w:div w:id="1256019463">
      <w:bodyDiv w:val="1"/>
      <w:marLeft w:val="0"/>
      <w:marRight w:val="0"/>
      <w:marTop w:val="0"/>
      <w:marBottom w:val="0"/>
      <w:divBdr>
        <w:top w:val="none" w:sz="0" w:space="0" w:color="auto"/>
        <w:left w:val="none" w:sz="0" w:space="0" w:color="auto"/>
        <w:bottom w:val="none" w:sz="0" w:space="0" w:color="auto"/>
        <w:right w:val="none" w:sz="0" w:space="0" w:color="auto"/>
      </w:divBdr>
    </w:div>
    <w:div w:id="1257448350">
      <w:bodyDiv w:val="1"/>
      <w:marLeft w:val="0"/>
      <w:marRight w:val="0"/>
      <w:marTop w:val="0"/>
      <w:marBottom w:val="0"/>
      <w:divBdr>
        <w:top w:val="none" w:sz="0" w:space="0" w:color="auto"/>
        <w:left w:val="none" w:sz="0" w:space="0" w:color="auto"/>
        <w:bottom w:val="none" w:sz="0" w:space="0" w:color="auto"/>
        <w:right w:val="none" w:sz="0" w:space="0" w:color="auto"/>
      </w:divBdr>
    </w:div>
    <w:div w:id="1260408255">
      <w:bodyDiv w:val="1"/>
      <w:marLeft w:val="0"/>
      <w:marRight w:val="0"/>
      <w:marTop w:val="0"/>
      <w:marBottom w:val="0"/>
      <w:divBdr>
        <w:top w:val="none" w:sz="0" w:space="0" w:color="auto"/>
        <w:left w:val="none" w:sz="0" w:space="0" w:color="auto"/>
        <w:bottom w:val="none" w:sz="0" w:space="0" w:color="auto"/>
        <w:right w:val="none" w:sz="0" w:space="0" w:color="auto"/>
      </w:divBdr>
    </w:div>
    <w:div w:id="1261797108">
      <w:bodyDiv w:val="1"/>
      <w:marLeft w:val="0"/>
      <w:marRight w:val="0"/>
      <w:marTop w:val="0"/>
      <w:marBottom w:val="0"/>
      <w:divBdr>
        <w:top w:val="none" w:sz="0" w:space="0" w:color="auto"/>
        <w:left w:val="none" w:sz="0" w:space="0" w:color="auto"/>
        <w:bottom w:val="none" w:sz="0" w:space="0" w:color="auto"/>
        <w:right w:val="none" w:sz="0" w:space="0" w:color="auto"/>
      </w:divBdr>
    </w:div>
    <w:div w:id="1285310076">
      <w:bodyDiv w:val="1"/>
      <w:marLeft w:val="0"/>
      <w:marRight w:val="0"/>
      <w:marTop w:val="0"/>
      <w:marBottom w:val="0"/>
      <w:divBdr>
        <w:top w:val="none" w:sz="0" w:space="0" w:color="auto"/>
        <w:left w:val="none" w:sz="0" w:space="0" w:color="auto"/>
        <w:bottom w:val="none" w:sz="0" w:space="0" w:color="auto"/>
        <w:right w:val="none" w:sz="0" w:space="0" w:color="auto"/>
      </w:divBdr>
    </w:div>
    <w:div w:id="1291277065">
      <w:bodyDiv w:val="1"/>
      <w:marLeft w:val="0"/>
      <w:marRight w:val="0"/>
      <w:marTop w:val="0"/>
      <w:marBottom w:val="0"/>
      <w:divBdr>
        <w:top w:val="none" w:sz="0" w:space="0" w:color="auto"/>
        <w:left w:val="none" w:sz="0" w:space="0" w:color="auto"/>
        <w:bottom w:val="none" w:sz="0" w:space="0" w:color="auto"/>
        <w:right w:val="none" w:sz="0" w:space="0" w:color="auto"/>
      </w:divBdr>
    </w:div>
    <w:div w:id="1291789928">
      <w:bodyDiv w:val="1"/>
      <w:marLeft w:val="0"/>
      <w:marRight w:val="0"/>
      <w:marTop w:val="0"/>
      <w:marBottom w:val="0"/>
      <w:divBdr>
        <w:top w:val="none" w:sz="0" w:space="0" w:color="auto"/>
        <w:left w:val="none" w:sz="0" w:space="0" w:color="auto"/>
        <w:bottom w:val="none" w:sz="0" w:space="0" w:color="auto"/>
        <w:right w:val="none" w:sz="0" w:space="0" w:color="auto"/>
      </w:divBdr>
    </w:div>
    <w:div w:id="1297681487">
      <w:bodyDiv w:val="1"/>
      <w:marLeft w:val="0"/>
      <w:marRight w:val="0"/>
      <w:marTop w:val="0"/>
      <w:marBottom w:val="0"/>
      <w:divBdr>
        <w:top w:val="none" w:sz="0" w:space="0" w:color="auto"/>
        <w:left w:val="none" w:sz="0" w:space="0" w:color="auto"/>
        <w:bottom w:val="none" w:sz="0" w:space="0" w:color="auto"/>
        <w:right w:val="none" w:sz="0" w:space="0" w:color="auto"/>
      </w:divBdr>
    </w:div>
    <w:div w:id="1309745875">
      <w:bodyDiv w:val="1"/>
      <w:marLeft w:val="0"/>
      <w:marRight w:val="0"/>
      <w:marTop w:val="0"/>
      <w:marBottom w:val="0"/>
      <w:divBdr>
        <w:top w:val="none" w:sz="0" w:space="0" w:color="auto"/>
        <w:left w:val="none" w:sz="0" w:space="0" w:color="auto"/>
        <w:bottom w:val="none" w:sz="0" w:space="0" w:color="auto"/>
        <w:right w:val="none" w:sz="0" w:space="0" w:color="auto"/>
      </w:divBdr>
    </w:div>
    <w:div w:id="1320118329">
      <w:bodyDiv w:val="1"/>
      <w:marLeft w:val="0"/>
      <w:marRight w:val="0"/>
      <w:marTop w:val="0"/>
      <w:marBottom w:val="0"/>
      <w:divBdr>
        <w:top w:val="none" w:sz="0" w:space="0" w:color="auto"/>
        <w:left w:val="none" w:sz="0" w:space="0" w:color="auto"/>
        <w:bottom w:val="none" w:sz="0" w:space="0" w:color="auto"/>
        <w:right w:val="none" w:sz="0" w:space="0" w:color="auto"/>
      </w:divBdr>
    </w:div>
    <w:div w:id="1326979896">
      <w:bodyDiv w:val="1"/>
      <w:marLeft w:val="0"/>
      <w:marRight w:val="0"/>
      <w:marTop w:val="0"/>
      <w:marBottom w:val="0"/>
      <w:divBdr>
        <w:top w:val="none" w:sz="0" w:space="0" w:color="auto"/>
        <w:left w:val="none" w:sz="0" w:space="0" w:color="auto"/>
        <w:bottom w:val="none" w:sz="0" w:space="0" w:color="auto"/>
        <w:right w:val="none" w:sz="0" w:space="0" w:color="auto"/>
      </w:divBdr>
    </w:div>
    <w:div w:id="1330523280">
      <w:bodyDiv w:val="1"/>
      <w:marLeft w:val="0"/>
      <w:marRight w:val="0"/>
      <w:marTop w:val="0"/>
      <w:marBottom w:val="0"/>
      <w:divBdr>
        <w:top w:val="none" w:sz="0" w:space="0" w:color="auto"/>
        <w:left w:val="none" w:sz="0" w:space="0" w:color="auto"/>
        <w:bottom w:val="none" w:sz="0" w:space="0" w:color="auto"/>
        <w:right w:val="none" w:sz="0" w:space="0" w:color="auto"/>
      </w:divBdr>
    </w:div>
    <w:div w:id="1338461236">
      <w:bodyDiv w:val="1"/>
      <w:marLeft w:val="0"/>
      <w:marRight w:val="0"/>
      <w:marTop w:val="0"/>
      <w:marBottom w:val="0"/>
      <w:divBdr>
        <w:top w:val="none" w:sz="0" w:space="0" w:color="auto"/>
        <w:left w:val="none" w:sz="0" w:space="0" w:color="auto"/>
        <w:bottom w:val="none" w:sz="0" w:space="0" w:color="auto"/>
        <w:right w:val="none" w:sz="0" w:space="0" w:color="auto"/>
      </w:divBdr>
    </w:div>
    <w:div w:id="1339045467">
      <w:bodyDiv w:val="1"/>
      <w:marLeft w:val="0"/>
      <w:marRight w:val="0"/>
      <w:marTop w:val="0"/>
      <w:marBottom w:val="0"/>
      <w:divBdr>
        <w:top w:val="none" w:sz="0" w:space="0" w:color="auto"/>
        <w:left w:val="none" w:sz="0" w:space="0" w:color="auto"/>
        <w:bottom w:val="none" w:sz="0" w:space="0" w:color="auto"/>
        <w:right w:val="none" w:sz="0" w:space="0" w:color="auto"/>
      </w:divBdr>
    </w:div>
    <w:div w:id="1411778870">
      <w:bodyDiv w:val="1"/>
      <w:marLeft w:val="0"/>
      <w:marRight w:val="0"/>
      <w:marTop w:val="0"/>
      <w:marBottom w:val="0"/>
      <w:divBdr>
        <w:top w:val="none" w:sz="0" w:space="0" w:color="auto"/>
        <w:left w:val="none" w:sz="0" w:space="0" w:color="auto"/>
        <w:bottom w:val="none" w:sz="0" w:space="0" w:color="auto"/>
        <w:right w:val="none" w:sz="0" w:space="0" w:color="auto"/>
      </w:divBdr>
    </w:div>
    <w:div w:id="1435250776">
      <w:bodyDiv w:val="1"/>
      <w:marLeft w:val="0"/>
      <w:marRight w:val="0"/>
      <w:marTop w:val="0"/>
      <w:marBottom w:val="0"/>
      <w:divBdr>
        <w:top w:val="none" w:sz="0" w:space="0" w:color="auto"/>
        <w:left w:val="none" w:sz="0" w:space="0" w:color="auto"/>
        <w:bottom w:val="none" w:sz="0" w:space="0" w:color="auto"/>
        <w:right w:val="none" w:sz="0" w:space="0" w:color="auto"/>
      </w:divBdr>
    </w:div>
    <w:div w:id="1443651214">
      <w:bodyDiv w:val="1"/>
      <w:marLeft w:val="0"/>
      <w:marRight w:val="0"/>
      <w:marTop w:val="0"/>
      <w:marBottom w:val="0"/>
      <w:divBdr>
        <w:top w:val="none" w:sz="0" w:space="0" w:color="auto"/>
        <w:left w:val="none" w:sz="0" w:space="0" w:color="auto"/>
        <w:bottom w:val="none" w:sz="0" w:space="0" w:color="auto"/>
        <w:right w:val="none" w:sz="0" w:space="0" w:color="auto"/>
      </w:divBdr>
    </w:div>
    <w:div w:id="1446995807">
      <w:bodyDiv w:val="1"/>
      <w:marLeft w:val="0"/>
      <w:marRight w:val="0"/>
      <w:marTop w:val="0"/>
      <w:marBottom w:val="0"/>
      <w:divBdr>
        <w:top w:val="none" w:sz="0" w:space="0" w:color="auto"/>
        <w:left w:val="none" w:sz="0" w:space="0" w:color="auto"/>
        <w:bottom w:val="none" w:sz="0" w:space="0" w:color="auto"/>
        <w:right w:val="none" w:sz="0" w:space="0" w:color="auto"/>
      </w:divBdr>
    </w:div>
    <w:div w:id="1463307564">
      <w:bodyDiv w:val="1"/>
      <w:marLeft w:val="0"/>
      <w:marRight w:val="0"/>
      <w:marTop w:val="0"/>
      <w:marBottom w:val="0"/>
      <w:divBdr>
        <w:top w:val="none" w:sz="0" w:space="0" w:color="auto"/>
        <w:left w:val="none" w:sz="0" w:space="0" w:color="auto"/>
        <w:bottom w:val="none" w:sz="0" w:space="0" w:color="auto"/>
        <w:right w:val="none" w:sz="0" w:space="0" w:color="auto"/>
      </w:divBdr>
    </w:div>
    <w:div w:id="1511069797">
      <w:bodyDiv w:val="1"/>
      <w:marLeft w:val="0"/>
      <w:marRight w:val="0"/>
      <w:marTop w:val="0"/>
      <w:marBottom w:val="0"/>
      <w:divBdr>
        <w:top w:val="none" w:sz="0" w:space="0" w:color="auto"/>
        <w:left w:val="none" w:sz="0" w:space="0" w:color="auto"/>
        <w:bottom w:val="none" w:sz="0" w:space="0" w:color="auto"/>
        <w:right w:val="none" w:sz="0" w:space="0" w:color="auto"/>
      </w:divBdr>
    </w:div>
    <w:div w:id="1523399514">
      <w:bodyDiv w:val="1"/>
      <w:marLeft w:val="0"/>
      <w:marRight w:val="0"/>
      <w:marTop w:val="0"/>
      <w:marBottom w:val="0"/>
      <w:divBdr>
        <w:top w:val="none" w:sz="0" w:space="0" w:color="auto"/>
        <w:left w:val="none" w:sz="0" w:space="0" w:color="auto"/>
        <w:bottom w:val="none" w:sz="0" w:space="0" w:color="auto"/>
        <w:right w:val="none" w:sz="0" w:space="0" w:color="auto"/>
      </w:divBdr>
    </w:div>
    <w:div w:id="1532526188">
      <w:bodyDiv w:val="1"/>
      <w:marLeft w:val="0"/>
      <w:marRight w:val="0"/>
      <w:marTop w:val="0"/>
      <w:marBottom w:val="0"/>
      <w:divBdr>
        <w:top w:val="none" w:sz="0" w:space="0" w:color="auto"/>
        <w:left w:val="none" w:sz="0" w:space="0" w:color="auto"/>
        <w:bottom w:val="none" w:sz="0" w:space="0" w:color="auto"/>
        <w:right w:val="none" w:sz="0" w:space="0" w:color="auto"/>
      </w:divBdr>
    </w:div>
    <w:div w:id="1543594509">
      <w:bodyDiv w:val="1"/>
      <w:marLeft w:val="0"/>
      <w:marRight w:val="0"/>
      <w:marTop w:val="0"/>
      <w:marBottom w:val="0"/>
      <w:divBdr>
        <w:top w:val="none" w:sz="0" w:space="0" w:color="auto"/>
        <w:left w:val="none" w:sz="0" w:space="0" w:color="auto"/>
        <w:bottom w:val="none" w:sz="0" w:space="0" w:color="auto"/>
        <w:right w:val="none" w:sz="0" w:space="0" w:color="auto"/>
      </w:divBdr>
    </w:div>
    <w:div w:id="1590624353">
      <w:bodyDiv w:val="1"/>
      <w:marLeft w:val="0"/>
      <w:marRight w:val="0"/>
      <w:marTop w:val="0"/>
      <w:marBottom w:val="0"/>
      <w:divBdr>
        <w:top w:val="none" w:sz="0" w:space="0" w:color="auto"/>
        <w:left w:val="none" w:sz="0" w:space="0" w:color="auto"/>
        <w:bottom w:val="none" w:sz="0" w:space="0" w:color="auto"/>
        <w:right w:val="none" w:sz="0" w:space="0" w:color="auto"/>
      </w:divBdr>
    </w:div>
    <w:div w:id="1596087102">
      <w:bodyDiv w:val="1"/>
      <w:marLeft w:val="0"/>
      <w:marRight w:val="0"/>
      <w:marTop w:val="0"/>
      <w:marBottom w:val="0"/>
      <w:divBdr>
        <w:top w:val="none" w:sz="0" w:space="0" w:color="auto"/>
        <w:left w:val="none" w:sz="0" w:space="0" w:color="auto"/>
        <w:bottom w:val="none" w:sz="0" w:space="0" w:color="auto"/>
        <w:right w:val="none" w:sz="0" w:space="0" w:color="auto"/>
      </w:divBdr>
    </w:div>
    <w:div w:id="1606306867">
      <w:bodyDiv w:val="1"/>
      <w:marLeft w:val="0"/>
      <w:marRight w:val="0"/>
      <w:marTop w:val="0"/>
      <w:marBottom w:val="0"/>
      <w:divBdr>
        <w:top w:val="none" w:sz="0" w:space="0" w:color="auto"/>
        <w:left w:val="none" w:sz="0" w:space="0" w:color="auto"/>
        <w:bottom w:val="none" w:sz="0" w:space="0" w:color="auto"/>
        <w:right w:val="none" w:sz="0" w:space="0" w:color="auto"/>
      </w:divBdr>
    </w:div>
    <w:div w:id="1630433775">
      <w:bodyDiv w:val="1"/>
      <w:marLeft w:val="0"/>
      <w:marRight w:val="0"/>
      <w:marTop w:val="0"/>
      <w:marBottom w:val="0"/>
      <w:divBdr>
        <w:top w:val="none" w:sz="0" w:space="0" w:color="auto"/>
        <w:left w:val="none" w:sz="0" w:space="0" w:color="auto"/>
        <w:bottom w:val="none" w:sz="0" w:space="0" w:color="auto"/>
        <w:right w:val="none" w:sz="0" w:space="0" w:color="auto"/>
      </w:divBdr>
    </w:div>
    <w:div w:id="1656181121">
      <w:bodyDiv w:val="1"/>
      <w:marLeft w:val="0"/>
      <w:marRight w:val="0"/>
      <w:marTop w:val="0"/>
      <w:marBottom w:val="0"/>
      <w:divBdr>
        <w:top w:val="none" w:sz="0" w:space="0" w:color="auto"/>
        <w:left w:val="none" w:sz="0" w:space="0" w:color="auto"/>
        <w:bottom w:val="none" w:sz="0" w:space="0" w:color="auto"/>
        <w:right w:val="none" w:sz="0" w:space="0" w:color="auto"/>
      </w:divBdr>
    </w:div>
    <w:div w:id="1660690970">
      <w:bodyDiv w:val="1"/>
      <w:marLeft w:val="0"/>
      <w:marRight w:val="0"/>
      <w:marTop w:val="0"/>
      <w:marBottom w:val="0"/>
      <w:divBdr>
        <w:top w:val="none" w:sz="0" w:space="0" w:color="auto"/>
        <w:left w:val="none" w:sz="0" w:space="0" w:color="auto"/>
        <w:bottom w:val="none" w:sz="0" w:space="0" w:color="auto"/>
        <w:right w:val="none" w:sz="0" w:space="0" w:color="auto"/>
      </w:divBdr>
    </w:div>
    <w:div w:id="1776318639">
      <w:bodyDiv w:val="1"/>
      <w:marLeft w:val="0"/>
      <w:marRight w:val="0"/>
      <w:marTop w:val="0"/>
      <w:marBottom w:val="0"/>
      <w:divBdr>
        <w:top w:val="none" w:sz="0" w:space="0" w:color="auto"/>
        <w:left w:val="none" w:sz="0" w:space="0" w:color="auto"/>
        <w:bottom w:val="none" w:sz="0" w:space="0" w:color="auto"/>
        <w:right w:val="none" w:sz="0" w:space="0" w:color="auto"/>
      </w:divBdr>
    </w:div>
    <w:div w:id="1788818186">
      <w:bodyDiv w:val="1"/>
      <w:marLeft w:val="0"/>
      <w:marRight w:val="0"/>
      <w:marTop w:val="0"/>
      <w:marBottom w:val="0"/>
      <w:divBdr>
        <w:top w:val="none" w:sz="0" w:space="0" w:color="auto"/>
        <w:left w:val="none" w:sz="0" w:space="0" w:color="auto"/>
        <w:bottom w:val="none" w:sz="0" w:space="0" w:color="auto"/>
        <w:right w:val="none" w:sz="0" w:space="0" w:color="auto"/>
      </w:divBdr>
    </w:div>
    <w:div w:id="1810586900">
      <w:bodyDiv w:val="1"/>
      <w:marLeft w:val="0"/>
      <w:marRight w:val="0"/>
      <w:marTop w:val="0"/>
      <w:marBottom w:val="0"/>
      <w:divBdr>
        <w:top w:val="none" w:sz="0" w:space="0" w:color="auto"/>
        <w:left w:val="none" w:sz="0" w:space="0" w:color="auto"/>
        <w:bottom w:val="none" w:sz="0" w:space="0" w:color="auto"/>
        <w:right w:val="none" w:sz="0" w:space="0" w:color="auto"/>
      </w:divBdr>
    </w:div>
    <w:div w:id="1812365276">
      <w:bodyDiv w:val="1"/>
      <w:marLeft w:val="0"/>
      <w:marRight w:val="0"/>
      <w:marTop w:val="0"/>
      <w:marBottom w:val="0"/>
      <w:divBdr>
        <w:top w:val="none" w:sz="0" w:space="0" w:color="auto"/>
        <w:left w:val="none" w:sz="0" w:space="0" w:color="auto"/>
        <w:bottom w:val="none" w:sz="0" w:space="0" w:color="auto"/>
        <w:right w:val="none" w:sz="0" w:space="0" w:color="auto"/>
      </w:divBdr>
    </w:div>
    <w:div w:id="1821579227">
      <w:bodyDiv w:val="1"/>
      <w:marLeft w:val="0"/>
      <w:marRight w:val="0"/>
      <w:marTop w:val="0"/>
      <w:marBottom w:val="0"/>
      <w:divBdr>
        <w:top w:val="none" w:sz="0" w:space="0" w:color="auto"/>
        <w:left w:val="none" w:sz="0" w:space="0" w:color="auto"/>
        <w:bottom w:val="none" w:sz="0" w:space="0" w:color="auto"/>
        <w:right w:val="none" w:sz="0" w:space="0" w:color="auto"/>
      </w:divBdr>
    </w:div>
    <w:div w:id="1825900015">
      <w:bodyDiv w:val="1"/>
      <w:marLeft w:val="0"/>
      <w:marRight w:val="0"/>
      <w:marTop w:val="0"/>
      <w:marBottom w:val="0"/>
      <w:divBdr>
        <w:top w:val="none" w:sz="0" w:space="0" w:color="auto"/>
        <w:left w:val="none" w:sz="0" w:space="0" w:color="auto"/>
        <w:bottom w:val="none" w:sz="0" w:space="0" w:color="auto"/>
        <w:right w:val="none" w:sz="0" w:space="0" w:color="auto"/>
      </w:divBdr>
    </w:div>
    <w:div w:id="1839031648">
      <w:bodyDiv w:val="1"/>
      <w:marLeft w:val="0"/>
      <w:marRight w:val="0"/>
      <w:marTop w:val="0"/>
      <w:marBottom w:val="0"/>
      <w:divBdr>
        <w:top w:val="none" w:sz="0" w:space="0" w:color="auto"/>
        <w:left w:val="none" w:sz="0" w:space="0" w:color="auto"/>
        <w:bottom w:val="none" w:sz="0" w:space="0" w:color="auto"/>
        <w:right w:val="none" w:sz="0" w:space="0" w:color="auto"/>
      </w:divBdr>
    </w:div>
    <w:div w:id="1841044993">
      <w:bodyDiv w:val="1"/>
      <w:marLeft w:val="0"/>
      <w:marRight w:val="0"/>
      <w:marTop w:val="0"/>
      <w:marBottom w:val="0"/>
      <w:divBdr>
        <w:top w:val="none" w:sz="0" w:space="0" w:color="auto"/>
        <w:left w:val="none" w:sz="0" w:space="0" w:color="auto"/>
        <w:bottom w:val="none" w:sz="0" w:space="0" w:color="auto"/>
        <w:right w:val="none" w:sz="0" w:space="0" w:color="auto"/>
      </w:divBdr>
    </w:div>
    <w:div w:id="1861629219">
      <w:bodyDiv w:val="1"/>
      <w:marLeft w:val="0"/>
      <w:marRight w:val="0"/>
      <w:marTop w:val="0"/>
      <w:marBottom w:val="0"/>
      <w:divBdr>
        <w:top w:val="none" w:sz="0" w:space="0" w:color="auto"/>
        <w:left w:val="none" w:sz="0" w:space="0" w:color="auto"/>
        <w:bottom w:val="none" w:sz="0" w:space="0" w:color="auto"/>
        <w:right w:val="none" w:sz="0" w:space="0" w:color="auto"/>
      </w:divBdr>
    </w:div>
    <w:div w:id="1872720001">
      <w:bodyDiv w:val="1"/>
      <w:marLeft w:val="0"/>
      <w:marRight w:val="0"/>
      <w:marTop w:val="0"/>
      <w:marBottom w:val="0"/>
      <w:divBdr>
        <w:top w:val="none" w:sz="0" w:space="0" w:color="auto"/>
        <w:left w:val="none" w:sz="0" w:space="0" w:color="auto"/>
        <w:bottom w:val="none" w:sz="0" w:space="0" w:color="auto"/>
        <w:right w:val="none" w:sz="0" w:space="0" w:color="auto"/>
      </w:divBdr>
    </w:div>
    <w:div w:id="1875843689">
      <w:bodyDiv w:val="1"/>
      <w:marLeft w:val="0"/>
      <w:marRight w:val="0"/>
      <w:marTop w:val="0"/>
      <w:marBottom w:val="0"/>
      <w:divBdr>
        <w:top w:val="none" w:sz="0" w:space="0" w:color="auto"/>
        <w:left w:val="none" w:sz="0" w:space="0" w:color="auto"/>
        <w:bottom w:val="none" w:sz="0" w:space="0" w:color="auto"/>
        <w:right w:val="none" w:sz="0" w:space="0" w:color="auto"/>
      </w:divBdr>
    </w:div>
    <w:div w:id="1876581452">
      <w:bodyDiv w:val="1"/>
      <w:marLeft w:val="0"/>
      <w:marRight w:val="0"/>
      <w:marTop w:val="0"/>
      <w:marBottom w:val="0"/>
      <w:divBdr>
        <w:top w:val="none" w:sz="0" w:space="0" w:color="auto"/>
        <w:left w:val="none" w:sz="0" w:space="0" w:color="auto"/>
        <w:bottom w:val="none" w:sz="0" w:space="0" w:color="auto"/>
        <w:right w:val="none" w:sz="0" w:space="0" w:color="auto"/>
      </w:divBdr>
    </w:div>
    <w:div w:id="1895506708">
      <w:bodyDiv w:val="1"/>
      <w:marLeft w:val="0"/>
      <w:marRight w:val="0"/>
      <w:marTop w:val="0"/>
      <w:marBottom w:val="0"/>
      <w:divBdr>
        <w:top w:val="none" w:sz="0" w:space="0" w:color="auto"/>
        <w:left w:val="none" w:sz="0" w:space="0" w:color="auto"/>
        <w:bottom w:val="none" w:sz="0" w:space="0" w:color="auto"/>
        <w:right w:val="none" w:sz="0" w:space="0" w:color="auto"/>
      </w:divBdr>
    </w:div>
    <w:div w:id="1897084583">
      <w:bodyDiv w:val="1"/>
      <w:marLeft w:val="0"/>
      <w:marRight w:val="0"/>
      <w:marTop w:val="0"/>
      <w:marBottom w:val="0"/>
      <w:divBdr>
        <w:top w:val="none" w:sz="0" w:space="0" w:color="auto"/>
        <w:left w:val="none" w:sz="0" w:space="0" w:color="auto"/>
        <w:bottom w:val="none" w:sz="0" w:space="0" w:color="auto"/>
        <w:right w:val="none" w:sz="0" w:space="0" w:color="auto"/>
      </w:divBdr>
    </w:div>
    <w:div w:id="1901015708">
      <w:bodyDiv w:val="1"/>
      <w:marLeft w:val="0"/>
      <w:marRight w:val="0"/>
      <w:marTop w:val="0"/>
      <w:marBottom w:val="0"/>
      <w:divBdr>
        <w:top w:val="none" w:sz="0" w:space="0" w:color="auto"/>
        <w:left w:val="none" w:sz="0" w:space="0" w:color="auto"/>
        <w:bottom w:val="none" w:sz="0" w:space="0" w:color="auto"/>
        <w:right w:val="none" w:sz="0" w:space="0" w:color="auto"/>
      </w:divBdr>
    </w:div>
    <w:div w:id="1902129747">
      <w:bodyDiv w:val="1"/>
      <w:marLeft w:val="0"/>
      <w:marRight w:val="0"/>
      <w:marTop w:val="0"/>
      <w:marBottom w:val="0"/>
      <w:divBdr>
        <w:top w:val="none" w:sz="0" w:space="0" w:color="auto"/>
        <w:left w:val="none" w:sz="0" w:space="0" w:color="auto"/>
        <w:bottom w:val="none" w:sz="0" w:space="0" w:color="auto"/>
        <w:right w:val="none" w:sz="0" w:space="0" w:color="auto"/>
      </w:divBdr>
    </w:div>
    <w:div w:id="1942763817">
      <w:bodyDiv w:val="1"/>
      <w:marLeft w:val="0"/>
      <w:marRight w:val="0"/>
      <w:marTop w:val="0"/>
      <w:marBottom w:val="0"/>
      <w:divBdr>
        <w:top w:val="none" w:sz="0" w:space="0" w:color="auto"/>
        <w:left w:val="none" w:sz="0" w:space="0" w:color="auto"/>
        <w:bottom w:val="none" w:sz="0" w:space="0" w:color="auto"/>
        <w:right w:val="none" w:sz="0" w:space="0" w:color="auto"/>
      </w:divBdr>
    </w:div>
    <w:div w:id="1966886888">
      <w:bodyDiv w:val="1"/>
      <w:marLeft w:val="0"/>
      <w:marRight w:val="0"/>
      <w:marTop w:val="0"/>
      <w:marBottom w:val="0"/>
      <w:divBdr>
        <w:top w:val="none" w:sz="0" w:space="0" w:color="auto"/>
        <w:left w:val="none" w:sz="0" w:space="0" w:color="auto"/>
        <w:bottom w:val="none" w:sz="0" w:space="0" w:color="auto"/>
        <w:right w:val="none" w:sz="0" w:space="0" w:color="auto"/>
      </w:divBdr>
    </w:div>
    <w:div w:id="1972203153">
      <w:bodyDiv w:val="1"/>
      <w:marLeft w:val="0"/>
      <w:marRight w:val="0"/>
      <w:marTop w:val="0"/>
      <w:marBottom w:val="0"/>
      <w:divBdr>
        <w:top w:val="none" w:sz="0" w:space="0" w:color="auto"/>
        <w:left w:val="none" w:sz="0" w:space="0" w:color="auto"/>
        <w:bottom w:val="none" w:sz="0" w:space="0" w:color="auto"/>
        <w:right w:val="none" w:sz="0" w:space="0" w:color="auto"/>
      </w:divBdr>
    </w:div>
    <w:div w:id="2002852407">
      <w:bodyDiv w:val="1"/>
      <w:marLeft w:val="0"/>
      <w:marRight w:val="0"/>
      <w:marTop w:val="0"/>
      <w:marBottom w:val="0"/>
      <w:divBdr>
        <w:top w:val="none" w:sz="0" w:space="0" w:color="auto"/>
        <w:left w:val="none" w:sz="0" w:space="0" w:color="auto"/>
        <w:bottom w:val="none" w:sz="0" w:space="0" w:color="auto"/>
        <w:right w:val="none" w:sz="0" w:space="0" w:color="auto"/>
      </w:divBdr>
    </w:div>
    <w:div w:id="2010130949">
      <w:bodyDiv w:val="1"/>
      <w:marLeft w:val="0"/>
      <w:marRight w:val="0"/>
      <w:marTop w:val="0"/>
      <w:marBottom w:val="0"/>
      <w:divBdr>
        <w:top w:val="none" w:sz="0" w:space="0" w:color="auto"/>
        <w:left w:val="none" w:sz="0" w:space="0" w:color="auto"/>
        <w:bottom w:val="none" w:sz="0" w:space="0" w:color="auto"/>
        <w:right w:val="none" w:sz="0" w:space="0" w:color="auto"/>
      </w:divBdr>
    </w:div>
    <w:div w:id="2068530871">
      <w:bodyDiv w:val="1"/>
      <w:marLeft w:val="0"/>
      <w:marRight w:val="0"/>
      <w:marTop w:val="0"/>
      <w:marBottom w:val="0"/>
      <w:divBdr>
        <w:top w:val="none" w:sz="0" w:space="0" w:color="auto"/>
        <w:left w:val="none" w:sz="0" w:space="0" w:color="auto"/>
        <w:bottom w:val="none" w:sz="0" w:space="0" w:color="auto"/>
        <w:right w:val="none" w:sz="0" w:space="0" w:color="auto"/>
      </w:divBdr>
    </w:div>
    <w:div w:id="2077433946">
      <w:bodyDiv w:val="1"/>
      <w:marLeft w:val="0"/>
      <w:marRight w:val="0"/>
      <w:marTop w:val="0"/>
      <w:marBottom w:val="0"/>
      <w:divBdr>
        <w:top w:val="none" w:sz="0" w:space="0" w:color="auto"/>
        <w:left w:val="none" w:sz="0" w:space="0" w:color="auto"/>
        <w:bottom w:val="none" w:sz="0" w:space="0" w:color="auto"/>
        <w:right w:val="none" w:sz="0" w:space="0" w:color="auto"/>
      </w:divBdr>
    </w:div>
    <w:div w:id="2104757405">
      <w:bodyDiv w:val="1"/>
      <w:marLeft w:val="0"/>
      <w:marRight w:val="0"/>
      <w:marTop w:val="0"/>
      <w:marBottom w:val="0"/>
      <w:divBdr>
        <w:top w:val="none" w:sz="0" w:space="0" w:color="auto"/>
        <w:left w:val="none" w:sz="0" w:space="0" w:color="auto"/>
        <w:bottom w:val="none" w:sz="0" w:space="0" w:color="auto"/>
        <w:right w:val="none" w:sz="0" w:space="0" w:color="auto"/>
      </w:divBdr>
    </w:div>
    <w:div w:id="213123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hyperlink" Target="http://www.msac.gov.au/internet/msac/publishing.nsf/Content/06A73A3B56D88650CA25801000123B8C/$File/1161-PSD-EGFRtestinginNSCLCforGefitinib-Accessible(FINAL).pdf" TargetMode="External"/><Relationship Id="rId21" Type="http://schemas.openxmlformats.org/officeDocument/2006/relationships/hyperlink" Target="https://www1.health.gov.au/internet/main/publishing.nsf/Content/npaac-pub-mps" TargetMode="External"/><Relationship Id="rId34" Type="http://schemas.openxmlformats.org/officeDocument/2006/relationships/image" Target="media/image6.png"/><Relationship Id="rId42" Type="http://schemas.openxmlformats.org/officeDocument/2006/relationships/hyperlink" Target="https://www.pbs.gov.au/info/industry/listing/elements/pbac-meetings/psd/2021-11/tepotinib-tablet-225-mg-as-hydrochloride-monohydrate"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png"/><Relationship Id="rId63" Type="http://schemas.openxmlformats.org/officeDocument/2006/relationships/hyperlink" Target="https://pubmed.ncbi.nlm.nih.gov/?term=%22economics%22%5BMeSH+Terms%5D+OR+%E2%80%9Ccosts+and+cost+analysis%E2%80%9D%5BMeSH+Terms%5D+OR+%E2%80%9Ccost+allocation%E2%80%9D%5BMeSH+Terms%5D+OR+%E2%80%9Ccost+benefit+analysis%E2%80%9D%5BMeSH+Terms%5D+OR+%E2%80%9Ccost+control%E2%80%9D%5BMeSH+Terms%5D+OR+%E2%80%9Ccost+savings%E2%80%9D%5BMeSH+Terms%5D+OR+%E2%80%9Ccost+of+illness%E2%80%9D%5BMeSH+Terms%5D+OR+%E2%80%9Chealth+care+costs%E2%80%9D%5BMeSH+Terms%5D+OR+%E2%80%9Cdrug+costs%E2%80%9D%5BMeSH+Terms%5D+OR+%E2%80%9Chealth+expenditures%E2%80%9D%5BMeSH+Terms%5D+OR+%E2%80%9Ceconomics%2C+medical%E2%80%9D%5BMeSH+Terms%5D+OR+%E2%80%9Ceconomics%2C+pharmaceutical%E2%80%9D%5B+MeSH+Terms%5D+OR+%E2%80%9Cfees+and+charges%E2%80%9D%5BMeSH+Terms%5D+OR+%E2%80%9Cbudgets%E2%80%9D%5BMeSH+Terms%5D+OR+%E2%80%9Ccost%E2%80%9D%5BAll+fields%5D+OR+%E2%80%9Chigh+cost%E2%80%9D%5BAll+Fields%5D+OR+%E2%80%9Clow+cost%E2%80%9D%5BAll+Fields%5D+OR+%E2%80%9Ccost+utility%E2%80%9D%5BAll+Fields%5D+OR+%E2%80%9Ceconomics%E2%80%9D%5BAll+Fields%5D+OR+%E2%80%9Cfinancial%E2%80%9D%5BAll+Fields%5D+OR+%E2%80%9Cfinance%E2%80%9D%5BAll+Fields%5D+OR+%E2%80%9Chealthcare+cost%E2%80%9D%5BAll+Fields%5D+OR+%E2%80%9Chealth+care+cost%E2%80%9D%5BAll+Fields%5D+OR+%E2%80%9Ccost+estimate%E2%80%9D%5BAll+Fields%5D+OR+%E2%80%9Cunit+cost%E2%80%9D%5BAll+Fields%5D+OR+%E2%80%9Ceconomics%2C+pharmaceutical%E2%80%9D%5BMeSH+Terms%5D+OR+%28%E2%80%9Ceconomics%E2%80%9D%5BAll+Fields%5D+AND+%E2%80%9Cpharmaceutical%E2%80%9D%5BAll+Fields%5D%29+OR+%E2%80%9Cpharmaceutical+economics%E2%80%9D%5BAll+Fields%5D+OR+%E2%80%9Cpharmacoeconomic%E2%80%9D%5BAll+Fields%5D+OR+%E2%80%9Ccommerce%E2%80%9D%5BMeSH+Terms%5D+OR+%E2%80%9Ccommerce%E2%80%9D%5B+All+Fields%5D+OR+%E2%80%9Cprice%E2%80%9D%5BAll+Fields%5D+OR+%28%28%E2%80%9Ccosts%E2%80%9D%5BAll+Fields%5D+OR+%E2%80%9Ccost%E2%80%9D%5BAll+Fields%5D%29+AND+%E2%80%9Canalysis%E2%80%9D%5BAll+Fields%5D%29+OR+%E2%80%9Ccosts+and+cost+analysis%E2%80%9D%5BAll+Fields%5D+OR+%E2%80%9Cpricing%E2%80%9D%5BAll+Fields%5D+OR+%E2%80%9Ccost-effectiveness%E2%80%9D%5BAll+Fields%5D+OR+%22cost+effectiveness%E2%80%9D%5BAll+Fields%25"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sac.gov.au/" TargetMode="External"/><Relationship Id="rId29" Type="http://schemas.openxmlformats.org/officeDocument/2006/relationships/hyperlink" Target="http://www.msac.gov.au/internet/msac/publishing.nsf/Content/DCCD6889E605A081CA25804E007F1DD9/$File/1454-Final%20PSD-updateJul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oogle.com/url?sa=t&amp;rct=j&amp;q=&amp;esrc=s&amp;source=web&amp;cd=&amp;cad=rja&amp;uact=8&amp;ved=2ahUKEwiyv5aAl7v5AhXbTGwGHescBSoQFnoECBcQAQ&amp;url=http%3A%2F%2Fwww.msac.gov.au%2Finternet%2Fmsac%2Fpublishing.nsf%2FContent%2FC705B66DB4AE7523CA2586D1001990E5%2F%24File%2F1669%2520Ratified%2520PICO.docx&amp;usg=AOvVaw3HLrccl9IhfuRXdzFE9JRa" TargetMode="External"/><Relationship Id="rId32" Type="http://schemas.openxmlformats.org/officeDocument/2006/relationships/hyperlink" Target="http://www.msac.gov.au/internet/msac/publishing.nsf/Content/DCCD6889E605A081CA25804E007F1DD9/$File/1454-Final%20PSD-updateJul2018.pdf" TargetMode="External"/><Relationship Id="rId37" Type="http://schemas.openxmlformats.org/officeDocument/2006/relationships/image" Target="media/image9.png"/><Relationship Id="rId40" Type="http://schemas.openxmlformats.org/officeDocument/2006/relationships/hyperlink" Target="http://www.msac.gov.au/internet/msac/publishing.nsf/Content/B4CF79359E44430ACA25801000123BFD/$File/1250.1-FinalPSD-ALKtestingforcrizotinib-Nov2014update-accessible.pdf" TargetMode="External"/><Relationship Id="rId45" Type="http://schemas.openxmlformats.org/officeDocument/2006/relationships/image" Target="media/image13.png"/><Relationship Id="rId53" Type="http://schemas.openxmlformats.org/officeDocument/2006/relationships/hyperlink" Target="https://www.who.int/clinical-trials-registry-platform" TargetMode="External"/><Relationship Id="rId58" Type="http://schemas.openxmlformats.org/officeDocument/2006/relationships/image" Target="media/image25.png"/><Relationship Id="rId66"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ag.gov.au/" TargetMode="External"/><Relationship Id="rId23" Type="http://schemas.openxmlformats.org/officeDocument/2006/relationships/hyperlink" Target="http://www.msac.gov.au/internet/msac/publishing.nsf/Content/AF23476B0FA941E5CA25881B0016152A/$File/1721%20Redacted%20Application%20Form.pdf" TargetMode="External"/><Relationship Id="rId28" Type="http://schemas.openxmlformats.org/officeDocument/2006/relationships/hyperlink" Target="http://www.msac.gov.au/internet/msac/publishing.nsf/Content/B4CF79359E44430ACA25801000123BFD/$File/1250.1-FinalPSD-ALKtestingforcrizotinib-Nov2014update-accessible.pdf"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hyperlink" Target="https://pubmed.ncbi.nlm.nih.gov/?term=%231+OR+%232+OR+%233+OR+%234+OR+%235&amp;sort=date&amp;ac=no"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image" Target="media/image12.jpeg"/><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sac.gov.au/" TargetMode="External"/><Relationship Id="rId22" Type="http://schemas.openxmlformats.org/officeDocument/2006/relationships/hyperlink" Target="https://www.google.com/url?sa=t&amp;rct=j&amp;q=&amp;esrc=s&amp;source=web&amp;cd=&amp;cad=rja&amp;uact=8&amp;ved=2ahUKEwj8zbOihej4AhXjR2wGHZjzBbcQFnoECAcQAQ&amp;url=https%3A%2F%2Fwww1.health.gov.au%2Finternet%2Fmain%2Fpublishing.nsf%2FContent%2Fhealth-npaac-dhaivd-2018&amp;usg=AOvVaw394UsDXKc_I-5iozdQl_x4" TargetMode="External"/><Relationship Id="rId27" Type="http://schemas.openxmlformats.org/officeDocument/2006/relationships/hyperlink" Target="http://www.msac.gov.au/internet/msac/publishing.nsf/Content/06A73A3B56D88650CA25801000123B8C/$File/1161-PSD-EGFRtestinginNSCLCforGefitinib-Accessible(FINAL).pdf" TargetMode="External"/><Relationship Id="rId30" Type="http://schemas.openxmlformats.org/officeDocument/2006/relationships/hyperlink" Target="https://www.pbs.gov.au/info/industry/listing/elements/pbac-meetings/psd/2021-11/tepotinib-tablet-225-mg-as-hydrochloride-monohydrate" TargetMode="External"/><Relationship Id="rId35" Type="http://schemas.openxmlformats.org/officeDocument/2006/relationships/image" Target="media/image7.png"/><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image" Target="media/image23.png"/><Relationship Id="rId64" Type="http://schemas.openxmlformats.org/officeDocument/2006/relationships/hyperlink" Target="https://pubmed.ncbi.nlm.nih.gov/?term=%236+AND+%2312+AND+%2313&amp;sort=date&amp;ac=no"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hta@health.gov.au" TargetMode="External"/><Relationship Id="rId25" Type="http://schemas.openxmlformats.org/officeDocument/2006/relationships/image" Target="media/image3.png"/><Relationship Id="rId33" Type="http://schemas.openxmlformats.org/officeDocument/2006/relationships/hyperlink" Target="https://www.google.com/url?sa=t&amp;rct=j&amp;q=&amp;esrc=s&amp;source=web&amp;cd=&amp;cad=rja&amp;uact=8&amp;ved=2ahUKEwiyv5aAl7v5AhXbTGwGHescBSoQFnoECBcQAQ&amp;url=http%3A%2F%2Fwww.msac.gov.au%2Finternet%2Fmsac%2Fpublishing.nsf%2FContent%2FC705B66DB4AE7523CA2586D1001990E5%2F%24File%2F1669%2520Ratified%2520PICO.docx&amp;usg=AOvVaw3HLrccl9IhfuRXdzFE9JRa" TargetMode="External"/><Relationship Id="rId38" Type="http://schemas.openxmlformats.org/officeDocument/2006/relationships/image" Target="media/image10.jpe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0.emf"/><Relationship Id="rId20" Type="http://schemas.openxmlformats.org/officeDocument/2006/relationships/hyperlink" Target="http://www.msac.gov.au/internet/msac/publishing.nsf/Content/DCCD6889E605A081CA25804E007F1DD9/$File/1454-Final%20PSD-updateJul2018.pdf" TargetMode="External"/><Relationship Id="rId41" Type="http://schemas.openxmlformats.org/officeDocument/2006/relationships/hyperlink" Target="http://www.msac.gov.au/internet/msac/publishing.nsf/Content/DCCD6889E605A081CA25804E007F1DD9/$File/1454-Final%20PSD-updateJul2018.pdf" TargetMode="External"/><Relationship Id="rId54" Type="http://schemas.openxmlformats.org/officeDocument/2006/relationships/image" Target="media/image21.png"/><Relationship Id="rId62" Type="http://schemas.openxmlformats.org/officeDocument/2006/relationships/hyperlink" Target="https://pubmed.ncbi.nlm.nih.gov/?term=%237+OR+%238+OR+%239+OR+%2310+OR+%2311&amp;sort=date&amp;ac=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3BBFB-67B1-4828-8173-211D8B5C9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101277</Words>
  <Characters>577282</Characters>
  <Application>Microsoft Office Word</Application>
  <DocSecurity>0</DocSecurity>
  <Lines>4810</Lines>
  <Paragraphs>1354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2023-10-12T01:00:00Z</dcterms:created>
  <dcterms:modified xsi:type="dcterms:W3CDTF">2023-10-18T04:48:00Z</dcterms:modified>
</cp:coreProperties>
</file>