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3641A3" w14:textId="77777777" w:rsidR="00916592" w:rsidRPr="00707064" w:rsidRDefault="00916592" w:rsidP="00B05487">
      <w:pPr>
        <w:spacing w:after="240"/>
        <w:jc w:val="center"/>
        <w:rPr>
          <w:b/>
          <w:i/>
          <w:szCs w:val="24"/>
          <w:highlight w:val="yellow"/>
        </w:rPr>
      </w:pPr>
      <w:r>
        <w:rPr>
          <w:rFonts w:ascii="Arial" w:hAnsi="Arial" w:cs="Arial"/>
          <w:b/>
          <w:noProof/>
          <w:color w:val="000080"/>
          <w:sz w:val="28"/>
          <w:szCs w:val="28"/>
        </w:rPr>
        <w:drawing>
          <wp:inline distT="0" distB="0" distL="0" distR="0" wp14:anchorId="2B999DA7" wp14:editId="3F41D5E0">
            <wp:extent cx="2627630" cy="1078865"/>
            <wp:effectExtent l="0" t="0" r="1270" b="6985"/>
            <wp:docPr id="2" name="Picture 2" descr="Medical Services Advisory Committ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7630" cy="1078865"/>
                    </a:xfrm>
                    <a:prstGeom prst="rect">
                      <a:avLst/>
                    </a:prstGeom>
                    <a:noFill/>
                  </pic:spPr>
                </pic:pic>
              </a:graphicData>
            </a:graphic>
          </wp:inline>
        </w:drawing>
      </w:r>
    </w:p>
    <w:p w14:paraId="5CD743DD" w14:textId="66FAC76A" w:rsidR="0050188B" w:rsidRPr="00916592" w:rsidRDefault="00916592" w:rsidP="00B05487">
      <w:pPr>
        <w:pStyle w:val="Title"/>
        <w:tabs>
          <w:tab w:val="left" w:pos="1926"/>
          <w:tab w:val="center" w:pos="4513"/>
        </w:tabs>
        <w:jc w:val="left"/>
      </w:pPr>
      <w:r>
        <w:tab/>
      </w:r>
      <w:r>
        <w:tab/>
      </w:r>
      <w:r w:rsidRPr="00F715D1">
        <w:t>Public Summary Document</w:t>
      </w:r>
    </w:p>
    <w:p w14:paraId="4953648E" w14:textId="29E5410B" w:rsidR="00065623" w:rsidRPr="00916592" w:rsidRDefault="00916592" w:rsidP="00B05487">
      <w:pPr>
        <w:pStyle w:val="Subtitle"/>
      </w:pPr>
      <w:r>
        <w:t xml:space="preserve">Application </w:t>
      </w:r>
      <w:r w:rsidR="006B49FD" w:rsidRPr="00916592">
        <w:t xml:space="preserve">1628 – </w:t>
      </w:r>
      <w:r w:rsidR="00294511" w:rsidRPr="00916592">
        <w:t xml:space="preserve">Alpha-1 </w:t>
      </w:r>
      <w:r w:rsidR="006B49FD" w:rsidRPr="00916592">
        <w:t>Antitrypsin Genotyping</w:t>
      </w:r>
    </w:p>
    <w:p w14:paraId="6158829E" w14:textId="3B543E42" w:rsidR="00352CB8" w:rsidRPr="00916592" w:rsidRDefault="00352CB8" w:rsidP="00B05487">
      <w:pPr>
        <w:tabs>
          <w:tab w:val="left" w:pos="3686"/>
        </w:tabs>
        <w:spacing w:after="240"/>
        <w:rPr>
          <w:rFonts w:ascii="Arial" w:hAnsi="Arial" w:cs="Arial"/>
          <w:b/>
          <w:szCs w:val="24"/>
        </w:rPr>
      </w:pPr>
      <w:r w:rsidRPr="00916592">
        <w:rPr>
          <w:rFonts w:ascii="Arial" w:hAnsi="Arial" w:cs="Arial"/>
          <w:b/>
          <w:szCs w:val="24"/>
        </w:rPr>
        <w:t>Applicant: The Royal College of Pathologists of Australasia (RCPA)</w:t>
      </w:r>
    </w:p>
    <w:p w14:paraId="453299BA" w14:textId="792D3591" w:rsidR="00065623" w:rsidRPr="00916592" w:rsidRDefault="00676C49" w:rsidP="00B05487">
      <w:pPr>
        <w:tabs>
          <w:tab w:val="left" w:pos="3686"/>
        </w:tabs>
        <w:spacing w:after="240"/>
        <w:rPr>
          <w:rFonts w:ascii="Arial" w:hAnsi="Arial" w:cs="Arial"/>
          <w:b/>
          <w:szCs w:val="24"/>
        </w:rPr>
      </w:pPr>
      <w:r w:rsidRPr="00916592">
        <w:rPr>
          <w:rFonts w:ascii="Arial" w:hAnsi="Arial" w:cs="Arial"/>
          <w:b/>
          <w:szCs w:val="24"/>
        </w:rPr>
        <w:t xml:space="preserve">Date of </w:t>
      </w:r>
      <w:r w:rsidR="00916592">
        <w:rPr>
          <w:rFonts w:ascii="Arial" w:hAnsi="Arial" w:cs="Arial"/>
          <w:b/>
          <w:szCs w:val="24"/>
        </w:rPr>
        <w:t>MSAC</w:t>
      </w:r>
      <w:r w:rsidRPr="00916592">
        <w:rPr>
          <w:rFonts w:ascii="Arial" w:hAnsi="Arial" w:cs="Arial"/>
          <w:b/>
          <w:szCs w:val="24"/>
        </w:rPr>
        <w:t xml:space="preserve"> </w:t>
      </w:r>
      <w:r w:rsidR="00065623" w:rsidRPr="00916592">
        <w:rPr>
          <w:rFonts w:ascii="Arial" w:hAnsi="Arial" w:cs="Arial"/>
          <w:b/>
          <w:szCs w:val="24"/>
        </w:rPr>
        <w:t>consideration:</w:t>
      </w:r>
      <w:r w:rsidR="00471BF1" w:rsidRPr="00916592">
        <w:rPr>
          <w:rFonts w:ascii="Arial" w:hAnsi="Arial" w:cs="Arial"/>
          <w:b/>
          <w:szCs w:val="24"/>
        </w:rPr>
        <w:t xml:space="preserve"> </w:t>
      </w:r>
      <w:r w:rsidR="009C172D">
        <w:rPr>
          <w:rFonts w:ascii="Arial" w:hAnsi="Arial" w:cs="Arial"/>
          <w:b/>
          <w:szCs w:val="24"/>
        </w:rPr>
        <w:t>MSAC 82</w:t>
      </w:r>
      <w:r w:rsidR="009C172D" w:rsidRPr="00425371">
        <w:rPr>
          <w:rFonts w:ascii="Arial" w:hAnsi="Arial" w:cs="Arial"/>
          <w:b/>
          <w:szCs w:val="24"/>
          <w:vertAlign w:val="superscript"/>
        </w:rPr>
        <w:t>nd</w:t>
      </w:r>
      <w:r w:rsidR="009C172D">
        <w:rPr>
          <w:rFonts w:ascii="Arial" w:hAnsi="Arial" w:cs="Arial"/>
          <w:b/>
          <w:szCs w:val="24"/>
        </w:rPr>
        <w:t xml:space="preserve"> Meeting, </w:t>
      </w:r>
      <w:r w:rsidR="00916592">
        <w:rPr>
          <w:rFonts w:ascii="Arial" w:hAnsi="Arial" w:cs="Arial"/>
          <w:b/>
          <w:szCs w:val="24"/>
        </w:rPr>
        <w:t>29-30 July</w:t>
      </w:r>
      <w:r w:rsidR="00471BF1" w:rsidRPr="00916592">
        <w:rPr>
          <w:rFonts w:ascii="Arial" w:hAnsi="Arial" w:cs="Arial"/>
          <w:b/>
          <w:szCs w:val="24"/>
        </w:rPr>
        <w:t xml:space="preserve"> 2021</w:t>
      </w:r>
    </w:p>
    <w:p w14:paraId="43EC70E2" w14:textId="6222B4A0" w:rsidR="00BE61F0" w:rsidRPr="00916592" w:rsidRDefault="00916592" w:rsidP="00B05487">
      <w:pPr>
        <w:spacing w:after="360"/>
        <w:rPr>
          <w:color w:val="0000FF"/>
          <w:szCs w:val="24"/>
          <w:u w:val="single"/>
        </w:rPr>
      </w:pPr>
      <w:r w:rsidRPr="00F715D1">
        <w:rPr>
          <w:szCs w:val="24"/>
        </w:rPr>
        <w:t>Context for decision: MSAC makes its advice in accordance wit</w:t>
      </w:r>
      <w:r>
        <w:rPr>
          <w:szCs w:val="24"/>
        </w:rPr>
        <w:t>h its Terms of Reference,</w:t>
      </w:r>
      <w:r w:rsidRPr="00F715D1">
        <w:rPr>
          <w:szCs w:val="24"/>
        </w:rPr>
        <w:t xml:space="preserve"> </w:t>
      </w:r>
      <w:hyperlink r:id="rId9" w:tooltip="Link to Medical Services Advisory Committee website" w:history="1">
        <w:r w:rsidRPr="00F715D1">
          <w:rPr>
            <w:rStyle w:val="Hyperlink"/>
            <w:szCs w:val="24"/>
          </w:rPr>
          <w:t>visit the MSAC website</w:t>
        </w:r>
      </w:hyperlink>
    </w:p>
    <w:p w14:paraId="20362F39" w14:textId="77777777" w:rsidR="00294511" w:rsidRPr="00916592" w:rsidRDefault="00294511" w:rsidP="00B05487">
      <w:pPr>
        <w:pStyle w:val="Heading1"/>
        <w:numPr>
          <w:ilvl w:val="0"/>
          <w:numId w:val="13"/>
        </w:numPr>
        <w:spacing w:before="240" w:after="240"/>
        <w:ind w:left="0" w:firstLine="0"/>
        <w:rPr>
          <w:rFonts w:ascii="Arial" w:eastAsia="Times New Roman" w:hAnsi="Arial" w:cs="Times New Roman"/>
        </w:rPr>
      </w:pPr>
      <w:r w:rsidRPr="00916592">
        <w:rPr>
          <w:rFonts w:ascii="Arial" w:eastAsia="Times New Roman" w:hAnsi="Arial" w:cs="Times New Roman"/>
        </w:rPr>
        <w:t>Purpose of application</w:t>
      </w:r>
    </w:p>
    <w:p w14:paraId="1DB33901" w14:textId="380D137F" w:rsidR="00916592" w:rsidRDefault="00294511" w:rsidP="00B05487">
      <w:pPr>
        <w:tabs>
          <w:tab w:val="left" w:pos="2265"/>
          <w:tab w:val="left" w:pos="3420"/>
          <w:tab w:val="left" w:pos="4320"/>
        </w:tabs>
      </w:pPr>
      <w:r>
        <w:t xml:space="preserve">An application requesting </w:t>
      </w:r>
      <w:r w:rsidRPr="00CC074D">
        <w:t>the creation of MBS items for genetic testing for the diagnosis of patients with alpha-1 antitrypsin deficiency (AATD) was received</w:t>
      </w:r>
      <w:r>
        <w:t xml:space="preserve"> from the Royal </w:t>
      </w:r>
      <w:r w:rsidRPr="00CA49AD">
        <w:t>College of Pathologists of Australasia (RCPA)</w:t>
      </w:r>
      <w:r>
        <w:t xml:space="preserve"> by the Department of Health.</w:t>
      </w:r>
    </w:p>
    <w:p w14:paraId="26DE8E27" w14:textId="77777777" w:rsidR="00916592" w:rsidRPr="00916592" w:rsidRDefault="00916592" w:rsidP="00B05487">
      <w:pPr>
        <w:pStyle w:val="Heading1"/>
        <w:numPr>
          <w:ilvl w:val="0"/>
          <w:numId w:val="13"/>
        </w:numPr>
        <w:spacing w:before="240" w:after="240"/>
        <w:ind w:left="0" w:firstLine="0"/>
        <w:rPr>
          <w:rFonts w:ascii="Arial" w:eastAsia="Times New Roman" w:hAnsi="Arial" w:cs="Times New Roman"/>
        </w:rPr>
      </w:pPr>
      <w:r w:rsidRPr="00916592">
        <w:rPr>
          <w:rFonts w:ascii="Arial" w:eastAsia="Times New Roman" w:hAnsi="Arial" w:cs="Times New Roman"/>
        </w:rPr>
        <w:t>MSAC’s advice to the Minister</w:t>
      </w:r>
    </w:p>
    <w:p w14:paraId="0BAE8333" w14:textId="55C04F7D" w:rsidR="009B136F" w:rsidRDefault="00D733C1" w:rsidP="009B136F">
      <w:pPr>
        <w:spacing w:after="240"/>
      </w:pPr>
      <w:r w:rsidRPr="004A6AA9">
        <w:t>After considering the strength of the available evidence in relation to comparative safety, clinical effectiveness and cost-effectiveness, MSAC did not support creation of new Medicare Benefits Schedule (MBS) items for genetic testing for the diagnosis of alpha-1 antitrypsin deficiency (AATD). This was based on uncertain clinical utility benefit and uncertain economic modelling, including uncertainty over the proposed fees. MSAC also advised that the isoelectric focusing (IEF) test currently used for AATD diagnosis is a functional test and its continued availability needs to be supported.</w:t>
      </w:r>
    </w:p>
    <w:tbl>
      <w:tblPr>
        <w:tblStyle w:val="TableGrid"/>
        <w:tblW w:w="0" w:type="auto"/>
        <w:tblLook w:val="04A0" w:firstRow="1" w:lastRow="0" w:firstColumn="1" w:lastColumn="0" w:noHBand="0" w:noVBand="1"/>
        <w:tblDescription w:val="Consumer summary of MSAC consideration"/>
      </w:tblPr>
      <w:tblGrid>
        <w:gridCol w:w="9202"/>
      </w:tblGrid>
      <w:tr w:rsidR="009B136F" w14:paraId="1F7F217C" w14:textId="77777777" w:rsidTr="009B136F">
        <w:trPr>
          <w:tblHeader/>
        </w:trPr>
        <w:tc>
          <w:tcPr>
            <w:tcW w:w="9202" w:type="dxa"/>
          </w:tcPr>
          <w:p w14:paraId="1FC9E5BC" w14:textId="27CB6072" w:rsidR="009B136F" w:rsidRPr="009B136F" w:rsidRDefault="009B136F" w:rsidP="009B136F">
            <w:pPr>
              <w:spacing w:before="120" w:after="120"/>
              <w:rPr>
                <w:rFonts w:ascii="Times New Roman" w:hAnsi="Times New Roman"/>
                <w:b/>
                <w:bCs/>
                <w:sz w:val="24"/>
                <w:szCs w:val="24"/>
              </w:rPr>
            </w:pPr>
            <w:r w:rsidRPr="009B136F">
              <w:rPr>
                <w:rFonts w:ascii="Times New Roman" w:hAnsi="Times New Roman"/>
                <w:b/>
                <w:bCs/>
                <w:sz w:val="24"/>
                <w:szCs w:val="24"/>
              </w:rPr>
              <w:t>Consumer summary</w:t>
            </w:r>
          </w:p>
        </w:tc>
      </w:tr>
      <w:tr w:rsidR="009B136F" w14:paraId="510B23F4" w14:textId="77777777" w:rsidTr="009B136F">
        <w:tc>
          <w:tcPr>
            <w:tcW w:w="9202" w:type="dxa"/>
          </w:tcPr>
          <w:p w14:paraId="6EC20F95" w14:textId="77777777" w:rsidR="009B136F" w:rsidRPr="009B136F" w:rsidRDefault="009B136F" w:rsidP="009B136F">
            <w:pPr>
              <w:spacing w:before="120" w:after="240"/>
              <w:rPr>
                <w:rFonts w:ascii="Times New Roman" w:hAnsi="Times New Roman"/>
                <w:sz w:val="24"/>
                <w:szCs w:val="24"/>
              </w:rPr>
            </w:pPr>
            <w:r w:rsidRPr="009B136F">
              <w:rPr>
                <w:rFonts w:ascii="Times New Roman" w:hAnsi="Times New Roman"/>
                <w:sz w:val="24"/>
                <w:szCs w:val="24"/>
              </w:rPr>
              <w:t>This application was from the Royal College of Pathologists of Australasia for Medicare Benefits Scheme (MBS) funding of genetic testing for diagnosing alpha-1 antitrypsin deficiency (AATD).</w:t>
            </w:r>
          </w:p>
          <w:p w14:paraId="25DCC469" w14:textId="77777777" w:rsidR="009B136F" w:rsidRPr="009B136F" w:rsidRDefault="009B136F" w:rsidP="009B136F">
            <w:pPr>
              <w:spacing w:after="240"/>
              <w:rPr>
                <w:rFonts w:ascii="Times New Roman" w:hAnsi="Times New Roman"/>
                <w:sz w:val="24"/>
                <w:szCs w:val="24"/>
              </w:rPr>
            </w:pPr>
            <w:r w:rsidRPr="009B136F">
              <w:rPr>
                <w:rFonts w:ascii="Times New Roman" w:hAnsi="Times New Roman"/>
                <w:sz w:val="24"/>
                <w:szCs w:val="24"/>
              </w:rPr>
              <w:t>Alpha-1 antitrypsin (AAT) is a protein that is produced in the liver and helps to protect the lungs and liver from disease. People who do not make enough AAT can develop lung and/or liver disease earlier in life than most people.</w:t>
            </w:r>
          </w:p>
          <w:p w14:paraId="2167BE99" w14:textId="77777777" w:rsidR="009B136F" w:rsidRPr="009B136F" w:rsidRDefault="009B136F" w:rsidP="009B136F">
            <w:pPr>
              <w:spacing w:after="240"/>
              <w:rPr>
                <w:rFonts w:ascii="Times New Roman" w:hAnsi="Times New Roman"/>
                <w:sz w:val="24"/>
                <w:szCs w:val="24"/>
              </w:rPr>
            </w:pPr>
            <w:r w:rsidRPr="009B136F">
              <w:rPr>
                <w:rFonts w:ascii="Times New Roman" w:hAnsi="Times New Roman"/>
                <w:sz w:val="24"/>
                <w:szCs w:val="24"/>
              </w:rPr>
              <w:t xml:space="preserve">The two most common genetic variants in the gene for AAT, called the S and Z variants, together make up almost all of the variants found in Australians. There are many other much rarer genetic variants of the AAT genes, and some variants are worse than others. Some </w:t>
            </w:r>
            <w:r w:rsidRPr="009B136F">
              <w:rPr>
                <w:rFonts w:ascii="Times New Roman" w:hAnsi="Times New Roman"/>
                <w:sz w:val="24"/>
                <w:szCs w:val="24"/>
              </w:rPr>
              <w:lastRenderedPageBreak/>
              <w:t xml:space="preserve">people have genetic variants but do not have any symptoms of disease. This makes it harder to tell, based on genetic testing for AATD, who will develop disease and who will not. </w:t>
            </w:r>
          </w:p>
          <w:p w14:paraId="2407ADE1" w14:textId="77777777" w:rsidR="009B136F" w:rsidRPr="009B136F" w:rsidRDefault="009B136F" w:rsidP="009B136F">
            <w:pPr>
              <w:spacing w:after="240"/>
              <w:rPr>
                <w:rFonts w:ascii="Times New Roman" w:hAnsi="Times New Roman"/>
                <w:sz w:val="24"/>
                <w:szCs w:val="24"/>
              </w:rPr>
            </w:pPr>
            <w:r w:rsidRPr="009B136F">
              <w:rPr>
                <w:rFonts w:ascii="Times New Roman" w:hAnsi="Times New Roman"/>
                <w:sz w:val="24"/>
                <w:szCs w:val="24"/>
              </w:rPr>
              <w:t xml:space="preserve">AATD is currently diagnosed using isoelectric focusing, which is a test that detects AAT protein. Isoelectric focusing (IEF) is a good test method for diagnosing AATD as it can be certain a person has ‘normal’ AAT (without any genetic variants). However not many laboratories conduct this test anymore because it is time-consuming and difficult to do and requires experienced technicians and scientists. </w:t>
            </w:r>
          </w:p>
          <w:p w14:paraId="55A6505A" w14:textId="77777777" w:rsidR="009B136F" w:rsidRPr="009B136F" w:rsidRDefault="009B136F" w:rsidP="009B136F">
            <w:pPr>
              <w:spacing w:after="240"/>
              <w:rPr>
                <w:rFonts w:ascii="Times New Roman" w:hAnsi="Times New Roman"/>
                <w:sz w:val="24"/>
                <w:szCs w:val="24"/>
              </w:rPr>
            </w:pPr>
            <w:r w:rsidRPr="009B136F">
              <w:rPr>
                <w:rFonts w:ascii="Times New Roman" w:hAnsi="Times New Roman"/>
                <w:sz w:val="24"/>
                <w:szCs w:val="24"/>
              </w:rPr>
              <w:t>The RCPA applied for patients to be tested first with a test that looks for a set (‘panel’) of specific genetic variants in the AAT gene. If no variant is found the patient could then have their AAT gene sequenced, which is a test that can find any genetic variants that could change the AAT protein. MSAC did not consider genetic testing to be a good replacement for IEF, because panel testing only detects the specific variants included in the test  and not all variants, so it cannot tell for certain when a person has ‘normal’ AAT protein.</w:t>
            </w:r>
          </w:p>
          <w:p w14:paraId="68656EB3" w14:textId="77777777" w:rsidR="009B136F" w:rsidRPr="009B136F" w:rsidRDefault="009B136F" w:rsidP="009B136F">
            <w:pPr>
              <w:spacing w:after="240"/>
              <w:rPr>
                <w:rFonts w:ascii="Times New Roman" w:hAnsi="Times New Roman"/>
                <w:sz w:val="24"/>
                <w:szCs w:val="24"/>
              </w:rPr>
            </w:pPr>
            <w:r w:rsidRPr="009B136F">
              <w:rPr>
                <w:rFonts w:ascii="Times New Roman" w:hAnsi="Times New Roman"/>
                <w:sz w:val="24"/>
                <w:szCs w:val="24"/>
              </w:rPr>
              <w:t>MSAC was concerned that there was no clear benefit of this testing for patients’ health, as patients with lung disease are already encouraged to stop smoking. MSAC also considered that because having a genetic variant does not always mean a person will develop AATD, the relevance of any genetic variants found is not clear. Many people would be found not to have a genetic variant by the panel test and so would go on to gene sequencing, so MSAC also considered that it was not clear that genetic testing is better value for money than IEF.</w:t>
            </w:r>
          </w:p>
          <w:p w14:paraId="1654B959" w14:textId="77777777" w:rsidR="009B136F" w:rsidRPr="009B136F" w:rsidRDefault="009B136F" w:rsidP="009B136F">
            <w:pPr>
              <w:spacing w:before="240" w:after="120"/>
              <w:rPr>
                <w:rFonts w:ascii="Times New Roman" w:hAnsi="Times New Roman"/>
                <w:b/>
                <w:bCs/>
                <w:sz w:val="24"/>
                <w:szCs w:val="24"/>
              </w:rPr>
            </w:pPr>
            <w:r w:rsidRPr="009B136F">
              <w:rPr>
                <w:rFonts w:ascii="Times New Roman" w:hAnsi="Times New Roman"/>
                <w:b/>
                <w:bCs/>
                <w:sz w:val="24"/>
                <w:szCs w:val="24"/>
              </w:rPr>
              <w:t>MSAC’s advice to the Commonwealth Minister for Health</w:t>
            </w:r>
          </w:p>
          <w:p w14:paraId="6B3450C2" w14:textId="4B574986" w:rsidR="009B136F" w:rsidRDefault="009B136F" w:rsidP="009B136F">
            <w:pPr>
              <w:spacing w:after="120"/>
            </w:pPr>
            <w:r w:rsidRPr="009B136F">
              <w:rPr>
                <w:rFonts w:ascii="Times New Roman" w:hAnsi="Times New Roman"/>
                <w:sz w:val="24"/>
                <w:szCs w:val="24"/>
              </w:rPr>
              <w:t>MSAC did not recommend funding for genetic testing for diagnosing alpha-1 antitrypsin deficiency. MSAC considered genetic testing to be less effective than the comparator, isoelectric focussing, because it cannot conclusively detect ‘normal’ alpha-1 antitrypsin. MSAC recommended reviewing the MBS listing for isoelectric focusing, to ensure it is appropriately supported so that isoelectric focussing remains available to diagnose alpha-1 antitrypsin deficiency.</w:t>
            </w:r>
          </w:p>
        </w:tc>
      </w:tr>
    </w:tbl>
    <w:p w14:paraId="61F6AF4A" w14:textId="77777777" w:rsidR="00916592" w:rsidRPr="00916592" w:rsidRDefault="00916592" w:rsidP="00B05487">
      <w:pPr>
        <w:pStyle w:val="Heading1"/>
        <w:numPr>
          <w:ilvl w:val="0"/>
          <w:numId w:val="13"/>
        </w:numPr>
        <w:spacing w:before="240" w:after="240"/>
        <w:ind w:left="0" w:firstLine="0"/>
        <w:rPr>
          <w:rFonts w:ascii="Arial" w:eastAsia="Times New Roman" w:hAnsi="Arial" w:cs="Times New Roman"/>
        </w:rPr>
      </w:pPr>
      <w:r w:rsidRPr="00916592">
        <w:rPr>
          <w:rFonts w:ascii="Arial" w:eastAsia="Times New Roman" w:hAnsi="Arial" w:cs="Times New Roman"/>
        </w:rPr>
        <w:lastRenderedPageBreak/>
        <w:t xml:space="preserve">Summary of consideration and rationale for MSAC’s advice </w:t>
      </w:r>
    </w:p>
    <w:p w14:paraId="5F6D5E75" w14:textId="05653718" w:rsidR="00D733C1" w:rsidRDefault="00D733C1" w:rsidP="00D733C1">
      <w:r>
        <w:t xml:space="preserve">MSAC noted that this application was for new MBS items for </w:t>
      </w:r>
      <w:r w:rsidR="00346169">
        <w:t xml:space="preserve">variant panel testing for </w:t>
      </w:r>
      <w:r>
        <w:t xml:space="preserve">at least </w:t>
      </w:r>
      <w:r w:rsidR="00954C6A">
        <w:t xml:space="preserve">the </w:t>
      </w:r>
      <w:r>
        <w:t xml:space="preserve">two </w:t>
      </w:r>
      <w:r w:rsidR="00954C6A">
        <w:t xml:space="preserve">most </w:t>
      </w:r>
      <w:r>
        <w:t xml:space="preserve">common </w:t>
      </w:r>
      <w:r>
        <w:rPr>
          <w:i/>
          <w:iCs/>
        </w:rPr>
        <w:t>SERPINA1</w:t>
      </w:r>
      <w:r>
        <w:t xml:space="preserve"> variants, in patients with documented AATD and with no acute inflammation, followed by sequencing the </w:t>
      </w:r>
      <w:r>
        <w:rPr>
          <w:i/>
          <w:iCs/>
        </w:rPr>
        <w:t>SERPINA1</w:t>
      </w:r>
      <w:r>
        <w:t xml:space="preserve"> protein-coding regions if the </w:t>
      </w:r>
      <w:r w:rsidR="00346169">
        <w:t xml:space="preserve">panel </w:t>
      </w:r>
      <w:r>
        <w:t xml:space="preserve">test is negative or inconclusive. The </w:t>
      </w:r>
      <w:r>
        <w:rPr>
          <w:i/>
          <w:iCs/>
        </w:rPr>
        <w:t>SERPINA1</w:t>
      </w:r>
      <w:r>
        <w:t xml:space="preserve"> gene encodes the alpha-1 antitrypsin (AAT) protein</w:t>
      </w:r>
      <w:r w:rsidR="00954C6A">
        <w:t>;</w:t>
      </w:r>
      <w:r>
        <w:t xml:space="preserve"> insufficient amounts of this protein </w:t>
      </w:r>
      <w:r w:rsidR="00346169">
        <w:t xml:space="preserve">can </w:t>
      </w:r>
      <w:r>
        <w:t>result in AATD.</w:t>
      </w:r>
    </w:p>
    <w:p w14:paraId="44844EAF" w14:textId="591243EF" w:rsidR="00D733C1" w:rsidRDefault="00D733C1" w:rsidP="009B136F">
      <w:pPr>
        <w:spacing w:before="240"/>
      </w:pPr>
      <w:r>
        <w:t xml:space="preserve">MSAC noted that </w:t>
      </w:r>
      <w:r>
        <w:rPr>
          <w:i/>
          <w:iCs/>
        </w:rPr>
        <w:t>SERPINA1</w:t>
      </w:r>
      <w:r>
        <w:t xml:space="preserve"> variants are common, detected in 1 in 9 Australians. </w:t>
      </w:r>
      <w:r w:rsidR="00143882">
        <w:t xml:space="preserve">MSAC noted the gnomAD genetic database showed </w:t>
      </w:r>
      <w:r w:rsidR="00954C6A">
        <w:t xml:space="preserve">most </w:t>
      </w:r>
      <w:r>
        <w:t xml:space="preserve">people with </w:t>
      </w:r>
      <w:r w:rsidR="00143882">
        <w:t xml:space="preserve">AAT </w:t>
      </w:r>
      <w:r w:rsidR="00954C6A">
        <w:t xml:space="preserve">variants </w:t>
      </w:r>
      <w:r>
        <w:t xml:space="preserve">are asymptomatic, at least in </w:t>
      </w:r>
      <w:r w:rsidR="002A3768">
        <w:t xml:space="preserve">the first </w:t>
      </w:r>
      <w:r w:rsidR="00FC32C0">
        <w:t>four</w:t>
      </w:r>
      <w:r>
        <w:t xml:space="preserve"> decades of life</w:t>
      </w:r>
      <w:r w:rsidR="00954C6A">
        <w:t>. Having an AATD</w:t>
      </w:r>
      <w:r>
        <w:t xml:space="preserve"> </w:t>
      </w:r>
      <w:r w:rsidR="00954C6A">
        <w:t xml:space="preserve">risk genotype </w:t>
      </w:r>
      <w:r>
        <w:t>can lead to early onset of emphysema on exposure to toxins such as cigarette smoke</w:t>
      </w:r>
      <w:r w:rsidR="00C540A4">
        <w:t>. However, only</w:t>
      </w:r>
      <w:r w:rsidR="00954C6A">
        <w:t xml:space="preserve"> </w:t>
      </w:r>
      <w:r w:rsidR="00BC3AD3">
        <w:t>~</w:t>
      </w:r>
      <w:r w:rsidR="00954C6A">
        <w:t xml:space="preserve">2% of </w:t>
      </w:r>
      <w:r w:rsidR="00C540A4">
        <w:t xml:space="preserve">children </w:t>
      </w:r>
      <w:r w:rsidR="00954C6A">
        <w:t>with genotype ZZ develop</w:t>
      </w:r>
      <w:r>
        <w:t xml:space="preserve"> </w:t>
      </w:r>
      <w:r w:rsidR="00BC3AD3">
        <w:t>severe childhood</w:t>
      </w:r>
      <w:r>
        <w:t xml:space="preserve"> liver disease.</w:t>
      </w:r>
      <w:r w:rsidR="00954C6A">
        <w:t xml:space="preserve"> </w:t>
      </w:r>
      <w:r>
        <w:t xml:space="preserve">MSAC </w:t>
      </w:r>
      <w:r w:rsidR="00954C6A">
        <w:t xml:space="preserve">therefore considered that </w:t>
      </w:r>
      <w:r>
        <w:rPr>
          <w:i/>
          <w:iCs/>
        </w:rPr>
        <w:t>SERPINA1</w:t>
      </w:r>
      <w:r>
        <w:t xml:space="preserve"> </w:t>
      </w:r>
      <w:r w:rsidR="00954C6A">
        <w:t xml:space="preserve">genetic </w:t>
      </w:r>
      <w:r>
        <w:t>variants</w:t>
      </w:r>
      <w:r w:rsidR="00954C6A" w:rsidRPr="00954C6A">
        <w:t xml:space="preserve"> </w:t>
      </w:r>
      <w:r w:rsidR="00954C6A">
        <w:t>have incomplete penetrance</w:t>
      </w:r>
      <w:r>
        <w:t xml:space="preserve">, </w:t>
      </w:r>
      <w:r w:rsidR="003538F7">
        <w:t xml:space="preserve">i.e. </w:t>
      </w:r>
      <w:r>
        <w:t xml:space="preserve">carrying one or more </w:t>
      </w:r>
      <w:r>
        <w:rPr>
          <w:i/>
          <w:iCs/>
        </w:rPr>
        <w:t>SERPINA1</w:t>
      </w:r>
      <w:r>
        <w:t xml:space="preserve"> variants does not </w:t>
      </w:r>
      <w:r w:rsidR="003538F7">
        <w:t xml:space="preserve">necessarily result in the patient developing </w:t>
      </w:r>
      <w:r>
        <w:t xml:space="preserve">AATD. MSAC noted that </w:t>
      </w:r>
      <w:r w:rsidR="00954C6A">
        <w:t xml:space="preserve">variant </w:t>
      </w:r>
      <w:r w:rsidR="003538F7">
        <w:t xml:space="preserve">panel testing </w:t>
      </w:r>
      <w:r w:rsidR="00954C6A">
        <w:t>can</w:t>
      </w:r>
      <w:r>
        <w:t xml:space="preserve">not </w:t>
      </w:r>
      <w:r w:rsidR="00954C6A">
        <w:t xml:space="preserve">conclusively </w:t>
      </w:r>
      <w:r>
        <w:t xml:space="preserve">detect the presence of </w:t>
      </w:r>
      <w:r w:rsidR="00954C6A">
        <w:t>‘</w:t>
      </w:r>
      <w:r>
        <w:t>normal</w:t>
      </w:r>
      <w:r w:rsidR="00954C6A">
        <w:t>’</w:t>
      </w:r>
      <w:r>
        <w:t xml:space="preserve"> (wildtype) </w:t>
      </w:r>
      <w:r>
        <w:rPr>
          <w:i/>
          <w:iCs/>
        </w:rPr>
        <w:t>SERPINA1</w:t>
      </w:r>
      <w:r>
        <w:t xml:space="preserve"> sequences.</w:t>
      </w:r>
    </w:p>
    <w:p w14:paraId="22CB703C" w14:textId="37466898" w:rsidR="00D733C1" w:rsidRDefault="00D733C1" w:rsidP="00D733C1">
      <w:r>
        <w:lastRenderedPageBreak/>
        <w:t>MSAC noted that 1.</w:t>
      </w:r>
      <w:r w:rsidR="00954C6A">
        <w:t>3</w:t>
      </w:r>
      <w:r>
        <w:t xml:space="preserve">% of Australians have variants </w:t>
      </w:r>
      <w:r w:rsidR="003538F7">
        <w:t xml:space="preserve">in both their copies of </w:t>
      </w:r>
      <w:r w:rsidR="003538F7">
        <w:rPr>
          <w:i/>
          <w:iCs/>
        </w:rPr>
        <w:t>SERPINA1</w:t>
      </w:r>
      <w:r w:rsidR="003538F7">
        <w:t xml:space="preserve"> </w:t>
      </w:r>
      <w:r>
        <w:t xml:space="preserve">and would be labelled as “affected” through </w:t>
      </w:r>
      <w:r w:rsidR="00954C6A">
        <w:t xml:space="preserve">genetic </w:t>
      </w:r>
      <w:r>
        <w:t xml:space="preserve">tests; however, MSAC considered that such patients </w:t>
      </w:r>
      <w:r w:rsidR="00954C6A">
        <w:t xml:space="preserve">would </w:t>
      </w:r>
      <w:r>
        <w:t xml:space="preserve">be </w:t>
      </w:r>
      <w:r w:rsidR="00954C6A">
        <w:t xml:space="preserve">more appropriately </w:t>
      </w:r>
      <w:r>
        <w:t xml:space="preserve">classified as “at risk”, </w:t>
      </w:r>
      <w:r w:rsidR="003538F7">
        <w:t xml:space="preserve">rather than </w:t>
      </w:r>
      <w:r>
        <w:t>“affected”</w:t>
      </w:r>
      <w:r w:rsidR="003538F7">
        <w:t>, due to incomplete penetrance</w:t>
      </w:r>
      <w:r>
        <w:t>. MSAC expressed concern about the social and ethical implications of over-diagnosing patients as having a condition when it is more appropriate to consider them at risk of developing that condition</w:t>
      </w:r>
      <w:r w:rsidR="003538F7">
        <w:t>.</w:t>
      </w:r>
      <w:r>
        <w:t xml:space="preserve"> </w:t>
      </w:r>
      <w:r w:rsidR="003538F7">
        <w:t xml:space="preserve">MSAC noted the </w:t>
      </w:r>
      <w:r w:rsidR="000F28CC">
        <w:t>Department-Contracted Assessment Report (DCAR)</w:t>
      </w:r>
      <w:r w:rsidR="003538F7">
        <w:t xml:space="preserve"> </w:t>
      </w:r>
      <w:r>
        <w:t>did not address</w:t>
      </w:r>
      <w:r w:rsidR="003538F7">
        <w:t xml:space="preserve"> this point</w:t>
      </w:r>
      <w:r>
        <w:t xml:space="preserve">. MSAC noted the main safety concerns are </w:t>
      </w:r>
      <w:r w:rsidR="003538F7">
        <w:t xml:space="preserve">the </w:t>
      </w:r>
      <w:r>
        <w:t>psychological aspects of testing and false negatives</w:t>
      </w:r>
      <w:r w:rsidR="004B1846">
        <w:t xml:space="preserve"> (i.e. patients denied the opportunity of preventative lifestyle choices)</w:t>
      </w:r>
      <w:r>
        <w:t xml:space="preserve">. </w:t>
      </w:r>
    </w:p>
    <w:p w14:paraId="719D8469" w14:textId="2518B1AE" w:rsidR="00D733C1" w:rsidRDefault="00D733C1" w:rsidP="009B136F">
      <w:pPr>
        <w:spacing w:before="240"/>
        <w:rPr>
          <w:lang w:val="en-GB"/>
        </w:rPr>
      </w:pPr>
      <w:r>
        <w:t>MSAC noted the compar</w:t>
      </w:r>
      <w:r>
        <w:rPr>
          <w:lang w:val="en-GB"/>
        </w:rPr>
        <w:t>ator</w:t>
      </w:r>
      <w:r w:rsidR="00AF3EC9">
        <w:rPr>
          <w:lang w:val="en-GB"/>
        </w:rPr>
        <w:t>,</w:t>
      </w:r>
      <w:r>
        <w:rPr>
          <w:lang w:val="en-GB"/>
        </w:rPr>
        <w:t xml:space="preserve"> IEF of the AAT protein</w:t>
      </w:r>
      <w:r w:rsidR="00AF3EC9">
        <w:rPr>
          <w:lang w:val="en-GB"/>
        </w:rPr>
        <w:t>,</w:t>
      </w:r>
      <w:r>
        <w:rPr>
          <w:lang w:val="en-GB"/>
        </w:rPr>
        <w:t xml:space="preserve"> is a functional test that has been used for decades for phenotyping. IEF has high sensitivity and specificity in trained hands, and false negatives are restricted to null alleles. </w:t>
      </w:r>
      <w:r w:rsidR="003538F7">
        <w:rPr>
          <w:lang w:val="en-GB"/>
        </w:rPr>
        <w:t>MSAC noted that mass spectrometry (as used to test the AAT protein overseas) and gene sequencing are also test</w:t>
      </w:r>
      <w:r w:rsidR="00143882">
        <w:rPr>
          <w:lang w:val="en-GB"/>
        </w:rPr>
        <w:t xml:space="preserve"> method</w:t>
      </w:r>
      <w:r w:rsidR="003538F7">
        <w:rPr>
          <w:lang w:val="en-GB"/>
        </w:rPr>
        <w:t>s</w:t>
      </w:r>
      <w:r w:rsidR="00143882">
        <w:rPr>
          <w:lang w:val="en-GB"/>
        </w:rPr>
        <w:t xml:space="preserve"> </w:t>
      </w:r>
      <w:r w:rsidR="004B1846">
        <w:rPr>
          <w:lang w:val="en-GB"/>
        </w:rPr>
        <w:t xml:space="preserve">that are </w:t>
      </w:r>
      <w:r w:rsidR="00143882">
        <w:rPr>
          <w:lang w:val="en-GB"/>
        </w:rPr>
        <w:t>able to conclusively detect ‘normal’ AAT</w:t>
      </w:r>
      <w:r w:rsidR="003538F7">
        <w:rPr>
          <w:lang w:val="en-GB"/>
        </w:rPr>
        <w:t xml:space="preserve"> – but variant panel testing is not. </w:t>
      </w:r>
      <w:r>
        <w:rPr>
          <w:lang w:val="en-GB"/>
        </w:rPr>
        <w:t xml:space="preserve">MSAC </w:t>
      </w:r>
      <w:r w:rsidR="003538F7">
        <w:rPr>
          <w:lang w:val="en-GB"/>
        </w:rPr>
        <w:t>noted</w:t>
      </w:r>
      <w:r>
        <w:rPr>
          <w:lang w:val="en-GB"/>
        </w:rPr>
        <w:t xml:space="preserve"> the </w:t>
      </w:r>
      <w:r w:rsidR="00143882">
        <w:rPr>
          <w:lang w:val="en-GB"/>
        </w:rPr>
        <w:t xml:space="preserve">applicant’s </w:t>
      </w:r>
      <w:r>
        <w:rPr>
          <w:lang w:val="en-GB"/>
        </w:rPr>
        <w:t>claim that IEF is being phased out because it is a time</w:t>
      </w:r>
      <w:r w:rsidR="003538F7">
        <w:rPr>
          <w:lang w:val="en-GB"/>
        </w:rPr>
        <w:t>-</w:t>
      </w:r>
      <w:r>
        <w:rPr>
          <w:lang w:val="en-GB"/>
        </w:rPr>
        <w:t xml:space="preserve">consuming and difficult technique requiring specific expertise, and that it cannot be batch processed to the same degree as </w:t>
      </w:r>
      <w:r w:rsidR="003538F7">
        <w:rPr>
          <w:lang w:val="en-GB"/>
        </w:rPr>
        <w:t xml:space="preserve">genetic </w:t>
      </w:r>
      <w:r>
        <w:rPr>
          <w:lang w:val="en-GB"/>
        </w:rPr>
        <w:t xml:space="preserve">tests. MSAC noted </w:t>
      </w:r>
      <w:r w:rsidR="004B1846">
        <w:rPr>
          <w:lang w:val="en-GB"/>
        </w:rPr>
        <w:t xml:space="preserve">the RCPA catalogue shows </w:t>
      </w:r>
      <w:r>
        <w:rPr>
          <w:lang w:val="en-GB"/>
        </w:rPr>
        <w:t xml:space="preserve">AAT </w:t>
      </w:r>
      <w:r w:rsidR="00DE464A">
        <w:rPr>
          <w:lang w:val="en-GB"/>
        </w:rPr>
        <w:t xml:space="preserve">variant testing </w:t>
      </w:r>
      <w:r>
        <w:rPr>
          <w:lang w:val="en-GB"/>
        </w:rPr>
        <w:t xml:space="preserve">is </w:t>
      </w:r>
      <w:r w:rsidR="004B1846">
        <w:rPr>
          <w:lang w:val="en-GB"/>
        </w:rPr>
        <w:t xml:space="preserve">only </w:t>
      </w:r>
      <w:r>
        <w:rPr>
          <w:lang w:val="en-GB"/>
        </w:rPr>
        <w:t xml:space="preserve">available in </w:t>
      </w:r>
      <w:r w:rsidR="004B1846">
        <w:rPr>
          <w:lang w:val="en-GB"/>
        </w:rPr>
        <w:t xml:space="preserve">one </w:t>
      </w:r>
      <w:r>
        <w:rPr>
          <w:lang w:val="en-GB"/>
        </w:rPr>
        <w:t>Austral</w:t>
      </w:r>
      <w:r w:rsidR="004B1846">
        <w:rPr>
          <w:lang w:val="en-GB"/>
        </w:rPr>
        <w:t>as</w:t>
      </w:r>
      <w:r>
        <w:rPr>
          <w:lang w:val="en-GB"/>
        </w:rPr>
        <w:t>ian laborator</w:t>
      </w:r>
      <w:r w:rsidR="004B1846">
        <w:rPr>
          <w:lang w:val="en-GB"/>
        </w:rPr>
        <w:t>y, and considered it is likely not widely performed in Australia</w:t>
      </w:r>
      <w:r>
        <w:rPr>
          <w:lang w:val="en-GB"/>
        </w:rPr>
        <w:t>.</w:t>
      </w:r>
    </w:p>
    <w:p w14:paraId="42EDAF73" w14:textId="1004F39E" w:rsidR="00D733C1" w:rsidRDefault="00D733C1" w:rsidP="009B136F">
      <w:pPr>
        <w:spacing w:before="240"/>
      </w:pPr>
      <w:r>
        <w:t>MSAC noted the</w:t>
      </w:r>
      <w:r w:rsidR="004B1846">
        <w:t>re was no</w:t>
      </w:r>
      <w:r>
        <w:t xml:space="preserve"> </w:t>
      </w:r>
      <w:r w:rsidR="004B1846">
        <w:t>direct</w:t>
      </w:r>
      <w:r w:rsidR="00143882">
        <w:t xml:space="preserve"> </w:t>
      </w:r>
      <w:r>
        <w:t xml:space="preserve">evidence </w:t>
      </w:r>
      <w:r w:rsidR="004B1846">
        <w:t>of</w:t>
      </w:r>
      <w:r w:rsidR="00143882">
        <w:t xml:space="preserve"> </w:t>
      </w:r>
      <w:r>
        <w:t xml:space="preserve">clinical effectiveness, and agreed with the DCAR’s statement that “the evidence describing the impact of testing on management decisions was of low to moderate quality”. MSAC noted that patients with existing lung conditions, such as chronic obstructive pulmonary disease (COPD), would be advised to stop smoking and to adopt a healthier lifestyle regardless of their genotype status; thus, MSAC considered that </w:t>
      </w:r>
      <w:r w:rsidR="00143882">
        <w:t xml:space="preserve">genetically diagnosing </w:t>
      </w:r>
      <w:r>
        <w:t xml:space="preserve">patients would not </w:t>
      </w:r>
      <w:r w:rsidR="00ED202E">
        <w:t xml:space="preserve">meaningfully </w:t>
      </w:r>
      <w:r>
        <w:t>change their clinical management. MSAC noted that the main area of uncertainty</w:t>
      </w:r>
      <w:r w:rsidR="004B1846">
        <w:t xml:space="preserve"> was the extent to which </w:t>
      </w:r>
      <w:r w:rsidR="00556744">
        <w:t xml:space="preserve">advice to implement </w:t>
      </w:r>
      <w:r w:rsidR="004B1846">
        <w:t xml:space="preserve">lifestyle change </w:t>
      </w:r>
      <w:r w:rsidR="00556744">
        <w:t xml:space="preserve">also </w:t>
      </w:r>
      <w:r w:rsidR="004B1846">
        <w:t xml:space="preserve">requires genetic testing in COPD patients. MSAC noted the </w:t>
      </w:r>
      <w:r w:rsidR="00526303">
        <w:t>incremental cost-effectiveness ratio (</w:t>
      </w:r>
      <w:r w:rsidR="004B1846">
        <w:t>ICER</w:t>
      </w:r>
      <w:r w:rsidR="00526303">
        <w:t>)</w:t>
      </w:r>
      <w:r w:rsidR="004B1846">
        <w:t xml:space="preserve"> was</w:t>
      </w:r>
      <w:r>
        <w:t xml:space="preserve"> $35,756 </w:t>
      </w:r>
      <w:r w:rsidR="00526303">
        <w:t xml:space="preserve">per quality-adjusted life year (QALY) </w:t>
      </w:r>
      <w:r w:rsidR="004B1846">
        <w:t xml:space="preserve">in the </w:t>
      </w:r>
      <w:r>
        <w:t>base case.</w:t>
      </w:r>
    </w:p>
    <w:p w14:paraId="29B74E23" w14:textId="19D32232" w:rsidR="00D733C1" w:rsidRDefault="00D733C1" w:rsidP="009B136F">
      <w:pPr>
        <w:spacing w:before="240"/>
      </w:pPr>
      <w:r>
        <w:t xml:space="preserve">MSAC noted that the economic evaluation was a cost-utility analysis due to the claim of superior effectiveness of the 14-variant </w:t>
      </w:r>
      <w:r w:rsidR="00ED202E">
        <w:t xml:space="preserve">panel </w:t>
      </w:r>
      <w:r>
        <w:t xml:space="preserve">(and, presumably, the 2-variant </w:t>
      </w:r>
      <w:r w:rsidR="00ED202E">
        <w:t>panel</w:t>
      </w:r>
      <w:r>
        <w:t>). MSAC noted that paediatric liver disease, and cascade</w:t>
      </w:r>
      <w:r w:rsidR="00ED202E">
        <w:t xml:space="preserve"> testing (to biological relatives</w:t>
      </w:r>
      <w:r>
        <w:t>,</w:t>
      </w:r>
      <w:r w:rsidR="00ED202E">
        <w:t xml:space="preserve"> reproductive</w:t>
      </w:r>
      <w:r>
        <w:t xml:space="preserve"> partner</w:t>
      </w:r>
      <w:r w:rsidR="00ED202E">
        <w:t>s</w:t>
      </w:r>
      <w:r>
        <w:t xml:space="preserve"> and </w:t>
      </w:r>
      <w:r w:rsidR="00ED202E">
        <w:t>fetuses)</w:t>
      </w:r>
      <w:r>
        <w:t xml:space="preserve"> were not </w:t>
      </w:r>
      <w:r w:rsidR="00ED202E">
        <w:t xml:space="preserve">included in the DCAR’s economic </w:t>
      </w:r>
      <w:r>
        <w:t>modell</w:t>
      </w:r>
      <w:r w:rsidR="00ED202E">
        <w:t>ing</w:t>
      </w:r>
      <w:r>
        <w:t>. MSAC noted the key drivers of the ICER</w:t>
      </w:r>
      <w:r w:rsidR="00526303">
        <w:t xml:space="preserve"> </w:t>
      </w:r>
      <w:r w:rsidR="00ED516D">
        <w:t>were test cost, diagnostic yield, sensitivity of IEF, and rates of FEV</w:t>
      </w:r>
      <w:r w:rsidR="00ED516D">
        <w:rPr>
          <w:vertAlign w:val="subscript"/>
        </w:rPr>
        <w:t>1</w:t>
      </w:r>
      <w:r w:rsidR="00ED516D">
        <w:t xml:space="preserve"> decline and smoking </w:t>
      </w:r>
      <w:r w:rsidR="00526303">
        <w:t>(</w:t>
      </w:r>
      <w:r w:rsidR="00ED516D">
        <w:t xml:space="preserve">see </w:t>
      </w:r>
      <w:r w:rsidR="00095E12">
        <w:fldChar w:fldCharType="begin"/>
      </w:r>
      <w:r w:rsidR="00095E12">
        <w:instrText xml:space="preserve"> REF _Ref74150164 </w:instrText>
      </w:r>
      <w:r w:rsidR="00095E12">
        <w:fldChar w:fldCharType="separate"/>
      </w:r>
      <w:r w:rsidR="00095E12">
        <w:t xml:space="preserve">Table </w:t>
      </w:r>
      <w:r w:rsidR="00095E12">
        <w:rPr>
          <w:noProof/>
        </w:rPr>
        <w:t>13</w:t>
      </w:r>
      <w:r w:rsidR="00095E12">
        <w:rPr>
          <w:noProof/>
        </w:rPr>
        <w:fldChar w:fldCharType="end"/>
      </w:r>
      <w:r w:rsidR="00526303">
        <w:t>)</w:t>
      </w:r>
      <w:r w:rsidR="00ED516D">
        <w:t xml:space="preserve">. MSAC noted the DCAR assumed the sensitivity of IEF </w:t>
      </w:r>
      <w:r>
        <w:t xml:space="preserve">to be the same as </w:t>
      </w:r>
      <w:r w:rsidR="00ED516D">
        <w:t xml:space="preserve">that of </w:t>
      </w:r>
      <w:r>
        <w:t xml:space="preserve">the 2-variant </w:t>
      </w:r>
      <w:r w:rsidR="00ED516D">
        <w:t>panel, however it</w:t>
      </w:r>
      <w:r>
        <w:t xml:space="preserve"> considered that </w:t>
      </w:r>
      <w:r w:rsidR="00ED202E">
        <w:t xml:space="preserve">IEF’s sensitivity </w:t>
      </w:r>
      <w:r>
        <w:t>should be higher</w:t>
      </w:r>
      <w:r w:rsidR="00ED202E">
        <w:t xml:space="preserve"> than that of a variant panel</w:t>
      </w:r>
      <w:r>
        <w:t xml:space="preserve">, as it is a functional test. </w:t>
      </w:r>
      <w:r w:rsidR="00ED516D">
        <w:t>MSAC noted that i</w:t>
      </w:r>
      <w:r>
        <w:t>f IEF sensitivity is increased from 82% to 90%, then the ICER increase</w:t>
      </w:r>
      <w:r w:rsidR="00ED202E">
        <w:t>s</w:t>
      </w:r>
      <w:r>
        <w:t xml:space="preserve"> to $72,873/QALY. </w:t>
      </w:r>
    </w:p>
    <w:p w14:paraId="5324BD4B" w14:textId="5755B0B2" w:rsidR="00D733C1" w:rsidRDefault="00D733C1" w:rsidP="009B136F">
      <w:pPr>
        <w:spacing w:before="240"/>
      </w:pPr>
      <w:r>
        <w:t xml:space="preserve">MSAC noted the </w:t>
      </w:r>
      <w:r w:rsidR="00ED202E">
        <w:t xml:space="preserve">DCAR’s </w:t>
      </w:r>
      <w:r>
        <w:t xml:space="preserve">claimed cost offset </w:t>
      </w:r>
      <w:r w:rsidR="00ED516D">
        <w:t>was</w:t>
      </w:r>
      <w:r>
        <w:t xml:space="preserve"> fewer IEF </w:t>
      </w:r>
      <w:r w:rsidR="00ED202E">
        <w:t>services</w:t>
      </w:r>
      <w:r>
        <w:t>.</w:t>
      </w:r>
    </w:p>
    <w:p w14:paraId="437EB9DE" w14:textId="3FEB8727" w:rsidR="00D733C1" w:rsidRDefault="00D733C1" w:rsidP="009B136F">
      <w:pPr>
        <w:pStyle w:val="NormalBeforeBullet"/>
        <w:spacing w:before="240"/>
      </w:pPr>
      <w:r>
        <w:t xml:space="preserve">MSAC </w:t>
      </w:r>
      <w:r w:rsidR="00A37003">
        <w:t xml:space="preserve">provided </w:t>
      </w:r>
      <w:r>
        <w:t xml:space="preserve">the following </w:t>
      </w:r>
      <w:r w:rsidR="00A37003">
        <w:t xml:space="preserve">advice </w:t>
      </w:r>
      <w:r>
        <w:t>regarding the proposed services and fees:</w:t>
      </w:r>
    </w:p>
    <w:p w14:paraId="6FAD4865" w14:textId="49ACA93A" w:rsidR="00D733C1" w:rsidRDefault="00D733C1" w:rsidP="003538F7">
      <w:pPr>
        <w:pStyle w:val="ListParagraph"/>
        <w:numPr>
          <w:ilvl w:val="0"/>
          <w:numId w:val="39"/>
        </w:numPr>
      </w:pPr>
      <w:r>
        <w:t>Only one Australian laboratory is currently known to offer AAT</w:t>
      </w:r>
      <w:r w:rsidR="00ED516D">
        <w:t>D</w:t>
      </w:r>
      <w:r>
        <w:t xml:space="preserve"> </w:t>
      </w:r>
      <w:r w:rsidR="00A37003">
        <w:t xml:space="preserve">genetic testing </w:t>
      </w:r>
      <w:r>
        <w:t>(</w:t>
      </w:r>
      <w:r w:rsidR="00A37003">
        <w:t xml:space="preserve">the </w:t>
      </w:r>
      <w:r>
        <w:t>2</w:t>
      </w:r>
      <w:r>
        <w:noBreakHyphen/>
        <w:t>variant panel).</w:t>
      </w:r>
    </w:p>
    <w:p w14:paraId="5953F207" w14:textId="0BE03A50" w:rsidR="00A37003" w:rsidRDefault="00ED516D" w:rsidP="003538F7">
      <w:pPr>
        <w:pStyle w:val="ListParagraph"/>
        <w:numPr>
          <w:ilvl w:val="0"/>
          <w:numId w:val="39"/>
        </w:numPr>
      </w:pPr>
      <w:r>
        <w:t xml:space="preserve">Sanger sequencing of </w:t>
      </w:r>
      <w:r w:rsidRPr="00730661">
        <w:rPr>
          <w:i/>
          <w:iCs/>
        </w:rPr>
        <w:t>SERPINA1</w:t>
      </w:r>
      <w:r>
        <w:t xml:space="preserve"> is estimated to require seven amplicons. </w:t>
      </w:r>
      <w:r w:rsidR="00A37003">
        <w:t xml:space="preserve">The proposed fee of $260 for </w:t>
      </w:r>
      <w:r w:rsidR="00D733C1">
        <w:t xml:space="preserve">Sanger sequencing is </w:t>
      </w:r>
      <w:r w:rsidR="00A37003">
        <w:t xml:space="preserve">based on the price for this test at </w:t>
      </w:r>
      <w:r w:rsidR="00D733C1">
        <w:t xml:space="preserve">a single centre and does not correspond to other Sanger sequencing test costs on </w:t>
      </w:r>
      <w:r w:rsidR="00A37003">
        <w:t xml:space="preserve">the </w:t>
      </w:r>
      <w:r w:rsidR="00D733C1">
        <w:t xml:space="preserve">MBS. </w:t>
      </w:r>
    </w:p>
    <w:p w14:paraId="761C2B59" w14:textId="5A7E7EAB" w:rsidR="00D733C1" w:rsidRDefault="00D733C1" w:rsidP="00DE464A">
      <w:pPr>
        <w:pStyle w:val="ListParagraph"/>
        <w:numPr>
          <w:ilvl w:val="0"/>
          <w:numId w:val="39"/>
        </w:numPr>
      </w:pPr>
      <w:r>
        <w:lastRenderedPageBreak/>
        <w:t>The</w:t>
      </w:r>
      <w:r w:rsidR="00A37003">
        <w:t xml:space="preserve"> fetal testing item’s proposed fee ($100) is too low – the</w:t>
      </w:r>
      <w:r>
        <w:t xml:space="preserve"> current cost </w:t>
      </w:r>
      <w:r w:rsidR="00AF3EC9">
        <w:t>of Sanger sequencing a single gene in a fetus</w:t>
      </w:r>
      <w:r w:rsidR="00AF3EC9" w:rsidDel="00AF3EC9">
        <w:t xml:space="preserve"> </w:t>
      </w:r>
      <w:r w:rsidR="00AF3EC9">
        <w:t>at SA</w:t>
      </w:r>
      <w:r>
        <w:t xml:space="preserve"> </w:t>
      </w:r>
      <w:r w:rsidR="00AF3EC9">
        <w:t xml:space="preserve">Pathology </w:t>
      </w:r>
      <w:r>
        <w:t xml:space="preserve">is $1,658. </w:t>
      </w:r>
      <w:r w:rsidR="00AF3EC9">
        <w:t xml:space="preserve">Fetal </w:t>
      </w:r>
      <w:r>
        <w:t xml:space="preserve">testing </w:t>
      </w:r>
      <w:r w:rsidR="00A37003">
        <w:t xml:space="preserve">for unknown variants </w:t>
      </w:r>
      <w:r>
        <w:t xml:space="preserve">requires Sanger sequencing, so introducing item EEEE </w:t>
      </w:r>
      <w:r w:rsidR="00A37003">
        <w:t>at this fee</w:t>
      </w:r>
      <w:r>
        <w:t xml:space="preserve"> </w:t>
      </w:r>
      <w:r w:rsidR="00AF3EC9">
        <w:t>w</w:t>
      </w:r>
      <w:r>
        <w:t>ould result in significant out-of-pocket costs to patients.</w:t>
      </w:r>
    </w:p>
    <w:p w14:paraId="31B7E6C6" w14:textId="5BC7F4BF" w:rsidR="00D733C1" w:rsidRDefault="00D733C1" w:rsidP="003538F7">
      <w:pPr>
        <w:pStyle w:val="ListParagraph"/>
        <w:numPr>
          <w:ilvl w:val="0"/>
          <w:numId w:val="39"/>
        </w:numPr>
      </w:pPr>
      <w:r w:rsidRPr="0086275B">
        <w:rPr>
          <w:i/>
          <w:iCs/>
        </w:rPr>
        <w:t>SERPINA1</w:t>
      </w:r>
      <w:r>
        <w:t xml:space="preserve"> </w:t>
      </w:r>
      <w:r w:rsidR="00A37003">
        <w:t xml:space="preserve">genetic testing </w:t>
      </w:r>
      <w:r>
        <w:t xml:space="preserve">of at-risk </w:t>
      </w:r>
      <w:r w:rsidR="00ED516D">
        <w:t>biological relatives</w:t>
      </w:r>
      <w:r>
        <w:t xml:space="preserve"> is appropriate </w:t>
      </w:r>
      <w:r w:rsidR="00ED516D">
        <w:t>where the</w:t>
      </w:r>
      <w:r>
        <w:t xml:space="preserve"> variant </w:t>
      </w:r>
      <w:r w:rsidR="00ED516D">
        <w:t xml:space="preserve">was </w:t>
      </w:r>
      <w:r>
        <w:t xml:space="preserve">detected </w:t>
      </w:r>
      <w:r w:rsidR="00ED516D">
        <w:t xml:space="preserve">using </w:t>
      </w:r>
      <w:r>
        <w:t xml:space="preserve">a </w:t>
      </w:r>
      <w:r w:rsidR="00ED516D">
        <w:t>genetic test</w:t>
      </w:r>
      <w:r>
        <w:t xml:space="preserve">, but not </w:t>
      </w:r>
      <w:r w:rsidR="00A37003">
        <w:t>where the</w:t>
      </w:r>
      <w:r>
        <w:t xml:space="preserve"> variant</w:t>
      </w:r>
      <w:r w:rsidR="00A37003">
        <w:t xml:space="preserve"> was detected using IEF</w:t>
      </w:r>
      <w:r>
        <w:t>.</w:t>
      </w:r>
    </w:p>
    <w:p w14:paraId="771D1411" w14:textId="27238B23" w:rsidR="00D733C1" w:rsidRDefault="00A37003" w:rsidP="003538F7">
      <w:pPr>
        <w:pStyle w:val="ListParagraph"/>
        <w:numPr>
          <w:ilvl w:val="0"/>
          <w:numId w:val="39"/>
        </w:numPr>
      </w:pPr>
      <w:r>
        <w:t>Reproductive p</w:t>
      </w:r>
      <w:r w:rsidR="00D733C1">
        <w:t>artner testing should be done by sequencing to avoid the potential of having affected offspring.</w:t>
      </w:r>
    </w:p>
    <w:p w14:paraId="3197BDB9" w14:textId="222D7111" w:rsidR="00D733C1" w:rsidRDefault="00D733C1" w:rsidP="009B136F">
      <w:pPr>
        <w:spacing w:before="240"/>
      </w:pPr>
      <w:r>
        <w:t xml:space="preserve">MSAC noted that the </w:t>
      </w:r>
      <w:r w:rsidR="00A37003">
        <w:t xml:space="preserve">estimated </w:t>
      </w:r>
      <w:r>
        <w:t xml:space="preserve">uptake of the </w:t>
      </w:r>
      <w:r w:rsidR="00DE464A">
        <w:t xml:space="preserve">variant panel testing </w:t>
      </w:r>
      <w:r>
        <w:t xml:space="preserve">was based on IEF test </w:t>
      </w:r>
      <w:r w:rsidR="00ED516D">
        <w:t>volumes</w:t>
      </w:r>
      <w:r>
        <w:t xml:space="preserve">, but that there is </w:t>
      </w:r>
      <w:r w:rsidR="00A37003">
        <w:t xml:space="preserve">considerable </w:t>
      </w:r>
      <w:r>
        <w:t xml:space="preserve">variation </w:t>
      </w:r>
      <w:r w:rsidR="00A37003">
        <w:t>i</w:t>
      </w:r>
      <w:r>
        <w:t xml:space="preserve">n </w:t>
      </w:r>
      <w:r w:rsidR="00A37003">
        <w:t>diagnostic yield</w:t>
      </w:r>
      <w:r>
        <w:t xml:space="preserve"> estimates. In addition, the cascade testing </w:t>
      </w:r>
      <w:r w:rsidR="00A37003">
        <w:t xml:space="preserve">(to biological relatives, reproductive </w:t>
      </w:r>
      <w:r>
        <w:t>partner</w:t>
      </w:r>
      <w:r w:rsidR="00A37003">
        <w:t>s</w:t>
      </w:r>
      <w:r>
        <w:t xml:space="preserve"> and </w:t>
      </w:r>
      <w:r w:rsidR="00A37003">
        <w:t>fetuses)</w:t>
      </w:r>
      <w:r>
        <w:t xml:space="preserve"> </w:t>
      </w:r>
      <w:r w:rsidR="00A37003">
        <w:t xml:space="preserve">was </w:t>
      </w:r>
      <w:r>
        <w:t xml:space="preserve">not </w:t>
      </w:r>
      <w:r w:rsidR="00A37003">
        <w:t xml:space="preserve">included in the economic </w:t>
      </w:r>
      <w:r>
        <w:t>modell</w:t>
      </w:r>
      <w:r w:rsidR="00A37003">
        <w:t>ing</w:t>
      </w:r>
      <w:r>
        <w:t>, thus the budget impact is likely to be underestimated.</w:t>
      </w:r>
      <w:r w:rsidR="00B15E56">
        <w:t xml:space="preserve"> </w:t>
      </w:r>
      <w:r>
        <w:t xml:space="preserve">If correctly modelled, MSAC estimated </w:t>
      </w:r>
      <w:r w:rsidR="00A37003">
        <w:t>there</w:t>
      </w:r>
      <w:r>
        <w:t xml:space="preserve"> would </w:t>
      </w:r>
      <w:r w:rsidR="00A37003">
        <w:t xml:space="preserve">approximately </w:t>
      </w:r>
      <w:r>
        <w:t xml:space="preserve">4,000 </w:t>
      </w:r>
      <w:r w:rsidR="00A37003">
        <w:t xml:space="preserve">tests </w:t>
      </w:r>
      <w:r>
        <w:t xml:space="preserve">per year and the total cost to the MBS could be about </w:t>
      </w:r>
      <w:r w:rsidR="00A37003">
        <w:t>$</w:t>
      </w:r>
      <w:r>
        <w:t xml:space="preserve">5.5 million over 5 years. </w:t>
      </w:r>
    </w:p>
    <w:p w14:paraId="25562B44" w14:textId="28119DC5" w:rsidR="00D733C1" w:rsidRDefault="00D733C1" w:rsidP="009B136F">
      <w:pPr>
        <w:spacing w:before="240"/>
      </w:pPr>
      <w:r>
        <w:t>MSAC noted the applicant</w:t>
      </w:r>
      <w:r w:rsidR="00A37003">
        <w:t>’s</w:t>
      </w:r>
      <w:r>
        <w:t xml:space="preserve"> claim that the </w:t>
      </w:r>
      <w:r w:rsidR="00A37003">
        <w:t xml:space="preserve">primary </w:t>
      </w:r>
      <w:r>
        <w:t xml:space="preserve">benefit </w:t>
      </w:r>
      <w:r w:rsidR="000F28CC">
        <w:t xml:space="preserve">of AATD genetic testing </w:t>
      </w:r>
      <w:r>
        <w:t xml:space="preserve">is derived from the cascade testing and identifying </w:t>
      </w:r>
      <w:r w:rsidR="00A37003">
        <w:t>variant-</w:t>
      </w:r>
      <w:r>
        <w:t>positive individuals who may avoid disease or delay its development</w:t>
      </w:r>
      <w:r w:rsidR="000F28CC">
        <w:t xml:space="preserve">. MSAC </w:t>
      </w:r>
      <w:r w:rsidR="003F60DD">
        <w:t>agreed</w:t>
      </w:r>
      <w:r w:rsidR="00AF3EC9">
        <w:t xml:space="preserve"> with this claim</w:t>
      </w:r>
      <w:r w:rsidR="003F60DD">
        <w:t xml:space="preserve">, </w:t>
      </w:r>
      <w:r>
        <w:t xml:space="preserve">however </w:t>
      </w:r>
      <w:r w:rsidR="000F28CC">
        <w:t xml:space="preserve">it </w:t>
      </w:r>
      <w:r w:rsidR="00A37003">
        <w:t xml:space="preserve">considered </w:t>
      </w:r>
      <w:r w:rsidR="003F60DD">
        <w:t>a genetic</w:t>
      </w:r>
      <w:r w:rsidR="00A37003">
        <w:t xml:space="preserve"> diagnosis </w:t>
      </w:r>
      <w:r w:rsidR="000F28CC">
        <w:t>to be</w:t>
      </w:r>
      <w:r w:rsidR="00A37003">
        <w:t xml:space="preserve"> less meaningful due to the incomplete penetrance of AAT variants.</w:t>
      </w:r>
      <w:r>
        <w:t xml:space="preserve"> </w:t>
      </w:r>
    </w:p>
    <w:p w14:paraId="75C686FF" w14:textId="5A3BF346" w:rsidR="00D733C1" w:rsidRDefault="00D733C1" w:rsidP="009B136F">
      <w:pPr>
        <w:spacing w:before="240"/>
      </w:pPr>
      <w:r>
        <w:t xml:space="preserve">MSAC noted that the applicant disagreed with the </w:t>
      </w:r>
      <w:r w:rsidR="00A37003">
        <w:t xml:space="preserve">diagnostic yield </w:t>
      </w:r>
      <w:r>
        <w:t xml:space="preserve">estimates in its pre-MSAC response; the applicant claims </w:t>
      </w:r>
      <w:r w:rsidR="00A37003">
        <w:t xml:space="preserve">diagnostic yield </w:t>
      </w:r>
      <w:r>
        <w:t>should be 11.2%. MSAC considered that this prevalence only takes into account biallelic S or Z variants and is thus underestimated.</w:t>
      </w:r>
    </w:p>
    <w:p w14:paraId="5C35E6C9" w14:textId="519B31EA" w:rsidR="00D733C1" w:rsidRDefault="00D733C1" w:rsidP="009B136F">
      <w:pPr>
        <w:spacing w:before="240"/>
      </w:pPr>
      <w:r>
        <w:t xml:space="preserve">MSAC considered </w:t>
      </w:r>
      <w:r>
        <w:rPr>
          <w:i/>
          <w:iCs/>
        </w:rPr>
        <w:t>SERPINA1</w:t>
      </w:r>
      <w:r>
        <w:t xml:space="preserve"> </w:t>
      </w:r>
      <w:r w:rsidR="00A37003">
        <w:t xml:space="preserve">variant panel testing </w:t>
      </w:r>
      <w:r>
        <w:t xml:space="preserve">to be inferior to IEF, </w:t>
      </w:r>
      <w:r w:rsidR="00A37003">
        <w:t xml:space="preserve">because </w:t>
      </w:r>
      <w:r>
        <w:t>IEF is a functional test</w:t>
      </w:r>
      <w:r w:rsidR="00A37003">
        <w:t xml:space="preserve">, i.e. it is able to conclusively detect </w:t>
      </w:r>
      <w:r w:rsidR="001A44E1">
        <w:t>the wildtype (‘normal’) protein</w:t>
      </w:r>
      <w:r>
        <w:t xml:space="preserve">. MSAC considered this functional testing to be </w:t>
      </w:r>
      <w:r w:rsidR="001A44E1">
        <w:t>key</w:t>
      </w:r>
      <w:r>
        <w:t xml:space="preserve">, making </w:t>
      </w:r>
      <w:r w:rsidR="001A44E1">
        <w:t xml:space="preserve">variant panel testing </w:t>
      </w:r>
      <w:r>
        <w:t xml:space="preserve">inferior for detecting </w:t>
      </w:r>
      <w:r w:rsidR="001A44E1">
        <w:t>probands</w:t>
      </w:r>
      <w:r>
        <w:t>. MSAC noted the declining use of IEF testing, and recommended support</w:t>
      </w:r>
      <w:r w:rsidR="001A44E1">
        <w:t>ing</w:t>
      </w:r>
      <w:r>
        <w:t xml:space="preserve"> its continued availability. </w:t>
      </w:r>
      <w:r w:rsidR="0086275B">
        <w:t>T</w:t>
      </w:r>
      <w:r>
        <w:t xml:space="preserve">here </w:t>
      </w:r>
      <w:r w:rsidR="00D23BA3">
        <w:t>we</w:t>
      </w:r>
      <w:r>
        <w:t xml:space="preserve">re </w:t>
      </w:r>
      <w:r w:rsidR="00D23BA3">
        <w:t>1837</w:t>
      </w:r>
      <w:r>
        <w:t xml:space="preserve"> IEF tests reimbursed </w:t>
      </w:r>
      <w:r w:rsidR="00D23BA3">
        <w:t>in the last</w:t>
      </w:r>
      <w:r>
        <w:t xml:space="preserve"> year on the MBS. MSAC </w:t>
      </w:r>
      <w:r w:rsidR="00E52838">
        <w:t xml:space="preserve">requested </w:t>
      </w:r>
      <w:r>
        <w:t xml:space="preserve">that the Department </w:t>
      </w:r>
      <w:r w:rsidR="001A44E1">
        <w:t>investigate</w:t>
      </w:r>
      <w:r>
        <w:t xml:space="preserve"> </w:t>
      </w:r>
      <w:r w:rsidR="001A44E1">
        <w:t>the volume</w:t>
      </w:r>
      <w:r>
        <w:t xml:space="preserve"> of IEF testing </w:t>
      </w:r>
      <w:r w:rsidR="001A44E1">
        <w:t xml:space="preserve">being undertaken outside MBS-funded services, </w:t>
      </w:r>
      <w:r>
        <w:t xml:space="preserve">and how it is being </w:t>
      </w:r>
      <w:r w:rsidR="001A44E1">
        <w:t xml:space="preserve">funded </w:t>
      </w:r>
      <w:r>
        <w:t>(e.</w:t>
      </w:r>
      <w:r w:rsidR="001A44E1">
        <w:t>g.</w:t>
      </w:r>
      <w:r>
        <w:t xml:space="preserve"> through </w:t>
      </w:r>
      <w:r w:rsidR="001A44E1">
        <w:t>S</w:t>
      </w:r>
      <w:r>
        <w:t>tate</w:t>
      </w:r>
      <w:r w:rsidR="001A44E1">
        <w:t>/Territory</w:t>
      </w:r>
      <w:r>
        <w:t xml:space="preserve"> funding</w:t>
      </w:r>
      <w:r w:rsidR="001A44E1">
        <w:t>, or patient out-of-pockets</w:t>
      </w:r>
      <w:r>
        <w:t>)</w:t>
      </w:r>
      <w:r w:rsidR="00DD7F85">
        <w:t>, so that it could consider actions</w:t>
      </w:r>
      <w:r w:rsidR="0007047C">
        <w:t xml:space="preserve"> needed</w:t>
      </w:r>
      <w:r w:rsidR="00DD7F85">
        <w:t xml:space="preserve"> (if any)</w:t>
      </w:r>
      <w:r>
        <w:t xml:space="preserve"> to </w:t>
      </w:r>
      <w:r w:rsidR="00DD7F85">
        <w:t xml:space="preserve">ensure the </w:t>
      </w:r>
      <w:r>
        <w:t xml:space="preserve">continued </w:t>
      </w:r>
      <w:r w:rsidR="001A44E1">
        <w:t>availability</w:t>
      </w:r>
      <w:r w:rsidR="00DD7F85">
        <w:t xml:space="preserve"> of IEF</w:t>
      </w:r>
      <w:r w:rsidR="001A44E1">
        <w:t xml:space="preserve"> in Australia</w:t>
      </w:r>
      <w:r w:rsidR="007C60BB">
        <w:t>.</w:t>
      </w:r>
    </w:p>
    <w:p w14:paraId="20C6753A" w14:textId="77777777" w:rsidR="00294511" w:rsidRPr="00916592" w:rsidRDefault="00294511" w:rsidP="00B05487">
      <w:pPr>
        <w:pStyle w:val="Heading1"/>
        <w:numPr>
          <w:ilvl w:val="0"/>
          <w:numId w:val="13"/>
        </w:numPr>
        <w:spacing w:before="240" w:after="240"/>
        <w:ind w:left="0" w:firstLine="0"/>
        <w:rPr>
          <w:rFonts w:ascii="Arial" w:eastAsia="Times New Roman" w:hAnsi="Arial" w:cs="Times New Roman"/>
        </w:rPr>
      </w:pPr>
      <w:r w:rsidRPr="00916592">
        <w:rPr>
          <w:rFonts w:ascii="Arial" w:eastAsia="Times New Roman" w:hAnsi="Arial" w:cs="Times New Roman"/>
        </w:rPr>
        <w:t>Background</w:t>
      </w:r>
    </w:p>
    <w:p w14:paraId="788BFD12" w14:textId="5C3B8B1F" w:rsidR="00294511" w:rsidRDefault="00294511" w:rsidP="00B05487">
      <w:pPr>
        <w:rPr>
          <w:lang w:val="en-US"/>
        </w:rPr>
      </w:pPr>
      <w:r w:rsidRPr="00294511">
        <w:rPr>
          <w:lang w:val="en-US"/>
        </w:rPr>
        <w:t xml:space="preserve">This is the first time that </w:t>
      </w:r>
      <w:r w:rsidR="00DE464A">
        <w:rPr>
          <w:lang w:val="en-US"/>
        </w:rPr>
        <w:t>genetic testing</w:t>
      </w:r>
      <w:r w:rsidRPr="00294511">
        <w:rPr>
          <w:lang w:val="en-US"/>
        </w:rPr>
        <w:t xml:space="preserve"> of the </w:t>
      </w:r>
      <w:r w:rsidRPr="00294511">
        <w:rPr>
          <w:i/>
          <w:lang w:val="en-US"/>
        </w:rPr>
        <w:t>SERPINA1</w:t>
      </w:r>
      <w:r w:rsidRPr="00294511">
        <w:rPr>
          <w:lang w:val="en-US"/>
        </w:rPr>
        <w:t xml:space="preserve"> gene in patients with suspected AATD has been assessed by MSAC.</w:t>
      </w:r>
    </w:p>
    <w:p w14:paraId="59206C37" w14:textId="33202C0D" w:rsidR="008A10AA" w:rsidRDefault="008A10AA" w:rsidP="009B136F">
      <w:pPr>
        <w:spacing w:before="240"/>
      </w:pPr>
      <w:r>
        <w:rPr>
          <w:lang w:val="en-US"/>
        </w:rPr>
        <w:t>The comparator, IEF, has been listed on the MBS since 1 November 1998</w:t>
      </w:r>
      <w:r>
        <w:rPr>
          <w:rStyle w:val="FootnoteReference"/>
          <w:lang w:val="en-US"/>
        </w:rPr>
        <w:footnoteReference w:id="2"/>
      </w:r>
      <w:r>
        <w:rPr>
          <w:lang w:val="en-US"/>
        </w:rPr>
        <w:t>.</w:t>
      </w:r>
    </w:p>
    <w:p w14:paraId="7EAB0C33" w14:textId="25CB5B24" w:rsidR="00294511" w:rsidRPr="008A10AA" w:rsidRDefault="00294511" w:rsidP="009B136F">
      <w:pPr>
        <w:spacing w:before="240"/>
      </w:pPr>
      <w:r>
        <w:t xml:space="preserve">A related previous MSAC Application is </w:t>
      </w:r>
      <w:r w:rsidR="00CC074D">
        <w:t xml:space="preserve">MSAC application </w:t>
      </w:r>
      <w:hyperlink r:id="rId10" w:history="1">
        <w:r w:rsidR="00CC074D" w:rsidRPr="00191996">
          <w:rPr>
            <w:rStyle w:val="Hyperlink"/>
          </w:rPr>
          <w:t>1530</w:t>
        </w:r>
      </w:hyperlink>
      <w:r w:rsidR="00191996">
        <w:t xml:space="preserve">, for blood product listing of purified human alpha-1-proteinase inhibitor (A1-PI) for the treatment of </w:t>
      </w:r>
      <w:r w:rsidR="00D23BA3">
        <w:t xml:space="preserve">patients with </w:t>
      </w:r>
      <w:r w:rsidR="00191996">
        <w:t>AATD</w:t>
      </w:r>
      <w:r w:rsidR="00D23BA3">
        <w:t xml:space="preserve"> with significant lung disease</w:t>
      </w:r>
      <w:r w:rsidR="00191996">
        <w:t>.</w:t>
      </w:r>
      <w:r w:rsidR="008A10AA">
        <w:t xml:space="preserve"> The public summary document (PSD) for application 1530 states that MSAC did not support A1-PI for the treatment of AATD</w:t>
      </w:r>
      <w:r w:rsidR="00D23BA3">
        <w:t xml:space="preserve"> in such patients</w:t>
      </w:r>
      <w:r w:rsidR="008A10AA">
        <w:t xml:space="preserve">. MSAC recognised the large unmet clinical need and the evidence of a radiologically detectable treatment effect, but was concerned with the weak evidentiary basis provided to suggest that changes in </w:t>
      </w:r>
      <w:r w:rsidR="00CC4EBD">
        <w:t>computed tomography (</w:t>
      </w:r>
      <w:r w:rsidR="008A10AA">
        <w:t>CT</w:t>
      </w:r>
      <w:r w:rsidR="00CC4EBD">
        <w:t>)</w:t>
      </w:r>
      <w:r w:rsidR="008A10AA">
        <w:t xml:space="preserve"> density predict clinically meaningful health outcomes. </w:t>
      </w:r>
      <w:r w:rsidR="008A10AA">
        <w:lastRenderedPageBreak/>
        <w:t>MSAC also advised that, even with favourable assumptions regarding estimates of possible health outcomes of A1-PI treatment, the economic evaluation generated unacceptably large incremental cost-effectiveness ratios at the prices proposed by the sponsors.</w:t>
      </w:r>
    </w:p>
    <w:p w14:paraId="02FFF306" w14:textId="77777777" w:rsidR="00294511" w:rsidRPr="00B05487" w:rsidRDefault="00294511" w:rsidP="00B05487">
      <w:pPr>
        <w:pStyle w:val="Heading1"/>
        <w:numPr>
          <w:ilvl w:val="0"/>
          <w:numId w:val="13"/>
        </w:numPr>
        <w:spacing w:before="240" w:after="240"/>
        <w:ind w:left="0" w:firstLine="0"/>
        <w:rPr>
          <w:rFonts w:ascii="Arial" w:eastAsia="Times New Roman" w:hAnsi="Arial" w:cs="Times New Roman"/>
        </w:rPr>
      </w:pPr>
      <w:r w:rsidRPr="00B05487">
        <w:rPr>
          <w:rFonts w:ascii="Arial" w:eastAsia="Times New Roman" w:hAnsi="Arial" w:cs="Times New Roman"/>
        </w:rPr>
        <w:t>Prerequisites to implementation of any funding advice</w:t>
      </w:r>
    </w:p>
    <w:p w14:paraId="5499FC67" w14:textId="63F5BA03" w:rsidR="00294511" w:rsidRPr="00B02E35" w:rsidRDefault="00294511" w:rsidP="00B05487">
      <w:r w:rsidRPr="00294511">
        <w:t>Genetic testing for disease should be undertaken in a National Association of Testing Authorities (NATA) accredited laboratory. The National Pathology Accreditation Advisory Council</w:t>
      </w:r>
      <w:r>
        <w:t xml:space="preserve"> (NPAAC) advised that t</w:t>
      </w:r>
      <w:r w:rsidRPr="00294511">
        <w:rPr>
          <w:lang w:val="en-US"/>
        </w:rPr>
        <w:t>his testing is already provided in Australia, it is not complex testing and an EQA program is available.</w:t>
      </w:r>
    </w:p>
    <w:p w14:paraId="3274D7CE" w14:textId="77777777" w:rsidR="00294511" w:rsidRPr="00B05487" w:rsidRDefault="00294511" w:rsidP="00B05487">
      <w:pPr>
        <w:pStyle w:val="Heading1"/>
        <w:numPr>
          <w:ilvl w:val="0"/>
          <w:numId w:val="13"/>
        </w:numPr>
        <w:spacing w:before="240" w:after="240"/>
        <w:ind w:left="0" w:firstLine="0"/>
        <w:rPr>
          <w:rFonts w:ascii="Arial" w:eastAsia="Times New Roman" w:hAnsi="Arial" w:cs="Times New Roman"/>
        </w:rPr>
      </w:pPr>
      <w:r w:rsidRPr="00B05487">
        <w:rPr>
          <w:rFonts w:ascii="Arial" w:eastAsia="Times New Roman" w:hAnsi="Arial" w:cs="Times New Roman"/>
        </w:rPr>
        <w:t>Proposal for public funding</w:t>
      </w:r>
    </w:p>
    <w:p w14:paraId="5BDB66A9" w14:textId="5E2FC37C" w:rsidR="00BE6936" w:rsidRDefault="00DC6DB4" w:rsidP="00B05487">
      <w:r>
        <w:t>T</w:t>
      </w:r>
      <w:r w:rsidR="00BE6936">
        <w:t xml:space="preserve">he </w:t>
      </w:r>
      <w:r w:rsidR="00E526D4">
        <w:t xml:space="preserve">proposed MBS </w:t>
      </w:r>
      <w:r w:rsidR="00BE6936">
        <w:t>item</w:t>
      </w:r>
      <w:r w:rsidR="00E526D4">
        <w:t>s</w:t>
      </w:r>
      <w:r w:rsidR="00BE6936">
        <w:t xml:space="preserve"> for the proposed </w:t>
      </w:r>
      <w:r>
        <w:t>affected individual testing and cascade testing of biological relatives</w:t>
      </w:r>
      <w:r w:rsidR="00BE6936">
        <w:t xml:space="preserve"> are shown in</w:t>
      </w:r>
      <w:r w:rsidR="00663F00">
        <w:t xml:space="preserve"> </w:t>
      </w:r>
      <w:r w:rsidR="00095E12">
        <w:fldChar w:fldCharType="begin"/>
      </w:r>
      <w:r w:rsidR="00095E12">
        <w:instrText xml:space="preserve"> REF _Ref74142141 </w:instrText>
      </w:r>
      <w:r w:rsidR="00095E12">
        <w:fldChar w:fldCharType="separate"/>
      </w:r>
      <w:r w:rsidR="00095E12">
        <w:t xml:space="preserve">Table </w:t>
      </w:r>
      <w:r w:rsidR="00095E12">
        <w:rPr>
          <w:noProof/>
        </w:rPr>
        <w:t>1</w:t>
      </w:r>
      <w:r w:rsidR="00095E12">
        <w:rPr>
          <w:noProof/>
        </w:rPr>
        <w:fldChar w:fldCharType="end"/>
      </w:r>
      <w:r w:rsidR="00BE6936">
        <w:t>.</w:t>
      </w:r>
      <w:r w:rsidR="00CC4EBD">
        <w:t xml:space="preserve"> </w:t>
      </w:r>
      <w:r>
        <w:t>T</w:t>
      </w:r>
      <w:r w:rsidR="00CC4EBD">
        <w:t>hey were not modified in the DCAR to incorporate PASC’s request that cascade testing not be restricted to first</w:t>
      </w:r>
      <w:r w:rsidR="00700383">
        <w:t>-</w:t>
      </w:r>
      <w:r w:rsidR="00CC4EBD">
        <w:t>degree relatives</w:t>
      </w:r>
      <w:r w:rsidR="00BE6936">
        <w:t>. Additional item descriptors are presented in</w:t>
      </w:r>
      <w:r w:rsidR="00663F00">
        <w:t xml:space="preserve"> </w:t>
      </w:r>
      <w:r w:rsidR="00095E12">
        <w:fldChar w:fldCharType="begin"/>
      </w:r>
      <w:r w:rsidR="00095E12">
        <w:instrText xml:space="preserve"> REF _Ref74142150 </w:instrText>
      </w:r>
      <w:r w:rsidR="00095E12">
        <w:fldChar w:fldCharType="separate"/>
      </w:r>
      <w:r w:rsidR="00095E12">
        <w:t xml:space="preserve">Table </w:t>
      </w:r>
      <w:r w:rsidR="00095E12">
        <w:rPr>
          <w:noProof/>
        </w:rPr>
        <w:t>2</w:t>
      </w:r>
      <w:r w:rsidR="00095E12">
        <w:rPr>
          <w:noProof/>
        </w:rPr>
        <w:fldChar w:fldCharType="end"/>
      </w:r>
      <w:r>
        <w:rPr>
          <w:noProof/>
        </w:rPr>
        <w:t xml:space="preserve"> – these were developed out-of-session by the Department, at PASC’s request</w:t>
      </w:r>
      <w:r w:rsidR="00BE6936">
        <w:t>. These were provided at a late stage in the evaluation process and consequently have not been</w:t>
      </w:r>
      <w:r w:rsidR="00A341A6">
        <w:t xml:space="preserve"> fully addressed in the</w:t>
      </w:r>
      <w:r w:rsidR="00BE6936">
        <w:t xml:space="preserve"> DCAR.</w:t>
      </w:r>
    </w:p>
    <w:p w14:paraId="0AFE528A" w14:textId="605F372F" w:rsidR="00BE6936" w:rsidRPr="00663F00" w:rsidRDefault="00663F00" w:rsidP="009B136F">
      <w:pPr>
        <w:pStyle w:val="Caption"/>
        <w:spacing w:before="240"/>
      </w:pPr>
      <w:bookmarkStart w:id="0" w:name="_Ref74142141"/>
      <w:bookmarkStart w:id="1" w:name="_Toc72826820"/>
      <w:r>
        <w:t xml:space="preserve">Table </w:t>
      </w:r>
      <w:r w:rsidR="00095E12">
        <w:fldChar w:fldCharType="begin"/>
      </w:r>
      <w:r w:rsidR="00095E12">
        <w:instrText xml:space="preserve"> SEQ Table \* ARABIC </w:instrText>
      </w:r>
      <w:r w:rsidR="00095E12">
        <w:fldChar w:fldCharType="separate"/>
      </w:r>
      <w:r w:rsidR="00095E12">
        <w:rPr>
          <w:noProof/>
        </w:rPr>
        <w:t>1</w:t>
      </w:r>
      <w:r w:rsidR="00095E12">
        <w:rPr>
          <w:noProof/>
        </w:rPr>
        <w:fldChar w:fldCharType="end"/>
      </w:r>
      <w:bookmarkEnd w:id="0"/>
      <w:r>
        <w:tab/>
      </w:r>
      <w:r w:rsidR="00BE6936" w:rsidRPr="00663F00">
        <w:t>Proposed MBS item</w:t>
      </w:r>
      <w:r w:rsidR="00E526D4">
        <w:t>s</w:t>
      </w:r>
      <w:bookmarkEnd w:id="1"/>
    </w:p>
    <w:tbl>
      <w:tblPr>
        <w:tblStyle w:val="TableGrid"/>
        <w:tblW w:w="4927" w:type="pct"/>
        <w:tblLook w:val="04A0" w:firstRow="1" w:lastRow="0" w:firstColumn="1" w:lastColumn="0" w:noHBand="0" w:noVBand="1"/>
        <w:tblCaption w:val="Table 1 Proposed MBS item descriptor"/>
        <w:tblDescription w:val="This table provides a description of the wording of the item to be included in the Medicare Benefits Schedule for this technology."/>
      </w:tblPr>
      <w:tblGrid>
        <w:gridCol w:w="9068"/>
      </w:tblGrid>
      <w:tr w:rsidR="00BE6936" w:rsidRPr="00FC7CC2" w14:paraId="7E7AFEFA" w14:textId="77777777" w:rsidTr="001E219D">
        <w:tc>
          <w:tcPr>
            <w:tcW w:w="5000" w:type="pct"/>
          </w:tcPr>
          <w:p w14:paraId="59B1363F" w14:textId="77777777" w:rsidR="00BE6936" w:rsidRPr="00FC7CC2" w:rsidRDefault="00BE6936" w:rsidP="00B05487">
            <w:pPr>
              <w:pStyle w:val="TableHeading"/>
              <w:keepNext w:val="0"/>
              <w:ind w:left="0" w:right="-23" w:firstLine="0"/>
              <w:jc w:val="right"/>
            </w:pPr>
            <w:r w:rsidRPr="00FC7CC2">
              <w:t>Category 6 (Pathology Services) – GROUP P7 GENETICS</w:t>
            </w:r>
          </w:p>
        </w:tc>
      </w:tr>
      <w:tr w:rsidR="00BE6936" w:rsidRPr="00FC7CC2" w14:paraId="169D7285" w14:textId="77777777" w:rsidTr="001E219D">
        <w:tc>
          <w:tcPr>
            <w:tcW w:w="5000" w:type="pct"/>
          </w:tcPr>
          <w:p w14:paraId="4F94B2D5" w14:textId="46FA03EE" w:rsidR="00BE6936" w:rsidRPr="00FC7CC2" w:rsidRDefault="00BE6936" w:rsidP="00B05487">
            <w:pPr>
              <w:pStyle w:val="TableHeading"/>
              <w:keepNext w:val="0"/>
              <w:ind w:left="0" w:right="-23" w:firstLine="0"/>
            </w:pPr>
            <w:r w:rsidRPr="00FC7CC2">
              <w:t>Proposed item: AAAA</w:t>
            </w:r>
          </w:p>
        </w:tc>
      </w:tr>
      <w:tr w:rsidR="00BE6936" w:rsidRPr="00FC7CC2" w14:paraId="448F6233" w14:textId="77777777" w:rsidTr="001E219D">
        <w:tc>
          <w:tcPr>
            <w:tcW w:w="5000" w:type="pct"/>
          </w:tcPr>
          <w:p w14:paraId="6E20F5A8" w14:textId="77777777" w:rsidR="003D44C4" w:rsidRDefault="00BE6936" w:rsidP="00B05487">
            <w:pPr>
              <w:pStyle w:val="TableText0"/>
              <w:ind w:right="-23"/>
              <w:rPr>
                <w:rFonts w:eastAsia="CIDFont+F5"/>
                <w:szCs w:val="20"/>
              </w:rPr>
            </w:pPr>
            <w:r w:rsidRPr="00FC7CC2">
              <w:rPr>
                <w:rFonts w:eastAsia="CIDFont+F5"/>
                <w:szCs w:val="20"/>
              </w:rPr>
              <w:t xml:space="preserve">Genotypic testing to identify the </w:t>
            </w:r>
            <w:r w:rsidR="009255F9">
              <w:rPr>
                <w:rFonts w:eastAsia="CIDFont+F5"/>
                <w:szCs w:val="20"/>
              </w:rPr>
              <w:t xml:space="preserve">[2 / </w:t>
            </w:r>
            <w:r w:rsidRPr="00FC7CC2">
              <w:rPr>
                <w:rFonts w:eastAsia="CIDFont+F5"/>
                <w:szCs w:val="20"/>
              </w:rPr>
              <w:t>14</w:t>
            </w:r>
            <w:r w:rsidR="009255F9">
              <w:rPr>
                <w:rFonts w:eastAsia="CIDFont+F5"/>
                <w:szCs w:val="20"/>
              </w:rPr>
              <w:t>]</w:t>
            </w:r>
            <w:r w:rsidR="00677A6C">
              <w:rPr>
                <w:rFonts w:eastAsia="CIDFont+F5"/>
                <w:szCs w:val="20"/>
              </w:rPr>
              <w:t>*</w:t>
            </w:r>
            <w:r w:rsidRPr="00FC7CC2">
              <w:rPr>
                <w:rFonts w:eastAsia="CIDFont+F5"/>
                <w:szCs w:val="20"/>
              </w:rPr>
              <w:t xml:space="preserve"> most common pathogenic variants in the </w:t>
            </w:r>
            <w:r w:rsidRPr="00FC7CC2">
              <w:rPr>
                <w:rFonts w:eastAsia="CIDFont+F5"/>
                <w:i/>
                <w:szCs w:val="20"/>
              </w:rPr>
              <w:t>SERPINA1</w:t>
            </w:r>
            <w:r w:rsidRPr="00FC7CC2">
              <w:rPr>
                <w:rFonts w:eastAsia="CIDFont+F5"/>
                <w:szCs w:val="20"/>
              </w:rPr>
              <w:t xml:space="preserve"> gene where the patient </w:t>
            </w:r>
          </w:p>
          <w:p w14:paraId="313F0354" w14:textId="20873E44" w:rsidR="00BE6936" w:rsidRPr="00FC7CC2" w:rsidRDefault="003D44C4" w:rsidP="00B05487">
            <w:pPr>
              <w:pStyle w:val="TableText0"/>
              <w:ind w:right="-23"/>
              <w:rPr>
                <w:rFonts w:eastAsia="CIDFont+F5"/>
                <w:szCs w:val="20"/>
              </w:rPr>
            </w:pPr>
            <w:r>
              <w:rPr>
                <w:rFonts w:eastAsia="CIDFont+F5"/>
                <w:szCs w:val="20"/>
              </w:rPr>
              <w:t xml:space="preserve">EITHER </w:t>
            </w:r>
            <w:r w:rsidR="00BE6936" w:rsidRPr="00FC7CC2">
              <w:rPr>
                <w:rFonts w:eastAsia="CIDFont+F5"/>
                <w:szCs w:val="20"/>
              </w:rPr>
              <w:t xml:space="preserve">has abnormally low (&lt;20 </w:t>
            </w:r>
            <w:r w:rsidR="00BE6936" w:rsidRPr="00FC7CC2">
              <w:rPr>
                <w:szCs w:val="20"/>
              </w:rPr>
              <w:t>μ</w:t>
            </w:r>
            <w:r w:rsidR="00BE6936" w:rsidRPr="00FC7CC2">
              <w:rPr>
                <w:rFonts w:eastAsia="CIDFont+F5"/>
                <w:szCs w:val="20"/>
              </w:rPr>
              <w:t>mol/L) AAT levels, as determined by item number 66635, and any of the following:</w:t>
            </w:r>
          </w:p>
          <w:p w14:paraId="596F6B08" w14:textId="77777777" w:rsidR="00BE6936" w:rsidRPr="00FC7CC2" w:rsidRDefault="00BE6936" w:rsidP="00B05487">
            <w:pPr>
              <w:pStyle w:val="TableText0"/>
              <w:numPr>
                <w:ilvl w:val="0"/>
                <w:numId w:val="16"/>
              </w:numPr>
              <w:ind w:left="0" w:right="-23" w:firstLine="0"/>
              <w:rPr>
                <w:rFonts w:eastAsia="CIDFont+F5"/>
                <w:szCs w:val="20"/>
              </w:rPr>
            </w:pPr>
            <w:r w:rsidRPr="00FC7CC2">
              <w:rPr>
                <w:rFonts w:eastAsia="CIDFont+F5"/>
                <w:szCs w:val="20"/>
              </w:rPr>
              <w:t>emphysema without exposure to tobacco smoke or air pollutants</w:t>
            </w:r>
          </w:p>
          <w:p w14:paraId="2269F09E" w14:textId="77777777" w:rsidR="00BE6936" w:rsidRPr="00FC7CC2" w:rsidRDefault="00BE6936" w:rsidP="00B05487">
            <w:pPr>
              <w:pStyle w:val="TableText0"/>
              <w:numPr>
                <w:ilvl w:val="0"/>
                <w:numId w:val="16"/>
              </w:numPr>
              <w:ind w:left="0" w:right="-23" w:firstLine="0"/>
              <w:rPr>
                <w:rFonts w:eastAsia="CIDFont+F5"/>
                <w:szCs w:val="20"/>
              </w:rPr>
            </w:pPr>
            <w:r w:rsidRPr="00FC7CC2">
              <w:rPr>
                <w:rFonts w:eastAsia="CIDFont+F5"/>
                <w:szCs w:val="20"/>
              </w:rPr>
              <w:t>emphysema at a young age</w:t>
            </w:r>
          </w:p>
          <w:p w14:paraId="5540A7A7" w14:textId="77777777" w:rsidR="00BE6936" w:rsidRPr="00FC7CC2" w:rsidRDefault="00BE6936" w:rsidP="00B05487">
            <w:pPr>
              <w:pStyle w:val="TableText0"/>
              <w:numPr>
                <w:ilvl w:val="0"/>
                <w:numId w:val="16"/>
              </w:numPr>
              <w:ind w:left="0" w:right="-23" w:firstLine="0"/>
              <w:rPr>
                <w:rFonts w:eastAsia="CIDFont+F5"/>
                <w:szCs w:val="20"/>
              </w:rPr>
            </w:pPr>
            <w:r w:rsidRPr="00FC7CC2">
              <w:rPr>
                <w:rFonts w:eastAsia="CIDFont+F5"/>
                <w:szCs w:val="20"/>
              </w:rPr>
              <w:t>basal emphysema</w:t>
            </w:r>
          </w:p>
          <w:p w14:paraId="2C6C8BBC" w14:textId="77777777" w:rsidR="00BE6936" w:rsidRPr="00FC7CC2" w:rsidRDefault="00BE6936" w:rsidP="00B05487">
            <w:pPr>
              <w:pStyle w:val="TableText0"/>
              <w:numPr>
                <w:ilvl w:val="0"/>
                <w:numId w:val="16"/>
              </w:numPr>
              <w:ind w:left="0" w:right="-23" w:firstLine="0"/>
              <w:rPr>
                <w:rFonts w:eastAsia="CIDFont+F5"/>
                <w:szCs w:val="20"/>
              </w:rPr>
            </w:pPr>
            <w:r w:rsidRPr="00FC7CC2">
              <w:rPr>
                <w:rFonts w:eastAsia="CIDFont+F5"/>
                <w:szCs w:val="20"/>
              </w:rPr>
              <w:t>panniculitis</w:t>
            </w:r>
          </w:p>
          <w:p w14:paraId="5B396B82" w14:textId="24E6E29E" w:rsidR="00BE6936" w:rsidRPr="00FC7CC2" w:rsidRDefault="00BE6936" w:rsidP="00B05487">
            <w:pPr>
              <w:pStyle w:val="TableText0"/>
              <w:numPr>
                <w:ilvl w:val="0"/>
                <w:numId w:val="16"/>
              </w:numPr>
              <w:ind w:left="0" w:right="-23" w:firstLine="0"/>
              <w:rPr>
                <w:rFonts w:eastAsia="CIDFont+F4"/>
                <w:szCs w:val="20"/>
              </w:rPr>
            </w:pPr>
            <w:r w:rsidRPr="00FC7CC2">
              <w:rPr>
                <w:rFonts w:eastAsia="CIDFont+F5"/>
                <w:szCs w:val="20"/>
              </w:rPr>
              <w:t xml:space="preserve">cirrhosis or liver function abnormalities (including neonatal hepatitis) without other risk factors </w:t>
            </w:r>
          </w:p>
          <w:p w14:paraId="44DAC31B" w14:textId="77777777" w:rsidR="009B136F" w:rsidRDefault="00BE6936" w:rsidP="009B136F">
            <w:pPr>
              <w:pStyle w:val="TableText0"/>
              <w:numPr>
                <w:ilvl w:val="0"/>
                <w:numId w:val="16"/>
              </w:numPr>
              <w:spacing w:before="240" w:after="240"/>
              <w:ind w:left="0" w:right="-23" w:firstLine="0"/>
              <w:rPr>
                <w:rFonts w:eastAsia="CIDFont+F5"/>
                <w:szCs w:val="20"/>
              </w:rPr>
            </w:pPr>
            <w:r w:rsidRPr="00FC7CC2">
              <w:rPr>
                <w:rFonts w:eastAsia="CIDFont+F5"/>
                <w:szCs w:val="20"/>
              </w:rPr>
              <w:t xml:space="preserve">anti-proteinase 3-positive vasculitis </w:t>
            </w:r>
          </w:p>
          <w:p w14:paraId="44DE4D9E" w14:textId="3D3F6A38" w:rsidR="00BE6936" w:rsidRPr="00FC7CC2" w:rsidRDefault="00BE6936" w:rsidP="009B136F">
            <w:pPr>
              <w:pStyle w:val="TableText0"/>
              <w:spacing w:before="240" w:after="240"/>
              <w:ind w:right="-23"/>
              <w:rPr>
                <w:rFonts w:eastAsia="CIDFont+F5"/>
                <w:szCs w:val="20"/>
              </w:rPr>
            </w:pPr>
            <w:r w:rsidRPr="00FC7CC2">
              <w:rPr>
                <w:rFonts w:eastAsia="CIDFont+F5"/>
                <w:szCs w:val="20"/>
              </w:rPr>
              <w:t>OR</w:t>
            </w:r>
          </w:p>
          <w:p w14:paraId="063607F1" w14:textId="3C7D17AE" w:rsidR="00BE6936" w:rsidRPr="009B136F" w:rsidRDefault="00BE6936" w:rsidP="00B05487">
            <w:pPr>
              <w:pStyle w:val="TableText0"/>
              <w:numPr>
                <w:ilvl w:val="0"/>
                <w:numId w:val="16"/>
              </w:numPr>
              <w:ind w:left="0" w:right="-23" w:firstLine="0"/>
              <w:rPr>
                <w:rFonts w:eastAsia="CIDFont+F5"/>
                <w:szCs w:val="20"/>
              </w:rPr>
            </w:pPr>
            <w:r w:rsidRPr="00FC7CC2">
              <w:rPr>
                <w:rFonts w:eastAsia="CIDFont+F5"/>
                <w:szCs w:val="20"/>
              </w:rPr>
              <w:t xml:space="preserve">demonstrated family history of AAT deficiency, defined as a relative with an identified pathogenic or likely pathogenic variant in the </w:t>
            </w:r>
            <w:r w:rsidRPr="00FC7CC2">
              <w:rPr>
                <w:rFonts w:eastAsia="CIDFont+F5"/>
                <w:i/>
                <w:szCs w:val="20"/>
              </w:rPr>
              <w:t>SERPINA1</w:t>
            </w:r>
            <w:r w:rsidRPr="00FC7CC2">
              <w:rPr>
                <w:rFonts w:eastAsia="CIDFont+F5"/>
                <w:szCs w:val="20"/>
              </w:rPr>
              <w:t xml:space="preserve"> gene, confirmed by a specialist or consultant physician.</w:t>
            </w:r>
          </w:p>
          <w:p w14:paraId="378E8868" w14:textId="2602553D" w:rsidR="00BE6936" w:rsidRPr="00FC7CC2" w:rsidRDefault="00BE6936" w:rsidP="009B136F">
            <w:pPr>
              <w:pStyle w:val="TableText0"/>
              <w:spacing w:before="240" w:after="240"/>
              <w:ind w:right="-23"/>
              <w:rPr>
                <w:rFonts w:eastAsia="CIDFont+F5"/>
                <w:szCs w:val="20"/>
              </w:rPr>
            </w:pPr>
            <w:r w:rsidRPr="00FC7CC2">
              <w:rPr>
                <w:rFonts w:eastAsia="CIDFont+F5"/>
                <w:szCs w:val="20"/>
              </w:rPr>
              <w:t>Maximum one test per lifetime.</w:t>
            </w:r>
          </w:p>
          <w:p w14:paraId="7B4CE293" w14:textId="62A2FBF0" w:rsidR="00BE6936" w:rsidRPr="00FC7CC2" w:rsidRDefault="00BE6936" w:rsidP="00B05487">
            <w:pPr>
              <w:pStyle w:val="TableText0"/>
              <w:ind w:right="-23"/>
              <w:rPr>
                <w:rFonts w:eastAsia="CIDFont+F5"/>
                <w:szCs w:val="20"/>
              </w:rPr>
            </w:pPr>
            <w:r w:rsidRPr="00FC7CC2">
              <w:rPr>
                <w:rFonts w:eastAsia="CIDFont+F5"/>
                <w:szCs w:val="20"/>
              </w:rPr>
              <w:t xml:space="preserve">Fee: </w:t>
            </w:r>
            <w:r w:rsidR="009255F9">
              <w:rPr>
                <w:rFonts w:eastAsia="CIDFont+F5"/>
                <w:szCs w:val="20"/>
              </w:rPr>
              <w:t xml:space="preserve">[$78 / </w:t>
            </w:r>
            <w:r w:rsidRPr="00FC7CC2">
              <w:rPr>
                <w:rFonts w:eastAsia="CIDFont+F5"/>
                <w:szCs w:val="20"/>
              </w:rPr>
              <w:t>$100</w:t>
            </w:r>
            <w:r w:rsidR="009255F9">
              <w:rPr>
                <w:rFonts w:eastAsia="CIDFont+F5"/>
                <w:szCs w:val="20"/>
              </w:rPr>
              <w:t>]*</w:t>
            </w:r>
          </w:p>
          <w:p w14:paraId="4F9D08BA" w14:textId="77777777" w:rsidR="00BE6936" w:rsidRPr="00FC7CC2" w:rsidRDefault="00BE6936" w:rsidP="009B136F">
            <w:pPr>
              <w:pStyle w:val="TableText0"/>
              <w:spacing w:before="240"/>
              <w:ind w:right="-23"/>
              <w:rPr>
                <w:rFonts w:eastAsia="CIDFont+F5"/>
                <w:szCs w:val="20"/>
              </w:rPr>
            </w:pPr>
            <w:r w:rsidRPr="00FC7CC2">
              <w:rPr>
                <w:rFonts w:eastAsia="CIDFont+F5"/>
                <w:szCs w:val="20"/>
              </w:rPr>
              <w:t>Practice Note:</w:t>
            </w:r>
          </w:p>
          <w:p w14:paraId="7059EABE" w14:textId="56BD17CF" w:rsidR="00BE6936" w:rsidRPr="00FC7CC2" w:rsidRDefault="00BE6936" w:rsidP="00B05487">
            <w:pPr>
              <w:pStyle w:val="TableText0"/>
              <w:ind w:right="-23"/>
              <w:rPr>
                <w:szCs w:val="20"/>
              </w:rPr>
            </w:pPr>
            <w:r w:rsidRPr="00FC7CC2">
              <w:rPr>
                <w:rFonts w:eastAsia="CIDFont+F5"/>
                <w:szCs w:val="20"/>
              </w:rPr>
              <w:t>The genotype test should have sufficient diagnostic range and sensitivity to detect at least 95% [or 99%] of</w:t>
            </w:r>
            <w:r w:rsidR="009255F9">
              <w:rPr>
                <w:rFonts w:eastAsia="CIDFont+F5"/>
                <w:szCs w:val="20"/>
              </w:rPr>
              <w:t xml:space="preserve"> </w:t>
            </w:r>
            <w:r w:rsidRPr="00FC7CC2">
              <w:rPr>
                <w:rFonts w:eastAsia="CIDFont+F5"/>
                <w:szCs w:val="20"/>
              </w:rPr>
              <w:t xml:space="preserve">pathogenic </w:t>
            </w:r>
            <w:r w:rsidRPr="00FC7CC2">
              <w:rPr>
                <w:rFonts w:eastAsia="CIDFont+F5"/>
                <w:i/>
                <w:szCs w:val="20"/>
              </w:rPr>
              <w:t>SERPINA1</w:t>
            </w:r>
            <w:r w:rsidRPr="00FC7CC2">
              <w:rPr>
                <w:rFonts w:eastAsia="CIDFont+F5"/>
                <w:szCs w:val="20"/>
              </w:rPr>
              <w:t xml:space="preserve"> variants likely to be present in the patient. </w:t>
            </w:r>
            <w:r w:rsidR="00677A6C">
              <w:rPr>
                <w:rFonts w:eastAsia="CIDFont+F5"/>
                <w:szCs w:val="20"/>
              </w:rPr>
              <w:t>(</w:t>
            </w:r>
            <w:r w:rsidRPr="00FC7CC2">
              <w:rPr>
                <w:rFonts w:eastAsia="CIDFont+F5"/>
                <w:szCs w:val="20"/>
              </w:rPr>
              <w:t>For the 2-variant option, these should be the S (p.Glu288Val) and Z (p.Glu366Lys) variants. For the 14-variant option, these should be the 14 most common pathogenic variants.</w:t>
            </w:r>
            <w:r w:rsidR="00677A6C">
              <w:rPr>
                <w:rFonts w:eastAsia="CIDFont+F5"/>
                <w:szCs w:val="20"/>
              </w:rPr>
              <w:t>)</w:t>
            </w:r>
          </w:p>
        </w:tc>
      </w:tr>
      <w:tr w:rsidR="00BE6936" w:rsidRPr="00FC7CC2" w14:paraId="4AE0D7CD" w14:textId="77777777" w:rsidTr="001E219D">
        <w:tc>
          <w:tcPr>
            <w:tcW w:w="5000" w:type="pct"/>
          </w:tcPr>
          <w:p w14:paraId="4BB71D03" w14:textId="0CB9DE8C" w:rsidR="00BE6936" w:rsidRPr="00FC7CC2" w:rsidRDefault="00BE6936" w:rsidP="00B05487">
            <w:pPr>
              <w:pStyle w:val="TableHeading"/>
              <w:keepNext w:val="0"/>
              <w:ind w:left="0" w:right="-23" w:firstLine="0"/>
              <w:rPr>
                <w:rFonts w:eastAsia="CIDFont+F5"/>
              </w:rPr>
            </w:pPr>
            <w:r w:rsidRPr="00FC7CC2">
              <w:t xml:space="preserve">Proposed item: </w:t>
            </w:r>
            <w:r w:rsidRPr="00FC7CC2">
              <w:rPr>
                <w:rFonts w:eastAsia="CIDFont+F5"/>
              </w:rPr>
              <w:t>BBBB</w:t>
            </w:r>
          </w:p>
        </w:tc>
      </w:tr>
      <w:tr w:rsidR="00BE6936" w:rsidRPr="00FC7CC2" w14:paraId="626AC03A" w14:textId="77777777" w:rsidTr="001E219D">
        <w:tc>
          <w:tcPr>
            <w:tcW w:w="5000" w:type="pct"/>
          </w:tcPr>
          <w:p w14:paraId="2EC3B9E7" w14:textId="77777777" w:rsidR="00BE6936" w:rsidRPr="00FC7CC2" w:rsidRDefault="00BE6936" w:rsidP="00B05487">
            <w:pPr>
              <w:pStyle w:val="TableText0"/>
              <w:ind w:right="-23"/>
              <w:rPr>
                <w:rFonts w:eastAsia="CIDFont+F5"/>
                <w:szCs w:val="20"/>
              </w:rPr>
            </w:pPr>
            <w:r w:rsidRPr="00FC7CC2">
              <w:rPr>
                <w:rFonts w:eastAsia="CIDFont+F5"/>
                <w:szCs w:val="20"/>
              </w:rPr>
              <w:t xml:space="preserve">Sequencing of the </w:t>
            </w:r>
            <w:r w:rsidRPr="00FC7CC2">
              <w:rPr>
                <w:rFonts w:eastAsia="CIDFont+F5"/>
                <w:i/>
                <w:szCs w:val="20"/>
              </w:rPr>
              <w:t>SERPINA1</w:t>
            </w:r>
            <w:r w:rsidRPr="00FC7CC2">
              <w:rPr>
                <w:rFonts w:eastAsia="CIDFont+F5"/>
                <w:szCs w:val="20"/>
              </w:rPr>
              <w:t xml:space="preserve"> gene to identify an alpha-1 antitrypsin (AAT) pathogenic variant where the result after genotyping using item number AAAA is inconclusive; requested by a pathologist, specialist or consultant physician.</w:t>
            </w:r>
          </w:p>
          <w:p w14:paraId="25BF9202" w14:textId="77777777" w:rsidR="00BE6936" w:rsidRPr="00FC7CC2" w:rsidRDefault="00BE6936" w:rsidP="00B05487">
            <w:pPr>
              <w:pStyle w:val="TableText0"/>
              <w:ind w:right="-23"/>
              <w:rPr>
                <w:rFonts w:eastAsia="CIDFont+F5"/>
                <w:szCs w:val="20"/>
              </w:rPr>
            </w:pPr>
            <w:r w:rsidRPr="00FC7CC2">
              <w:rPr>
                <w:rFonts w:eastAsia="CIDFont+F5"/>
                <w:szCs w:val="20"/>
              </w:rPr>
              <w:t>Maximum one test per lifetime.</w:t>
            </w:r>
          </w:p>
          <w:p w14:paraId="41512E51" w14:textId="77777777" w:rsidR="00BE6936" w:rsidRPr="00FC7CC2" w:rsidRDefault="00BE6936" w:rsidP="009B136F">
            <w:pPr>
              <w:pStyle w:val="TableText0"/>
              <w:spacing w:after="240"/>
              <w:ind w:right="-23"/>
              <w:rPr>
                <w:rFonts w:eastAsia="CIDFont+F5"/>
                <w:szCs w:val="20"/>
              </w:rPr>
            </w:pPr>
            <w:r w:rsidRPr="00FC7CC2">
              <w:rPr>
                <w:rFonts w:eastAsia="CIDFont+F5"/>
                <w:szCs w:val="20"/>
              </w:rPr>
              <w:t>Fee: $260</w:t>
            </w:r>
          </w:p>
        </w:tc>
      </w:tr>
      <w:tr w:rsidR="00BE6936" w:rsidRPr="00FC7CC2" w14:paraId="7B461059" w14:textId="77777777" w:rsidTr="001E219D">
        <w:tc>
          <w:tcPr>
            <w:tcW w:w="5000" w:type="pct"/>
          </w:tcPr>
          <w:p w14:paraId="345D5301" w14:textId="519B45E0" w:rsidR="00BE6936" w:rsidRPr="00FC7CC2" w:rsidRDefault="00BE6936" w:rsidP="00B05487">
            <w:pPr>
              <w:pStyle w:val="TableHeading"/>
              <w:keepNext w:val="0"/>
              <w:ind w:left="0" w:right="-23" w:firstLine="0"/>
              <w:rPr>
                <w:rFonts w:eastAsia="CIDFont+F5"/>
              </w:rPr>
            </w:pPr>
            <w:r w:rsidRPr="00FC7CC2">
              <w:lastRenderedPageBreak/>
              <w:t xml:space="preserve">Proposed item: </w:t>
            </w:r>
            <w:r w:rsidRPr="00FC7CC2">
              <w:rPr>
                <w:rFonts w:eastAsia="CIDFont+F5"/>
              </w:rPr>
              <w:t>CCCC</w:t>
            </w:r>
          </w:p>
        </w:tc>
      </w:tr>
      <w:tr w:rsidR="00BE6936" w:rsidRPr="00FC7CC2" w14:paraId="67860E7F" w14:textId="77777777" w:rsidTr="001E219D">
        <w:tc>
          <w:tcPr>
            <w:tcW w:w="5000" w:type="pct"/>
          </w:tcPr>
          <w:p w14:paraId="49EE0F02" w14:textId="77777777" w:rsidR="00BE6936" w:rsidRPr="00FC7CC2" w:rsidRDefault="00BE6936" w:rsidP="00B05487">
            <w:pPr>
              <w:pStyle w:val="TableText0"/>
              <w:ind w:right="-23"/>
              <w:rPr>
                <w:rFonts w:eastAsia="CIDFont+F5"/>
                <w:szCs w:val="20"/>
              </w:rPr>
            </w:pPr>
            <w:r w:rsidRPr="00FC7CC2">
              <w:rPr>
                <w:rFonts w:eastAsia="CIDFont+F5"/>
                <w:szCs w:val="20"/>
              </w:rPr>
              <w:t>Characterisation of a pathogenic variant in the</w:t>
            </w:r>
            <w:r w:rsidRPr="00FC7CC2">
              <w:rPr>
                <w:rFonts w:eastAsia="CIDFont+F5"/>
                <w:i/>
                <w:szCs w:val="20"/>
              </w:rPr>
              <w:t xml:space="preserve"> SERPINA1</w:t>
            </w:r>
            <w:r w:rsidRPr="00FC7CC2">
              <w:rPr>
                <w:rFonts w:eastAsia="CIDFont+F5"/>
                <w:szCs w:val="20"/>
              </w:rPr>
              <w:t xml:space="preserve"> gene in an individual who is a first-degree relative of a patient who has had a pathogenic or likely pathogenic variant identified in this gene, and has not previously received a service under items AAAA or BBBB; requested by a specialist or consultant physician.</w:t>
            </w:r>
          </w:p>
          <w:p w14:paraId="4CC29020" w14:textId="77777777" w:rsidR="00BE6936" w:rsidRPr="00FC7CC2" w:rsidRDefault="00BE6936" w:rsidP="00B05487">
            <w:pPr>
              <w:pStyle w:val="TableText0"/>
              <w:ind w:right="-23"/>
              <w:rPr>
                <w:rFonts w:eastAsia="CIDFont+F5"/>
                <w:szCs w:val="20"/>
              </w:rPr>
            </w:pPr>
            <w:r w:rsidRPr="00FC7CC2">
              <w:rPr>
                <w:rFonts w:eastAsia="CIDFont+F5"/>
                <w:szCs w:val="20"/>
              </w:rPr>
              <w:t>Maximum one test per lifetime.</w:t>
            </w:r>
          </w:p>
          <w:p w14:paraId="5F1FF1A4" w14:textId="77777777" w:rsidR="00BE6936" w:rsidRPr="00FC7CC2" w:rsidRDefault="00BE6936" w:rsidP="00B05487">
            <w:pPr>
              <w:pStyle w:val="TableText0"/>
              <w:ind w:right="-23"/>
              <w:rPr>
                <w:rFonts w:eastAsia="CIDFont+F5"/>
                <w:szCs w:val="20"/>
              </w:rPr>
            </w:pPr>
            <w:r w:rsidRPr="00FC7CC2">
              <w:rPr>
                <w:rFonts w:eastAsia="CIDFont+F5"/>
                <w:szCs w:val="20"/>
              </w:rPr>
              <w:t>Fee: [$78 / $100]*</w:t>
            </w:r>
          </w:p>
        </w:tc>
      </w:tr>
    </w:tbl>
    <w:p w14:paraId="1A859EA6" w14:textId="470A6CDB" w:rsidR="00663F00" w:rsidRDefault="00663F00" w:rsidP="00B05487">
      <w:pPr>
        <w:pStyle w:val="Tabletext"/>
      </w:pPr>
      <w:r w:rsidRPr="007018A5">
        <w:t xml:space="preserve">* Note: </w:t>
      </w:r>
      <w:r>
        <w:t>the square brackets indicate contingencies dependent on whether MSAC selects the 2- or 14-variant panel for item AAAA.</w:t>
      </w:r>
    </w:p>
    <w:p w14:paraId="5389DA4E" w14:textId="150D5A30" w:rsidR="00BE6936" w:rsidRDefault="00BE6936" w:rsidP="009B136F">
      <w:pPr>
        <w:pStyle w:val="Tabletext"/>
      </w:pPr>
      <w:r>
        <w:t>Source: DCAR, Table 1.</w:t>
      </w:r>
    </w:p>
    <w:p w14:paraId="45CF8234" w14:textId="3E2E5CAC" w:rsidR="00663F00" w:rsidRDefault="00663F00" w:rsidP="009B136F">
      <w:pPr>
        <w:pStyle w:val="Caption"/>
        <w:spacing w:before="240"/>
      </w:pPr>
      <w:bookmarkStart w:id="2" w:name="_Ref74142150"/>
      <w:r>
        <w:t xml:space="preserve">Table </w:t>
      </w:r>
      <w:r w:rsidR="00095E12">
        <w:fldChar w:fldCharType="begin"/>
      </w:r>
      <w:r w:rsidR="00095E12">
        <w:instrText xml:space="preserve"> SEQ Table \* ARABIC </w:instrText>
      </w:r>
      <w:r w:rsidR="00095E12">
        <w:fldChar w:fldCharType="separate"/>
      </w:r>
      <w:r w:rsidR="00095E12">
        <w:rPr>
          <w:noProof/>
        </w:rPr>
        <w:t>2</w:t>
      </w:r>
      <w:r w:rsidR="00095E12">
        <w:rPr>
          <w:noProof/>
        </w:rPr>
        <w:fldChar w:fldCharType="end"/>
      </w:r>
      <w:bookmarkEnd w:id="2"/>
      <w:r>
        <w:tab/>
      </w:r>
      <w:bookmarkStart w:id="3" w:name="_Toc70921011"/>
      <w:bookmarkStart w:id="4" w:name="_Toc72826821"/>
      <w:r w:rsidRPr="00183E4D">
        <w:t xml:space="preserve">Proposed </w:t>
      </w:r>
      <w:r>
        <w:t xml:space="preserve">additional </w:t>
      </w:r>
      <w:r w:rsidRPr="005670DD">
        <w:t>MBS item</w:t>
      </w:r>
      <w:bookmarkEnd w:id="3"/>
      <w:bookmarkEnd w:id="4"/>
      <w:r w:rsidR="00E526D4">
        <w:t>s</w:t>
      </w:r>
    </w:p>
    <w:tbl>
      <w:tblPr>
        <w:tblStyle w:val="TableGrid"/>
        <w:tblW w:w="9067" w:type="dxa"/>
        <w:tblLook w:val="04A0" w:firstRow="1" w:lastRow="0" w:firstColumn="1" w:lastColumn="0" w:noHBand="0" w:noVBand="1"/>
        <w:tblCaption w:val="Proposed Item Descriptor Table"/>
        <w:tblDescription w:val="Please enter the:&#10;1. proposed category number from the MBS;&#10;2. proposed categroy description from the MBS;&#10;3. proposed item descriptor; and&#10;4. proposed fee."/>
      </w:tblPr>
      <w:tblGrid>
        <w:gridCol w:w="9067"/>
      </w:tblGrid>
      <w:tr w:rsidR="00BE6936" w:rsidRPr="00FC7CC2" w14:paraId="07B843F3" w14:textId="77777777" w:rsidTr="001E219D">
        <w:trPr>
          <w:cantSplit/>
        </w:trPr>
        <w:tc>
          <w:tcPr>
            <w:tcW w:w="9067" w:type="dxa"/>
          </w:tcPr>
          <w:p w14:paraId="6583AE08" w14:textId="56729A25" w:rsidR="00BE6936" w:rsidRPr="00FC7CC2" w:rsidRDefault="00BE6936" w:rsidP="00B05487">
            <w:pPr>
              <w:pStyle w:val="TableHeading"/>
              <w:keepNext w:val="0"/>
              <w:ind w:left="0" w:right="-23" w:firstLine="0"/>
            </w:pPr>
            <w:r w:rsidRPr="00FC7CC2">
              <w:t>Proposed item: DDDD</w:t>
            </w:r>
          </w:p>
        </w:tc>
      </w:tr>
      <w:tr w:rsidR="00BE6936" w:rsidRPr="00FC7CC2" w14:paraId="0C2F96AA" w14:textId="77777777" w:rsidTr="001E219D">
        <w:trPr>
          <w:cantSplit/>
        </w:trPr>
        <w:tc>
          <w:tcPr>
            <w:tcW w:w="9067" w:type="dxa"/>
          </w:tcPr>
          <w:p w14:paraId="431368FD" w14:textId="77777777" w:rsidR="00BE6936" w:rsidRPr="00FC7CC2" w:rsidRDefault="00BE6936" w:rsidP="00B05487">
            <w:pPr>
              <w:pStyle w:val="TableText0"/>
              <w:keepLines/>
              <w:ind w:right="-23"/>
              <w:rPr>
                <w:rFonts w:eastAsia="CIDFont+F5"/>
                <w:szCs w:val="20"/>
              </w:rPr>
            </w:pPr>
            <w:r w:rsidRPr="00FC7CC2">
              <w:rPr>
                <w:rFonts w:eastAsia="CIDFont+F5"/>
                <w:szCs w:val="20"/>
              </w:rPr>
              <w:t xml:space="preserve">Genotypic testing to identify at least [the S and Z / 14]* pathogenic variants in the </w:t>
            </w:r>
            <w:r w:rsidRPr="00FC7CC2">
              <w:rPr>
                <w:rFonts w:eastAsia="CIDFont+F5"/>
                <w:i/>
                <w:szCs w:val="20"/>
              </w:rPr>
              <w:t>SERPINA1</w:t>
            </w:r>
            <w:r w:rsidRPr="00FC7CC2">
              <w:rPr>
                <w:rFonts w:eastAsia="CIDFont+F5"/>
                <w:szCs w:val="20"/>
              </w:rPr>
              <w:t xml:space="preserve"> gene in:</w:t>
            </w:r>
          </w:p>
          <w:p w14:paraId="5AAF9617" w14:textId="77777777" w:rsidR="00BE6936" w:rsidRPr="00FC7CC2" w:rsidRDefault="00BE6936" w:rsidP="00B05487">
            <w:pPr>
              <w:pStyle w:val="TableText0"/>
              <w:keepNext/>
              <w:keepLines/>
              <w:numPr>
                <w:ilvl w:val="0"/>
                <w:numId w:val="17"/>
              </w:numPr>
              <w:ind w:left="0" w:right="-23" w:firstLine="0"/>
              <w:rPr>
                <w:rFonts w:eastAsia="CIDFont+F5"/>
                <w:szCs w:val="20"/>
              </w:rPr>
            </w:pPr>
            <w:r w:rsidRPr="00FC7CC2">
              <w:rPr>
                <w:rFonts w:eastAsia="CIDFont+F5"/>
                <w:szCs w:val="20"/>
              </w:rPr>
              <w:t>the reproductive partner of an individual with AAT deficiency (confirmed by AAAA or BBBB or CCCC), or</w:t>
            </w:r>
          </w:p>
          <w:p w14:paraId="1A0B1B8A" w14:textId="0373EB9C" w:rsidR="00BE6936" w:rsidRPr="009B136F" w:rsidRDefault="00BE6936" w:rsidP="00B05487">
            <w:pPr>
              <w:pStyle w:val="TableText0"/>
              <w:keepNext/>
              <w:keepLines/>
              <w:numPr>
                <w:ilvl w:val="0"/>
                <w:numId w:val="17"/>
              </w:numPr>
              <w:ind w:left="0" w:right="-23" w:firstLine="0"/>
              <w:rPr>
                <w:rFonts w:eastAsia="CIDFont+F5"/>
                <w:szCs w:val="20"/>
              </w:rPr>
            </w:pPr>
            <w:r w:rsidRPr="00FC7CC2">
              <w:rPr>
                <w:rFonts w:eastAsia="CIDFont+F5"/>
                <w:szCs w:val="20"/>
              </w:rPr>
              <w:t>the reproductive partner of an individual who is a carrier of an AAT deficiency allele (confirmed by AAAA or BBBB or CCCC).</w:t>
            </w:r>
          </w:p>
          <w:p w14:paraId="3593BF5F" w14:textId="11227519" w:rsidR="00BE6936" w:rsidRPr="00FC7CC2" w:rsidRDefault="00BE6936" w:rsidP="009B136F">
            <w:pPr>
              <w:pStyle w:val="TableText0"/>
              <w:keepLines/>
              <w:spacing w:before="240" w:after="240"/>
              <w:ind w:right="-23"/>
              <w:rPr>
                <w:rFonts w:eastAsia="CIDFont+F5"/>
                <w:szCs w:val="20"/>
              </w:rPr>
            </w:pPr>
            <w:r w:rsidRPr="00FC7CC2">
              <w:rPr>
                <w:rFonts w:eastAsia="CIDFont+F5"/>
                <w:szCs w:val="20"/>
              </w:rPr>
              <w:t>Requested by a specialist or consultant physician.</w:t>
            </w:r>
          </w:p>
          <w:p w14:paraId="1C734350" w14:textId="64DB829D" w:rsidR="00BE6936" w:rsidRPr="00FC7CC2" w:rsidRDefault="00BE6936" w:rsidP="00B05487">
            <w:pPr>
              <w:pStyle w:val="TableText0"/>
              <w:keepLines/>
              <w:ind w:right="-23"/>
              <w:rPr>
                <w:rFonts w:eastAsia="CIDFont+F5"/>
                <w:szCs w:val="20"/>
              </w:rPr>
            </w:pPr>
            <w:r w:rsidRPr="00FC7CC2">
              <w:rPr>
                <w:rFonts w:eastAsia="CIDFont+F5"/>
                <w:szCs w:val="20"/>
              </w:rPr>
              <w:t>Maximum one test per lifetime.</w:t>
            </w:r>
          </w:p>
          <w:p w14:paraId="0CEA1B8D" w14:textId="77777777" w:rsidR="00BE6936" w:rsidRPr="00FC7CC2" w:rsidRDefault="00BE6936" w:rsidP="009B136F">
            <w:pPr>
              <w:pStyle w:val="TableText0"/>
              <w:keepLines/>
              <w:spacing w:before="240"/>
              <w:ind w:right="-23"/>
              <w:rPr>
                <w:rFonts w:eastAsia="CIDFont+F5"/>
                <w:szCs w:val="20"/>
              </w:rPr>
            </w:pPr>
            <w:r w:rsidRPr="00FC7CC2">
              <w:rPr>
                <w:rFonts w:eastAsia="CIDFont+F5"/>
                <w:szCs w:val="20"/>
              </w:rPr>
              <w:t>Fee: [$78 / $100]*</w:t>
            </w:r>
          </w:p>
        </w:tc>
      </w:tr>
      <w:tr w:rsidR="00BE6936" w:rsidRPr="00FC7CC2" w14:paraId="40C84271" w14:textId="77777777" w:rsidTr="001E219D">
        <w:trPr>
          <w:cantSplit/>
        </w:trPr>
        <w:tc>
          <w:tcPr>
            <w:tcW w:w="9067" w:type="dxa"/>
          </w:tcPr>
          <w:p w14:paraId="18B3B234" w14:textId="059064B2" w:rsidR="00BE6936" w:rsidRPr="00FC7CC2" w:rsidRDefault="00BE6936" w:rsidP="00B05487">
            <w:pPr>
              <w:pStyle w:val="TableHeading"/>
              <w:keepNext w:val="0"/>
              <w:ind w:left="0" w:right="-23" w:firstLine="0"/>
            </w:pPr>
            <w:r w:rsidRPr="00FC7CC2">
              <w:t>Proposed item: EEEE</w:t>
            </w:r>
          </w:p>
        </w:tc>
      </w:tr>
      <w:tr w:rsidR="00BE6936" w:rsidRPr="00FC7CC2" w14:paraId="16F1D930" w14:textId="77777777" w:rsidTr="001E219D">
        <w:trPr>
          <w:cantSplit/>
        </w:trPr>
        <w:tc>
          <w:tcPr>
            <w:tcW w:w="9067" w:type="dxa"/>
          </w:tcPr>
          <w:p w14:paraId="54A396A1" w14:textId="0312B8C3" w:rsidR="00BE6936" w:rsidRPr="00FC7CC2" w:rsidRDefault="00BE6936" w:rsidP="00B05487">
            <w:pPr>
              <w:pStyle w:val="TableText0"/>
              <w:keepLines/>
              <w:ind w:right="-23"/>
              <w:rPr>
                <w:rFonts w:eastAsia="CIDFont+F5"/>
                <w:szCs w:val="20"/>
              </w:rPr>
            </w:pPr>
            <w:r w:rsidRPr="00FC7CC2">
              <w:rPr>
                <w:rFonts w:eastAsia="CIDFont+F5"/>
                <w:szCs w:val="20"/>
              </w:rPr>
              <w:t xml:space="preserve">Genotypic testing of pregnant patient to identify, in the fetus, the pathogenic variants in the </w:t>
            </w:r>
            <w:r w:rsidRPr="00FC7CC2">
              <w:rPr>
                <w:rFonts w:eastAsia="CIDFont+F5"/>
                <w:i/>
                <w:szCs w:val="20"/>
              </w:rPr>
              <w:t>SERPINA1</w:t>
            </w:r>
            <w:r w:rsidRPr="00FC7CC2">
              <w:rPr>
                <w:rFonts w:eastAsia="CIDFont+F5"/>
                <w:szCs w:val="20"/>
              </w:rPr>
              <w:t xml:space="preserve"> gene present in each reproductive partner, where both reproductive partners have either AAT deficiency or carry an AAT deficiency allele (confirmed by AAAA or BBBB or CCCC or DDDD), and where no pre-implantation diagnosis is made.</w:t>
            </w:r>
          </w:p>
          <w:p w14:paraId="195FD9DA" w14:textId="0046C5E5" w:rsidR="00BE6936" w:rsidRPr="00FC7CC2" w:rsidRDefault="00BE6936" w:rsidP="009B136F">
            <w:pPr>
              <w:pStyle w:val="TableText0"/>
              <w:keepLines/>
              <w:spacing w:before="240" w:after="240"/>
              <w:ind w:right="-23"/>
              <w:rPr>
                <w:rFonts w:eastAsia="CIDFont+F5"/>
                <w:szCs w:val="20"/>
              </w:rPr>
            </w:pPr>
            <w:r w:rsidRPr="00FC7CC2">
              <w:rPr>
                <w:rFonts w:eastAsia="CIDFont+F5"/>
                <w:szCs w:val="20"/>
              </w:rPr>
              <w:t>Requested by a specialist or consultant physician.</w:t>
            </w:r>
          </w:p>
          <w:p w14:paraId="51368F2D" w14:textId="01343D28" w:rsidR="00BE6936" w:rsidRPr="00FC7CC2" w:rsidRDefault="00BE6936" w:rsidP="00B05487">
            <w:pPr>
              <w:pStyle w:val="TableText0"/>
              <w:keepLines/>
              <w:ind w:right="-23"/>
              <w:rPr>
                <w:rFonts w:eastAsia="CIDFont+F5"/>
                <w:szCs w:val="20"/>
              </w:rPr>
            </w:pPr>
            <w:r w:rsidRPr="00FC7CC2">
              <w:rPr>
                <w:rFonts w:eastAsia="CIDFont+F5"/>
                <w:szCs w:val="20"/>
              </w:rPr>
              <w:t>Maximum one test per pregnancy.</w:t>
            </w:r>
          </w:p>
          <w:p w14:paraId="351F905C" w14:textId="77777777" w:rsidR="00BE6936" w:rsidRPr="00FC7CC2" w:rsidRDefault="00BE6936" w:rsidP="009B136F">
            <w:pPr>
              <w:pStyle w:val="TableText0"/>
              <w:keepLines/>
              <w:spacing w:before="240"/>
              <w:ind w:right="-23"/>
              <w:rPr>
                <w:rFonts w:eastAsia="CIDFont+F5"/>
                <w:szCs w:val="20"/>
              </w:rPr>
            </w:pPr>
            <w:r w:rsidRPr="00FC7CC2">
              <w:rPr>
                <w:rFonts w:eastAsia="CIDFont+F5"/>
                <w:szCs w:val="20"/>
              </w:rPr>
              <w:t>Fee: [$78 / $100]*</w:t>
            </w:r>
          </w:p>
        </w:tc>
      </w:tr>
    </w:tbl>
    <w:p w14:paraId="5725D004" w14:textId="77777777" w:rsidR="00BE6936" w:rsidRDefault="00BE6936" w:rsidP="00B05487">
      <w:pPr>
        <w:pStyle w:val="Tabletext"/>
      </w:pPr>
      <w:r w:rsidRPr="007018A5">
        <w:t xml:space="preserve">* Note: </w:t>
      </w:r>
      <w:r>
        <w:t>the square brackets indicate contingencies dependent on whether MSAC selects the 2- or 14-variant panel for item AAAA. T</w:t>
      </w:r>
      <w:r w:rsidRPr="007018A5">
        <w:t>he $78 fee would apply due to the lower number of variants to be identified, matching the proposed item CCCC (and proposed item AAAA</w:t>
      </w:r>
      <w:r>
        <w:t>)</w:t>
      </w:r>
      <w:r w:rsidRPr="007018A5">
        <w:t xml:space="preserve"> if the </w:t>
      </w:r>
      <w:r>
        <w:t>2-variant panel</w:t>
      </w:r>
      <w:r w:rsidRPr="007018A5">
        <w:t xml:space="preserve"> is </w:t>
      </w:r>
      <w:r>
        <w:t>supported</w:t>
      </w:r>
      <w:r w:rsidRPr="007018A5">
        <w:t>.</w:t>
      </w:r>
    </w:p>
    <w:p w14:paraId="75ECF884" w14:textId="77777777" w:rsidR="00100C2E" w:rsidRDefault="00BE6936" w:rsidP="00100C2E">
      <w:pPr>
        <w:pStyle w:val="Tabletext"/>
      </w:pPr>
      <w:r>
        <w:t>Source: DCAR Table 2, from Department post-PASC document providing additional item descriptors</w:t>
      </w:r>
      <w:r w:rsidR="00A341A6">
        <w:t>.</w:t>
      </w:r>
    </w:p>
    <w:p w14:paraId="6481DF7B" w14:textId="7F7FA1E5" w:rsidR="00100C2E" w:rsidRDefault="00100C2E" w:rsidP="009B136F">
      <w:pPr>
        <w:spacing w:before="240"/>
      </w:pPr>
      <w:r>
        <w:t xml:space="preserve">Several MBS listing decision options were available to MSAC (see </w:t>
      </w:r>
      <w:r w:rsidR="00095E12">
        <w:fldChar w:fldCharType="begin"/>
      </w:r>
      <w:r w:rsidR="00095E12">
        <w:instrText xml:space="preserve"> REF _Ref74220322 </w:instrText>
      </w:r>
      <w:r w:rsidR="00095E12">
        <w:fldChar w:fldCharType="separate"/>
      </w:r>
      <w:r w:rsidR="00095E12" w:rsidRPr="00583630">
        <w:t xml:space="preserve">Table </w:t>
      </w:r>
      <w:r w:rsidR="00095E12">
        <w:rPr>
          <w:noProof/>
        </w:rPr>
        <w:t>12</w:t>
      </w:r>
      <w:r w:rsidR="00095E12">
        <w:rPr>
          <w:noProof/>
        </w:rPr>
        <w:fldChar w:fldCharType="end"/>
      </w:r>
      <w:r>
        <w:t>), including the option to consider Intervention 1 (the 2-or 14-variant panel) alone, without sequencing as follow on test:</w:t>
      </w:r>
    </w:p>
    <w:p w14:paraId="65676ED0" w14:textId="77777777" w:rsidR="00100C2E" w:rsidRDefault="00100C2E" w:rsidP="00100C2E">
      <w:pPr>
        <w:pStyle w:val="ListParagraph"/>
        <w:numPr>
          <w:ilvl w:val="0"/>
          <w:numId w:val="41"/>
        </w:numPr>
      </w:pPr>
      <w:r>
        <w:t>14-variant panel alone</w:t>
      </w:r>
    </w:p>
    <w:p w14:paraId="4C130870" w14:textId="77777777" w:rsidR="00100C2E" w:rsidRDefault="00100C2E" w:rsidP="00100C2E">
      <w:pPr>
        <w:pStyle w:val="ListParagraph"/>
        <w:numPr>
          <w:ilvl w:val="0"/>
          <w:numId w:val="41"/>
        </w:numPr>
      </w:pPr>
      <w:r>
        <w:t>14-variant panel with sequencing (applicant’s requested listing)</w:t>
      </w:r>
    </w:p>
    <w:p w14:paraId="11379997" w14:textId="77777777" w:rsidR="00100C2E" w:rsidRDefault="00100C2E" w:rsidP="00100C2E">
      <w:pPr>
        <w:pStyle w:val="ListParagraph"/>
        <w:numPr>
          <w:ilvl w:val="0"/>
          <w:numId w:val="41"/>
        </w:numPr>
      </w:pPr>
      <w:r>
        <w:t>2-variant panel alone</w:t>
      </w:r>
    </w:p>
    <w:p w14:paraId="216DC68B" w14:textId="3C3AE851" w:rsidR="00962750" w:rsidRDefault="00100C2E" w:rsidP="00962750">
      <w:pPr>
        <w:pStyle w:val="ListParagraph"/>
        <w:numPr>
          <w:ilvl w:val="0"/>
          <w:numId w:val="41"/>
        </w:numPr>
      </w:pPr>
      <w:r>
        <w:t>2-variant panel with sequencing (PASC’s suggested alternative listing)</w:t>
      </w:r>
    </w:p>
    <w:p w14:paraId="4050CE11" w14:textId="4EBC9A04" w:rsidR="00294511" w:rsidRPr="00B05487" w:rsidRDefault="00294511" w:rsidP="00B05487">
      <w:pPr>
        <w:pStyle w:val="Heading1"/>
        <w:numPr>
          <w:ilvl w:val="0"/>
          <w:numId w:val="13"/>
        </w:numPr>
        <w:spacing w:before="240" w:after="240"/>
        <w:ind w:left="0" w:firstLine="0"/>
        <w:rPr>
          <w:rFonts w:ascii="Arial" w:eastAsia="Times New Roman" w:hAnsi="Arial" w:cs="Times New Roman"/>
        </w:rPr>
      </w:pPr>
      <w:r w:rsidRPr="00B05487">
        <w:rPr>
          <w:rFonts w:ascii="Arial" w:eastAsia="Times New Roman" w:hAnsi="Arial" w:cs="Times New Roman"/>
        </w:rPr>
        <w:t xml:space="preserve">Summary of </w:t>
      </w:r>
      <w:r w:rsidR="00144060" w:rsidRPr="00B05487">
        <w:rPr>
          <w:rFonts w:ascii="Arial" w:eastAsia="Times New Roman" w:hAnsi="Arial" w:cs="Times New Roman"/>
        </w:rPr>
        <w:t>public consultation feedback/consumer is</w:t>
      </w:r>
      <w:r w:rsidRPr="00B05487">
        <w:rPr>
          <w:rFonts w:ascii="Arial" w:eastAsia="Times New Roman" w:hAnsi="Arial" w:cs="Times New Roman"/>
        </w:rPr>
        <w:t>sues</w:t>
      </w:r>
    </w:p>
    <w:p w14:paraId="5C224E4F" w14:textId="6CD266E4" w:rsidR="00611918" w:rsidRDefault="00294511" w:rsidP="00B05487">
      <w:r w:rsidRPr="00FC3F65">
        <w:t>Targeted consultation feedback was received from</w:t>
      </w:r>
      <w:r w:rsidR="00155468">
        <w:t xml:space="preserve"> </w:t>
      </w:r>
      <w:r w:rsidR="00DD6B18">
        <w:t>t</w:t>
      </w:r>
      <w:r w:rsidR="003F62D1">
        <w:t>hree</w:t>
      </w:r>
      <w:r w:rsidR="00310658">
        <w:t xml:space="preserve"> </w:t>
      </w:r>
      <w:r w:rsidR="00FC3F65">
        <w:t>patient organisatio</w:t>
      </w:r>
      <w:r w:rsidR="00DD6B18">
        <w:t>ns</w:t>
      </w:r>
      <w:r w:rsidR="00C612D9">
        <w:t xml:space="preserve"> and</w:t>
      </w:r>
      <w:r w:rsidR="00DE3BBE">
        <w:t xml:space="preserve"> a professional organisation</w:t>
      </w:r>
      <w:r w:rsidR="00C612D9">
        <w:t>.</w:t>
      </w:r>
      <w:r w:rsidR="001C0169">
        <w:t xml:space="preserve"> One patient organisation also included a summary of the results of a survey of their patient community’s opinion on this application (inferred ≥25 respondents).</w:t>
      </w:r>
      <w:r w:rsidR="009D3A01">
        <w:t xml:space="preserve"> </w:t>
      </w:r>
      <w:r w:rsidR="00DC0830">
        <w:t xml:space="preserve">Public consultation feedback was received from </w:t>
      </w:r>
      <w:r w:rsidR="00155468">
        <w:t>a</w:t>
      </w:r>
      <w:r w:rsidR="00BD2888">
        <w:t>n individual senior scientist who is involved in conducting AAT testing (</w:t>
      </w:r>
      <w:r w:rsidR="00195958">
        <w:t xml:space="preserve">both IEF </w:t>
      </w:r>
      <w:r w:rsidR="00BD2888">
        <w:t xml:space="preserve">phenotyping and </w:t>
      </w:r>
      <w:r w:rsidR="00DE464A">
        <w:t>variant panel testing</w:t>
      </w:r>
      <w:r w:rsidR="00BD2888">
        <w:t>) in a pathology laboratory</w:t>
      </w:r>
      <w:r w:rsidR="00986B0F">
        <w:t xml:space="preserve">, </w:t>
      </w:r>
      <w:r w:rsidR="00155468">
        <w:t>an individual specialist</w:t>
      </w:r>
      <w:r w:rsidR="00DC0830">
        <w:t>,</w:t>
      </w:r>
      <w:r w:rsidR="00DC0830" w:rsidRPr="00DC0830">
        <w:t xml:space="preserve"> </w:t>
      </w:r>
      <w:r w:rsidR="009D3A01">
        <w:t>three</w:t>
      </w:r>
      <w:r w:rsidR="00DC0830">
        <w:t xml:space="preserve"> individual consumer</w:t>
      </w:r>
      <w:r w:rsidR="00FC3F65">
        <w:t>s</w:t>
      </w:r>
      <w:r w:rsidR="00DC0830">
        <w:t>, and an individual caregiver</w:t>
      </w:r>
      <w:r w:rsidR="00155468">
        <w:t>.</w:t>
      </w:r>
      <w:r w:rsidR="00310658">
        <w:t xml:space="preserve"> </w:t>
      </w:r>
      <w:r w:rsidR="00FF6C90">
        <w:t xml:space="preserve">All </w:t>
      </w:r>
      <w:r w:rsidR="00FF6C90">
        <w:lastRenderedPageBreak/>
        <w:t xml:space="preserve">four targeted consultation responses and all six public consultation responses were supportive of public funding for genetic testing for AATD. </w:t>
      </w:r>
      <w:r w:rsidR="00BD09C3">
        <w:t>Feedback consistently supported th</w:t>
      </w:r>
      <w:r w:rsidR="00FF6C90">
        <w:t>e</w:t>
      </w:r>
      <w:r w:rsidR="00BD09C3">
        <w:t xml:space="preserve"> shift to </w:t>
      </w:r>
      <w:r w:rsidR="00FF6C90">
        <w:t xml:space="preserve">a </w:t>
      </w:r>
      <w:r w:rsidR="00BD09C3">
        <w:t>better test methodolog</w:t>
      </w:r>
      <w:r w:rsidR="00FF6C90">
        <w:t>y</w:t>
      </w:r>
      <w:r w:rsidR="00527480">
        <w:t>, as l</w:t>
      </w:r>
      <w:r w:rsidR="00BD2888">
        <w:t>aborator</w:t>
      </w:r>
      <w:r w:rsidR="00527480">
        <w:t>ies</w:t>
      </w:r>
      <w:r w:rsidR="00BD2888">
        <w:t xml:space="preserve"> replac</w:t>
      </w:r>
      <w:r w:rsidR="00FF6C90">
        <w:t>e</w:t>
      </w:r>
      <w:r w:rsidR="00BD2888">
        <w:t xml:space="preserve"> IEF with </w:t>
      </w:r>
      <w:r w:rsidR="00FF6C90">
        <w:t>genetic testing</w:t>
      </w:r>
      <w:r w:rsidR="00BD2888">
        <w:t>.</w:t>
      </w:r>
    </w:p>
    <w:p w14:paraId="5B15291C" w14:textId="3CC74AB4" w:rsidR="00611918" w:rsidRDefault="009B5ACA" w:rsidP="009B136F">
      <w:pPr>
        <w:spacing w:before="240"/>
      </w:pPr>
      <w:r>
        <w:t>Potential b</w:t>
      </w:r>
      <w:r w:rsidR="00BD2888">
        <w:t xml:space="preserve">enefits </w:t>
      </w:r>
      <w:r w:rsidR="00611918">
        <w:t xml:space="preserve">of funding </w:t>
      </w:r>
      <w:r w:rsidR="00FF6C90">
        <w:t xml:space="preserve">genetic </w:t>
      </w:r>
      <w:r w:rsidR="00986B0F">
        <w:t>testing</w:t>
      </w:r>
      <w:r w:rsidR="00FF6C90">
        <w:t xml:space="preserve"> for AATD</w:t>
      </w:r>
      <w:r w:rsidR="00611918">
        <w:t xml:space="preserve"> </w:t>
      </w:r>
      <w:r w:rsidR="00E526D4">
        <w:t>were outlined as follows</w:t>
      </w:r>
      <w:r w:rsidR="00611918">
        <w:t>:</w:t>
      </w:r>
    </w:p>
    <w:p w14:paraId="31577140" w14:textId="5E3CD422" w:rsidR="00611918" w:rsidRDefault="00611918" w:rsidP="00B05487">
      <w:pPr>
        <w:pStyle w:val="ListParagraph"/>
        <w:numPr>
          <w:ilvl w:val="0"/>
          <w:numId w:val="39"/>
        </w:numPr>
      </w:pPr>
      <w:r>
        <w:t xml:space="preserve">Genetic testing is </w:t>
      </w:r>
      <w:r w:rsidR="00BD2888">
        <w:t xml:space="preserve">more </w:t>
      </w:r>
      <w:r>
        <w:t>robust and more accurate</w:t>
      </w:r>
      <w:r w:rsidR="00986B0F">
        <w:t xml:space="preserve"> than IEF</w:t>
      </w:r>
      <w:r w:rsidR="00FC3F65">
        <w:t>.</w:t>
      </w:r>
    </w:p>
    <w:p w14:paraId="23F6801E" w14:textId="31600384" w:rsidR="00DE3BBE" w:rsidRDefault="00DE3BBE" w:rsidP="00B05487">
      <w:pPr>
        <w:pStyle w:val="ListParagraph"/>
        <w:numPr>
          <w:ilvl w:val="1"/>
          <w:numId w:val="39"/>
        </w:numPr>
      </w:pPr>
      <w:r>
        <w:t>Sequencing is more sensitive than IEF.</w:t>
      </w:r>
    </w:p>
    <w:p w14:paraId="53ABA6AB" w14:textId="06314E8A" w:rsidR="00310658" w:rsidRDefault="00310658" w:rsidP="00B05487">
      <w:pPr>
        <w:pStyle w:val="ListParagraph"/>
        <w:numPr>
          <w:ilvl w:val="1"/>
          <w:numId w:val="39"/>
        </w:numPr>
      </w:pPr>
      <w:r>
        <w:t>IEF alone does not provide a firm Alpha-1 status in all cases (e.g. M/null genotype).</w:t>
      </w:r>
    </w:p>
    <w:p w14:paraId="4E713F44" w14:textId="62FFB018" w:rsidR="00611918" w:rsidRDefault="00611918" w:rsidP="00B05487">
      <w:pPr>
        <w:pStyle w:val="ListParagraph"/>
        <w:numPr>
          <w:ilvl w:val="0"/>
          <w:numId w:val="39"/>
        </w:numPr>
      </w:pPr>
      <w:r>
        <w:t xml:space="preserve">Genetic testing gives more </w:t>
      </w:r>
      <w:r w:rsidR="00BD2888">
        <w:t>objective results</w:t>
      </w:r>
      <w:r w:rsidR="00986B0F">
        <w:t xml:space="preserve"> –</w:t>
      </w:r>
      <w:r>
        <w:t xml:space="preserve"> IEF </w:t>
      </w:r>
      <w:r w:rsidR="009B5ACA">
        <w:t xml:space="preserve">is an outdated technique that </w:t>
      </w:r>
      <w:r>
        <w:t>requires subjective interpretation</w:t>
      </w:r>
      <w:r w:rsidR="00155468">
        <w:t>, dependent on extensive experience</w:t>
      </w:r>
      <w:r w:rsidR="006D4227">
        <w:t>.</w:t>
      </w:r>
    </w:p>
    <w:p w14:paraId="13305136" w14:textId="61C328ED" w:rsidR="00155468" w:rsidRDefault="00155468" w:rsidP="00B05487">
      <w:pPr>
        <w:pStyle w:val="ListParagraph"/>
        <w:numPr>
          <w:ilvl w:val="1"/>
          <w:numId w:val="39"/>
        </w:numPr>
      </w:pPr>
      <w:r>
        <w:t>IEF is therefore vulnerable to loss of skill as experts retire.</w:t>
      </w:r>
    </w:p>
    <w:p w14:paraId="02A1EE3B" w14:textId="01816DAE" w:rsidR="00527480" w:rsidRDefault="00527480" w:rsidP="00B05487">
      <w:pPr>
        <w:pStyle w:val="ListParagraph"/>
        <w:numPr>
          <w:ilvl w:val="1"/>
          <w:numId w:val="39"/>
        </w:numPr>
      </w:pPr>
      <w:r>
        <w:t>Genetic testing is a more cost-efficient use of staff labour in pathology laboratories. Genetic testing is amenable to automation, which is not the case for IEF.</w:t>
      </w:r>
    </w:p>
    <w:p w14:paraId="320793A2" w14:textId="5D5968D4" w:rsidR="00C612D9" w:rsidRDefault="00C612D9" w:rsidP="00B05487">
      <w:pPr>
        <w:pStyle w:val="ListParagraph"/>
        <w:numPr>
          <w:ilvl w:val="0"/>
          <w:numId w:val="39"/>
        </w:numPr>
      </w:pPr>
      <w:r>
        <w:t>Reducing the number of tests each patient undergoes, from 4 to 3 or potentially 2 tests.</w:t>
      </w:r>
    </w:p>
    <w:p w14:paraId="516B61D7" w14:textId="5EA31520" w:rsidR="00611918" w:rsidRDefault="00611918" w:rsidP="00B05487">
      <w:pPr>
        <w:pStyle w:val="ListParagraph"/>
        <w:numPr>
          <w:ilvl w:val="0"/>
          <w:numId w:val="39"/>
        </w:numPr>
      </w:pPr>
      <w:r>
        <w:t>Additional variant classification by expert genetic pathologists</w:t>
      </w:r>
      <w:r w:rsidR="00FC3F65">
        <w:t>.</w:t>
      </w:r>
    </w:p>
    <w:p w14:paraId="10FF0BB3" w14:textId="0B343115" w:rsidR="00BD2888" w:rsidRDefault="00527480" w:rsidP="00B05487">
      <w:pPr>
        <w:pStyle w:val="ListParagraph"/>
        <w:numPr>
          <w:ilvl w:val="0"/>
          <w:numId w:val="39"/>
        </w:numPr>
      </w:pPr>
      <w:r>
        <w:t>Genetic testing has f</w:t>
      </w:r>
      <w:r w:rsidR="00BD2888">
        <w:t>aster turnaround time</w:t>
      </w:r>
      <w:r w:rsidR="00611918">
        <w:t>s</w:t>
      </w:r>
      <w:r w:rsidR="003F62D1">
        <w:t>.</w:t>
      </w:r>
    </w:p>
    <w:p w14:paraId="3D717F0F" w14:textId="7002B70F" w:rsidR="009B5ACA" w:rsidRDefault="00527480" w:rsidP="00B05487">
      <w:pPr>
        <w:pStyle w:val="ListParagraph"/>
        <w:numPr>
          <w:ilvl w:val="0"/>
          <w:numId w:val="39"/>
        </w:numPr>
      </w:pPr>
      <w:r>
        <w:t>C</w:t>
      </w:r>
      <w:r w:rsidR="009B5ACA">
        <w:t xml:space="preserve">linical opinion and recommendations support </w:t>
      </w:r>
      <w:r w:rsidR="00FF6C90">
        <w:t>genetic testing for AATD</w:t>
      </w:r>
      <w:r w:rsidR="009B5ACA">
        <w:t xml:space="preserve">. </w:t>
      </w:r>
      <w:r>
        <w:t>T</w:t>
      </w:r>
      <w:r w:rsidR="009B5ACA">
        <w:t xml:space="preserve">his testing </w:t>
      </w:r>
      <w:r w:rsidR="00FF6C90">
        <w:t>aligns</w:t>
      </w:r>
      <w:r w:rsidR="009B5ACA">
        <w:t xml:space="preserve"> with the TSANZ February 2020 position statement</w:t>
      </w:r>
      <w:r w:rsidR="006F2AAF">
        <w:t xml:space="preserve">, as well as recommendations from the </w:t>
      </w:r>
      <w:r w:rsidR="006F2AAF" w:rsidRPr="00152652">
        <w:t xml:space="preserve">American Thoracic Society </w:t>
      </w:r>
      <w:r w:rsidR="006F2AAF">
        <w:t xml:space="preserve">(ATS) </w:t>
      </w:r>
      <w:r w:rsidR="006F2AAF" w:rsidRPr="00152652">
        <w:t>and the European Respiratory Society</w:t>
      </w:r>
      <w:r w:rsidR="006F2AAF">
        <w:t xml:space="preserve"> (ERS)</w:t>
      </w:r>
      <w:r w:rsidR="006F2AAF">
        <w:rPr>
          <w:rStyle w:val="FootnoteReference"/>
        </w:rPr>
        <w:footnoteReference w:id="3"/>
      </w:r>
      <w:r w:rsidR="009B5ACA">
        <w:t>.</w:t>
      </w:r>
    </w:p>
    <w:p w14:paraId="56FE2AC2" w14:textId="5A495A40" w:rsidR="00986B0F" w:rsidRDefault="00986B0F" w:rsidP="00B05487">
      <w:pPr>
        <w:pStyle w:val="ListParagraph"/>
        <w:numPr>
          <w:ilvl w:val="0"/>
          <w:numId w:val="39"/>
        </w:numPr>
      </w:pPr>
      <w:r>
        <w:t>Helping patients to make lifestyle changes to prevent disease progression (e.g. avoiding exposure to smoking, dust, fumes, limit alcohol consumption, encourage vaccination</w:t>
      </w:r>
      <w:r w:rsidR="00152652">
        <w:t xml:space="preserve"> against flu and COVID-19</w:t>
      </w:r>
      <w:r>
        <w:t>), and so have the best possible quality of life</w:t>
      </w:r>
      <w:r w:rsidR="00DC0830">
        <w:t xml:space="preserve"> and life expectancy.</w:t>
      </w:r>
    </w:p>
    <w:p w14:paraId="2088E455" w14:textId="2C78E56F" w:rsidR="00986B0F" w:rsidRDefault="00986B0F" w:rsidP="00B05487">
      <w:pPr>
        <w:pStyle w:val="ListParagraph"/>
        <w:numPr>
          <w:ilvl w:val="0"/>
          <w:numId w:val="39"/>
        </w:numPr>
      </w:pPr>
      <w:r>
        <w:t>Open up discussions about inheritance of AATD with potential parents or family, enabling informed reproductive decisions.</w:t>
      </w:r>
    </w:p>
    <w:p w14:paraId="47E3E813" w14:textId="7CBBE732" w:rsidR="00DD6B18" w:rsidRDefault="003F62D1" w:rsidP="00B05487">
      <w:pPr>
        <w:pStyle w:val="ListParagraph"/>
        <w:numPr>
          <w:ilvl w:val="0"/>
          <w:numId w:val="39"/>
        </w:numPr>
      </w:pPr>
      <w:r>
        <w:t xml:space="preserve">Earlier and more timely </w:t>
      </w:r>
      <w:r w:rsidR="00DD6B18">
        <w:t>diagnoses: one patient organisation expects it would reduce</w:t>
      </w:r>
      <w:r>
        <w:t xml:space="preserve"> the</w:t>
      </w:r>
      <w:r w:rsidR="00DD6B18">
        <w:t xml:space="preserve"> time to diagnosis (current average 5-7 years), and reduce misdiagnosis </w:t>
      </w:r>
      <w:r>
        <w:t xml:space="preserve">of AATD </w:t>
      </w:r>
      <w:r w:rsidR="00DD6B18">
        <w:t xml:space="preserve">as adult asthma, which is common. With the current delays, patients spend a lot of money on medical appointments, are forced into early retirement, </w:t>
      </w:r>
      <w:r w:rsidR="001B1E42">
        <w:t>have unnecessary surgeries and pharmacy costs, and can take complementary medicines hoping to relieve symptoms but not realise that some cause more damage to the liver and lungs.</w:t>
      </w:r>
    </w:p>
    <w:p w14:paraId="37A19584" w14:textId="082BD93F" w:rsidR="001B1E42" w:rsidRDefault="003F62D1" w:rsidP="00B05487">
      <w:pPr>
        <w:pStyle w:val="ListParagraph"/>
        <w:numPr>
          <w:ilvl w:val="0"/>
          <w:numId w:val="39"/>
        </w:numPr>
      </w:pPr>
      <w:r>
        <w:t>Earlier diagnosis would r</w:t>
      </w:r>
      <w:r w:rsidR="001B1E42">
        <w:t>educe the burden on the hospital system from reduced lung exacerbations, and reduced lung and liver transplants would be required as informed patients can take action to limit lung and liver decline.</w:t>
      </w:r>
    </w:p>
    <w:p w14:paraId="3506B03C" w14:textId="3DC131D5" w:rsidR="00986B0F" w:rsidRDefault="00986B0F" w:rsidP="00B05487">
      <w:pPr>
        <w:pStyle w:val="ListParagraph"/>
        <w:numPr>
          <w:ilvl w:val="0"/>
          <w:numId w:val="39"/>
        </w:numPr>
      </w:pPr>
      <w:r>
        <w:t>Consistent funding across Australia</w:t>
      </w:r>
      <w:r w:rsidR="00310658">
        <w:t>, fairness and equal access.</w:t>
      </w:r>
    </w:p>
    <w:p w14:paraId="0912166E" w14:textId="64A9D32A" w:rsidR="00986B0F" w:rsidRDefault="004F7105" w:rsidP="00B05487">
      <w:pPr>
        <w:pStyle w:val="ListParagraph"/>
        <w:numPr>
          <w:ilvl w:val="1"/>
          <w:numId w:val="39"/>
        </w:numPr>
      </w:pPr>
      <w:r>
        <w:t>Some relatives of people who know they have a variant not detectable using IEF, have not been tested due to access, including financial difficulties.</w:t>
      </w:r>
    </w:p>
    <w:p w14:paraId="7BE9B471" w14:textId="0910C113" w:rsidR="00986B0F" w:rsidRDefault="00527480" w:rsidP="00B05487">
      <w:pPr>
        <w:pStyle w:val="ListParagraph"/>
        <w:numPr>
          <w:ilvl w:val="0"/>
          <w:numId w:val="39"/>
        </w:numPr>
      </w:pPr>
      <w:r>
        <w:t>P</w:t>
      </w:r>
      <w:r w:rsidR="00986B0F">
        <w:t>rovide important data on utilisation of testing and the prevalence of AATD</w:t>
      </w:r>
      <w:r w:rsidR="00DE3BBE">
        <w:t xml:space="preserve"> in Australia</w:t>
      </w:r>
      <w:r w:rsidR="00986B0F">
        <w:t>.</w:t>
      </w:r>
    </w:p>
    <w:p w14:paraId="3D938212" w14:textId="7C1276E0" w:rsidR="001B1E42" w:rsidRDefault="001B1E42" w:rsidP="00B05487">
      <w:pPr>
        <w:pStyle w:val="ListParagraph"/>
        <w:numPr>
          <w:ilvl w:val="0"/>
          <w:numId w:val="39"/>
        </w:numPr>
      </w:pPr>
      <w:r>
        <w:t>Support policy development.</w:t>
      </w:r>
    </w:p>
    <w:p w14:paraId="6B675C8B" w14:textId="399E0661" w:rsidR="0033781F" w:rsidRDefault="00527480" w:rsidP="00B05487">
      <w:pPr>
        <w:pStyle w:val="ListParagraph"/>
        <w:numPr>
          <w:ilvl w:val="0"/>
          <w:numId w:val="39"/>
        </w:numPr>
      </w:pPr>
      <w:r>
        <w:t>P</w:t>
      </w:r>
      <w:r w:rsidR="0033781F">
        <w:t>roviding knowledge to the general public about the ramifications of this deficiency.</w:t>
      </w:r>
    </w:p>
    <w:p w14:paraId="36803B03" w14:textId="1592330E" w:rsidR="00611918" w:rsidRDefault="006D4227" w:rsidP="00B05487">
      <w:pPr>
        <w:pStyle w:val="ListParagraph"/>
        <w:numPr>
          <w:ilvl w:val="0"/>
          <w:numId w:val="39"/>
        </w:numPr>
      </w:pPr>
      <w:r>
        <w:t>There would not be a delay to availability as this testing is already done in Australia.</w:t>
      </w:r>
    </w:p>
    <w:p w14:paraId="285B5FDB" w14:textId="62F58D96" w:rsidR="00611918" w:rsidRDefault="00BD2888" w:rsidP="00B05487">
      <w:pPr>
        <w:pStyle w:val="ListParagraph"/>
        <w:numPr>
          <w:ilvl w:val="0"/>
          <w:numId w:val="39"/>
        </w:numPr>
      </w:pPr>
      <w:r>
        <w:t xml:space="preserve">Potential downsides </w:t>
      </w:r>
      <w:r w:rsidR="00986B0F">
        <w:t xml:space="preserve">of funding </w:t>
      </w:r>
      <w:r w:rsidR="00FF6C90">
        <w:t xml:space="preserve">genetic </w:t>
      </w:r>
      <w:r w:rsidR="00986B0F">
        <w:t>testing</w:t>
      </w:r>
      <w:r w:rsidR="009207ED">
        <w:t xml:space="preserve"> </w:t>
      </w:r>
      <w:r w:rsidR="00FF6C90">
        <w:t xml:space="preserve">for AATD </w:t>
      </w:r>
      <w:r w:rsidR="009207ED">
        <w:t>were outlined as follows</w:t>
      </w:r>
      <w:r w:rsidR="00611918">
        <w:t>:</w:t>
      </w:r>
    </w:p>
    <w:p w14:paraId="2B51F23D" w14:textId="0145AE3B" w:rsidR="00294511" w:rsidRDefault="00611918" w:rsidP="00B05487">
      <w:pPr>
        <w:pStyle w:val="ListParagraph"/>
        <w:numPr>
          <w:ilvl w:val="0"/>
          <w:numId w:val="39"/>
        </w:numPr>
      </w:pPr>
      <w:r>
        <w:lastRenderedPageBreak/>
        <w:t>R</w:t>
      </w:r>
      <w:r w:rsidR="00BD2888">
        <w:t xml:space="preserve">are variants may be missed in patients where </w:t>
      </w:r>
      <w:r>
        <w:t>sequencing is not clinically indicated.</w:t>
      </w:r>
    </w:p>
    <w:p w14:paraId="6BA670C7" w14:textId="7192C6E2" w:rsidR="003F62D1" w:rsidRDefault="003F62D1" w:rsidP="00B05487">
      <w:pPr>
        <w:pStyle w:val="ListParagraph"/>
        <w:numPr>
          <w:ilvl w:val="0"/>
          <w:numId w:val="39"/>
        </w:numPr>
      </w:pPr>
      <w:r>
        <w:t xml:space="preserve">Risk </w:t>
      </w:r>
      <w:r w:rsidR="00001D31">
        <w:t xml:space="preserve">of psychological consequences </w:t>
      </w:r>
      <w:r>
        <w:t>if no support is available whilst waiting for the results or after the result.</w:t>
      </w:r>
    </w:p>
    <w:p w14:paraId="61C363CE" w14:textId="4384A3D2" w:rsidR="0033781F" w:rsidRDefault="0033781F" w:rsidP="00B05487">
      <w:pPr>
        <w:pStyle w:val="ListParagraph"/>
        <w:numPr>
          <w:ilvl w:val="0"/>
          <w:numId w:val="39"/>
        </w:numPr>
      </w:pPr>
      <w:r>
        <w:t>Over-testing, at increased cost to patients.</w:t>
      </w:r>
    </w:p>
    <w:p w14:paraId="731C6038" w14:textId="528D85E8" w:rsidR="0033781F" w:rsidRDefault="0033781F" w:rsidP="00B05487">
      <w:pPr>
        <w:pStyle w:val="ListParagraph"/>
        <w:numPr>
          <w:ilvl w:val="0"/>
          <w:numId w:val="39"/>
        </w:numPr>
      </w:pPr>
      <w:r>
        <w:t>Implications of a genetic diagnosis on increased insurance premiums.</w:t>
      </w:r>
    </w:p>
    <w:p w14:paraId="1A56EE39" w14:textId="0BF97537" w:rsidR="0033781F" w:rsidRDefault="0033781F" w:rsidP="00B05487">
      <w:pPr>
        <w:pStyle w:val="ListParagraph"/>
        <w:numPr>
          <w:ilvl w:val="0"/>
          <w:numId w:val="39"/>
        </w:numPr>
      </w:pPr>
      <w:r>
        <w:t>No readily available treatment options.</w:t>
      </w:r>
    </w:p>
    <w:p w14:paraId="69AFC22A" w14:textId="4636B882" w:rsidR="00F06683" w:rsidRDefault="00155468" w:rsidP="009B136F">
      <w:pPr>
        <w:spacing w:before="240"/>
      </w:pPr>
      <w:r>
        <w:t>Two</w:t>
      </w:r>
      <w:r w:rsidR="00611918">
        <w:t xml:space="preserve"> individual</w:t>
      </w:r>
      <w:r>
        <w:t>s</w:t>
      </w:r>
      <w:r w:rsidR="001B1E42">
        <w:t xml:space="preserve"> and a patient organisation</w:t>
      </w:r>
      <w:r w:rsidR="00611918">
        <w:t xml:space="preserve"> stated that</w:t>
      </w:r>
      <w:r w:rsidR="00195958">
        <w:t xml:space="preserve"> counselling </w:t>
      </w:r>
      <w:r w:rsidR="001B1E42">
        <w:t>or genetic counselling should</w:t>
      </w:r>
      <w:r w:rsidR="00195958">
        <w:t xml:space="preserve"> deliver</w:t>
      </w:r>
      <w:r w:rsidR="001B1E42">
        <w:t>ed</w:t>
      </w:r>
      <w:r w:rsidR="00195958">
        <w:t xml:space="preserve"> </w:t>
      </w:r>
      <w:r w:rsidR="00DC0830">
        <w:t>alongside</w:t>
      </w:r>
      <w:r w:rsidR="00195958">
        <w:t xml:space="preserve"> this intervention</w:t>
      </w:r>
      <w:r w:rsidR="001B1E42">
        <w:t>, as well as referral to support services and patient organisations.</w:t>
      </w:r>
      <w:r w:rsidR="00C612D9">
        <w:t xml:space="preserve"> </w:t>
      </w:r>
      <w:r w:rsidR="004F7105">
        <w:t>Appropriate consumer information and education would need to be given to health professionals</w:t>
      </w:r>
      <w:r w:rsidR="00FF6C90">
        <w:t xml:space="preserve"> (including training for medical students)</w:t>
      </w:r>
      <w:r w:rsidR="004F7105">
        <w:t xml:space="preserve"> as well as consistent information and guidelines for all pathology providers to follow.</w:t>
      </w:r>
      <w:r w:rsidR="00FF6C90" w:rsidRPr="00FF6C90">
        <w:t xml:space="preserve"> </w:t>
      </w:r>
      <w:r w:rsidR="00FF6C90">
        <w:t>Consumer resources such as those from the NHMRC</w:t>
      </w:r>
      <w:r w:rsidR="00FF6C90">
        <w:rPr>
          <w:rStyle w:val="FootnoteReference"/>
        </w:rPr>
        <w:footnoteReference w:id="4"/>
      </w:r>
      <w:r w:rsidR="00FF6C90">
        <w:t xml:space="preserve"> could be useful for </w:t>
      </w:r>
      <w:r w:rsidR="009B2A75">
        <w:t>general practitioners (</w:t>
      </w:r>
      <w:r w:rsidR="00FF6C90">
        <w:t>GPs</w:t>
      </w:r>
      <w:r w:rsidR="009B2A75">
        <w:t>)</w:t>
      </w:r>
      <w:r w:rsidR="00FF6C90">
        <w:t xml:space="preserve"> and consumers.</w:t>
      </w:r>
    </w:p>
    <w:p w14:paraId="64E07BBE" w14:textId="5EC2282C" w:rsidR="00611918" w:rsidRDefault="00152652" w:rsidP="009B136F">
      <w:pPr>
        <w:spacing w:before="240"/>
      </w:pPr>
      <w:r>
        <w:t>Two</w:t>
      </w:r>
      <w:r w:rsidR="00F06683">
        <w:t xml:space="preserve"> consumer</w:t>
      </w:r>
      <w:r>
        <w:t>s</w:t>
      </w:r>
      <w:r w:rsidR="00DE3BBE">
        <w:t xml:space="preserve"> and a patient organisation</w:t>
      </w:r>
      <w:r w:rsidR="00F06683">
        <w:t xml:space="preserve"> stated that only allowing specialist or consultant physicians to access </w:t>
      </w:r>
      <w:r w:rsidR="006E0923">
        <w:t>both</w:t>
      </w:r>
      <w:r w:rsidR="00F06683">
        <w:t xml:space="preserve"> test</w:t>
      </w:r>
      <w:r w:rsidR="006E0923">
        <w:t>s</w:t>
      </w:r>
      <w:r w:rsidR="00F06683">
        <w:t xml:space="preserve"> w</w:t>
      </w:r>
      <w:r w:rsidR="009207ED">
        <w:t>ould</w:t>
      </w:r>
      <w:r w:rsidR="00F06683">
        <w:t xml:space="preserve"> impair access to testing</w:t>
      </w:r>
      <w:r w:rsidR="009B2A75">
        <w:t>.</w:t>
      </w:r>
      <w:r w:rsidR="00F06683">
        <w:t xml:space="preserve">  GPs can </w:t>
      </w:r>
      <w:r w:rsidR="009B2A75">
        <w:t xml:space="preserve">currently </w:t>
      </w:r>
      <w:r w:rsidR="00F06683">
        <w:t xml:space="preserve">request AATD phenotyping, </w:t>
      </w:r>
      <w:r w:rsidR="00DE464A">
        <w:t xml:space="preserve">genetic variant panel testing </w:t>
      </w:r>
      <w:r w:rsidR="00F06683">
        <w:t xml:space="preserve">and sequencing, and </w:t>
      </w:r>
      <w:r>
        <w:t>this</w:t>
      </w:r>
      <w:r w:rsidR="00F06683">
        <w:t xml:space="preserve"> </w:t>
      </w:r>
      <w:r w:rsidR="009B2A75">
        <w:t xml:space="preserve">access to request </w:t>
      </w:r>
      <w:r w:rsidR="00F06683">
        <w:t>should remain.</w:t>
      </w:r>
    </w:p>
    <w:p w14:paraId="5AC8FE0C" w14:textId="25B6C086" w:rsidR="00195958" w:rsidRDefault="00195958" w:rsidP="009B136F">
      <w:pPr>
        <w:spacing w:before="240"/>
      </w:pPr>
      <w:r>
        <w:t xml:space="preserve">Key technical comments from </w:t>
      </w:r>
      <w:r w:rsidR="009207ED">
        <w:t xml:space="preserve">the </w:t>
      </w:r>
      <w:r>
        <w:t>consultation feedback were:</w:t>
      </w:r>
    </w:p>
    <w:p w14:paraId="3A7BF7B8" w14:textId="75949C85" w:rsidR="00195958" w:rsidRDefault="009B2A75" w:rsidP="00B05487">
      <w:pPr>
        <w:pStyle w:val="ListParagraph"/>
        <w:numPr>
          <w:ilvl w:val="0"/>
          <w:numId w:val="40"/>
        </w:numPr>
      </w:pPr>
      <w:r>
        <w:t>Genetic testing requires</w:t>
      </w:r>
      <w:r w:rsidR="00195958">
        <w:t xml:space="preserve"> whole blood</w:t>
      </w:r>
      <w:r>
        <w:t>,</w:t>
      </w:r>
      <w:r w:rsidR="00195958">
        <w:t xml:space="preserve"> </w:t>
      </w:r>
      <w:r>
        <w:t>whereas IEF requires</w:t>
      </w:r>
      <w:r w:rsidR="00195958">
        <w:t xml:space="preserve"> serum.</w:t>
      </w:r>
    </w:p>
    <w:p w14:paraId="000DF7A8" w14:textId="6D791102" w:rsidR="00195958" w:rsidRDefault="00195958" w:rsidP="00B05487">
      <w:pPr>
        <w:pStyle w:val="ListParagraph"/>
        <w:numPr>
          <w:ilvl w:val="0"/>
          <w:numId w:val="40"/>
        </w:numPr>
      </w:pPr>
      <w:r>
        <w:t xml:space="preserve">A laboratory scientist stated the </w:t>
      </w:r>
      <w:r w:rsidR="00DE3BBE">
        <w:t xml:space="preserve">proposed </w:t>
      </w:r>
      <w:r w:rsidR="009255F9">
        <w:t xml:space="preserve">serum </w:t>
      </w:r>
      <w:r>
        <w:t>AAT threshold of 20</w:t>
      </w:r>
      <w:r w:rsidR="009255F9">
        <w:t> </w:t>
      </w:r>
      <w:r>
        <w:t>µMol/L was adequate, as it is slightly higher than the 11</w:t>
      </w:r>
      <w:r w:rsidR="009255F9">
        <w:t> </w:t>
      </w:r>
      <w:r>
        <w:t xml:space="preserve">µMol/L considered to be the clinically </w:t>
      </w:r>
      <w:r w:rsidR="00B27F12">
        <w:t xml:space="preserve">significant </w:t>
      </w:r>
      <w:r w:rsidR="009255F9">
        <w:t>threshold</w:t>
      </w:r>
      <w:r w:rsidR="00B27F12">
        <w:t xml:space="preserve"> concentration</w:t>
      </w:r>
      <w:r>
        <w:t xml:space="preserve">, according to Brode </w:t>
      </w:r>
      <w:r w:rsidRPr="00290604">
        <w:t>et al.</w:t>
      </w:r>
      <w:r>
        <w:t>, 2012</w:t>
      </w:r>
      <w:r>
        <w:rPr>
          <w:rStyle w:val="FootnoteReference"/>
        </w:rPr>
        <w:footnoteReference w:id="5"/>
      </w:r>
      <w:r>
        <w:t xml:space="preserve">. They suggested the inclusion of patients who have respiratory symptoms but have </w:t>
      </w:r>
      <w:r w:rsidR="009255F9">
        <w:t xml:space="preserve">a serum </w:t>
      </w:r>
      <w:r>
        <w:t xml:space="preserve">AAT </w:t>
      </w:r>
      <w:r w:rsidR="009C6DC4">
        <w:t xml:space="preserve">concentration </w:t>
      </w:r>
      <w:r>
        <w:t>above the 20</w:t>
      </w:r>
      <w:r w:rsidR="009207ED" w:rsidRPr="009207ED">
        <w:t xml:space="preserve"> </w:t>
      </w:r>
      <w:r w:rsidR="009207ED">
        <w:t>µMol/L</w:t>
      </w:r>
      <w:r>
        <w:t xml:space="preserve"> threshold, to allow the detection of non-functional AAT variants.</w:t>
      </w:r>
    </w:p>
    <w:p w14:paraId="626ECEDB" w14:textId="7B7607FE" w:rsidR="00FF6C90" w:rsidRDefault="00FF6C90" w:rsidP="00B05487">
      <w:pPr>
        <w:pStyle w:val="ListParagraph"/>
        <w:numPr>
          <w:ilvl w:val="0"/>
          <w:numId w:val="40"/>
        </w:numPr>
      </w:pPr>
      <w:r>
        <w:t xml:space="preserve">A patient organisation suggested reviewing and broadening the population after 12 months, as </w:t>
      </w:r>
      <w:r w:rsidR="009B2A75">
        <w:t>proposed access</w:t>
      </w:r>
      <w:r>
        <w:t xml:space="preserve"> depends on serum AAT testing, which is not highly sensitive.</w:t>
      </w:r>
    </w:p>
    <w:p w14:paraId="6B87E661" w14:textId="1A9AD06C" w:rsidR="00F06683" w:rsidRDefault="00195958" w:rsidP="00B05487">
      <w:pPr>
        <w:pStyle w:val="ListParagraph"/>
        <w:numPr>
          <w:ilvl w:val="0"/>
          <w:numId w:val="40"/>
        </w:numPr>
      </w:pPr>
      <w:r>
        <w:t>A laboratory scientist commented that the fee for the 14-variant panel could be lowered from $100 to $80, and the fee for gene sequencing increased to $360</w:t>
      </w:r>
      <w:r w:rsidR="00FF6C90">
        <w:t>, as</w:t>
      </w:r>
      <w:r>
        <w:t xml:space="preserve"> the </w:t>
      </w:r>
      <w:r w:rsidRPr="00195958">
        <w:t>gene panel test does not</w:t>
      </w:r>
      <w:r>
        <w:t xml:space="preserve"> </w:t>
      </w:r>
      <w:r w:rsidRPr="00195958">
        <w:t xml:space="preserve">require expensive reagents and will have greater economies of scale than </w:t>
      </w:r>
      <w:r>
        <w:t>sequencing</w:t>
      </w:r>
      <w:r w:rsidRPr="00195958">
        <w:t xml:space="preserve">. </w:t>
      </w:r>
      <w:r>
        <w:t>Sequencing</w:t>
      </w:r>
      <w:r w:rsidRPr="00195958">
        <w:t xml:space="preserve"> is</w:t>
      </w:r>
      <w:r>
        <w:t xml:space="preserve"> </w:t>
      </w:r>
      <w:r w:rsidRPr="00195958">
        <w:t>labour intensive but also does not require expensive reagent</w:t>
      </w:r>
      <w:r>
        <w:t>s</w:t>
      </w:r>
      <w:r w:rsidRPr="00195958">
        <w:t xml:space="preserve">. </w:t>
      </w:r>
      <w:r w:rsidR="009B2A75">
        <w:t>S</w:t>
      </w:r>
      <w:r w:rsidR="00F06683">
        <w:t>ome laboratories cha</w:t>
      </w:r>
      <w:r w:rsidR="009B2A75">
        <w:t>r</w:t>
      </w:r>
      <w:r w:rsidR="00F06683">
        <w:t>ge up to $400 for sequencing.</w:t>
      </w:r>
      <w:r w:rsidR="00C612D9">
        <w:t xml:space="preserve"> A patient organisation supported the proposed $100 and $260 fees.</w:t>
      </w:r>
    </w:p>
    <w:p w14:paraId="2D9560A2" w14:textId="7A03A4BB" w:rsidR="006D4227" w:rsidRDefault="006D4227" w:rsidP="00B05487">
      <w:pPr>
        <w:pStyle w:val="ListParagraph"/>
        <w:numPr>
          <w:ilvl w:val="0"/>
          <w:numId w:val="40"/>
        </w:numPr>
      </w:pPr>
      <w:r>
        <w:t>Progenika Biopharma</w:t>
      </w:r>
      <w:r w:rsidR="009B2A75">
        <w:t>’s</w:t>
      </w:r>
      <w:r>
        <w:t xml:space="preserve"> panel may not be suitable </w:t>
      </w:r>
      <w:r w:rsidR="009B2A75">
        <w:t xml:space="preserve">for the 14-variant panel </w:t>
      </w:r>
      <w:r>
        <w:t xml:space="preserve">as the cost would most likely be more than full </w:t>
      </w:r>
      <w:r w:rsidRPr="00B05487">
        <w:rPr>
          <w:i/>
          <w:iCs/>
        </w:rPr>
        <w:t>SERPINA1</w:t>
      </w:r>
      <w:r>
        <w:t xml:space="preserve"> sequencing. </w:t>
      </w:r>
      <w:r w:rsidR="009B2A75">
        <w:t>R</w:t>
      </w:r>
      <w:r>
        <w:t xml:space="preserve">egistration of the Progenika panel in Australia would </w:t>
      </w:r>
      <w:r w:rsidR="009B2A75">
        <w:t xml:space="preserve">also </w:t>
      </w:r>
      <w:r>
        <w:t xml:space="preserve">need to be </w:t>
      </w:r>
      <w:r w:rsidR="009B2A75">
        <w:t>considered</w:t>
      </w:r>
      <w:r>
        <w:t xml:space="preserve">. </w:t>
      </w:r>
      <w:r w:rsidR="00374EE6">
        <w:t>M</w:t>
      </w:r>
      <w:r>
        <w:t>ost likely, laboratories would not use an international commercial product.</w:t>
      </w:r>
    </w:p>
    <w:p w14:paraId="2FC1A866" w14:textId="16A417BF" w:rsidR="00DE3BBE" w:rsidRDefault="009B2A75" w:rsidP="00B05487">
      <w:pPr>
        <w:pStyle w:val="ListParagraph"/>
        <w:numPr>
          <w:ilvl w:val="0"/>
          <w:numId w:val="40"/>
        </w:numPr>
      </w:pPr>
      <w:r>
        <w:t>S</w:t>
      </w:r>
      <w:r w:rsidR="00DE3BBE">
        <w:t>ome countries have testing kits where patients send samples directly to the lab.</w:t>
      </w:r>
    </w:p>
    <w:p w14:paraId="71E1EE99" w14:textId="43307818" w:rsidR="004F7105" w:rsidRDefault="009D3A01" w:rsidP="00B05487">
      <w:pPr>
        <w:pStyle w:val="ListParagraph"/>
        <w:numPr>
          <w:ilvl w:val="0"/>
          <w:numId w:val="40"/>
        </w:numPr>
      </w:pPr>
      <w:r>
        <w:t>Two</w:t>
      </w:r>
      <w:r w:rsidR="004F7105">
        <w:t xml:space="preserve"> consumer</w:t>
      </w:r>
      <w:r>
        <w:t>s</w:t>
      </w:r>
      <w:r w:rsidR="004F7105">
        <w:t xml:space="preserve"> </w:t>
      </w:r>
      <w:r w:rsidR="00F51D27">
        <w:t xml:space="preserve">provided </w:t>
      </w:r>
      <w:r>
        <w:t>further</w:t>
      </w:r>
      <w:r w:rsidR="00F51D27">
        <w:t xml:space="preserve"> information related to null alleles:</w:t>
      </w:r>
    </w:p>
    <w:p w14:paraId="5408BE81" w14:textId="302FC2FE" w:rsidR="009D3A01" w:rsidRDefault="009D3A01" w:rsidP="00B05487">
      <w:pPr>
        <w:pStyle w:val="ListParagraph"/>
        <w:numPr>
          <w:ilvl w:val="1"/>
          <w:numId w:val="40"/>
        </w:numPr>
      </w:pPr>
      <w:r>
        <w:t>IEF cannot detect null alleles</w:t>
      </w:r>
      <w:r w:rsidR="00152652">
        <w:t xml:space="preserve">, and for M/null individuals would provide a false MM result. A two-variant panel would also not </w:t>
      </w:r>
      <w:r w:rsidR="00374EE6">
        <w:t>detect</w:t>
      </w:r>
      <w:r w:rsidR="00152652">
        <w:t xml:space="preserve"> null variants – sequencing is required to detect null variants.</w:t>
      </w:r>
    </w:p>
    <w:p w14:paraId="5C852837" w14:textId="1ED45D37" w:rsidR="004F7105" w:rsidRDefault="004F7105" w:rsidP="00B05487">
      <w:pPr>
        <w:pStyle w:val="ListParagraph"/>
        <w:numPr>
          <w:ilvl w:val="1"/>
          <w:numId w:val="40"/>
        </w:numPr>
      </w:pPr>
      <w:r>
        <w:lastRenderedPageBreak/>
        <w:t xml:space="preserve">Compound heterozygotes (e.g. Z/null) </w:t>
      </w:r>
      <w:r w:rsidR="00F51D27">
        <w:t>have</w:t>
      </w:r>
      <w:r>
        <w:t xml:space="preserve"> just as high risk as null/null </w:t>
      </w:r>
      <w:r w:rsidR="00F51D27">
        <w:t>individuals of</w:t>
      </w:r>
      <w:r>
        <w:t xml:space="preserve"> developing lung and liver disease.</w:t>
      </w:r>
    </w:p>
    <w:p w14:paraId="26A1B83A" w14:textId="38300366" w:rsidR="004F7105" w:rsidRDefault="004F7105" w:rsidP="00B05487">
      <w:pPr>
        <w:pStyle w:val="ListParagraph"/>
        <w:numPr>
          <w:ilvl w:val="1"/>
          <w:numId w:val="40"/>
        </w:numPr>
      </w:pPr>
      <w:r>
        <w:t>Null/null homozygotes have more severe lung disease than ZZ or SZ individuals</w:t>
      </w:r>
      <w:r>
        <w:rPr>
          <w:rStyle w:val="FootnoteReference"/>
        </w:rPr>
        <w:footnoteReference w:id="6"/>
      </w:r>
      <w:r w:rsidR="009207ED">
        <w:t>.</w:t>
      </w:r>
    </w:p>
    <w:p w14:paraId="3B0A5584" w14:textId="3358647D" w:rsidR="00F51D27" w:rsidRDefault="00F51D27" w:rsidP="00B05487">
      <w:pPr>
        <w:pStyle w:val="ListParagraph"/>
        <w:numPr>
          <w:ilvl w:val="1"/>
          <w:numId w:val="40"/>
        </w:numPr>
      </w:pPr>
      <w:r>
        <w:t xml:space="preserve">M/null individuals have increased lung symptomatology and obstructive lung disease. M/null individuals have about 50% of </w:t>
      </w:r>
      <w:r w:rsidR="00FB39F7">
        <w:t xml:space="preserve">the </w:t>
      </w:r>
      <w:r>
        <w:t xml:space="preserve">normal AAT </w:t>
      </w:r>
      <w:r w:rsidR="009C6DC4">
        <w:t>concentration</w:t>
      </w:r>
      <w:r>
        <w:t>, whereas ZM individuals have about 60%</w:t>
      </w:r>
      <w:r w:rsidR="009D3A01">
        <w:rPr>
          <w:rStyle w:val="FootnoteReference"/>
        </w:rPr>
        <w:footnoteReference w:id="7"/>
      </w:r>
      <w:r>
        <w:t>.</w:t>
      </w:r>
    </w:p>
    <w:p w14:paraId="240B2CA9" w14:textId="0EC4EEF7" w:rsidR="00294511" w:rsidRPr="009B136F" w:rsidRDefault="00F06683" w:rsidP="00B05487">
      <w:pPr>
        <w:pStyle w:val="ListParagraph"/>
        <w:numPr>
          <w:ilvl w:val="0"/>
          <w:numId w:val="40"/>
        </w:numPr>
      </w:pPr>
      <w:r>
        <w:t xml:space="preserve">A consumer stated that the application title is confusing, as it in fact </w:t>
      </w:r>
      <w:r w:rsidR="00DE3BBE">
        <w:t>includes</w:t>
      </w:r>
      <w:r>
        <w:t xml:space="preserve"> not only genotyping but also sequencing. </w:t>
      </w:r>
      <w:r w:rsidR="009B2A75">
        <w:t>It could be renamed</w:t>
      </w:r>
      <w:r>
        <w:t xml:space="preserve"> “Alpha-1 antitrypsin genetic testing”.</w:t>
      </w:r>
    </w:p>
    <w:p w14:paraId="5BBD1D8B" w14:textId="77777777" w:rsidR="00294511" w:rsidRPr="00D90D56" w:rsidRDefault="00294511"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t>Proposed intervention’s place in clinical management</w:t>
      </w:r>
    </w:p>
    <w:p w14:paraId="0E450C35" w14:textId="77777777" w:rsidR="00B05487" w:rsidRDefault="00B05487" w:rsidP="00B05487">
      <w:pPr>
        <w:pStyle w:val="Heading2"/>
      </w:pPr>
      <w:r>
        <w:t>Description of proposed intervention</w:t>
      </w:r>
    </w:p>
    <w:p w14:paraId="09F20946" w14:textId="6988EA7F" w:rsidR="00B05487" w:rsidRDefault="00B05487" w:rsidP="00B05487">
      <w:pPr>
        <w:rPr>
          <w:lang w:val="en-US"/>
        </w:rPr>
      </w:pPr>
      <w:r w:rsidRPr="00294511">
        <w:rPr>
          <w:lang w:val="en-US"/>
        </w:rPr>
        <w:t xml:space="preserve">There are </w:t>
      </w:r>
      <w:r>
        <w:rPr>
          <w:lang w:val="en-US"/>
        </w:rPr>
        <w:t>two</w:t>
      </w:r>
      <w:r w:rsidRPr="00294511">
        <w:rPr>
          <w:lang w:val="en-US"/>
        </w:rPr>
        <w:t xml:space="preserve"> proposed medical services in this application: i) </w:t>
      </w:r>
      <w:r w:rsidR="00DE464A">
        <w:rPr>
          <w:lang w:val="en-US"/>
        </w:rPr>
        <w:t>panel testing</w:t>
      </w:r>
      <w:r w:rsidR="00DE464A" w:rsidRPr="00294511">
        <w:rPr>
          <w:lang w:val="en-US"/>
        </w:rPr>
        <w:t xml:space="preserve"> </w:t>
      </w:r>
      <w:r w:rsidRPr="00294511">
        <w:rPr>
          <w:lang w:val="en-US"/>
        </w:rPr>
        <w:t xml:space="preserve">of the 2 or 14 most common </w:t>
      </w:r>
      <w:r w:rsidRPr="00294511">
        <w:rPr>
          <w:i/>
          <w:lang w:val="en-US"/>
        </w:rPr>
        <w:t>SERPINA1</w:t>
      </w:r>
      <w:r w:rsidRPr="00294511">
        <w:rPr>
          <w:lang w:val="en-US"/>
        </w:rPr>
        <w:t xml:space="preserve"> variants, and ii) sequencing of the </w:t>
      </w:r>
      <w:r w:rsidRPr="00294511">
        <w:rPr>
          <w:i/>
          <w:lang w:val="en-US"/>
        </w:rPr>
        <w:t>SERPINA1</w:t>
      </w:r>
      <w:r w:rsidRPr="00294511">
        <w:rPr>
          <w:lang w:val="en-US"/>
        </w:rPr>
        <w:t xml:space="preserve"> protein-coding exons. These interventions are diagnostic laboratory tests for diagnosing AATD that are not currently publicly funded.</w:t>
      </w:r>
    </w:p>
    <w:p w14:paraId="1D41563C" w14:textId="77777777" w:rsidR="00B05487" w:rsidRPr="00294511" w:rsidRDefault="00B05487" w:rsidP="009B136F">
      <w:pPr>
        <w:spacing w:before="240"/>
        <w:rPr>
          <w:lang w:val="en-US"/>
        </w:rPr>
      </w:pPr>
      <w:r w:rsidRPr="00294511">
        <w:rPr>
          <w:lang w:val="en-US"/>
        </w:rPr>
        <w:t xml:space="preserve">Sequencing of the </w:t>
      </w:r>
      <w:r w:rsidRPr="00294511">
        <w:rPr>
          <w:i/>
          <w:lang w:val="en-US"/>
        </w:rPr>
        <w:t>SERPINA1</w:t>
      </w:r>
      <w:r w:rsidRPr="00294511">
        <w:rPr>
          <w:lang w:val="en-US"/>
        </w:rPr>
        <w:t xml:space="preserve"> protein coding exons is </w:t>
      </w:r>
      <w:r>
        <w:rPr>
          <w:lang w:val="en-US"/>
        </w:rPr>
        <w:t xml:space="preserve">proposed to </w:t>
      </w:r>
      <w:r w:rsidRPr="00294511">
        <w:rPr>
          <w:lang w:val="en-US"/>
        </w:rPr>
        <w:t>only be conducted if the result of the 2- or 14-variant panel test is negative or inconclusive, which occurs</w:t>
      </w:r>
      <w:r>
        <w:rPr>
          <w:lang w:val="en-US"/>
        </w:rPr>
        <w:t xml:space="preserve"> in individuals</w:t>
      </w:r>
      <w:r w:rsidRPr="00294511">
        <w:rPr>
          <w:lang w:val="en-US"/>
        </w:rPr>
        <w:t xml:space="preserve"> with </w:t>
      </w:r>
      <w:r>
        <w:rPr>
          <w:lang w:val="en-US"/>
        </w:rPr>
        <w:t xml:space="preserve">variants not included on the panel </w:t>
      </w:r>
      <w:r w:rsidRPr="00294511">
        <w:rPr>
          <w:lang w:val="en-US"/>
        </w:rPr>
        <w:t>and in individuals without a variant. It is proposed by the applicant that a 14-variant panel test containing the 14 most prevalent pathogenic variants in Australia might be more informative than isoelectric focusing (IEF), the current publicly funded test</w:t>
      </w:r>
      <w:r w:rsidRPr="00294511" w:rsidDel="00987D0D">
        <w:rPr>
          <w:lang w:val="en-US"/>
        </w:rPr>
        <w:t xml:space="preserve"> </w:t>
      </w:r>
      <w:r w:rsidRPr="00294511">
        <w:rPr>
          <w:lang w:val="en-US"/>
        </w:rPr>
        <w:t>used to diagnose AATD, and may reduce the number of patients requiring gene sequencing for negative or inconclusive results.</w:t>
      </w:r>
      <w:r>
        <w:rPr>
          <w:lang w:val="en-US"/>
        </w:rPr>
        <w:t xml:space="preserve"> The PICO Advisory Sub-Committee (PASC) additionally proposed the 2-variant panel be considered for the panel intervention, as it may be more cost-effective than the originally requested 14-variant panel.</w:t>
      </w:r>
    </w:p>
    <w:p w14:paraId="0DB20C6F" w14:textId="77777777" w:rsidR="00B05487" w:rsidRDefault="00B05487" w:rsidP="009B136F">
      <w:pPr>
        <w:pStyle w:val="Heading2"/>
        <w:spacing w:before="240"/>
      </w:pPr>
      <w:r>
        <w:t>Description of medical condition</w:t>
      </w:r>
    </w:p>
    <w:p w14:paraId="0293C18A" w14:textId="77777777" w:rsidR="00B05487" w:rsidRDefault="00B05487" w:rsidP="00B05487">
      <w:pPr>
        <w:rPr>
          <w:lang w:val="en-US"/>
        </w:rPr>
      </w:pPr>
      <w:r w:rsidRPr="00294511">
        <w:rPr>
          <w:lang w:val="en-US"/>
        </w:rPr>
        <w:t xml:space="preserve">AAT is a protein that is mainly produced in the liver and released into the bloodstream. Its function in the body is to regulate the action of the enzyme elastase. Elastase is produced by neutrophils (a type of white blood cell) to protect the lungs by removing inhaled material, such as smoke and other pollutants. People with AATD either </w:t>
      </w:r>
      <w:r>
        <w:rPr>
          <w:lang w:val="en-US"/>
        </w:rPr>
        <w:t xml:space="preserve">produce </w:t>
      </w:r>
      <w:r w:rsidRPr="00294511">
        <w:rPr>
          <w:lang w:val="en-US"/>
        </w:rPr>
        <w:t>a dysfunctional form of AAT</w:t>
      </w:r>
      <w:r>
        <w:rPr>
          <w:lang w:val="en-US"/>
        </w:rPr>
        <w:t>,</w:t>
      </w:r>
      <w:r w:rsidRPr="00294511">
        <w:rPr>
          <w:lang w:val="en-US"/>
        </w:rPr>
        <w:t xml:space="preserve"> or have low serum concentrations of functional </w:t>
      </w:r>
      <w:r>
        <w:rPr>
          <w:lang w:val="en-US"/>
        </w:rPr>
        <w:t>AAT</w:t>
      </w:r>
      <w:r w:rsidRPr="00294511">
        <w:rPr>
          <w:lang w:val="en-US"/>
        </w:rPr>
        <w:t>.</w:t>
      </w:r>
      <w:r w:rsidRPr="00294511">
        <w:t xml:space="preserve"> </w:t>
      </w:r>
      <w:r>
        <w:rPr>
          <w:lang w:val="en-US"/>
        </w:rPr>
        <w:t>In</w:t>
      </w:r>
      <w:r w:rsidRPr="00294511">
        <w:rPr>
          <w:lang w:val="en-US"/>
        </w:rPr>
        <w:t xml:space="preserve">adequate </w:t>
      </w:r>
      <w:r>
        <w:rPr>
          <w:lang w:val="en-US"/>
        </w:rPr>
        <w:t>concentration</w:t>
      </w:r>
      <w:r w:rsidRPr="00294511">
        <w:rPr>
          <w:lang w:val="en-US"/>
        </w:rPr>
        <w:t xml:space="preserve"> of serum AAT means that elastase is not neutralised after removing inhaled pollutants and it begins to break down lung tissue as well, which can lead to lung disease. Dysfunctional AAT tends to accumulate in the liver and can lead to liver disease</w:t>
      </w:r>
      <w:r>
        <w:rPr>
          <w:rStyle w:val="FootnoteReference"/>
          <w:lang w:val="en-US"/>
        </w:rPr>
        <w:footnoteReference w:id="8"/>
      </w:r>
      <w:r w:rsidRPr="00E92BE2">
        <w:rPr>
          <w:vertAlign w:val="superscript"/>
          <w:lang w:val="en-US"/>
        </w:rPr>
        <w:t>,</w:t>
      </w:r>
      <w:r>
        <w:rPr>
          <w:rStyle w:val="FootnoteReference"/>
          <w:lang w:val="en-US"/>
        </w:rPr>
        <w:footnoteReference w:id="9"/>
      </w:r>
      <w:r w:rsidRPr="00294511">
        <w:rPr>
          <w:lang w:val="en-US"/>
        </w:rPr>
        <w:t>.</w:t>
      </w:r>
      <w:r>
        <w:rPr>
          <w:lang w:val="en-US"/>
        </w:rPr>
        <w:t xml:space="preserve"> Paediatric patients with AATD predominantly present with liver manifestations, whereas patients with later onset AATD more often show symptoms in the lungs.</w:t>
      </w:r>
    </w:p>
    <w:p w14:paraId="04C55CE0" w14:textId="4498EEEA" w:rsidR="00B05487" w:rsidRDefault="00B05487" w:rsidP="009B136F">
      <w:pPr>
        <w:spacing w:before="240"/>
        <w:rPr>
          <w:lang w:val="en-US"/>
        </w:rPr>
      </w:pPr>
      <w:r w:rsidRPr="00294511">
        <w:rPr>
          <w:lang w:val="en-US"/>
        </w:rPr>
        <w:t xml:space="preserve">Each person has </w:t>
      </w:r>
      <w:r>
        <w:rPr>
          <w:lang w:val="en-US"/>
        </w:rPr>
        <w:t>two</w:t>
      </w:r>
      <w:r w:rsidRPr="00294511">
        <w:rPr>
          <w:lang w:val="en-US"/>
        </w:rPr>
        <w:t xml:space="preserve"> copies of the </w:t>
      </w:r>
      <w:r w:rsidRPr="00294511">
        <w:rPr>
          <w:i/>
          <w:lang w:val="en-US"/>
        </w:rPr>
        <w:t>SERPINA1</w:t>
      </w:r>
      <w:r w:rsidRPr="00294511">
        <w:rPr>
          <w:lang w:val="en-US"/>
        </w:rPr>
        <w:t xml:space="preserve"> gene</w:t>
      </w:r>
      <w:r>
        <w:rPr>
          <w:lang w:val="en-US"/>
        </w:rPr>
        <w:t>, which encodes the AAT protein</w:t>
      </w:r>
      <w:r w:rsidRPr="00294511">
        <w:t>—</w:t>
      </w:r>
      <w:r w:rsidRPr="00294511">
        <w:rPr>
          <w:lang w:val="en-US"/>
        </w:rPr>
        <w:t>one inherited from each parent</w:t>
      </w:r>
      <w:r w:rsidRPr="00294511">
        <w:t>—</w:t>
      </w:r>
      <w:r w:rsidRPr="00294511">
        <w:rPr>
          <w:lang w:val="en-US"/>
        </w:rPr>
        <w:t xml:space="preserve">with each </w:t>
      </w:r>
      <w:r>
        <w:rPr>
          <w:lang w:val="en-US"/>
        </w:rPr>
        <w:t>copy</w:t>
      </w:r>
      <w:r w:rsidRPr="00294511">
        <w:rPr>
          <w:lang w:val="en-US"/>
        </w:rPr>
        <w:t xml:space="preserve"> being responsible for producing half of the body’s </w:t>
      </w:r>
      <w:r w:rsidRPr="00294511">
        <w:rPr>
          <w:lang w:val="en-US"/>
        </w:rPr>
        <w:lastRenderedPageBreak/>
        <w:t xml:space="preserve">AAT. If there is a </w:t>
      </w:r>
      <w:r>
        <w:rPr>
          <w:lang w:val="en-US"/>
        </w:rPr>
        <w:t>variant</w:t>
      </w:r>
      <w:r w:rsidRPr="00294511">
        <w:rPr>
          <w:lang w:val="en-US"/>
        </w:rPr>
        <w:t xml:space="preserve"> in one or both copies of the gene, the result </w:t>
      </w:r>
      <w:r w:rsidR="00346169">
        <w:rPr>
          <w:lang w:val="en-US"/>
        </w:rPr>
        <w:t>can be</w:t>
      </w:r>
      <w:r w:rsidR="00346169" w:rsidRPr="00294511">
        <w:rPr>
          <w:lang w:val="en-US"/>
        </w:rPr>
        <w:t xml:space="preserve"> </w:t>
      </w:r>
      <w:r w:rsidRPr="00294511">
        <w:rPr>
          <w:lang w:val="en-US"/>
        </w:rPr>
        <w:t xml:space="preserve">an inadequate </w:t>
      </w:r>
      <w:r>
        <w:rPr>
          <w:lang w:val="en-US"/>
        </w:rPr>
        <w:t>concentration</w:t>
      </w:r>
      <w:r w:rsidRPr="00294511">
        <w:rPr>
          <w:lang w:val="en-US"/>
        </w:rPr>
        <w:t xml:space="preserve"> of </w:t>
      </w:r>
      <w:r>
        <w:rPr>
          <w:lang w:val="en-US"/>
        </w:rPr>
        <w:t xml:space="preserve">serum </w:t>
      </w:r>
      <w:r w:rsidRPr="00294511">
        <w:rPr>
          <w:lang w:val="en-US"/>
        </w:rPr>
        <w:t>AAT or an AAT protein that does not work properly</w:t>
      </w:r>
      <w:r>
        <w:rPr>
          <w:vertAlign w:val="superscript"/>
          <w:lang w:val="en-US"/>
        </w:rPr>
        <w:t>1,2</w:t>
      </w:r>
      <w:r w:rsidR="003538F7">
        <w:rPr>
          <w:lang w:val="en-US"/>
        </w:rPr>
        <w:t>, though not all people with pathogenic or likely pathogenic variants develop AATD</w:t>
      </w:r>
      <w:r w:rsidRPr="00E92BE2">
        <w:rPr>
          <w:lang w:val="en-US"/>
        </w:rPr>
        <w:fldChar w:fldCharType="begin"/>
      </w:r>
      <w:r w:rsidRPr="00E92BE2">
        <w:rPr>
          <w:lang w:val="en-US"/>
        </w:rPr>
        <w:instrText xml:space="preserve"> ADDIN EN.CITE &lt;EndNote&gt;&lt;Cite&gt;&lt;Author&gt;Alpha-1 Association of Australia&lt;/Author&gt;&lt;Year&gt;2017&lt;/Year&gt;&lt;RecNum&gt;2566&lt;/RecNum&gt;&lt;DisplayText&gt;(Alpha-1 Association of Australia, 2017, Lab Tests Online, 2021)&lt;/DisplayText&gt;&lt;record&gt;&lt;rec-number&gt;2566&lt;/rec-number&gt;&lt;foreign-keys&gt;&lt;key app="EN" db-id="2fffax5ta9z95ce9fs8xf25opfareppead95" timestamp="1615863826"&gt;2566&lt;/key&gt;&lt;/foreign-keys&gt;&lt;ref-type name="Web Page"&gt;12&lt;/ref-type&gt;&lt;contributors&gt;&lt;authors&gt;&lt;author&gt;Alpha-1 Association of Australia, &lt;/author&gt;&lt;/authors&gt;&lt;/contributors&gt;&lt;titles&gt;&lt;title&gt;A guide to alpha-1 antitrypsin deficiency&lt;/title&gt;&lt;/titles&gt;&lt;volume&gt;2021&lt;/volume&gt;&lt;number&gt;March 10&lt;/number&gt;&lt;dates&gt;&lt;year&gt;2017&lt;/year&gt;&lt;/dates&gt;&lt;urls&gt;&lt;related-urls&gt;&lt;url&gt;https://www.alpha1.org.au/doc/AAAbooklet.pdf&lt;/url&gt;&lt;/related-urls&gt;&lt;/urls&gt;&lt;/record&gt;&lt;/Cite&gt;&lt;Cite&gt;&lt;Author&gt;Lab Tests Online&lt;/Author&gt;&lt;Year&gt;2021&lt;/Year&gt;&lt;RecNum&gt;2580&lt;/RecNum&gt;&lt;record&gt;&lt;rec-number&gt;2580&lt;/rec-number&gt;&lt;foreign-keys&gt;&lt;key app="EN" db-id="2fffax5ta9z95ce9fs8xf25opfareppead95" timestamp="1615863826"&gt;2580&lt;/key&gt;&lt;/foreign-keys&gt;&lt;ref-type name="Web Page"&gt;12&lt;/ref-type&gt;&lt;contributors&gt;&lt;authors&gt;&lt;author&gt;Lab Tests Online, &lt;/author&gt;&lt;/authors&gt;&lt;/contributors&gt;&lt;titles&gt;&lt;title&gt;Alpha-1-antitrypsin&lt;/title&gt;&lt;/titles&gt;&lt;volume&gt;2021&lt;/volume&gt;&lt;number&gt;March 10&lt;/number&gt;&lt;dates&gt;&lt;year&gt;2021&lt;/year&gt;&lt;/dates&gt;&lt;urls&gt;&lt;related-urls&gt;&lt;url&gt;https://www.labtestsonline.org.au/learning/test-index/alpha1-antitrypsin&lt;/url&gt;&lt;/related-urls&gt;&lt;/urls&gt;&lt;/record&gt;&lt;/Cite&gt;&lt;/EndNote&gt;</w:instrText>
      </w:r>
      <w:r w:rsidRPr="00E92BE2">
        <w:rPr>
          <w:lang w:val="en-US"/>
        </w:rPr>
        <w:fldChar w:fldCharType="end"/>
      </w:r>
      <w:r w:rsidRPr="00E92BE2">
        <w:rPr>
          <w:lang w:val="en-US"/>
        </w:rPr>
        <w:t>.</w:t>
      </w:r>
    </w:p>
    <w:p w14:paraId="1F2D489B" w14:textId="6B242442" w:rsidR="00C711A1" w:rsidRPr="009B136F" w:rsidRDefault="00C711A1" w:rsidP="009B136F">
      <w:pPr>
        <w:spacing w:before="240" w:after="240"/>
      </w:pPr>
      <w:r w:rsidRPr="00C711A1">
        <w:t>Current and proposed testing pathways for the management of patients suspected of AATD are depicted in Figure</w:t>
      </w:r>
      <w:r w:rsidR="00657EC6">
        <w:t>s</w:t>
      </w:r>
      <w:r w:rsidRPr="00C711A1">
        <w:t xml:space="preserve"> 1 and 2, respectively.</w:t>
      </w:r>
      <w:r w:rsidR="00657EC6">
        <w:t xml:space="preserve"> Intervention </w:t>
      </w:r>
      <w:r w:rsidR="00963F86">
        <w:t>1</w:t>
      </w:r>
      <w:r w:rsidR="00657EC6">
        <w:t xml:space="preserve"> (</w:t>
      </w:r>
      <w:r w:rsidR="00A341A6">
        <w:t xml:space="preserve">2- or 14-variant </w:t>
      </w:r>
      <w:r w:rsidR="00657EC6">
        <w:t xml:space="preserve">panel testing) is proposed to replace IEF, and intervention </w:t>
      </w:r>
      <w:r w:rsidR="00963F86">
        <w:t>2</w:t>
      </w:r>
      <w:r w:rsidR="00657EC6">
        <w:t xml:space="preserve"> (sequencing) is proposed to be an addition</w:t>
      </w:r>
      <w:r w:rsidR="00663F00">
        <w:t xml:space="preserve"> to the algorithm</w:t>
      </w:r>
      <w:r w:rsidR="00657EC6">
        <w:t>.</w:t>
      </w:r>
    </w:p>
    <w:p w14:paraId="6D550F1A" w14:textId="77777777" w:rsidR="00C711A1" w:rsidRPr="00C711A1" w:rsidRDefault="00C711A1" w:rsidP="00B05487">
      <w:r w:rsidRPr="00C711A1">
        <w:rPr>
          <w:noProof/>
        </w:rPr>
        <mc:AlternateContent>
          <mc:Choice Requires="wpc">
            <w:drawing>
              <wp:inline distT="0" distB="0" distL="0" distR="0" wp14:anchorId="3C4B1E11" wp14:editId="06F7C0FB">
                <wp:extent cx="5076825" cy="5753100"/>
                <wp:effectExtent l="0" t="0" r="9525" b="0"/>
                <wp:docPr id="1075" name="Canvas 1075" descr="Figure 1  Current clinical management pathway for patients with suspected AATD"/>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1060" name="Rectangle 128"/>
                        <wps:cNvSpPr>
                          <a:spLocks noChangeArrowheads="1"/>
                        </wps:cNvSpPr>
                        <wps:spPr bwMode="auto">
                          <a:xfrm>
                            <a:off x="35999" y="4846858"/>
                            <a:ext cx="2573575" cy="832203"/>
                          </a:xfrm>
                          <a:prstGeom prst="rect">
                            <a:avLst/>
                          </a:prstGeom>
                          <a:solidFill>
                            <a:srgbClr val="FFFFFF"/>
                          </a:solidFill>
                          <a:ln w="12700">
                            <a:solidFill>
                              <a:srgbClr val="000000"/>
                            </a:solidFill>
                            <a:miter lim="800000"/>
                            <a:headEnd/>
                            <a:tailEnd/>
                          </a:ln>
                        </wps:spPr>
                        <wps:txbx>
                          <w:txbxContent>
                            <w:p w14:paraId="3299007F" w14:textId="77777777" w:rsidR="00AF08E7" w:rsidRPr="00B604FE" w:rsidRDefault="00AF08E7" w:rsidP="00C711A1">
                              <w:pPr>
                                <w:jc w:val="center"/>
                                <w:rPr>
                                  <w:sz w:val="20"/>
                                </w:rPr>
                              </w:pPr>
                              <w:r>
                                <w:rPr>
                                  <w:sz w:val="20"/>
                                </w:rPr>
                                <w:t xml:space="preserve">Treatment </w:t>
                              </w:r>
                              <w:bookmarkStart w:id="5" w:name="_Hlk69133771"/>
                              <w:r>
                                <w:rPr>
                                  <w:sz w:val="20"/>
                                </w:rPr>
                                <w:t xml:space="preserve">(antibiotics, bronchodilators, lung or liver transplant, oxygen therapy) </w:t>
                              </w:r>
                              <w:bookmarkEnd w:id="5"/>
                              <w:r>
                                <w:rPr>
                                  <w:sz w:val="20"/>
                                </w:rPr>
                                <w:t>surveillance, avoidance of risk factors</w:t>
                              </w:r>
                            </w:p>
                          </w:txbxContent>
                        </wps:txbx>
                        <wps:bodyPr rot="0" vert="horz" wrap="square" lIns="91440" tIns="45720" rIns="91440" bIns="45720" anchor="ctr" anchorCtr="0" upright="1">
                          <a:noAutofit/>
                        </wps:bodyPr>
                      </wps:wsp>
                      <wps:wsp>
                        <wps:cNvPr id="1061" name="Rectangle 129"/>
                        <wps:cNvSpPr>
                          <a:spLocks noChangeArrowheads="1"/>
                        </wps:cNvSpPr>
                        <wps:spPr bwMode="auto">
                          <a:xfrm>
                            <a:off x="1572555" y="0"/>
                            <a:ext cx="2580400" cy="663802"/>
                          </a:xfrm>
                          <a:prstGeom prst="rect">
                            <a:avLst/>
                          </a:prstGeom>
                          <a:solidFill>
                            <a:srgbClr val="FFFFFF"/>
                          </a:solidFill>
                          <a:ln w="12700">
                            <a:solidFill>
                              <a:srgbClr val="000000"/>
                            </a:solidFill>
                            <a:miter lim="800000"/>
                            <a:headEnd/>
                            <a:tailEnd/>
                          </a:ln>
                        </wps:spPr>
                        <wps:txbx>
                          <w:txbxContent>
                            <w:p w14:paraId="613C9AC2" w14:textId="77777777" w:rsidR="00AF08E7" w:rsidRDefault="00AF08E7" w:rsidP="00C711A1">
                              <w:pPr>
                                <w:jc w:val="center"/>
                                <w:rPr>
                                  <w:sz w:val="20"/>
                                </w:rPr>
                              </w:pPr>
                              <w:r w:rsidRPr="002606B7">
                                <w:rPr>
                                  <w:sz w:val="20"/>
                                </w:rPr>
                                <w:t xml:space="preserve">Patient with suspected AAT deficiency </w:t>
                              </w:r>
                            </w:p>
                            <w:p w14:paraId="6D09E116" w14:textId="534A54C3" w:rsidR="00AF08E7" w:rsidRPr="00B604FE" w:rsidRDefault="00AF08E7" w:rsidP="00C711A1">
                              <w:pPr>
                                <w:jc w:val="center"/>
                                <w:rPr>
                                  <w:sz w:val="20"/>
                                </w:rPr>
                              </w:pPr>
                              <w:r>
                                <w:rPr>
                                  <w:sz w:val="20"/>
                                </w:rPr>
                                <w:t>Measure serum AAT and CRP concentrations (MBS items 66635, 66500)</w:t>
                              </w:r>
                            </w:p>
                          </w:txbxContent>
                        </wps:txbx>
                        <wps:bodyPr rot="0" vert="horz" wrap="square" lIns="91440" tIns="45720" rIns="91440" bIns="45720" anchor="ctr" anchorCtr="0" upright="1">
                          <a:noAutofit/>
                        </wps:bodyPr>
                      </wps:wsp>
                      <wps:wsp>
                        <wps:cNvPr id="1062" name="Rectangle 133"/>
                        <wps:cNvSpPr>
                          <a:spLocks noChangeArrowheads="1"/>
                        </wps:cNvSpPr>
                        <wps:spPr bwMode="auto">
                          <a:xfrm>
                            <a:off x="116255" y="2430108"/>
                            <a:ext cx="1674100" cy="652102"/>
                          </a:xfrm>
                          <a:prstGeom prst="rect">
                            <a:avLst/>
                          </a:prstGeom>
                          <a:solidFill>
                            <a:srgbClr val="D9D9D9"/>
                          </a:solidFill>
                          <a:ln w="12700">
                            <a:solidFill>
                              <a:srgbClr val="000000"/>
                            </a:solidFill>
                            <a:miter lim="800000"/>
                            <a:headEnd/>
                            <a:tailEnd/>
                          </a:ln>
                        </wps:spPr>
                        <wps:txbx>
                          <w:txbxContent>
                            <w:p w14:paraId="1F523581" w14:textId="77777777" w:rsidR="00AF08E7" w:rsidRPr="002606B7" w:rsidRDefault="00AF08E7" w:rsidP="00C711A1">
                              <w:pPr>
                                <w:jc w:val="center"/>
                                <w:rPr>
                                  <w:sz w:val="20"/>
                                </w:rPr>
                              </w:pPr>
                              <w:r w:rsidRPr="002606B7">
                                <w:rPr>
                                  <w:sz w:val="20"/>
                                </w:rPr>
                                <w:t>Perform IEF</w:t>
                              </w:r>
                              <w:r>
                                <w:rPr>
                                  <w:sz w:val="20"/>
                                </w:rPr>
                                <w:t xml:space="preserve"> </w:t>
                              </w:r>
                              <w:r>
                                <w:rPr>
                                  <w:sz w:val="20"/>
                                </w:rPr>
                                <w:br/>
                                <w:t>(MBS item 66638)</w:t>
                              </w:r>
                            </w:p>
                          </w:txbxContent>
                        </wps:txbx>
                        <wps:bodyPr rot="0" vert="horz" wrap="square" lIns="91440" tIns="45720" rIns="91440" bIns="45720" anchor="ctr" anchorCtr="0" upright="1">
                          <a:noAutofit/>
                        </wps:bodyPr>
                      </wps:wsp>
                      <wps:wsp>
                        <wps:cNvPr id="1063" name="Rectangle 134"/>
                        <wps:cNvSpPr>
                          <a:spLocks noChangeArrowheads="1"/>
                        </wps:cNvSpPr>
                        <wps:spPr bwMode="auto">
                          <a:xfrm>
                            <a:off x="35999" y="3721346"/>
                            <a:ext cx="906556" cy="732902"/>
                          </a:xfrm>
                          <a:prstGeom prst="rect">
                            <a:avLst/>
                          </a:prstGeom>
                          <a:solidFill>
                            <a:srgbClr val="FFFFFF"/>
                          </a:solidFill>
                          <a:ln w="12700">
                            <a:solidFill>
                              <a:srgbClr val="000000"/>
                            </a:solidFill>
                            <a:miter lim="800000"/>
                            <a:headEnd/>
                            <a:tailEnd/>
                          </a:ln>
                        </wps:spPr>
                        <wps:txbx>
                          <w:txbxContent>
                            <w:p w14:paraId="0BFAF060" w14:textId="77777777" w:rsidR="00AF08E7" w:rsidRDefault="00AF08E7" w:rsidP="00C711A1">
                              <w:pPr>
                                <w:jc w:val="center"/>
                                <w:rPr>
                                  <w:szCs w:val="24"/>
                                </w:rPr>
                              </w:pPr>
                              <w:r>
                                <w:rPr>
                                  <w:sz w:val="20"/>
                                </w:rPr>
                                <w:t xml:space="preserve">Abnormal AAT protein identified </w:t>
                              </w:r>
                            </w:p>
                          </w:txbxContent>
                        </wps:txbx>
                        <wps:bodyPr rot="0" vert="horz" wrap="square" lIns="91440" tIns="45720" rIns="91440" bIns="45720" anchor="ctr" anchorCtr="0" upright="1">
                          <a:noAutofit/>
                        </wps:bodyPr>
                      </wps:wsp>
                      <wps:wsp>
                        <wps:cNvPr id="1064" name="Straight Arrow Connector 139"/>
                        <wps:cNvCnPr>
                          <a:cxnSpLocks noChangeShapeType="1"/>
                        </wps:cNvCnPr>
                        <wps:spPr bwMode="auto">
                          <a:xfrm>
                            <a:off x="3995092" y="1720136"/>
                            <a:ext cx="100" cy="66800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65" name="Straight Arrow Connector 140"/>
                        <wps:cNvCnPr>
                          <a:cxnSpLocks noChangeShapeType="1"/>
                        </wps:cNvCnPr>
                        <wps:spPr bwMode="auto">
                          <a:xfrm flipH="1">
                            <a:off x="518055" y="3082210"/>
                            <a:ext cx="424400" cy="62920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66" name="Straight Arrow Connector 141"/>
                        <wps:cNvCnPr>
                          <a:cxnSpLocks noChangeShapeType="1"/>
                        </wps:cNvCnPr>
                        <wps:spPr bwMode="auto">
                          <a:xfrm>
                            <a:off x="943055" y="3082210"/>
                            <a:ext cx="460200" cy="62970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67" name="Straight Arrow Connector 143"/>
                        <wps:cNvCnPr>
                          <a:cxnSpLocks noChangeShapeType="1"/>
                        </wps:cNvCnPr>
                        <wps:spPr bwMode="auto">
                          <a:xfrm>
                            <a:off x="509355" y="4454415"/>
                            <a:ext cx="8700" cy="392443"/>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68" name="Rectangle 145"/>
                        <wps:cNvSpPr>
                          <a:spLocks noChangeArrowheads="1"/>
                        </wps:cNvSpPr>
                        <wps:spPr bwMode="auto">
                          <a:xfrm>
                            <a:off x="3158292" y="2396538"/>
                            <a:ext cx="1673900" cy="681802"/>
                          </a:xfrm>
                          <a:prstGeom prst="rect">
                            <a:avLst/>
                          </a:prstGeom>
                          <a:solidFill>
                            <a:srgbClr val="FFFFFF"/>
                          </a:solidFill>
                          <a:ln w="12700">
                            <a:solidFill>
                              <a:srgbClr val="000000"/>
                            </a:solidFill>
                            <a:miter lim="800000"/>
                            <a:headEnd/>
                            <a:tailEnd/>
                          </a:ln>
                        </wps:spPr>
                        <wps:txbx>
                          <w:txbxContent>
                            <w:p w14:paraId="33212B3E" w14:textId="77777777" w:rsidR="00AF08E7" w:rsidRPr="009610C6" w:rsidRDefault="00AF08E7" w:rsidP="00C711A1">
                              <w:pPr>
                                <w:jc w:val="center"/>
                                <w:rPr>
                                  <w:sz w:val="20"/>
                                </w:rPr>
                              </w:pPr>
                              <w:r w:rsidRPr="009610C6">
                                <w:rPr>
                                  <w:sz w:val="20"/>
                                </w:rPr>
                                <w:t>Not AAT deficient</w:t>
                              </w:r>
                            </w:p>
                            <w:p w14:paraId="1A84AA1D" w14:textId="77777777" w:rsidR="00AF08E7" w:rsidRPr="009610C6" w:rsidRDefault="00AF08E7" w:rsidP="00C711A1">
                              <w:pPr>
                                <w:jc w:val="center"/>
                                <w:rPr>
                                  <w:sz w:val="20"/>
                                </w:rPr>
                              </w:pPr>
                              <w:r w:rsidRPr="009610C6">
                                <w:rPr>
                                  <w:sz w:val="20"/>
                                </w:rPr>
                                <w:t>No further testing</w:t>
                              </w:r>
                            </w:p>
                          </w:txbxContent>
                        </wps:txbx>
                        <wps:bodyPr rot="0" vert="horz" wrap="square" lIns="91440" tIns="45720" rIns="91440" bIns="45720" anchor="ctr" anchorCtr="0" upright="1">
                          <a:noAutofit/>
                        </wps:bodyPr>
                      </wps:wsp>
                      <wps:wsp>
                        <wps:cNvPr id="1069" name="Rectangle 147"/>
                        <wps:cNvSpPr>
                          <a:spLocks noChangeArrowheads="1"/>
                        </wps:cNvSpPr>
                        <wps:spPr bwMode="auto">
                          <a:xfrm>
                            <a:off x="1052254" y="3721346"/>
                            <a:ext cx="915911" cy="722902"/>
                          </a:xfrm>
                          <a:prstGeom prst="rect">
                            <a:avLst/>
                          </a:prstGeom>
                          <a:solidFill>
                            <a:srgbClr val="FFFFFF"/>
                          </a:solidFill>
                          <a:ln w="12700">
                            <a:solidFill>
                              <a:srgbClr val="000000"/>
                            </a:solidFill>
                            <a:miter lim="800000"/>
                            <a:headEnd/>
                            <a:tailEnd/>
                          </a:ln>
                        </wps:spPr>
                        <wps:txbx>
                          <w:txbxContent>
                            <w:p w14:paraId="14FF34BE" w14:textId="77777777" w:rsidR="00AF08E7" w:rsidRDefault="00AF08E7" w:rsidP="00C711A1">
                              <w:pPr>
                                <w:jc w:val="center"/>
                                <w:rPr>
                                  <w:szCs w:val="24"/>
                                </w:rPr>
                              </w:pPr>
                              <w:r w:rsidRPr="003A76BE">
                                <w:rPr>
                                  <w:sz w:val="20"/>
                                </w:rPr>
                                <w:t>No abnormal AAT protein identified</w:t>
                              </w:r>
                              <w:r>
                                <w:rPr>
                                  <w:sz w:val="20"/>
                                </w:rPr>
                                <w:t xml:space="preserve"> </w:t>
                              </w:r>
                            </w:p>
                          </w:txbxContent>
                        </wps:txbx>
                        <wps:bodyPr rot="0" vert="horz" wrap="square" lIns="91440" tIns="45720" rIns="91440" bIns="45720" anchor="ctr" anchorCtr="0" upright="1">
                          <a:noAutofit/>
                        </wps:bodyPr>
                      </wps:wsp>
                      <wps:wsp>
                        <wps:cNvPr id="1070" name="Straight Arrow Connector 149"/>
                        <wps:cNvCnPr>
                          <a:cxnSpLocks noChangeShapeType="1"/>
                        </wps:cNvCnPr>
                        <wps:spPr bwMode="auto">
                          <a:xfrm flipH="1">
                            <a:off x="942455" y="1724006"/>
                            <a:ext cx="200" cy="67640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71" name="Rectangle 69"/>
                        <wps:cNvSpPr>
                          <a:spLocks noChangeArrowheads="1"/>
                        </wps:cNvSpPr>
                        <wps:spPr bwMode="auto">
                          <a:xfrm>
                            <a:off x="112155" y="1141004"/>
                            <a:ext cx="1673300" cy="585502"/>
                          </a:xfrm>
                          <a:prstGeom prst="rect">
                            <a:avLst/>
                          </a:prstGeom>
                          <a:solidFill>
                            <a:srgbClr val="FFFFFF"/>
                          </a:solidFill>
                          <a:ln w="12700">
                            <a:solidFill>
                              <a:srgbClr val="000000"/>
                            </a:solidFill>
                            <a:miter lim="800000"/>
                            <a:headEnd/>
                            <a:tailEnd/>
                          </a:ln>
                        </wps:spPr>
                        <wps:txbx>
                          <w:txbxContent>
                            <w:p w14:paraId="49B6B546" w14:textId="4FE075A4" w:rsidR="00AF08E7" w:rsidRDefault="00AF08E7" w:rsidP="00C711A1">
                              <w:pPr>
                                <w:jc w:val="center"/>
                                <w:rPr>
                                  <w:szCs w:val="24"/>
                                </w:rPr>
                              </w:pPr>
                              <w:r>
                                <w:rPr>
                                  <w:sz w:val="20"/>
                                </w:rPr>
                                <w:t xml:space="preserve">Low serum AAT </w:t>
                              </w:r>
                              <w:r>
                                <w:rPr>
                                  <w:sz w:val="20"/>
                                </w:rPr>
                                <w:br/>
                                <w:t>(&lt;20 µmol/L)</w:t>
                              </w:r>
                            </w:p>
                          </w:txbxContent>
                        </wps:txbx>
                        <wps:bodyPr rot="0" vert="horz" wrap="square" lIns="91440" tIns="45720" rIns="91440" bIns="45720" anchor="ctr" anchorCtr="0" upright="1">
                          <a:noAutofit/>
                        </wps:bodyPr>
                      </wps:wsp>
                      <wps:wsp>
                        <wps:cNvPr id="1072" name="Rectangle 70"/>
                        <wps:cNvSpPr>
                          <a:spLocks noChangeArrowheads="1"/>
                        </wps:cNvSpPr>
                        <wps:spPr bwMode="auto">
                          <a:xfrm>
                            <a:off x="3153392" y="1133333"/>
                            <a:ext cx="1673200" cy="702955"/>
                          </a:xfrm>
                          <a:prstGeom prst="rect">
                            <a:avLst/>
                          </a:prstGeom>
                          <a:solidFill>
                            <a:srgbClr val="FFFFFF"/>
                          </a:solidFill>
                          <a:ln w="12700">
                            <a:solidFill>
                              <a:srgbClr val="000000"/>
                            </a:solidFill>
                            <a:miter lim="800000"/>
                            <a:headEnd/>
                            <a:tailEnd/>
                          </a:ln>
                        </wps:spPr>
                        <wps:txbx>
                          <w:txbxContent>
                            <w:p w14:paraId="3685B847" w14:textId="2D5668F2" w:rsidR="00AF08E7" w:rsidRDefault="00AF08E7" w:rsidP="00C711A1">
                              <w:pPr>
                                <w:jc w:val="center"/>
                                <w:rPr>
                                  <w:szCs w:val="24"/>
                                </w:rPr>
                              </w:pPr>
                              <w:r>
                                <w:rPr>
                                  <w:sz w:val="20"/>
                                </w:rPr>
                                <w:t>Serum AAT concentration ≥</w:t>
                              </w:r>
                              <w:r w:rsidRPr="00E33469">
                                <w:rPr>
                                  <w:sz w:val="20"/>
                                </w:rPr>
                                <w:t>20</w:t>
                              </w:r>
                              <w:r>
                                <w:rPr>
                                  <w:sz w:val="20"/>
                                </w:rPr>
                                <w:t> </w:t>
                              </w:r>
                              <w:r w:rsidRPr="00E33469">
                                <w:rPr>
                                  <w:sz w:val="20"/>
                                </w:rPr>
                                <w:t>µmol/L</w:t>
                              </w:r>
                              <w:r>
                                <w:rPr>
                                  <w:sz w:val="20"/>
                                </w:rPr>
                                <w:t>, or &lt;20 </w:t>
                              </w:r>
                              <w:r w:rsidRPr="00E33469">
                                <w:rPr>
                                  <w:sz w:val="20"/>
                                </w:rPr>
                                <w:t>µmol/L</w:t>
                              </w:r>
                              <w:r>
                                <w:rPr>
                                  <w:sz w:val="20"/>
                                </w:rPr>
                                <w:t xml:space="preserve"> but lacking symptoms</w:t>
                              </w:r>
                            </w:p>
                          </w:txbxContent>
                        </wps:txbx>
                        <wps:bodyPr rot="0" vert="horz" wrap="square" lIns="91440" tIns="45720" rIns="91440" bIns="45720" anchor="ctr" anchorCtr="0" upright="1">
                          <a:noAutofit/>
                        </wps:bodyPr>
                      </wps:wsp>
                      <wps:wsp>
                        <wps:cNvPr id="1073" name="Straight Arrow Connector 71"/>
                        <wps:cNvCnPr>
                          <a:cxnSpLocks noChangeShapeType="1"/>
                        </wps:cNvCnPr>
                        <wps:spPr bwMode="auto">
                          <a:xfrm flipH="1">
                            <a:off x="948455" y="662802"/>
                            <a:ext cx="1925300" cy="47060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74" name="Straight Arrow Connector 72"/>
                        <wps:cNvCnPr>
                          <a:cxnSpLocks noChangeShapeType="1"/>
                          <a:endCxn id="1072" idx="0"/>
                        </wps:cNvCnPr>
                        <wps:spPr bwMode="auto">
                          <a:xfrm>
                            <a:off x="2835518" y="662802"/>
                            <a:ext cx="1154282" cy="47053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3C4B1E11" id="Canvas 1075" o:spid="_x0000_s1026" editas="canvas" alt="Figure 1  Current clinical management pathway for patients with suspected AATD" style="width:399.75pt;height:453pt;mso-position-horizontal-relative:char;mso-position-vertical-relative:line" coordsize="50768,5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Figure 1  Current clinical management pathway for patients with suspected AATD" style="position:absolute;width:50768;height:57531;visibility:visible;mso-wrap-style:square" filled="t">
                  <v:fill o:detectmouseclick="t"/>
                  <v:path o:connecttype="none"/>
                </v:shape>
                <v:rect id="Rectangle 128" o:spid="_x0000_s1028" style="position:absolute;left:359;top:48468;width:25736;height:8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" strokeweight="1pt">
                  <v:textbox>
                    <w:txbxContent>
                      <w:p w14:paraId="3299007F" w14:textId="77777777" w:rsidR="00AF08E7" w:rsidRPr="00B604FE" w:rsidRDefault="00AF08E7" w:rsidP="00C711A1">
                        <w:pPr>
                          <w:jc w:val="center"/>
                          <w:rPr>
                            <w:sz w:val="20"/>
                          </w:rPr>
                        </w:pPr>
                        <w:r>
                          <w:rPr>
                            <w:sz w:val="20"/>
                          </w:rPr>
                          <w:t xml:space="preserve">Treatment </w:t>
                        </w:r>
                        <w:bookmarkStart w:id="6" w:name="_Hlk69133771"/>
                        <w:r>
                          <w:rPr>
                            <w:sz w:val="20"/>
                          </w:rPr>
                          <w:t xml:space="preserve">(antibiotics, bronchodilators, lung or liver transplant, oxygen therapy) </w:t>
                        </w:r>
                        <w:bookmarkEnd w:id="6"/>
                        <w:r>
                          <w:rPr>
                            <w:sz w:val="20"/>
                          </w:rPr>
                          <w:t>surveillance, avoidance of risk factors</w:t>
                        </w:r>
                      </w:p>
                    </w:txbxContent>
                  </v:textbox>
                </v:rect>
                <v:rect id="Rectangle 129" o:spid="_x0000_s1029" style="position:absolute;left:15725;width:25804;height:6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" strokeweight="1pt">
                  <v:textbox>
                    <w:txbxContent>
                      <w:p w14:paraId="613C9AC2" w14:textId="77777777" w:rsidR="00AF08E7" w:rsidRDefault="00AF08E7" w:rsidP="00C711A1">
                        <w:pPr>
                          <w:jc w:val="center"/>
                          <w:rPr>
                            <w:sz w:val="20"/>
                          </w:rPr>
                        </w:pPr>
                        <w:r w:rsidRPr="002606B7">
                          <w:rPr>
                            <w:sz w:val="20"/>
                          </w:rPr>
                          <w:t xml:space="preserve">Patient with suspected AAT deficiency </w:t>
                        </w:r>
                      </w:p>
                      <w:p w14:paraId="6D09E116" w14:textId="534A54C3" w:rsidR="00AF08E7" w:rsidRPr="00B604FE" w:rsidRDefault="00AF08E7" w:rsidP="00C711A1">
                        <w:pPr>
                          <w:jc w:val="center"/>
                          <w:rPr>
                            <w:sz w:val="20"/>
                          </w:rPr>
                        </w:pPr>
                        <w:r>
                          <w:rPr>
                            <w:sz w:val="20"/>
                          </w:rPr>
                          <w:t>Measure serum AAT and CRP concentrations (MBS items 66635, 66500)</w:t>
                        </w:r>
                      </w:p>
                    </w:txbxContent>
                  </v:textbox>
                </v:rect>
                <v:rect id="Rectangle 133" o:spid="_x0000_s1030" style="position:absolute;left:1162;top:24301;width:16741;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" fillcolor="#d9d9d9" strokeweight="1pt">
                  <v:textbox>
                    <w:txbxContent>
                      <w:p w14:paraId="1F523581" w14:textId="77777777" w:rsidR="00AF08E7" w:rsidRPr="002606B7" w:rsidRDefault="00AF08E7" w:rsidP="00C711A1">
                        <w:pPr>
                          <w:jc w:val="center"/>
                          <w:rPr>
                            <w:sz w:val="20"/>
                          </w:rPr>
                        </w:pPr>
                        <w:r w:rsidRPr="002606B7">
                          <w:rPr>
                            <w:sz w:val="20"/>
                          </w:rPr>
                          <w:t>Perform IEF</w:t>
                        </w:r>
                        <w:r>
                          <w:rPr>
                            <w:sz w:val="20"/>
                          </w:rPr>
                          <w:t xml:space="preserve"> </w:t>
                        </w:r>
                        <w:r>
                          <w:rPr>
                            <w:sz w:val="20"/>
                          </w:rPr>
                          <w:br/>
                          <w:t>(MBS item 66638)</w:t>
                        </w:r>
                      </w:p>
                    </w:txbxContent>
                  </v:textbox>
                </v:rect>
                <v:rect id="Rectangle 134" o:spid="_x0000_s1031" style="position:absolute;left:359;top:37213;width:9066;height:7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" strokeweight="1pt">
                  <v:textbox>
                    <w:txbxContent>
                      <w:p w14:paraId="0BFAF060" w14:textId="77777777" w:rsidR="00AF08E7" w:rsidRDefault="00AF08E7" w:rsidP="00C711A1">
                        <w:pPr>
                          <w:jc w:val="center"/>
                          <w:rPr>
                            <w:szCs w:val="24"/>
                          </w:rPr>
                        </w:pPr>
                        <w:r>
                          <w:rPr>
                            <w:sz w:val="20"/>
                          </w:rPr>
                          <w:t xml:space="preserve">Abnormal AAT protein identified </w:t>
                        </w:r>
                      </w:p>
                    </w:txbxContent>
                  </v:textbox>
                </v:rect>
                <v:shapetype id="_x0000_t32" coordsize="21600,21600" o:spt="32" o:oned="t" path="m,l21600,21600e" filled="f">
                  <v:path arrowok="t" fillok="f" o:connecttype="none"/>
                  <o:lock v:ext="edit" shapetype="t"/>
                </v:shapetype>
                <v:shape id="Straight Arrow Connector 139" o:spid="_x0000_s1032" type="#_x0000_t32" style="position:absolute;left:39950;top:17201;width:1;height:6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" strokeweight=".5pt">
                  <v:stroke endarrow="block" joinstyle="miter"/>
                </v:shape>
                <v:shape id="Straight Arrow Connector 140" o:spid="_x0000_s1033" type="#_x0000_t32" style="position:absolute;left:5180;top:30822;width:4244;height:62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" strokeweight=".5pt">
                  <v:stroke endarrow="block" joinstyle="miter"/>
                </v:shape>
                <v:shape id="Straight Arrow Connector 141" o:spid="_x0000_s1034" type="#_x0000_t32" style="position:absolute;left:9430;top:30822;width:4602;height:6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" strokeweight=".5pt">
                  <v:stroke endarrow="block" joinstyle="miter"/>
                </v:shape>
                <v:shape id="Straight Arrow Connector 143" o:spid="_x0000_s1035" type="#_x0000_t32" style="position:absolute;left:5093;top:44544;width:87;height:39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" strokeweight=".5pt">
                  <v:stroke endarrow="block" joinstyle="miter"/>
                </v:shape>
                <v:rect id="Rectangle 145" o:spid="_x0000_s1036" style="position:absolute;left:31582;top:23965;width:16739;height:6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" strokeweight="1pt">
                  <v:textbox>
                    <w:txbxContent>
                      <w:p w14:paraId="33212B3E" w14:textId="77777777" w:rsidR="00AF08E7" w:rsidRPr="009610C6" w:rsidRDefault="00AF08E7" w:rsidP="00C711A1">
                        <w:pPr>
                          <w:jc w:val="center"/>
                          <w:rPr>
                            <w:sz w:val="20"/>
                          </w:rPr>
                        </w:pPr>
                        <w:r w:rsidRPr="009610C6">
                          <w:rPr>
                            <w:sz w:val="20"/>
                          </w:rPr>
                          <w:t>Not AAT deficient</w:t>
                        </w:r>
                      </w:p>
                      <w:p w14:paraId="1A84AA1D" w14:textId="77777777" w:rsidR="00AF08E7" w:rsidRPr="009610C6" w:rsidRDefault="00AF08E7" w:rsidP="00C711A1">
                        <w:pPr>
                          <w:jc w:val="center"/>
                          <w:rPr>
                            <w:sz w:val="20"/>
                          </w:rPr>
                        </w:pPr>
                        <w:r w:rsidRPr="009610C6">
                          <w:rPr>
                            <w:sz w:val="20"/>
                          </w:rPr>
                          <w:t>No further testing</w:t>
                        </w:r>
                      </w:p>
                    </w:txbxContent>
                  </v:textbox>
                </v:rect>
                <v:rect id="Rectangle 147" o:spid="_x0000_s1037" style="position:absolute;left:10522;top:37213;width:9159;height:7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" strokeweight="1pt">
                  <v:textbox>
                    <w:txbxContent>
                      <w:p w14:paraId="14FF34BE" w14:textId="77777777" w:rsidR="00AF08E7" w:rsidRDefault="00AF08E7" w:rsidP="00C711A1">
                        <w:pPr>
                          <w:jc w:val="center"/>
                          <w:rPr>
                            <w:szCs w:val="24"/>
                          </w:rPr>
                        </w:pPr>
                        <w:r w:rsidRPr="003A76BE">
                          <w:rPr>
                            <w:sz w:val="20"/>
                          </w:rPr>
                          <w:t>No abnormal AAT protein identified</w:t>
                        </w:r>
                        <w:r>
                          <w:rPr>
                            <w:sz w:val="20"/>
                          </w:rPr>
                          <w:t xml:space="preserve"> </w:t>
                        </w:r>
                      </w:p>
                    </w:txbxContent>
                  </v:textbox>
                </v:rect>
                <v:shape id="Straight Arrow Connector 149" o:spid="_x0000_s1038" type="#_x0000_t32" style="position:absolute;left:9424;top:17240;width:2;height:67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" strokeweight=".5pt">
                  <v:stroke endarrow="block" joinstyle="miter"/>
                </v:shape>
                <v:rect id="Rectangle 69" o:spid="_x0000_s1039" style="position:absolute;left:1121;top:11410;width:16733;height:5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" strokeweight="1pt">
                  <v:textbox>
                    <w:txbxContent>
                      <w:p w14:paraId="49B6B546" w14:textId="4FE075A4" w:rsidR="00AF08E7" w:rsidRDefault="00AF08E7" w:rsidP="00C711A1">
                        <w:pPr>
                          <w:jc w:val="center"/>
                          <w:rPr>
                            <w:szCs w:val="24"/>
                          </w:rPr>
                        </w:pPr>
                        <w:r>
                          <w:rPr>
                            <w:sz w:val="20"/>
                          </w:rPr>
                          <w:t xml:space="preserve">Low serum AAT </w:t>
                        </w:r>
                        <w:r>
                          <w:rPr>
                            <w:sz w:val="20"/>
                          </w:rPr>
                          <w:br/>
                          <w:t>(&lt;20 µmol/L)</w:t>
                        </w:r>
                      </w:p>
                    </w:txbxContent>
                  </v:textbox>
                </v:rect>
                <v:rect id="Rectangle 70" o:spid="_x0000_s1040" style="position:absolute;left:31533;top:11333;width:16732;height:7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" strokeweight="1pt">
                  <v:textbox>
                    <w:txbxContent>
                      <w:p w14:paraId="3685B847" w14:textId="2D5668F2" w:rsidR="00AF08E7" w:rsidRDefault="00AF08E7" w:rsidP="00C711A1">
                        <w:pPr>
                          <w:jc w:val="center"/>
                          <w:rPr>
                            <w:szCs w:val="24"/>
                          </w:rPr>
                        </w:pPr>
                        <w:r>
                          <w:rPr>
                            <w:sz w:val="20"/>
                          </w:rPr>
                          <w:t>Serum AAT concentration ≥</w:t>
                        </w:r>
                        <w:r w:rsidRPr="00E33469">
                          <w:rPr>
                            <w:sz w:val="20"/>
                          </w:rPr>
                          <w:t>20</w:t>
                        </w:r>
                        <w:r>
                          <w:rPr>
                            <w:sz w:val="20"/>
                          </w:rPr>
                          <w:t> </w:t>
                        </w:r>
                        <w:r w:rsidRPr="00E33469">
                          <w:rPr>
                            <w:sz w:val="20"/>
                          </w:rPr>
                          <w:t>µmol/L</w:t>
                        </w:r>
                        <w:r>
                          <w:rPr>
                            <w:sz w:val="20"/>
                          </w:rPr>
                          <w:t>, or &lt;20 </w:t>
                        </w:r>
                        <w:r w:rsidRPr="00E33469">
                          <w:rPr>
                            <w:sz w:val="20"/>
                          </w:rPr>
                          <w:t>µmol/L</w:t>
                        </w:r>
                        <w:r>
                          <w:rPr>
                            <w:sz w:val="20"/>
                          </w:rPr>
                          <w:t xml:space="preserve"> but lacking symptoms</w:t>
                        </w:r>
                      </w:p>
                    </w:txbxContent>
                  </v:textbox>
                </v:rect>
                <v:shape id="Straight Arrow Connector 71" o:spid="_x0000_s1041" type="#_x0000_t32" style="position:absolute;left:9484;top:6628;width:19253;height:47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" strokeweight=".5pt">
                  <v:stroke endarrow="block" joinstyle="miter"/>
                </v:shape>
                <v:shape id="Straight Arrow Connector 72" o:spid="_x0000_s1042" type="#_x0000_t32" style="position:absolute;left:28355;top:6628;width:11543;height:47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" strokeweight=".5pt">
                  <v:stroke endarrow="block" joinstyle="miter"/>
                </v:shape>
                <w10:anchorlock/>
              </v:group>
            </w:pict>
          </mc:Fallback>
        </mc:AlternateContent>
      </w:r>
    </w:p>
    <w:p w14:paraId="014DE626" w14:textId="77C2C2F5" w:rsidR="00C711A1" w:rsidRPr="00C711A1" w:rsidRDefault="00C711A1" w:rsidP="00B05487">
      <w:pPr>
        <w:pStyle w:val="Caption"/>
      </w:pPr>
      <w:bookmarkStart w:id="6" w:name="_Ref65572691"/>
      <w:bookmarkStart w:id="7" w:name="_Toc72826903"/>
      <w:r w:rsidRPr="00C711A1">
        <w:t xml:space="preserve">Figure </w:t>
      </w:r>
      <w:r w:rsidR="00095E12">
        <w:fldChar w:fldCharType="begin"/>
      </w:r>
      <w:r w:rsidR="00095E12">
        <w:instrText xml:space="preserve"> SEQ Figure \* ARABIC </w:instrText>
      </w:r>
      <w:r w:rsidR="00095E12">
        <w:fldChar w:fldCharType="separate"/>
      </w:r>
      <w:r w:rsidR="00095E12">
        <w:rPr>
          <w:noProof/>
        </w:rPr>
        <w:t>1</w:t>
      </w:r>
      <w:r w:rsidR="00095E12">
        <w:rPr>
          <w:noProof/>
        </w:rPr>
        <w:fldChar w:fldCharType="end"/>
      </w:r>
      <w:bookmarkEnd w:id="6"/>
      <w:r w:rsidRPr="00C711A1">
        <w:tab/>
        <w:t>Current clinical management pathway for patients with suspected AATD</w:t>
      </w:r>
      <w:bookmarkEnd w:id="7"/>
    </w:p>
    <w:p w14:paraId="73315280" w14:textId="7FAE36B5" w:rsidR="00C711A1" w:rsidRDefault="00C711A1" w:rsidP="00B05487">
      <w:pPr>
        <w:pStyle w:val="Tablenotes1"/>
      </w:pPr>
      <w:r w:rsidRPr="00C711A1">
        <w:t>AAT = alpha-1 antitrypsin, CRP = C-reactive protein, IEF = isoelectric focusing, MB</w:t>
      </w:r>
      <w:r>
        <w:t>S = Medicare benefits schedule.</w:t>
      </w:r>
    </w:p>
    <w:p w14:paraId="4636F4A8" w14:textId="5760905E" w:rsidR="00C711A1" w:rsidRPr="00C711A1" w:rsidRDefault="00C711A1" w:rsidP="004A6AA9">
      <w:pPr>
        <w:pStyle w:val="Tablenotes1"/>
      </w:pPr>
      <w:r>
        <w:t xml:space="preserve">Source: </w:t>
      </w:r>
      <w:r w:rsidR="00434089">
        <w:t xml:space="preserve">Based on </w:t>
      </w:r>
      <w:r>
        <w:t>DCAR, Figure 1.</w:t>
      </w:r>
      <w:r w:rsidRPr="00C711A1">
        <w:br w:type="page"/>
      </w:r>
    </w:p>
    <w:p w14:paraId="5C0F3FFA" w14:textId="77777777" w:rsidR="00C711A1" w:rsidRPr="00C711A1" w:rsidRDefault="00C711A1" w:rsidP="00B05487">
      <w:r w:rsidRPr="00C711A1">
        <w:rPr>
          <w:noProof/>
        </w:rPr>
        <w:lastRenderedPageBreak/>
        <mc:AlternateContent>
          <mc:Choice Requires="wpc">
            <w:drawing>
              <wp:inline distT="0" distB="0" distL="0" distR="0" wp14:anchorId="66FB4659" wp14:editId="50C6AB5C">
                <wp:extent cx="5353051" cy="7505700"/>
                <wp:effectExtent l="0" t="0" r="0" b="0"/>
                <wp:docPr id="1058" name="Canvas 1058" descr="Figure 2 Proposed clinical management pathway for patients with suspected AATD"/>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1034" name="Rectangle 237"/>
                        <wps:cNvSpPr>
                          <a:spLocks noChangeArrowheads="1"/>
                        </wps:cNvSpPr>
                        <wps:spPr bwMode="auto">
                          <a:xfrm>
                            <a:off x="351200" y="1142100"/>
                            <a:ext cx="1673500" cy="876482"/>
                          </a:xfrm>
                          <a:prstGeom prst="rect">
                            <a:avLst/>
                          </a:prstGeom>
                          <a:solidFill>
                            <a:srgbClr val="FFFFFF"/>
                          </a:solidFill>
                          <a:ln w="12700">
                            <a:solidFill>
                              <a:srgbClr val="000000"/>
                            </a:solidFill>
                            <a:miter lim="800000"/>
                            <a:headEnd/>
                            <a:tailEnd/>
                          </a:ln>
                        </wps:spPr>
                        <wps:txbx>
                          <w:txbxContent>
                            <w:p w14:paraId="3C6AA382" w14:textId="4C2A1EC4" w:rsidR="00AF08E7" w:rsidRPr="00B604FE" w:rsidRDefault="00AF08E7" w:rsidP="00C711A1">
                              <w:pPr>
                                <w:jc w:val="center"/>
                                <w:rPr>
                                  <w:sz w:val="20"/>
                                </w:rPr>
                              </w:pPr>
                              <w:r>
                                <w:rPr>
                                  <w:sz w:val="20"/>
                                </w:rPr>
                                <w:t>S</w:t>
                              </w:r>
                              <w:r w:rsidRPr="00DE45CD">
                                <w:rPr>
                                  <w:sz w:val="20"/>
                                </w:rPr>
                                <w:t xml:space="preserve">erum AAT </w:t>
                              </w:r>
                              <w:r>
                                <w:rPr>
                                  <w:sz w:val="20"/>
                                </w:rPr>
                                <w:t xml:space="preserve">concentration </w:t>
                              </w:r>
                              <w:r w:rsidRPr="00E33469">
                                <w:rPr>
                                  <w:sz w:val="20"/>
                                </w:rPr>
                                <w:t>&lt;20</w:t>
                              </w:r>
                              <w:r>
                                <w:rPr>
                                  <w:sz w:val="20"/>
                                </w:rPr>
                                <w:t> </w:t>
                              </w:r>
                              <w:r w:rsidRPr="00E33469">
                                <w:rPr>
                                  <w:sz w:val="20"/>
                                </w:rPr>
                                <w:t>µmol/L</w:t>
                              </w:r>
                              <w:r>
                                <w:rPr>
                                  <w:sz w:val="20"/>
                                </w:rPr>
                                <w:t xml:space="preserve"> and symptoms, or </w:t>
                              </w:r>
                              <w:r w:rsidRPr="00E33469">
                                <w:rPr>
                                  <w:sz w:val="20"/>
                                </w:rPr>
                                <w:t>demonstrated family history of AAT deficiency</w:t>
                              </w:r>
                            </w:p>
                          </w:txbxContent>
                        </wps:txbx>
                        <wps:bodyPr rot="0" vert="horz" wrap="square" lIns="91440" tIns="45720" rIns="91440" bIns="45720" anchor="ctr" anchorCtr="0" upright="1">
                          <a:noAutofit/>
                        </wps:bodyPr>
                      </wps:wsp>
                      <wps:wsp>
                        <wps:cNvPr id="1035" name="Rectangle 238" descr="Figure 2  Proposed clinical management pathway for patients with suspected AATD"/>
                        <wps:cNvSpPr>
                          <a:spLocks noChangeArrowheads="1"/>
                        </wps:cNvSpPr>
                        <wps:spPr bwMode="auto">
                          <a:xfrm>
                            <a:off x="879952" y="5760325"/>
                            <a:ext cx="1673300" cy="1307200"/>
                          </a:xfrm>
                          <a:prstGeom prst="rect">
                            <a:avLst/>
                          </a:prstGeom>
                          <a:noFill/>
                          <a:ln w="12700">
                            <a:solidFill>
                              <a:srgbClr val="000000"/>
                            </a:solidFill>
                            <a:miter lim="800000"/>
                            <a:headEnd/>
                            <a:tailEnd/>
                          </a:ln>
                        </wps:spPr>
                        <wps:txbx>
                          <w:txbxContent>
                            <w:p w14:paraId="0A3DD130" w14:textId="77777777" w:rsidR="00AF08E7" w:rsidRPr="00B604FE" w:rsidRDefault="00AF08E7" w:rsidP="00C711A1">
                              <w:pPr>
                                <w:jc w:val="center"/>
                                <w:rPr>
                                  <w:sz w:val="20"/>
                                </w:rPr>
                              </w:pPr>
                              <w:r w:rsidRPr="00DA004E">
                                <w:rPr>
                                  <w:sz w:val="20"/>
                                </w:rPr>
                                <w:t>Treatment</w:t>
                              </w:r>
                              <w:r>
                                <w:rPr>
                                  <w:sz w:val="20"/>
                                </w:rPr>
                                <w:t xml:space="preserve"> (antibiotics, bronchodilators, lung or liver transplant, oxygen therapy)</w:t>
                              </w:r>
                              <w:r w:rsidRPr="00DA004E">
                                <w:rPr>
                                  <w:sz w:val="20"/>
                                </w:rPr>
                                <w:t>, surveillance, avoidance of risk</w:t>
                              </w:r>
                              <w:r>
                                <w:rPr>
                                  <w:sz w:val="20"/>
                                </w:rPr>
                                <w:t xml:space="preserve"> factors, cascade testing</w:t>
                              </w:r>
                            </w:p>
                          </w:txbxContent>
                        </wps:txbx>
                        <wps:bodyPr rot="0" vert="horz" wrap="square" lIns="91440" tIns="45720" rIns="91440" bIns="45720" anchor="ctr" anchorCtr="0" upright="1">
                          <a:noAutofit/>
                        </wps:bodyPr>
                      </wps:wsp>
                      <wps:wsp>
                        <wps:cNvPr id="1036" name="Rectangle 239"/>
                        <wps:cNvSpPr>
                          <a:spLocks noChangeArrowheads="1"/>
                        </wps:cNvSpPr>
                        <wps:spPr bwMode="auto">
                          <a:xfrm>
                            <a:off x="1187900" y="0"/>
                            <a:ext cx="3746049" cy="663800"/>
                          </a:xfrm>
                          <a:prstGeom prst="rect">
                            <a:avLst/>
                          </a:prstGeom>
                          <a:solidFill>
                            <a:srgbClr val="FFFFFF"/>
                          </a:solidFill>
                          <a:ln w="12700">
                            <a:solidFill>
                              <a:srgbClr val="000000"/>
                            </a:solidFill>
                            <a:miter lim="800000"/>
                            <a:headEnd/>
                            <a:tailEnd/>
                          </a:ln>
                        </wps:spPr>
                        <wps:txbx>
                          <w:txbxContent>
                            <w:p w14:paraId="00E43D86" w14:textId="77777777" w:rsidR="00AF08E7" w:rsidRDefault="00AF08E7" w:rsidP="00C711A1">
                              <w:pPr>
                                <w:jc w:val="center"/>
                                <w:rPr>
                                  <w:sz w:val="20"/>
                                </w:rPr>
                              </w:pPr>
                              <w:r w:rsidRPr="002606B7">
                                <w:rPr>
                                  <w:sz w:val="20"/>
                                </w:rPr>
                                <w:t xml:space="preserve">Patient with suspected AAT deficiency </w:t>
                              </w:r>
                            </w:p>
                            <w:p w14:paraId="4F18DD4D" w14:textId="6704DF15" w:rsidR="00AF08E7" w:rsidRPr="00B604FE" w:rsidRDefault="00AF08E7" w:rsidP="00C711A1">
                              <w:pPr>
                                <w:jc w:val="center"/>
                                <w:rPr>
                                  <w:sz w:val="20"/>
                                </w:rPr>
                              </w:pPr>
                              <w:r>
                                <w:rPr>
                                  <w:sz w:val="20"/>
                                </w:rPr>
                                <w:t>Measure serum AAT and CRP concentrations</w:t>
                              </w:r>
                              <w:r>
                                <w:rPr>
                                  <w:sz w:val="20"/>
                                </w:rPr>
                                <w:br/>
                                <w:t>(MBS items 66635, 66500)</w:t>
                              </w:r>
                            </w:p>
                          </w:txbxContent>
                        </wps:txbx>
                        <wps:bodyPr rot="0" vert="horz" wrap="square" lIns="91440" tIns="45720" rIns="91440" bIns="45720" anchor="ctr" anchorCtr="0" upright="1">
                          <a:noAutofit/>
                        </wps:bodyPr>
                      </wps:wsp>
                      <wps:wsp>
                        <wps:cNvPr id="1037" name="Rectangle 241"/>
                        <wps:cNvSpPr>
                          <a:spLocks noChangeArrowheads="1"/>
                        </wps:cNvSpPr>
                        <wps:spPr bwMode="auto">
                          <a:xfrm>
                            <a:off x="3539750" y="1134900"/>
                            <a:ext cx="1673500" cy="699226"/>
                          </a:xfrm>
                          <a:prstGeom prst="rect">
                            <a:avLst/>
                          </a:prstGeom>
                          <a:solidFill>
                            <a:srgbClr val="FFFFFF"/>
                          </a:solidFill>
                          <a:ln w="12700">
                            <a:solidFill>
                              <a:srgbClr val="000000"/>
                            </a:solidFill>
                            <a:miter lim="800000"/>
                            <a:headEnd/>
                            <a:tailEnd/>
                          </a:ln>
                        </wps:spPr>
                        <wps:txbx>
                          <w:txbxContent>
                            <w:p w14:paraId="6A21F56F" w14:textId="1679A86D" w:rsidR="00AF08E7" w:rsidRPr="00B604FE" w:rsidRDefault="00AF08E7" w:rsidP="00C711A1">
                              <w:pPr>
                                <w:jc w:val="center"/>
                                <w:rPr>
                                  <w:sz w:val="20"/>
                                </w:rPr>
                              </w:pPr>
                              <w:r>
                                <w:rPr>
                                  <w:sz w:val="20"/>
                                </w:rPr>
                                <w:t>Serum AAT concentration ≥</w:t>
                              </w:r>
                              <w:r w:rsidRPr="00E33469">
                                <w:rPr>
                                  <w:sz w:val="20"/>
                                </w:rPr>
                                <w:t>20</w:t>
                              </w:r>
                              <w:r>
                                <w:rPr>
                                  <w:sz w:val="20"/>
                                </w:rPr>
                                <w:t> </w:t>
                              </w:r>
                              <w:r w:rsidRPr="00E33469">
                                <w:rPr>
                                  <w:sz w:val="20"/>
                                </w:rPr>
                                <w:t>µmol/L</w:t>
                              </w:r>
                              <w:r>
                                <w:rPr>
                                  <w:sz w:val="20"/>
                                </w:rPr>
                                <w:t>, or &lt;20 </w:t>
                              </w:r>
                              <w:r w:rsidRPr="00E33469">
                                <w:rPr>
                                  <w:sz w:val="20"/>
                                </w:rPr>
                                <w:t>µmol/L</w:t>
                              </w:r>
                              <w:r>
                                <w:rPr>
                                  <w:sz w:val="20"/>
                                </w:rPr>
                                <w:t xml:space="preserve"> but lacking symptoms</w:t>
                              </w:r>
                            </w:p>
                          </w:txbxContent>
                        </wps:txbx>
                        <wps:bodyPr rot="0" vert="horz" wrap="square" lIns="91440" tIns="45720" rIns="91440" bIns="45720" anchor="ctr" anchorCtr="0" upright="1">
                          <a:noAutofit/>
                        </wps:bodyPr>
                      </wps:wsp>
                      <wps:wsp>
                        <wps:cNvPr id="1038" name="Rectangle 243"/>
                        <wps:cNvSpPr>
                          <a:spLocks noChangeArrowheads="1"/>
                        </wps:cNvSpPr>
                        <wps:spPr bwMode="auto">
                          <a:xfrm>
                            <a:off x="346500" y="2419400"/>
                            <a:ext cx="1674100" cy="652100"/>
                          </a:xfrm>
                          <a:prstGeom prst="rect">
                            <a:avLst/>
                          </a:prstGeom>
                          <a:solidFill>
                            <a:srgbClr val="D9D9D9"/>
                          </a:solidFill>
                          <a:ln w="12700">
                            <a:solidFill>
                              <a:srgbClr val="000000"/>
                            </a:solidFill>
                            <a:miter lim="800000"/>
                            <a:headEnd/>
                            <a:tailEnd/>
                          </a:ln>
                        </wps:spPr>
                        <wps:txbx>
                          <w:txbxContent>
                            <w:p w14:paraId="0C2DA736" w14:textId="5DD74ADD" w:rsidR="00AF08E7" w:rsidRPr="00AD3391" w:rsidRDefault="00AF08E7" w:rsidP="00C711A1">
                              <w:pPr>
                                <w:jc w:val="center"/>
                                <w:rPr>
                                  <w:b/>
                                  <w:bCs/>
                                  <w:sz w:val="20"/>
                                </w:rPr>
                              </w:pPr>
                              <w:r w:rsidRPr="002606B7">
                                <w:rPr>
                                  <w:sz w:val="20"/>
                                </w:rPr>
                                <w:t>Perform</w:t>
                              </w:r>
                              <w:r>
                                <w:rPr>
                                  <w:sz w:val="20"/>
                                </w:rPr>
                                <w:t xml:space="preserve"> 2- or 14-variant panel test</w:t>
                              </w:r>
                              <w:r>
                                <w:rPr>
                                  <w:sz w:val="20"/>
                                </w:rPr>
                                <w:br/>
                              </w:r>
                              <w:r w:rsidRPr="00AD3391">
                                <w:rPr>
                                  <w:b/>
                                  <w:bCs/>
                                  <w:sz w:val="20"/>
                                </w:rPr>
                                <w:t>(Intervention 1)</w:t>
                              </w:r>
                            </w:p>
                          </w:txbxContent>
                        </wps:txbx>
                        <wps:bodyPr rot="0" vert="horz" wrap="square" lIns="91440" tIns="45720" rIns="91440" bIns="45720" anchor="ctr" anchorCtr="0" upright="1">
                          <a:noAutofit/>
                        </wps:bodyPr>
                      </wps:wsp>
                      <wps:wsp>
                        <wps:cNvPr id="1039" name="Rectangle 244"/>
                        <wps:cNvSpPr>
                          <a:spLocks noChangeArrowheads="1"/>
                        </wps:cNvSpPr>
                        <wps:spPr bwMode="auto">
                          <a:xfrm>
                            <a:off x="0" y="3710800"/>
                            <a:ext cx="1017767" cy="733000"/>
                          </a:xfrm>
                          <a:prstGeom prst="rect">
                            <a:avLst/>
                          </a:prstGeom>
                          <a:solidFill>
                            <a:srgbClr val="FFFFFF"/>
                          </a:solidFill>
                          <a:ln w="12700">
                            <a:solidFill>
                              <a:srgbClr val="000000"/>
                            </a:solidFill>
                            <a:miter lim="800000"/>
                            <a:headEnd/>
                            <a:tailEnd/>
                          </a:ln>
                        </wps:spPr>
                        <wps:txbx>
                          <w:txbxContent>
                            <w:p w14:paraId="643F6FC3" w14:textId="05467858" w:rsidR="00AF08E7" w:rsidRDefault="00AF08E7" w:rsidP="00C711A1">
                              <w:pPr>
                                <w:jc w:val="center"/>
                                <w:rPr>
                                  <w:szCs w:val="24"/>
                                </w:rPr>
                              </w:pPr>
                              <w:r>
                                <w:rPr>
                                  <w:sz w:val="20"/>
                                </w:rPr>
                                <w:t>Pathogenic genetic variant identified</w:t>
                              </w:r>
                            </w:p>
                          </w:txbxContent>
                        </wps:txbx>
                        <wps:bodyPr rot="0" vert="horz" wrap="square" lIns="91440" tIns="45720" rIns="91440" bIns="45720" anchor="ctr" anchorCtr="0" upright="1">
                          <a:noAutofit/>
                        </wps:bodyPr>
                      </wps:wsp>
                      <wps:wsp>
                        <wps:cNvPr id="1040" name="Straight Arrow Connector 246"/>
                        <wps:cNvCnPr>
                          <a:cxnSpLocks noChangeShapeType="1"/>
                        </wps:cNvCnPr>
                        <wps:spPr bwMode="auto">
                          <a:xfrm flipH="1">
                            <a:off x="1187600" y="663800"/>
                            <a:ext cx="1925400" cy="4711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1" name="Straight Arrow Connector 247"/>
                        <wps:cNvCnPr>
                          <a:cxnSpLocks noChangeShapeType="1"/>
                          <a:endCxn id="1037" idx="0"/>
                        </wps:cNvCnPr>
                        <wps:spPr bwMode="auto">
                          <a:xfrm>
                            <a:off x="3074476" y="663800"/>
                            <a:ext cx="1301706" cy="4711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2" name="Straight Arrow Connector 249"/>
                        <wps:cNvCnPr>
                          <a:cxnSpLocks noChangeShapeType="1"/>
                          <a:stCxn id="1037" idx="2"/>
                        </wps:cNvCnPr>
                        <wps:spPr bwMode="auto">
                          <a:xfrm flipH="1">
                            <a:off x="4376250" y="1834126"/>
                            <a:ext cx="250" cy="554574"/>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3" name="Straight Arrow Connector 250"/>
                        <wps:cNvCnPr>
                          <a:cxnSpLocks noChangeShapeType="1"/>
                        </wps:cNvCnPr>
                        <wps:spPr bwMode="auto">
                          <a:xfrm flipH="1">
                            <a:off x="748300" y="3071500"/>
                            <a:ext cx="424400" cy="6292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4" name="Straight Arrow Connector 251"/>
                        <wps:cNvCnPr>
                          <a:cxnSpLocks noChangeShapeType="1"/>
                        </wps:cNvCnPr>
                        <wps:spPr bwMode="auto">
                          <a:xfrm>
                            <a:off x="1173300" y="3071500"/>
                            <a:ext cx="460200" cy="6297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5" name="Straight Arrow Connector 252"/>
                        <wps:cNvCnPr>
                          <a:cxnSpLocks noChangeShapeType="1"/>
                          <a:stCxn id="1052" idx="2"/>
                          <a:endCxn id="1049" idx="0"/>
                        </wps:cNvCnPr>
                        <wps:spPr bwMode="auto">
                          <a:xfrm flipH="1">
                            <a:off x="2409425" y="4433700"/>
                            <a:ext cx="750575" cy="34982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6" name="Straight Arrow Connector 253"/>
                        <wps:cNvCnPr>
                          <a:cxnSpLocks noChangeShapeType="1"/>
                          <a:stCxn id="1039" idx="2"/>
                          <a:endCxn id="1035" idx="0"/>
                        </wps:cNvCnPr>
                        <wps:spPr bwMode="auto">
                          <a:xfrm>
                            <a:off x="508884" y="4443800"/>
                            <a:ext cx="1207718" cy="131652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7" name="Straight Arrow Connector 254"/>
                        <wps:cNvCnPr>
                          <a:cxnSpLocks noChangeShapeType="1"/>
                          <a:stCxn id="1049" idx="2"/>
                          <a:endCxn id="1035" idx="0"/>
                        </wps:cNvCnPr>
                        <wps:spPr bwMode="auto">
                          <a:xfrm flipH="1">
                            <a:off x="1716602" y="5302325"/>
                            <a:ext cx="692823" cy="4580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8" name="Rectangle 255"/>
                        <wps:cNvSpPr>
                          <a:spLocks noChangeArrowheads="1"/>
                        </wps:cNvSpPr>
                        <wps:spPr bwMode="auto">
                          <a:xfrm>
                            <a:off x="3539399" y="2383700"/>
                            <a:ext cx="1673900" cy="652100"/>
                          </a:xfrm>
                          <a:prstGeom prst="rect">
                            <a:avLst/>
                          </a:prstGeom>
                          <a:solidFill>
                            <a:srgbClr val="FFFFFF"/>
                          </a:solidFill>
                          <a:ln w="12700">
                            <a:solidFill>
                              <a:srgbClr val="000000"/>
                            </a:solidFill>
                            <a:miter lim="800000"/>
                            <a:headEnd/>
                            <a:tailEnd/>
                          </a:ln>
                        </wps:spPr>
                        <wps:txbx>
                          <w:txbxContent>
                            <w:p w14:paraId="14806E84" w14:textId="77777777" w:rsidR="00AF08E7" w:rsidRPr="009610C6" w:rsidRDefault="00AF08E7" w:rsidP="00C711A1">
                              <w:pPr>
                                <w:jc w:val="center"/>
                                <w:rPr>
                                  <w:sz w:val="20"/>
                                </w:rPr>
                              </w:pPr>
                              <w:r w:rsidRPr="009610C6">
                                <w:rPr>
                                  <w:sz w:val="20"/>
                                </w:rPr>
                                <w:t>Not AAT deficient</w:t>
                              </w:r>
                            </w:p>
                            <w:p w14:paraId="1E1C6C56" w14:textId="77777777" w:rsidR="00AF08E7" w:rsidRPr="009610C6" w:rsidRDefault="00AF08E7" w:rsidP="00C711A1">
                              <w:pPr>
                                <w:jc w:val="center"/>
                                <w:rPr>
                                  <w:sz w:val="20"/>
                                </w:rPr>
                              </w:pPr>
                              <w:r w:rsidRPr="009610C6">
                                <w:rPr>
                                  <w:sz w:val="20"/>
                                </w:rPr>
                                <w:t>No further testing</w:t>
                              </w:r>
                            </w:p>
                          </w:txbxContent>
                        </wps:txbx>
                        <wps:bodyPr rot="0" vert="horz" wrap="square" lIns="91440" tIns="45720" rIns="91440" bIns="45720" anchor="ctr" anchorCtr="0" upright="1">
                          <a:noAutofit/>
                        </wps:bodyPr>
                      </wps:wsp>
                      <wps:wsp>
                        <wps:cNvPr id="1049" name="Rectangle 256"/>
                        <wps:cNvSpPr>
                          <a:spLocks noChangeArrowheads="1"/>
                        </wps:cNvSpPr>
                        <wps:spPr bwMode="auto">
                          <a:xfrm>
                            <a:off x="1572825" y="4783525"/>
                            <a:ext cx="1673200" cy="518800"/>
                          </a:xfrm>
                          <a:prstGeom prst="rect">
                            <a:avLst/>
                          </a:prstGeom>
                          <a:solidFill>
                            <a:srgbClr val="FFFFFF"/>
                          </a:solidFill>
                          <a:ln w="12700">
                            <a:solidFill>
                              <a:srgbClr val="000000"/>
                            </a:solidFill>
                            <a:miter lim="800000"/>
                            <a:headEnd/>
                            <a:tailEnd/>
                          </a:ln>
                        </wps:spPr>
                        <wps:txbx>
                          <w:txbxContent>
                            <w:p w14:paraId="7645B1AC" w14:textId="77777777" w:rsidR="00AF08E7" w:rsidRDefault="00AF08E7" w:rsidP="00C711A1">
                              <w:pPr>
                                <w:jc w:val="center"/>
                              </w:pPr>
                              <w:r>
                                <w:rPr>
                                  <w:sz w:val="20"/>
                                </w:rPr>
                                <w:t>Pathogenic variant identified</w:t>
                              </w:r>
                            </w:p>
                          </w:txbxContent>
                        </wps:txbx>
                        <wps:bodyPr rot="0" vert="horz" wrap="square" lIns="91440" tIns="45720" rIns="91440" bIns="45720" anchor="ctr" anchorCtr="0" upright="1">
                          <a:noAutofit/>
                        </wps:bodyPr>
                      </wps:wsp>
                      <wps:wsp>
                        <wps:cNvPr id="1050" name="Rectangle 257"/>
                        <wps:cNvSpPr>
                          <a:spLocks noChangeArrowheads="1"/>
                        </wps:cNvSpPr>
                        <wps:spPr bwMode="auto">
                          <a:xfrm>
                            <a:off x="1097280" y="3710800"/>
                            <a:ext cx="1021620" cy="722900"/>
                          </a:xfrm>
                          <a:prstGeom prst="rect">
                            <a:avLst/>
                          </a:prstGeom>
                          <a:solidFill>
                            <a:srgbClr val="FFFFFF"/>
                          </a:solidFill>
                          <a:ln w="12700">
                            <a:solidFill>
                              <a:srgbClr val="000000"/>
                            </a:solidFill>
                            <a:miter lim="800000"/>
                            <a:headEnd/>
                            <a:tailEnd/>
                          </a:ln>
                        </wps:spPr>
                        <wps:txbx>
                          <w:txbxContent>
                            <w:p w14:paraId="1936F66A" w14:textId="06EB2065" w:rsidR="00AF08E7" w:rsidRDefault="00AF08E7" w:rsidP="00C711A1">
                              <w:pPr>
                                <w:jc w:val="center"/>
                                <w:rPr>
                                  <w:szCs w:val="24"/>
                                </w:rPr>
                              </w:pPr>
                              <w:r>
                                <w:rPr>
                                  <w:sz w:val="20"/>
                                </w:rPr>
                                <w:t>No pathogenic genetic variant identified</w:t>
                              </w:r>
                            </w:p>
                          </w:txbxContent>
                        </wps:txbx>
                        <wps:bodyPr rot="0" vert="horz" wrap="square" lIns="91440" tIns="45720" rIns="91440" bIns="45720" anchor="ctr" anchorCtr="0" upright="1">
                          <a:noAutofit/>
                        </wps:bodyPr>
                      </wps:wsp>
                      <wps:wsp>
                        <wps:cNvPr id="1051" name="Straight Arrow Connector 259"/>
                        <wps:cNvCnPr>
                          <a:cxnSpLocks noChangeShapeType="1"/>
                          <a:stCxn id="1034" idx="2"/>
                        </wps:cNvCnPr>
                        <wps:spPr bwMode="auto">
                          <a:xfrm flipH="1">
                            <a:off x="1187900" y="2018582"/>
                            <a:ext cx="50" cy="400818"/>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52" name="Rectangle 261"/>
                        <wps:cNvSpPr>
                          <a:spLocks noChangeArrowheads="1"/>
                        </wps:cNvSpPr>
                        <wps:spPr bwMode="auto">
                          <a:xfrm>
                            <a:off x="2324000" y="3710800"/>
                            <a:ext cx="1672000" cy="722900"/>
                          </a:xfrm>
                          <a:prstGeom prst="rect">
                            <a:avLst/>
                          </a:prstGeom>
                          <a:solidFill>
                            <a:srgbClr val="D9D9D9"/>
                          </a:solidFill>
                          <a:ln w="12700">
                            <a:solidFill>
                              <a:srgbClr val="000000"/>
                            </a:solidFill>
                            <a:miter lim="800000"/>
                            <a:headEnd/>
                            <a:tailEnd/>
                          </a:ln>
                        </wps:spPr>
                        <wps:txbx>
                          <w:txbxContent>
                            <w:p w14:paraId="1D66717D" w14:textId="77777777" w:rsidR="00AF08E7" w:rsidRPr="00AD3391" w:rsidRDefault="00AF08E7" w:rsidP="00C711A1">
                              <w:pPr>
                                <w:spacing w:after="160" w:line="254" w:lineRule="auto"/>
                                <w:jc w:val="center"/>
                                <w:rPr>
                                  <w:b/>
                                  <w:bCs/>
                                  <w:szCs w:val="24"/>
                                </w:rPr>
                              </w:pPr>
                              <w:r>
                                <w:rPr>
                                  <w:sz w:val="20"/>
                                </w:rPr>
                                <w:t>Perform gene sequencing</w:t>
                              </w:r>
                              <w:r>
                                <w:rPr>
                                  <w:sz w:val="20"/>
                                </w:rPr>
                                <w:br/>
                              </w:r>
                              <w:r w:rsidRPr="00AD3391">
                                <w:rPr>
                                  <w:b/>
                                  <w:bCs/>
                                  <w:sz w:val="20"/>
                                </w:rPr>
                                <w:t>(Intervention 2)</w:t>
                              </w:r>
                            </w:p>
                          </w:txbxContent>
                        </wps:txbx>
                        <wps:bodyPr rot="0" vert="horz" wrap="square" lIns="91440" tIns="45720" rIns="91440" bIns="45720" anchor="ctr" anchorCtr="0" upright="1">
                          <a:noAutofit/>
                        </wps:bodyPr>
                      </wps:wsp>
                      <wps:wsp>
                        <wps:cNvPr id="1053" name="Straight Arrow Connector 262"/>
                        <wps:cNvCnPr>
                          <a:cxnSpLocks noChangeShapeType="1"/>
                        </wps:cNvCnPr>
                        <wps:spPr bwMode="auto">
                          <a:xfrm>
                            <a:off x="2141800" y="4076900"/>
                            <a:ext cx="18220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54" name="Rectangle 263"/>
                        <wps:cNvSpPr>
                          <a:spLocks noChangeArrowheads="1"/>
                        </wps:cNvSpPr>
                        <wps:spPr bwMode="auto">
                          <a:xfrm>
                            <a:off x="3456625" y="4773025"/>
                            <a:ext cx="1672000" cy="518800"/>
                          </a:xfrm>
                          <a:prstGeom prst="rect">
                            <a:avLst/>
                          </a:prstGeom>
                          <a:solidFill>
                            <a:srgbClr val="FFFFFF"/>
                          </a:solidFill>
                          <a:ln w="12700">
                            <a:solidFill>
                              <a:srgbClr val="000000"/>
                            </a:solidFill>
                            <a:miter lim="800000"/>
                            <a:headEnd/>
                            <a:tailEnd/>
                          </a:ln>
                        </wps:spPr>
                        <wps:txbx>
                          <w:txbxContent>
                            <w:p w14:paraId="2636C039" w14:textId="77777777" w:rsidR="00AF08E7" w:rsidRDefault="00AF08E7" w:rsidP="00C711A1">
                              <w:pPr>
                                <w:jc w:val="center"/>
                                <w:rPr>
                                  <w:szCs w:val="24"/>
                                </w:rPr>
                              </w:pPr>
                              <w:r>
                                <w:rPr>
                                  <w:sz w:val="20"/>
                                </w:rPr>
                                <w:t>No pathogenic variant identified</w:t>
                              </w:r>
                            </w:p>
                          </w:txbxContent>
                        </wps:txbx>
                        <wps:bodyPr rot="0" vert="horz" wrap="square" lIns="91440" tIns="45720" rIns="91440" bIns="45720" anchor="ctr" anchorCtr="0" upright="1">
                          <a:noAutofit/>
                        </wps:bodyPr>
                      </wps:wsp>
                      <wps:wsp>
                        <wps:cNvPr id="1055" name="Straight Arrow Connector 264"/>
                        <wps:cNvCnPr>
                          <a:cxnSpLocks noChangeShapeType="1"/>
                          <a:stCxn id="1052" idx="2"/>
                          <a:endCxn id="1054" idx="0"/>
                        </wps:cNvCnPr>
                        <wps:spPr bwMode="auto">
                          <a:xfrm>
                            <a:off x="3160000" y="4433700"/>
                            <a:ext cx="1132624" cy="33932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56" name="Rectangle 265"/>
                        <wps:cNvSpPr>
                          <a:spLocks noChangeArrowheads="1"/>
                        </wps:cNvSpPr>
                        <wps:spPr bwMode="auto">
                          <a:xfrm>
                            <a:off x="2918622" y="5760625"/>
                            <a:ext cx="1672500" cy="1306900"/>
                          </a:xfrm>
                          <a:prstGeom prst="rect">
                            <a:avLst/>
                          </a:prstGeom>
                          <a:solidFill>
                            <a:srgbClr val="FFFFFF"/>
                          </a:solidFill>
                          <a:ln w="12700">
                            <a:solidFill>
                              <a:srgbClr val="000000"/>
                            </a:solidFill>
                            <a:miter lim="800000"/>
                            <a:headEnd/>
                            <a:tailEnd/>
                          </a:ln>
                        </wps:spPr>
                        <wps:txbx>
                          <w:txbxContent>
                            <w:p w14:paraId="4AF1E6BD" w14:textId="77777777" w:rsidR="00AF08E7" w:rsidRDefault="00AF08E7" w:rsidP="00C711A1">
                              <w:pPr>
                                <w:jc w:val="center"/>
                                <w:rPr>
                                  <w:szCs w:val="24"/>
                                </w:rPr>
                              </w:pPr>
                              <w:r>
                                <w:rPr>
                                  <w:sz w:val="20"/>
                                </w:rPr>
                                <w:t>Treatment, surveillance, avoidance of risk factors, additional genetic testing</w:t>
                              </w:r>
                            </w:p>
                          </w:txbxContent>
                        </wps:txbx>
                        <wps:bodyPr rot="0" vert="horz" wrap="square" lIns="91440" tIns="45720" rIns="91440" bIns="45720" anchor="ctr" anchorCtr="0" upright="1">
                          <a:noAutofit/>
                        </wps:bodyPr>
                      </wps:wsp>
                      <wps:wsp>
                        <wps:cNvPr id="1057" name="Straight Arrow Connector 266"/>
                        <wps:cNvCnPr>
                          <a:cxnSpLocks noChangeShapeType="1"/>
                          <a:endCxn id="1056" idx="0"/>
                        </wps:cNvCnPr>
                        <wps:spPr bwMode="auto">
                          <a:xfrm flipH="1">
                            <a:off x="3754871" y="5303125"/>
                            <a:ext cx="556353" cy="4575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6FB4659" id="Canvas 1058" o:spid="_x0000_s1043" editas="canvas" alt="Figure 2 Proposed clinical management pathway for patients with suspected AATD" style="width:421.5pt;height:591pt;mso-position-horizontal-relative:char;mso-position-vertical-relative:line" coordsize="53530,75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">
                <v:shape id="_x0000_s1044" type="#_x0000_t75" alt="Figure 2 Proposed clinical management pathway for patients with suspected AATD" style="position:absolute;width:53530;height:75057;visibility:visible;mso-wrap-style:square" filled="t">
                  <v:fill o:detectmouseclick="t"/>
                  <v:path o:connecttype="none"/>
                </v:shape>
                <v:rect id="Rectangle 237" o:spid="_x0000_s1045" style="position:absolute;left:3512;top:11421;width:16735;height:8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" strokeweight="1pt">
                  <v:textbox>
                    <w:txbxContent>
                      <w:p w14:paraId="3C6AA382" w14:textId="4C2A1EC4" w:rsidR="00AF08E7" w:rsidRPr="00B604FE" w:rsidRDefault="00AF08E7" w:rsidP="00C711A1">
                        <w:pPr>
                          <w:jc w:val="center"/>
                          <w:rPr>
                            <w:sz w:val="20"/>
                          </w:rPr>
                        </w:pPr>
                        <w:r>
                          <w:rPr>
                            <w:sz w:val="20"/>
                          </w:rPr>
                          <w:t>S</w:t>
                        </w:r>
                        <w:r w:rsidRPr="00DE45CD">
                          <w:rPr>
                            <w:sz w:val="20"/>
                          </w:rPr>
                          <w:t xml:space="preserve">erum AAT </w:t>
                        </w:r>
                        <w:r>
                          <w:rPr>
                            <w:sz w:val="20"/>
                          </w:rPr>
                          <w:t xml:space="preserve">concentration </w:t>
                        </w:r>
                        <w:r w:rsidRPr="00E33469">
                          <w:rPr>
                            <w:sz w:val="20"/>
                          </w:rPr>
                          <w:t>&lt;20</w:t>
                        </w:r>
                        <w:r>
                          <w:rPr>
                            <w:sz w:val="20"/>
                          </w:rPr>
                          <w:t> </w:t>
                        </w:r>
                        <w:r w:rsidRPr="00E33469">
                          <w:rPr>
                            <w:sz w:val="20"/>
                          </w:rPr>
                          <w:t>µmol/L</w:t>
                        </w:r>
                        <w:r>
                          <w:rPr>
                            <w:sz w:val="20"/>
                          </w:rPr>
                          <w:t xml:space="preserve"> and symptoms, or </w:t>
                        </w:r>
                        <w:r w:rsidRPr="00E33469">
                          <w:rPr>
                            <w:sz w:val="20"/>
                          </w:rPr>
                          <w:t>demonstrated family history of AAT deficiency</w:t>
                        </w:r>
                      </w:p>
                    </w:txbxContent>
                  </v:textbox>
                </v:rect>
                <v:rect id="Rectangle 238" o:spid="_x0000_s1046" alt="Figure 2  Proposed clinical management pathway for patients with suspected AATD" style="position:absolute;left:8799;top:57603;width:16733;height:13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" filled="f" strokeweight="1pt">
                  <v:textbox>
                    <w:txbxContent>
                      <w:p w14:paraId="0A3DD130" w14:textId="77777777" w:rsidR="00AF08E7" w:rsidRPr="00B604FE" w:rsidRDefault="00AF08E7" w:rsidP="00C711A1">
                        <w:pPr>
                          <w:jc w:val="center"/>
                          <w:rPr>
                            <w:sz w:val="20"/>
                          </w:rPr>
                        </w:pPr>
                        <w:r w:rsidRPr="00DA004E">
                          <w:rPr>
                            <w:sz w:val="20"/>
                          </w:rPr>
                          <w:t>Treatment</w:t>
                        </w:r>
                        <w:r>
                          <w:rPr>
                            <w:sz w:val="20"/>
                          </w:rPr>
                          <w:t xml:space="preserve"> (antibiotics, bronchodilators, lung or liver transplant, oxygen therapy)</w:t>
                        </w:r>
                        <w:r w:rsidRPr="00DA004E">
                          <w:rPr>
                            <w:sz w:val="20"/>
                          </w:rPr>
                          <w:t>, surveillance, avoidance of risk</w:t>
                        </w:r>
                        <w:r>
                          <w:rPr>
                            <w:sz w:val="20"/>
                          </w:rPr>
                          <w:t xml:space="preserve"> factors, cascade testing</w:t>
                        </w:r>
                      </w:p>
                    </w:txbxContent>
                  </v:textbox>
                </v:rect>
                <v:rect id="Rectangle 239" o:spid="_x0000_s1047" style="position:absolute;left:11879;width:37460;height:6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" strokeweight="1pt">
                  <v:textbox>
                    <w:txbxContent>
                      <w:p w14:paraId="00E43D86" w14:textId="77777777" w:rsidR="00AF08E7" w:rsidRDefault="00AF08E7" w:rsidP="00C711A1">
                        <w:pPr>
                          <w:jc w:val="center"/>
                          <w:rPr>
                            <w:sz w:val="20"/>
                          </w:rPr>
                        </w:pPr>
                        <w:r w:rsidRPr="002606B7">
                          <w:rPr>
                            <w:sz w:val="20"/>
                          </w:rPr>
                          <w:t xml:space="preserve">Patient with suspected AAT deficiency </w:t>
                        </w:r>
                      </w:p>
                      <w:p w14:paraId="4F18DD4D" w14:textId="6704DF15" w:rsidR="00AF08E7" w:rsidRPr="00B604FE" w:rsidRDefault="00AF08E7" w:rsidP="00C711A1">
                        <w:pPr>
                          <w:jc w:val="center"/>
                          <w:rPr>
                            <w:sz w:val="20"/>
                          </w:rPr>
                        </w:pPr>
                        <w:r>
                          <w:rPr>
                            <w:sz w:val="20"/>
                          </w:rPr>
                          <w:t>Measure serum AAT and CRP concentrations</w:t>
                        </w:r>
                        <w:r>
                          <w:rPr>
                            <w:sz w:val="20"/>
                          </w:rPr>
                          <w:br/>
                          <w:t>(MBS items 66635, 66500)</w:t>
                        </w:r>
                      </w:p>
                    </w:txbxContent>
                  </v:textbox>
                </v:rect>
                <v:rect id="Rectangle 241" o:spid="_x0000_s1048" style="position:absolute;left:35397;top:11349;width:16735;height:6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" strokeweight="1pt">
                  <v:textbox>
                    <w:txbxContent>
                      <w:p w14:paraId="6A21F56F" w14:textId="1679A86D" w:rsidR="00AF08E7" w:rsidRPr="00B604FE" w:rsidRDefault="00AF08E7" w:rsidP="00C711A1">
                        <w:pPr>
                          <w:jc w:val="center"/>
                          <w:rPr>
                            <w:sz w:val="20"/>
                          </w:rPr>
                        </w:pPr>
                        <w:r>
                          <w:rPr>
                            <w:sz w:val="20"/>
                          </w:rPr>
                          <w:t>Serum AAT concentration ≥</w:t>
                        </w:r>
                        <w:r w:rsidRPr="00E33469">
                          <w:rPr>
                            <w:sz w:val="20"/>
                          </w:rPr>
                          <w:t>20</w:t>
                        </w:r>
                        <w:r>
                          <w:rPr>
                            <w:sz w:val="20"/>
                          </w:rPr>
                          <w:t> </w:t>
                        </w:r>
                        <w:r w:rsidRPr="00E33469">
                          <w:rPr>
                            <w:sz w:val="20"/>
                          </w:rPr>
                          <w:t>µmol/L</w:t>
                        </w:r>
                        <w:r>
                          <w:rPr>
                            <w:sz w:val="20"/>
                          </w:rPr>
                          <w:t>, or &lt;20 </w:t>
                        </w:r>
                        <w:r w:rsidRPr="00E33469">
                          <w:rPr>
                            <w:sz w:val="20"/>
                          </w:rPr>
                          <w:t>µmol/L</w:t>
                        </w:r>
                        <w:r>
                          <w:rPr>
                            <w:sz w:val="20"/>
                          </w:rPr>
                          <w:t xml:space="preserve"> but lacking symptoms</w:t>
                        </w:r>
                      </w:p>
                    </w:txbxContent>
                  </v:textbox>
                </v:rect>
                <v:rect id="Rectangle 243" o:spid="_x0000_s1049" style="position:absolute;left:3465;top:24194;width:16741;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" fillcolor="#d9d9d9" strokeweight="1pt">
                  <v:textbox>
                    <w:txbxContent>
                      <w:p w14:paraId="0C2DA736" w14:textId="5DD74ADD" w:rsidR="00AF08E7" w:rsidRPr="00AD3391" w:rsidRDefault="00AF08E7" w:rsidP="00C711A1">
                        <w:pPr>
                          <w:jc w:val="center"/>
                          <w:rPr>
                            <w:b/>
                            <w:bCs/>
                            <w:sz w:val="20"/>
                          </w:rPr>
                        </w:pPr>
                        <w:r w:rsidRPr="002606B7">
                          <w:rPr>
                            <w:sz w:val="20"/>
                          </w:rPr>
                          <w:t>Perform</w:t>
                        </w:r>
                        <w:r>
                          <w:rPr>
                            <w:sz w:val="20"/>
                          </w:rPr>
                          <w:t xml:space="preserve"> 2- or 14-variant panel test</w:t>
                        </w:r>
                        <w:r>
                          <w:rPr>
                            <w:sz w:val="20"/>
                          </w:rPr>
                          <w:br/>
                        </w:r>
                        <w:r w:rsidRPr="00AD3391">
                          <w:rPr>
                            <w:b/>
                            <w:bCs/>
                            <w:sz w:val="20"/>
                          </w:rPr>
                          <w:t>(Intervention 1)</w:t>
                        </w:r>
                      </w:p>
                    </w:txbxContent>
                  </v:textbox>
                </v:rect>
                <v:rect id="Rectangle 244" o:spid="_x0000_s1050" style="position:absolute;top:37108;width:10177;height:7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" strokeweight="1pt">
                  <v:textbox>
                    <w:txbxContent>
                      <w:p w14:paraId="643F6FC3" w14:textId="05467858" w:rsidR="00AF08E7" w:rsidRDefault="00AF08E7" w:rsidP="00C711A1">
                        <w:pPr>
                          <w:jc w:val="center"/>
                          <w:rPr>
                            <w:szCs w:val="24"/>
                          </w:rPr>
                        </w:pPr>
                        <w:r>
                          <w:rPr>
                            <w:sz w:val="20"/>
                          </w:rPr>
                          <w:t>Pathogenic genetic variant identified</w:t>
                        </w:r>
                      </w:p>
                    </w:txbxContent>
                  </v:textbox>
                </v:rect>
                <v:shape id="Straight Arrow Connector 246" o:spid="_x0000_s1051" type="#_x0000_t32" style="position:absolute;left:11876;top:6638;width:19254;height:47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" strokeweight=".5pt">
                  <v:stroke endarrow="block" joinstyle="miter"/>
                </v:shape>
                <v:shape id="Straight Arrow Connector 247" o:spid="_x0000_s1052" type="#_x0000_t32" style="position:absolute;left:30744;top:6638;width:13017;height:47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" strokeweight=".5pt">
                  <v:stroke endarrow="block" joinstyle="miter"/>
                </v:shape>
                <v:shape id="Straight Arrow Connector 249" o:spid="_x0000_s1053" type="#_x0000_t32" style="position:absolute;left:43762;top:18341;width:3;height:55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" strokeweight=".5pt">
                  <v:stroke endarrow="block" joinstyle="miter"/>
                </v:shape>
                <v:shape id="Straight Arrow Connector 250" o:spid="_x0000_s1054" type="#_x0000_t32" style="position:absolute;left:7483;top:30715;width:4244;height:62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" strokeweight=".5pt">
                  <v:stroke endarrow="block" joinstyle="miter"/>
                </v:shape>
                <v:shape id="Straight Arrow Connector 251" o:spid="_x0000_s1055" type="#_x0000_t32" style="position:absolute;left:11733;top:30715;width:4602;height:6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" strokeweight=".5pt">
                  <v:stroke endarrow="block" joinstyle="miter"/>
                </v:shape>
                <v:shape id="Straight Arrow Connector 252" o:spid="_x0000_s1056" type="#_x0000_t32" style="position:absolute;left:24094;top:44337;width:7506;height:34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" strokeweight=".5pt">
                  <v:stroke endarrow="block" joinstyle="miter"/>
                </v:shape>
                <v:shape id="Straight Arrow Connector 253" o:spid="_x0000_s1057" type="#_x0000_t32" style="position:absolute;left:5088;top:44438;width:12078;height:13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" strokeweight=".5pt">
                  <v:stroke endarrow="block" joinstyle="miter"/>
                </v:shape>
                <v:shape id="Straight Arrow Connector 254" o:spid="_x0000_s1058" type="#_x0000_t32" style="position:absolute;left:17166;top:53023;width:6928;height:45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" strokeweight=".5pt">
                  <v:stroke endarrow="block" joinstyle="miter"/>
                </v:shape>
                <v:rect id="Rectangle 255" o:spid="_x0000_s1059" style="position:absolute;left:35393;top:23837;width:16739;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" strokeweight="1pt">
                  <v:textbox>
                    <w:txbxContent>
                      <w:p w14:paraId="14806E84" w14:textId="77777777" w:rsidR="00AF08E7" w:rsidRPr="009610C6" w:rsidRDefault="00AF08E7" w:rsidP="00C711A1">
                        <w:pPr>
                          <w:jc w:val="center"/>
                          <w:rPr>
                            <w:sz w:val="20"/>
                          </w:rPr>
                        </w:pPr>
                        <w:r w:rsidRPr="009610C6">
                          <w:rPr>
                            <w:sz w:val="20"/>
                          </w:rPr>
                          <w:t>Not AAT deficient</w:t>
                        </w:r>
                      </w:p>
                      <w:p w14:paraId="1E1C6C56" w14:textId="77777777" w:rsidR="00AF08E7" w:rsidRPr="009610C6" w:rsidRDefault="00AF08E7" w:rsidP="00C711A1">
                        <w:pPr>
                          <w:jc w:val="center"/>
                          <w:rPr>
                            <w:sz w:val="20"/>
                          </w:rPr>
                        </w:pPr>
                        <w:r w:rsidRPr="009610C6">
                          <w:rPr>
                            <w:sz w:val="20"/>
                          </w:rPr>
                          <w:t>No further testing</w:t>
                        </w:r>
                      </w:p>
                    </w:txbxContent>
                  </v:textbox>
                </v:rect>
                <v:rect id="Rectangle 256" o:spid="_x0000_s1060" style="position:absolute;left:15728;top:47835;width:16732;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" strokeweight="1pt">
                  <v:textbox>
                    <w:txbxContent>
                      <w:p w14:paraId="7645B1AC" w14:textId="77777777" w:rsidR="00AF08E7" w:rsidRDefault="00AF08E7" w:rsidP="00C711A1">
                        <w:pPr>
                          <w:jc w:val="center"/>
                        </w:pPr>
                        <w:r>
                          <w:rPr>
                            <w:sz w:val="20"/>
                          </w:rPr>
                          <w:t>Pathogenic variant identified</w:t>
                        </w:r>
                      </w:p>
                    </w:txbxContent>
                  </v:textbox>
                </v:rect>
                <v:rect id="Rectangle 257" o:spid="_x0000_s1061" style="position:absolute;left:10972;top:37108;width:10217;height:7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" strokeweight="1pt">
                  <v:textbox>
                    <w:txbxContent>
                      <w:p w14:paraId="1936F66A" w14:textId="06EB2065" w:rsidR="00AF08E7" w:rsidRDefault="00AF08E7" w:rsidP="00C711A1">
                        <w:pPr>
                          <w:jc w:val="center"/>
                          <w:rPr>
                            <w:szCs w:val="24"/>
                          </w:rPr>
                        </w:pPr>
                        <w:r>
                          <w:rPr>
                            <w:sz w:val="20"/>
                          </w:rPr>
                          <w:t>No pathogenic genetic variant identified</w:t>
                        </w:r>
                      </w:p>
                    </w:txbxContent>
                  </v:textbox>
                </v:rect>
                <v:shape id="Straight Arrow Connector 259" o:spid="_x0000_s1062" type="#_x0000_t32" style="position:absolute;left:11879;top:20185;width:0;height:40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" strokeweight=".5pt">
                  <v:stroke endarrow="block" joinstyle="miter"/>
                </v:shape>
                <v:rect id="Rectangle 261" o:spid="_x0000_s1063" style="position:absolute;left:23240;top:37108;width:16720;height:7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" fillcolor="#d9d9d9" strokeweight="1pt">
                  <v:textbox>
                    <w:txbxContent>
                      <w:p w14:paraId="1D66717D" w14:textId="77777777" w:rsidR="00AF08E7" w:rsidRPr="00AD3391" w:rsidRDefault="00AF08E7" w:rsidP="00C711A1">
                        <w:pPr>
                          <w:spacing w:after="160" w:line="254" w:lineRule="auto"/>
                          <w:jc w:val="center"/>
                          <w:rPr>
                            <w:b/>
                            <w:bCs/>
                            <w:szCs w:val="24"/>
                          </w:rPr>
                        </w:pPr>
                        <w:r>
                          <w:rPr>
                            <w:sz w:val="20"/>
                          </w:rPr>
                          <w:t>Perform gene sequencing</w:t>
                        </w:r>
                        <w:r>
                          <w:rPr>
                            <w:sz w:val="20"/>
                          </w:rPr>
                          <w:br/>
                        </w:r>
                        <w:r w:rsidRPr="00AD3391">
                          <w:rPr>
                            <w:b/>
                            <w:bCs/>
                            <w:sz w:val="20"/>
                          </w:rPr>
                          <w:t>(Intervention 2)</w:t>
                        </w:r>
                      </w:p>
                    </w:txbxContent>
                  </v:textbox>
                </v:rect>
                <v:shape id="Straight Arrow Connector 262" o:spid="_x0000_s1064" type="#_x0000_t32" style="position:absolute;left:21418;top:40769;width:18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" strokeweight=".5pt">
                  <v:stroke endarrow="block" joinstyle="miter"/>
                </v:shape>
                <v:rect id="Rectangle 263" o:spid="_x0000_s1065" style="position:absolute;left:34566;top:47730;width:16720;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" strokeweight="1pt">
                  <v:textbox>
                    <w:txbxContent>
                      <w:p w14:paraId="2636C039" w14:textId="77777777" w:rsidR="00AF08E7" w:rsidRDefault="00AF08E7" w:rsidP="00C711A1">
                        <w:pPr>
                          <w:jc w:val="center"/>
                          <w:rPr>
                            <w:szCs w:val="24"/>
                          </w:rPr>
                        </w:pPr>
                        <w:r>
                          <w:rPr>
                            <w:sz w:val="20"/>
                          </w:rPr>
                          <w:t>No pathogenic variant identified</w:t>
                        </w:r>
                      </w:p>
                    </w:txbxContent>
                  </v:textbox>
                </v:rect>
                <v:shape id="Straight Arrow Connector 264" o:spid="_x0000_s1066" type="#_x0000_t32" style="position:absolute;left:31600;top:44337;width:11326;height:3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" strokeweight=".5pt">
                  <v:stroke endarrow="block" joinstyle="miter"/>
                </v:shape>
                <v:rect id="Rectangle 265" o:spid="_x0000_s1067" style="position:absolute;left:29186;top:57606;width:16725;height:1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" strokeweight="1pt">
                  <v:textbox>
                    <w:txbxContent>
                      <w:p w14:paraId="4AF1E6BD" w14:textId="77777777" w:rsidR="00AF08E7" w:rsidRDefault="00AF08E7" w:rsidP="00C711A1">
                        <w:pPr>
                          <w:jc w:val="center"/>
                          <w:rPr>
                            <w:szCs w:val="24"/>
                          </w:rPr>
                        </w:pPr>
                        <w:r>
                          <w:rPr>
                            <w:sz w:val="20"/>
                          </w:rPr>
                          <w:t>Treatment, surveillance, avoidance of risk factors, additional genetic testing</w:t>
                        </w:r>
                      </w:p>
                    </w:txbxContent>
                  </v:textbox>
                </v:rect>
                <v:shape id="Straight Arrow Connector 266" o:spid="_x0000_s1068" type="#_x0000_t32" style="position:absolute;left:37548;top:53031;width:5564;height:45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" strokeweight=".5pt">
                  <v:stroke endarrow="block" joinstyle="miter"/>
                </v:shape>
                <w10:anchorlock/>
              </v:group>
            </w:pict>
          </mc:Fallback>
        </mc:AlternateContent>
      </w:r>
    </w:p>
    <w:p w14:paraId="3EF03C9F" w14:textId="51CD6470" w:rsidR="00C711A1" w:rsidRPr="00C711A1" w:rsidRDefault="00C711A1" w:rsidP="00B05487">
      <w:pPr>
        <w:pStyle w:val="Caption"/>
      </w:pPr>
      <w:bookmarkStart w:id="8" w:name="_Ref65572703"/>
      <w:bookmarkStart w:id="9" w:name="_Toc72826904"/>
      <w:r w:rsidRPr="00C711A1">
        <w:t xml:space="preserve">Figure </w:t>
      </w:r>
      <w:r w:rsidR="00095E12">
        <w:fldChar w:fldCharType="begin"/>
      </w:r>
      <w:r w:rsidR="00095E12">
        <w:instrText xml:space="preserve"> SEQ Figure \* ARABIC </w:instrText>
      </w:r>
      <w:r w:rsidR="00095E12">
        <w:fldChar w:fldCharType="separate"/>
      </w:r>
      <w:r w:rsidR="00095E12">
        <w:rPr>
          <w:noProof/>
        </w:rPr>
        <w:t>2</w:t>
      </w:r>
      <w:r w:rsidR="00095E12">
        <w:rPr>
          <w:noProof/>
        </w:rPr>
        <w:fldChar w:fldCharType="end"/>
      </w:r>
      <w:bookmarkEnd w:id="8"/>
      <w:r w:rsidRPr="00C711A1">
        <w:tab/>
        <w:t>Proposed clinical management pathway for patients with suspected AATD</w:t>
      </w:r>
      <w:bookmarkEnd w:id="9"/>
    </w:p>
    <w:p w14:paraId="5016360E" w14:textId="46E24496" w:rsidR="00C711A1" w:rsidRDefault="00C711A1" w:rsidP="00B05487">
      <w:pPr>
        <w:pStyle w:val="Tablenotes1"/>
      </w:pPr>
      <w:r w:rsidRPr="00C711A1">
        <w:t>AAT = alpha-1 antitrypsin, CRP = C-reactive protein, MB</w:t>
      </w:r>
      <w:r>
        <w:t>S = Medicare benefits schedule.</w:t>
      </w:r>
    </w:p>
    <w:p w14:paraId="716E14FE" w14:textId="2CCDD41B" w:rsidR="00C711A1" w:rsidRPr="00C711A1" w:rsidRDefault="00C711A1" w:rsidP="00B05487">
      <w:pPr>
        <w:pStyle w:val="Tablenotes1"/>
      </w:pPr>
      <w:r>
        <w:t xml:space="preserve">Source: </w:t>
      </w:r>
      <w:r w:rsidR="00A95D1E">
        <w:t xml:space="preserve">Based on </w:t>
      </w:r>
      <w:r>
        <w:t>DCAR, Figure 2.</w:t>
      </w:r>
    </w:p>
    <w:p w14:paraId="0A7EA15D" w14:textId="519B542B" w:rsidR="00657EC6" w:rsidRDefault="00657EC6" w:rsidP="00B05487">
      <w:pPr>
        <w:rPr>
          <w:lang w:val="en-US"/>
        </w:rPr>
      </w:pPr>
      <w:r>
        <w:t xml:space="preserve">The DCAR stated that </w:t>
      </w:r>
      <w:r w:rsidR="00B74E71" w:rsidRPr="00657EC6">
        <w:rPr>
          <w:lang w:val="en-US"/>
        </w:rPr>
        <w:t>a</w:t>
      </w:r>
      <w:r w:rsidRPr="00657EC6">
        <w:rPr>
          <w:lang w:val="en-US"/>
        </w:rPr>
        <w:t xml:space="preserve"> </w:t>
      </w:r>
      <w:r w:rsidR="00B74E71">
        <w:rPr>
          <w:lang w:val="en-US"/>
        </w:rPr>
        <w:t xml:space="preserve">genetic </w:t>
      </w:r>
      <w:r w:rsidRPr="00657EC6">
        <w:rPr>
          <w:lang w:val="en-US"/>
        </w:rPr>
        <w:t>diagnosis provides management opportunities in family planning, cascade testing and subsequent preventative management. Individuals who test positive for a variant are recommended to make lifestyle changes, particularly to avoid smoking, pursue a healthy lifestyle and maintain a healthy weight.</w:t>
      </w:r>
    </w:p>
    <w:p w14:paraId="0CDB6108" w14:textId="6FDD8232" w:rsidR="00DE6837" w:rsidRDefault="00DF0327" w:rsidP="00B05487">
      <w:r>
        <w:rPr>
          <w:lang w:val="en-US"/>
        </w:rPr>
        <w:lastRenderedPageBreak/>
        <w:t>In t</w:t>
      </w:r>
      <w:r w:rsidR="00657EC6" w:rsidRPr="00657EC6">
        <w:rPr>
          <w:lang w:val="en-US"/>
        </w:rPr>
        <w:t>he applicant</w:t>
      </w:r>
      <w:r>
        <w:rPr>
          <w:lang w:val="en-US"/>
        </w:rPr>
        <w:t>’</w:t>
      </w:r>
      <w:r w:rsidR="00657EC6" w:rsidRPr="00657EC6">
        <w:rPr>
          <w:lang w:val="en-US"/>
        </w:rPr>
        <w:t>s propos</w:t>
      </w:r>
      <w:r w:rsidR="0089330A">
        <w:rPr>
          <w:lang w:val="en-US"/>
        </w:rPr>
        <w:t>ed</w:t>
      </w:r>
      <w:r w:rsidR="00657EC6" w:rsidRPr="00657EC6">
        <w:rPr>
          <w:lang w:val="en-US"/>
        </w:rPr>
        <w:t xml:space="preserve"> algorithm</w:t>
      </w:r>
      <w:r>
        <w:rPr>
          <w:lang w:val="en-US"/>
        </w:rPr>
        <w:t>,</w:t>
      </w:r>
      <w:r w:rsidR="00657EC6" w:rsidRPr="00657EC6">
        <w:rPr>
          <w:lang w:val="en-US"/>
        </w:rPr>
        <w:t xml:space="preserve"> </w:t>
      </w:r>
      <w:r w:rsidR="00A95D1E">
        <w:rPr>
          <w:lang w:val="en-US"/>
        </w:rPr>
        <w:t xml:space="preserve">a </w:t>
      </w:r>
      <w:r w:rsidR="00DE464A">
        <w:rPr>
          <w:lang w:val="en-US"/>
        </w:rPr>
        <w:t>genetic variant</w:t>
      </w:r>
      <w:r w:rsidR="00DE464A" w:rsidRPr="00657EC6">
        <w:rPr>
          <w:lang w:val="en-US"/>
        </w:rPr>
        <w:t xml:space="preserve"> </w:t>
      </w:r>
      <w:r w:rsidR="00657EC6" w:rsidRPr="00657EC6">
        <w:rPr>
          <w:lang w:val="en-US"/>
        </w:rPr>
        <w:t xml:space="preserve">panel would replace the current IEF test. The expanded 14-variant panel (targeting the 14 most prevalent pathogenic variants) would be expected to make more genetic diagnoses than the 2-variant panel. The second intervention, </w:t>
      </w:r>
      <w:r w:rsidR="00657EC6" w:rsidRPr="00657EC6">
        <w:rPr>
          <w:i/>
          <w:lang w:val="en-US"/>
        </w:rPr>
        <w:t>SERPINA1</w:t>
      </w:r>
      <w:r w:rsidR="00657EC6" w:rsidRPr="00657EC6">
        <w:rPr>
          <w:lang w:val="en-US"/>
        </w:rPr>
        <w:t xml:space="preserve"> exon sequencing, </w:t>
      </w:r>
      <w:r>
        <w:rPr>
          <w:lang w:val="en-US"/>
        </w:rPr>
        <w:t xml:space="preserve">would be </w:t>
      </w:r>
      <w:r w:rsidR="00657EC6" w:rsidRPr="00657EC6">
        <w:rPr>
          <w:lang w:val="en-US"/>
        </w:rPr>
        <w:t xml:space="preserve">expected to have even greater analytical sensitivity than either variant panel testing or IEF because it can detect all genetic variants in the sequenced region. It </w:t>
      </w:r>
      <w:r>
        <w:rPr>
          <w:lang w:val="en-US"/>
        </w:rPr>
        <w:t>wa</w:t>
      </w:r>
      <w:r w:rsidR="00657EC6" w:rsidRPr="00657EC6">
        <w:rPr>
          <w:lang w:val="en-US"/>
        </w:rPr>
        <w:t>s proposed as a subsequent test for affected individuals who have inconclusive or negative results from the 2- or 14-variant panel.</w:t>
      </w:r>
      <w:r w:rsidR="0089330A">
        <w:rPr>
          <w:lang w:val="en-US"/>
        </w:rPr>
        <w:t xml:space="preserve"> ESC noted that neither panel can conclusively identify a wildtype M allele, whereas both IEF and sequencing</w:t>
      </w:r>
      <w:r w:rsidR="00E92BE2">
        <w:rPr>
          <w:lang w:val="en-US"/>
        </w:rPr>
        <w:t xml:space="preserve"> tests</w:t>
      </w:r>
      <w:r w:rsidR="0089330A">
        <w:rPr>
          <w:lang w:val="en-US"/>
        </w:rPr>
        <w:t xml:space="preserve"> can</w:t>
      </w:r>
      <w:r>
        <w:rPr>
          <w:lang w:val="en-US"/>
        </w:rPr>
        <w:t xml:space="preserve"> do so</w:t>
      </w:r>
      <w:r w:rsidR="0089330A">
        <w:rPr>
          <w:lang w:val="en-US"/>
        </w:rPr>
        <w:t>.</w:t>
      </w:r>
    </w:p>
    <w:p w14:paraId="3C4E66EB" w14:textId="00A97506" w:rsidR="00294511" w:rsidRPr="00D90D56" w:rsidRDefault="00294511"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t xml:space="preserve">Comparator </w:t>
      </w:r>
    </w:p>
    <w:p w14:paraId="049C4517" w14:textId="1F9417C1" w:rsidR="008948CE" w:rsidRDefault="00663F00" w:rsidP="00B05487">
      <w:pPr>
        <w:rPr>
          <w:lang w:val="en-US"/>
        </w:rPr>
      </w:pPr>
      <w:r w:rsidRPr="00663F00">
        <w:rPr>
          <w:lang w:val="en-US"/>
        </w:rPr>
        <w:t>Th</w:t>
      </w:r>
      <w:r>
        <w:rPr>
          <w:lang w:val="en-US"/>
        </w:rPr>
        <w:t>e DCAR stated that th</w:t>
      </w:r>
      <w:r w:rsidRPr="00663F00">
        <w:rPr>
          <w:lang w:val="en-US"/>
        </w:rPr>
        <w:t xml:space="preserve">e comparator for </w:t>
      </w:r>
      <w:r w:rsidR="00DE464A">
        <w:rPr>
          <w:lang w:val="en-US"/>
        </w:rPr>
        <w:t>variant panel testing</w:t>
      </w:r>
      <w:r w:rsidR="00DE464A" w:rsidRPr="00663F00">
        <w:rPr>
          <w:lang w:val="en-US"/>
        </w:rPr>
        <w:t xml:space="preserve"> </w:t>
      </w:r>
      <w:r w:rsidRPr="00663F00">
        <w:rPr>
          <w:lang w:val="en-US"/>
        </w:rPr>
        <w:t>(intervention 1) is phenotyping by IEF.</w:t>
      </w:r>
      <w:r>
        <w:rPr>
          <w:lang w:val="en-US"/>
        </w:rPr>
        <w:t xml:space="preserve"> </w:t>
      </w:r>
      <w:r w:rsidR="008948CE" w:rsidRPr="008948CE">
        <w:rPr>
          <w:lang w:val="en-US"/>
        </w:rPr>
        <w:t>Phenotyping of the AAT protein by IEF is conducted under MBS item 66638</w:t>
      </w:r>
      <w:r w:rsidR="00963F86">
        <w:rPr>
          <w:lang w:val="en-US"/>
        </w:rPr>
        <w:t xml:space="preserve"> (</w:t>
      </w:r>
      <w:r w:rsidR="00963F86">
        <w:rPr>
          <w:lang w:val="en-US"/>
        </w:rPr>
        <w:fldChar w:fldCharType="begin"/>
      </w:r>
      <w:r w:rsidR="00963F86">
        <w:rPr>
          <w:lang w:val="en-US"/>
        </w:rPr>
        <w:instrText xml:space="preserve"> REF _Ref74143064 </w:instrText>
      </w:r>
      <w:r w:rsidR="00963F86">
        <w:rPr>
          <w:lang w:val="en-US"/>
        </w:rPr>
        <w:fldChar w:fldCharType="separate"/>
      </w:r>
      <w:r w:rsidR="00095E12">
        <w:t xml:space="preserve">Table </w:t>
      </w:r>
      <w:r w:rsidR="00095E12">
        <w:rPr>
          <w:noProof/>
        </w:rPr>
        <w:t>3</w:t>
      </w:r>
      <w:r w:rsidR="00963F86">
        <w:rPr>
          <w:lang w:val="en-US"/>
        </w:rPr>
        <w:fldChar w:fldCharType="end"/>
      </w:r>
      <w:r w:rsidR="00963F86">
        <w:rPr>
          <w:lang w:val="en-US"/>
        </w:rPr>
        <w:t>)</w:t>
      </w:r>
      <w:r w:rsidR="008948CE" w:rsidRPr="008948CE">
        <w:rPr>
          <w:lang w:val="en-US"/>
        </w:rPr>
        <w:t xml:space="preserve"> and is central to the current</w:t>
      </w:r>
      <w:r w:rsidR="008948CE">
        <w:rPr>
          <w:lang w:val="en-US"/>
        </w:rPr>
        <w:t xml:space="preserve"> clinical management algorithm.</w:t>
      </w:r>
    </w:p>
    <w:p w14:paraId="37894487" w14:textId="307A92E0" w:rsidR="008948CE" w:rsidRDefault="00963F86" w:rsidP="009B136F">
      <w:pPr>
        <w:pStyle w:val="Caption"/>
        <w:spacing w:before="240"/>
        <w:rPr>
          <w:rFonts w:eastAsia="Calibri"/>
          <w:i/>
          <w:iCs w:val="0"/>
          <w:lang w:val="en-US"/>
        </w:rPr>
      </w:pPr>
      <w:bookmarkStart w:id="10" w:name="_Ref74143064"/>
      <w:bookmarkStart w:id="11" w:name="_Toc72826833"/>
      <w:r>
        <w:t xml:space="preserve">Table </w:t>
      </w:r>
      <w:r w:rsidR="00095E12">
        <w:fldChar w:fldCharType="begin"/>
      </w:r>
      <w:r w:rsidR="00095E12">
        <w:instrText xml:space="preserve"> SEQ Table \* ARABIC </w:instrText>
      </w:r>
      <w:r w:rsidR="00095E12">
        <w:fldChar w:fldCharType="separate"/>
      </w:r>
      <w:r w:rsidR="00095E12">
        <w:rPr>
          <w:noProof/>
        </w:rPr>
        <w:t>3</w:t>
      </w:r>
      <w:r w:rsidR="00095E12">
        <w:rPr>
          <w:noProof/>
        </w:rPr>
        <w:fldChar w:fldCharType="end"/>
      </w:r>
      <w:bookmarkEnd w:id="10"/>
      <w:r>
        <w:tab/>
      </w:r>
      <w:r w:rsidR="008948CE" w:rsidRPr="11EAAD26">
        <w:rPr>
          <w:rFonts w:eastAsia="Calibri"/>
          <w:lang w:val="en-US"/>
        </w:rPr>
        <w:t xml:space="preserve">Relevant MBS item descriptor for IEF, the comparator for </w:t>
      </w:r>
      <w:r w:rsidR="008948CE">
        <w:rPr>
          <w:rFonts w:eastAsia="Calibri"/>
          <w:lang w:val="en-US"/>
        </w:rPr>
        <w:t>intervention</w:t>
      </w:r>
      <w:r w:rsidR="008948CE" w:rsidRPr="11EAAD26">
        <w:rPr>
          <w:rFonts w:eastAsia="Calibri"/>
          <w:lang w:val="en-US"/>
        </w:rPr>
        <w:t xml:space="preserve"> 1 (gene</w:t>
      </w:r>
      <w:r w:rsidR="008948CE">
        <w:rPr>
          <w:rFonts w:eastAsia="Calibri"/>
          <w:lang w:val="en-US"/>
        </w:rPr>
        <w:t xml:space="preserve"> </w:t>
      </w:r>
      <w:r w:rsidR="008948CE" w:rsidRPr="11EAAD26">
        <w:rPr>
          <w:rFonts w:eastAsia="Calibri"/>
          <w:lang w:val="en-US"/>
        </w:rPr>
        <w:t>panel test)</w:t>
      </w:r>
      <w:bookmarkEnd w:id="11"/>
    </w:p>
    <w:tbl>
      <w:tblPr>
        <w:tblStyle w:val="TableGrid3"/>
        <w:tblW w:w="0" w:type="auto"/>
        <w:tblLook w:val="04A0" w:firstRow="1" w:lastRow="0" w:firstColumn="1" w:lastColumn="0" w:noHBand="0" w:noVBand="1"/>
        <w:tblCaption w:val="Table 13 Relevant MBS item descriptor for IEF, the comparator for intervention 1 (gene panel test)"/>
        <w:tblDescription w:val="Table 13 Relevant MBS item descriptor for IEF, the comparator for intervention 1 (gene panel test)"/>
      </w:tblPr>
      <w:tblGrid>
        <w:gridCol w:w="9019"/>
      </w:tblGrid>
      <w:tr w:rsidR="008948CE" w:rsidRPr="00FC7CC2" w14:paraId="0E788884" w14:textId="77777777" w:rsidTr="00DE6837">
        <w:tc>
          <w:tcPr>
            <w:tcW w:w="9019" w:type="dxa"/>
            <w:vAlign w:val="center"/>
          </w:tcPr>
          <w:p w14:paraId="2816D1BA" w14:textId="77777777" w:rsidR="008948CE" w:rsidRPr="00FC7CC2" w:rsidRDefault="008948CE" w:rsidP="00B05487">
            <w:pPr>
              <w:ind w:right="-23"/>
              <w:jc w:val="right"/>
              <w:rPr>
                <w:rFonts w:ascii="Arial Narrow" w:hAnsi="Arial Narrow" w:cs="Calibri"/>
                <w:bCs/>
                <w:sz w:val="20"/>
              </w:rPr>
            </w:pPr>
            <w:r w:rsidRPr="00FC7CC2">
              <w:rPr>
                <w:rFonts w:ascii="Arial Narrow" w:hAnsi="Arial Narrow" w:cs="Calibri"/>
                <w:bCs/>
                <w:sz w:val="20"/>
              </w:rPr>
              <w:t>Category 6 – PATHOLOGY SERVICES</w:t>
            </w:r>
          </w:p>
        </w:tc>
      </w:tr>
      <w:tr w:rsidR="008948CE" w:rsidRPr="00FC7CC2" w14:paraId="1B02AFF1" w14:textId="77777777" w:rsidTr="00963F86">
        <w:trPr>
          <w:trHeight w:val="779"/>
        </w:trPr>
        <w:tc>
          <w:tcPr>
            <w:tcW w:w="9019" w:type="dxa"/>
          </w:tcPr>
          <w:p w14:paraId="0A0F0731" w14:textId="641F52E7" w:rsidR="00963F86" w:rsidRPr="00FC7CC2" w:rsidRDefault="008948CE" w:rsidP="00B05487">
            <w:pPr>
              <w:ind w:right="-23"/>
              <w:rPr>
                <w:rFonts w:ascii="Arial Narrow" w:hAnsi="Arial Narrow" w:cs="Calibri"/>
                <w:sz w:val="20"/>
              </w:rPr>
            </w:pPr>
            <w:r w:rsidRPr="00FC7CC2">
              <w:rPr>
                <w:rFonts w:ascii="Arial Narrow" w:hAnsi="Arial Narrow" w:cs="Calibri"/>
                <w:sz w:val="20"/>
              </w:rPr>
              <w:t>MBS Item 66638 (isoelectric focusing or similar methods for determination of alpha-1 antitrypsin phenotype in serum)</w:t>
            </w:r>
            <w:r w:rsidR="00963F86" w:rsidRPr="00FC7CC2">
              <w:rPr>
                <w:rFonts w:ascii="Arial Narrow" w:hAnsi="Arial Narrow" w:cs="Calibri"/>
                <w:sz w:val="20"/>
              </w:rPr>
              <w:t>.</w:t>
            </w:r>
          </w:p>
          <w:p w14:paraId="4119EF6B" w14:textId="034E56EF" w:rsidR="008948CE" w:rsidRPr="00FC7CC2" w:rsidRDefault="008948CE" w:rsidP="00B05487">
            <w:pPr>
              <w:ind w:right="-23"/>
              <w:rPr>
                <w:rFonts w:ascii="Arial Narrow" w:hAnsi="Arial Narrow" w:cs="Calibri"/>
                <w:sz w:val="20"/>
              </w:rPr>
            </w:pPr>
            <w:r w:rsidRPr="00FC7CC2">
              <w:rPr>
                <w:rFonts w:ascii="Arial Narrow" w:hAnsi="Arial Narrow" w:cs="Calibri"/>
                <w:sz w:val="20"/>
              </w:rPr>
              <w:t>1 or more tests</w:t>
            </w:r>
            <w:r w:rsidR="00963F86" w:rsidRPr="00FC7CC2">
              <w:rPr>
                <w:rFonts w:ascii="Arial Narrow" w:hAnsi="Arial Narrow" w:cs="Calibri"/>
                <w:sz w:val="20"/>
              </w:rPr>
              <w:t>.</w:t>
            </w:r>
          </w:p>
        </w:tc>
      </w:tr>
      <w:tr w:rsidR="00963F86" w:rsidRPr="00FC7CC2" w14:paraId="0DEB2560" w14:textId="77777777" w:rsidTr="00963F86">
        <w:trPr>
          <w:trHeight w:val="355"/>
        </w:trPr>
        <w:tc>
          <w:tcPr>
            <w:tcW w:w="9019" w:type="dxa"/>
          </w:tcPr>
          <w:p w14:paraId="01615449" w14:textId="3A47563A" w:rsidR="00963F86" w:rsidRPr="00FC7CC2" w:rsidRDefault="00963F86" w:rsidP="00B05487">
            <w:pPr>
              <w:ind w:right="-23"/>
              <w:rPr>
                <w:rFonts w:ascii="Arial Narrow" w:hAnsi="Arial Narrow" w:cs="Calibri"/>
                <w:sz w:val="20"/>
              </w:rPr>
            </w:pPr>
            <w:r w:rsidRPr="00FC7CC2">
              <w:rPr>
                <w:rFonts w:ascii="Arial Narrow" w:hAnsi="Arial Narrow" w:cs="Calibri"/>
                <w:sz w:val="20"/>
              </w:rPr>
              <w:t>Fee: $49.05</w:t>
            </w:r>
          </w:p>
        </w:tc>
      </w:tr>
    </w:tbl>
    <w:p w14:paraId="5B94963C" w14:textId="6CBD58B9" w:rsidR="008948CE" w:rsidRDefault="008948CE" w:rsidP="00B05487">
      <w:pPr>
        <w:pStyle w:val="Tablenotes1"/>
        <w:rPr>
          <w:lang w:val="en-US"/>
        </w:rPr>
      </w:pPr>
      <w:r>
        <w:rPr>
          <w:lang w:val="en-US"/>
        </w:rPr>
        <w:t>Source: DCAR, Table 14.</w:t>
      </w:r>
    </w:p>
    <w:p w14:paraId="2CBAF314" w14:textId="1B0A0638" w:rsidR="00B74E71" w:rsidRDefault="00B74E71" w:rsidP="00B05487">
      <w:r>
        <w:t xml:space="preserve">The DCAR stated that </w:t>
      </w:r>
      <w:r>
        <w:rPr>
          <w:lang w:val="en-US"/>
        </w:rPr>
        <w:t>t</w:t>
      </w:r>
      <w:r w:rsidRPr="00657EC6">
        <w:rPr>
          <w:lang w:val="en-US"/>
        </w:rPr>
        <w:t xml:space="preserve">he IEF test is currently used to infer a genetic cause of </w:t>
      </w:r>
      <w:r>
        <w:rPr>
          <w:lang w:val="en-US"/>
        </w:rPr>
        <w:t xml:space="preserve">a </w:t>
      </w:r>
      <w:r w:rsidRPr="00657EC6">
        <w:rPr>
          <w:lang w:val="en-US"/>
        </w:rPr>
        <w:t xml:space="preserve">low serum AAT </w:t>
      </w:r>
      <w:r>
        <w:rPr>
          <w:lang w:val="en-US"/>
        </w:rPr>
        <w:t>concentration</w:t>
      </w:r>
      <w:r w:rsidRPr="00657EC6">
        <w:rPr>
          <w:lang w:val="en-US"/>
        </w:rPr>
        <w:t>. The test is used to identify all variants with a</w:t>
      </w:r>
      <w:r>
        <w:rPr>
          <w:lang w:val="en-US"/>
        </w:rPr>
        <w:t>n isoelectric point</w:t>
      </w:r>
      <w:r w:rsidRPr="00657EC6">
        <w:rPr>
          <w:lang w:val="en-US"/>
        </w:rPr>
        <w:t xml:space="preserve"> different from the fully functional PI*M allele, the most prevalent variants being PI*Z and PI*S. </w:t>
      </w:r>
      <w:r>
        <w:rPr>
          <w:lang w:val="en-US"/>
        </w:rPr>
        <w:t xml:space="preserve">The DCAR further stated that </w:t>
      </w:r>
      <w:r w:rsidRPr="00657EC6">
        <w:rPr>
          <w:lang w:val="en-US"/>
        </w:rPr>
        <w:t>Australian laboratories appear to be phasing out IEF techniques. IEF can be technically challenging and requires expertise for the interpretation of results.</w:t>
      </w:r>
    </w:p>
    <w:p w14:paraId="4F063CAF" w14:textId="557E43E6" w:rsidR="00DE6837" w:rsidRPr="00D90D56" w:rsidRDefault="008948CE" w:rsidP="009B136F">
      <w:pPr>
        <w:spacing w:before="240"/>
        <w:rPr>
          <w:lang w:val="en-US"/>
        </w:rPr>
      </w:pPr>
      <w:r>
        <w:rPr>
          <w:lang w:val="en-US"/>
        </w:rPr>
        <w:t>The DCAR stated that g</w:t>
      </w:r>
      <w:r w:rsidR="00663F00">
        <w:rPr>
          <w:rFonts w:eastAsia="Calibri"/>
          <w:lang w:val="en-US" w:eastAsia="en-US"/>
        </w:rPr>
        <w:t xml:space="preserve">ene sequencing (intervention 2) is considered the gold standard test for detecting </w:t>
      </w:r>
      <w:r w:rsidR="00663F00" w:rsidRPr="00AD5B78">
        <w:rPr>
          <w:rFonts w:eastAsia="Calibri"/>
          <w:i/>
          <w:lang w:val="en-US" w:eastAsia="en-US"/>
        </w:rPr>
        <w:t>SERPINA1</w:t>
      </w:r>
      <w:r w:rsidR="00663F00">
        <w:rPr>
          <w:rFonts w:eastAsia="Calibri"/>
          <w:lang w:val="en-US" w:eastAsia="en-US"/>
        </w:rPr>
        <w:t xml:space="preserve"> variants. There is no direct comparator for this test.</w:t>
      </w:r>
    </w:p>
    <w:p w14:paraId="0393277D" w14:textId="77777777" w:rsidR="00294511" w:rsidRPr="00D90D56" w:rsidRDefault="00294511"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t>Comparative safety</w:t>
      </w:r>
    </w:p>
    <w:p w14:paraId="601E0044" w14:textId="58DAD7D2" w:rsidR="00036C99" w:rsidRDefault="00036C99" w:rsidP="00B05487">
      <w:pPr>
        <w:ind w:right="-23"/>
      </w:pPr>
      <w:r>
        <w:t xml:space="preserve">The comparative harms of </w:t>
      </w:r>
      <w:r w:rsidR="00DE464A">
        <w:t xml:space="preserve">genetic testing </w:t>
      </w:r>
      <w:r>
        <w:t xml:space="preserve">versus IEF or sequencing are identical, in terms of sample collection. </w:t>
      </w:r>
      <w:r w:rsidRPr="002C3603">
        <w:t xml:space="preserve">Testing requires </w:t>
      </w:r>
      <w:r>
        <w:t xml:space="preserve">a </w:t>
      </w:r>
      <w:r w:rsidRPr="002C3603">
        <w:t xml:space="preserve">blood draw </w:t>
      </w:r>
      <w:r>
        <w:t>or saliva swab,</w:t>
      </w:r>
      <w:r w:rsidRPr="002C3603">
        <w:t xml:space="preserve"> which </w:t>
      </w:r>
      <w:r>
        <w:t xml:space="preserve">are </w:t>
      </w:r>
      <w:r w:rsidRPr="002C3603">
        <w:t>very safe and commonly performed</w:t>
      </w:r>
      <w:r w:rsidRPr="006B71CA">
        <w:t xml:space="preserve"> </w:t>
      </w:r>
      <w:r w:rsidRPr="002C3603">
        <w:t>procedure</w:t>
      </w:r>
      <w:r w:rsidR="00645C2D">
        <w:t>s.</w:t>
      </w:r>
    </w:p>
    <w:p w14:paraId="79FD0C7D" w14:textId="5E968388" w:rsidR="00036C99" w:rsidRDefault="00036C99" w:rsidP="009B136F">
      <w:pPr>
        <w:spacing w:before="240"/>
        <w:ind w:right="-23"/>
      </w:pPr>
      <w:r w:rsidRPr="002C3603">
        <w:t xml:space="preserve">False negatives </w:t>
      </w:r>
      <w:r>
        <w:t>resulting from</w:t>
      </w:r>
      <w:r w:rsidRPr="002C3603">
        <w:t xml:space="preserve"> </w:t>
      </w:r>
      <w:r w:rsidR="00DE464A">
        <w:t>variant panel testing</w:t>
      </w:r>
      <w:r w:rsidR="00DE464A" w:rsidRPr="002C3603">
        <w:t xml:space="preserve"> </w:t>
      </w:r>
      <w:r>
        <w:t xml:space="preserve">or sequencing </w:t>
      </w:r>
      <w:r w:rsidRPr="002C3603">
        <w:t xml:space="preserve">are rare. </w:t>
      </w:r>
      <w:r>
        <w:t>The primary harm of f</w:t>
      </w:r>
      <w:r w:rsidRPr="002C3603">
        <w:t>alse negatives</w:t>
      </w:r>
      <w:r>
        <w:t xml:space="preserve"> would be to</w:t>
      </w:r>
      <w:r w:rsidDel="00C75F20">
        <w:t xml:space="preserve"> </w:t>
      </w:r>
      <w:r w:rsidR="00DF0327">
        <w:t xml:space="preserve">biological </w:t>
      </w:r>
      <w:r>
        <w:t>relatives who may miss the opportunity for familial testing and consequent early detection and pre-emptive education.</w:t>
      </w:r>
      <w:r w:rsidDel="003A5C1A">
        <w:t xml:space="preserve"> </w:t>
      </w:r>
      <w:r>
        <w:t>For example, individuals identified with AATD at birth are less likely to begin smoking</w:t>
      </w:r>
      <w:r w:rsidR="0089330A">
        <w:rPr>
          <w:rStyle w:val="FootnoteReference"/>
        </w:rPr>
        <w:footnoteReference w:id="10"/>
      </w:r>
      <w:r>
        <w:t>. The likelihood of a false positive result from genetic testing is negligible. However, in the case of a false positive, patients would be recommended to adopt healthy lifestyle choices, which has no a</w:t>
      </w:r>
      <w:r w:rsidR="00645C2D">
        <w:t>ttendant risk of physical harm.</w:t>
      </w:r>
    </w:p>
    <w:p w14:paraId="7BD504CD" w14:textId="329B3116" w:rsidR="00036C99" w:rsidRDefault="00065AE1" w:rsidP="009B136F">
      <w:pPr>
        <w:spacing w:before="240"/>
        <w:ind w:right="-23"/>
      </w:pPr>
      <w:r>
        <w:t>A genetic d</w:t>
      </w:r>
      <w:r w:rsidR="00036C99">
        <w:t>iagnosis may be psychologically challenging for some individuals and family members who undergo cascade testing. Providing access to g</w:t>
      </w:r>
      <w:r w:rsidR="00036C99" w:rsidRPr="002C3603">
        <w:t xml:space="preserve">enetic counselling is </w:t>
      </w:r>
      <w:r w:rsidR="00036C99">
        <w:t>crucial</w:t>
      </w:r>
      <w:r w:rsidR="00036C99" w:rsidRPr="002C3603">
        <w:t xml:space="preserve"> for </w:t>
      </w:r>
      <w:r w:rsidR="00036C99">
        <w:t>managing any</w:t>
      </w:r>
      <w:r w:rsidR="00036C99" w:rsidRPr="002C3603">
        <w:t xml:space="preserve"> misinformation and increased anxiety </w:t>
      </w:r>
      <w:r w:rsidR="00036C99">
        <w:t xml:space="preserve">that may be associated with </w:t>
      </w:r>
      <w:r w:rsidR="00036C99" w:rsidRPr="002C3603">
        <w:t xml:space="preserve">genetic </w:t>
      </w:r>
      <w:r w:rsidR="00036C99" w:rsidRPr="002C3603">
        <w:lastRenderedPageBreak/>
        <w:t xml:space="preserve">testing. The inability to predict symptoms </w:t>
      </w:r>
      <w:r w:rsidR="00036C99">
        <w:t>of</w:t>
      </w:r>
      <w:r w:rsidR="00036C99" w:rsidRPr="002C3603">
        <w:t xml:space="preserve"> a genetic disease may increase anxiety, fear and worry</w:t>
      </w:r>
      <w:r w:rsidR="0089330A">
        <w:rPr>
          <w:rStyle w:val="FootnoteReference"/>
        </w:rPr>
        <w:footnoteReference w:id="11"/>
      </w:r>
      <w:r w:rsidR="00036C99" w:rsidRPr="002C3603">
        <w:t xml:space="preserve">. </w:t>
      </w:r>
      <w:r w:rsidR="00036C99">
        <w:t>In addition, k</w:t>
      </w:r>
      <w:r w:rsidR="00036C99" w:rsidRPr="002C3603">
        <w:t xml:space="preserve">nowledge of </w:t>
      </w:r>
      <w:r w:rsidR="00036C99">
        <w:t xml:space="preserve">genetic predisposition to disease </w:t>
      </w:r>
      <w:r w:rsidR="00036C99" w:rsidRPr="002C3603">
        <w:t>may</w:t>
      </w:r>
      <w:r w:rsidR="00036C99" w:rsidRPr="002C3603" w:rsidDel="008C3493">
        <w:t xml:space="preserve"> </w:t>
      </w:r>
      <w:r w:rsidR="00036C99">
        <w:t>impact</w:t>
      </w:r>
      <w:r w:rsidR="00036C99" w:rsidRPr="002C3603">
        <w:t xml:space="preserve"> </w:t>
      </w:r>
      <w:r w:rsidR="00036C99">
        <w:t xml:space="preserve">the </w:t>
      </w:r>
      <w:r w:rsidR="00036C99" w:rsidRPr="002C3603">
        <w:t xml:space="preserve">reproductive </w:t>
      </w:r>
      <w:r w:rsidR="00036C99">
        <w:t xml:space="preserve">and marital </w:t>
      </w:r>
      <w:r w:rsidR="00036C99" w:rsidRPr="002C3603">
        <w:t>decisions</w:t>
      </w:r>
      <w:r w:rsidR="00036C99">
        <w:t xml:space="preserve"> of affected individuals or their partners</w:t>
      </w:r>
      <w:r w:rsidR="0089330A">
        <w:rPr>
          <w:rStyle w:val="FootnoteReference"/>
        </w:rPr>
        <w:footnoteReference w:id="12"/>
      </w:r>
      <w:r w:rsidR="00645C2D">
        <w:t>.</w:t>
      </w:r>
    </w:p>
    <w:p w14:paraId="131BC807" w14:textId="299FE64C" w:rsidR="00294511" w:rsidRPr="00D90D56" w:rsidRDefault="00036C99" w:rsidP="009B136F">
      <w:pPr>
        <w:spacing w:before="240"/>
        <w:ind w:right="-23"/>
      </w:pPr>
      <w:r>
        <w:t>A study of 172</w:t>
      </w:r>
      <w:r w:rsidRPr="002C3603">
        <w:t xml:space="preserve"> parents </w:t>
      </w:r>
      <w:r>
        <w:t>of young children diagnosed with AATD at age 3–6 months</w:t>
      </w:r>
      <w:r w:rsidDel="00245AD5">
        <w:t xml:space="preserve"> </w:t>
      </w:r>
      <w:r>
        <w:t xml:space="preserve">found that most (92%) </w:t>
      </w:r>
      <w:r w:rsidRPr="002C3603">
        <w:t xml:space="preserve">did not feel that their child’s diagnosis </w:t>
      </w:r>
      <w:r>
        <w:t xml:space="preserve">negatively </w:t>
      </w:r>
      <w:r w:rsidRPr="002C3603">
        <w:t>affected their own sense of self</w:t>
      </w:r>
      <w:r w:rsidR="0089330A">
        <w:rPr>
          <w:rStyle w:val="FootnoteReference"/>
        </w:rPr>
        <w:footnoteReference w:id="13"/>
      </w:r>
      <w:r w:rsidRPr="00A341A6">
        <w:rPr>
          <w:highlight w:val="magenta"/>
        </w:rPr>
        <w:fldChar w:fldCharType="begin"/>
      </w:r>
      <w:r w:rsidRPr="00A341A6">
        <w:rPr>
          <w:highlight w:val="magenta"/>
        </w:rPr>
        <w:instrText xml:space="preserve"> ADDIN EN.CITE &lt;EndNote&gt;&lt;Cite&gt;&lt;Author&gt;Sveger&lt;/Author&gt;&lt;Year&gt;1981&lt;/Year&gt;&lt;RecNum&gt;2557&lt;/RecNum&gt;&lt;DisplayText&gt;(Sveger and Thelin, 1981)&lt;/DisplayText&gt;&lt;record&gt;&lt;rec-number&gt;2557&lt;/rec-number&gt;&lt;foreign-keys&gt;&lt;key app="EN" db-id="2fffax5ta9z95ce9fs8xf25opfareppead95" timestamp="1614841833"&gt;2557&lt;/key&gt;&lt;/foreign-keys&gt;&lt;ref-type name="Journal Article"&gt;17&lt;/ref-type&gt;&lt;contributors&gt;&lt;authors&gt;&lt;author&gt;Sveger, T&lt;/author&gt;&lt;author&gt;Thelin, T&lt;/author&gt;&lt;/authors&gt;&lt;/contributors&gt;&lt;titles&gt;&lt;title&gt;Four-year-old children with alpha 1-antitrypsin deficiency. Clinical follow-up and parental attitudes towards neonatal screening&lt;/title&gt;&lt;secondary-title&gt;Acta Paediatrica Scandinavica&lt;/secondary-title&gt;&lt;/titles&gt;&lt;periodical&gt;&lt;full-title&gt;Acta Paediatrica Scandinavica&lt;/full-title&gt;&lt;/periodical&gt;&lt;pages&gt;171-177&lt;/pages&gt;&lt;volume&gt;70&lt;/volume&gt;&lt;number&gt;2&lt;/number&gt;&lt;dates&gt;&lt;year&gt;1981&lt;/year&gt;&lt;/dates&gt;&lt;isbn&gt;0001-656X&lt;/isbn&gt;&lt;urls&gt;&lt;/urls&gt;&lt;/record&gt;&lt;/Cite&gt;&lt;/EndNote&gt;</w:instrText>
      </w:r>
      <w:r w:rsidRPr="00A341A6">
        <w:rPr>
          <w:highlight w:val="magenta"/>
        </w:rPr>
        <w:fldChar w:fldCharType="end"/>
      </w:r>
      <w:r w:rsidRPr="002C3603">
        <w:t>.</w:t>
      </w:r>
      <w:r w:rsidRPr="00B00669">
        <w:t xml:space="preserve"> </w:t>
      </w:r>
      <w:r>
        <w:t xml:space="preserve">Upon receiving the AATD diagnosis, </w:t>
      </w:r>
      <w:r w:rsidRPr="002C3603">
        <w:t xml:space="preserve">80% of parents reacted indifferently </w:t>
      </w:r>
      <w:r>
        <w:t>and/</w:t>
      </w:r>
      <w:r w:rsidRPr="002C3603">
        <w:t>or did not fully understand</w:t>
      </w:r>
      <w:r>
        <w:t xml:space="preserve"> </w:t>
      </w:r>
      <w:r w:rsidRPr="002C3603">
        <w:t>the diagnosis</w:t>
      </w:r>
      <w:r>
        <w:t xml:space="preserve"> (44%)</w:t>
      </w:r>
      <w:r w:rsidRPr="002C3603">
        <w:t>. Shock or depression was experienced by the remaining 20% of parents</w:t>
      </w:r>
      <w:r>
        <w:t>—</w:t>
      </w:r>
      <w:r w:rsidRPr="002C3603">
        <w:t>12% were depressed and 6% felt guilt. Most individuals (92%) claimed the diagnosis did not affect their self</w:t>
      </w:r>
      <w:r w:rsidR="00B60410">
        <w:t>-</w:t>
      </w:r>
      <w:r w:rsidRPr="002C3603">
        <w:t xml:space="preserve">image and 50% of parents felt </w:t>
      </w:r>
      <w:r>
        <w:t xml:space="preserve">positive about </w:t>
      </w:r>
      <w:r w:rsidRPr="002C3603">
        <w:t xml:space="preserve">early detection </w:t>
      </w:r>
      <w:r>
        <w:t>of the condition</w:t>
      </w:r>
      <w:r w:rsidRPr="00A341A6">
        <w:rPr>
          <w:highlight w:val="magenta"/>
        </w:rPr>
        <w:fldChar w:fldCharType="begin"/>
      </w:r>
      <w:r w:rsidRPr="00A341A6">
        <w:rPr>
          <w:highlight w:val="magenta"/>
        </w:rPr>
        <w:instrText xml:space="preserve"> ADDIN EN.CITE &lt;EndNote&gt;&lt;Cite&gt;&lt;Author&gt;Sveger&lt;/Author&gt;&lt;Year&gt;1981&lt;/Year&gt;&lt;RecNum&gt;2557&lt;/RecNum&gt;&lt;DisplayText&gt;(Sveger and Thelin, 1981)&lt;/DisplayText&gt;&lt;record&gt;&lt;rec-number&gt;2557&lt;/rec-number&gt;&lt;foreign-keys&gt;&lt;key app="EN" db-id="2fffax5ta9z95ce9fs8xf25opfareppead95" timestamp="1614841833"&gt;2557&lt;/key&gt;&lt;/foreign-keys&gt;&lt;ref-type name="Journal Article"&gt;17&lt;/ref-type&gt;&lt;contributors&gt;&lt;authors&gt;&lt;author&gt;Sveger, T&lt;/author&gt;&lt;author&gt;Thelin, T&lt;/author&gt;&lt;/authors&gt;&lt;/contributors&gt;&lt;titles&gt;&lt;title&gt;Four-year-old children with alpha 1-antitrypsin deficiency. Clinical follow-up and parental attitudes towards neonatal screening&lt;/title&gt;&lt;secondary-title&gt;Acta Paediatrica Scandinavica&lt;/secondary-title&gt;&lt;/titles&gt;&lt;periodical&gt;&lt;full-title&gt;Acta Paediatrica Scandinavica&lt;/full-title&gt;&lt;/periodical&gt;&lt;pages&gt;171-177&lt;/pages&gt;&lt;volume&gt;70&lt;/volume&gt;&lt;number&gt;2&lt;/number&gt;&lt;dates&gt;&lt;year&gt;1981&lt;/year&gt;&lt;/dates&gt;&lt;isbn&gt;0001-656X&lt;/isbn&gt;&lt;urls&gt;&lt;/urls&gt;&lt;/record&gt;&lt;/Cite&gt;&lt;/EndNote&gt;</w:instrText>
      </w:r>
      <w:r w:rsidRPr="00A341A6">
        <w:rPr>
          <w:highlight w:val="magenta"/>
        </w:rPr>
        <w:fldChar w:fldCharType="end"/>
      </w:r>
      <w:r w:rsidRPr="002C3603">
        <w:t>.</w:t>
      </w:r>
    </w:p>
    <w:p w14:paraId="2BD56B51" w14:textId="77777777" w:rsidR="00294511" w:rsidRPr="00D90D56" w:rsidRDefault="00294511"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t>Comparative effectiveness</w:t>
      </w:r>
    </w:p>
    <w:p w14:paraId="77041CFC" w14:textId="77777777" w:rsidR="00294511" w:rsidRDefault="00294511" w:rsidP="00B05487">
      <w:pPr>
        <w:pStyle w:val="Heading2"/>
      </w:pPr>
      <w:r>
        <w:t>Clinical claim</w:t>
      </w:r>
    </w:p>
    <w:p w14:paraId="06365B23" w14:textId="4F40D5FE" w:rsidR="00963F86" w:rsidRDefault="00963F86" w:rsidP="00B05487">
      <w:r w:rsidRPr="00963F86">
        <w:t>On the basis of the benefits and harms</w:t>
      </w:r>
      <w:r>
        <w:t xml:space="preserve"> reported in the evidence base</w:t>
      </w:r>
      <w:r w:rsidRPr="00963F86">
        <w:t xml:space="preserve">, </w:t>
      </w:r>
      <w:r w:rsidR="00065AE1">
        <w:t>the DCAR</w:t>
      </w:r>
      <w:r w:rsidRPr="00963F86">
        <w:t xml:space="preserve"> suggested that, relative to IEF, </w:t>
      </w:r>
      <w:r w:rsidR="00DE464A">
        <w:t>genetic testing</w:t>
      </w:r>
      <w:r w:rsidR="00DE464A" w:rsidRPr="00963F86">
        <w:t xml:space="preserve"> </w:t>
      </w:r>
      <w:r w:rsidRPr="00963F86">
        <w:t>for AATD has non-inferior safety and superior effectiveness.</w:t>
      </w:r>
    </w:p>
    <w:p w14:paraId="6EA1D638" w14:textId="6136EDC4" w:rsidR="00616372" w:rsidRDefault="00963F86" w:rsidP="009B136F">
      <w:pPr>
        <w:spacing w:before="240"/>
      </w:pPr>
      <w:r>
        <w:t xml:space="preserve">The DCAR stated that it identified no direct evidence for effectiveness, but found evidence pertaining to effectiveness obtained through the linked </w:t>
      </w:r>
      <w:r w:rsidR="00CC074D">
        <w:t>evidence approach</w:t>
      </w:r>
      <w:r w:rsidR="00616372">
        <w:t xml:space="preserve"> (</w:t>
      </w:r>
      <w:r w:rsidR="00095E12">
        <w:fldChar w:fldCharType="begin"/>
      </w:r>
      <w:r w:rsidR="00095E12">
        <w:instrText xml:space="preserve"> REF _Ref74207653 </w:instrText>
      </w:r>
      <w:r w:rsidR="00095E12">
        <w:fldChar w:fldCharType="separate"/>
      </w:r>
      <w:r w:rsidR="00095E12">
        <w:t xml:space="preserve">Table </w:t>
      </w:r>
      <w:r w:rsidR="00095E12">
        <w:rPr>
          <w:noProof/>
        </w:rPr>
        <w:t>4</w:t>
      </w:r>
      <w:r w:rsidR="00095E12">
        <w:rPr>
          <w:noProof/>
        </w:rPr>
        <w:fldChar w:fldCharType="end"/>
      </w:r>
      <w:r w:rsidR="00616372">
        <w:t>).</w:t>
      </w:r>
    </w:p>
    <w:p w14:paraId="6D4C8773" w14:textId="0B03F504" w:rsidR="00616372" w:rsidRDefault="00616372" w:rsidP="00B05487">
      <w:pPr>
        <w:pStyle w:val="Caption"/>
      </w:pPr>
      <w:bookmarkStart w:id="12" w:name="_Ref74207653"/>
      <w:r>
        <w:lastRenderedPageBreak/>
        <w:t xml:space="preserve">Table </w:t>
      </w:r>
      <w:r w:rsidR="00095E12">
        <w:fldChar w:fldCharType="begin"/>
      </w:r>
      <w:r w:rsidR="00095E12">
        <w:instrText xml:space="preserve"> SEQ Table \* ARABIC </w:instrText>
      </w:r>
      <w:r w:rsidR="00095E12">
        <w:fldChar w:fldCharType="separate"/>
      </w:r>
      <w:r w:rsidR="00095E12">
        <w:rPr>
          <w:noProof/>
        </w:rPr>
        <w:t>4</w:t>
      </w:r>
      <w:r w:rsidR="00095E12">
        <w:rPr>
          <w:noProof/>
        </w:rPr>
        <w:fldChar w:fldCharType="end"/>
      </w:r>
      <w:bookmarkEnd w:id="12"/>
      <w:r>
        <w:tab/>
        <w:t>Clinical trial data (linked evidence approach)</w:t>
      </w:r>
    </w:p>
    <w:tbl>
      <w:tblPr>
        <w:tblStyle w:val="TableGridLight"/>
        <w:tblW w:w="51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Caption w:val="Table 2 Key features of the included evidence comparing intervention with comparator"/>
        <w:tblDescription w:val="This table provides a summary of the key features of each study included in the evidence base - including the study authors, sample size, study design and duration, risk of bias in the results, patient population characteristics, key outcomes measured, and whether the results were used in the economic evaluation in the report."/>
      </w:tblPr>
      <w:tblGrid>
        <w:gridCol w:w="1586"/>
        <w:gridCol w:w="2611"/>
        <w:gridCol w:w="2745"/>
        <w:gridCol w:w="2602"/>
      </w:tblGrid>
      <w:tr w:rsidR="00913058" w:rsidRPr="00FC7CC2" w14:paraId="08525A45" w14:textId="77777777" w:rsidTr="0089330A">
        <w:trPr>
          <w:tblHeader/>
        </w:trPr>
        <w:tc>
          <w:tcPr>
            <w:tcW w:w="831" w:type="pct"/>
            <w:shd w:val="clear" w:color="auto" w:fill="D9D9D9" w:themeFill="background1" w:themeFillShade="D9"/>
          </w:tcPr>
          <w:p w14:paraId="4A5F8074" w14:textId="77777777" w:rsidR="00913058" w:rsidRPr="00FC7CC2" w:rsidRDefault="00913058" w:rsidP="00B05487">
            <w:pPr>
              <w:pStyle w:val="TableText0"/>
              <w:spacing w:before="0" w:after="0"/>
              <w:ind w:right="-23"/>
              <w:rPr>
                <w:b/>
                <w:szCs w:val="20"/>
              </w:rPr>
            </w:pPr>
            <w:r w:rsidRPr="00FC7CC2">
              <w:rPr>
                <w:b/>
                <w:szCs w:val="20"/>
              </w:rPr>
              <w:t>Type of evidence</w:t>
            </w:r>
          </w:p>
        </w:tc>
        <w:tc>
          <w:tcPr>
            <w:tcW w:w="1368" w:type="pct"/>
            <w:shd w:val="clear" w:color="auto" w:fill="D9D9D9" w:themeFill="background1" w:themeFillShade="D9"/>
          </w:tcPr>
          <w:p w14:paraId="4CCFC5DF" w14:textId="77777777" w:rsidR="00913058" w:rsidRPr="00FC7CC2" w:rsidRDefault="00913058" w:rsidP="00B05487">
            <w:pPr>
              <w:pStyle w:val="TableText0"/>
              <w:spacing w:before="0" w:after="0"/>
              <w:ind w:right="-23"/>
              <w:rPr>
                <w:b/>
                <w:szCs w:val="20"/>
              </w:rPr>
            </w:pPr>
            <w:r w:rsidRPr="00FC7CC2">
              <w:rPr>
                <w:b/>
                <w:szCs w:val="20"/>
              </w:rPr>
              <w:t>Description</w:t>
            </w:r>
          </w:p>
        </w:tc>
        <w:tc>
          <w:tcPr>
            <w:tcW w:w="1438" w:type="pct"/>
            <w:shd w:val="clear" w:color="auto" w:fill="D9D9D9" w:themeFill="background1" w:themeFillShade="D9"/>
          </w:tcPr>
          <w:p w14:paraId="59E6CCC8" w14:textId="77777777" w:rsidR="00913058" w:rsidRPr="00FC7CC2" w:rsidRDefault="00913058" w:rsidP="00B05487">
            <w:pPr>
              <w:pStyle w:val="TableText0"/>
              <w:spacing w:before="0" w:after="0"/>
              <w:ind w:right="-23"/>
              <w:rPr>
                <w:b/>
                <w:szCs w:val="20"/>
              </w:rPr>
            </w:pPr>
            <w:r w:rsidRPr="00FC7CC2">
              <w:rPr>
                <w:b/>
                <w:szCs w:val="20"/>
              </w:rPr>
              <w:t>Number</w:t>
            </w:r>
          </w:p>
        </w:tc>
        <w:tc>
          <w:tcPr>
            <w:tcW w:w="1364" w:type="pct"/>
            <w:shd w:val="clear" w:color="auto" w:fill="D9D9D9" w:themeFill="background1" w:themeFillShade="D9"/>
          </w:tcPr>
          <w:p w14:paraId="064B0D85" w14:textId="77777777" w:rsidR="00913058" w:rsidRPr="00FC7CC2" w:rsidRDefault="00913058" w:rsidP="00B05487">
            <w:pPr>
              <w:pStyle w:val="TableText0"/>
              <w:spacing w:before="0" w:after="0"/>
              <w:ind w:right="-23"/>
              <w:rPr>
                <w:b/>
                <w:szCs w:val="20"/>
              </w:rPr>
            </w:pPr>
            <w:r w:rsidRPr="00FC7CC2">
              <w:rPr>
                <w:b/>
                <w:szCs w:val="20"/>
              </w:rPr>
              <w:t>Risk of bias</w:t>
            </w:r>
          </w:p>
        </w:tc>
      </w:tr>
      <w:tr w:rsidR="00913058" w:rsidRPr="00FC7CC2" w14:paraId="44C195ED" w14:textId="77777777" w:rsidTr="0089330A">
        <w:trPr>
          <w:trHeight w:val="3459"/>
          <w:tblHeader/>
        </w:trPr>
        <w:tc>
          <w:tcPr>
            <w:tcW w:w="831" w:type="pct"/>
            <w:shd w:val="clear" w:color="auto" w:fill="auto"/>
          </w:tcPr>
          <w:p w14:paraId="5A5DD052" w14:textId="77777777" w:rsidR="00913058" w:rsidRPr="00FC7CC2" w:rsidRDefault="00913058" w:rsidP="00B05487">
            <w:pPr>
              <w:pStyle w:val="TableText0"/>
              <w:spacing w:before="0" w:after="0"/>
              <w:ind w:right="-23"/>
              <w:rPr>
                <w:snapToGrid w:val="0"/>
                <w:szCs w:val="20"/>
                <w:highlight w:val="cyan"/>
              </w:rPr>
            </w:pPr>
            <w:r w:rsidRPr="00FC7CC2">
              <w:rPr>
                <w:snapToGrid w:val="0"/>
                <w:szCs w:val="20"/>
              </w:rPr>
              <w:t>Diagnostic performance</w:t>
            </w:r>
          </w:p>
        </w:tc>
        <w:tc>
          <w:tcPr>
            <w:tcW w:w="1368" w:type="pct"/>
            <w:shd w:val="clear" w:color="auto" w:fill="auto"/>
          </w:tcPr>
          <w:p w14:paraId="5C0DD006" w14:textId="77777777" w:rsidR="00913058" w:rsidRPr="00FC7CC2" w:rsidRDefault="00913058" w:rsidP="00B05487">
            <w:pPr>
              <w:pStyle w:val="TableText0"/>
              <w:spacing w:before="0" w:after="0"/>
              <w:ind w:right="-23"/>
              <w:rPr>
                <w:snapToGrid w:val="0"/>
                <w:szCs w:val="20"/>
                <w:highlight w:val="cyan"/>
              </w:rPr>
            </w:pPr>
            <w:r w:rsidRPr="00FC7CC2">
              <w:rPr>
                <w:snapToGrid w:val="0"/>
                <w:szCs w:val="20"/>
              </w:rPr>
              <w:t>Diagnostic studies were used to assess diagnostic accuracy</w:t>
            </w:r>
            <w:r w:rsidRPr="00FC7CC2">
              <w:rPr>
                <w:snapToGrid w:val="0"/>
                <w:szCs w:val="20"/>
                <w:vertAlign w:val="superscript"/>
              </w:rPr>
              <w:t>a</w:t>
            </w:r>
            <w:r w:rsidRPr="00FC7CC2">
              <w:rPr>
                <w:snapToGrid w:val="0"/>
                <w:szCs w:val="20"/>
              </w:rPr>
              <w:t>. Observational studies were used to address diagnostic yield</w:t>
            </w:r>
            <w:r w:rsidRPr="00FC7CC2">
              <w:rPr>
                <w:snapToGrid w:val="0"/>
                <w:szCs w:val="20"/>
                <w:vertAlign w:val="superscript"/>
              </w:rPr>
              <w:t xml:space="preserve">b </w:t>
            </w:r>
            <w:r w:rsidRPr="00FC7CC2">
              <w:rPr>
                <w:snapToGrid w:val="0"/>
                <w:szCs w:val="20"/>
              </w:rPr>
              <w:t>and analytical concordance</w:t>
            </w:r>
            <w:r w:rsidRPr="00FC7CC2">
              <w:rPr>
                <w:snapToGrid w:val="0"/>
                <w:szCs w:val="20"/>
                <w:vertAlign w:val="superscript"/>
              </w:rPr>
              <w:t>b</w:t>
            </w:r>
          </w:p>
        </w:tc>
        <w:tc>
          <w:tcPr>
            <w:tcW w:w="1438" w:type="pct"/>
            <w:shd w:val="clear" w:color="auto" w:fill="auto"/>
          </w:tcPr>
          <w:p w14:paraId="18F26826" w14:textId="77777777" w:rsidR="00913058" w:rsidRPr="00FC7CC2" w:rsidRDefault="00913058" w:rsidP="00B05487">
            <w:pPr>
              <w:pStyle w:val="TableText0"/>
              <w:spacing w:before="0" w:after="0"/>
              <w:ind w:right="-23"/>
              <w:rPr>
                <w:snapToGrid w:val="0"/>
                <w:szCs w:val="20"/>
              </w:rPr>
            </w:pPr>
            <w:r w:rsidRPr="00FC7CC2">
              <w:rPr>
                <w:b/>
                <w:snapToGrid w:val="0"/>
                <w:szCs w:val="20"/>
              </w:rPr>
              <w:t xml:space="preserve">Diagnostic accuracy: </w:t>
            </w:r>
            <w:r w:rsidRPr="00FC7CC2">
              <w:rPr>
                <w:snapToGrid w:val="0"/>
                <w:szCs w:val="20"/>
              </w:rPr>
              <w:t>(k = 2)</w:t>
            </w:r>
          </w:p>
          <w:p w14:paraId="269237D9" w14:textId="5AA4008A" w:rsidR="00913058" w:rsidRPr="00FC7CC2" w:rsidRDefault="00913058" w:rsidP="00B05487">
            <w:pPr>
              <w:pStyle w:val="TableText0"/>
              <w:spacing w:before="0" w:after="0"/>
              <w:ind w:right="-23"/>
              <w:rPr>
                <w:snapToGrid w:val="0"/>
                <w:szCs w:val="20"/>
              </w:rPr>
            </w:pPr>
            <w:r w:rsidRPr="00FC7CC2">
              <w:rPr>
                <w:snapToGrid w:val="0"/>
                <w:szCs w:val="20"/>
              </w:rPr>
              <w:t>14-variant panel: k = 2, n = 3,224</w:t>
            </w:r>
          </w:p>
          <w:p w14:paraId="60B5A4F8" w14:textId="77777777" w:rsidR="00913058" w:rsidRPr="00FC7CC2" w:rsidRDefault="00913058" w:rsidP="00B05487">
            <w:pPr>
              <w:pStyle w:val="TableText0"/>
              <w:spacing w:before="0" w:after="0"/>
              <w:ind w:right="-23"/>
              <w:rPr>
                <w:snapToGrid w:val="0"/>
                <w:szCs w:val="20"/>
              </w:rPr>
            </w:pPr>
          </w:p>
          <w:p w14:paraId="52754298" w14:textId="77777777" w:rsidR="00913058" w:rsidRPr="00290604" w:rsidRDefault="00913058" w:rsidP="00B05487">
            <w:pPr>
              <w:pStyle w:val="TableText0"/>
              <w:spacing w:before="0" w:after="0"/>
              <w:ind w:right="-23"/>
              <w:rPr>
                <w:snapToGrid w:val="0"/>
                <w:szCs w:val="20"/>
              </w:rPr>
            </w:pPr>
            <w:r w:rsidRPr="00290604">
              <w:rPr>
                <w:b/>
                <w:snapToGrid w:val="0"/>
                <w:szCs w:val="20"/>
              </w:rPr>
              <w:t>Diagnostic yield:</w:t>
            </w:r>
            <w:r w:rsidRPr="00290604">
              <w:rPr>
                <w:snapToGrid w:val="0"/>
                <w:szCs w:val="20"/>
              </w:rPr>
              <w:t xml:space="preserve"> (k = 9)</w:t>
            </w:r>
          </w:p>
          <w:p w14:paraId="778894FC" w14:textId="77777777" w:rsidR="00913058" w:rsidRPr="00290604" w:rsidRDefault="00913058" w:rsidP="00B05487">
            <w:pPr>
              <w:pStyle w:val="TableText0"/>
              <w:spacing w:before="0" w:after="0"/>
              <w:ind w:right="-23"/>
              <w:rPr>
                <w:snapToGrid w:val="0"/>
                <w:szCs w:val="20"/>
              </w:rPr>
            </w:pPr>
            <w:r w:rsidRPr="00290604">
              <w:rPr>
                <w:snapToGrid w:val="0"/>
                <w:szCs w:val="20"/>
              </w:rPr>
              <w:t>IEF: k = 1, n = 512</w:t>
            </w:r>
          </w:p>
          <w:p w14:paraId="4DC88A99" w14:textId="77777777" w:rsidR="00913058" w:rsidRPr="00FC7CC2" w:rsidRDefault="00913058" w:rsidP="00B05487">
            <w:pPr>
              <w:pStyle w:val="TableText0"/>
              <w:spacing w:before="0" w:after="0"/>
              <w:ind w:right="-23"/>
              <w:rPr>
                <w:snapToGrid w:val="0"/>
                <w:szCs w:val="20"/>
              </w:rPr>
            </w:pPr>
            <w:r w:rsidRPr="00FC7CC2">
              <w:rPr>
                <w:snapToGrid w:val="0"/>
                <w:szCs w:val="20"/>
              </w:rPr>
              <w:t>2-variant panel: k = 5, n = 1,690</w:t>
            </w:r>
          </w:p>
          <w:p w14:paraId="2179DD96" w14:textId="77777777" w:rsidR="00913058" w:rsidRPr="00FC7CC2" w:rsidRDefault="00913058" w:rsidP="00B05487">
            <w:pPr>
              <w:pStyle w:val="TableText0"/>
              <w:spacing w:before="0" w:after="0"/>
              <w:ind w:right="-23"/>
              <w:rPr>
                <w:snapToGrid w:val="0"/>
                <w:szCs w:val="20"/>
              </w:rPr>
            </w:pPr>
            <w:r w:rsidRPr="00FC7CC2">
              <w:rPr>
                <w:snapToGrid w:val="0"/>
                <w:szCs w:val="20"/>
              </w:rPr>
              <w:t>14-variant panel: k = 2, n = 3,530</w:t>
            </w:r>
          </w:p>
          <w:p w14:paraId="5B367A57" w14:textId="0A2456A2" w:rsidR="00913058" w:rsidRPr="00FC7CC2" w:rsidRDefault="00913058" w:rsidP="00B05487">
            <w:pPr>
              <w:pStyle w:val="TableText0"/>
              <w:spacing w:before="0" w:after="0"/>
              <w:ind w:right="-23"/>
              <w:rPr>
                <w:snapToGrid w:val="0"/>
                <w:szCs w:val="20"/>
              </w:rPr>
            </w:pPr>
            <w:r w:rsidRPr="00FC7CC2">
              <w:rPr>
                <w:snapToGrid w:val="0"/>
                <w:szCs w:val="20"/>
              </w:rPr>
              <w:t>Sequencing: k = 4, n = 668</w:t>
            </w:r>
          </w:p>
          <w:p w14:paraId="2F1C2AD8" w14:textId="77777777" w:rsidR="00913058" w:rsidRPr="00FC7CC2" w:rsidRDefault="00913058" w:rsidP="00B05487">
            <w:pPr>
              <w:pStyle w:val="TableText0"/>
              <w:spacing w:before="0" w:after="0"/>
              <w:ind w:right="-23"/>
              <w:rPr>
                <w:snapToGrid w:val="0"/>
                <w:szCs w:val="20"/>
              </w:rPr>
            </w:pPr>
          </w:p>
          <w:p w14:paraId="540033F2" w14:textId="77777777" w:rsidR="00913058" w:rsidRPr="00FC7CC2" w:rsidRDefault="00913058" w:rsidP="00B05487">
            <w:pPr>
              <w:pStyle w:val="TableText0"/>
              <w:spacing w:before="0" w:after="0"/>
              <w:ind w:right="-23"/>
              <w:rPr>
                <w:snapToGrid w:val="0"/>
                <w:szCs w:val="20"/>
              </w:rPr>
            </w:pPr>
            <w:r w:rsidRPr="00FC7CC2">
              <w:rPr>
                <w:b/>
                <w:snapToGrid w:val="0"/>
                <w:szCs w:val="20"/>
              </w:rPr>
              <w:t>Concordance</w:t>
            </w:r>
            <w:r w:rsidRPr="00FC7CC2">
              <w:rPr>
                <w:snapToGrid w:val="0"/>
                <w:szCs w:val="20"/>
              </w:rPr>
              <w:t xml:space="preserve"> (k = 4)</w:t>
            </w:r>
          </w:p>
          <w:p w14:paraId="26D5AAAD" w14:textId="77777777" w:rsidR="00913058" w:rsidRPr="00FC7CC2" w:rsidRDefault="00913058" w:rsidP="00B05487">
            <w:pPr>
              <w:pStyle w:val="TableText0"/>
              <w:spacing w:before="0" w:after="0"/>
              <w:ind w:right="-23"/>
              <w:rPr>
                <w:snapToGrid w:val="0"/>
                <w:szCs w:val="20"/>
              </w:rPr>
            </w:pPr>
            <w:r w:rsidRPr="00FC7CC2">
              <w:rPr>
                <w:snapToGrid w:val="0"/>
                <w:szCs w:val="20"/>
              </w:rPr>
              <w:t>IEF and 2-variant test: k = 3, n = 4,453</w:t>
            </w:r>
          </w:p>
          <w:p w14:paraId="6E016791" w14:textId="77777777" w:rsidR="00913058" w:rsidRPr="00FC7CC2" w:rsidRDefault="00913058" w:rsidP="00B05487">
            <w:pPr>
              <w:pStyle w:val="TableText0"/>
              <w:spacing w:before="0" w:after="0"/>
              <w:ind w:right="-23"/>
              <w:rPr>
                <w:snapToGrid w:val="0"/>
                <w:szCs w:val="20"/>
              </w:rPr>
            </w:pPr>
            <w:r w:rsidRPr="00FC7CC2">
              <w:rPr>
                <w:snapToGrid w:val="0"/>
                <w:szCs w:val="20"/>
              </w:rPr>
              <w:t xml:space="preserve">14-variant panel and sequencing: </w:t>
            </w:r>
            <w:r w:rsidRPr="00FC7CC2">
              <w:rPr>
                <w:snapToGrid w:val="0"/>
                <w:szCs w:val="20"/>
              </w:rPr>
              <w:br/>
              <w:t>k = 1, n = 112</w:t>
            </w:r>
          </w:p>
          <w:p w14:paraId="5CAFFB63" w14:textId="48DC563A" w:rsidR="00913058" w:rsidRPr="00FC7CC2" w:rsidRDefault="00913058" w:rsidP="00B05487">
            <w:pPr>
              <w:pStyle w:val="TableText0"/>
              <w:spacing w:before="0" w:after="0"/>
              <w:ind w:right="-23"/>
              <w:rPr>
                <w:snapToGrid w:val="0"/>
                <w:szCs w:val="20"/>
                <w:highlight w:val="cyan"/>
              </w:rPr>
            </w:pPr>
            <w:r w:rsidRPr="00FC7CC2">
              <w:rPr>
                <w:snapToGrid w:val="0"/>
                <w:szCs w:val="20"/>
              </w:rPr>
              <w:t>14-variant panel and traditional algorithm: k = 1, n = 512</w:t>
            </w:r>
          </w:p>
        </w:tc>
        <w:tc>
          <w:tcPr>
            <w:tcW w:w="1364" w:type="pct"/>
          </w:tcPr>
          <w:p w14:paraId="664BED6A" w14:textId="26D951F9" w:rsidR="00913058" w:rsidRPr="00FC7CC2" w:rsidRDefault="00913058" w:rsidP="00B05487">
            <w:pPr>
              <w:pStyle w:val="TableText0"/>
              <w:spacing w:before="0" w:after="0"/>
              <w:ind w:right="-23"/>
              <w:rPr>
                <w:b/>
                <w:snapToGrid w:val="0"/>
                <w:szCs w:val="20"/>
              </w:rPr>
            </w:pPr>
            <w:r w:rsidRPr="00FC7CC2">
              <w:rPr>
                <w:b/>
                <w:snapToGrid w:val="0"/>
                <w:szCs w:val="20"/>
              </w:rPr>
              <w:t>Diagnostic accuracy</w:t>
            </w:r>
          </w:p>
          <w:p w14:paraId="09DFDD4B" w14:textId="77777777" w:rsidR="00913058" w:rsidRPr="00FC7CC2" w:rsidRDefault="00913058" w:rsidP="00B05487">
            <w:pPr>
              <w:pStyle w:val="TableText0"/>
              <w:spacing w:before="0" w:after="0"/>
              <w:ind w:right="-23"/>
              <w:rPr>
                <w:snapToGrid w:val="0"/>
                <w:szCs w:val="20"/>
              </w:rPr>
            </w:pPr>
            <w:r w:rsidRPr="00FC7CC2">
              <w:rPr>
                <w:snapToGrid w:val="0"/>
                <w:szCs w:val="20"/>
              </w:rPr>
              <w:t>Low, with uncertain risk of bias and applicability for patient selection</w:t>
            </w:r>
          </w:p>
          <w:p w14:paraId="6C393B4B" w14:textId="77777777" w:rsidR="00913058" w:rsidRPr="00FC7CC2" w:rsidRDefault="00913058" w:rsidP="00B05487">
            <w:pPr>
              <w:pStyle w:val="TableText0"/>
              <w:spacing w:before="0" w:after="0"/>
              <w:ind w:right="-23"/>
              <w:rPr>
                <w:snapToGrid w:val="0"/>
                <w:szCs w:val="20"/>
              </w:rPr>
            </w:pPr>
          </w:p>
          <w:p w14:paraId="6AA49D29" w14:textId="7A2A9246" w:rsidR="00913058" w:rsidRPr="00FC7CC2" w:rsidRDefault="00913058" w:rsidP="00B05487">
            <w:pPr>
              <w:pStyle w:val="TableText0"/>
              <w:spacing w:before="0" w:after="0"/>
              <w:ind w:right="-23"/>
              <w:rPr>
                <w:b/>
                <w:snapToGrid w:val="0"/>
                <w:szCs w:val="20"/>
              </w:rPr>
            </w:pPr>
            <w:r w:rsidRPr="00FC7CC2">
              <w:rPr>
                <w:b/>
                <w:snapToGrid w:val="0"/>
                <w:szCs w:val="20"/>
              </w:rPr>
              <w:t>Diagnostic yield</w:t>
            </w:r>
          </w:p>
          <w:p w14:paraId="482E23E8" w14:textId="77777777" w:rsidR="00913058" w:rsidRPr="00FC7CC2" w:rsidRDefault="00913058" w:rsidP="00B05487">
            <w:pPr>
              <w:pStyle w:val="TableText0"/>
              <w:spacing w:before="0" w:after="0"/>
              <w:ind w:right="-23"/>
              <w:rPr>
                <w:snapToGrid w:val="0"/>
                <w:szCs w:val="20"/>
              </w:rPr>
            </w:pPr>
            <w:r w:rsidRPr="00FC7CC2">
              <w:rPr>
                <w:snapToGrid w:val="0"/>
                <w:szCs w:val="20"/>
              </w:rPr>
              <w:t>Low to moderate. Issues pertaining to blinding, statistical analysis, analysis of confounding factors, and study power</w:t>
            </w:r>
          </w:p>
          <w:p w14:paraId="2D245858" w14:textId="77777777" w:rsidR="00913058" w:rsidRPr="00FC7CC2" w:rsidRDefault="00913058" w:rsidP="00B05487">
            <w:pPr>
              <w:pStyle w:val="TableText0"/>
              <w:spacing w:before="0" w:after="0"/>
              <w:ind w:right="-23"/>
              <w:rPr>
                <w:b/>
                <w:snapToGrid w:val="0"/>
                <w:szCs w:val="20"/>
              </w:rPr>
            </w:pPr>
          </w:p>
          <w:p w14:paraId="665DF25F" w14:textId="4E3A78F2" w:rsidR="00913058" w:rsidRPr="00FC7CC2" w:rsidRDefault="00913058" w:rsidP="00B05487">
            <w:pPr>
              <w:pStyle w:val="TableText0"/>
              <w:spacing w:before="0" w:after="0"/>
              <w:ind w:right="-23"/>
              <w:rPr>
                <w:b/>
                <w:snapToGrid w:val="0"/>
                <w:szCs w:val="20"/>
              </w:rPr>
            </w:pPr>
            <w:r w:rsidRPr="00FC7CC2">
              <w:rPr>
                <w:b/>
                <w:snapToGrid w:val="0"/>
                <w:szCs w:val="20"/>
              </w:rPr>
              <w:t>Concordance</w:t>
            </w:r>
          </w:p>
          <w:p w14:paraId="3D280E83" w14:textId="77777777" w:rsidR="00913058" w:rsidRPr="00FC7CC2" w:rsidRDefault="00913058" w:rsidP="00B05487">
            <w:pPr>
              <w:pStyle w:val="TableText0"/>
              <w:spacing w:before="0" w:after="0"/>
              <w:ind w:right="-23"/>
              <w:rPr>
                <w:snapToGrid w:val="0"/>
                <w:szCs w:val="20"/>
              </w:rPr>
            </w:pPr>
            <w:r w:rsidRPr="00FC7CC2">
              <w:rPr>
                <w:snapToGrid w:val="0"/>
                <w:szCs w:val="20"/>
              </w:rPr>
              <w:t>Low to moderate. Issues pertaining to patient characteristics, confounding factors, statistical analysis, blinding, and power</w:t>
            </w:r>
          </w:p>
        </w:tc>
      </w:tr>
      <w:tr w:rsidR="00913058" w:rsidRPr="00FC7CC2" w14:paraId="265E94D1" w14:textId="77777777" w:rsidTr="0089330A">
        <w:trPr>
          <w:tblHeader/>
        </w:trPr>
        <w:tc>
          <w:tcPr>
            <w:tcW w:w="831" w:type="pct"/>
            <w:shd w:val="clear" w:color="auto" w:fill="auto"/>
          </w:tcPr>
          <w:p w14:paraId="51A172DF" w14:textId="77777777" w:rsidR="00913058" w:rsidRPr="00FC7CC2" w:rsidRDefault="00913058" w:rsidP="00B05487">
            <w:pPr>
              <w:pStyle w:val="TableText0"/>
              <w:spacing w:before="0" w:after="0"/>
              <w:ind w:right="-23"/>
              <w:rPr>
                <w:snapToGrid w:val="0"/>
                <w:szCs w:val="20"/>
                <w:highlight w:val="cyan"/>
              </w:rPr>
            </w:pPr>
            <w:r w:rsidRPr="00FC7CC2">
              <w:rPr>
                <w:snapToGrid w:val="0"/>
                <w:szCs w:val="20"/>
              </w:rPr>
              <w:t>Clinical validity</w:t>
            </w:r>
          </w:p>
        </w:tc>
        <w:tc>
          <w:tcPr>
            <w:tcW w:w="1368" w:type="pct"/>
            <w:shd w:val="clear" w:color="auto" w:fill="auto"/>
          </w:tcPr>
          <w:p w14:paraId="39C0C3AE" w14:textId="77777777" w:rsidR="00913058" w:rsidRPr="00FC7CC2" w:rsidRDefault="00913058" w:rsidP="00B05487">
            <w:pPr>
              <w:ind w:right="-23"/>
              <w:rPr>
                <w:snapToGrid w:val="0"/>
                <w:sz w:val="20"/>
                <w:highlight w:val="cyan"/>
              </w:rPr>
            </w:pPr>
            <w:r w:rsidRPr="00FC7CC2">
              <w:rPr>
                <w:rFonts w:ascii="Arial Narrow" w:hAnsi="Arial Narrow"/>
                <w:color w:val="000000"/>
                <w:sz w:val="20"/>
              </w:rPr>
              <w:t>P</w:t>
            </w:r>
            <w:r w:rsidRPr="00FC7CC2">
              <w:rPr>
                <w:rFonts w:ascii="Arial Narrow" w:hAnsi="Arial Narrow"/>
                <w:snapToGrid w:val="0"/>
                <w:color w:val="000000"/>
                <w:sz w:val="20"/>
              </w:rPr>
              <w:t>revalence of AATD genetic variants and their association with lung and liver disease</w:t>
            </w:r>
          </w:p>
        </w:tc>
        <w:tc>
          <w:tcPr>
            <w:tcW w:w="1438" w:type="pct"/>
            <w:shd w:val="clear" w:color="auto" w:fill="auto"/>
          </w:tcPr>
          <w:p w14:paraId="331FCEEA" w14:textId="77777777" w:rsidR="00913058" w:rsidRPr="00FC7CC2" w:rsidRDefault="00913058" w:rsidP="00B05487">
            <w:pPr>
              <w:pStyle w:val="TableText0"/>
              <w:spacing w:before="0" w:after="0"/>
              <w:ind w:right="-23"/>
              <w:rPr>
                <w:snapToGrid w:val="0"/>
                <w:szCs w:val="20"/>
              </w:rPr>
            </w:pPr>
            <w:r w:rsidRPr="00FC7CC2">
              <w:rPr>
                <w:snapToGrid w:val="0"/>
                <w:szCs w:val="20"/>
              </w:rPr>
              <w:t>k = 2</w:t>
            </w:r>
          </w:p>
          <w:p w14:paraId="6651C5A4" w14:textId="77777777" w:rsidR="00913058" w:rsidRPr="00FC7CC2" w:rsidRDefault="00913058" w:rsidP="00B05487">
            <w:pPr>
              <w:pStyle w:val="TableText0"/>
              <w:spacing w:before="0" w:after="0"/>
              <w:ind w:right="-23"/>
              <w:rPr>
                <w:snapToGrid w:val="0"/>
                <w:szCs w:val="20"/>
              </w:rPr>
            </w:pPr>
            <w:r w:rsidRPr="00FC7CC2">
              <w:rPr>
                <w:snapToGrid w:val="0"/>
                <w:szCs w:val="20"/>
              </w:rPr>
              <w:t>n = 11,769</w:t>
            </w:r>
          </w:p>
        </w:tc>
        <w:tc>
          <w:tcPr>
            <w:tcW w:w="1364" w:type="pct"/>
          </w:tcPr>
          <w:p w14:paraId="37E6A542" w14:textId="2338751A" w:rsidR="00913058" w:rsidRPr="00FC7CC2" w:rsidRDefault="00913058" w:rsidP="00B05487">
            <w:pPr>
              <w:pStyle w:val="TableText0"/>
              <w:spacing w:before="0" w:after="0"/>
              <w:ind w:right="-23"/>
              <w:rPr>
                <w:snapToGrid w:val="0"/>
                <w:szCs w:val="20"/>
              </w:rPr>
            </w:pPr>
            <w:r w:rsidRPr="00FC7CC2">
              <w:rPr>
                <w:snapToGrid w:val="0"/>
                <w:szCs w:val="20"/>
              </w:rPr>
              <w:t>Not applicable</w:t>
            </w:r>
          </w:p>
        </w:tc>
      </w:tr>
      <w:tr w:rsidR="00913058" w:rsidRPr="00FC7CC2" w14:paraId="5AE79F3B" w14:textId="77777777" w:rsidTr="0089330A">
        <w:trPr>
          <w:tblHeader/>
        </w:trPr>
        <w:tc>
          <w:tcPr>
            <w:tcW w:w="831" w:type="pct"/>
            <w:shd w:val="clear" w:color="auto" w:fill="auto"/>
          </w:tcPr>
          <w:p w14:paraId="157FE67A" w14:textId="77777777" w:rsidR="00913058" w:rsidRPr="00FC7CC2" w:rsidRDefault="00913058" w:rsidP="00B05487">
            <w:pPr>
              <w:pStyle w:val="TableText0"/>
              <w:spacing w:before="0" w:after="0"/>
              <w:ind w:right="-23"/>
              <w:rPr>
                <w:snapToGrid w:val="0"/>
                <w:szCs w:val="20"/>
              </w:rPr>
            </w:pPr>
            <w:r w:rsidRPr="00FC7CC2">
              <w:rPr>
                <w:snapToGrid w:val="0"/>
                <w:szCs w:val="20"/>
              </w:rPr>
              <w:t>Therapeutic efficacy</w:t>
            </w:r>
          </w:p>
        </w:tc>
        <w:tc>
          <w:tcPr>
            <w:tcW w:w="1368" w:type="pct"/>
            <w:shd w:val="clear" w:color="auto" w:fill="auto"/>
          </w:tcPr>
          <w:p w14:paraId="66B993E9" w14:textId="77777777" w:rsidR="00913058" w:rsidRPr="00FC7CC2" w:rsidRDefault="00913058" w:rsidP="00B05487">
            <w:pPr>
              <w:pStyle w:val="TableText0"/>
              <w:spacing w:before="0" w:after="0"/>
              <w:ind w:right="-23"/>
              <w:rPr>
                <w:snapToGrid w:val="0"/>
                <w:szCs w:val="20"/>
              </w:rPr>
            </w:pPr>
            <w:r w:rsidRPr="00FC7CC2">
              <w:rPr>
                <w:snapToGrid w:val="0"/>
                <w:szCs w:val="20"/>
              </w:rPr>
              <w:t>Observational cohort studies show that test results guide behavioural and lifestyle changes</w:t>
            </w:r>
          </w:p>
        </w:tc>
        <w:tc>
          <w:tcPr>
            <w:tcW w:w="1438" w:type="pct"/>
            <w:shd w:val="clear" w:color="auto" w:fill="auto"/>
          </w:tcPr>
          <w:p w14:paraId="786C3752" w14:textId="77777777" w:rsidR="00913058" w:rsidRPr="00FC7CC2" w:rsidRDefault="00913058" w:rsidP="00B05487">
            <w:pPr>
              <w:pStyle w:val="TableText0"/>
              <w:spacing w:before="0" w:after="0"/>
              <w:ind w:right="-23"/>
              <w:rPr>
                <w:snapToGrid w:val="0"/>
                <w:szCs w:val="20"/>
              </w:rPr>
            </w:pPr>
            <w:r w:rsidRPr="00FC7CC2">
              <w:rPr>
                <w:snapToGrid w:val="0"/>
                <w:szCs w:val="20"/>
              </w:rPr>
              <w:t>k = 4</w:t>
            </w:r>
          </w:p>
          <w:p w14:paraId="6A933148" w14:textId="77777777" w:rsidR="00913058" w:rsidRPr="00FC7CC2" w:rsidRDefault="00913058" w:rsidP="00B05487">
            <w:pPr>
              <w:pStyle w:val="TableText0"/>
              <w:spacing w:before="0" w:after="0"/>
              <w:ind w:right="-23"/>
              <w:rPr>
                <w:snapToGrid w:val="0"/>
                <w:szCs w:val="20"/>
              </w:rPr>
            </w:pPr>
            <w:r w:rsidRPr="00FC7CC2">
              <w:rPr>
                <w:snapToGrid w:val="0"/>
                <w:szCs w:val="20"/>
              </w:rPr>
              <w:t>n = 3,984</w:t>
            </w:r>
          </w:p>
        </w:tc>
        <w:tc>
          <w:tcPr>
            <w:tcW w:w="1364" w:type="pct"/>
          </w:tcPr>
          <w:p w14:paraId="6290750F" w14:textId="343EBCF2" w:rsidR="00913058" w:rsidRPr="00FC7CC2" w:rsidRDefault="00913058" w:rsidP="00B05487">
            <w:pPr>
              <w:pStyle w:val="TableText0"/>
              <w:spacing w:before="0" w:after="0"/>
              <w:ind w:right="-23"/>
              <w:rPr>
                <w:snapToGrid w:val="0"/>
                <w:szCs w:val="20"/>
              </w:rPr>
            </w:pPr>
            <w:r w:rsidRPr="00FC7CC2">
              <w:rPr>
                <w:snapToGrid w:val="0"/>
                <w:szCs w:val="20"/>
              </w:rPr>
              <w:t>Moderate to high</w:t>
            </w:r>
          </w:p>
        </w:tc>
      </w:tr>
      <w:tr w:rsidR="00913058" w:rsidRPr="00FC7CC2" w14:paraId="151B6ECE" w14:textId="77777777" w:rsidTr="0089330A">
        <w:trPr>
          <w:tblHeader/>
        </w:trPr>
        <w:tc>
          <w:tcPr>
            <w:tcW w:w="831" w:type="pct"/>
            <w:shd w:val="clear" w:color="auto" w:fill="auto"/>
          </w:tcPr>
          <w:p w14:paraId="02D49206" w14:textId="77777777" w:rsidR="00913058" w:rsidRPr="00FC7CC2" w:rsidRDefault="00913058" w:rsidP="00B05487">
            <w:pPr>
              <w:pStyle w:val="TableText0"/>
              <w:spacing w:before="0" w:after="0"/>
              <w:ind w:right="-23"/>
              <w:rPr>
                <w:snapToGrid w:val="0"/>
                <w:szCs w:val="20"/>
                <w:highlight w:val="cyan"/>
              </w:rPr>
            </w:pPr>
            <w:r w:rsidRPr="00FC7CC2">
              <w:rPr>
                <w:snapToGrid w:val="0"/>
                <w:szCs w:val="20"/>
              </w:rPr>
              <w:t>Therapeutic effectiveness</w:t>
            </w:r>
          </w:p>
        </w:tc>
        <w:tc>
          <w:tcPr>
            <w:tcW w:w="1368" w:type="pct"/>
            <w:shd w:val="clear" w:color="auto" w:fill="auto"/>
          </w:tcPr>
          <w:p w14:paraId="2FF29FC3" w14:textId="77777777" w:rsidR="00913058" w:rsidRPr="00FC7CC2" w:rsidRDefault="00913058" w:rsidP="00B05487">
            <w:pPr>
              <w:pStyle w:val="TableText0"/>
              <w:spacing w:before="0" w:after="0"/>
              <w:ind w:right="-23"/>
              <w:rPr>
                <w:snapToGrid w:val="0"/>
                <w:szCs w:val="20"/>
                <w:highlight w:val="cyan"/>
              </w:rPr>
            </w:pPr>
            <w:r w:rsidRPr="00FC7CC2">
              <w:rPr>
                <w:snapToGrid w:val="0"/>
                <w:szCs w:val="20"/>
              </w:rPr>
              <w:t>1 review and 4 observational studies on the effect of knowledge of AATD status on health outcomes such as survival and lung function</w:t>
            </w:r>
          </w:p>
        </w:tc>
        <w:tc>
          <w:tcPr>
            <w:tcW w:w="1438" w:type="pct"/>
            <w:shd w:val="clear" w:color="auto" w:fill="auto"/>
          </w:tcPr>
          <w:p w14:paraId="09E7BC6F" w14:textId="77777777" w:rsidR="00913058" w:rsidRPr="00FC7CC2" w:rsidRDefault="00913058" w:rsidP="00B05487">
            <w:pPr>
              <w:pStyle w:val="TableText0"/>
              <w:spacing w:before="0" w:after="0"/>
              <w:ind w:right="-23"/>
              <w:rPr>
                <w:snapToGrid w:val="0"/>
                <w:szCs w:val="20"/>
              </w:rPr>
            </w:pPr>
            <w:r w:rsidRPr="00FC7CC2">
              <w:rPr>
                <w:snapToGrid w:val="0"/>
                <w:szCs w:val="20"/>
              </w:rPr>
              <w:t>Review: k = 18, n = 14,750</w:t>
            </w:r>
          </w:p>
          <w:p w14:paraId="1A34A879" w14:textId="77777777" w:rsidR="00913058" w:rsidRPr="00FC7CC2" w:rsidRDefault="00913058" w:rsidP="00B05487">
            <w:pPr>
              <w:pStyle w:val="TableText0"/>
              <w:spacing w:before="0" w:after="0"/>
              <w:ind w:right="-23"/>
              <w:rPr>
                <w:snapToGrid w:val="0"/>
                <w:szCs w:val="20"/>
                <w:highlight w:val="cyan"/>
              </w:rPr>
            </w:pPr>
            <w:r w:rsidRPr="00FC7CC2">
              <w:rPr>
                <w:snapToGrid w:val="0"/>
                <w:szCs w:val="20"/>
              </w:rPr>
              <w:t>Observational: k = 4, n = 26,401</w:t>
            </w:r>
          </w:p>
        </w:tc>
        <w:tc>
          <w:tcPr>
            <w:tcW w:w="1364" w:type="pct"/>
          </w:tcPr>
          <w:p w14:paraId="5409C019" w14:textId="65E3725E" w:rsidR="00913058" w:rsidRPr="00FC7CC2" w:rsidRDefault="00913058" w:rsidP="00B05487">
            <w:pPr>
              <w:pStyle w:val="TableText0"/>
              <w:spacing w:before="0" w:after="0"/>
              <w:ind w:right="-23"/>
              <w:rPr>
                <w:snapToGrid w:val="0"/>
                <w:szCs w:val="20"/>
              </w:rPr>
            </w:pPr>
            <w:r w:rsidRPr="00FC7CC2">
              <w:rPr>
                <w:snapToGrid w:val="0"/>
                <w:szCs w:val="20"/>
              </w:rPr>
              <w:t>Moderate to high</w:t>
            </w:r>
          </w:p>
        </w:tc>
      </w:tr>
    </w:tbl>
    <w:p w14:paraId="61BB4B39" w14:textId="796F0844" w:rsidR="00616372" w:rsidRPr="00963F86" w:rsidRDefault="00913058" w:rsidP="00B05487">
      <w:pPr>
        <w:pStyle w:val="Tablenotes1"/>
      </w:pPr>
      <w:r>
        <w:t>Source: DCAR, Table 3.</w:t>
      </w:r>
    </w:p>
    <w:p w14:paraId="3711A6F8" w14:textId="77777777" w:rsidR="00DE6837" w:rsidRPr="00DE6837" w:rsidRDefault="00DE6837" w:rsidP="00B05487">
      <w:pPr>
        <w:pStyle w:val="Heading2"/>
      </w:pPr>
      <w:bookmarkStart w:id="13" w:name="_Ref66704694"/>
      <w:r w:rsidRPr="00DE6837">
        <w:t xml:space="preserve">Diagnostic </w:t>
      </w:r>
      <w:bookmarkEnd w:id="13"/>
      <w:r w:rsidRPr="00DE6837">
        <w:t>performance</w:t>
      </w:r>
    </w:p>
    <w:p w14:paraId="3B3F5B00" w14:textId="77777777" w:rsidR="00DE6837" w:rsidRPr="00DE6837" w:rsidRDefault="00DE6837" w:rsidP="00B05487">
      <w:pPr>
        <w:pStyle w:val="Heading3"/>
      </w:pPr>
      <w:r w:rsidRPr="00DE6837">
        <w:t>Diagnostic accuracy</w:t>
      </w:r>
    </w:p>
    <w:p w14:paraId="0892DFDA" w14:textId="7016A3D5" w:rsidR="00DE6837" w:rsidRDefault="00DE6837" w:rsidP="00B05487">
      <w:r w:rsidRPr="00DE6837">
        <w:t xml:space="preserve">No diagnostic accuracy study was identified that closely reflects the population in the PICO criteria. The populations of the included studies reporting on diagnostic accuracy are less enriched than that in the proposed PICO. It is unclear how this may affect the test accuracy. No study reported on diagnostic accuracy of IEF, the 2-variant panel or sequencing. Furthermore, only one study used the gold standard (sequencing) as a reference standard. There were </w:t>
      </w:r>
      <w:r w:rsidR="00066591">
        <w:t>two</w:t>
      </w:r>
      <w:r w:rsidRPr="00DE6837">
        <w:t xml:space="preserve"> studies with low risk of bias </w:t>
      </w:r>
      <w:r w:rsidR="00066591">
        <w:t>that</w:t>
      </w:r>
      <w:r w:rsidR="00066591" w:rsidRPr="00DE6837">
        <w:t xml:space="preserve"> </w:t>
      </w:r>
      <w:r w:rsidRPr="00DE6837">
        <w:t>reported on the diagnostic accuracy of the 14-variant panel test compared to sequencing or a ‘traditional algorithm’ (incorporating both phenotyping and the 2-variant panel). The sensitivity and specificity of the 14-</w:t>
      </w:r>
      <w:r w:rsidR="00066591">
        <w:t xml:space="preserve">variant </w:t>
      </w:r>
      <w:r w:rsidRPr="00DE6837">
        <w:t>panel test were reported as 98.2–100% and 100%, respectively.</w:t>
      </w:r>
    </w:p>
    <w:p w14:paraId="05A2614D" w14:textId="2ED0F483" w:rsidR="00DE6837" w:rsidRPr="00DE6837" w:rsidRDefault="00DE6837" w:rsidP="009B136F">
      <w:pPr>
        <w:pStyle w:val="Heading3"/>
        <w:spacing w:before="240"/>
      </w:pPr>
      <w:r w:rsidRPr="00DE6837">
        <w:t>Diagnostic yield</w:t>
      </w:r>
    </w:p>
    <w:p w14:paraId="417B75CE" w14:textId="76B5C9DD" w:rsidR="00DE6837" w:rsidRDefault="00DE6837" w:rsidP="00B05487">
      <w:r w:rsidRPr="00DE6837">
        <w:t>No studies on the diagnostic yield in children with liver disease were identified. No studies on diagnostic yield cascade testing or testing of first-degree relativ</w:t>
      </w:r>
      <w:r w:rsidR="00EA52A4">
        <w:t>es of probands were identified.</w:t>
      </w:r>
    </w:p>
    <w:p w14:paraId="38632778" w14:textId="46646CC6" w:rsidR="00DE6837" w:rsidRDefault="00DE6837" w:rsidP="009B136F">
      <w:pPr>
        <w:spacing w:before="240"/>
      </w:pPr>
      <w:r w:rsidRPr="00DE6837">
        <w:t xml:space="preserve">The populations and serum AAT thresholds varied among the included </w:t>
      </w:r>
      <w:r w:rsidR="00EA52A4">
        <w:t>nine</w:t>
      </w:r>
      <w:r w:rsidRPr="00DE6837">
        <w:t xml:space="preserve"> diagnostic yield studies</w:t>
      </w:r>
      <w:r w:rsidR="00EA52A4" w:rsidRPr="00DE6837">
        <w:t xml:space="preserve"> (</w:t>
      </w:r>
      <w:r w:rsidR="00095E12">
        <w:fldChar w:fldCharType="begin"/>
      </w:r>
      <w:r w:rsidR="00095E12">
        <w:instrText xml:space="preserve"> REF _Ref74207653 </w:instrText>
      </w:r>
      <w:r w:rsidR="00095E12">
        <w:fldChar w:fldCharType="separate"/>
      </w:r>
      <w:r w:rsidR="00095E12">
        <w:t xml:space="preserve">Table </w:t>
      </w:r>
      <w:r w:rsidR="00095E12">
        <w:rPr>
          <w:noProof/>
        </w:rPr>
        <w:t>4</w:t>
      </w:r>
      <w:r w:rsidR="00095E12">
        <w:rPr>
          <w:noProof/>
        </w:rPr>
        <w:fldChar w:fldCharType="end"/>
      </w:r>
      <w:r w:rsidR="00EA52A4" w:rsidRPr="00DE6837">
        <w:t>)</w:t>
      </w:r>
      <w:r w:rsidRPr="00DE6837">
        <w:t>. The studies had a low to moderate risk of bias. No study was closely aligned to the PI</w:t>
      </w:r>
      <w:r w:rsidR="00EA52A4">
        <w:t xml:space="preserve">CO population. Due to the scant </w:t>
      </w:r>
      <w:r w:rsidRPr="00DE6837">
        <w:t>evidence available, the inclusion criteria were broadened in the interests of providing data indicative of a lower bound for the diagnostic yield of IEF, the 2- and 14-variant panel</w:t>
      </w:r>
      <w:r w:rsidR="00EA52A4">
        <w:t>s</w:t>
      </w:r>
      <w:r w:rsidRPr="00DE6837">
        <w:t xml:space="preserve">, and sequencing. Thus, the studies presented were performed in broader populations than that proposed in the PICO. It is expected that the population in the proposed PICO would be more enriched, yielding </w:t>
      </w:r>
      <w:r w:rsidR="00285056">
        <w:t>a greater proportion of patients with a</w:t>
      </w:r>
      <w:r w:rsidRPr="00DE6837">
        <w:t xml:space="preserve"> pathogenic variant than reported in the included studies. Therefore, results may </w:t>
      </w:r>
      <w:r w:rsidRPr="00DE6837">
        <w:lastRenderedPageBreak/>
        <w:t>be an underestimat</w:t>
      </w:r>
      <w:r w:rsidR="00507F95">
        <w:t>e</w:t>
      </w:r>
      <w:r w:rsidRPr="00DE6837">
        <w:t xml:space="preserve"> of the diagnostic yield from the PICO population. </w:t>
      </w:r>
      <w:r w:rsidR="00EA52A4">
        <w:t>ESC noted that the</w:t>
      </w:r>
      <w:r w:rsidRPr="00DE6837">
        <w:t xml:space="preserve"> 2- </w:t>
      </w:r>
      <w:r w:rsidR="00EA52A4">
        <w:t>and</w:t>
      </w:r>
      <w:r w:rsidR="00EA52A4" w:rsidRPr="00DE6837">
        <w:t xml:space="preserve"> </w:t>
      </w:r>
      <w:r w:rsidRPr="00DE6837">
        <w:t>14-variant panel</w:t>
      </w:r>
      <w:r w:rsidR="00EA52A4">
        <w:t>s are not able to conclusively identify wildtype M alleles, therefore patients testing negative to a panel test</w:t>
      </w:r>
      <w:r w:rsidRPr="00DE6837">
        <w:t xml:space="preserve"> could </w:t>
      </w:r>
      <w:r w:rsidR="00EA52A4">
        <w:t>be</w:t>
      </w:r>
      <w:r w:rsidR="00EA52A4" w:rsidRPr="00DE6837">
        <w:t xml:space="preserve"> </w:t>
      </w:r>
      <w:r w:rsidRPr="00DE6837">
        <w:t xml:space="preserve">either M or undetected </w:t>
      </w:r>
      <w:r w:rsidR="00EA52A4">
        <w:t>non-panel</w:t>
      </w:r>
      <w:r w:rsidR="00EA52A4" w:rsidRPr="00DE6837">
        <w:t xml:space="preserve"> </w:t>
      </w:r>
      <w:r w:rsidRPr="00DE6837">
        <w:t xml:space="preserve">variant alleles. </w:t>
      </w:r>
      <w:r w:rsidR="00A95D1E">
        <w:t>The DCAR stated that f</w:t>
      </w:r>
      <w:r w:rsidRPr="00DE6837">
        <w:t xml:space="preserve">or clarity, these have been </w:t>
      </w:r>
      <w:r w:rsidR="00EA52A4">
        <w:t>described</w:t>
      </w:r>
      <w:r w:rsidR="00EA52A4" w:rsidRPr="00DE6837">
        <w:t xml:space="preserve"> </w:t>
      </w:r>
      <w:r w:rsidRPr="00DE6837">
        <w:t>as non-S, non-Z or non-14-variant.</w:t>
      </w:r>
    </w:p>
    <w:p w14:paraId="4EEDF2F2" w14:textId="4AB71FBB" w:rsidR="00DE6837" w:rsidRDefault="00DE6837" w:rsidP="009B136F">
      <w:pPr>
        <w:spacing w:before="240"/>
      </w:pPr>
      <w:r w:rsidRPr="00DE6837">
        <w:t>No stud</w:t>
      </w:r>
      <w:r w:rsidR="00EA52A4">
        <w:t>ies</w:t>
      </w:r>
      <w:r w:rsidRPr="00DE6837">
        <w:t xml:space="preserve"> performed in the Australian context w</w:t>
      </w:r>
      <w:r w:rsidR="00EA52A4">
        <w:t>ere</w:t>
      </w:r>
      <w:r w:rsidRPr="00DE6837">
        <w:t xml:space="preserve"> identified. Due to the generally lower prevalences of PI*S and PI*Z alleles in the countries of the included studies (compared with Australia), it is possible that the diagnostic yields presented in this report may underestimate the yields of these alleles in the Australian population. This does not account for the prevalence of </w:t>
      </w:r>
      <w:r w:rsidR="00EA52A4">
        <w:t>non-S/Z</w:t>
      </w:r>
      <w:r w:rsidR="00EA52A4" w:rsidRPr="00DE6837">
        <w:t xml:space="preserve"> </w:t>
      </w:r>
      <w:r w:rsidRPr="00DE6837">
        <w:t xml:space="preserve">variants, which is unknown for the Australian population. In addition, most of the diagnostic yield estimates were derived from studies with populations that were less enriched than that proposed in the </w:t>
      </w:r>
      <w:r w:rsidR="00285056">
        <w:t>item</w:t>
      </w:r>
      <w:r w:rsidRPr="00DE6837">
        <w:t xml:space="preserve"> descriptor. Generally, these were</w:t>
      </w:r>
      <w:r w:rsidRPr="00DE6837">
        <w:rPr>
          <w:lang w:val="en-US"/>
        </w:rPr>
        <w:t xml:space="preserve"> samples from patients with low AATD but no other clinical symptom</w:t>
      </w:r>
      <w:r w:rsidRPr="00DE6837">
        <w:t>s or adult patients with COPD (not restricted to &lt;40 years).</w:t>
      </w:r>
    </w:p>
    <w:p w14:paraId="047D2BF6" w14:textId="3FCEE3BE" w:rsidR="009B136F" w:rsidRPr="009B136F" w:rsidRDefault="00DE6837" w:rsidP="009B136F">
      <w:pPr>
        <w:spacing w:before="240"/>
      </w:pPr>
      <w:r w:rsidRPr="00DE6837">
        <w:t xml:space="preserve">One study reported on the diagnostic yield of IEF, </w:t>
      </w:r>
      <w:r w:rsidR="0029463E">
        <w:t>five</w:t>
      </w:r>
      <w:r w:rsidRPr="00DE6837">
        <w:t xml:space="preserve"> studies reported on the 2-variant panel, </w:t>
      </w:r>
      <w:r w:rsidR="0029463E">
        <w:t>two</w:t>
      </w:r>
      <w:r w:rsidRPr="00DE6837">
        <w:t xml:space="preserve"> on the 14-variant panel and </w:t>
      </w:r>
      <w:r w:rsidR="0029463E">
        <w:t>four</w:t>
      </w:r>
      <w:r w:rsidRPr="00DE6837">
        <w:t xml:space="preserve"> on sequencing</w:t>
      </w:r>
      <w:r w:rsidR="0029463E">
        <w:t xml:space="preserve"> (</w:t>
      </w:r>
      <w:r w:rsidR="00EF726D">
        <w:t>Table 5</w:t>
      </w:r>
      <w:r w:rsidR="0029463E">
        <w:t>)</w:t>
      </w:r>
      <w:r w:rsidRPr="00DE6837">
        <w:t xml:space="preserve">. For all tests (excluding IEF), there was significant variation among the studies in terms of the clinical characteristics of the populations and serum AAT thresholds used to define AATD, which did not allow for any meaningful aggregation of results. Of the </w:t>
      </w:r>
      <w:r w:rsidR="00EF66C4">
        <w:t>nine</w:t>
      </w:r>
      <w:r w:rsidRPr="00DE6837">
        <w:t xml:space="preserve"> included studies, </w:t>
      </w:r>
      <w:r w:rsidR="00EF66C4">
        <w:t>five</w:t>
      </w:r>
      <w:r w:rsidRPr="00DE6837">
        <w:t xml:space="preserve"> were selected as being the most informative with respect to the </w:t>
      </w:r>
      <w:r w:rsidR="00285056">
        <w:t xml:space="preserve">proposed </w:t>
      </w:r>
      <w:r w:rsidRPr="00DE6837">
        <w:t xml:space="preserve">population and algorithm, in particular the </w:t>
      </w:r>
      <w:r w:rsidRPr="00EF66C4">
        <w:t>studies by Snyder et al. 2006</w:t>
      </w:r>
      <w:r w:rsidR="00EF66C4" w:rsidRPr="00EF66C4">
        <w:rPr>
          <w:rStyle w:val="FootnoteReference"/>
        </w:rPr>
        <w:footnoteReference w:id="14"/>
      </w:r>
      <w:r w:rsidRPr="00EF66C4">
        <w:t xml:space="preserve"> (reporting on IEF) and Ottaviani et al. 2020</w:t>
      </w:r>
      <w:r w:rsidR="0089330A" w:rsidRPr="00EF66C4">
        <w:rPr>
          <w:rStyle w:val="FootnoteReference"/>
        </w:rPr>
        <w:footnoteReference w:id="15"/>
      </w:r>
      <w:r w:rsidRPr="00EF66C4">
        <w:t xml:space="preserve"> (reporting</w:t>
      </w:r>
      <w:r w:rsidRPr="00DE6837">
        <w:t xml:space="preserve"> on the 14-variant panel and sequencing</w:t>
      </w:r>
      <w:r w:rsidR="00290604">
        <w:t>, with results inferred for 2-variant panel</w:t>
      </w:r>
      <w:r w:rsidRPr="00DE6837">
        <w:t xml:space="preserve">) </w:t>
      </w:r>
      <w:r w:rsidR="0029463E">
        <w:t>(</w:t>
      </w:r>
      <w:r w:rsidR="00095E12">
        <w:fldChar w:fldCharType="begin"/>
      </w:r>
      <w:r w:rsidR="00095E12">
        <w:instrText xml:space="preserve"> REF _Ref72409231 </w:instrText>
      </w:r>
      <w:r w:rsidR="00095E12">
        <w:fldChar w:fldCharType="separate"/>
      </w:r>
      <w:r w:rsidR="00095E12">
        <w:t xml:space="preserve">Figure </w:t>
      </w:r>
      <w:r w:rsidR="00095E12">
        <w:rPr>
          <w:noProof/>
        </w:rPr>
        <w:t>3</w:t>
      </w:r>
      <w:r w:rsidR="00095E12">
        <w:rPr>
          <w:noProof/>
        </w:rPr>
        <w:fldChar w:fldCharType="end"/>
      </w:r>
      <w:r w:rsidR="0029463E">
        <w:t>)</w:t>
      </w:r>
      <w:r w:rsidRPr="00DE6837">
        <w:t>.</w:t>
      </w:r>
      <w:bookmarkStart w:id="14" w:name="_Ref74147738"/>
      <w:bookmarkStart w:id="15" w:name="_Toc72826837"/>
      <w:r w:rsidR="009B136F">
        <w:br w:type="page"/>
      </w:r>
    </w:p>
    <w:p w14:paraId="45A314ED" w14:textId="01A0B508" w:rsidR="0029463E" w:rsidRPr="00F303AE" w:rsidRDefault="0029463E" w:rsidP="009B136F">
      <w:pPr>
        <w:pStyle w:val="Caption"/>
        <w:spacing w:before="240"/>
      </w:pPr>
      <w:r>
        <w:lastRenderedPageBreak/>
        <w:t xml:space="preserve">Table </w:t>
      </w:r>
      <w:r w:rsidR="00095E12">
        <w:fldChar w:fldCharType="begin"/>
      </w:r>
      <w:r w:rsidR="00095E12">
        <w:instrText xml:space="preserve"> SEQ Table \* ARABIC </w:instrText>
      </w:r>
      <w:r w:rsidR="00095E12">
        <w:fldChar w:fldCharType="separate"/>
      </w:r>
      <w:r w:rsidR="00095E12">
        <w:rPr>
          <w:noProof/>
        </w:rPr>
        <w:t>5</w:t>
      </w:r>
      <w:r w:rsidR="00095E12">
        <w:rPr>
          <w:noProof/>
        </w:rPr>
        <w:fldChar w:fldCharType="end"/>
      </w:r>
      <w:bookmarkEnd w:id="14"/>
      <w:r>
        <w:tab/>
        <w:t xml:space="preserve">Summary results of diagnostic yield of IEF, 2- and 14-variant </w:t>
      </w:r>
      <w:r w:rsidR="00DE464A">
        <w:t xml:space="preserve">panel testing </w:t>
      </w:r>
      <w:r>
        <w:t>and sequencing among 9 included studies</w:t>
      </w:r>
      <w:bookmarkEnd w:id="15"/>
    </w:p>
    <w:tbl>
      <w:tblPr>
        <w:tblStyle w:val="TableGrid"/>
        <w:tblW w:w="4927" w:type="pct"/>
        <w:tblLook w:val="04A0" w:firstRow="1" w:lastRow="0" w:firstColumn="1" w:lastColumn="0" w:noHBand="0" w:noVBand="1"/>
        <w:tblCaption w:val="Table 17 Summary results of diagnostic yield of IEF, 2- and 14-variant genotyping and sequencing among 9 included studies"/>
        <w:tblDescription w:val="Table 17 Summary results of diagnostic yield of IEF, 2- and 14-variant genotyping and sequencing among 9 included studies"/>
      </w:tblPr>
      <w:tblGrid>
        <w:gridCol w:w="1094"/>
        <w:gridCol w:w="1418"/>
        <w:gridCol w:w="1734"/>
        <w:gridCol w:w="3547"/>
        <w:gridCol w:w="1275"/>
      </w:tblGrid>
      <w:tr w:rsidR="00606566" w:rsidRPr="00FC7CC2" w14:paraId="35E5484D" w14:textId="77777777" w:rsidTr="001E219D">
        <w:trPr>
          <w:trHeight w:val="240"/>
          <w:tblHeader/>
        </w:trPr>
        <w:tc>
          <w:tcPr>
            <w:tcW w:w="603" w:type="pct"/>
            <w:shd w:val="clear" w:color="auto" w:fill="D9D9D9" w:themeFill="background1" w:themeFillShade="D9"/>
          </w:tcPr>
          <w:p w14:paraId="1C66B379" w14:textId="77F41716" w:rsidR="00606566" w:rsidRPr="00FC7CC2" w:rsidRDefault="00606566" w:rsidP="00B05487">
            <w:pPr>
              <w:pStyle w:val="TableText0"/>
              <w:widowControl w:val="0"/>
              <w:ind w:right="-23"/>
              <w:rPr>
                <w:b/>
                <w:szCs w:val="20"/>
              </w:rPr>
            </w:pPr>
            <w:r w:rsidRPr="00FC7CC2">
              <w:rPr>
                <w:b/>
                <w:szCs w:val="20"/>
              </w:rPr>
              <w:t xml:space="preserve">Test </w:t>
            </w:r>
            <w:r w:rsidR="00690FF6">
              <w:rPr>
                <w:b/>
                <w:szCs w:val="20"/>
              </w:rPr>
              <w:t>method</w:t>
            </w:r>
          </w:p>
        </w:tc>
        <w:tc>
          <w:tcPr>
            <w:tcW w:w="782" w:type="pct"/>
            <w:shd w:val="clear" w:color="auto" w:fill="D9D9D9" w:themeFill="background1" w:themeFillShade="D9"/>
          </w:tcPr>
          <w:p w14:paraId="7F7901A3" w14:textId="0BF6A0E7" w:rsidR="00606566" w:rsidRPr="00FC7CC2" w:rsidRDefault="00606566" w:rsidP="00B05487">
            <w:pPr>
              <w:pStyle w:val="TableText0"/>
              <w:widowControl w:val="0"/>
              <w:ind w:right="-23"/>
              <w:rPr>
                <w:b/>
                <w:szCs w:val="20"/>
              </w:rPr>
            </w:pPr>
            <w:r w:rsidRPr="00FC7CC2">
              <w:rPr>
                <w:b/>
                <w:szCs w:val="20"/>
              </w:rPr>
              <w:t>Serum AAT threshold</w:t>
            </w:r>
          </w:p>
        </w:tc>
        <w:tc>
          <w:tcPr>
            <w:tcW w:w="956" w:type="pct"/>
            <w:shd w:val="clear" w:color="auto" w:fill="D9D9D9" w:themeFill="background1" w:themeFillShade="D9"/>
          </w:tcPr>
          <w:p w14:paraId="2AFFE799" w14:textId="03D0E1F4" w:rsidR="00606566" w:rsidRPr="00FC7CC2" w:rsidRDefault="00606566" w:rsidP="00B05487">
            <w:pPr>
              <w:pStyle w:val="TableText0"/>
              <w:widowControl w:val="0"/>
              <w:ind w:right="-23"/>
              <w:rPr>
                <w:b/>
                <w:szCs w:val="20"/>
              </w:rPr>
            </w:pPr>
            <w:r w:rsidRPr="00FC7CC2">
              <w:rPr>
                <w:b/>
                <w:szCs w:val="20"/>
              </w:rPr>
              <w:t>Author, year (n)</w:t>
            </w:r>
          </w:p>
        </w:tc>
        <w:tc>
          <w:tcPr>
            <w:tcW w:w="1956" w:type="pct"/>
            <w:shd w:val="clear" w:color="auto" w:fill="D9D9D9" w:themeFill="background1" w:themeFillShade="D9"/>
          </w:tcPr>
          <w:p w14:paraId="3664ACBA" w14:textId="77777777" w:rsidR="00606566" w:rsidRPr="00FC7CC2" w:rsidRDefault="00606566" w:rsidP="00B05487">
            <w:pPr>
              <w:pStyle w:val="TableText0"/>
              <w:widowControl w:val="0"/>
              <w:ind w:right="-23"/>
              <w:rPr>
                <w:b/>
                <w:szCs w:val="20"/>
              </w:rPr>
            </w:pPr>
            <w:r w:rsidRPr="00FC7CC2">
              <w:rPr>
                <w:b/>
                <w:szCs w:val="20"/>
              </w:rPr>
              <w:t>Population (country)</w:t>
            </w:r>
          </w:p>
        </w:tc>
        <w:tc>
          <w:tcPr>
            <w:tcW w:w="704" w:type="pct"/>
            <w:shd w:val="clear" w:color="auto" w:fill="D9D9D9" w:themeFill="background1" w:themeFillShade="D9"/>
          </w:tcPr>
          <w:p w14:paraId="604AEFFB" w14:textId="493B9DB9" w:rsidR="00606566" w:rsidRPr="00FC7CC2" w:rsidRDefault="00606566" w:rsidP="00B05487">
            <w:pPr>
              <w:pStyle w:val="TableText0"/>
              <w:widowControl w:val="0"/>
              <w:ind w:right="-23"/>
              <w:rPr>
                <w:b/>
                <w:szCs w:val="20"/>
              </w:rPr>
            </w:pPr>
            <w:r w:rsidRPr="00FC7CC2">
              <w:rPr>
                <w:b/>
                <w:szCs w:val="20"/>
              </w:rPr>
              <w:t>Diagnostic yield</w:t>
            </w:r>
          </w:p>
        </w:tc>
      </w:tr>
      <w:tr w:rsidR="00606566" w:rsidRPr="00FC7CC2" w14:paraId="422E90D1" w14:textId="77777777" w:rsidTr="001E219D">
        <w:trPr>
          <w:trHeight w:val="352"/>
        </w:trPr>
        <w:tc>
          <w:tcPr>
            <w:tcW w:w="603" w:type="pct"/>
          </w:tcPr>
          <w:p w14:paraId="38137CD4" w14:textId="77777777" w:rsidR="00606566" w:rsidRPr="00FC7CC2" w:rsidRDefault="00606566" w:rsidP="00B05487">
            <w:pPr>
              <w:pStyle w:val="TableText0"/>
              <w:widowControl w:val="0"/>
              <w:ind w:right="-23"/>
              <w:rPr>
                <w:szCs w:val="20"/>
              </w:rPr>
            </w:pPr>
            <w:r w:rsidRPr="00FC7CC2">
              <w:rPr>
                <w:szCs w:val="20"/>
              </w:rPr>
              <w:t>IEF</w:t>
            </w:r>
          </w:p>
        </w:tc>
        <w:tc>
          <w:tcPr>
            <w:tcW w:w="782" w:type="pct"/>
          </w:tcPr>
          <w:p w14:paraId="30F878BD" w14:textId="0F87730C" w:rsidR="00606566" w:rsidRPr="00FC7CC2" w:rsidRDefault="00606566" w:rsidP="00B05487">
            <w:pPr>
              <w:pStyle w:val="TableText0"/>
              <w:widowControl w:val="0"/>
              <w:ind w:right="-23"/>
              <w:rPr>
                <w:szCs w:val="20"/>
              </w:rPr>
            </w:pPr>
            <w:r w:rsidRPr="00FC7CC2">
              <w:rPr>
                <w:szCs w:val="20"/>
              </w:rPr>
              <w:t>&lt;18.4 µmol/L</w:t>
            </w:r>
          </w:p>
        </w:tc>
        <w:tc>
          <w:tcPr>
            <w:tcW w:w="956" w:type="pct"/>
          </w:tcPr>
          <w:p w14:paraId="5EA89619" w14:textId="6040CCAA" w:rsidR="00606566" w:rsidRPr="00FC7CC2" w:rsidRDefault="00606566" w:rsidP="00B05487">
            <w:pPr>
              <w:pStyle w:val="TableText0"/>
              <w:widowControl w:val="0"/>
              <w:ind w:right="-23"/>
              <w:rPr>
                <w:szCs w:val="20"/>
              </w:rPr>
            </w:pPr>
            <w:r w:rsidRPr="00FC7CC2">
              <w:rPr>
                <w:szCs w:val="20"/>
              </w:rPr>
              <w:t xml:space="preserve">Snyder 2006 </w:t>
            </w:r>
            <w:r w:rsidRPr="00FC7CC2">
              <w:rPr>
                <w:szCs w:val="20"/>
              </w:rPr>
              <w:br/>
              <w:t>(n = 512)</w:t>
            </w:r>
          </w:p>
        </w:tc>
        <w:tc>
          <w:tcPr>
            <w:tcW w:w="1956" w:type="pct"/>
          </w:tcPr>
          <w:p w14:paraId="0493290F" w14:textId="77777777" w:rsidR="00606566" w:rsidRPr="00FC7CC2" w:rsidRDefault="00606566" w:rsidP="00B05487">
            <w:pPr>
              <w:pStyle w:val="TableText0"/>
              <w:widowControl w:val="0"/>
              <w:ind w:right="-23"/>
              <w:rPr>
                <w:szCs w:val="20"/>
              </w:rPr>
            </w:pPr>
            <w:r w:rsidRPr="00FC7CC2">
              <w:rPr>
                <w:szCs w:val="20"/>
                <w:lang w:eastAsia="en-CA"/>
              </w:rPr>
              <w:t>Patients referred for AAT phenotypic analysis. Samples of whole blood and serum (USA)</w:t>
            </w:r>
          </w:p>
        </w:tc>
        <w:tc>
          <w:tcPr>
            <w:tcW w:w="704" w:type="pct"/>
          </w:tcPr>
          <w:p w14:paraId="79E1E1B5" w14:textId="77777777" w:rsidR="00606566" w:rsidRPr="00FC7CC2" w:rsidRDefault="00606566" w:rsidP="00B05487">
            <w:pPr>
              <w:pStyle w:val="TableText0"/>
              <w:widowControl w:val="0"/>
              <w:ind w:right="-23"/>
              <w:rPr>
                <w:szCs w:val="20"/>
              </w:rPr>
            </w:pPr>
            <w:r w:rsidRPr="00FC7CC2">
              <w:rPr>
                <w:szCs w:val="20"/>
              </w:rPr>
              <w:t>Non-MM:</w:t>
            </w:r>
          </w:p>
          <w:p w14:paraId="699CDF47" w14:textId="77777777" w:rsidR="00606566" w:rsidRPr="00690FF6" w:rsidRDefault="00606566" w:rsidP="00B05487">
            <w:pPr>
              <w:pStyle w:val="TableText0"/>
              <w:widowControl w:val="0"/>
              <w:ind w:right="-23"/>
              <w:rPr>
                <w:b/>
                <w:szCs w:val="20"/>
              </w:rPr>
            </w:pPr>
            <w:r w:rsidRPr="00690FF6">
              <w:rPr>
                <w:b/>
                <w:szCs w:val="20"/>
              </w:rPr>
              <w:t>14.6%</w:t>
            </w:r>
          </w:p>
        </w:tc>
      </w:tr>
      <w:tr w:rsidR="00606566" w:rsidRPr="00FC7CC2" w14:paraId="0E80C716" w14:textId="77777777" w:rsidTr="001E219D">
        <w:trPr>
          <w:trHeight w:val="568"/>
        </w:trPr>
        <w:tc>
          <w:tcPr>
            <w:tcW w:w="603" w:type="pct"/>
            <w:vMerge w:val="restart"/>
          </w:tcPr>
          <w:p w14:paraId="0F767C98" w14:textId="77777777" w:rsidR="00606566" w:rsidRPr="00FC7CC2" w:rsidRDefault="00606566" w:rsidP="00B05487">
            <w:pPr>
              <w:pStyle w:val="TableText0"/>
              <w:widowControl w:val="0"/>
              <w:ind w:right="-23"/>
              <w:rPr>
                <w:szCs w:val="20"/>
              </w:rPr>
            </w:pPr>
            <w:r w:rsidRPr="00FC7CC2">
              <w:rPr>
                <w:szCs w:val="20"/>
              </w:rPr>
              <w:t>2-variant panel</w:t>
            </w:r>
          </w:p>
        </w:tc>
        <w:tc>
          <w:tcPr>
            <w:tcW w:w="782" w:type="pct"/>
          </w:tcPr>
          <w:p w14:paraId="00FD97AB" w14:textId="5A553E84" w:rsidR="00606566" w:rsidRPr="00FC7CC2" w:rsidDel="00E23599" w:rsidRDefault="00606566" w:rsidP="00B05487">
            <w:pPr>
              <w:pStyle w:val="TableText0"/>
              <w:widowControl w:val="0"/>
              <w:ind w:right="-23"/>
              <w:rPr>
                <w:szCs w:val="20"/>
              </w:rPr>
            </w:pPr>
            <w:r w:rsidRPr="00FC7CC2">
              <w:rPr>
                <w:szCs w:val="20"/>
              </w:rPr>
              <w:t>&lt;14.7 µmol/L</w:t>
            </w:r>
          </w:p>
        </w:tc>
        <w:tc>
          <w:tcPr>
            <w:tcW w:w="956" w:type="pct"/>
          </w:tcPr>
          <w:p w14:paraId="6F4476C5" w14:textId="77777777" w:rsidR="00606566" w:rsidRPr="00FC7CC2" w:rsidRDefault="00606566" w:rsidP="00B05487">
            <w:pPr>
              <w:pStyle w:val="TableText0"/>
              <w:widowControl w:val="0"/>
              <w:ind w:right="-23"/>
              <w:rPr>
                <w:szCs w:val="20"/>
              </w:rPr>
            </w:pPr>
            <w:r w:rsidRPr="00FC7CC2">
              <w:rPr>
                <w:szCs w:val="20"/>
              </w:rPr>
              <w:t xml:space="preserve">Menga 2020 </w:t>
            </w:r>
            <w:r w:rsidRPr="00FC7CC2">
              <w:rPr>
                <w:b/>
                <w:color w:val="000000" w:themeColor="text1"/>
                <w:szCs w:val="20"/>
                <w:vertAlign w:val="superscript"/>
              </w:rPr>
              <w:t>A</w:t>
            </w:r>
            <w:r w:rsidRPr="00FC7CC2">
              <w:rPr>
                <w:szCs w:val="20"/>
              </w:rPr>
              <w:br/>
              <w:t>(n = 519)</w:t>
            </w:r>
          </w:p>
        </w:tc>
        <w:tc>
          <w:tcPr>
            <w:tcW w:w="1956" w:type="pct"/>
          </w:tcPr>
          <w:p w14:paraId="2E891E83" w14:textId="77777777" w:rsidR="00606566" w:rsidRPr="00FC7CC2" w:rsidRDefault="00606566" w:rsidP="00B05487">
            <w:pPr>
              <w:pStyle w:val="TableText0"/>
              <w:widowControl w:val="0"/>
              <w:ind w:right="-23"/>
              <w:rPr>
                <w:szCs w:val="20"/>
              </w:rPr>
            </w:pPr>
            <w:r w:rsidRPr="00FC7CC2">
              <w:rPr>
                <w:color w:val="000000" w:themeColor="text1"/>
                <w:szCs w:val="20"/>
              </w:rPr>
              <w:t>Patients &gt;30 years of age with a COPD diagnosis (Argentina)</w:t>
            </w:r>
          </w:p>
        </w:tc>
        <w:tc>
          <w:tcPr>
            <w:tcW w:w="704" w:type="pct"/>
          </w:tcPr>
          <w:p w14:paraId="769D8823" w14:textId="77777777" w:rsidR="00606566" w:rsidRPr="00FC7CC2" w:rsidRDefault="00606566" w:rsidP="00B05487">
            <w:pPr>
              <w:pStyle w:val="TableText0"/>
              <w:widowControl w:val="0"/>
              <w:ind w:right="-23"/>
              <w:rPr>
                <w:szCs w:val="20"/>
              </w:rPr>
            </w:pPr>
            <w:r w:rsidRPr="00FC7CC2">
              <w:rPr>
                <w:szCs w:val="20"/>
              </w:rPr>
              <w:t>≥1 S or Z:</w:t>
            </w:r>
          </w:p>
          <w:p w14:paraId="147CB036" w14:textId="77777777" w:rsidR="00606566" w:rsidRPr="00690FF6" w:rsidRDefault="00606566" w:rsidP="00B05487">
            <w:pPr>
              <w:pStyle w:val="TableText0"/>
              <w:widowControl w:val="0"/>
              <w:ind w:right="-23"/>
              <w:rPr>
                <w:b/>
                <w:szCs w:val="20"/>
              </w:rPr>
            </w:pPr>
            <w:r w:rsidRPr="00690FF6">
              <w:rPr>
                <w:b/>
                <w:szCs w:val="20"/>
              </w:rPr>
              <w:t>25.8%</w:t>
            </w:r>
          </w:p>
        </w:tc>
      </w:tr>
      <w:tr w:rsidR="00606566" w:rsidRPr="00FC7CC2" w14:paraId="4E51A289" w14:textId="77777777" w:rsidTr="001E219D">
        <w:trPr>
          <w:trHeight w:val="493"/>
        </w:trPr>
        <w:tc>
          <w:tcPr>
            <w:tcW w:w="603" w:type="pct"/>
            <w:vMerge/>
          </w:tcPr>
          <w:p w14:paraId="4418825C" w14:textId="77777777" w:rsidR="00606566" w:rsidRPr="00FC7CC2" w:rsidRDefault="00606566" w:rsidP="00B05487">
            <w:pPr>
              <w:pStyle w:val="TableText0"/>
              <w:widowControl w:val="0"/>
              <w:ind w:right="-23"/>
              <w:rPr>
                <w:szCs w:val="20"/>
              </w:rPr>
            </w:pPr>
          </w:p>
        </w:tc>
        <w:tc>
          <w:tcPr>
            <w:tcW w:w="782" w:type="pct"/>
            <w:vMerge w:val="restart"/>
          </w:tcPr>
          <w:p w14:paraId="50549CA0" w14:textId="3E19FEB4" w:rsidR="00606566" w:rsidRPr="00FC7CC2" w:rsidRDefault="00606566" w:rsidP="00B05487">
            <w:pPr>
              <w:pStyle w:val="TableText0"/>
              <w:widowControl w:val="0"/>
              <w:ind w:right="-23"/>
              <w:rPr>
                <w:szCs w:val="20"/>
              </w:rPr>
            </w:pPr>
            <w:r w:rsidRPr="00FC7CC2">
              <w:rPr>
                <w:szCs w:val="20"/>
              </w:rPr>
              <w:t>&lt;18.4 µmol/L</w:t>
            </w:r>
          </w:p>
        </w:tc>
        <w:tc>
          <w:tcPr>
            <w:tcW w:w="956" w:type="pct"/>
          </w:tcPr>
          <w:p w14:paraId="7B4DD0F8" w14:textId="1BB02A54" w:rsidR="00606566" w:rsidRPr="00FC7CC2" w:rsidRDefault="00606566" w:rsidP="00B05487">
            <w:pPr>
              <w:pStyle w:val="TableText0"/>
              <w:widowControl w:val="0"/>
              <w:ind w:right="-23"/>
              <w:rPr>
                <w:szCs w:val="20"/>
              </w:rPr>
            </w:pPr>
            <w:r w:rsidRPr="00FC7CC2">
              <w:rPr>
                <w:szCs w:val="20"/>
              </w:rPr>
              <w:t xml:space="preserve">Snyder 2006 </w:t>
            </w:r>
            <w:r w:rsidRPr="00FC7CC2">
              <w:rPr>
                <w:szCs w:val="20"/>
              </w:rPr>
              <w:br/>
              <w:t>(n = 512)</w:t>
            </w:r>
          </w:p>
        </w:tc>
        <w:tc>
          <w:tcPr>
            <w:tcW w:w="1956" w:type="pct"/>
          </w:tcPr>
          <w:p w14:paraId="7356BA38" w14:textId="52E34545" w:rsidR="00606566" w:rsidRPr="00FC7CC2" w:rsidRDefault="00606566" w:rsidP="00B05487">
            <w:pPr>
              <w:pStyle w:val="TableText0"/>
              <w:widowControl w:val="0"/>
              <w:ind w:right="-23"/>
              <w:rPr>
                <w:szCs w:val="20"/>
                <w:lang w:eastAsia="en-CA"/>
              </w:rPr>
            </w:pPr>
            <w:r w:rsidRPr="00FC7CC2">
              <w:rPr>
                <w:szCs w:val="20"/>
                <w:lang w:eastAsia="en-CA"/>
              </w:rPr>
              <w:t>Patients referred for AAT phenotypic analysis. Samples of whole blood and serum (USA)</w:t>
            </w:r>
          </w:p>
        </w:tc>
        <w:tc>
          <w:tcPr>
            <w:tcW w:w="704" w:type="pct"/>
          </w:tcPr>
          <w:p w14:paraId="3153AEA7" w14:textId="77777777" w:rsidR="00606566" w:rsidRPr="00FC7CC2" w:rsidRDefault="00606566" w:rsidP="00B05487">
            <w:pPr>
              <w:pStyle w:val="TableText0"/>
              <w:widowControl w:val="0"/>
              <w:ind w:right="-23"/>
              <w:rPr>
                <w:szCs w:val="20"/>
              </w:rPr>
            </w:pPr>
            <w:r w:rsidRPr="00FC7CC2">
              <w:rPr>
                <w:szCs w:val="20"/>
              </w:rPr>
              <w:t>≥1 S or Z:</w:t>
            </w:r>
          </w:p>
          <w:p w14:paraId="78EA4478" w14:textId="6F0747A7" w:rsidR="00606566" w:rsidRPr="00690FF6" w:rsidRDefault="00606566" w:rsidP="00B05487">
            <w:pPr>
              <w:pStyle w:val="TableText0"/>
              <w:widowControl w:val="0"/>
              <w:ind w:right="-23"/>
              <w:rPr>
                <w:b/>
                <w:szCs w:val="20"/>
              </w:rPr>
            </w:pPr>
            <w:r w:rsidRPr="00690FF6">
              <w:rPr>
                <w:b/>
                <w:szCs w:val="20"/>
              </w:rPr>
              <w:t>13.7%</w:t>
            </w:r>
          </w:p>
        </w:tc>
      </w:tr>
      <w:tr w:rsidR="00606566" w:rsidRPr="00FC7CC2" w14:paraId="27CF8A00" w14:textId="77777777" w:rsidTr="001E219D">
        <w:trPr>
          <w:trHeight w:val="473"/>
        </w:trPr>
        <w:tc>
          <w:tcPr>
            <w:tcW w:w="603" w:type="pct"/>
            <w:vMerge/>
          </w:tcPr>
          <w:p w14:paraId="7D6244B2" w14:textId="77777777" w:rsidR="00606566" w:rsidRPr="00FC7CC2" w:rsidRDefault="00606566" w:rsidP="00B05487">
            <w:pPr>
              <w:pStyle w:val="TableText0"/>
              <w:widowControl w:val="0"/>
              <w:ind w:right="-23"/>
              <w:rPr>
                <w:szCs w:val="20"/>
              </w:rPr>
            </w:pPr>
          </w:p>
        </w:tc>
        <w:tc>
          <w:tcPr>
            <w:tcW w:w="782" w:type="pct"/>
            <w:vMerge/>
          </w:tcPr>
          <w:p w14:paraId="5EDC0D24" w14:textId="05A3372B" w:rsidR="00606566" w:rsidRPr="00FC7CC2" w:rsidRDefault="00606566" w:rsidP="00B05487">
            <w:pPr>
              <w:pStyle w:val="TableText0"/>
              <w:widowControl w:val="0"/>
              <w:ind w:right="-23"/>
              <w:rPr>
                <w:szCs w:val="20"/>
              </w:rPr>
            </w:pPr>
          </w:p>
        </w:tc>
        <w:tc>
          <w:tcPr>
            <w:tcW w:w="956" w:type="pct"/>
          </w:tcPr>
          <w:p w14:paraId="446F0525" w14:textId="59098FBC" w:rsidR="00606566" w:rsidRPr="00FC7CC2" w:rsidRDefault="00606566" w:rsidP="00B05487">
            <w:pPr>
              <w:pStyle w:val="TableText0"/>
              <w:widowControl w:val="0"/>
              <w:ind w:right="-23"/>
              <w:rPr>
                <w:szCs w:val="20"/>
              </w:rPr>
            </w:pPr>
            <w:r w:rsidRPr="00FC7CC2">
              <w:rPr>
                <w:szCs w:val="20"/>
              </w:rPr>
              <w:t xml:space="preserve">Sorroche 2015 </w:t>
            </w:r>
            <w:r w:rsidRPr="00FC7CC2">
              <w:rPr>
                <w:b/>
                <w:color w:val="000000" w:themeColor="text1"/>
                <w:szCs w:val="20"/>
                <w:vertAlign w:val="superscript"/>
              </w:rPr>
              <w:t>A</w:t>
            </w:r>
          </w:p>
          <w:p w14:paraId="72253681" w14:textId="77777777" w:rsidR="00606566" w:rsidRPr="00FC7CC2" w:rsidRDefault="00606566" w:rsidP="00B05487">
            <w:pPr>
              <w:pStyle w:val="TableText0"/>
              <w:widowControl w:val="0"/>
              <w:ind w:right="-23"/>
              <w:rPr>
                <w:szCs w:val="20"/>
              </w:rPr>
            </w:pPr>
            <w:r w:rsidRPr="00FC7CC2">
              <w:rPr>
                <w:szCs w:val="20"/>
              </w:rPr>
              <w:t>(n = 217)</w:t>
            </w:r>
          </w:p>
        </w:tc>
        <w:tc>
          <w:tcPr>
            <w:tcW w:w="1956" w:type="pct"/>
          </w:tcPr>
          <w:p w14:paraId="4A8F5B7C" w14:textId="77777777" w:rsidR="00606566" w:rsidRPr="00FC7CC2" w:rsidRDefault="00606566" w:rsidP="00B05487">
            <w:pPr>
              <w:pStyle w:val="TableText0"/>
              <w:widowControl w:val="0"/>
              <w:ind w:right="-23"/>
              <w:rPr>
                <w:szCs w:val="20"/>
              </w:rPr>
            </w:pPr>
            <w:r w:rsidRPr="00FC7CC2">
              <w:rPr>
                <w:szCs w:val="20"/>
                <w:lang w:eastAsia="en-CA"/>
              </w:rPr>
              <w:t>Adult patients diagnosed with COPD</w:t>
            </w:r>
            <w:r w:rsidRPr="00FC7CC2">
              <w:rPr>
                <w:szCs w:val="20"/>
                <w:lang w:val="en-CA" w:eastAsia="en-CA"/>
              </w:rPr>
              <w:t> (Argentina)</w:t>
            </w:r>
          </w:p>
        </w:tc>
        <w:tc>
          <w:tcPr>
            <w:tcW w:w="704" w:type="pct"/>
          </w:tcPr>
          <w:p w14:paraId="52D84896" w14:textId="77777777" w:rsidR="00606566" w:rsidRPr="00FC7CC2" w:rsidRDefault="00606566" w:rsidP="00B05487">
            <w:pPr>
              <w:pStyle w:val="TableText0"/>
              <w:widowControl w:val="0"/>
              <w:ind w:right="-23"/>
              <w:rPr>
                <w:szCs w:val="20"/>
              </w:rPr>
            </w:pPr>
            <w:r w:rsidRPr="00FC7CC2">
              <w:rPr>
                <w:szCs w:val="20"/>
              </w:rPr>
              <w:t>≥1 S or Z:</w:t>
            </w:r>
          </w:p>
          <w:p w14:paraId="4E6585EC" w14:textId="77777777" w:rsidR="00606566" w:rsidRPr="00690FF6" w:rsidRDefault="00606566" w:rsidP="00B05487">
            <w:pPr>
              <w:pStyle w:val="TableText0"/>
              <w:widowControl w:val="0"/>
              <w:ind w:right="-23"/>
              <w:rPr>
                <w:b/>
                <w:szCs w:val="20"/>
              </w:rPr>
            </w:pPr>
            <w:r w:rsidRPr="00690FF6">
              <w:rPr>
                <w:b/>
                <w:szCs w:val="20"/>
              </w:rPr>
              <w:t>33.6%</w:t>
            </w:r>
          </w:p>
        </w:tc>
      </w:tr>
      <w:tr w:rsidR="00606566" w:rsidRPr="00FC7CC2" w14:paraId="5D391183" w14:textId="77777777" w:rsidTr="001E219D">
        <w:trPr>
          <w:trHeight w:val="481"/>
        </w:trPr>
        <w:tc>
          <w:tcPr>
            <w:tcW w:w="603" w:type="pct"/>
            <w:vMerge/>
          </w:tcPr>
          <w:p w14:paraId="0BC29A05" w14:textId="77777777" w:rsidR="00606566" w:rsidRPr="00FC7CC2" w:rsidRDefault="00606566" w:rsidP="00B05487">
            <w:pPr>
              <w:pStyle w:val="TableText0"/>
              <w:widowControl w:val="0"/>
              <w:ind w:right="-23"/>
              <w:rPr>
                <w:szCs w:val="20"/>
              </w:rPr>
            </w:pPr>
          </w:p>
        </w:tc>
        <w:tc>
          <w:tcPr>
            <w:tcW w:w="782" w:type="pct"/>
            <w:vMerge w:val="restart"/>
          </w:tcPr>
          <w:p w14:paraId="439B65D1" w14:textId="5316A6BF" w:rsidR="00606566" w:rsidRPr="00FC7CC2" w:rsidRDefault="00606566" w:rsidP="00B05487">
            <w:pPr>
              <w:pStyle w:val="TableText0"/>
              <w:widowControl w:val="0"/>
              <w:ind w:right="-23"/>
              <w:rPr>
                <w:szCs w:val="20"/>
              </w:rPr>
            </w:pPr>
            <w:r w:rsidRPr="00FC7CC2">
              <w:rPr>
                <w:szCs w:val="20"/>
              </w:rPr>
              <w:t>&lt;20.8 µmol/L</w:t>
            </w:r>
          </w:p>
        </w:tc>
        <w:tc>
          <w:tcPr>
            <w:tcW w:w="956" w:type="pct"/>
          </w:tcPr>
          <w:p w14:paraId="3B9DDF03" w14:textId="3085AF10" w:rsidR="00606566" w:rsidRPr="00FC7CC2" w:rsidRDefault="00606566" w:rsidP="00B05487">
            <w:pPr>
              <w:pStyle w:val="TableText0"/>
              <w:widowControl w:val="0"/>
              <w:ind w:right="-23"/>
              <w:rPr>
                <w:szCs w:val="20"/>
              </w:rPr>
            </w:pPr>
            <w:r w:rsidRPr="00FC7CC2">
              <w:rPr>
                <w:szCs w:val="20"/>
              </w:rPr>
              <w:t xml:space="preserve">Ottaviani 2020 </w:t>
            </w:r>
            <w:r w:rsidRPr="00FC7CC2">
              <w:rPr>
                <w:szCs w:val="20"/>
              </w:rPr>
              <w:br/>
              <w:t>(n = 418)</w:t>
            </w:r>
          </w:p>
        </w:tc>
        <w:tc>
          <w:tcPr>
            <w:tcW w:w="1956" w:type="pct"/>
          </w:tcPr>
          <w:p w14:paraId="328158FF" w14:textId="4EAB710C" w:rsidR="00606566" w:rsidRPr="00FC7CC2" w:rsidRDefault="00606566" w:rsidP="00B05487">
            <w:pPr>
              <w:pStyle w:val="TableText0"/>
              <w:widowControl w:val="0"/>
              <w:ind w:right="-23"/>
              <w:rPr>
                <w:szCs w:val="20"/>
              </w:rPr>
            </w:pPr>
            <w:r w:rsidRPr="00FC7CC2">
              <w:rPr>
                <w:szCs w:val="20"/>
              </w:rPr>
              <w:t>DBS samples submitted to the Italian reference laboratory from January 2016 to April 2016 for AATD testing (Italy)</w:t>
            </w:r>
          </w:p>
        </w:tc>
        <w:tc>
          <w:tcPr>
            <w:tcW w:w="704" w:type="pct"/>
          </w:tcPr>
          <w:p w14:paraId="43011C28" w14:textId="77777777" w:rsidR="00606566" w:rsidRPr="00FC7CC2" w:rsidRDefault="00606566" w:rsidP="00B05487">
            <w:pPr>
              <w:pStyle w:val="TableText0"/>
              <w:widowControl w:val="0"/>
              <w:ind w:right="-23"/>
              <w:rPr>
                <w:szCs w:val="20"/>
              </w:rPr>
            </w:pPr>
            <w:r w:rsidRPr="00FC7CC2">
              <w:rPr>
                <w:szCs w:val="20"/>
              </w:rPr>
              <w:t>≥1 S or Z:</w:t>
            </w:r>
          </w:p>
          <w:p w14:paraId="273FFF7C" w14:textId="5D00586B" w:rsidR="00606566" w:rsidRPr="00690FF6" w:rsidRDefault="00606566" w:rsidP="00B05487">
            <w:pPr>
              <w:pStyle w:val="TableText0"/>
              <w:widowControl w:val="0"/>
              <w:ind w:right="-23"/>
              <w:rPr>
                <w:b/>
                <w:szCs w:val="20"/>
              </w:rPr>
            </w:pPr>
            <w:r w:rsidRPr="00690FF6">
              <w:rPr>
                <w:b/>
                <w:szCs w:val="20"/>
              </w:rPr>
              <w:t>20.1%</w:t>
            </w:r>
          </w:p>
        </w:tc>
      </w:tr>
      <w:tr w:rsidR="00606566" w:rsidRPr="00FC7CC2" w14:paraId="30645F70" w14:textId="77777777" w:rsidTr="001E219D">
        <w:trPr>
          <w:trHeight w:val="481"/>
        </w:trPr>
        <w:tc>
          <w:tcPr>
            <w:tcW w:w="603" w:type="pct"/>
            <w:vMerge/>
          </w:tcPr>
          <w:p w14:paraId="5FEDDE9E" w14:textId="77777777" w:rsidR="00606566" w:rsidRPr="00FC7CC2" w:rsidRDefault="00606566" w:rsidP="00B05487">
            <w:pPr>
              <w:pStyle w:val="TableText0"/>
              <w:widowControl w:val="0"/>
              <w:ind w:right="-23"/>
              <w:rPr>
                <w:szCs w:val="20"/>
              </w:rPr>
            </w:pPr>
          </w:p>
        </w:tc>
        <w:tc>
          <w:tcPr>
            <w:tcW w:w="782" w:type="pct"/>
            <w:vMerge/>
          </w:tcPr>
          <w:p w14:paraId="4B077129" w14:textId="5C8A74A1" w:rsidR="00606566" w:rsidRPr="00FC7CC2" w:rsidRDefault="00606566" w:rsidP="00B05487">
            <w:pPr>
              <w:pStyle w:val="TableText0"/>
              <w:widowControl w:val="0"/>
              <w:ind w:right="-23"/>
              <w:rPr>
                <w:szCs w:val="20"/>
              </w:rPr>
            </w:pPr>
          </w:p>
        </w:tc>
        <w:tc>
          <w:tcPr>
            <w:tcW w:w="956" w:type="pct"/>
          </w:tcPr>
          <w:p w14:paraId="43822B37" w14:textId="5516231E" w:rsidR="00606566" w:rsidRPr="00FC7CC2" w:rsidRDefault="00606566" w:rsidP="00B05487">
            <w:pPr>
              <w:pStyle w:val="TableText0"/>
              <w:widowControl w:val="0"/>
              <w:ind w:right="-23"/>
              <w:rPr>
                <w:szCs w:val="20"/>
              </w:rPr>
            </w:pPr>
            <w:r w:rsidRPr="00FC7CC2">
              <w:rPr>
                <w:szCs w:val="20"/>
              </w:rPr>
              <w:t xml:space="preserve">Russo 2016 </w:t>
            </w:r>
            <w:r w:rsidR="00E92BE2">
              <w:rPr>
                <w:rStyle w:val="FootnoteReference"/>
                <w:szCs w:val="20"/>
              </w:rPr>
              <w:footnoteReference w:id="16"/>
            </w:r>
            <w:r w:rsidRPr="00FC7CC2">
              <w:rPr>
                <w:szCs w:val="20"/>
              </w:rPr>
              <w:br/>
              <w:t>(n = 24)</w:t>
            </w:r>
          </w:p>
        </w:tc>
        <w:tc>
          <w:tcPr>
            <w:tcW w:w="1956" w:type="pct"/>
          </w:tcPr>
          <w:p w14:paraId="4285EFB8" w14:textId="6C9F5F69" w:rsidR="00606566" w:rsidRPr="00FC7CC2" w:rsidRDefault="00606566" w:rsidP="00B05487">
            <w:pPr>
              <w:pStyle w:val="TableText0"/>
              <w:widowControl w:val="0"/>
              <w:ind w:right="-23"/>
              <w:rPr>
                <w:szCs w:val="20"/>
              </w:rPr>
            </w:pPr>
            <w:r w:rsidRPr="00FC7CC2">
              <w:rPr>
                <w:color w:val="221E1F"/>
                <w:szCs w:val="20"/>
              </w:rPr>
              <w:t>Patients 40 years of age or older having been diagnosed with COPD (Brazil)</w:t>
            </w:r>
          </w:p>
        </w:tc>
        <w:tc>
          <w:tcPr>
            <w:tcW w:w="704" w:type="pct"/>
          </w:tcPr>
          <w:p w14:paraId="68FDD146" w14:textId="77777777" w:rsidR="00606566" w:rsidRPr="00FC7CC2" w:rsidRDefault="00606566" w:rsidP="00B05487">
            <w:pPr>
              <w:pStyle w:val="TableText0"/>
              <w:widowControl w:val="0"/>
              <w:ind w:right="-23"/>
              <w:rPr>
                <w:szCs w:val="20"/>
              </w:rPr>
            </w:pPr>
            <w:r w:rsidRPr="00FC7CC2">
              <w:rPr>
                <w:szCs w:val="20"/>
              </w:rPr>
              <w:t>≥1 S or Z:</w:t>
            </w:r>
          </w:p>
          <w:p w14:paraId="6C5267C8" w14:textId="77777777" w:rsidR="00606566" w:rsidRPr="00690FF6" w:rsidRDefault="00606566" w:rsidP="00B05487">
            <w:pPr>
              <w:pStyle w:val="TableText0"/>
              <w:widowControl w:val="0"/>
              <w:ind w:right="-23"/>
              <w:rPr>
                <w:b/>
                <w:szCs w:val="20"/>
              </w:rPr>
            </w:pPr>
            <w:r w:rsidRPr="00690FF6">
              <w:rPr>
                <w:b/>
                <w:szCs w:val="20"/>
              </w:rPr>
              <w:t>95.8%</w:t>
            </w:r>
          </w:p>
        </w:tc>
      </w:tr>
      <w:tr w:rsidR="00606566" w:rsidRPr="00FC7CC2" w14:paraId="426ACD90" w14:textId="77777777" w:rsidTr="001E219D">
        <w:trPr>
          <w:trHeight w:val="670"/>
        </w:trPr>
        <w:tc>
          <w:tcPr>
            <w:tcW w:w="603" w:type="pct"/>
            <w:vMerge w:val="restart"/>
          </w:tcPr>
          <w:p w14:paraId="4F87FB74" w14:textId="15D804E6" w:rsidR="00606566" w:rsidRPr="00FC7CC2" w:rsidRDefault="00606566" w:rsidP="00B05487">
            <w:pPr>
              <w:pStyle w:val="TableText0"/>
              <w:widowControl w:val="0"/>
              <w:ind w:right="-23"/>
              <w:rPr>
                <w:szCs w:val="20"/>
              </w:rPr>
            </w:pPr>
            <w:r w:rsidRPr="00FC7CC2">
              <w:rPr>
                <w:szCs w:val="20"/>
              </w:rPr>
              <w:t>14-variant panel</w:t>
            </w:r>
          </w:p>
        </w:tc>
        <w:tc>
          <w:tcPr>
            <w:tcW w:w="782" w:type="pct"/>
          </w:tcPr>
          <w:p w14:paraId="5B93F5B8" w14:textId="2F720F7D" w:rsidR="00606566" w:rsidRPr="00FC7CC2" w:rsidRDefault="00606566" w:rsidP="00B05487">
            <w:pPr>
              <w:pStyle w:val="TableText0"/>
              <w:widowControl w:val="0"/>
              <w:ind w:right="-23"/>
              <w:rPr>
                <w:szCs w:val="20"/>
              </w:rPr>
            </w:pPr>
            <w:r w:rsidRPr="00FC7CC2">
              <w:rPr>
                <w:szCs w:val="20"/>
              </w:rPr>
              <w:t>&lt;19.1 µmol/L (internal quantification) or &lt;16.6 µmol/L (external quantification</w:t>
            </w:r>
            <w:r w:rsidR="00E526D4">
              <w:rPr>
                <w:szCs w:val="20"/>
              </w:rPr>
              <w:t>)</w:t>
            </w:r>
          </w:p>
        </w:tc>
        <w:tc>
          <w:tcPr>
            <w:tcW w:w="956" w:type="pct"/>
          </w:tcPr>
          <w:p w14:paraId="2EC66AD5" w14:textId="0EACA372" w:rsidR="00606566" w:rsidRPr="00FC7CC2" w:rsidRDefault="00606566" w:rsidP="00B05487">
            <w:pPr>
              <w:pStyle w:val="TableText0"/>
              <w:widowControl w:val="0"/>
              <w:ind w:right="-23"/>
              <w:rPr>
                <w:szCs w:val="20"/>
              </w:rPr>
            </w:pPr>
            <w:r w:rsidRPr="00FC7CC2">
              <w:rPr>
                <w:szCs w:val="20"/>
              </w:rPr>
              <w:t>Veith 2019</w:t>
            </w:r>
            <w:r w:rsidR="00E92BE2">
              <w:rPr>
                <w:szCs w:val="20"/>
              </w:rPr>
              <w:t xml:space="preserve"> </w:t>
            </w:r>
            <w:r w:rsidR="00E92BE2">
              <w:rPr>
                <w:rStyle w:val="FootnoteReference"/>
                <w:szCs w:val="20"/>
              </w:rPr>
              <w:footnoteReference w:id="17"/>
            </w:r>
            <w:r w:rsidRPr="00FC7CC2">
              <w:rPr>
                <w:szCs w:val="20"/>
              </w:rPr>
              <w:t xml:space="preserve"> </w:t>
            </w:r>
            <w:r w:rsidRPr="00FC7CC2">
              <w:rPr>
                <w:szCs w:val="20"/>
              </w:rPr>
              <w:br/>
              <w:t>(n = 3,112)</w:t>
            </w:r>
          </w:p>
        </w:tc>
        <w:tc>
          <w:tcPr>
            <w:tcW w:w="1956" w:type="pct"/>
          </w:tcPr>
          <w:p w14:paraId="0CFD311E" w14:textId="77777777" w:rsidR="00606566" w:rsidRPr="00FC7CC2" w:rsidRDefault="00606566" w:rsidP="00B05487">
            <w:pPr>
              <w:pStyle w:val="TableText0"/>
              <w:widowControl w:val="0"/>
              <w:ind w:right="-23"/>
              <w:rPr>
                <w:szCs w:val="20"/>
              </w:rPr>
            </w:pPr>
            <w:r w:rsidRPr="00FC7CC2">
              <w:rPr>
                <w:szCs w:val="20"/>
              </w:rPr>
              <w:t>Routine diagnosis of AATD (Germany)</w:t>
            </w:r>
          </w:p>
        </w:tc>
        <w:tc>
          <w:tcPr>
            <w:tcW w:w="704" w:type="pct"/>
          </w:tcPr>
          <w:p w14:paraId="2DE9CA19" w14:textId="5A4491F4" w:rsidR="00606566" w:rsidRPr="00FC7CC2" w:rsidRDefault="00606566" w:rsidP="00B05487">
            <w:pPr>
              <w:pStyle w:val="TableText0"/>
              <w:widowControl w:val="0"/>
              <w:ind w:right="-23"/>
              <w:rPr>
                <w:szCs w:val="20"/>
              </w:rPr>
            </w:pPr>
            <w:r w:rsidRPr="00FC7CC2">
              <w:rPr>
                <w:szCs w:val="20"/>
              </w:rPr>
              <w:t>Variant (14-variant panel or other):</w:t>
            </w:r>
          </w:p>
          <w:p w14:paraId="7CFAF3E0" w14:textId="77777777" w:rsidR="00606566" w:rsidRPr="00690FF6" w:rsidRDefault="00606566" w:rsidP="00B05487">
            <w:pPr>
              <w:pStyle w:val="TableText0"/>
              <w:widowControl w:val="0"/>
              <w:ind w:right="-23"/>
              <w:rPr>
                <w:b/>
                <w:szCs w:val="20"/>
              </w:rPr>
            </w:pPr>
            <w:r w:rsidRPr="00690FF6">
              <w:rPr>
                <w:b/>
                <w:szCs w:val="20"/>
              </w:rPr>
              <w:t>61.2%</w:t>
            </w:r>
          </w:p>
        </w:tc>
      </w:tr>
      <w:tr w:rsidR="00606566" w:rsidRPr="00FC7CC2" w14:paraId="3329944B" w14:textId="77777777" w:rsidTr="001E219D">
        <w:trPr>
          <w:trHeight w:val="670"/>
        </w:trPr>
        <w:tc>
          <w:tcPr>
            <w:tcW w:w="603" w:type="pct"/>
            <w:vMerge/>
          </w:tcPr>
          <w:p w14:paraId="77A768DA" w14:textId="77777777" w:rsidR="00606566" w:rsidRPr="00FC7CC2" w:rsidRDefault="00606566" w:rsidP="00B05487">
            <w:pPr>
              <w:pStyle w:val="TableText0"/>
              <w:widowControl w:val="0"/>
              <w:ind w:right="-23"/>
              <w:rPr>
                <w:szCs w:val="20"/>
              </w:rPr>
            </w:pPr>
          </w:p>
        </w:tc>
        <w:tc>
          <w:tcPr>
            <w:tcW w:w="782" w:type="pct"/>
          </w:tcPr>
          <w:p w14:paraId="6888919F" w14:textId="2D29EBE4" w:rsidR="00606566" w:rsidRPr="00FC7CC2" w:rsidRDefault="00606566" w:rsidP="00B05487">
            <w:pPr>
              <w:pStyle w:val="TableText0"/>
              <w:widowControl w:val="0"/>
              <w:ind w:right="-23"/>
              <w:rPr>
                <w:szCs w:val="20"/>
              </w:rPr>
            </w:pPr>
            <w:r w:rsidRPr="00FC7CC2">
              <w:rPr>
                <w:szCs w:val="20"/>
              </w:rPr>
              <w:t>&lt;20.8 µmol/L</w:t>
            </w:r>
          </w:p>
        </w:tc>
        <w:tc>
          <w:tcPr>
            <w:tcW w:w="956" w:type="pct"/>
          </w:tcPr>
          <w:p w14:paraId="6C6E61F0" w14:textId="56467879" w:rsidR="00606566" w:rsidRPr="00FC7CC2" w:rsidRDefault="00606566" w:rsidP="00B05487">
            <w:pPr>
              <w:pStyle w:val="TableText0"/>
              <w:widowControl w:val="0"/>
              <w:ind w:right="-23"/>
              <w:rPr>
                <w:szCs w:val="20"/>
              </w:rPr>
            </w:pPr>
            <w:r w:rsidRPr="00FC7CC2">
              <w:rPr>
                <w:szCs w:val="20"/>
              </w:rPr>
              <w:t xml:space="preserve">Ottaviani 2020 </w:t>
            </w:r>
            <w:r w:rsidRPr="00FC7CC2">
              <w:rPr>
                <w:szCs w:val="20"/>
              </w:rPr>
              <w:br/>
              <w:t>(n = 418)</w:t>
            </w:r>
          </w:p>
        </w:tc>
        <w:tc>
          <w:tcPr>
            <w:tcW w:w="1956" w:type="pct"/>
          </w:tcPr>
          <w:p w14:paraId="61B02002" w14:textId="2585D91E" w:rsidR="00606566" w:rsidRPr="00FC7CC2" w:rsidRDefault="00606566" w:rsidP="00B05487">
            <w:pPr>
              <w:pStyle w:val="TableText0"/>
              <w:widowControl w:val="0"/>
              <w:ind w:right="-23"/>
              <w:rPr>
                <w:szCs w:val="20"/>
              </w:rPr>
            </w:pPr>
            <w:r w:rsidRPr="00FC7CC2">
              <w:rPr>
                <w:szCs w:val="20"/>
              </w:rPr>
              <w:t>DBS samples submitted to the Italian reference laboratory from January 2016 to April 2016 for AATD testing (Italy)</w:t>
            </w:r>
          </w:p>
        </w:tc>
        <w:tc>
          <w:tcPr>
            <w:tcW w:w="704" w:type="pct"/>
          </w:tcPr>
          <w:p w14:paraId="1D0989E6" w14:textId="77777777" w:rsidR="00606566" w:rsidRPr="00FC7CC2" w:rsidRDefault="00606566" w:rsidP="00B05487">
            <w:pPr>
              <w:pStyle w:val="TableText0"/>
              <w:widowControl w:val="0"/>
              <w:ind w:right="-23"/>
              <w:rPr>
                <w:szCs w:val="20"/>
              </w:rPr>
            </w:pPr>
            <w:r w:rsidRPr="00FC7CC2">
              <w:rPr>
                <w:szCs w:val="20"/>
              </w:rPr>
              <w:t xml:space="preserve">≥1 Progenika allele: </w:t>
            </w:r>
          </w:p>
          <w:p w14:paraId="7FA9E0FF" w14:textId="11FBF5CE" w:rsidR="00606566" w:rsidRPr="00690FF6" w:rsidRDefault="00606566" w:rsidP="00B05487">
            <w:pPr>
              <w:pStyle w:val="TableText0"/>
              <w:widowControl w:val="0"/>
              <w:ind w:right="-23"/>
              <w:rPr>
                <w:b/>
                <w:szCs w:val="20"/>
              </w:rPr>
            </w:pPr>
            <w:r w:rsidRPr="00690FF6">
              <w:rPr>
                <w:b/>
                <w:szCs w:val="20"/>
              </w:rPr>
              <w:t>24.2%</w:t>
            </w:r>
          </w:p>
        </w:tc>
      </w:tr>
      <w:tr w:rsidR="00606566" w:rsidRPr="00FC7CC2" w14:paraId="298951DA" w14:textId="77777777" w:rsidTr="001E219D">
        <w:trPr>
          <w:trHeight w:val="455"/>
        </w:trPr>
        <w:tc>
          <w:tcPr>
            <w:tcW w:w="603" w:type="pct"/>
            <w:vMerge w:val="restart"/>
          </w:tcPr>
          <w:p w14:paraId="165CEA74" w14:textId="77777777" w:rsidR="00606566" w:rsidRPr="00FC7CC2" w:rsidRDefault="00606566" w:rsidP="00B05487">
            <w:pPr>
              <w:pStyle w:val="TableText0"/>
              <w:widowControl w:val="0"/>
              <w:ind w:right="-23"/>
              <w:rPr>
                <w:szCs w:val="20"/>
              </w:rPr>
            </w:pPr>
            <w:r w:rsidRPr="00FC7CC2">
              <w:rPr>
                <w:szCs w:val="20"/>
              </w:rPr>
              <w:t>Sequencing</w:t>
            </w:r>
          </w:p>
        </w:tc>
        <w:tc>
          <w:tcPr>
            <w:tcW w:w="782" w:type="pct"/>
          </w:tcPr>
          <w:p w14:paraId="01683538" w14:textId="455ADB8F" w:rsidR="00606566" w:rsidRPr="00FC7CC2" w:rsidRDefault="00606566" w:rsidP="00B05487">
            <w:pPr>
              <w:pStyle w:val="TableText0"/>
              <w:widowControl w:val="0"/>
              <w:ind w:right="-23"/>
              <w:rPr>
                <w:szCs w:val="20"/>
              </w:rPr>
            </w:pPr>
            <w:r w:rsidRPr="00FC7CC2">
              <w:rPr>
                <w:szCs w:val="20"/>
              </w:rPr>
              <w:t>&lt;18.4 µmol/L</w:t>
            </w:r>
          </w:p>
        </w:tc>
        <w:tc>
          <w:tcPr>
            <w:tcW w:w="956" w:type="pct"/>
          </w:tcPr>
          <w:p w14:paraId="059B0F27" w14:textId="49A5DAAF" w:rsidR="00606566" w:rsidRPr="00FC7CC2" w:rsidRDefault="00606566" w:rsidP="00B05487">
            <w:pPr>
              <w:pStyle w:val="TableText0"/>
              <w:widowControl w:val="0"/>
              <w:ind w:right="-23"/>
              <w:rPr>
                <w:szCs w:val="20"/>
              </w:rPr>
            </w:pPr>
            <w:r w:rsidRPr="00FC7CC2">
              <w:rPr>
                <w:szCs w:val="20"/>
              </w:rPr>
              <w:t xml:space="preserve">Graham 2015 </w:t>
            </w:r>
            <w:r w:rsidRPr="00FC7CC2">
              <w:rPr>
                <w:szCs w:val="20"/>
              </w:rPr>
              <w:br/>
              <w:t>(n = 42)</w:t>
            </w:r>
          </w:p>
        </w:tc>
        <w:tc>
          <w:tcPr>
            <w:tcW w:w="1956" w:type="pct"/>
          </w:tcPr>
          <w:p w14:paraId="28A108B0" w14:textId="31A0D5CB" w:rsidR="00606566" w:rsidRPr="00FC7CC2" w:rsidRDefault="00606566" w:rsidP="00B05487">
            <w:pPr>
              <w:pStyle w:val="TableText0"/>
              <w:widowControl w:val="0"/>
              <w:ind w:right="-23"/>
              <w:rPr>
                <w:szCs w:val="20"/>
              </w:rPr>
            </w:pPr>
            <w:r w:rsidRPr="00FC7CC2">
              <w:rPr>
                <w:szCs w:val="20"/>
                <w:lang w:eastAsia="en-CA"/>
              </w:rPr>
              <w:t>Samples sent to clinical laborato</w:t>
            </w:r>
            <w:r w:rsidRPr="00FC7CC2">
              <w:rPr>
                <w:color w:val="000000"/>
                <w:szCs w:val="20"/>
                <w:lang w:eastAsia="en-CA"/>
              </w:rPr>
              <w:t>ry </w:t>
            </w:r>
            <w:r w:rsidRPr="00FC7CC2">
              <w:rPr>
                <w:color w:val="000000"/>
                <w:szCs w:val="20"/>
                <w:lang w:val="en-CA" w:eastAsia="en-CA"/>
              </w:rPr>
              <w:t>(USA)</w:t>
            </w:r>
          </w:p>
        </w:tc>
        <w:tc>
          <w:tcPr>
            <w:tcW w:w="704" w:type="pct"/>
          </w:tcPr>
          <w:p w14:paraId="5DB04203" w14:textId="77777777" w:rsidR="00606566" w:rsidRPr="00FC7CC2" w:rsidRDefault="00606566" w:rsidP="00B05487">
            <w:pPr>
              <w:pStyle w:val="TableText0"/>
              <w:widowControl w:val="0"/>
              <w:ind w:right="-23"/>
              <w:rPr>
                <w:szCs w:val="20"/>
              </w:rPr>
            </w:pPr>
            <w:r w:rsidRPr="00FC7CC2">
              <w:rPr>
                <w:szCs w:val="20"/>
              </w:rPr>
              <w:t>Variant:</w:t>
            </w:r>
          </w:p>
          <w:p w14:paraId="403417FE" w14:textId="3FF8270A" w:rsidR="00606566" w:rsidRPr="00FC7CC2" w:rsidRDefault="00606566" w:rsidP="00B05487">
            <w:pPr>
              <w:pStyle w:val="TableText0"/>
              <w:widowControl w:val="0"/>
              <w:ind w:right="-23"/>
              <w:rPr>
                <w:szCs w:val="20"/>
              </w:rPr>
            </w:pPr>
            <w:r w:rsidRPr="00690FF6">
              <w:rPr>
                <w:b/>
                <w:szCs w:val="20"/>
              </w:rPr>
              <w:t>38.0%</w:t>
            </w:r>
          </w:p>
        </w:tc>
      </w:tr>
      <w:tr w:rsidR="00606566" w:rsidRPr="00FC7CC2" w14:paraId="2A6FA0B7" w14:textId="77777777" w:rsidTr="001E219D">
        <w:trPr>
          <w:trHeight w:val="360"/>
        </w:trPr>
        <w:tc>
          <w:tcPr>
            <w:tcW w:w="603" w:type="pct"/>
            <w:vMerge/>
          </w:tcPr>
          <w:p w14:paraId="1415E539" w14:textId="77777777" w:rsidR="00606566" w:rsidRPr="00FC7CC2" w:rsidRDefault="00606566" w:rsidP="00B05487">
            <w:pPr>
              <w:pStyle w:val="TableText0"/>
              <w:widowControl w:val="0"/>
              <w:ind w:right="-23"/>
              <w:rPr>
                <w:szCs w:val="20"/>
              </w:rPr>
            </w:pPr>
          </w:p>
        </w:tc>
        <w:tc>
          <w:tcPr>
            <w:tcW w:w="782" w:type="pct"/>
          </w:tcPr>
          <w:p w14:paraId="2A93A68C" w14:textId="2DFE9135" w:rsidR="00606566" w:rsidRPr="00FC7CC2" w:rsidRDefault="00606566" w:rsidP="00B05487">
            <w:pPr>
              <w:pStyle w:val="TableText0"/>
              <w:widowControl w:val="0"/>
              <w:ind w:right="-23"/>
              <w:rPr>
                <w:szCs w:val="20"/>
              </w:rPr>
            </w:pPr>
            <w:r w:rsidRPr="00FC7CC2">
              <w:rPr>
                <w:szCs w:val="20"/>
              </w:rPr>
              <w:t>&lt;20.8 µmol/L</w:t>
            </w:r>
          </w:p>
        </w:tc>
        <w:tc>
          <w:tcPr>
            <w:tcW w:w="956" w:type="pct"/>
          </w:tcPr>
          <w:p w14:paraId="27078B0F" w14:textId="1A15582D" w:rsidR="00606566" w:rsidRPr="00FC7CC2" w:rsidRDefault="00606566" w:rsidP="00B05487">
            <w:pPr>
              <w:pStyle w:val="TableText0"/>
              <w:widowControl w:val="0"/>
              <w:ind w:right="-23"/>
              <w:rPr>
                <w:szCs w:val="20"/>
              </w:rPr>
            </w:pPr>
            <w:r w:rsidRPr="00FC7CC2">
              <w:rPr>
                <w:szCs w:val="20"/>
              </w:rPr>
              <w:t xml:space="preserve">Ottaviani 2020 </w:t>
            </w:r>
            <w:r w:rsidRPr="00FC7CC2">
              <w:rPr>
                <w:szCs w:val="20"/>
              </w:rPr>
              <w:br/>
              <w:t>(n = 418)</w:t>
            </w:r>
          </w:p>
        </w:tc>
        <w:tc>
          <w:tcPr>
            <w:tcW w:w="1956" w:type="pct"/>
          </w:tcPr>
          <w:p w14:paraId="676E7FA2" w14:textId="56869F19" w:rsidR="00606566" w:rsidRPr="00FC7CC2" w:rsidRDefault="00606566" w:rsidP="00B05487">
            <w:pPr>
              <w:pStyle w:val="TableText0"/>
              <w:widowControl w:val="0"/>
              <w:ind w:right="-23"/>
              <w:rPr>
                <w:szCs w:val="20"/>
              </w:rPr>
            </w:pPr>
            <w:r w:rsidRPr="00FC7CC2">
              <w:rPr>
                <w:szCs w:val="20"/>
              </w:rPr>
              <w:t>DBS samples submitted to the Italian reference laboratory from January 2016 to April 2016 for AATD testing (Italy)</w:t>
            </w:r>
          </w:p>
        </w:tc>
        <w:tc>
          <w:tcPr>
            <w:tcW w:w="704" w:type="pct"/>
          </w:tcPr>
          <w:p w14:paraId="3CE1E36B" w14:textId="77777777" w:rsidR="00606566" w:rsidRPr="00FC7CC2" w:rsidRDefault="00606566" w:rsidP="00B05487">
            <w:pPr>
              <w:pStyle w:val="TableText0"/>
              <w:widowControl w:val="0"/>
              <w:ind w:right="-23"/>
              <w:rPr>
                <w:szCs w:val="20"/>
              </w:rPr>
            </w:pPr>
            <w:r w:rsidRPr="00FC7CC2">
              <w:rPr>
                <w:szCs w:val="20"/>
              </w:rPr>
              <w:t>Variant:</w:t>
            </w:r>
          </w:p>
          <w:p w14:paraId="023AF257" w14:textId="19ACAE23" w:rsidR="00606566" w:rsidRPr="00FC7CC2" w:rsidRDefault="00606566" w:rsidP="00B05487">
            <w:pPr>
              <w:pStyle w:val="TableText0"/>
              <w:widowControl w:val="0"/>
              <w:ind w:right="-23"/>
              <w:rPr>
                <w:szCs w:val="20"/>
              </w:rPr>
            </w:pPr>
            <w:r w:rsidRPr="00690FF6">
              <w:rPr>
                <w:b/>
                <w:szCs w:val="20"/>
              </w:rPr>
              <w:t>5.3%</w:t>
            </w:r>
          </w:p>
        </w:tc>
      </w:tr>
      <w:tr w:rsidR="00606566" w:rsidRPr="00FC7CC2" w14:paraId="15ACFF8E" w14:textId="77777777" w:rsidTr="001E219D">
        <w:trPr>
          <w:trHeight w:val="450"/>
        </w:trPr>
        <w:tc>
          <w:tcPr>
            <w:tcW w:w="603" w:type="pct"/>
            <w:vMerge/>
          </w:tcPr>
          <w:p w14:paraId="57081923" w14:textId="77777777" w:rsidR="00606566" w:rsidRPr="00FC7CC2" w:rsidRDefault="00606566" w:rsidP="00B05487">
            <w:pPr>
              <w:pStyle w:val="TableText0"/>
              <w:widowControl w:val="0"/>
              <w:ind w:right="-23"/>
              <w:rPr>
                <w:szCs w:val="20"/>
              </w:rPr>
            </w:pPr>
          </w:p>
        </w:tc>
        <w:tc>
          <w:tcPr>
            <w:tcW w:w="782" w:type="pct"/>
            <w:vMerge w:val="restart"/>
          </w:tcPr>
          <w:p w14:paraId="6CB931D3" w14:textId="32E477E9" w:rsidR="00606566" w:rsidRPr="00FC7CC2" w:rsidRDefault="00606566" w:rsidP="00B05487">
            <w:pPr>
              <w:pStyle w:val="TableText0"/>
              <w:widowControl w:val="0"/>
              <w:ind w:right="-23"/>
              <w:rPr>
                <w:szCs w:val="20"/>
              </w:rPr>
            </w:pPr>
            <w:r w:rsidRPr="00FC7CC2">
              <w:rPr>
                <w:szCs w:val="20"/>
              </w:rPr>
              <w:t>&lt;22.1 µmol/L</w:t>
            </w:r>
          </w:p>
        </w:tc>
        <w:tc>
          <w:tcPr>
            <w:tcW w:w="956" w:type="pct"/>
          </w:tcPr>
          <w:p w14:paraId="17B94AE4" w14:textId="621C251A" w:rsidR="00606566" w:rsidRPr="00FC7CC2" w:rsidRDefault="00606566" w:rsidP="00B05487">
            <w:pPr>
              <w:pStyle w:val="TableText0"/>
              <w:widowControl w:val="0"/>
              <w:ind w:right="-23"/>
              <w:rPr>
                <w:szCs w:val="20"/>
              </w:rPr>
            </w:pPr>
            <w:r w:rsidRPr="00FC7CC2">
              <w:rPr>
                <w:szCs w:val="20"/>
              </w:rPr>
              <w:t xml:space="preserve">Rodriguez-Frias 2012 </w:t>
            </w:r>
            <w:r w:rsidRPr="00FC7CC2">
              <w:rPr>
                <w:szCs w:val="20"/>
              </w:rPr>
              <w:br/>
              <w:t>(n = 108)</w:t>
            </w:r>
          </w:p>
        </w:tc>
        <w:tc>
          <w:tcPr>
            <w:tcW w:w="1956" w:type="pct"/>
          </w:tcPr>
          <w:p w14:paraId="3A7ABB36" w14:textId="0FD8F161" w:rsidR="00606566" w:rsidRPr="00FC7CC2" w:rsidRDefault="00606566" w:rsidP="00B05487">
            <w:pPr>
              <w:pStyle w:val="TableText0"/>
              <w:widowControl w:val="0"/>
              <w:ind w:right="-23"/>
              <w:rPr>
                <w:szCs w:val="20"/>
              </w:rPr>
            </w:pPr>
            <w:r w:rsidRPr="00FC7CC2">
              <w:rPr>
                <w:szCs w:val="20"/>
              </w:rPr>
              <w:t>Retrospective analysis of samples in previous AAT studies within the laboratory (Spain)</w:t>
            </w:r>
          </w:p>
        </w:tc>
        <w:tc>
          <w:tcPr>
            <w:tcW w:w="704" w:type="pct"/>
          </w:tcPr>
          <w:p w14:paraId="2C96358D" w14:textId="77777777" w:rsidR="00606566" w:rsidRPr="00FC7CC2" w:rsidRDefault="00606566" w:rsidP="00B05487">
            <w:pPr>
              <w:pStyle w:val="TableText0"/>
              <w:widowControl w:val="0"/>
              <w:ind w:right="-23"/>
              <w:rPr>
                <w:szCs w:val="20"/>
              </w:rPr>
            </w:pPr>
            <w:r w:rsidRPr="00FC7CC2">
              <w:rPr>
                <w:szCs w:val="20"/>
              </w:rPr>
              <w:t>Variant:</w:t>
            </w:r>
          </w:p>
          <w:p w14:paraId="116CCACE" w14:textId="1991224A" w:rsidR="00606566" w:rsidRPr="00690FF6" w:rsidRDefault="00606566" w:rsidP="00B05487">
            <w:pPr>
              <w:pStyle w:val="TableText0"/>
              <w:widowControl w:val="0"/>
              <w:ind w:right="-23"/>
              <w:rPr>
                <w:b/>
                <w:szCs w:val="20"/>
              </w:rPr>
            </w:pPr>
            <w:r w:rsidRPr="00690FF6">
              <w:rPr>
                <w:b/>
                <w:szCs w:val="20"/>
              </w:rPr>
              <w:t>78.7%</w:t>
            </w:r>
          </w:p>
        </w:tc>
      </w:tr>
      <w:tr w:rsidR="00606566" w:rsidRPr="00FC7CC2" w14:paraId="56948A61" w14:textId="77777777" w:rsidTr="001E219D">
        <w:trPr>
          <w:trHeight w:val="613"/>
        </w:trPr>
        <w:tc>
          <w:tcPr>
            <w:tcW w:w="603" w:type="pct"/>
            <w:vMerge/>
          </w:tcPr>
          <w:p w14:paraId="17754D4C" w14:textId="77777777" w:rsidR="00606566" w:rsidRPr="00FC7CC2" w:rsidRDefault="00606566" w:rsidP="00B05487">
            <w:pPr>
              <w:pStyle w:val="TableText0"/>
              <w:widowControl w:val="0"/>
              <w:ind w:right="-23"/>
              <w:rPr>
                <w:szCs w:val="20"/>
              </w:rPr>
            </w:pPr>
          </w:p>
        </w:tc>
        <w:tc>
          <w:tcPr>
            <w:tcW w:w="782" w:type="pct"/>
            <w:vMerge/>
          </w:tcPr>
          <w:p w14:paraId="429AAED6" w14:textId="1DC8940D" w:rsidR="00606566" w:rsidRPr="00FC7CC2" w:rsidRDefault="00606566" w:rsidP="00B05487">
            <w:pPr>
              <w:pStyle w:val="TableText0"/>
              <w:widowControl w:val="0"/>
              <w:ind w:right="-23"/>
              <w:rPr>
                <w:szCs w:val="20"/>
              </w:rPr>
            </w:pPr>
          </w:p>
        </w:tc>
        <w:tc>
          <w:tcPr>
            <w:tcW w:w="956" w:type="pct"/>
          </w:tcPr>
          <w:p w14:paraId="754306A6" w14:textId="4035DB52" w:rsidR="00606566" w:rsidRPr="00FC7CC2" w:rsidRDefault="00690FF6" w:rsidP="00B05487">
            <w:pPr>
              <w:pStyle w:val="TableText0"/>
              <w:widowControl w:val="0"/>
              <w:ind w:right="-23"/>
              <w:rPr>
                <w:szCs w:val="20"/>
              </w:rPr>
            </w:pPr>
            <w:r>
              <w:rPr>
                <w:szCs w:val="20"/>
              </w:rPr>
              <w:t>Duk 2016</w:t>
            </w:r>
            <w:r>
              <w:rPr>
                <w:szCs w:val="20"/>
              </w:rPr>
              <w:br/>
            </w:r>
            <w:r w:rsidR="00606566" w:rsidRPr="00FC7CC2">
              <w:rPr>
                <w:szCs w:val="20"/>
              </w:rPr>
              <w:t>(n = 100)</w:t>
            </w:r>
          </w:p>
        </w:tc>
        <w:tc>
          <w:tcPr>
            <w:tcW w:w="1956" w:type="pct"/>
          </w:tcPr>
          <w:p w14:paraId="360A6F69" w14:textId="77777777" w:rsidR="00606566" w:rsidRPr="00FC7CC2" w:rsidRDefault="00606566" w:rsidP="00B05487">
            <w:pPr>
              <w:pStyle w:val="TableText0"/>
              <w:widowControl w:val="0"/>
              <w:ind w:right="-23"/>
              <w:rPr>
                <w:szCs w:val="20"/>
              </w:rPr>
            </w:pPr>
            <w:r w:rsidRPr="00FC7CC2">
              <w:rPr>
                <w:szCs w:val="20"/>
              </w:rPr>
              <w:t>Patients with chronic respiratory disorders (Poland)</w:t>
            </w:r>
          </w:p>
        </w:tc>
        <w:tc>
          <w:tcPr>
            <w:tcW w:w="704" w:type="pct"/>
          </w:tcPr>
          <w:p w14:paraId="68EDB0D6" w14:textId="77777777" w:rsidR="00606566" w:rsidRPr="00FC7CC2" w:rsidRDefault="00606566" w:rsidP="00B05487">
            <w:pPr>
              <w:pStyle w:val="TableText0"/>
              <w:widowControl w:val="0"/>
              <w:ind w:right="-23"/>
              <w:rPr>
                <w:szCs w:val="20"/>
              </w:rPr>
            </w:pPr>
            <w:r w:rsidRPr="00FC7CC2">
              <w:rPr>
                <w:szCs w:val="20"/>
              </w:rPr>
              <w:t>Variant:</w:t>
            </w:r>
          </w:p>
          <w:p w14:paraId="01A5F429" w14:textId="77777777" w:rsidR="00606566" w:rsidRPr="00690FF6" w:rsidRDefault="00606566" w:rsidP="00B05487">
            <w:pPr>
              <w:pStyle w:val="TableText0"/>
              <w:widowControl w:val="0"/>
              <w:ind w:right="-23"/>
              <w:rPr>
                <w:b/>
                <w:szCs w:val="20"/>
              </w:rPr>
            </w:pPr>
            <w:r w:rsidRPr="00690FF6">
              <w:rPr>
                <w:b/>
                <w:szCs w:val="20"/>
              </w:rPr>
              <w:t>11.0%</w:t>
            </w:r>
          </w:p>
        </w:tc>
      </w:tr>
    </w:tbl>
    <w:p w14:paraId="1B8DA201" w14:textId="044A4D7B" w:rsidR="0029463E" w:rsidRDefault="0029463E" w:rsidP="00B05487">
      <w:pPr>
        <w:pStyle w:val="Tablenotes1"/>
      </w:pPr>
      <w:r>
        <w:t>AAT = alpha-1 antitrypsin, AATD = alpha-1 antitrypsin deficiency, COPD = chronic obstructive pulmonary disease, DBS = dried blood spot, IEF = isoelectric focusing</w:t>
      </w:r>
      <w:r w:rsidR="00CC074D">
        <w:t>.</w:t>
      </w:r>
      <w:r>
        <w:br/>
      </w:r>
      <w:r w:rsidRPr="00CC074D">
        <w:rPr>
          <w:vertAlign w:val="superscript"/>
        </w:rPr>
        <w:t>A</w:t>
      </w:r>
      <w:r w:rsidRPr="00CC074D">
        <w:t xml:space="preserve"> </w:t>
      </w:r>
      <w:r w:rsidRPr="00643B6B">
        <w:t>= likely cross over with patients included in Sorroche et al. (2015)</w:t>
      </w:r>
      <w:r w:rsidR="00F669B0">
        <w:rPr>
          <w:rStyle w:val="FootnoteReference"/>
        </w:rPr>
        <w:footnoteReference w:id="18"/>
      </w:r>
    </w:p>
    <w:p w14:paraId="238EDBAD" w14:textId="7A5589FB" w:rsidR="0029463E" w:rsidRDefault="00066591" w:rsidP="00B05487">
      <w:pPr>
        <w:pStyle w:val="Tablenotes1"/>
      </w:pPr>
      <w:r>
        <w:t xml:space="preserve">Source: </w:t>
      </w:r>
      <w:r w:rsidR="00606566">
        <w:t xml:space="preserve">based on </w:t>
      </w:r>
      <w:r>
        <w:t xml:space="preserve">DCAR Table 18, with the </w:t>
      </w:r>
      <w:r w:rsidR="00690FF6">
        <w:t xml:space="preserve">serum </w:t>
      </w:r>
      <w:r>
        <w:t xml:space="preserve">AAT threshold for Ottaviani 2020 </w:t>
      </w:r>
      <w:r w:rsidR="00CC074D">
        <w:t>corrected</w:t>
      </w:r>
      <w:r>
        <w:t xml:space="preserve"> as per the rejoinder</w:t>
      </w:r>
    </w:p>
    <w:p w14:paraId="13943E7B" w14:textId="77777777" w:rsidR="0029463E" w:rsidRDefault="0029463E" w:rsidP="00B05487">
      <w:pPr>
        <w:ind w:right="-23"/>
        <w:jc w:val="both"/>
      </w:pPr>
      <w:r>
        <w:rPr>
          <w:noProof/>
        </w:rPr>
        <w:lastRenderedPageBreak/>
        <w:drawing>
          <wp:inline distT="0" distB="0" distL="0" distR="0" wp14:anchorId="392DC263" wp14:editId="2B87114E">
            <wp:extent cx="5543550" cy="3917214"/>
            <wp:effectExtent l="0" t="0" r="0" b="7620"/>
            <wp:docPr id="14" name="Picture 14" descr="Figure 5 Diagnostic yield of AAT or SERPINA1 variants as determined by IEF, 2- and 14-variant panel genotyping and exon sequencing among key studi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70785" cy="3936459"/>
                    </a:xfrm>
                    <a:prstGeom prst="rect">
                      <a:avLst/>
                    </a:prstGeom>
                  </pic:spPr>
                </pic:pic>
              </a:graphicData>
            </a:graphic>
          </wp:inline>
        </w:drawing>
      </w:r>
    </w:p>
    <w:p w14:paraId="0743E8A3" w14:textId="59656A12" w:rsidR="0029463E" w:rsidRDefault="0029463E" w:rsidP="00B05487">
      <w:pPr>
        <w:pStyle w:val="Caption"/>
        <w:ind w:right="-23"/>
        <w:rPr>
          <w:b w:val="0"/>
        </w:rPr>
      </w:pPr>
      <w:bookmarkStart w:id="16" w:name="_Ref72409231"/>
      <w:bookmarkStart w:id="17" w:name="_Toc72826907"/>
      <w:r>
        <w:t xml:space="preserve">Figure </w:t>
      </w:r>
      <w:r>
        <w:rPr>
          <w:noProof/>
        </w:rPr>
        <w:fldChar w:fldCharType="begin"/>
      </w:r>
      <w:r>
        <w:rPr>
          <w:noProof/>
        </w:rPr>
        <w:instrText xml:space="preserve"> SEQ Figure \* ARABIC </w:instrText>
      </w:r>
      <w:r>
        <w:rPr>
          <w:noProof/>
        </w:rPr>
        <w:fldChar w:fldCharType="separate"/>
      </w:r>
      <w:r w:rsidR="00095E12">
        <w:rPr>
          <w:noProof/>
        </w:rPr>
        <w:t>3</w:t>
      </w:r>
      <w:r>
        <w:rPr>
          <w:noProof/>
        </w:rPr>
        <w:fldChar w:fldCharType="end"/>
      </w:r>
      <w:bookmarkEnd w:id="16"/>
      <w:r>
        <w:tab/>
        <w:t xml:space="preserve">Diagnostic yield of AAT or </w:t>
      </w:r>
      <w:r w:rsidRPr="004F04B7">
        <w:rPr>
          <w:i/>
        </w:rPr>
        <w:t>SERPINA1</w:t>
      </w:r>
      <w:r>
        <w:t xml:space="preserve"> variants as determined by IEF, 2- and 14-variant panel </w:t>
      </w:r>
      <w:r w:rsidR="00DE464A">
        <w:t xml:space="preserve">testing </w:t>
      </w:r>
      <w:r>
        <w:t>and exon sequencing among key studies</w:t>
      </w:r>
      <w:bookmarkEnd w:id="17"/>
    </w:p>
    <w:p w14:paraId="75BA3B9F" w14:textId="10A125A5" w:rsidR="0029463E" w:rsidRPr="0029463E" w:rsidRDefault="0029463E" w:rsidP="00B05487">
      <w:pPr>
        <w:pStyle w:val="Tablenotes1"/>
      </w:pPr>
      <w:r>
        <w:t>Source: DCAR Figure 5</w:t>
      </w:r>
      <w:r w:rsidR="00066591">
        <w:t xml:space="preserve">, though note that the rejoinder </w:t>
      </w:r>
      <w:r w:rsidR="00EC19EF">
        <w:t>corrected</w:t>
      </w:r>
      <w:r w:rsidR="00066591">
        <w:t xml:space="preserve"> the AAT threshold for Ottaviani 2020 </w:t>
      </w:r>
      <w:r w:rsidR="00EC19EF">
        <w:t>to</w:t>
      </w:r>
      <w:r w:rsidR="00066591">
        <w:t xml:space="preserve"> </w:t>
      </w:r>
      <w:r w:rsidR="00E23599">
        <w:t>20.8 µ</w:t>
      </w:r>
      <w:r w:rsidR="00066591">
        <w:t>mol/L</w:t>
      </w:r>
      <w:r>
        <w:t>.</w:t>
      </w:r>
    </w:p>
    <w:p w14:paraId="795362B4" w14:textId="3292B6D3" w:rsidR="00DE6837" w:rsidRDefault="00DE6837" w:rsidP="00B05487">
      <w:r w:rsidRPr="00DE6837">
        <w:t>Studies by Menga et al. 2020</w:t>
      </w:r>
      <w:r w:rsidR="00EF66C4">
        <w:rPr>
          <w:rStyle w:val="FootnoteReference"/>
        </w:rPr>
        <w:footnoteReference w:id="19"/>
      </w:r>
      <w:r w:rsidRPr="00DE6837">
        <w:t xml:space="preserve"> and Sorroche et al. 2015</w:t>
      </w:r>
      <w:r w:rsidR="00EF66C4">
        <w:rPr>
          <w:rStyle w:val="FootnoteReference"/>
        </w:rPr>
        <w:footnoteReference w:id="20"/>
      </w:r>
      <w:r w:rsidRPr="00DE6837">
        <w:t xml:space="preserve"> reporting on the 2-variant panel, were also considered informative because of the population of COPD patients, but due to population differences they could not be compared with</w:t>
      </w:r>
      <w:r w:rsidR="00EF66C4">
        <w:t xml:space="preserve"> the studies by</w:t>
      </w:r>
      <w:r w:rsidRPr="00DE6837">
        <w:t xml:space="preserve"> Snyder and Ottaviani</w:t>
      </w:r>
      <w:r w:rsidR="00EF66C4">
        <w:t>.</w:t>
      </w:r>
      <w:r w:rsidRPr="00DE6837">
        <w:t xml:space="preserve"> Additionally, it is suspected that there may be overlap in participants between these papers, so caution was exercised when drawing conclusions from these</w:t>
      </w:r>
      <w:r>
        <w:t xml:space="preserve"> findings.</w:t>
      </w:r>
    </w:p>
    <w:p w14:paraId="3EBB167C" w14:textId="34FC1032" w:rsidR="00EF66C4" w:rsidRDefault="00DE6837" w:rsidP="009B136F">
      <w:pPr>
        <w:spacing w:before="240"/>
      </w:pPr>
      <w:r w:rsidRPr="00DE6837">
        <w:t xml:space="preserve">The </w:t>
      </w:r>
      <w:r w:rsidR="00B27F12">
        <w:t xml:space="preserve">phenotypic </w:t>
      </w:r>
      <w:r w:rsidRPr="00DE6837">
        <w:t>diagnostic yield of IEF</w:t>
      </w:r>
      <w:r w:rsidR="00066591">
        <w:t xml:space="preserve"> used in the DCAR’s analysis</w:t>
      </w:r>
      <w:r w:rsidRPr="00DE6837">
        <w:t xml:space="preserve"> was 14.6%, as reported by a single study</w:t>
      </w:r>
      <w:r w:rsidR="00EF66C4">
        <w:t xml:space="preserve">, Snyder </w:t>
      </w:r>
      <w:r w:rsidR="00E92BE2">
        <w:t xml:space="preserve">et al. </w:t>
      </w:r>
      <w:r w:rsidR="00EF66C4">
        <w:t>2006.</w:t>
      </w:r>
      <w:r w:rsidRPr="00DE6837">
        <w:t xml:space="preserve"> The yield for the 2-variant panel was estimated to be 13.7% to 20.1%. Within a single population, the diagnostic yield of IEF was higher than that of the </w:t>
      </w:r>
      <w:r w:rsidR="009B136F">
        <w:br/>
      </w:r>
      <w:r w:rsidRPr="00DE6837">
        <w:t xml:space="preserve">2-variant panel, 14.6% and 13.7%, respectively. In patients with COPD (k = 2), the 2-variant panel gave a diagnostic yield of 25.8% and 33.6%. The 14-variant panel (Progenika) gave a diagnostic yield of 24.2%, which is slightly higher than the estimated diagnostic yield for </w:t>
      </w:r>
      <w:r w:rsidR="00DE464A">
        <w:t xml:space="preserve">the </w:t>
      </w:r>
      <w:r w:rsidR="009B136F">
        <w:br/>
      </w:r>
      <w:r w:rsidRPr="00DE6837">
        <w:t xml:space="preserve">2-variant panel (20.1%). This higher comparative diagnostic yield (additional 4.1%) is likely to have occurred because the Progenika panel captures </w:t>
      </w:r>
      <w:r w:rsidR="00066591">
        <w:t>12 further</w:t>
      </w:r>
      <w:r w:rsidR="00066591" w:rsidRPr="00DE6837">
        <w:t xml:space="preserve"> </w:t>
      </w:r>
      <w:r w:rsidRPr="00DE6837">
        <w:rPr>
          <w:i/>
        </w:rPr>
        <w:t>SERPINA1</w:t>
      </w:r>
      <w:r w:rsidRPr="00DE6837">
        <w:t xml:space="preserve"> variants in addition to the PI*S and PI*Z variants </w:t>
      </w:r>
      <w:r w:rsidR="00EF66C4">
        <w:t>targeted by the 2-variant panel.</w:t>
      </w:r>
    </w:p>
    <w:p w14:paraId="5717E3E6" w14:textId="2C4F3CB5" w:rsidR="00DE6837" w:rsidRDefault="00DE6837" w:rsidP="009B136F">
      <w:pPr>
        <w:spacing w:before="240"/>
      </w:pPr>
      <w:r w:rsidRPr="00DE6837">
        <w:t>The</w:t>
      </w:r>
      <w:r w:rsidR="00690FF6">
        <w:t xml:space="preserve"> DCAR noted that the</w:t>
      </w:r>
      <w:r w:rsidRPr="00DE6837">
        <w:t xml:space="preserve"> diagnostic yield of sequencing was calculated from highly enriched populations. The diagnostic yield in samples that had a negative result on the 14-variant panel was 12.3%. In a highly enriched population, the yield for sequencing ranged from 38% to 79%. </w:t>
      </w:r>
      <w:r w:rsidRPr="00DE6837">
        <w:lastRenderedPageBreak/>
        <w:t xml:space="preserve">The diagnostic yield of sequencing after performing the 14-variant panel test was 5.3% in a comparatively less enriched (and consequently more applicable) population. </w:t>
      </w:r>
    </w:p>
    <w:p w14:paraId="4A8ED49B" w14:textId="572C5798" w:rsidR="00DE6837" w:rsidRDefault="00DE6837" w:rsidP="009B136F">
      <w:pPr>
        <w:spacing w:before="240"/>
      </w:pPr>
      <w:r w:rsidRPr="00DE6837">
        <w:t xml:space="preserve">The effect of the varied serum thresholds used for inclusion in the studies on the diagnostic yields is uncertain. </w:t>
      </w:r>
      <w:r w:rsidR="00FB39F7">
        <w:t xml:space="preserve">A </w:t>
      </w:r>
      <w:r w:rsidR="00FB39F7" w:rsidRPr="00DE6837">
        <w:t>l</w:t>
      </w:r>
      <w:r w:rsidRPr="00DE6837">
        <w:t xml:space="preserve">ower AAT </w:t>
      </w:r>
      <w:r w:rsidR="009C6DC4">
        <w:t>concentration</w:t>
      </w:r>
      <w:r w:rsidR="009C6DC4" w:rsidRPr="00DE6837">
        <w:t xml:space="preserve"> </w:t>
      </w:r>
      <w:r w:rsidRPr="00DE6837">
        <w:t>typically (but not exclusively) indicate</w:t>
      </w:r>
      <w:r w:rsidR="009C6DC4">
        <w:t>s</w:t>
      </w:r>
      <w:r w:rsidRPr="00DE6837">
        <w:t xml:space="preserve"> more severe disease and </w:t>
      </w:r>
      <w:r w:rsidR="00362ED2">
        <w:t>is</w:t>
      </w:r>
      <w:r w:rsidRPr="00DE6837">
        <w:t xml:space="preserve"> a result of pathogenic alleles such as PI*Z or null alleles. Consequently, studies implementing comparatively lower AAT thresholds than the proposed PICO (&lt;20</w:t>
      </w:r>
      <w:r w:rsidR="004B7079">
        <w:t> </w:t>
      </w:r>
      <w:r w:rsidRPr="00DE6837">
        <w:t xml:space="preserve">µmol/L) may be biased towards the inclusion of participants with pathogenic variants causing more severe AATD. Studies </w:t>
      </w:r>
      <w:r w:rsidR="00EC19EF">
        <w:t>with a lower threshold than this</w:t>
      </w:r>
      <w:r w:rsidRPr="00DE6837">
        <w:t xml:space="preserve"> may overestimate the number of pathogenic variants in a sample population. However, </w:t>
      </w:r>
      <w:r w:rsidR="00EC19EF">
        <w:t>diagnostic yields were calculated based on the presence of ≥1 variant irrespective of pathogenicity. G</w:t>
      </w:r>
      <w:r w:rsidRPr="00DE6837">
        <w:t xml:space="preserve">iven that most of the study populations </w:t>
      </w:r>
      <w:r w:rsidR="00EC19EF">
        <w:t xml:space="preserve">(by inclusion criteria) </w:t>
      </w:r>
      <w:r w:rsidRPr="00DE6837">
        <w:t>were less enriched than the PICO population, and consequently underestimate the diagnostic yield, the applicability of the diagnostic yields to the Australia</w:t>
      </w:r>
      <w:r>
        <w:t>n setting is highly uncertain.</w:t>
      </w:r>
    </w:p>
    <w:p w14:paraId="647F2748" w14:textId="1945B781" w:rsidR="00DE6837" w:rsidRPr="00DE6837" w:rsidRDefault="00DE6837" w:rsidP="009B136F">
      <w:pPr>
        <w:pStyle w:val="Heading3"/>
        <w:spacing w:before="240"/>
      </w:pPr>
      <w:r w:rsidRPr="00DE6837">
        <w:t>Concordance</w:t>
      </w:r>
    </w:p>
    <w:p w14:paraId="070636E1" w14:textId="30F8AB11" w:rsidR="00294511" w:rsidRPr="00DE6837" w:rsidRDefault="00DE6837" w:rsidP="00B05487">
      <w:pPr>
        <w:rPr>
          <w:lang w:val="en-US"/>
        </w:rPr>
      </w:pPr>
      <w:r w:rsidRPr="00DE6837">
        <w:t>Four of the studies that reported on diagnostic accuracy and diagnostic yield also reported on concordance or discrepancies between tests</w:t>
      </w:r>
      <w:r w:rsidRPr="00DE6837">
        <w:rPr>
          <w:lang w:val="en-US"/>
        </w:rPr>
        <w:t>.</w:t>
      </w:r>
      <w:r w:rsidRPr="00DE6837">
        <w:t xml:space="preserve"> A report by the US F</w:t>
      </w:r>
      <w:r w:rsidR="00EF66C4">
        <w:t xml:space="preserve">ood and </w:t>
      </w:r>
      <w:r w:rsidRPr="00DE6837">
        <w:t>D</w:t>
      </w:r>
      <w:r w:rsidR="00EF66C4">
        <w:t xml:space="preserve">rug </w:t>
      </w:r>
      <w:r w:rsidRPr="00DE6837">
        <w:t>A</w:t>
      </w:r>
      <w:r w:rsidR="00EF66C4">
        <w:t>dministration</w:t>
      </w:r>
      <w:r w:rsidR="00EF66C4">
        <w:rPr>
          <w:rStyle w:val="FootnoteReference"/>
        </w:rPr>
        <w:footnoteReference w:id="21"/>
      </w:r>
      <w:r w:rsidRPr="00DE6837">
        <w:t xml:space="preserve"> found 100% agreement between the 14-variant panel and sequencing. However, there was substantial risk of bias in this study because the samples were selected based on the presence of the variants targeted by the panel test being investigated. Discordance between the 14-variant panel and a traditional algorithm (IEF and 2-variant panel) was 4%. In the same population, 33% of samples tested with IEF and the 2-variant panel were discordant. An additional </w:t>
      </w:r>
      <w:r w:rsidR="00EF66C4">
        <w:t>two</w:t>
      </w:r>
      <w:r w:rsidRPr="00DE6837">
        <w:t xml:space="preserve"> studies</w:t>
      </w:r>
      <w:r w:rsidR="00EF66C4">
        <w:t xml:space="preserve"> (Ottaviani et al. 2020, Graham et al. 2015</w:t>
      </w:r>
      <w:r w:rsidR="00EF66C4">
        <w:rPr>
          <w:rStyle w:val="FootnoteReference"/>
        </w:rPr>
        <w:footnoteReference w:id="22"/>
      </w:r>
      <w:r w:rsidR="00EF66C4">
        <w:t>)</w:t>
      </w:r>
      <w:r w:rsidRPr="00DE6837">
        <w:t xml:space="preserve"> reported rates of discordance between IEF and the 2-variant panel at 1.2% and 2% of samples. The higher rate of discordant results in </w:t>
      </w:r>
      <w:r w:rsidR="00EF66C4">
        <w:t>the</w:t>
      </w:r>
      <w:r w:rsidRPr="00DE6837">
        <w:t xml:space="preserve"> study </w:t>
      </w:r>
      <w:r w:rsidR="00EF66C4">
        <w:t xml:space="preserve">by Ottaviani et al. </w:t>
      </w:r>
      <w:r w:rsidRPr="00DE6837">
        <w:t xml:space="preserve">may be attributable to the greater proportion of patients with </w:t>
      </w:r>
      <w:r w:rsidR="00FA0BB8">
        <w:t>non-panel</w:t>
      </w:r>
      <w:r w:rsidR="00FA0BB8" w:rsidRPr="00DE6837">
        <w:t xml:space="preserve"> </w:t>
      </w:r>
      <w:r w:rsidRPr="00DE6837">
        <w:t>variants in the sample population, compared with those in the studies by Graham or Snyder</w:t>
      </w:r>
      <w:r w:rsidR="00EF66C4">
        <w:t>. Snyder</w:t>
      </w:r>
      <w:r w:rsidRPr="00DE6837">
        <w:t xml:space="preserve"> </w:t>
      </w:r>
      <w:r w:rsidR="00EF66C4">
        <w:t xml:space="preserve">et al. </w:t>
      </w:r>
      <w:r w:rsidRPr="00DE6837">
        <w:t xml:space="preserve">also reported on discordance between IEF and the 2-variant panel, reporting a rate of 15%. </w:t>
      </w:r>
      <w:r w:rsidRPr="00DE6837">
        <w:rPr>
          <w:lang w:val="en-US"/>
        </w:rPr>
        <w:t>These discrepant results were mainly explained by the presence of null alleles (3 of 8 cases) or variants not captured by the 2-variant panel test (3 of 8 cases). The remaining discrepancies were detected in one patient with a PI*Z allele, where AAT was either not produced or not secreted into the bloodstream, resulting in the identification of the PI*MM phenotype only; and one patient who was receiving augmentation therapy unbeknownst to the investigators.</w:t>
      </w:r>
    </w:p>
    <w:p w14:paraId="44194310" w14:textId="77777777" w:rsidR="00294511" w:rsidRDefault="00294511" w:rsidP="009B136F">
      <w:pPr>
        <w:pStyle w:val="Heading2"/>
        <w:spacing w:before="240"/>
      </w:pPr>
      <w:r>
        <w:t>Clinical validity</w:t>
      </w:r>
    </w:p>
    <w:p w14:paraId="6DFC1A9C" w14:textId="460F797B" w:rsidR="00DE6837" w:rsidRDefault="00DE6837" w:rsidP="00B05487">
      <w:r w:rsidRPr="00DE6837">
        <w:t xml:space="preserve">When penetrance is low, clinical validity is significantly reduced. Evidence on the prevalence of AATD genetic variants and the association between these variants and lung and liver disease was used to establish which specific variants cause disease and the number of Australians affected/degree of penetrance of known variants of the </w:t>
      </w:r>
      <w:r w:rsidRPr="00DE6837">
        <w:rPr>
          <w:i/>
          <w:iCs/>
        </w:rPr>
        <w:t>SERPINA1</w:t>
      </w:r>
      <w:r w:rsidRPr="00DE6837">
        <w:t xml:space="preserve"> gene.</w:t>
      </w:r>
    </w:p>
    <w:p w14:paraId="7B95BE57" w14:textId="0A9C67B3" w:rsidR="00DE6837" w:rsidRDefault="00DE6837" w:rsidP="009B136F">
      <w:pPr>
        <w:spacing w:before="240"/>
      </w:pPr>
      <w:r w:rsidRPr="00DE6837">
        <w:t xml:space="preserve">The prevalence of variants can depend on the </w:t>
      </w:r>
      <w:r w:rsidR="007A6B4F">
        <w:t xml:space="preserve">ethnicity </w:t>
      </w:r>
      <w:r w:rsidRPr="00DE6837">
        <w:t xml:space="preserve">of the population. Two studies reported on the prevalence of AATD </w:t>
      </w:r>
      <w:r w:rsidR="002B508B">
        <w:t>in the Australian population</w:t>
      </w:r>
      <w:r w:rsidRPr="00066591">
        <w:rPr>
          <w:highlight w:val="magenta"/>
        </w:rPr>
        <w:fldChar w:fldCharType="begin">
          <w:fldData xml:space="preserve">PEVuZE5vdGU+PENpdGU+PEF1dGhvcj5kZSBTZXJyZXM8L0F1dGhvcj48WWVhcj4yMDAzPC9ZZWFy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</w:fldData>
        </w:fldChar>
      </w:r>
      <w:r w:rsidRPr="00066591">
        <w:rPr>
          <w:highlight w:val="magenta"/>
        </w:rPr>
        <w:instrText xml:space="preserve"> ADDIN EN.CITE </w:instrText>
      </w:r>
      <w:r w:rsidRPr="00066591">
        <w:rPr>
          <w:highlight w:val="magenta"/>
        </w:rPr>
        <w:fldChar w:fldCharType="begin">
          <w:fldData xml:space="preserve">PEVuZE5vdGU+PENpdGU+PEF1dGhvcj5kZSBTZXJyZXM8L0F1dGhvcj48WWVhcj4yMDAzPC9ZZWFy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</w:fldData>
        </w:fldChar>
      </w:r>
      <w:r w:rsidRPr="00066591">
        <w:rPr>
          <w:highlight w:val="magenta"/>
        </w:rPr>
        <w:instrText xml:space="preserve"> ADDIN EN.CITE.DATA </w:instrText>
      </w:r>
      <w:r w:rsidRPr="00066591">
        <w:rPr>
          <w:highlight w:val="magenta"/>
        </w:rPr>
      </w:r>
      <w:r w:rsidRPr="00066591">
        <w:rPr>
          <w:highlight w:val="magenta"/>
        </w:rPr>
        <w:fldChar w:fldCharType="end"/>
      </w:r>
      <w:r w:rsidRPr="00066591">
        <w:rPr>
          <w:highlight w:val="magenta"/>
        </w:rPr>
      </w:r>
      <w:r w:rsidRPr="00066591">
        <w:rPr>
          <w:highlight w:val="magenta"/>
        </w:rPr>
        <w:fldChar w:fldCharType="end"/>
      </w:r>
      <w:r w:rsidR="007A6B4F">
        <w:t xml:space="preserve"> (</w:t>
      </w:r>
      <w:r w:rsidR="00095E12">
        <w:fldChar w:fldCharType="begin"/>
      </w:r>
      <w:r w:rsidR="00095E12">
        <w:instrText xml:space="preserve"> REF _Ref66396531 </w:instrText>
      </w:r>
      <w:r w:rsidR="00095E12">
        <w:fldChar w:fldCharType="separate"/>
      </w:r>
      <w:r w:rsidR="00095E12">
        <w:t xml:space="preserve">Table </w:t>
      </w:r>
      <w:r w:rsidR="00095E12">
        <w:rPr>
          <w:noProof/>
        </w:rPr>
        <w:t>6</w:t>
      </w:r>
      <w:r w:rsidR="00095E12">
        <w:rPr>
          <w:noProof/>
        </w:rPr>
        <w:fldChar w:fldCharType="end"/>
      </w:r>
      <w:r w:rsidR="007A6B4F">
        <w:t>)</w:t>
      </w:r>
      <w:r w:rsidRPr="00DE6837">
        <w:t xml:space="preserve">. In a recent study of </w:t>
      </w:r>
      <w:r w:rsidR="00EF66C4">
        <w:t>eight</w:t>
      </w:r>
      <w:r w:rsidRPr="00DE6837">
        <w:t xml:space="preserve"> AAT cohort studies in Australia</w:t>
      </w:r>
      <w:r w:rsidR="00EF66C4">
        <w:rPr>
          <w:rStyle w:val="FootnoteReference"/>
        </w:rPr>
        <w:footnoteReference w:id="23"/>
      </w:r>
      <w:r w:rsidRPr="00DE6837">
        <w:t xml:space="preserve">, the reported prevalence of the PI*ZZ genotype (severe AATD) is 1 in 5,572—equating to a total of 4,126 affected individuals (95% CI; 2,894–5,695) </w:t>
      </w:r>
      <w:r w:rsidRPr="00DE6837">
        <w:lastRenderedPageBreak/>
        <w:t>of 22,992,654 individuals (the population of Australia when the study was conducted). The study by de Serres et al.</w:t>
      </w:r>
      <w:r w:rsidR="002B508B">
        <w:rPr>
          <w:rStyle w:val="FootnoteReference"/>
        </w:rPr>
        <w:footnoteReference w:id="24"/>
      </w:r>
      <w:r w:rsidRPr="00DE6837">
        <w:t xml:space="preserve"> reported on mean frequency of AATD protein variants among the Indigenous and non-Indigenous populations</w:t>
      </w:r>
      <w:r w:rsidR="00FC7CC2">
        <w:t>;</w:t>
      </w:r>
      <w:r w:rsidR="00FC7CC2" w:rsidRPr="00FC7CC2">
        <w:t xml:space="preserve"> </w:t>
      </w:r>
      <w:r w:rsidR="00FC7CC2" w:rsidRPr="00DE6837">
        <w:t xml:space="preserve">however, this </w:t>
      </w:r>
      <w:r w:rsidR="00FC7CC2" w:rsidRPr="00DE6837" w:rsidDel="009D04EC">
        <w:t xml:space="preserve">does </w:t>
      </w:r>
      <w:r w:rsidR="00FC7CC2" w:rsidRPr="00DE6837">
        <w:t xml:space="preserve">not represent the complete demographic profile of the Australian population. A significant limitation was the lack of studies representing the west and southwest regions of Australia. The most common </w:t>
      </w:r>
      <w:r w:rsidR="00FC7CC2" w:rsidRPr="00DE6837">
        <w:rPr>
          <w:i/>
        </w:rPr>
        <w:t>SERPINA1</w:t>
      </w:r>
      <w:r w:rsidR="00FC7CC2" w:rsidRPr="00DE6837">
        <w:t xml:space="preserve"> variants specific to the different ethnicities within the Australian population should be determined by Australian laboratories to ensure the adequate clinical validity of targeted genotyping.</w:t>
      </w:r>
    </w:p>
    <w:p w14:paraId="4F893314" w14:textId="1903519B" w:rsidR="00645C2D" w:rsidRDefault="00645C2D" w:rsidP="009B136F">
      <w:pPr>
        <w:pStyle w:val="Caption"/>
        <w:spacing w:before="240"/>
        <w:ind w:right="-23"/>
      </w:pPr>
      <w:bookmarkStart w:id="18" w:name="_Ref66396531"/>
      <w:bookmarkStart w:id="19" w:name="_Toc72826842"/>
      <w:r>
        <w:t xml:space="preserve">Table </w:t>
      </w:r>
      <w:r>
        <w:rPr>
          <w:noProof/>
        </w:rPr>
        <w:fldChar w:fldCharType="begin"/>
      </w:r>
      <w:r>
        <w:rPr>
          <w:noProof/>
        </w:rPr>
        <w:instrText xml:space="preserve"> SEQ Table \* ARABIC </w:instrText>
      </w:r>
      <w:r>
        <w:rPr>
          <w:noProof/>
        </w:rPr>
        <w:fldChar w:fldCharType="separate"/>
      </w:r>
      <w:r w:rsidR="00095E12">
        <w:rPr>
          <w:noProof/>
        </w:rPr>
        <w:t>6</w:t>
      </w:r>
      <w:r>
        <w:rPr>
          <w:noProof/>
        </w:rPr>
        <w:fldChar w:fldCharType="end"/>
      </w:r>
      <w:bookmarkEnd w:id="18"/>
      <w:r>
        <w:rPr>
          <w:noProof/>
        </w:rPr>
        <w:tab/>
      </w:r>
      <w:r>
        <w:t>Prevalence of</w:t>
      </w:r>
      <w:r w:rsidR="007A6B4F">
        <w:t xml:space="preserve"> two most common</w:t>
      </w:r>
      <w:r>
        <w:t xml:space="preserve"> AAT protein variants in Australia </w:t>
      </w:r>
      <w:bookmarkEnd w:id="19"/>
    </w:p>
    <w:tbl>
      <w:tblPr>
        <w:tblStyle w:val="TableGrid8"/>
        <w:tblW w:w="9016" w:type="dxa"/>
        <w:tblLook w:val="04A0" w:firstRow="1" w:lastRow="0" w:firstColumn="1" w:lastColumn="0" w:noHBand="0" w:noVBand="1"/>
        <w:tblCaption w:val="Table 22 Prevalence of AAT protein variants in the Australian population"/>
        <w:tblDescription w:val="Table 22 Prevalence of AAT protein variants in the Australian population"/>
      </w:tblPr>
      <w:tblGrid>
        <w:gridCol w:w="1980"/>
        <w:gridCol w:w="2565"/>
        <w:gridCol w:w="4471"/>
      </w:tblGrid>
      <w:tr w:rsidR="00645C2D" w:rsidRPr="00FC7CC2" w14:paraId="6A9917E4" w14:textId="77777777" w:rsidTr="007228BE">
        <w:tc>
          <w:tcPr>
            <w:tcW w:w="1980" w:type="dxa"/>
            <w:shd w:val="clear" w:color="auto" w:fill="D9D9D9" w:themeFill="background1" w:themeFillShade="D9"/>
          </w:tcPr>
          <w:p w14:paraId="5D796606" w14:textId="77777777" w:rsidR="00645C2D" w:rsidRPr="00FC7CC2" w:rsidRDefault="00645C2D" w:rsidP="00B05487">
            <w:pPr>
              <w:ind w:right="-23"/>
              <w:rPr>
                <w:rFonts w:ascii="Arial Narrow" w:hAnsi="Arial Narrow"/>
                <w:b/>
                <w:bCs/>
                <w:sz w:val="20"/>
              </w:rPr>
            </w:pPr>
            <w:r w:rsidRPr="00FC7CC2">
              <w:rPr>
                <w:rFonts w:ascii="Arial Narrow" w:hAnsi="Arial Narrow"/>
                <w:b/>
                <w:bCs/>
                <w:sz w:val="20"/>
              </w:rPr>
              <w:t>Author, Year</w:t>
            </w:r>
          </w:p>
          <w:p w14:paraId="154BD344" w14:textId="77777777" w:rsidR="00645C2D" w:rsidRPr="00FC7CC2" w:rsidRDefault="00645C2D" w:rsidP="00B05487">
            <w:pPr>
              <w:ind w:right="-23"/>
              <w:rPr>
                <w:rFonts w:ascii="Arial Narrow" w:hAnsi="Arial Narrow"/>
                <w:b/>
                <w:bCs/>
                <w:sz w:val="20"/>
              </w:rPr>
            </w:pPr>
            <w:r w:rsidRPr="00FC7CC2">
              <w:rPr>
                <w:rFonts w:ascii="Arial Narrow" w:hAnsi="Arial Narrow"/>
                <w:b/>
                <w:bCs/>
                <w:sz w:val="20"/>
              </w:rPr>
              <w:t>Study Design</w:t>
            </w:r>
          </w:p>
        </w:tc>
        <w:tc>
          <w:tcPr>
            <w:tcW w:w="2565" w:type="dxa"/>
            <w:shd w:val="clear" w:color="auto" w:fill="D9D9D9" w:themeFill="background1" w:themeFillShade="D9"/>
          </w:tcPr>
          <w:p w14:paraId="18F49E70" w14:textId="77777777" w:rsidR="00645C2D" w:rsidRPr="00FC7CC2" w:rsidRDefault="00645C2D" w:rsidP="00B05487">
            <w:pPr>
              <w:ind w:right="-23"/>
              <w:rPr>
                <w:rFonts w:ascii="Arial Narrow" w:hAnsi="Arial Narrow"/>
                <w:b/>
                <w:bCs/>
                <w:sz w:val="20"/>
              </w:rPr>
            </w:pPr>
            <w:r w:rsidRPr="00FC7CC2">
              <w:rPr>
                <w:rFonts w:ascii="Arial Narrow" w:hAnsi="Arial Narrow"/>
                <w:b/>
                <w:bCs/>
                <w:sz w:val="20"/>
              </w:rPr>
              <w:t>Population and Sample Size</w:t>
            </w:r>
          </w:p>
        </w:tc>
        <w:tc>
          <w:tcPr>
            <w:tcW w:w="4471" w:type="dxa"/>
            <w:shd w:val="clear" w:color="auto" w:fill="D9D9D9" w:themeFill="background1" w:themeFillShade="D9"/>
          </w:tcPr>
          <w:p w14:paraId="7B6EF425" w14:textId="77777777" w:rsidR="00645C2D" w:rsidRPr="00FC7CC2" w:rsidRDefault="00645C2D" w:rsidP="00B05487">
            <w:pPr>
              <w:ind w:right="-23"/>
              <w:rPr>
                <w:rFonts w:ascii="Arial Narrow" w:hAnsi="Arial Narrow"/>
                <w:b/>
                <w:sz w:val="20"/>
              </w:rPr>
            </w:pPr>
            <w:r w:rsidRPr="00FC7CC2">
              <w:rPr>
                <w:rFonts w:ascii="Arial Narrow" w:hAnsi="Arial Narrow"/>
                <w:b/>
                <w:sz w:val="20"/>
              </w:rPr>
              <w:t>Results</w:t>
            </w:r>
          </w:p>
        </w:tc>
      </w:tr>
      <w:tr w:rsidR="00645C2D" w:rsidRPr="00FC7CC2" w14:paraId="7D9C0900" w14:textId="77777777" w:rsidTr="00CD1217">
        <w:trPr>
          <w:trHeight w:val="841"/>
        </w:trPr>
        <w:tc>
          <w:tcPr>
            <w:tcW w:w="1980" w:type="dxa"/>
          </w:tcPr>
          <w:p w14:paraId="0E3667C3" w14:textId="3AD0A730" w:rsidR="00645C2D" w:rsidRPr="00FC7CC2" w:rsidRDefault="00645C2D" w:rsidP="00B05487">
            <w:pPr>
              <w:ind w:right="-23"/>
              <w:rPr>
                <w:rFonts w:ascii="Arial Narrow" w:hAnsi="Arial Narrow"/>
                <w:sz w:val="20"/>
              </w:rPr>
            </w:pPr>
            <w:r w:rsidRPr="00FC7CC2">
              <w:rPr>
                <w:rFonts w:ascii="Arial Narrow" w:hAnsi="Arial Narrow"/>
                <w:sz w:val="20"/>
              </w:rPr>
              <w:t>Blanco et al</w:t>
            </w:r>
            <w:r w:rsidR="002B508B">
              <w:rPr>
                <w:rFonts w:ascii="Arial Narrow" w:hAnsi="Arial Narrow"/>
                <w:sz w:val="20"/>
              </w:rPr>
              <w:t>.</w:t>
            </w:r>
            <w:r w:rsidRPr="00FC7CC2">
              <w:rPr>
                <w:rFonts w:ascii="Arial Narrow" w:hAnsi="Arial Narrow"/>
                <w:sz w:val="20"/>
              </w:rPr>
              <w:t>, 2017</w:t>
            </w:r>
            <w:r w:rsidRPr="00191996">
              <w:rPr>
                <w:rFonts w:ascii="Arial Narrow" w:hAnsi="Arial Narrow"/>
                <w:sz w:val="20"/>
                <w:highlight w:val="magenta"/>
              </w:rPr>
              <w:fldChar w:fldCharType="begin">
                <w:fldData xml:space="preserve">PEVuZE5vdGU+PENpdGU+PEF1dGhvcj5CbGFuY288L0F1dGhvcj48WWVhcj4yMDE3PC9ZZWFyPjxS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</w:fldData>
              </w:fldChar>
            </w:r>
            <w:r w:rsidRPr="00191996">
              <w:rPr>
                <w:rFonts w:ascii="Arial Narrow" w:hAnsi="Arial Narrow"/>
                <w:sz w:val="20"/>
                <w:highlight w:val="magenta"/>
              </w:rPr>
              <w:instrText xml:space="preserve"> ADDIN EN.CITE </w:instrText>
            </w:r>
            <w:r w:rsidRPr="00191996">
              <w:rPr>
                <w:rFonts w:ascii="Arial Narrow" w:hAnsi="Arial Narrow"/>
                <w:sz w:val="20"/>
                <w:highlight w:val="magenta"/>
              </w:rPr>
              <w:fldChar w:fldCharType="begin">
                <w:fldData xml:space="preserve">PEVuZE5vdGU+PENpdGU+PEF1dGhvcj5CbGFuY288L0F1dGhvcj48WWVhcj4yMDE3PC9ZZWFyPjxS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</w:fldData>
              </w:fldChar>
            </w:r>
            <w:r w:rsidRPr="00191996">
              <w:rPr>
                <w:rFonts w:ascii="Arial Narrow" w:hAnsi="Arial Narrow"/>
                <w:sz w:val="20"/>
                <w:highlight w:val="magenta"/>
              </w:rPr>
              <w:instrText xml:space="preserve"> ADDIN EN.CITE.DATA </w:instrText>
            </w:r>
            <w:r w:rsidRPr="00191996">
              <w:rPr>
                <w:rFonts w:ascii="Arial Narrow" w:hAnsi="Arial Narrow"/>
                <w:sz w:val="20"/>
                <w:highlight w:val="magenta"/>
              </w:rPr>
            </w:r>
            <w:r w:rsidRPr="00191996">
              <w:rPr>
                <w:rFonts w:ascii="Arial Narrow" w:hAnsi="Arial Narrow"/>
                <w:sz w:val="20"/>
                <w:highlight w:val="magenta"/>
              </w:rPr>
              <w:fldChar w:fldCharType="end"/>
            </w:r>
            <w:r w:rsidRPr="00191996">
              <w:rPr>
                <w:rFonts w:ascii="Arial Narrow" w:hAnsi="Arial Narrow"/>
                <w:sz w:val="20"/>
                <w:highlight w:val="magenta"/>
              </w:rPr>
            </w:r>
            <w:r w:rsidRPr="00191996">
              <w:rPr>
                <w:rFonts w:ascii="Arial Narrow" w:hAnsi="Arial Narrow"/>
                <w:sz w:val="20"/>
                <w:highlight w:val="magenta"/>
              </w:rPr>
              <w:fldChar w:fldCharType="end"/>
            </w:r>
            <w:r w:rsidR="002B508B" w:rsidRPr="00FC7CC2">
              <w:rPr>
                <w:rFonts w:ascii="Arial Narrow" w:hAnsi="Arial Narrow"/>
                <w:sz w:val="20"/>
              </w:rPr>
              <w:t xml:space="preserve"> </w:t>
            </w:r>
          </w:p>
          <w:p w14:paraId="583766D3" w14:textId="77777777" w:rsidR="00645C2D" w:rsidRPr="00FC7CC2" w:rsidRDefault="00645C2D" w:rsidP="00B05487">
            <w:pPr>
              <w:ind w:right="-23"/>
              <w:rPr>
                <w:rFonts w:ascii="Arial Narrow" w:hAnsi="Arial Narrow"/>
                <w:sz w:val="20"/>
              </w:rPr>
            </w:pPr>
          </w:p>
          <w:p w14:paraId="60709553" w14:textId="77777777" w:rsidR="00645C2D" w:rsidRPr="00FC7CC2" w:rsidRDefault="00645C2D" w:rsidP="00B05487">
            <w:pPr>
              <w:ind w:right="-23"/>
              <w:rPr>
                <w:rFonts w:ascii="Arial Narrow" w:hAnsi="Arial Narrow"/>
                <w:sz w:val="20"/>
              </w:rPr>
            </w:pPr>
            <w:r w:rsidRPr="00FC7CC2">
              <w:rPr>
                <w:rFonts w:ascii="Arial Narrow" w:hAnsi="Arial Narrow"/>
                <w:sz w:val="20"/>
              </w:rPr>
              <w:t>Cross-sectional study</w:t>
            </w:r>
          </w:p>
        </w:tc>
        <w:tc>
          <w:tcPr>
            <w:tcW w:w="2565" w:type="dxa"/>
          </w:tcPr>
          <w:p w14:paraId="5A1D87D6" w14:textId="77777777" w:rsidR="00645C2D" w:rsidRPr="00FC7CC2" w:rsidRDefault="00645C2D" w:rsidP="00B05487">
            <w:pPr>
              <w:ind w:right="-23"/>
              <w:rPr>
                <w:rFonts w:ascii="Arial Narrow" w:hAnsi="Arial Narrow"/>
                <w:sz w:val="20"/>
              </w:rPr>
            </w:pPr>
            <w:r w:rsidRPr="00FC7CC2">
              <w:rPr>
                <w:rFonts w:ascii="Arial Narrow" w:hAnsi="Arial Narrow"/>
                <w:sz w:val="20"/>
                <w:lang w:val="en-US"/>
              </w:rPr>
              <w:t>n = 5,536 from 8 cohorts in Australia</w:t>
            </w:r>
          </w:p>
        </w:tc>
        <w:tc>
          <w:tcPr>
            <w:tcW w:w="4471" w:type="dxa"/>
          </w:tcPr>
          <w:p w14:paraId="39F11228" w14:textId="77777777" w:rsidR="00645C2D" w:rsidRPr="00FC7CC2" w:rsidRDefault="00645C2D" w:rsidP="00B05487">
            <w:pPr>
              <w:ind w:right="-23"/>
              <w:rPr>
                <w:rFonts w:ascii="Arial Narrow" w:hAnsi="Arial Narrow"/>
                <w:sz w:val="20"/>
                <w:u w:val="single"/>
                <w:lang w:val="en-US"/>
              </w:rPr>
            </w:pPr>
            <w:r w:rsidRPr="00FC7CC2">
              <w:rPr>
                <w:rFonts w:ascii="Arial Narrow" w:hAnsi="Arial Narrow"/>
                <w:sz w:val="20"/>
                <w:u w:val="single"/>
                <w:lang w:val="en-US"/>
              </w:rPr>
              <w:t>PI*ZZ frequency</w:t>
            </w:r>
          </w:p>
          <w:p w14:paraId="70525435"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13 per 1,000 (11–16)</w:t>
            </w:r>
          </w:p>
          <w:p w14:paraId="217560A1" w14:textId="77777777" w:rsidR="00645C2D" w:rsidRPr="00FC7CC2" w:rsidRDefault="00645C2D" w:rsidP="00B05487">
            <w:pPr>
              <w:ind w:right="-23"/>
              <w:rPr>
                <w:rFonts w:ascii="Arial Narrow" w:hAnsi="Arial Narrow"/>
                <w:sz w:val="20"/>
                <w:u w:val="single"/>
                <w:lang w:val="en-US"/>
              </w:rPr>
            </w:pPr>
            <w:r w:rsidRPr="00FC7CC2">
              <w:rPr>
                <w:rFonts w:ascii="Arial Narrow" w:hAnsi="Arial Narrow"/>
                <w:sz w:val="20"/>
                <w:u w:val="single"/>
                <w:lang w:val="en-US"/>
              </w:rPr>
              <w:t>PI*ZZ prevalence</w:t>
            </w:r>
          </w:p>
          <w:p w14:paraId="2F08BF34" w14:textId="657DCA11" w:rsidR="00645C2D" w:rsidRPr="00FC7CC2" w:rsidRDefault="00645C2D" w:rsidP="00B05487">
            <w:pPr>
              <w:ind w:right="-23"/>
              <w:rPr>
                <w:rFonts w:ascii="Arial Narrow" w:hAnsi="Arial Narrow"/>
                <w:sz w:val="20"/>
              </w:rPr>
            </w:pPr>
            <w:r w:rsidRPr="00FC7CC2">
              <w:rPr>
                <w:rFonts w:ascii="Arial Narrow" w:hAnsi="Arial Narrow"/>
                <w:sz w:val="20"/>
                <w:lang w:val="en-US"/>
              </w:rPr>
              <w:t>1:5,572</w:t>
            </w:r>
          </w:p>
        </w:tc>
      </w:tr>
      <w:tr w:rsidR="00645C2D" w:rsidRPr="00FC7CC2" w14:paraId="53213347" w14:textId="77777777" w:rsidTr="00CD1217">
        <w:tc>
          <w:tcPr>
            <w:tcW w:w="1980" w:type="dxa"/>
          </w:tcPr>
          <w:p w14:paraId="66124068" w14:textId="3D1C57C9" w:rsidR="00645C2D" w:rsidRPr="00FC7CC2" w:rsidRDefault="002B508B" w:rsidP="00B05487">
            <w:pPr>
              <w:ind w:right="-23"/>
              <w:rPr>
                <w:rFonts w:ascii="Arial Narrow" w:hAnsi="Arial Narrow"/>
                <w:sz w:val="20"/>
              </w:rPr>
            </w:pPr>
            <w:r>
              <w:rPr>
                <w:rFonts w:ascii="Arial Narrow" w:hAnsi="Arial Narrow"/>
                <w:sz w:val="20"/>
              </w:rPr>
              <w:t>de Serres et al., 2003</w:t>
            </w:r>
          </w:p>
          <w:p w14:paraId="653DB5EA" w14:textId="77777777" w:rsidR="00645C2D" w:rsidRPr="00FC7CC2" w:rsidRDefault="00645C2D" w:rsidP="00B05487">
            <w:pPr>
              <w:ind w:right="-23"/>
              <w:rPr>
                <w:rFonts w:ascii="Arial Narrow" w:hAnsi="Arial Narrow"/>
                <w:sz w:val="20"/>
              </w:rPr>
            </w:pPr>
          </w:p>
          <w:p w14:paraId="0B78AD93" w14:textId="77777777" w:rsidR="00645C2D" w:rsidRPr="00FC7CC2" w:rsidRDefault="00645C2D" w:rsidP="00B05487">
            <w:pPr>
              <w:ind w:right="-23"/>
              <w:rPr>
                <w:rFonts w:ascii="Arial Narrow" w:hAnsi="Arial Narrow"/>
                <w:sz w:val="20"/>
              </w:rPr>
            </w:pPr>
            <w:r w:rsidRPr="00FC7CC2">
              <w:rPr>
                <w:rFonts w:ascii="Arial Narrow" w:hAnsi="Arial Narrow"/>
                <w:sz w:val="20"/>
              </w:rPr>
              <w:t>Cohort study</w:t>
            </w:r>
          </w:p>
        </w:tc>
        <w:tc>
          <w:tcPr>
            <w:tcW w:w="2565" w:type="dxa"/>
          </w:tcPr>
          <w:p w14:paraId="71805380" w14:textId="7853A3C4" w:rsidR="00645C2D" w:rsidRPr="00FC7CC2" w:rsidRDefault="00645C2D" w:rsidP="00B05487">
            <w:pPr>
              <w:ind w:right="-23"/>
              <w:rPr>
                <w:rFonts w:ascii="Arial Narrow" w:hAnsi="Arial Narrow"/>
                <w:sz w:val="20"/>
              </w:rPr>
            </w:pPr>
            <w:r w:rsidRPr="00FC7CC2">
              <w:rPr>
                <w:rFonts w:ascii="Arial Narrow" w:hAnsi="Arial Narrow"/>
                <w:sz w:val="20"/>
                <w:lang w:val="en-US"/>
              </w:rPr>
              <w:t>n = 6,233 from 12 cohorts in Australia (4 Aboriginal, 8 Caucasian)</w:t>
            </w:r>
          </w:p>
        </w:tc>
        <w:tc>
          <w:tcPr>
            <w:tcW w:w="4471" w:type="dxa"/>
          </w:tcPr>
          <w:p w14:paraId="63104358" w14:textId="77777777" w:rsidR="00645C2D" w:rsidRPr="00FC7CC2" w:rsidRDefault="00645C2D" w:rsidP="00B05487">
            <w:pPr>
              <w:ind w:right="-23"/>
              <w:rPr>
                <w:rFonts w:ascii="Arial Narrow" w:hAnsi="Arial Narrow"/>
                <w:sz w:val="20"/>
                <w:u w:val="single"/>
                <w:lang w:val="en-US"/>
              </w:rPr>
            </w:pPr>
            <w:bookmarkStart w:id="20" w:name="_Hlk70416625"/>
            <w:r w:rsidRPr="00FC7CC2">
              <w:rPr>
                <w:rFonts w:ascii="Arial Narrow" w:hAnsi="Arial Narrow"/>
                <w:sz w:val="20"/>
                <w:u w:val="single"/>
                <w:lang w:val="en-US"/>
              </w:rPr>
              <w:t>PI*Z mean frequency</w:t>
            </w:r>
          </w:p>
          <w:p w14:paraId="01F46BE7"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Overall: 13.4 per 1,000 (11.4–15.7)</w:t>
            </w:r>
          </w:p>
          <w:p w14:paraId="18DC23BC"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Aboriginal: 0.8 per 1,000 (0.04–5.4)</w:t>
            </w:r>
          </w:p>
          <w:p w14:paraId="50539A39" w14:textId="25BDD9C6"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Caucasian: 13.4 per 1,000 (11.4–15.7)</w:t>
            </w:r>
          </w:p>
          <w:p w14:paraId="32504CA8" w14:textId="2287DC95" w:rsidR="00645C2D" w:rsidRPr="00FC7CC2" w:rsidRDefault="00645C2D" w:rsidP="00B05487">
            <w:pPr>
              <w:ind w:right="-23"/>
              <w:rPr>
                <w:rFonts w:ascii="Arial Narrow" w:hAnsi="Arial Narrow"/>
                <w:sz w:val="20"/>
                <w:u w:val="single"/>
                <w:lang w:val="en-US"/>
              </w:rPr>
            </w:pPr>
            <w:r w:rsidRPr="00FC7CC2">
              <w:rPr>
                <w:rFonts w:ascii="Arial Narrow" w:hAnsi="Arial Narrow"/>
                <w:sz w:val="20"/>
                <w:u w:val="single"/>
                <w:lang w:val="en-US"/>
              </w:rPr>
              <w:t>PI*S mean frequency</w:t>
            </w:r>
          </w:p>
          <w:p w14:paraId="4D999B9A"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Overall: 44.4 per 1,000 (40.7–48.5)</w:t>
            </w:r>
          </w:p>
          <w:p w14:paraId="18F3433B"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Aboriginal: 26.0 per 1,000 (18–37)</w:t>
            </w:r>
          </w:p>
          <w:p w14:paraId="4766F192"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Caucasian: 44.5 per 1,000 (40.8–48.5)</w:t>
            </w:r>
          </w:p>
          <w:p w14:paraId="534E3E49" w14:textId="1C529DEB" w:rsidR="00645C2D" w:rsidRPr="00FC7CC2" w:rsidRDefault="00645C2D" w:rsidP="00B05487">
            <w:pPr>
              <w:ind w:right="-23"/>
              <w:rPr>
                <w:rFonts w:ascii="Arial Narrow" w:hAnsi="Arial Narrow"/>
                <w:sz w:val="20"/>
                <w:u w:val="single"/>
                <w:lang w:val="en-US"/>
              </w:rPr>
            </w:pPr>
            <w:r w:rsidRPr="00FC7CC2">
              <w:rPr>
                <w:rFonts w:ascii="Arial Narrow" w:hAnsi="Arial Narrow"/>
                <w:sz w:val="20"/>
                <w:u w:val="single"/>
                <w:lang w:val="en-US"/>
              </w:rPr>
              <w:t>Estimat</w:t>
            </w:r>
            <w:r w:rsidR="00507F95">
              <w:rPr>
                <w:rFonts w:ascii="Arial Narrow" w:hAnsi="Arial Narrow"/>
                <w:sz w:val="20"/>
                <w:u w:val="single"/>
                <w:lang w:val="en-US"/>
              </w:rPr>
              <w:t>es</w:t>
            </w:r>
            <w:r w:rsidRPr="00FC7CC2">
              <w:rPr>
                <w:rFonts w:ascii="Arial Narrow" w:hAnsi="Arial Narrow"/>
                <w:sz w:val="20"/>
                <w:u w:val="single"/>
                <w:lang w:val="en-US"/>
              </w:rPr>
              <w:t xml:space="preserve"> of PI gen</w:t>
            </w:r>
            <w:r w:rsidR="007A6B4F" w:rsidRPr="00FC7CC2">
              <w:rPr>
                <w:rFonts w:ascii="Arial Narrow" w:hAnsi="Arial Narrow"/>
                <w:sz w:val="20"/>
                <w:u w:val="single"/>
                <w:lang w:val="en-US"/>
              </w:rPr>
              <w:t>otyp</w:t>
            </w:r>
            <w:r w:rsidRPr="00FC7CC2">
              <w:rPr>
                <w:rFonts w:ascii="Arial Narrow" w:hAnsi="Arial Narrow"/>
                <w:sz w:val="20"/>
                <w:u w:val="single"/>
                <w:lang w:val="en-US"/>
              </w:rPr>
              <w:t>e prevalence</w:t>
            </w:r>
          </w:p>
          <w:p w14:paraId="7BB864F6"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Overall (5 phenotypic classes): 1 in 8.9 individuals</w:t>
            </w:r>
          </w:p>
          <w:p w14:paraId="6C062787"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PI*MS: 1 in 12 individuals</w:t>
            </w:r>
          </w:p>
          <w:p w14:paraId="4327511E"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PI*MZ: 1 in 40 individuals</w:t>
            </w:r>
          </w:p>
          <w:p w14:paraId="565FB51A" w14:textId="79D1BCFA"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PI*SS: 1 in 507 individuals</w:t>
            </w:r>
            <w:bookmarkEnd w:id="20"/>
          </w:p>
          <w:p w14:paraId="30B3920B"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PI*SZ: 1 in 841 individuals</w:t>
            </w:r>
          </w:p>
          <w:p w14:paraId="73F6838A" w14:textId="77777777" w:rsidR="00645C2D" w:rsidRPr="00FC7CC2" w:rsidRDefault="00645C2D" w:rsidP="00B05487">
            <w:pPr>
              <w:ind w:right="-23"/>
              <w:rPr>
                <w:rFonts w:ascii="Arial Narrow" w:hAnsi="Arial Narrow"/>
                <w:sz w:val="20"/>
                <w:lang w:val="en-US"/>
              </w:rPr>
            </w:pPr>
            <w:r w:rsidRPr="00FC7CC2">
              <w:rPr>
                <w:rFonts w:ascii="Arial Narrow" w:hAnsi="Arial Narrow"/>
                <w:sz w:val="20"/>
                <w:lang w:val="en-US"/>
              </w:rPr>
              <w:t>PI*ZZ: 1 in 5,584 individuals</w:t>
            </w:r>
          </w:p>
        </w:tc>
      </w:tr>
    </w:tbl>
    <w:p w14:paraId="3BB9053B" w14:textId="751AF8B4" w:rsidR="00645C2D" w:rsidRDefault="00645C2D" w:rsidP="00B05487">
      <w:pPr>
        <w:pStyle w:val="Tablenotes1"/>
        <w:rPr>
          <w:rFonts w:eastAsia="Calibri"/>
          <w:lang w:val="en-US"/>
        </w:rPr>
      </w:pPr>
      <w:r>
        <w:rPr>
          <w:rFonts w:eastAsia="Calibri"/>
          <w:lang w:val="en-US"/>
        </w:rPr>
        <w:t xml:space="preserve">PI = protease inhibitor. </w:t>
      </w:r>
    </w:p>
    <w:p w14:paraId="506C8062" w14:textId="5C55BA44" w:rsidR="00645C2D" w:rsidRDefault="00645C2D" w:rsidP="00B05487">
      <w:pPr>
        <w:pStyle w:val="Tablenotes1"/>
        <w:rPr>
          <w:rFonts w:eastAsia="Calibri" w:cs="Calibri"/>
          <w:lang w:val="en-US"/>
        </w:rPr>
      </w:pPr>
      <w:r>
        <w:rPr>
          <w:rFonts w:eastAsia="Calibri"/>
          <w:lang w:val="en-US"/>
        </w:rPr>
        <w:t>Source: DCAR, Table 23</w:t>
      </w:r>
    </w:p>
    <w:p w14:paraId="4A2D09A5" w14:textId="1C00C46E" w:rsidR="009B136F" w:rsidRPr="001E219D" w:rsidRDefault="00617DDC" w:rsidP="009B136F">
      <w:pPr>
        <w:ind w:right="-23"/>
      </w:pPr>
      <w:r>
        <w:rPr>
          <w:rFonts w:eastAsia="Calibri"/>
        </w:rPr>
        <w:t>O</w:t>
      </w:r>
      <w:r w:rsidR="00FC7CC2">
        <w:rPr>
          <w:rFonts w:eastAsia="Calibri"/>
        </w:rPr>
        <w:t xml:space="preserve">n the association between gene variants and disease, </w:t>
      </w:r>
      <w:r>
        <w:rPr>
          <w:rFonts w:eastAsia="Calibri"/>
        </w:rPr>
        <w:t xml:space="preserve">the DCAR stated </w:t>
      </w:r>
      <w:r w:rsidR="00FC7CC2">
        <w:rPr>
          <w:rFonts w:eastAsia="Calibri"/>
        </w:rPr>
        <w:t xml:space="preserve">that </w:t>
      </w:r>
      <w:r w:rsidR="00FC7CC2" w:rsidRPr="00845725">
        <w:rPr>
          <w:rFonts w:eastAsia="Calibri"/>
        </w:rPr>
        <w:t>AATD severity depend</w:t>
      </w:r>
      <w:r w:rsidR="00FC7CC2">
        <w:rPr>
          <w:rFonts w:eastAsia="Calibri"/>
        </w:rPr>
        <w:t xml:space="preserve">s </w:t>
      </w:r>
      <w:r w:rsidR="00FC7CC2" w:rsidRPr="00845725">
        <w:rPr>
          <w:rFonts w:eastAsia="Calibri"/>
        </w:rPr>
        <w:t xml:space="preserve">on the </w:t>
      </w:r>
      <w:r w:rsidR="00FC7CC2">
        <w:rPr>
          <w:rFonts w:eastAsia="Calibri"/>
        </w:rPr>
        <w:t xml:space="preserve">patient’s </w:t>
      </w:r>
      <w:r w:rsidR="00FC7CC2" w:rsidRPr="00845725">
        <w:rPr>
          <w:rFonts w:eastAsia="Calibri"/>
        </w:rPr>
        <w:t xml:space="preserve">genotype and the resultant serum AAT </w:t>
      </w:r>
      <w:r w:rsidR="00FB39F7">
        <w:rPr>
          <w:rFonts w:eastAsia="Calibri"/>
        </w:rPr>
        <w:t>concentration</w:t>
      </w:r>
      <w:r w:rsidR="00FC7CC2" w:rsidRPr="00845725">
        <w:rPr>
          <w:rFonts w:eastAsia="Calibri"/>
        </w:rPr>
        <w:t xml:space="preserve">. </w:t>
      </w:r>
      <w:r w:rsidR="00616051">
        <w:rPr>
          <w:rFonts w:eastAsia="Calibri"/>
        </w:rPr>
        <w:t xml:space="preserve">Table 7 </w:t>
      </w:r>
      <w:r w:rsidR="00FC7CC2" w:rsidRPr="00845725">
        <w:rPr>
          <w:rFonts w:eastAsia="Calibri"/>
        </w:rPr>
        <w:t xml:space="preserve">shows the </w:t>
      </w:r>
      <w:r w:rsidR="006F4CDB">
        <w:rPr>
          <w:rFonts w:eastAsia="Calibri"/>
        </w:rPr>
        <w:t xml:space="preserve">serum AAT concentrations and </w:t>
      </w:r>
      <w:r w:rsidR="00FC7CC2" w:rsidRPr="00845725">
        <w:rPr>
          <w:rFonts w:eastAsia="Calibri"/>
        </w:rPr>
        <w:t xml:space="preserve">level of risk </w:t>
      </w:r>
      <w:r w:rsidR="00FC7CC2">
        <w:rPr>
          <w:rFonts w:eastAsia="Calibri"/>
        </w:rPr>
        <w:t>of</w:t>
      </w:r>
      <w:r w:rsidR="00FC7CC2" w:rsidRPr="00845725">
        <w:rPr>
          <w:rFonts w:eastAsia="Calibri"/>
        </w:rPr>
        <w:t xml:space="preserve"> developing lung </w:t>
      </w:r>
      <w:r w:rsidR="00FC7CC2">
        <w:rPr>
          <w:rFonts w:eastAsia="Calibri"/>
        </w:rPr>
        <w:t>or</w:t>
      </w:r>
      <w:r w:rsidR="00FC7CC2" w:rsidRPr="00845725">
        <w:rPr>
          <w:rFonts w:eastAsia="Calibri"/>
        </w:rPr>
        <w:t xml:space="preserve"> liver disease associated with </w:t>
      </w:r>
      <w:r w:rsidR="006F4CDB">
        <w:rPr>
          <w:rFonts w:eastAsia="Calibri"/>
        </w:rPr>
        <w:t xml:space="preserve">various </w:t>
      </w:r>
      <w:r w:rsidR="00FC7CC2" w:rsidRPr="00AD5B78">
        <w:rPr>
          <w:rFonts w:eastAsia="Calibri"/>
          <w:i/>
        </w:rPr>
        <w:t>SERPINA1</w:t>
      </w:r>
      <w:r w:rsidR="00FC7CC2" w:rsidRPr="00845725">
        <w:rPr>
          <w:rFonts w:eastAsia="Calibri"/>
        </w:rPr>
        <w:t xml:space="preserve"> genotypes</w:t>
      </w:r>
      <w:r w:rsidR="00FC7CC2">
        <w:rPr>
          <w:rFonts w:eastAsia="Calibri"/>
          <w:lang w:val="en-US" w:eastAsia="en-US"/>
        </w:rPr>
        <w:t>.</w:t>
      </w:r>
      <w:bookmarkStart w:id="21" w:name="_Ref66739352"/>
      <w:bookmarkStart w:id="22" w:name="_Toc72826844"/>
    </w:p>
    <w:p w14:paraId="02DF0C12" w14:textId="77777777" w:rsidR="001E219D" w:rsidRDefault="001E219D">
      <w:pPr>
        <w:spacing w:after="200" w:line="276" w:lineRule="auto"/>
        <w:rPr>
          <w:rFonts w:ascii="Arial Narrow" w:hAnsi="Arial Narrow" w:cs="Arial"/>
          <w:b/>
          <w:bCs/>
          <w:iCs/>
          <w:sz w:val="20"/>
          <w:lang w:eastAsia="en-US"/>
        </w:rPr>
      </w:pPr>
      <w:r>
        <w:br w:type="page"/>
      </w:r>
    </w:p>
    <w:p w14:paraId="658AB64D" w14:textId="4A9C3D92" w:rsidR="00FC7CC2" w:rsidRDefault="00FC7CC2" w:rsidP="009B136F">
      <w:pPr>
        <w:pStyle w:val="Caption"/>
        <w:spacing w:before="240"/>
        <w:ind w:right="-23"/>
      </w:pPr>
      <w:r>
        <w:lastRenderedPageBreak/>
        <w:t xml:space="preserve">Table </w:t>
      </w:r>
      <w:r>
        <w:rPr>
          <w:noProof/>
        </w:rPr>
        <w:fldChar w:fldCharType="begin"/>
      </w:r>
      <w:r>
        <w:rPr>
          <w:noProof/>
        </w:rPr>
        <w:instrText xml:space="preserve"> SEQ Table \* ARABIC </w:instrText>
      </w:r>
      <w:r>
        <w:rPr>
          <w:noProof/>
        </w:rPr>
        <w:fldChar w:fldCharType="separate"/>
      </w:r>
      <w:r w:rsidR="00095E12">
        <w:rPr>
          <w:noProof/>
        </w:rPr>
        <w:t>7</w:t>
      </w:r>
      <w:r>
        <w:rPr>
          <w:noProof/>
        </w:rPr>
        <w:fldChar w:fldCharType="end"/>
      </w:r>
      <w:bookmarkEnd w:id="21"/>
      <w:r>
        <w:rPr>
          <w:noProof/>
        </w:rPr>
        <w:tab/>
      </w:r>
      <w:r>
        <w:t xml:space="preserve">Genotype, serum </w:t>
      </w:r>
      <w:r w:rsidR="00FB39F7">
        <w:t>concentration</w:t>
      </w:r>
      <w:r>
        <w:t xml:space="preserve"> and risk of disease associated with AATD deficiency</w:t>
      </w:r>
      <w:bookmarkEnd w:id="22"/>
    </w:p>
    <w:tbl>
      <w:tblPr>
        <w:tblStyle w:val="TableGrid"/>
        <w:tblW w:w="5000" w:type="pct"/>
        <w:tblLook w:val="04A0" w:firstRow="1" w:lastRow="0" w:firstColumn="1" w:lastColumn="0" w:noHBand="0" w:noVBand="1"/>
        <w:tblCaption w:val="Table 24 Genotype, serum level and risk of disease associated with AATD deficiency"/>
        <w:tblDescription w:val="Table 24 Genotype, serum level and risk of disease associated with AATD deficiency"/>
      </w:tblPr>
      <w:tblGrid>
        <w:gridCol w:w="991"/>
        <w:gridCol w:w="2017"/>
        <w:gridCol w:w="1615"/>
        <w:gridCol w:w="1481"/>
        <w:gridCol w:w="3098"/>
      </w:tblGrid>
      <w:tr w:rsidR="006F4CDB" w:rsidRPr="00FC7CC2" w14:paraId="29B678E8" w14:textId="77777777" w:rsidTr="00617DDC">
        <w:trPr>
          <w:trHeight w:val="870"/>
        </w:trPr>
        <w:tc>
          <w:tcPr>
            <w:tcW w:w="516" w:type="pct"/>
            <w:shd w:val="clear" w:color="auto" w:fill="D9D9D9" w:themeFill="background1" w:themeFillShade="D9"/>
          </w:tcPr>
          <w:p w14:paraId="15808BC8" w14:textId="77777777" w:rsidR="00FC7CC2" w:rsidRPr="00FC7CC2" w:rsidRDefault="00FC7CC2" w:rsidP="00B05487">
            <w:pPr>
              <w:spacing w:after="160" w:line="259" w:lineRule="auto"/>
              <w:ind w:right="-23"/>
              <w:rPr>
                <w:rFonts w:ascii="Arial Narrow" w:eastAsia="Calibri" w:hAnsi="Arial Narrow"/>
                <w:b/>
                <w:sz w:val="20"/>
                <w:lang w:val="en-US" w:eastAsia="en-US"/>
              </w:rPr>
            </w:pPr>
            <w:r w:rsidRPr="00FC7CC2">
              <w:rPr>
                <w:rFonts w:ascii="Arial Narrow" w:eastAsia="Calibri" w:hAnsi="Arial Narrow"/>
                <w:b/>
                <w:sz w:val="20"/>
                <w:lang w:val="en-US" w:eastAsia="en-US"/>
              </w:rPr>
              <w:t>Genotype</w:t>
            </w:r>
          </w:p>
        </w:tc>
        <w:tc>
          <w:tcPr>
            <w:tcW w:w="1102" w:type="pct"/>
            <w:shd w:val="clear" w:color="auto" w:fill="D9D9D9" w:themeFill="background1" w:themeFillShade="D9"/>
          </w:tcPr>
          <w:p w14:paraId="7F7F2908" w14:textId="77777777" w:rsidR="00FC7CC2" w:rsidRPr="00FC7CC2" w:rsidRDefault="00FC7CC2" w:rsidP="00B05487">
            <w:pPr>
              <w:spacing w:after="160" w:line="259" w:lineRule="auto"/>
              <w:ind w:right="-23"/>
              <w:jc w:val="center"/>
              <w:rPr>
                <w:rFonts w:ascii="Arial Narrow" w:eastAsia="Calibri" w:hAnsi="Arial Narrow" w:cstheme="minorHAnsi"/>
                <w:b/>
                <w:sz w:val="20"/>
              </w:rPr>
            </w:pPr>
            <w:r w:rsidRPr="00FC7CC2">
              <w:rPr>
                <w:rFonts w:ascii="Arial Narrow" w:eastAsia="Arial" w:hAnsi="Arial Narrow" w:cstheme="minorHAnsi"/>
                <w:b/>
                <w:sz w:val="20"/>
              </w:rPr>
              <w:t>Median serum AAT concentration in µmol/L (5</w:t>
            </w:r>
            <w:r w:rsidRPr="00FC7CC2">
              <w:rPr>
                <w:rFonts w:ascii="Arial Narrow" w:eastAsia="Arial" w:hAnsi="Arial Narrow" w:cstheme="minorHAnsi"/>
                <w:b/>
                <w:sz w:val="20"/>
                <w:vertAlign w:val="superscript"/>
              </w:rPr>
              <w:t>th</w:t>
            </w:r>
            <w:r w:rsidRPr="00FC7CC2">
              <w:rPr>
                <w:rFonts w:ascii="Arial Narrow" w:eastAsia="Arial" w:hAnsi="Arial Narrow" w:cstheme="minorHAnsi"/>
                <w:b/>
                <w:sz w:val="20"/>
              </w:rPr>
              <w:t>–95</w:t>
            </w:r>
            <w:r w:rsidRPr="00FC7CC2">
              <w:rPr>
                <w:rFonts w:ascii="Arial Narrow" w:eastAsia="Arial" w:hAnsi="Arial Narrow" w:cstheme="minorHAnsi"/>
                <w:b/>
                <w:sz w:val="20"/>
                <w:vertAlign w:val="superscript"/>
              </w:rPr>
              <w:t>th</w:t>
            </w:r>
            <w:r w:rsidRPr="00FC7CC2">
              <w:rPr>
                <w:rFonts w:ascii="Arial Narrow" w:eastAsia="Arial" w:hAnsi="Arial Narrow" w:cstheme="minorHAnsi"/>
                <w:b/>
                <w:sz w:val="20"/>
              </w:rPr>
              <w:t xml:space="preserve"> percentile)</w:t>
            </w:r>
          </w:p>
        </w:tc>
        <w:tc>
          <w:tcPr>
            <w:tcW w:w="883" w:type="pct"/>
            <w:shd w:val="clear" w:color="auto" w:fill="D9D9D9" w:themeFill="background1" w:themeFillShade="D9"/>
          </w:tcPr>
          <w:p w14:paraId="4C560CA5" w14:textId="77777777" w:rsidR="00FC7CC2" w:rsidRPr="00FC7CC2" w:rsidRDefault="00FC7CC2" w:rsidP="00B05487">
            <w:pPr>
              <w:spacing w:after="160" w:line="259" w:lineRule="auto"/>
              <w:ind w:right="-23"/>
              <w:rPr>
                <w:rFonts w:ascii="Arial Narrow" w:eastAsia="Calibri" w:hAnsi="Arial Narrow"/>
                <w:b/>
                <w:sz w:val="20"/>
                <w:lang w:val="en-US" w:eastAsia="en-US"/>
              </w:rPr>
            </w:pPr>
            <w:r w:rsidRPr="00FC7CC2">
              <w:rPr>
                <w:rFonts w:ascii="Arial Narrow" w:eastAsia="Calibri" w:hAnsi="Arial Narrow"/>
                <w:b/>
                <w:sz w:val="20"/>
                <w:lang w:val="en-US" w:eastAsia="en-US"/>
              </w:rPr>
              <w:t>Risk of lung disease</w:t>
            </w:r>
          </w:p>
        </w:tc>
        <w:tc>
          <w:tcPr>
            <w:tcW w:w="810" w:type="pct"/>
            <w:shd w:val="clear" w:color="auto" w:fill="D9D9D9" w:themeFill="background1" w:themeFillShade="D9"/>
          </w:tcPr>
          <w:p w14:paraId="1C2FEFC8" w14:textId="77777777" w:rsidR="00FC7CC2" w:rsidRPr="00FC7CC2" w:rsidRDefault="00FC7CC2" w:rsidP="00B05487">
            <w:pPr>
              <w:spacing w:after="160" w:line="259" w:lineRule="auto"/>
              <w:ind w:right="-23"/>
              <w:rPr>
                <w:rFonts w:ascii="Arial Narrow" w:eastAsia="Calibri" w:hAnsi="Arial Narrow"/>
                <w:b/>
                <w:sz w:val="20"/>
                <w:lang w:val="en-US" w:eastAsia="en-US"/>
              </w:rPr>
            </w:pPr>
            <w:r w:rsidRPr="00FC7CC2">
              <w:rPr>
                <w:rFonts w:ascii="Arial Narrow" w:eastAsia="Calibri" w:hAnsi="Arial Narrow"/>
                <w:b/>
                <w:sz w:val="20"/>
                <w:lang w:val="en-US" w:eastAsia="en-US"/>
              </w:rPr>
              <w:t>Risk of liver disease</w:t>
            </w:r>
          </w:p>
        </w:tc>
        <w:tc>
          <w:tcPr>
            <w:tcW w:w="1689" w:type="pct"/>
            <w:shd w:val="clear" w:color="auto" w:fill="D9D9D9" w:themeFill="background1" w:themeFillShade="D9"/>
          </w:tcPr>
          <w:p w14:paraId="760E9D53" w14:textId="77777777" w:rsidR="00FC7CC2" w:rsidRPr="00FC7CC2" w:rsidRDefault="00FC7CC2" w:rsidP="00B05487">
            <w:pPr>
              <w:spacing w:after="160" w:line="259" w:lineRule="auto"/>
              <w:ind w:right="-23"/>
              <w:rPr>
                <w:rFonts w:ascii="Arial Narrow" w:eastAsia="Calibri" w:hAnsi="Arial Narrow"/>
                <w:b/>
                <w:sz w:val="20"/>
                <w:lang w:val="en-US" w:eastAsia="en-US"/>
              </w:rPr>
            </w:pPr>
            <w:r w:rsidRPr="00FC7CC2">
              <w:rPr>
                <w:rFonts w:ascii="Arial Narrow" w:eastAsia="Calibri" w:hAnsi="Arial Narrow"/>
                <w:b/>
                <w:sz w:val="20"/>
                <w:lang w:val="en-US" w:eastAsia="en-US"/>
              </w:rPr>
              <w:t>Explanatory information</w:t>
            </w:r>
          </w:p>
        </w:tc>
      </w:tr>
      <w:tr w:rsidR="00FC7CC2" w:rsidRPr="00FC7CC2" w14:paraId="0E91E97D" w14:textId="77777777" w:rsidTr="00617DDC">
        <w:tc>
          <w:tcPr>
            <w:tcW w:w="516" w:type="pct"/>
          </w:tcPr>
          <w:p w14:paraId="58492A95" w14:textId="77777777" w:rsidR="00FC7CC2" w:rsidRPr="00FC7CC2" w:rsidRDefault="00FC7CC2" w:rsidP="00B05487">
            <w:pPr>
              <w:spacing w:after="160" w:line="259" w:lineRule="auto"/>
              <w:ind w:right="-23"/>
              <w:rPr>
                <w:rFonts w:ascii="Arial Narrow" w:eastAsia="Calibri" w:hAnsi="Arial Narrow"/>
                <w:sz w:val="20"/>
                <w:lang w:val="en-US" w:eastAsia="en-US"/>
              </w:rPr>
            </w:pPr>
            <w:r w:rsidRPr="00FC7CC2">
              <w:rPr>
                <w:rFonts w:ascii="Arial Narrow" w:eastAsia="Calibri" w:hAnsi="Arial Narrow"/>
                <w:sz w:val="20"/>
                <w:lang w:val="en-US" w:eastAsia="en-US"/>
              </w:rPr>
              <w:t>PI*MM</w:t>
            </w:r>
          </w:p>
        </w:tc>
        <w:tc>
          <w:tcPr>
            <w:tcW w:w="1102" w:type="pct"/>
          </w:tcPr>
          <w:p w14:paraId="09F368DA"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27 (19</w:t>
            </w:r>
            <w:r w:rsidRPr="00FC7CC2">
              <w:rPr>
                <w:rFonts w:ascii="Arial Narrow" w:eastAsia="Arial" w:hAnsi="Arial Narrow" w:cs="Arial"/>
                <w:color w:val="131413"/>
                <w:sz w:val="20"/>
              </w:rPr>
              <w:t>–</w:t>
            </w:r>
            <w:r w:rsidRPr="00FC7CC2">
              <w:rPr>
                <w:rFonts w:ascii="Arial Narrow" w:eastAsia="Calibri" w:hAnsi="Arial Narrow"/>
                <w:sz w:val="20"/>
                <w:lang w:val="en-US" w:eastAsia="en-US"/>
              </w:rPr>
              <w:t>47)</w:t>
            </w:r>
          </w:p>
          <w:p w14:paraId="5A0A3B0D"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Normal</w:t>
            </w:r>
          </w:p>
        </w:tc>
        <w:tc>
          <w:tcPr>
            <w:tcW w:w="883" w:type="pct"/>
          </w:tcPr>
          <w:p w14:paraId="558842FB"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No increased risk</w:t>
            </w:r>
          </w:p>
        </w:tc>
        <w:tc>
          <w:tcPr>
            <w:tcW w:w="810" w:type="pct"/>
          </w:tcPr>
          <w:p w14:paraId="677E682E"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No increased risk</w:t>
            </w:r>
          </w:p>
        </w:tc>
        <w:tc>
          <w:tcPr>
            <w:tcW w:w="1689" w:type="pct"/>
          </w:tcPr>
          <w:p w14:paraId="776F941C"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The PI*M allele encodes normal AAT</w:t>
            </w:r>
          </w:p>
        </w:tc>
      </w:tr>
      <w:tr w:rsidR="00FC7CC2" w:rsidRPr="00FC7CC2" w14:paraId="46973FF6" w14:textId="77777777" w:rsidTr="00617DDC">
        <w:tc>
          <w:tcPr>
            <w:tcW w:w="516" w:type="pct"/>
          </w:tcPr>
          <w:p w14:paraId="0EB728DF" w14:textId="77777777" w:rsidR="00FC7CC2" w:rsidRPr="00FC7CC2" w:rsidRDefault="00FC7CC2" w:rsidP="00B05487">
            <w:pPr>
              <w:spacing w:after="160" w:line="259" w:lineRule="auto"/>
              <w:ind w:right="-23"/>
              <w:rPr>
                <w:rFonts w:ascii="Arial Narrow" w:eastAsia="Calibri" w:hAnsi="Arial Narrow"/>
                <w:sz w:val="20"/>
                <w:lang w:val="en-US" w:eastAsia="en-US"/>
              </w:rPr>
            </w:pPr>
            <w:r w:rsidRPr="00FC7CC2">
              <w:rPr>
                <w:rFonts w:ascii="Arial Narrow" w:eastAsia="Calibri" w:hAnsi="Arial Narrow"/>
                <w:sz w:val="20"/>
                <w:lang w:val="en-US" w:eastAsia="en-US"/>
              </w:rPr>
              <w:t>PI*MS</w:t>
            </w:r>
          </w:p>
        </w:tc>
        <w:tc>
          <w:tcPr>
            <w:tcW w:w="1102" w:type="pct"/>
          </w:tcPr>
          <w:p w14:paraId="23A798ED"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23 (16</w:t>
            </w:r>
            <w:r w:rsidRPr="00FC7CC2">
              <w:rPr>
                <w:rFonts w:ascii="Arial Narrow" w:eastAsia="Arial" w:hAnsi="Arial Narrow" w:cs="Arial"/>
                <w:color w:val="131413"/>
                <w:sz w:val="20"/>
              </w:rPr>
              <w:t>–</w:t>
            </w:r>
            <w:r w:rsidRPr="00FC7CC2">
              <w:rPr>
                <w:rFonts w:ascii="Arial Narrow" w:eastAsia="Calibri" w:hAnsi="Arial Narrow"/>
                <w:sz w:val="20"/>
                <w:lang w:val="en-US" w:eastAsia="en-US"/>
              </w:rPr>
              <w:t>40)</w:t>
            </w:r>
          </w:p>
        </w:tc>
        <w:tc>
          <w:tcPr>
            <w:tcW w:w="883" w:type="pct"/>
          </w:tcPr>
          <w:p w14:paraId="6FA2927D" w14:textId="0AA2D332"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No increased risk</w:t>
            </w:r>
          </w:p>
        </w:tc>
        <w:tc>
          <w:tcPr>
            <w:tcW w:w="810" w:type="pct"/>
          </w:tcPr>
          <w:p w14:paraId="4ADAAFCF"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No increased risk</w:t>
            </w:r>
          </w:p>
        </w:tc>
        <w:tc>
          <w:tcPr>
            <w:tcW w:w="1689" w:type="pct"/>
          </w:tcPr>
          <w:p w14:paraId="42976F57" w14:textId="77777777" w:rsidR="00FC7CC2" w:rsidRPr="00FC7CC2" w:rsidRDefault="00FC7CC2" w:rsidP="00B05487">
            <w:pPr>
              <w:ind w:right="-23"/>
              <w:rPr>
                <w:rFonts w:ascii="Arial Narrow" w:eastAsia="Calibri" w:hAnsi="Arial Narrow"/>
                <w:sz w:val="20"/>
                <w:lang w:val="en-US" w:eastAsia="en-US"/>
              </w:rPr>
            </w:pPr>
          </w:p>
        </w:tc>
      </w:tr>
      <w:tr w:rsidR="00FC7CC2" w:rsidRPr="00FC7CC2" w14:paraId="0937EC33" w14:textId="77777777" w:rsidTr="00617DDC">
        <w:tc>
          <w:tcPr>
            <w:tcW w:w="516" w:type="pct"/>
          </w:tcPr>
          <w:p w14:paraId="337D94AA" w14:textId="77777777" w:rsidR="00FC7CC2" w:rsidRPr="00FC7CC2" w:rsidRDefault="00FC7CC2" w:rsidP="00B05487">
            <w:pPr>
              <w:spacing w:after="160" w:line="259" w:lineRule="auto"/>
              <w:ind w:right="-23"/>
              <w:rPr>
                <w:rFonts w:ascii="Arial Narrow" w:eastAsia="Calibri" w:hAnsi="Arial Narrow"/>
                <w:sz w:val="20"/>
                <w:lang w:val="en-US" w:eastAsia="en-US"/>
              </w:rPr>
            </w:pPr>
            <w:r w:rsidRPr="00FC7CC2">
              <w:rPr>
                <w:rFonts w:ascii="Arial Narrow" w:eastAsia="Calibri" w:hAnsi="Arial Narrow"/>
                <w:sz w:val="20"/>
                <w:lang w:val="en-US" w:eastAsia="en-US"/>
              </w:rPr>
              <w:t>PI*MZ</w:t>
            </w:r>
          </w:p>
        </w:tc>
        <w:tc>
          <w:tcPr>
            <w:tcW w:w="1102" w:type="pct"/>
          </w:tcPr>
          <w:p w14:paraId="73BCFE7E"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17 (11</w:t>
            </w:r>
            <w:r w:rsidRPr="00FC7CC2">
              <w:rPr>
                <w:rFonts w:ascii="Arial Narrow" w:eastAsia="Arial" w:hAnsi="Arial Narrow" w:cs="Arial"/>
                <w:color w:val="131413"/>
                <w:sz w:val="20"/>
              </w:rPr>
              <w:t>–</w:t>
            </w:r>
            <w:r w:rsidRPr="00FC7CC2">
              <w:rPr>
                <w:rFonts w:ascii="Arial Narrow" w:eastAsia="Calibri" w:hAnsi="Arial Narrow"/>
                <w:sz w:val="20"/>
                <w:lang w:val="en-US" w:eastAsia="en-US"/>
              </w:rPr>
              <w:t>28)</w:t>
            </w:r>
          </w:p>
          <w:p w14:paraId="347C2594"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Low to normal</w:t>
            </w:r>
          </w:p>
        </w:tc>
        <w:tc>
          <w:tcPr>
            <w:tcW w:w="883" w:type="pct"/>
          </w:tcPr>
          <w:p w14:paraId="19BA77B5" w14:textId="67B7A0DB"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Risk only increased in smokers or those with environmental exposure</w:t>
            </w:r>
          </w:p>
        </w:tc>
        <w:tc>
          <w:tcPr>
            <w:tcW w:w="810" w:type="pct"/>
          </w:tcPr>
          <w:p w14:paraId="218F2589"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Slight increased risk</w:t>
            </w:r>
          </w:p>
        </w:tc>
        <w:tc>
          <w:tcPr>
            <w:tcW w:w="1689" w:type="pct"/>
          </w:tcPr>
          <w:p w14:paraId="0B9FB6E3"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Some studies found an increased risk of developing COPD due to exposure to cigarette smoke in individuals with the PI*MZ allele; other studies found no association</w:t>
            </w:r>
          </w:p>
        </w:tc>
      </w:tr>
      <w:tr w:rsidR="00FC7CC2" w:rsidRPr="00FC7CC2" w14:paraId="4041A894" w14:textId="77777777" w:rsidTr="00617DDC">
        <w:tc>
          <w:tcPr>
            <w:tcW w:w="516" w:type="pct"/>
          </w:tcPr>
          <w:p w14:paraId="416D09D0" w14:textId="77777777" w:rsidR="00FC7CC2" w:rsidRPr="00FC7CC2" w:rsidRDefault="00FC7CC2" w:rsidP="00B05487">
            <w:pPr>
              <w:spacing w:after="160" w:line="259" w:lineRule="auto"/>
              <w:ind w:right="-23"/>
              <w:rPr>
                <w:rFonts w:ascii="Arial Narrow" w:eastAsia="Calibri" w:hAnsi="Arial Narrow"/>
                <w:sz w:val="20"/>
                <w:lang w:val="en-US" w:eastAsia="en-US"/>
              </w:rPr>
            </w:pPr>
            <w:r w:rsidRPr="00FC7CC2">
              <w:rPr>
                <w:rFonts w:ascii="Arial Narrow" w:eastAsia="Calibri" w:hAnsi="Arial Narrow"/>
                <w:sz w:val="20"/>
                <w:lang w:val="en-US" w:eastAsia="en-US"/>
              </w:rPr>
              <w:t>PI*SS</w:t>
            </w:r>
          </w:p>
        </w:tc>
        <w:tc>
          <w:tcPr>
            <w:tcW w:w="1102" w:type="pct"/>
          </w:tcPr>
          <w:p w14:paraId="0F1E4DA0"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18 (8</w:t>
            </w:r>
            <w:r w:rsidRPr="00FC7CC2">
              <w:rPr>
                <w:rFonts w:ascii="Arial Narrow" w:eastAsia="Arial" w:hAnsi="Arial Narrow" w:cs="Arial"/>
                <w:color w:val="131413"/>
                <w:sz w:val="20"/>
              </w:rPr>
              <w:t>–</w:t>
            </w:r>
            <w:r w:rsidRPr="00FC7CC2">
              <w:rPr>
                <w:rFonts w:ascii="Arial Narrow" w:eastAsia="Calibri" w:hAnsi="Arial Narrow"/>
                <w:sz w:val="20"/>
                <w:lang w:val="en-US" w:eastAsia="en-US"/>
              </w:rPr>
              <w:t>28)</w:t>
            </w:r>
          </w:p>
          <w:p w14:paraId="1894BD88"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Borderline normal to low</w:t>
            </w:r>
          </w:p>
        </w:tc>
        <w:tc>
          <w:tcPr>
            <w:tcW w:w="883" w:type="pct"/>
          </w:tcPr>
          <w:p w14:paraId="009BA056" w14:textId="4B6BB742"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No increased risk</w:t>
            </w:r>
          </w:p>
        </w:tc>
        <w:tc>
          <w:tcPr>
            <w:tcW w:w="810" w:type="pct"/>
          </w:tcPr>
          <w:p w14:paraId="7D39B756" w14:textId="7E624A0C"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No increased risk</w:t>
            </w:r>
          </w:p>
        </w:tc>
        <w:tc>
          <w:tcPr>
            <w:tcW w:w="1689" w:type="pct"/>
          </w:tcPr>
          <w:p w14:paraId="2A3B4E90"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No conclusive evidence linking homozygous PI*SS to increased risk for lung or liver disease; however, the PI*S allele is associated with increased degradation of AAT in hepatocytes</w:t>
            </w:r>
          </w:p>
        </w:tc>
      </w:tr>
      <w:tr w:rsidR="00FC7CC2" w:rsidRPr="00FC7CC2" w14:paraId="39ECB35A" w14:textId="77777777" w:rsidTr="00617DDC">
        <w:tc>
          <w:tcPr>
            <w:tcW w:w="516" w:type="pct"/>
          </w:tcPr>
          <w:p w14:paraId="31ED0D6F" w14:textId="77777777" w:rsidR="00FC7CC2" w:rsidRPr="00FC7CC2" w:rsidRDefault="00FC7CC2" w:rsidP="00B05487">
            <w:pPr>
              <w:spacing w:after="160" w:line="259" w:lineRule="auto"/>
              <w:ind w:right="-23"/>
              <w:rPr>
                <w:rFonts w:ascii="Arial Narrow" w:eastAsia="Calibri" w:hAnsi="Arial Narrow"/>
                <w:sz w:val="20"/>
                <w:lang w:val="en-US" w:eastAsia="en-US"/>
              </w:rPr>
            </w:pPr>
            <w:r w:rsidRPr="00FC7CC2">
              <w:rPr>
                <w:rFonts w:ascii="Arial Narrow" w:eastAsia="Calibri" w:hAnsi="Arial Narrow"/>
                <w:sz w:val="20"/>
                <w:lang w:val="en-US" w:eastAsia="en-US"/>
              </w:rPr>
              <w:t>PI*SZ</w:t>
            </w:r>
          </w:p>
        </w:tc>
        <w:tc>
          <w:tcPr>
            <w:tcW w:w="1102" w:type="pct"/>
          </w:tcPr>
          <w:p w14:paraId="6E2922BA"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11 (6</w:t>
            </w:r>
            <w:r w:rsidRPr="00FC7CC2">
              <w:rPr>
                <w:rFonts w:ascii="Arial Narrow" w:eastAsia="Arial" w:hAnsi="Arial Narrow" w:cs="Arial"/>
                <w:color w:val="131413"/>
                <w:sz w:val="20"/>
              </w:rPr>
              <w:t>–</w:t>
            </w:r>
            <w:r w:rsidRPr="00FC7CC2">
              <w:rPr>
                <w:rFonts w:ascii="Arial Narrow" w:eastAsia="Calibri" w:hAnsi="Arial Narrow"/>
                <w:sz w:val="20"/>
                <w:lang w:val="en-US" w:eastAsia="en-US"/>
              </w:rPr>
              <w:t>20)</w:t>
            </w:r>
          </w:p>
          <w:p w14:paraId="3B263DBF"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Low</w:t>
            </w:r>
          </w:p>
        </w:tc>
        <w:tc>
          <w:tcPr>
            <w:tcW w:w="883" w:type="pct"/>
          </w:tcPr>
          <w:p w14:paraId="4CCD038A"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20</w:t>
            </w:r>
            <w:r w:rsidRPr="00FC7CC2">
              <w:rPr>
                <w:rFonts w:ascii="Arial Narrow" w:eastAsia="Arial" w:hAnsi="Arial Narrow" w:cs="Arial"/>
                <w:color w:val="131413"/>
                <w:sz w:val="20"/>
              </w:rPr>
              <w:t>–</w:t>
            </w:r>
            <w:r w:rsidRPr="00FC7CC2">
              <w:rPr>
                <w:rFonts w:ascii="Arial Narrow" w:eastAsia="Calibri" w:hAnsi="Arial Narrow"/>
                <w:sz w:val="20"/>
                <w:lang w:val="en-US" w:eastAsia="en-US"/>
              </w:rPr>
              <w:t>50%</w:t>
            </w:r>
          </w:p>
        </w:tc>
        <w:tc>
          <w:tcPr>
            <w:tcW w:w="810" w:type="pct"/>
          </w:tcPr>
          <w:p w14:paraId="700DA736"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Slight increased risk</w:t>
            </w:r>
          </w:p>
        </w:tc>
        <w:tc>
          <w:tcPr>
            <w:tcW w:w="1689" w:type="pct"/>
          </w:tcPr>
          <w:p w14:paraId="56D4B9E7"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The PI*SZ allele has been associated with increased risk of COPD</w:t>
            </w:r>
          </w:p>
        </w:tc>
      </w:tr>
      <w:tr w:rsidR="00FC7CC2" w:rsidRPr="00FC7CC2" w14:paraId="7E5468D7" w14:textId="77777777" w:rsidTr="00617DDC">
        <w:tc>
          <w:tcPr>
            <w:tcW w:w="516" w:type="pct"/>
          </w:tcPr>
          <w:p w14:paraId="48A954C4" w14:textId="77777777" w:rsidR="00FC7CC2" w:rsidRPr="00FC7CC2" w:rsidRDefault="00FC7CC2" w:rsidP="00B05487">
            <w:pPr>
              <w:spacing w:after="160" w:line="259" w:lineRule="auto"/>
              <w:ind w:right="-23"/>
              <w:rPr>
                <w:rFonts w:ascii="Arial Narrow" w:eastAsia="Calibri" w:hAnsi="Arial Narrow"/>
                <w:sz w:val="20"/>
                <w:lang w:val="en-US" w:eastAsia="en-US"/>
              </w:rPr>
            </w:pPr>
            <w:r w:rsidRPr="00FC7CC2">
              <w:rPr>
                <w:rFonts w:ascii="Arial Narrow" w:eastAsia="Calibri" w:hAnsi="Arial Narrow"/>
                <w:sz w:val="20"/>
                <w:lang w:val="en-US" w:eastAsia="en-US"/>
              </w:rPr>
              <w:t>PI*ZZ</w:t>
            </w:r>
          </w:p>
        </w:tc>
        <w:tc>
          <w:tcPr>
            <w:tcW w:w="1102" w:type="pct"/>
          </w:tcPr>
          <w:p w14:paraId="2325D193" w14:textId="77777777" w:rsidR="00FC7CC2" w:rsidRPr="00FC7CC2" w:rsidRDefault="00FC7CC2" w:rsidP="00B05487">
            <w:pPr>
              <w:ind w:right="-23"/>
              <w:jc w:val="center"/>
              <w:rPr>
                <w:rFonts w:ascii="Arial Narrow" w:eastAsia="Calibri" w:hAnsi="Arial Narrow"/>
                <w:color w:val="131413"/>
                <w:sz w:val="20"/>
              </w:rPr>
            </w:pPr>
            <w:r w:rsidRPr="00FC7CC2">
              <w:rPr>
                <w:rFonts w:ascii="Arial Narrow" w:eastAsia="Calibri" w:hAnsi="Arial Narrow"/>
                <w:sz w:val="20"/>
                <w:lang w:val="en-US" w:eastAsia="en-US"/>
              </w:rPr>
              <w:t>5 (</w:t>
            </w:r>
            <w:r w:rsidRPr="00FC7CC2">
              <w:rPr>
                <w:rFonts w:ascii="Arial Narrow" w:eastAsia="Arial" w:hAnsi="Arial Narrow" w:cs="Arial"/>
                <w:color w:val="131413"/>
                <w:sz w:val="20"/>
              </w:rPr>
              <w:t>≤5–10)</w:t>
            </w:r>
          </w:p>
          <w:p w14:paraId="7CE5BD3B"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Very low</w:t>
            </w:r>
          </w:p>
        </w:tc>
        <w:tc>
          <w:tcPr>
            <w:tcW w:w="883" w:type="pct"/>
          </w:tcPr>
          <w:p w14:paraId="14996F8E"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High risk</w:t>
            </w:r>
          </w:p>
          <w:p w14:paraId="5D595C72"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80</w:t>
            </w:r>
            <w:r w:rsidRPr="00FC7CC2">
              <w:rPr>
                <w:rFonts w:ascii="Arial Narrow" w:eastAsia="Arial" w:hAnsi="Arial Narrow" w:cs="Arial"/>
                <w:color w:val="131413"/>
                <w:sz w:val="20"/>
              </w:rPr>
              <w:t>–</w:t>
            </w:r>
            <w:r w:rsidRPr="00FC7CC2">
              <w:rPr>
                <w:rFonts w:ascii="Arial Narrow" w:eastAsia="Calibri" w:hAnsi="Arial Narrow"/>
                <w:sz w:val="20"/>
                <w:lang w:val="en-US" w:eastAsia="en-US"/>
              </w:rPr>
              <w:t>100%</w:t>
            </w:r>
          </w:p>
        </w:tc>
        <w:tc>
          <w:tcPr>
            <w:tcW w:w="810" w:type="pct"/>
          </w:tcPr>
          <w:p w14:paraId="483C74A7"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High risk</w:t>
            </w:r>
          </w:p>
        </w:tc>
        <w:tc>
          <w:tcPr>
            <w:tcW w:w="1689" w:type="pct"/>
          </w:tcPr>
          <w:p w14:paraId="52541271"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The PI*Z allele leads to polymerisation in hepatocytes and less frequent binding to neutrophil elastase in the lungs</w:t>
            </w:r>
          </w:p>
        </w:tc>
      </w:tr>
      <w:tr w:rsidR="00FC7CC2" w:rsidRPr="00FC7CC2" w14:paraId="520CED60" w14:textId="77777777" w:rsidTr="00617DDC">
        <w:tc>
          <w:tcPr>
            <w:tcW w:w="516" w:type="pct"/>
          </w:tcPr>
          <w:p w14:paraId="0747009C" w14:textId="77777777" w:rsidR="00FC7CC2" w:rsidRPr="00FC7CC2" w:rsidRDefault="00FC7CC2" w:rsidP="00B05487">
            <w:pPr>
              <w:spacing w:after="160" w:line="259" w:lineRule="auto"/>
              <w:ind w:right="-23"/>
              <w:rPr>
                <w:rFonts w:ascii="Arial Narrow" w:eastAsia="Calibri" w:hAnsi="Arial Narrow"/>
                <w:sz w:val="20"/>
                <w:lang w:val="en-US" w:eastAsia="en-US"/>
              </w:rPr>
            </w:pPr>
            <w:r w:rsidRPr="00FC7CC2">
              <w:rPr>
                <w:rFonts w:ascii="Arial Narrow" w:eastAsia="Calibri" w:hAnsi="Arial Narrow"/>
                <w:sz w:val="20"/>
                <w:lang w:val="en-US" w:eastAsia="en-US"/>
              </w:rPr>
              <w:t>PI*null/null</w:t>
            </w:r>
          </w:p>
        </w:tc>
        <w:tc>
          <w:tcPr>
            <w:tcW w:w="1102" w:type="pct"/>
          </w:tcPr>
          <w:p w14:paraId="49EF27EE" w14:textId="77777777" w:rsidR="00FC7CC2" w:rsidRPr="00FC7CC2" w:rsidRDefault="00FC7CC2" w:rsidP="00B05487">
            <w:pPr>
              <w:ind w:right="-23"/>
              <w:jc w:val="center"/>
              <w:rPr>
                <w:rFonts w:ascii="Arial Narrow" w:eastAsia="Calibri" w:hAnsi="Arial Narrow"/>
                <w:sz w:val="20"/>
                <w:lang w:val="en-US" w:eastAsia="en-US"/>
              </w:rPr>
            </w:pPr>
            <w:r w:rsidRPr="00FC7CC2">
              <w:rPr>
                <w:rFonts w:ascii="Arial Narrow" w:eastAsia="Calibri" w:hAnsi="Arial Narrow"/>
                <w:sz w:val="20"/>
                <w:lang w:val="en-US" w:eastAsia="en-US"/>
              </w:rPr>
              <w:t>Absent</w:t>
            </w:r>
          </w:p>
        </w:tc>
        <w:tc>
          <w:tcPr>
            <w:tcW w:w="883" w:type="pct"/>
          </w:tcPr>
          <w:p w14:paraId="76DBA555"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High risk</w:t>
            </w:r>
          </w:p>
          <w:p w14:paraId="63629FD8"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100%</w:t>
            </w:r>
          </w:p>
        </w:tc>
        <w:tc>
          <w:tcPr>
            <w:tcW w:w="810" w:type="pct"/>
          </w:tcPr>
          <w:p w14:paraId="599B05F2" w14:textId="77777777" w:rsidR="00FC7CC2" w:rsidRPr="00FC7CC2" w:rsidRDefault="00FC7CC2" w:rsidP="00B05487">
            <w:pPr>
              <w:ind w:right="-23"/>
              <w:rPr>
                <w:rFonts w:ascii="Arial Narrow" w:eastAsia="Calibri" w:hAnsi="Arial Narrow"/>
                <w:sz w:val="20"/>
                <w:lang w:val="en-US" w:eastAsia="en-US"/>
              </w:rPr>
            </w:pPr>
            <w:r w:rsidRPr="00FC7CC2">
              <w:rPr>
                <w:rFonts w:ascii="Arial Narrow" w:eastAsia="Calibri" w:hAnsi="Arial Narrow"/>
                <w:sz w:val="20"/>
                <w:lang w:val="en-US" w:eastAsia="en-US"/>
              </w:rPr>
              <w:t>No increased risk</w:t>
            </w:r>
          </w:p>
        </w:tc>
        <w:tc>
          <w:tcPr>
            <w:tcW w:w="1689" w:type="pct"/>
          </w:tcPr>
          <w:p w14:paraId="2B400502" w14:textId="3D95346C" w:rsidR="00FC7CC2" w:rsidRPr="00FC7CC2" w:rsidRDefault="00FA0BB8" w:rsidP="00B05487">
            <w:pPr>
              <w:ind w:right="-23"/>
              <w:rPr>
                <w:rFonts w:ascii="Arial Narrow" w:eastAsia="Calibri" w:hAnsi="Arial Narrow"/>
                <w:sz w:val="20"/>
                <w:lang w:val="en-US" w:eastAsia="en-US"/>
              </w:rPr>
            </w:pPr>
            <w:r>
              <w:rPr>
                <w:rFonts w:ascii="Arial Narrow" w:eastAsia="Calibri" w:hAnsi="Arial Narrow"/>
                <w:sz w:val="20"/>
                <w:lang w:val="en-US" w:eastAsia="en-US"/>
              </w:rPr>
              <w:t>N</w:t>
            </w:r>
            <w:r w:rsidR="00FC7CC2" w:rsidRPr="00FC7CC2">
              <w:rPr>
                <w:rFonts w:ascii="Arial Narrow" w:eastAsia="Calibri" w:hAnsi="Arial Narrow"/>
                <w:sz w:val="20"/>
                <w:lang w:val="en-US" w:eastAsia="en-US"/>
              </w:rPr>
              <w:t>ull alleles are characterised by absent circulating AAT due to transcriptional or translational errors</w:t>
            </w:r>
          </w:p>
        </w:tc>
      </w:tr>
    </w:tbl>
    <w:p w14:paraId="54FB58EF" w14:textId="7E75FAD8" w:rsidR="00FC7CC2" w:rsidRPr="00FC7CC2" w:rsidRDefault="00FC7CC2" w:rsidP="00B05487">
      <w:pPr>
        <w:pStyle w:val="Tablenotes1"/>
        <w:rPr>
          <w:rFonts w:eastAsia="Calibri"/>
          <w:lang w:val="en-US"/>
        </w:rPr>
      </w:pPr>
      <w:r w:rsidRPr="00FC7CC2">
        <w:rPr>
          <w:rFonts w:eastAsia="Calibri"/>
          <w:lang w:val="en-US"/>
        </w:rPr>
        <w:t>AAT = alpha-1 antitrypsin, COPD = chronic obstructive pulmonary disease; PI = protease inhibitor.</w:t>
      </w:r>
    </w:p>
    <w:p w14:paraId="3F3FE07D" w14:textId="4D338909" w:rsidR="007A6B4F" w:rsidRDefault="00FC7CC2" w:rsidP="00B05487">
      <w:pPr>
        <w:pStyle w:val="Tablenotes1"/>
      </w:pPr>
      <w:r w:rsidRPr="00FC7CC2">
        <w:rPr>
          <w:rFonts w:eastAsia="Calibri"/>
          <w:lang w:val="en-US"/>
        </w:rPr>
        <w:t>Source: DCAR Table 25, which was adapted from the application form</w:t>
      </w:r>
    </w:p>
    <w:p w14:paraId="57F1A0E2" w14:textId="77777777" w:rsidR="00EF726D" w:rsidRDefault="006F4CDB" w:rsidP="009B136F">
      <w:r>
        <w:t>The DCAR stated that t</w:t>
      </w:r>
      <w:r w:rsidRPr="006F4CDB">
        <w:t xml:space="preserve">here are 211 </w:t>
      </w:r>
      <w:r w:rsidRPr="006F4CDB">
        <w:rPr>
          <w:i/>
        </w:rPr>
        <w:t>SERPINA1</w:t>
      </w:r>
      <w:r w:rsidRPr="006F4CDB">
        <w:t xml:space="preserve"> variants listed in the ClinVar database that are associated with AATD</w:t>
      </w:r>
      <w:r w:rsidR="00E92BE2">
        <w:rPr>
          <w:rStyle w:val="FootnoteReference"/>
        </w:rPr>
        <w:footnoteReference w:id="25"/>
      </w:r>
      <w:r w:rsidRPr="006F4CDB">
        <w:rPr>
          <w:highlight w:val="magenta"/>
        </w:rPr>
        <w:fldChar w:fldCharType="begin"/>
      </w:r>
      <w:r w:rsidRPr="006F4CDB">
        <w:rPr>
          <w:highlight w:val="magenta"/>
        </w:rPr>
        <w:instrText xml:space="preserve"> ADDIN EN.CITE &lt;EndNote&gt;&lt;Cite&gt;&lt;Author&gt;Landrum&lt;/Author&gt;&lt;Year&gt;2018&lt;/Year&gt;&lt;RecNum&gt;2598&lt;/RecNum&gt;&lt;DisplayText&gt;(Landrum et al., 2018)&lt;/DisplayText&gt;&lt;record&gt;&lt;rec-number&gt;2598&lt;/rec-number&gt;&lt;foreign-keys&gt;&lt;key app="EN" db-id="2fffax5ta9z95ce9fs8xf25opfareppead95" timestamp="1615956154"&gt;2598&lt;/key&gt;&lt;/foreign-keys&gt;&lt;ref-type name="Journal Article"&gt;17&lt;/ref-type&gt;&lt;contributors&gt;&lt;authors&gt;&lt;author&gt;Landrum, Melissa J&lt;/author&gt;&lt;author&gt;Lee, Jennifer M&lt;/author&gt;&lt;author&gt;Benson, Mark&lt;/author&gt;&lt;author&gt;Brown, Garth R&lt;/author&gt;&lt;author&gt;Chao, Chen&lt;/author&gt;&lt;author&gt;Chitipiralla, Shanmuga&lt;/author&gt;&lt;author&gt;Gu, Baoshan&lt;/author&gt;&lt;author&gt;Hart, Jennifer&lt;/author&gt;&lt;author&gt;Hoffman, Douglas&lt;/author&gt;&lt;author&gt;Jang, Wonhee&lt;/author&gt;&lt;/authors&gt;&lt;/contributors&gt;&lt;titles&gt;&lt;title&gt;ClinVar: improving access to variant interpretations and supporting evidence&lt;/title&gt;&lt;secondary-title&gt;Nucleic acids research&lt;/secondary-title&gt;&lt;/titles&gt;&lt;periodical&gt;&lt;full-title&gt;Nucleic acids research&lt;/full-title&gt;&lt;/periodical&gt;&lt;pages&gt;D1062-D1067&lt;/pages&gt;&lt;volume&gt;46&lt;/volume&gt;&lt;number&gt;D1&lt;/number&gt;&lt;dates&gt;&lt;year&gt;2018&lt;/year&gt;&lt;/dates&gt;&lt;isbn&gt;0305-1048&lt;/isbn&gt;&lt;urls&gt;&lt;/urls&gt;&lt;/record&gt;&lt;/Cite&gt;&lt;/EndNote&gt;</w:instrText>
      </w:r>
      <w:r w:rsidRPr="006F4CDB">
        <w:rPr>
          <w:highlight w:val="magenta"/>
        </w:rPr>
        <w:fldChar w:fldCharType="end"/>
      </w:r>
      <w:r w:rsidRPr="006F4CDB">
        <w:t xml:space="preserve">. </w:t>
      </w:r>
    </w:p>
    <w:p w14:paraId="3D96C2C7" w14:textId="77777777" w:rsidR="00EF726D" w:rsidRDefault="00EF726D" w:rsidP="009B136F"/>
    <w:p w14:paraId="1A2DE321" w14:textId="70D4905A" w:rsidR="009B136F" w:rsidRPr="009B136F" w:rsidRDefault="00EF726D" w:rsidP="009B136F">
      <w:pPr>
        <w:rPr>
          <w:rFonts w:eastAsia="Calibri"/>
        </w:rPr>
      </w:pPr>
      <w:r>
        <w:t xml:space="preserve">Table 8 </w:t>
      </w:r>
      <w:r w:rsidR="006F4CDB" w:rsidRPr="006F4CDB">
        <w:t xml:space="preserve">shows the variants included </w:t>
      </w:r>
      <w:r w:rsidR="00C7085E">
        <w:t>o</w:t>
      </w:r>
      <w:r w:rsidR="006F4CDB" w:rsidRPr="006F4CDB">
        <w:t xml:space="preserve">n the </w:t>
      </w:r>
      <w:r w:rsidR="006F4CDB">
        <w:t>14-variant</w:t>
      </w:r>
      <w:r w:rsidR="006F4CDB" w:rsidRPr="006F4CDB">
        <w:t xml:space="preserve"> panel developed by Progenika and their </w:t>
      </w:r>
      <w:r w:rsidR="006F4CDB">
        <w:t>frequency among individuals with AAT</w:t>
      </w:r>
      <w:r w:rsidR="00A95D1E">
        <w:t>D</w:t>
      </w:r>
      <w:r w:rsidR="006F4CDB" w:rsidRPr="006F4CDB">
        <w:t>.</w:t>
      </w:r>
      <w:r w:rsidR="006F4CDB">
        <w:t xml:space="preserve"> </w:t>
      </w:r>
      <w:r w:rsidR="00C7085E">
        <w:rPr>
          <w:rFonts w:eastAsia="Calibri"/>
        </w:rPr>
        <w:t>However, m</w:t>
      </w:r>
      <w:r w:rsidR="00C7085E" w:rsidRPr="003037F0">
        <w:rPr>
          <w:rFonts w:eastAsia="Calibri"/>
        </w:rPr>
        <w:t xml:space="preserve">any </w:t>
      </w:r>
      <w:r w:rsidR="006F4CDB" w:rsidRPr="003037F0">
        <w:rPr>
          <w:rFonts w:eastAsia="Calibri"/>
        </w:rPr>
        <w:t>of the</w:t>
      </w:r>
      <w:r w:rsidR="006F4CDB">
        <w:rPr>
          <w:rFonts w:eastAsia="Calibri"/>
        </w:rPr>
        <w:t xml:space="preserve"> non-S/Z</w:t>
      </w:r>
      <w:r w:rsidR="006F4CDB" w:rsidRPr="003037F0">
        <w:rPr>
          <w:rFonts w:eastAsia="Calibri"/>
        </w:rPr>
        <w:t xml:space="preserve"> variants are </w:t>
      </w:r>
      <w:r w:rsidR="006F4CDB">
        <w:rPr>
          <w:rFonts w:eastAsia="Calibri"/>
        </w:rPr>
        <w:t>specific to</w:t>
      </w:r>
      <w:r w:rsidR="006F4CDB" w:rsidRPr="003037F0">
        <w:rPr>
          <w:rFonts w:eastAsia="Calibri"/>
        </w:rPr>
        <w:t xml:space="preserve"> European population</w:t>
      </w:r>
      <w:r w:rsidR="006F4CDB">
        <w:rPr>
          <w:rFonts w:eastAsia="Calibri"/>
        </w:rPr>
        <w:t>s</w:t>
      </w:r>
      <w:r w:rsidR="00E92BE2">
        <w:rPr>
          <w:rStyle w:val="FootnoteReference"/>
          <w:rFonts w:eastAsia="Calibri"/>
        </w:rPr>
        <w:footnoteReference w:id="26"/>
      </w:r>
      <w:r w:rsidR="006F4CDB" w:rsidRPr="006F4CDB">
        <w:rPr>
          <w:rFonts w:eastAsia="Calibri"/>
          <w:highlight w:val="magenta"/>
        </w:rPr>
        <w:fldChar w:fldCharType="begin">
          <w:fldData xml:space="preserve">PEVuZE5vdGU+PENpdGU+PEF1dGhvcj5TaWx2YTwvQXV0aG9yPjxZZWFyPjIwMTY8L1llYXI+PFJl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</w:fldData>
        </w:fldChar>
      </w:r>
      <w:r w:rsidR="006F4CDB" w:rsidRPr="006F4CDB">
        <w:rPr>
          <w:rFonts w:eastAsia="Calibri"/>
          <w:highlight w:val="magenta"/>
        </w:rPr>
        <w:instrText xml:space="preserve"> ADDIN EN.CITE </w:instrText>
      </w:r>
      <w:r w:rsidR="006F4CDB" w:rsidRPr="006F4CDB">
        <w:rPr>
          <w:rFonts w:eastAsia="Calibri"/>
          <w:highlight w:val="magenta"/>
        </w:rPr>
        <w:fldChar w:fldCharType="begin">
          <w:fldData xml:space="preserve">PEVuZE5vdGU+PENpdGU+PEF1dGhvcj5TaWx2YTwvQXV0aG9yPjxZZWFyPjIwMTY8L1llYXI+PFJl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</w:fldData>
        </w:fldChar>
      </w:r>
      <w:r w:rsidR="006F4CDB" w:rsidRPr="006F4CDB">
        <w:rPr>
          <w:rFonts w:eastAsia="Calibri"/>
          <w:highlight w:val="magenta"/>
        </w:rPr>
        <w:instrText xml:space="preserve"> ADDIN EN.CITE.DATA </w:instrText>
      </w:r>
      <w:r w:rsidR="006F4CDB" w:rsidRPr="006F4CDB">
        <w:rPr>
          <w:rFonts w:eastAsia="Calibri"/>
          <w:highlight w:val="magenta"/>
        </w:rPr>
      </w:r>
      <w:r w:rsidR="006F4CDB" w:rsidRPr="006F4CDB">
        <w:rPr>
          <w:rFonts w:eastAsia="Calibri"/>
          <w:highlight w:val="magenta"/>
        </w:rPr>
        <w:fldChar w:fldCharType="end"/>
      </w:r>
      <w:r w:rsidR="006F4CDB" w:rsidRPr="006F4CDB">
        <w:rPr>
          <w:rFonts w:eastAsia="Calibri"/>
          <w:highlight w:val="magenta"/>
        </w:rPr>
      </w:r>
      <w:r w:rsidR="006F4CDB" w:rsidRPr="006F4CDB">
        <w:rPr>
          <w:rFonts w:eastAsia="Calibri"/>
          <w:highlight w:val="magenta"/>
        </w:rPr>
        <w:fldChar w:fldCharType="end"/>
      </w:r>
      <w:r w:rsidR="006F4CDB">
        <w:rPr>
          <w:rFonts w:eastAsia="Calibri"/>
        </w:rPr>
        <w:t>,</w:t>
      </w:r>
      <w:r w:rsidR="006F4CDB" w:rsidRPr="003037F0">
        <w:rPr>
          <w:rFonts w:eastAsia="Calibri"/>
        </w:rPr>
        <w:t xml:space="preserve"> </w:t>
      </w:r>
      <w:r w:rsidR="00C7085E">
        <w:rPr>
          <w:rFonts w:eastAsia="Calibri"/>
        </w:rPr>
        <w:t>so</w:t>
      </w:r>
      <w:r w:rsidR="006F4CDB" w:rsidRPr="003037F0">
        <w:rPr>
          <w:rFonts w:eastAsia="Calibri"/>
        </w:rPr>
        <w:t xml:space="preserve"> Australian laboratories will need to determine the </w:t>
      </w:r>
      <w:r w:rsidR="006F4CDB">
        <w:rPr>
          <w:rFonts w:eastAsia="Calibri"/>
        </w:rPr>
        <w:t xml:space="preserve">14 most </w:t>
      </w:r>
      <w:r w:rsidR="006F4CDB" w:rsidRPr="003037F0">
        <w:rPr>
          <w:rFonts w:eastAsia="Calibri"/>
        </w:rPr>
        <w:t xml:space="preserve">common variants </w:t>
      </w:r>
      <w:r w:rsidR="006F4CDB">
        <w:rPr>
          <w:rFonts w:eastAsia="Calibri"/>
        </w:rPr>
        <w:t>in</w:t>
      </w:r>
      <w:r w:rsidR="006F4CDB" w:rsidRPr="003037F0">
        <w:rPr>
          <w:rFonts w:eastAsia="Calibri"/>
        </w:rPr>
        <w:t xml:space="preserve"> the Australian population.</w:t>
      </w:r>
      <w:bookmarkStart w:id="23" w:name="_Ref66428533"/>
      <w:bookmarkStart w:id="24" w:name="_Toc72826843"/>
      <w:r w:rsidR="009B136F">
        <w:br w:type="page"/>
      </w:r>
    </w:p>
    <w:p w14:paraId="0E07EA66" w14:textId="510743FD" w:rsidR="006F4CDB" w:rsidRDefault="006F4CDB" w:rsidP="009B136F">
      <w:pPr>
        <w:pStyle w:val="Caption"/>
        <w:spacing w:before="240"/>
        <w:ind w:right="-23"/>
      </w:pPr>
      <w:r>
        <w:lastRenderedPageBreak/>
        <w:t xml:space="preserve">Table </w:t>
      </w:r>
      <w:r>
        <w:rPr>
          <w:noProof/>
        </w:rPr>
        <w:fldChar w:fldCharType="begin"/>
      </w:r>
      <w:r>
        <w:rPr>
          <w:noProof/>
        </w:rPr>
        <w:instrText xml:space="preserve"> SEQ Table \* ARABIC </w:instrText>
      </w:r>
      <w:r>
        <w:rPr>
          <w:noProof/>
        </w:rPr>
        <w:fldChar w:fldCharType="separate"/>
      </w:r>
      <w:r w:rsidR="00095E12">
        <w:rPr>
          <w:noProof/>
        </w:rPr>
        <w:t>8</w:t>
      </w:r>
      <w:r>
        <w:rPr>
          <w:noProof/>
        </w:rPr>
        <w:fldChar w:fldCharType="end"/>
      </w:r>
      <w:bookmarkEnd w:id="23"/>
      <w:r>
        <w:rPr>
          <w:noProof/>
        </w:rPr>
        <w:tab/>
      </w:r>
      <w:r>
        <w:t>The allelic variants and associated alleles included in the Progenika gene panel test</w:t>
      </w:r>
      <w:bookmarkEnd w:id="24"/>
    </w:p>
    <w:tbl>
      <w:tblPr>
        <w:tblStyle w:val="TableGrid"/>
        <w:tblW w:w="5000" w:type="pct"/>
        <w:tblLook w:val="04A0" w:firstRow="1" w:lastRow="0" w:firstColumn="1" w:lastColumn="0" w:noHBand="0" w:noVBand="1"/>
        <w:tblCaption w:val="Table 23 The allelic variants and associated alleles included in the Progenika gene panel test"/>
        <w:tblDescription w:val="Table 23 The allelic variants and associated alleles included in the Progenika gene panel test"/>
      </w:tblPr>
      <w:tblGrid>
        <w:gridCol w:w="1666"/>
        <w:gridCol w:w="1693"/>
        <w:gridCol w:w="3471"/>
        <w:gridCol w:w="2372"/>
      </w:tblGrid>
      <w:tr w:rsidR="006F4CDB" w:rsidRPr="006F4CDB" w14:paraId="742240E9" w14:textId="77777777" w:rsidTr="00FA22A4">
        <w:trPr>
          <w:trHeight w:val="821"/>
        </w:trPr>
        <w:tc>
          <w:tcPr>
            <w:tcW w:w="905" w:type="pct"/>
            <w:shd w:val="clear" w:color="auto" w:fill="D9D9D9" w:themeFill="background1" w:themeFillShade="D9"/>
          </w:tcPr>
          <w:p w14:paraId="60B7F46A"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b/>
                <w:sz w:val="20"/>
              </w:rPr>
              <w:t>Allelic variant</w:t>
            </w:r>
          </w:p>
        </w:tc>
        <w:tc>
          <w:tcPr>
            <w:tcW w:w="920" w:type="pct"/>
            <w:shd w:val="clear" w:color="auto" w:fill="D9D9D9" w:themeFill="background1" w:themeFillShade="D9"/>
          </w:tcPr>
          <w:p w14:paraId="0C286A8A"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b/>
                <w:color w:val="000000" w:themeColor="text1"/>
                <w:sz w:val="20"/>
              </w:rPr>
              <w:t>Most common associated allele</w:t>
            </w:r>
          </w:p>
        </w:tc>
        <w:tc>
          <w:tcPr>
            <w:tcW w:w="1886" w:type="pct"/>
            <w:shd w:val="clear" w:color="auto" w:fill="D9D9D9" w:themeFill="background1" w:themeFillShade="D9"/>
          </w:tcPr>
          <w:p w14:paraId="058BF66B"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b/>
                <w:color w:val="000000" w:themeColor="text1"/>
                <w:sz w:val="20"/>
              </w:rPr>
              <w:t>AAT protein activity</w:t>
            </w:r>
          </w:p>
        </w:tc>
        <w:tc>
          <w:tcPr>
            <w:tcW w:w="1289" w:type="pct"/>
            <w:shd w:val="clear" w:color="auto" w:fill="D9D9D9" w:themeFill="background1" w:themeFillShade="D9"/>
          </w:tcPr>
          <w:p w14:paraId="657928E2" w14:textId="3277253C"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b/>
                <w:color w:val="000000" w:themeColor="text1"/>
                <w:sz w:val="20"/>
              </w:rPr>
              <w:t>Frequency among individuals with AAT</w:t>
            </w:r>
            <w:r w:rsidR="00A95D1E">
              <w:rPr>
                <w:rFonts w:ascii="Arial Narrow" w:eastAsia="Arial" w:hAnsi="Arial Narrow" w:cs="Arial"/>
                <w:b/>
                <w:color w:val="000000" w:themeColor="text1"/>
                <w:sz w:val="20"/>
              </w:rPr>
              <w:t>D</w:t>
            </w:r>
          </w:p>
        </w:tc>
      </w:tr>
      <w:tr w:rsidR="006F4CDB" w:rsidRPr="006F4CDB" w14:paraId="5F51D91A" w14:textId="77777777" w:rsidTr="00FA22A4">
        <w:trPr>
          <w:trHeight w:val="20"/>
        </w:trPr>
        <w:tc>
          <w:tcPr>
            <w:tcW w:w="905" w:type="pct"/>
            <w:shd w:val="clear" w:color="auto" w:fill="F4B083"/>
          </w:tcPr>
          <w:p w14:paraId="6121308A"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c.187C&gt;T</w:t>
            </w:r>
          </w:p>
        </w:tc>
        <w:tc>
          <w:tcPr>
            <w:tcW w:w="920" w:type="pct"/>
          </w:tcPr>
          <w:p w14:paraId="51500EC0"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PI*I</w:t>
            </w:r>
          </w:p>
        </w:tc>
        <w:tc>
          <w:tcPr>
            <w:tcW w:w="1886" w:type="pct"/>
          </w:tcPr>
          <w:p w14:paraId="0752B5D1"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lang w:val="en-CA"/>
              </w:rPr>
              <w:t xml:space="preserve">Impaired secretion and mild plasma </w:t>
            </w:r>
            <w:r w:rsidRPr="006F4CDB">
              <w:rPr>
                <w:rFonts w:ascii="Arial Narrow" w:eastAsia="Arial" w:hAnsi="Arial Narrow" w:cs="Arial"/>
                <w:sz w:val="20"/>
              </w:rPr>
              <w:t>deficiency</w:t>
            </w:r>
          </w:p>
        </w:tc>
        <w:tc>
          <w:tcPr>
            <w:tcW w:w="1289" w:type="pct"/>
          </w:tcPr>
          <w:p w14:paraId="0B15D325"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sz w:val="20"/>
              </w:rPr>
              <w:t>(heterozygous)</w:t>
            </w:r>
          </w:p>
        </w:tc>
      </w:tr>
      <w:tr w:rsidR="006F4CDB" w:rsidRPr="006F4CDB" w14:paraId="5571B290" w14:textId="77777777" w:rsidTr="00FA22A4">
        <w:trPr>
          <w:trHeight w:val="20"/>
        </w:trPr>
        <w:tc>
          <w:tcPr>
            <w:tcW w:w="905" w:type="pct"/>
            <w:shd w:val="clear" w:color="auto" w:fill="F4B083"/>
          </w:tcPr>
          <w:p w14:paraId="6202B028" w14:textId="7D7073B9"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c.194T&gt;C</w:t>
            </w:r>
          </w:p>
        </w:tc>
        <w:tc>
          <w:tcPr>
            <w:tcW w:w="920" w:type="pct"/>
          </w:tcPr>
          <w:p w14:paraId="1C2CD616" w14:textId="5E146DC0"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PI*M procida</w:t>
            </w:r>
          </w:p>
        </w:tc>
        <w:tc>
          <w:tcPr>
            <w:tcW w:w="1886" w:type="pct"/>
          </w:tcPr>
          <w:p w14:paraId="7F1DBE83" w14:textId="50C34E2B"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(degradation) and severe plasma deficiency</w:t>
            </w:r>
          </w:p>
        </w:tc>
        <w:tc>
          <w:tcPr>
            <w:tcW w:w="1289" w:type="pct"/>
          </w:tcPr>
          <w:p w14:paraId="3322B475"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sz w:val="20"/>
              </w:rPr>
              <w:t>(heterozygous)</w:t>
            </w:r>
          </w:p>
        </w:tc>
      </w:tr>
      <w:tr w:rsidR="006F4CDB" w:rsidRPr="006F4CDB" w14:paraId="3368BE10" w14:textId="77777777" w:rsidTr="00FA22A4">
        <w:trPr>
          <w:trHeight w:val="20"/>
        </w:trPr>
        <w:tc>
          <w:tcPr>
            <w:tcW w:w="905" w:type="pct"/>
            <w:vMerge w:val="restart"/>
            <w:shd w:val="clear" w:color="auto" w:fill="F4B083"/>
          </w:tcPr>
          <w:p w14:paraId="05DC11C9" w14:textId="1BBF9DDB"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c.226_228delTTC</w:t>
            </w:r>
          </w:p>
        </w:tc>
        <w:tc>
          <w:tcPr>
            <w:tcW w:w="920" w:type="pct"/>
          </w:tcPr>
          <w:p w14:paraId="66A30CD5" w14:textId="211798D4"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PI*M malton</w:t>
            </w:r>
          </w:p>
        </w:tc>
        <w:tc>
          <w:tcPr>
            <w:tcW w:w="1886" w:type="pct"/>
            <w:vMerge w:val="restart"/>
          </w:tcPr>
          <w:p w14:paraId="183025CB"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(polymerisation) and severe plasma deficiency</w:t>
            </w:r>
          </w:p>
        </w:tc>
        <w:tc>
          <w:tcPr>
            <w:tcW w:w="1289" w:type="pct"/>
            <w:vMerge w:val="restart"/>
          </w:tcPr>
          <w:p w14:paraId="0A268B21"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&lt;0.0001%</w:t>
            </w:r>
          </w:p>
          <w:p w14:paraId="03B4352D"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131413"/>
                <w:sz w:val="20"/>
              </w:rPr>
              <w:t>(PI*M malton carriers)</w:t>
            </w:r>
          </w:p>
        </w:tc>
      </w:tr>
      <w:tr w:rsidR="006F4CDB" w:rsidRPr="006F4CDB" w14:paraId="62F1AA4F" w14:textId="77777777" w:rsidTr="00FA22A4">
        <w:trPr>
          <w:trHeight w:val="20"/>
        </w:trPr>
        <w:tc>
          <w:tcPr>
            <w:tcW w:w="905" w:type="pct"/>
            <w:vMerge/>
            <w:vAlign w:val="center"/>
          </w:tcPr>
          <w:p w14:paraId="545046ED" w14:textId="77777777" w:rsidR="006F4CDB" w:rsidRPr="006F4CDB" w:rsidRDefault="006F4CDB" w:rsidP="00B05487">
            <w:pPr>
              <w:ind w:right="-23"/>
              <w:rPr>
                <w:rFonts w:ascii="Arial Narrow" w:hAnsi="Arial Narrow"/>
                <w:sz w:val="20"/>
              </w:rPr>
            </w:pPr>
          </w:p>
        </w:tc>
        <w:tc>
          <w:tcPr>
            <w:tcW w:w="920" w:type="pct"/>
            <w:shd w:val="clear" w:color="auto" w:fill="FFFFFF" w:themeFill="background1"/>
          </w:tcPr>
          <w:p w14:paraId="26BDC725" w14:textId="214EAE52"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PI*M palermo</w:t>
            </w:r>
          </w:p>
        </w:tc>
        <w:tc>
          <w:tcPr>
            <w:tcW w:w="1886" w:type="pct"/>
            <w:vMerge/>
            <w:vAlign w:val="center"/>
          </w:tcPr>
          <w:p w14:paraId="598D9023" w14:textId="77777777" w:rsidR="006F4CDB" w:rsidRPr="006F4CDB" w:rsidRDefault="006F4CDB" w:rsidP="00B05487">
            <w:pPr>
              <w:ind w:right="-23"/>
              <w:rPr>
                <w:rFonts w:ascii="Arial Narrow" w:hAnsi="Arial Narrow"/>
                <w:sz w:val="20"/>
              </w:rPr>
            </w:pPr>
          </w:p>
        </w:tc>
        <w:tc>
          <w:tcPr>
            <w:tcW w:w="1289" w:type="pct"/>
            <w:vMerge/>
            <w:vAlign w:val="center"/>
          </w:tcPr>
          <w:p w14:paraId="26DF6350" w14:textId="77777777" w:rsidR="006F4CDB" w:rsidRPr="006F4CDB" w:rsidRDefault="006F4CDB" w:rsidP="00B05487">
            <w:pPr>
              <w:ind w:right="-23"/>
              <w:rPr>
                <w:rFonts w:ascii="Arial Narrow" w:hAnsi="Arial Narrow"/>
                <w:sz w:val="20"/>
              </w:rPr>
            </w:pPr>
          </w:p>
        </w:tc>
      </w:tr>
      <w:tr w:rsidR="006F4CDB" w:rsidRPr="006F4CDB" w14:paraId="2B3DE715" w14:textId="77777777" w:rsidTr="00FA22A4">
        <w:trPr>
          <w:trHeight w:val="20"/>
        </w:trPr>
        <w:tc>
          <w:tcPr>
            <w:tcW w:w="905" w:type="pct"/>
            <w:vMerge/>
            <w:vAlign w:val="center"/>
          </w:tcPr>
          <w:p w14:paraId="6C1F8604" w14:textId="77777777" w:rsidR="006F4CDB" w:rsidRPr="006F4CDB" w:rsidRDefault="006F4CDB" w:rsidP="00B05487">
            <w:pPr>
              <w:ind w:right="-23"/>
              <w:rPr>
                <w:rFonts w:ascii="Arial Narrow" w:hAnsi="Arial Narrow"/>
                <w:sz w:val="20"/>
              </w:rPr>
            </w:pPr>
          </w:p>
        </w:tc>
        <w:tc>
          <w:tcPr>
            <w:tcW w:w="920" w:type="pct"/>
          </w:tcPr>
          <w:p w14:paraId="1065482F" w14:textId="2752ABF0"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PI*M nichinan</w:t>
            </w:r>
          </w:p>
        </w:tc>
        <w:tc>
          <w:tcPr>
            <w:tcW w:w="1886" w:type="pct"/>
            <w:vMerge/>
            <w:vAlign w:val="center"/>
          </w:tcPr>
          <w:p w14:paraId="188EE8F3" w14:textId="77777777" w:rsidR="006F4CDB" w:rsidRPr="006F4CDB" w:rsidRDefault="006F4CDB" w:rsidP="00B05487">
            <w:pPr>
              <w:ind w:right="-23"/>
              <w:rPr>
                <w:rFonts w:ascii="Arial Narrow" w:hAnsi="Arial Narrow"/>
                <w:sz w:val="20"/>
              </w:rPr>
            </w:pPr>
          </w:p>
        </w:tc>
        <w:tc>
          <w:tcPr>
            <w:tcW w:w="1289" w:type="pct"/>
            <w:vMerge/>
            <w:vAlign w:val="center"/>
          </w:tcPr>
          <w:p w14:paraId="3D8B7CC2" w14:textId="77777777" w:rsidR="006F4CDB" w:rsidRPr="006F4CDB" w:rsidRDefault="006F4CDB" w:rsidP="00B05487">
            <w:pPr>
              <w:ind w:right="-23"/>
              <w:rPr>
                <w:rFonts w:ascii="Arial Narrow" w:hAnsi="Arial Narrow"/>
                <w:sz w:val="20"/>
              </w:rPr>
            </w:pPr>
          </w:p>
        </w:tc>
      </w:tr>
      <w:tr w:rsidR="006F4CDB" w:rsidRPr="006F4CDB" w14:paraId="35FC03BA" w14:textId="77777777" w:rsidTr="00FA22A4">
        <w:trPr>
          <w:trHeight w:val="20"/>
        </w:trPr>
        <w:tc>
          <w:tcPr>
            <w:tcW w:w="905" w:type="pct"/>
            <w:shd w:val="clear" w:color="auto" w:fill="F4B083"/>
          </w:tcPr>
          <w:p w14:paraId="00D6EAD9"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c.230C&gt;T</w:t>
            </w:r>
          </w:p>
        </w:tc>
        <w:tc>
          <w:tcPr>
            <w:tcW w:w="920" w:type="pct"/>
          </w:tcPr>
          <w:p w14:paraId="4FFC2E9E"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PI*S iiyama</w:t>
            </w:r>
          </w:p>
        </w:tc>
        <w:tc>
          <w:tcPr>
            <w:tcW w:w="1886" w:type="pct"/>
          </w:tcPr>
          <w:p w14:paraId="18954E8D"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(polymerisation) and severe plasma deficiency</w:t>
            </w:r>
          </w:p>
        </w:tc>
        <w:tc>
          <w:tcPr>
            <w:tcW w:w="1289" w:type="pct"/>
          </w:tcPr>
          <w:p w14:paraId="32F32C6C"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131413"/>
                <w:sz w:val="20"/>
              </w:rPr>
              <w:t>Unknown</w:t>
            </w:r>
          </w:p>
        </w:tc>
      </w:tr>
      <w:tr w:rsidR="006F4CDB" w:rsidRPr="006F4CDB" w14:paraId="1A1FE748" w14:textId="77777777" w:rsidTr="00FA22A4">
        <w:trPr>
          <w:trHeight w:val="20"/>
        </w:trPr>
        <w:tc>
          <w:tcPr>
            <w:tcW w:w="905" w:type="pct"/>
            <w:shd w:val="clear" w:color="auto" w:fill="F4B083"/>
          </w:tcPr>
          <w:p w14:paraId="2027BDE8"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c.552delC</w:t>
            </w:r>
          </w:p>
        </w:tc>
        <w:tc>
          <w:tcPr>
            <w:tcW w:w="920" w:type="pct"/>
          </w:tcPr>
          <w:p w14:paraId="2FAD1DC3"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PI*Q0 granite falls</w:t>
            </w:r>
          </w:p>
        </w:tc>
        <w:tc>
          <w:tcPr>
            <w:tcW w:w="1886" w:type="pct"/>
          </w:tcPr>
          <w:p w14:paraId="1F5B8953"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None (no protein)</w:t>
            </w:r>
          </w:p>
        </w:tc>
        <w:tc>
          <w:tcPr>
            <w:tcW w:w="1289" w:type="pct"/>
          </w:tcPr>
          <w:p w14:paraId="15AFF392"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color w:val="131413"/>
                <w:sz w:val="20"/>
              </w:rPr>
              <w:t>(carriers)</w:t>
            </w:r>
          </w:p>
        </w:tc>
      </w:tr>
      <w:tr w:rsidR="006F4CDB" w:rsidRPr="006F4CDB" w14:paraId="107E2686" w14:textId="77777777" w:rsidTr="00FA22A4">
        <w:trPr>
          <w:trHeight w:val="20"/>
        </w:trPr>
        <w:tc>
          <w:tcPr>
            <w:tcW w:w="905" w:type="pct"/>
            <w:shd w:val="clear" w:color="auto" w:fill="F4B083"/>
          </w:tcPr>
          <w:p w14:paraId="54F87452"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c.1096G&gt;A</w:t>
            </w:r>
          </w:p>
        </w:tc>
        <w:tc>
          <w:tcPr>
            <w:tcW w:w="920" w:type="pct"/>
          </w:tcPr>
          <w:p w14:paraId="5A934C59"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PI*Z</w:t>
            </w:r>
          </w:p>
        </w:tc>
        <w:tc>
          <w:tcPr>
            <w:tcW w:w="1886" w:type="pct"/>
          </w:tcPr>
          <w:p w14:paraId="5FE4D503"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(polymerisation) and severe plasma deficiency</w:t>
            </w:r>
          </w:p>
        </w:tc>
        <w:tc>
          <w:tcPr>
            <w:tcW w:w="1289" w:type="pct"/>
          </w:tcPr>
          <w:p w14:paraId="68CCB665"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131413"/>
                <w:sz w:val="20"/>
              </w:rPr>
              <w:t xml:space="preserve">1–3% </w:t>
            </w:r>
            <w:r w:rsidRPr="006F4CDB">
              <w:rPr>
                <w:rFonts w:ascii="Arial Narrow" w:hAnsi="Arial Narrow"/>
                <w:sz w:val="20"/>
              </w:rPr>
              <w:br/>
            </w:r>
            <w:r w:rsidRPr="006F4CDB">
              <w:rPr>
                <w:rFonts w:ascii="Arial Narrow" w:eastAsia="Arial" w:hAnsi="Arial Narrow" w:cs="Arial"/>
                <w:color w:val="131413"/>
                <w:sz w:val="20"/>
              </w:rPr>
              <w:t>(carriers)</w:t>
            </w:r>
          </w:p>
        </w:tc>
      </w:tr>
      <w:tr w:rsidR="006F4CDB" w:rsidRPr="006F4CDB" w14:paraId="0DF03605" w14:textId="77777777" w:rsidTr="00FA22A4">
        <w:trPr>
          <w:trHeight w:val="20"/>
        </w:trPr>
        <w:tc>
          <w:tcPr>
            <w:tcW w:w="905" w:type="pct"/>
            <w:vMerge w:val="restart"/>
            <w:shd w:val="clear" w:color="auto" w:fill="F4B083"/>
          </w:tcPr>
          <w:p w14:paraId="52989063"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c.1130dupT</w:t>
            </w:r>
          </w:p>
        </w:tc>
        <w:tc>
          <w:tcPr>
            <w:tcW w:w="920" w:type="pct"/>
          </w:tcPr>
          <w:p w14:paraId="41E7F829" w14:textId="299AD72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PI*Q0 mattawa</w:t>
            </w:r>
          </w:p>
        </w:tc>
        <w:tc>
          <w:tcPr>
            <w:tcW w:w="1886" w:type="pct"/>
            <w:vMerge w:val="restart"/>
          </w:tcPr>
          <w:p w14:paraId="7B2820B2"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 xml:space="preserve">Truncated protein/intracellular degradation </w:t>
            </w:r>
          </w:p>
        </w:tc>
        <w:tc>
          <w:tcPr>
            <w:tcW w:w="1289" w:type="pct"/>
            <w:vMerge w:val="restart"/>
          </w:tcPr>
          <w:p w14:paraId="4D7B4AC5"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color w:val="131413"/>
                <w:sz w:val="20"/>
              </w:rPr>
              <w:t>(</w:t>
            </w:r>
            <w:r w:rsidRPr="006F4CDB">
              <w:rPr>
                <w:rFonts w:ascii="Arial Narrow" w:eastAsia="Arial" w:hAnsi="Arial Narrow" w:cs="Arial"/>
                <w:sz w:val="20"/>
              </w:rPr>
              <w:t xml:space="preserve">PI*Q0 mattawa </w:t>
            </w:r>
            <w:r w:rsidRPr="006F4CDB">
              <w:rPr>
                <w:rFonts w:ascii="Arial Narrow" w:eastAsia="Arial" w:hAnsi="Arial Narrow" w:cs="Arial"/>
                <w:color w:val="131413"/>
                <w:sz w:val="20"/>
              </w:rPr>
              <w:t>carriers)</w:t>
            </w:r>
          </w:p>
        </w:tc>
      </w:tr>
      <w:tr w:rsidR="006F4CDB" w:rsidRPr="006F4CDB" w14:paraId="14C93F83" w14:textId="77777777" w:rsidTr="00FA22A4">
        <w:trPr>
          <w:trHeight w:val="20"/>
        </w:trPr>
        <w:tc>
          <w:tcPr>
            <w:tcW w:w="905" w:type="pct"/>
            <w:vMerge/>
            <w:vAlign w:val="center"/>
          </w:tcPr>
          <w:p w14:paraId="5355181C" w14:textId="77777777" w:rsidR="006F4CDB" w:rsidRPr="006F4CDB" w:rsidRDefault="006F4CDB" w:rsidP="00B05487">
            <w:pPr>
              <w:ind w:right="-23"/>
              <w:rPr>
                <w:rFonts w:ascii="Arial Narrow" w:hAnsi="Arial Narrow"/>
                <w:sz w:val="20"/>
              </w:rPr>
            </w:pPr>
          </w:p>
        </w:tc>
        <w:tc>
          <w:tcPr>
            <w:tcW w:w="920" w:type="pct"/>
          </w:tcPr>
          <w:p w14:paraId="028AD027"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PI*Q ourem</w:t>
            </w:r>
          </w:p>
        </w:tc>
        <w:tc>
          <w:tcPr>
            <w:tcW w:w="1886" w:type="pct"/>
            <w:vMerge/>
            <w:vAlign w:val="center"/>
          </w:tcPr>
          <w:p w14:paraId="226023D0" w14:textId="77777777" w:rsidR="006F4CDB" w:rsidRPr="006F4CDB" w:rsidRDefault="006F4CDB" w:rsidP="00B05487">
            <w:pPr>
              <w:ind w:right="-23"/>
              <w:rPr>
                <w:rFonts w:ascii="Arial Narrow" w:hAnsi="Arial Narrow"/>
                <w:sz w:val="20"/>
              </w:rPr>
            </w:pPr>
          </w:p>
        </w:tc>
        <w:tc>
          <w:tcPr>
            <w:tcW w:w="1289" w:type="pct"/>
            <w:vMerge/>
            <w:vAlign w:val="center"/>
          </w:tcPr>
          <w:p w14:paraId="5D4AAC85" w14:textId="77777777" w:rsidR="006F4CDB" w:rsidRPr="006F4CDB" w:rsidRDefault="006F4CDB" w:rsidP="00B05487">
            <w:pPr>
              <w:ind w:right="-23"/>
              <w:rPr>
                <w:rFonts w:ascii="Arial Narrow" w:hAnsi="Arial Narrow"/>
                <w:sz w:val="20"/>
              </w:rPr>
            </w:pPr>
          </w:p>
        </w:tc>
      </w:tr>
      <w:tr w:rsidR="006F4CDB" w:rsidRPr="006F4CDB" w14:paraId="5C2939D6" w14:textId="77777777" w:rsidTr="00FA22A4">
        <w:trPr>
          <w:trHeight w:val="20"/>
        </w:trPr>
        <w:tc>
          <w:tcPr>
            <w:tcW w:w="905" w:type="pct"/>
            <w:shd w:val="clear" w:color="auto" w:fill="FFE599"/>
          </w:tcPr>
          <w:p w14:paraId="07964C3A"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c.646+1G&gt;T</w:t>
            </w:r>
          </w:p>
        </w:tc>
        <w:tc>
          <w:tcPr>
            <w:tcW w:w="920" w:type="pct"/>
          </w:tcPr>
          <w:p w14:paraId="2BF6F30F"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PI*Q0 west</w:t>
            </w:r>
          </w:p>
        </w:tc>
        <w:tc>
          <w:tcPr>
            <w:tcW w:w="1886" w:type="pct"/>
          </w:tcPr>
          <w:p w14:paraId="3BD763CF"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 xml:space="preserve">Truncated protein/intracellular degradation </w:t>
            </w:r>
          </w:p>
        </w:tc>
        <w:tc>
          <w:tcPr>
            <w:tcW w:w="1289" w:type="pct"/>
          </w:tcPr>
          <w:p w14:paraId="511CE27A"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131413"/>
                <w:sz w:val="20"/>
              </w:rPr>
              <w:t>Unknown</w:t>
            </w:r>
          </w:p>
        </w:tc>
      </w:tr>
      <w:tr w:rsidR="006F4CDB" w:rsidRPr="006F4CDB" w14:paraId="003588D0" w14:textId="77777777" w:rsidTr="00FA22A4">
        <w:trPr>
          <w:trHeight w:val="20"/>
        </w:trPr>
        <w:tc>
          <w:tcPr>
            <w:tcW w:w="905" w:type="pct"/>
            <w:shd w:val="clear" w:color="auto" w:fill="FFE599"/>
          </w:tcPr>
          <w:p w14:paraId="349CA694"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c.721A&gt;T</w:t>
            </w:r>
          </w:p>
        </w:tc>
        <w:tc>
          <w:tcPr>
            <w:tcW w:w="920" w:type="pct"/>
          </w:tcPr>
          <w:p w14:paraId="78AF3B74"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PI*Q0 bellingham</w:t>
            </w:r>
          </w:p>
        </w:tc>
        <w:tc>
          <w:tcPr>
            <w:tcW w:w="1886" w:type="pct"/>
          </w:tcPr>
          <w:p w14:paraId="7588BA1D"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None (no protein)</w:t>
            </w:r>
          </w:p>
        </w:tc>
        <w:tc>
          <w:tcPr>
            <w:tcW w:w="1289" w:type="pct"/>
          </w:tcPr>
          <w:p w14:paraId="1958D6CF"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sz w:val="20"/>
              </w:rPr>
              <w:t>(heterozygous)</w:t>
            </w:r>
          </w:p>
        </w:tc>
      </w:tr>
      <w:tr w:rsidR="006F4CDB" w:rsidRPr="006F4CDB" w14:paraId="0E128989" w14:textId="77777777" w:rsidTr="00FA22A4">
        <w:trPr>
          <w:trHeight w:val="20"/>
        </w:trPr>
        <w:tc>
          <w:tcPr>
            <w:tcW w:w="905" w:type="pct"/>
            <w:vMerge w:val="restart"/>
            <w:shd w:val="clear" w:color="auto" w:fill="FFE599"/>
          </w:tcPr>
          <w:p w14:paraId="20CE3D3A"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c.1158dupC</w:t>
            </w:r>
          </w:p>
        </w:tc>
        <w:tc>
          <w:tcPr>
            <w:tcW w:w="920" w:type="pct"/>
          </w:tcPr>
          <w:p w14:paraId="230F8D40"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PI*Q0 clayton</w:t>
            </w:r>
          </w:p>
        </w:tc>
        <w:tc>
          <w:tcPr>
            <w:tcW w:w="1886" w:type="pct"/>
            <w:vMerge w:val="restart"/>
          </w:tcPr>
          <w:p w14:paraId="26AA9470"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 xml:space="preserve">Truncated protein/intracellular degradation </w:t>
            </w:r>
          </w:p>
        </w:tc>
        <w:tc>
          <w:tcPr>
            <w:tcW w:w="1289" w:type="pct"/>
            <w:vMerge w:val="restart"/>
          </w:tcPr>
          <w:p w14:paraId="790D4B66"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sz w:val="20"/>
              </w:rPr>
              <w:t>(PI*Q0 clayton heterozygous)</w:t>
            </w:r>
          </w:p>
        </w:tc>
      </w:tr>
      <w:tr w:rsidR="006F4CDB" w:rsidRPr="006F4CDB" w14:paraId="0AC7D74D" w14:textId="77777777" w:rsidTr="00FA22A4">
        <w:trPr>
          <w:trHeight w:val="20"/>
        </w:trPr>
        <w:tc>
          <w:tcPr>
            <w:tcW w:w="905" w:type="pct"/>
            <w:vMerge/>
            <w:vAlign w:val="center"/>
          </w:tcPr>
          <w:p w14:paraId="7832FB72" w14:textId="77777777" w:rsidR="006F4CDB" w:rsidRPr="006F4CDB" w:rsidRDefault="006F4CDB" w:rsidP="00B05487">
            <w:pPr>
              <w:ind w:right="-23"/>
              <w:rPr>
                <w:rFonts w:ascii="Arial Narrow" w:hAnsi="Arial Narrow"/>
                <w:sz w:val="20"/>
              </w:rPr>
            </w:pPr>
          </w:p>
        </w:tc>
        <w:tc>
          <w:tcPr>
            <w:tcW w:w="920" w:type="pct"/>
          </w:tcPr>
          <w:p w14:paraId="56E54AD6"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PI*Q0 saarbruecken</w:t>
            </w:r>
          </w:p>
        </w:tc>
        <w:tc>
          <w:tcPr>
            <w:tcW w:w="1886" w:type="pct"/>
            <w:vMerge/>
            <w:vAlign w:val="center"/>
          </w:tcPr>
          <w:p w14:paraId="3574C87D" w14:textId="77777777" w:rsidR="006F4CDB" w:rsidRPr="006F4CDB" w:rsidRDefault="006F4CDB" w:rsidP="00B05487">
            <w:pPr>
              <w:ind w:right="-23"/>
              <w:rPr>
                <w:rFonts w:ascii="Arial Narrow" w:hAnsi="Arial Narrow"/>
                <w:sz w:val="20"/>
              </w:rPr>
            </w:pPr>
          </w:p>
        </w:tc>
        <w:tc>
          <w:tcPr>
            <w:tcW w:w="1289" w:type="pct"/>
            <w:vMerge/>
            <w:vAlign w:val="center"/>
          </w:tcPr>
          <w:p w14:paraId="5C3C2798" w14:textId="77777777" w:rsidR="006F4CDB" w:rsidRPr="006F4CDB" w:rsidRDefault="006F4CDB" w:rsidP="00B05487">
            <w:pPr>
              <w:ind w:right="-23"/>
              <w:rPr>
                <w:rFonts w:ascii="Arial Narrow" w:hAnsi="Arial Narrow"/>
                <w:sz w:val="20"/>
              </w:rPr>
            </w:pPr>
          </w:p>
        </w:tc>
      </w:tr>
      <w:tr w:rsidR="006F4CDB" w:rsidRPr="006F4CDB" w14:paraId="7F51D6AC" w14:textId="77777777" w:rsidTr="00FA22A4">
        <w:trPr>
          <w:trHeight w:val="20"/>
        </w:trPr>
        <w:tc>
          <w:tcPr>
            <w:tcW w:w="905" w:type="pct"/>
            <w:shd w:val="clear" w:color="auto" w:fill="FFE599"/>
          </w:tcPr>
          <w:p w14:paraId="2F9B59B9"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c.1178C&gt;T</w:t>
            </w:r>
          </w:p>
        </w:tc>
        <w:tc>
          <w:tcPr>
            <w:tcW w:w="920" w:type="pct"/>
          </w:tcPr>
          <w:p w14:paraId="75CDE33F"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PI*M heerlen</w:t>
            </w:r>
          </w:p>
        </w:tc>
        <w:tc>
          <w:tcPr>
            <w:tcW w:w="1886" w:type="pct"/>
          </w:tcPr>
          <w:p w14:paraId="7693EE4E"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(degradation) and severe plasma deficiency</w:t>
            </w:r>
          </w:p>
        </w:tc>
        <w:tc>
          <w:tcPr>
            <w:tcW w:w="1289" w:type="pct"/>
          </w:tcPr>
          <w:p w14:paraId="242A2172"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sz w:val="20"/>
              </w:rPr>
              <w:t>(heterozygous)</w:t>
            </w:r>
          </w:p>
        </w:tc>
      </w:tr>
      <w:tr w:rsidR="006F4CDB" w:rsidRPr="006F4CDB" w14:paraId="102690BF" w14:textId="77777777" w:rsidTr="00FA22A4">
        <w:trPr>
          <w:trHeight w:val="20"/>
        </w:trPr>
        <w:tc>
          <w:tcPr>
            <w:tcW w:w="905" w:type="pct"/>
            <w:shd w:val="clear" w:color="auto" w:fill="D9D9D9" w:themeFill="background1" w:themeFillShade="D9"/>
          </w:tcPr>
          <w:p w14:paraId="01A57089"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c.739C&gt;T</w:t>
            </w:r>
          </w:p>
        </w:tc>
        <w:tc>
          <w:tcPr>
            <w:tcW w:w="920" w:type="pct"/>
          </w:tcPr>
          <w:p w14:paraId="42DAE88C"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PI*F</w:t>
            </w:r>
          </w:p>
        </w:tc>
        <w:tc>
          <w:tcPr>
            <w:tcW w:w="1886" w:type="pct"/>
          </w:tcPr>
          <w:p w14:paraId="63182637"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and mild plasma deficiency</w:t>
            </w:r>
          </w:p>
        </w:tc>
        <w:tc>
          <w:tcPr>
            <w:tcW w:w="1289" w:type="pct"/>
          </w:tcPr>
          <w:p w14:paraId="307EEBBD"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sz w:val="20"/>
              </w:rPr>
              <w:t>(heterozygous)</w:t>
            </w:r>
          </w:p>
        </w:tc>
      </w:tr>
      <w:tr w:rsidR="006F4CDB" w:rsidRPr="006F4CDB" w14:paraId="3C7365F5" w14:textId="77777777" w:rsidTr="00FA22A4">
        <w:trPr>
          <w:trHeight w:val="20"/>
        </w:trPr>
        <w:tc>
          <w:tcPr>
            <w:tcW w:w="905" w:type="pct"/>
            <w:vMerge w:val="restart"/>
            <w:shd w:val="clear" w:color="auto" w:fill="D9D9D9" w:themeFill="background1" w:themeFillShade="D9"/>
          </w:tcPr>
          <w:p w14:paraId="328BB61F"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c.839A&gt;T</w:t>
            </w:r>
          </w:p>
        </w:tc>
        <w:tc>
          <w:tcPr>
            <w:tcW w:w="920" w:type="pct"/>
          </w:tcPr>
          <w:p w14:paraId="34D688B9"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PI*P lowell</w:t>
            </w:r>
          </w:p>
        </w:tc>
        <w:tc>
          <w:tcPr>
            <w:tcW w:w="1886" w:type="pct"/>
            <w:vMerge w:val="restart"/>
          </w:tcPr>
          <w:p w14:paraId="2547E34C"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(degradation) and mild plasma deficiency</w:t>
            </w:r>
          </w:p>
        </w:tc>
        <w:tc>
          <w:tcPr>
            <w:tcW w:w="1289" w:type="pct"/>
            <w:vMerge w:val="restart"/>
          </w:tcPr>
          <w:p w14:paraId="51E79607"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sz w:val="20"/>
              </w:rPr>
              <w:t>&lt;0.001%</w:t>
            </w:r>
            <w:r w:rsidRPr="006F4CDB">
              <w:rPr>
                <w:rFonts w:ascii="Arial Narrow" w:hAnsi="Arial Narrow"/>
                <w:sz w:val="20"/>
              </w:rPr>
              <w:br/>
            </w:r>
            <w:r w:rsidRPr="006F4CDB">
              <w:rPr>
                <w:rFonts w:ascii="Arial Narrow" w:eastAsia="Arial" w:hAnsi="Arial Narrow" w:cs="Arial"/>
                <w:sz w:val="20"/>
              </w:rPr>
              <w:t>(PI*P lowell heterozygous)</w:t>
            </w:r>
          </w:p>
        </w:tc>
      </w:tr>
      <w:tr w:rsidR="006F4CDB" w:rsidRPr="006F4CDB" w14:paraId="1EE758C5" w14:textId="77777777" w:rsidTr="00FA22A4">
        <w:trPr>
          <w:trHeight w:val="20"/>
        </w:trPr>
        <w:tc>
          <w:tcPr>
            <w:tcW w:w="905" w:type="pct"/>
            <w:vMerge/>
            <w:vAlign w:val="center"/>
          </w:tcPr>
          <w:p w14:paraId="321B328F" w14:textId="77777777" w:rsidR="006F4CDB" w:rsidRPr="006F4CDB" w:rsidRDefault="006F4CDB" w:rsidP="00B05487">
            <w:pPr>
              <w:ind w:right="-23"/>
              <w:rPr>
                <w:rFonts w:ascii="Arial Narrow" w:hAnsi="Arial Narrow"/>
                <w:sz w:val="20"/>
              </w:rPr>
            </w:pPr>
          </w:p>
        </w:tc>
        <w:tc>
          <w:tcPr>
            <w:tcW w:w="920" w:type="pct"/>
          </w:tcPr>
          <w:p w14:paraId="586F6786"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PI*P duarte</w:t>
            </w:r>
          </w:p>
        </w:tc>
        <w:tc>
          <w:tcPr>
            <w:tcW w:w="1886" w:type="pct"/>
            <w:vMerge/>
            <w:vAlign w:val="center"/>
          </w:tcPr>
          <w:p w14:paraId="44E355C6" w14:textId="77777777" w:rsidR="006F4CDB" w:rsidRPr="006F4CDB" w:rsidRDefault="006F4CDB" w:rsidP="00B05487">
            <w:pPr>
              <w:ind w:right="-23"/>
              <w:rPr>
                <w:rFonts w:ascii="Arial Narrow" w:hAnsi="Arial Narrow"/>
                <w:sz w:val="20"/>
              </w:rPr>
            </w:pPr>
          </w:p>
        </w:tc>
        <w:tc>
          <w:tcPr>
            <w:tcW w:w="1289" w:type="pct"/>
            <w:vMerge/>
            <w:vAlign w:val="center"/>
          </w:tcPr>
          <w:p w14:paraId="605E5B74" w14:textId="77777777" w:rsidR="006F4CDB" w:rsidRPr="006F4CDB" w:rsidRDefault="006F4CDB" w:rsidP="00B05487">
            <w:pPr>
              <w:ind w:right="-23"/>
              <w:rPr>
                <w:rFonts w:ascii="Arial Narrow" w:hAnsi="Arial Narrow"/>
                <w:sz w:val="20"/>
              </w:rPr>
            </w:pPr>
          </w:p>
        </w:tc>
      </w:tr>
      <w:tr w:rsidR="006F4CDB" w:rsidRPr="006F4CDB" w14:paraId="0FA6CA2A" w14:textId="77777777" w:rsidTr="00FA22A4">
        <w:trPr>
          <w:trHeight w:val="20"/>
        </w:trPr>
        <w:tc>
          <w:tcPr>
            <w:tcW w:w="905" w:type="pct"/>
            <w:vMerge/>
            <w:vAlign w:val="center"/>
          </w:tcPr>
          <w:p w14:paraId="2C453910" w14:textId="77777777" w:rsidR="006F4CDB" w:rsidRPr="006F4CDB" w:rsidRDefault="006F4CDB" w:rsidP="00B05487">
            <w:pPr>
              <w:ind w:right="-23"/>
              <w:rPr>
                <w:rFonts w:ascii="Arial Narrow" w:hAnsi="Arial Narrow"/>
                <w:sz w:val="20"/>
              </w:rPr>
            </w:pPr>
          </w:p>
        </w:tc>
        <w:tc>
          <w:tcPr>
            <w:tcW w:w="920" w:type="pct"/>
          </w:tcPr>
          <w:p w14:paraId="76AAD6D4"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PI*Q0 cardiff</w:t>
            </w:r>
          </w:p>
        </w:tc>
        <w:tc>
          <w:tcPr>
            <w:tcW w:w="1886" w:type="pct"/>
          </w:tcPr>
          <w:p w14:paraId="13006FD1"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 xml:space="preserve">Truncated protein/intracellular degradation </w:t>
            </w:r>
          </w:p>
        </w:tc>
        <w:tc>
          <w:tcPr>
            <w:tcW w:w="1289" w:type="pct"/>
            <w:vMerge/>
            <w:vAlign w:val="center"/>
          </w:tcPr>
          <w:p w14:paraId="12CE4E84" w14:textId="77777777" w:rsidR="006F4CDB" w:rsidRPr="006F4CDB" w:rsidRDefault="006F4CDB" w:rsidP="00B05487">
            <w:pPr>
              <w:ind w:right="-23"/>
              <w:rPr>
                <w:rFonts w:ascii="Arial Narrow" w:hAnsi="Arial Narrow"/>
                <w:sz w:val="20"/>
              </w:rPr>
            </w:pPr>
          </w:p>
        </w:tc>
      </w:tr>
      <w:tr w:rsidR="006F4CDB" w:rsidRPr="006F4CDB" w14:paraId="349D4611" w14:textId="77777777" w:rsidTr="00FA22A4">
        <w:trPr>
          <w:trHeight w:val="20"/>
        </w:trPr>
        <w:tc>
          <w:tcPr>
            <w:tcW w:w="905" w:type="pct"/>
            <w:vMerge/>
            <w:vAlign w:val="center"/>
          </w:tcPr>
          <w:p w14:paraId="0CA6672E" w14:textId="77777777" w:rsidR="006F4CDB" w:rsidRPr="006F4CDB" w:rsidRDefault="006F4CDB" w:rsidP="00B05487">
            <w:pPr>
              <w:ind w:right="-23"/>
              <w:rPr>
                <w:rFonts w:ascii="Arial Narrow" w:hAnsi="Arial Narrow"/>
                <w:sz w:val="20"/>
              </w:rPr>
            </w:pPr>
          </w:p>
        </w:tc>
        <w:tc>
          <w:tcPr>
            <w:tcW w:w="920" w:type="pct"/>
          </w:tcPr>
          <w:p w14:paraId="66D112D8" w14:textId="77777777" w:rsidR="006F4CDB" w:rsidRPr="006F4CDB" w:rsidRDefault="006F4CDB" w:rsidP="00B05487">
            <w:pPr>
              <w:ind w:right="-23"/>
              <w:rPr>
                <w:rFonts w:ascii="Arial Narrow" w:eastAsia="Arial" w:hAnsi="Arial Narrow" w:cs="Arial"/>
                <w:color w:val="000000" w:themeColor="text1"/>
                <w:sz w:val="20"/>
              </w:rPr>
            </w:pPr>
            <w:r w:rsidRPr="006F4CDB">
              <w:rPr>
                <w:rFonts w:ascii="Arial Narrow" w:eastAsia="Arial" w:hAnsi="Arial Narrow" w:cs="Arial"/>
                <w:color w:val="000000" w:themeColor="text1"/>
                <w:sz w:val="20"/>
              </w:rPr>
              <w:t>PI*Y barcelona</w:t>
            </w:r>
          </w:p>
        </w:tc>
        <w:tc>
          <w:tcPr>
            <w:tcW w:w="1886" w:type="pct"/>
          </w:tcPr>
          <w:p w14:paraId="7DCCDF14"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(degradation) and mild plasma deficiency</w:t>
            </w:r>
          </w:p>
        </w:tc>
        <w:tc>
          <w:tcPr>
            <w:tcW w:w="1289" w:type="pct"/>
            <w:vMerge/>
            <w:vAlign w:val="center"/>
          </w:tcPr>
          <w:p w14:paraId="3796F0B6" w14:textId="77777777" w:rsidR="006F4CDB" w:rsidRPr="006F4CDB" w:rsidRDefault="006F4CDB" w:rsidP="00B05487">
            <w:pPr>
              <w:ind w:right="-23"/>
              <w:rPr>
                <w:rFonts w:ascii="Arial Narrow" w:hAnsi="Arial Narrow"/>
                <w:sz w:val="20"/>
              </w:rPr>
            </w:pPr>
          </w:p>
        </w:tc>
      </w:tr>
      <w:tr w:rsidR="006F4CDB" w:rsidRPr="006F4CDB" w14:paraId="5282673F" w14:textId="77777777" w:rsidTr="00FA22A4">
        <w:trPr>
          <w:trHeight w:val="20"/>
        </w:trPr>
        <w:tc>
          <w:tcPr>
            <w:tcW w:w="905" w:type="pct"/>
            <w:shd w:val="clear" w:color="auto" w:fill="D9D9D9" w:themeFill="background1" w:themeFillShade="D9"/>
          </w:tcPr>
          <w:p w14:paraId="1095CCC0"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000000" w:themeColor="text1"/>
                <w:sz w:val="20"/>
              </w:rPr>
              <w:t>c.863A&gt;T</w:t>
            </w:r>
          </w:p>
        </w:tc>
        <w:tc>
          <w:tcPr>
            <w:tcW w:w="920" w:type="pct"/>
          </w:tcPr>
          <w:p w14:paraId="5DDC9BAB"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PI*S</w:t>
            </w:r>
          </w:p>
        </w:tc>
        <w:tc>
          <w:tcPr>
            <w:tcW w:w="1886" w:type="pct"/>
          </w:tcPr>
          <w:p w14:paraId="734CD89E" w14:textId="77777777" w:rsidR="006F4CDB" w:rsidRPr="006F4CDB" w:rsidRDefault="006F4CDB" w:rsidP="00B05487">
            <w:pPr>
              <w:ind w:right="-23"/>
              <w:rPr>
                <w:rFonts w:ascii="Arial Narrow" w:hAnsi="Arial Narrow"/>
                <w:sz w:val="20"/>
              </w:rPr>
            </w:pPr>
            <w:r w:rsidRPr="006F4CDB">
              <w:rPr>
                <w:rFonts w:ascii="Arial Narrow" w:eastAsia="Arial" w:hAnsi="Arial Narrow" w:cs="Arial"/>
                <w:color w:val="000000" w:themeColor="text1"/>
                <w:sz w:val="20"/>
              </w:rPr>
              <w:t>Impaired secretion (degradation) and mild plasma deficiency</w:t>
            </w:r>
          </w:p>
        </w:tc>
        <w:tc>
          <w:tcPr>
            <w:tcW w:w="1289" w:type="pct"/>
          </w:tcPr>
          <w:p w14:paraId="661F1C02" w14:textId="77777777" w:rsidR="006F4CDB" w:rsidRPr="006F4CDB" w:rsidRDefault="006F4CDB" w:rsidP="00B05487">
            <w:pPr>
              <w:spacing w:line="276" w:lineRule="auto"/>
              <w:ind w:right="-23"/>
              <w:rPr>
                <w:rFonts w:ascii="Arial Narrow" w:hAnsi="Arial Narrow"/>
                <w:sz w:val="20"/>
              </w:rPr>
            </w:pPr>
            <w:r w:rsidRPr="006F4CDB">
              <w:rPr>
                <w:rFonts w:ascii="Arial Narrow" w:eastAsia="Arial" w:hAnsi="Arial Narrow" w:cs="Arial"/>
                <w:color w:val="131413"/>
                <w:sz w:val="20"/>
              </w:rPr>
              <w:t xml:space="preserve">5–10% </w:t>
            </w:r>
            <w:r w:rsidRPr="006F4CDB">
              <w:rPr>
                <w:rFonts w:ascii="Arial Narrow" w:hAnsi="Arial Narrow"/>
                <w:sz w:val="20"/>
              </w:rPr>
              <w:br/>
            </w:r>
            <w:r w:rsidRPr="006F4CDB">
              <w:rPr>
                <w:rFonts w:ascii="Arial Narrow" w:eastAsia="Arial" w:hAnsi="Arial Narrow" w:cs="Arial"/>
                <w:color w:val="131413"/>
                <w:sz w:val="20"/>
              </w:rPr>
              <w:t>(carriers)</w:t>
            </w:r>
          </w:p>
        </w:tc>
      </w:tr>
    </w:tbl>
    <w:p w14:paraId="34426C33" w14:textId="14C8F0EF" w:rsidR="00294511" w:rsidRDefault="006F4CDB" w:rsidP="00B05487">
      <w:pPr>
        <w:pStyle w:val="Tablenotes1"/>
      </w:pPr>
      <w:r w:rsidRPr="006F4CDB">
        <w:t>AAT = alpha-1 antitrypsin</w:t>
      </w:r>
      <w:r>
        <w:t>.</w:t>
      </w:r>
      <w:r w:rsidRPr="006F4CDB">
        <w:t xml:space="preserve"> Clinical significance as stated in the ClinVar database </w:t>
      </w:r>
      <w:r w:rsidRPr="006F4CDB">
        <w:fldChar w:fldCharType="begin"/>
      </w:r>
      <w:r w:rsidRPr="006F4CDB">
        <w:instrText xml:space="preserve"> ADDIN EN.CITE &lt;EndNote&gt;&lt;Cite&gt;&lt;Author&gt;Landrum&lt;/Author&gt;&lt;Year&gt;2018&lt;/Year&gt;&lt;RecNum&gt;2598&lt;/RecNum&gt;&lt;DisplayText&gt;(Landrum et al., 2018)&lt;/DisplayText&gt;&lt;record&gt;&lt;rec-number&gt;2598&lt;/rec-number&gt;&lt;foreign-keys&gt;&lt;key app="EN" db-id="2fffax5ta9z95ce9fs8xf25opfareppead95" timestamp="1615956154"&gt;2598&lt;/key&gt;&lt;/foreign-keys&gt;&lt;ref-type name="Journal Article"&gt;17&lt;/ref-type&gt;&lt;contributors&gt;&lt;authors&gt;&lt;author&gt;Landrum, Melissa J&lt;/author&gt;&lt;author&gt;Lee, Jennifer M&lt;/author&gt;&lt;author&gt;Benson, Mark&lt;/author&gt;&lt;author&gt;Brown, Garth R&lt;/author&gt;&lt;author&gt;Chao, Chen&lt;/author&gt;&lt;author&gt;Chitipiralla, Shanmuga&lt;/author&gt;&lt;author&gt;Gu, Baoshan&lt;/author&gt;&lt;author&gt;Hart, Jennifer&lt;/author&gt;&lt;author&gt;Hoffman, Douglas&lt;/author&gt;&lt;author&gt;Jang, Wonhee&lt;/author&gt;&lt;/authors&gt;&lt;/contributors&gt;&lt;titles&gt;&lt;title&gt;ClinVar: improving access to variant interpretations and supporting evidence&lt;/title&gt;&lt;secondary-title&gt;Nucleic acids research&lt;/secondary-title&gt;&lt;/titles&gt;&lt;periodical&gt;&lt;full-title&gt;Nucleic acids research&lt;/full-title&gt;&lt;/periodical&gt;&lt;pages&gt;D1062-D1067&lt;/pages&gt;&lt;volume&gt;46&lt;/volume&gt;&lt;number&gt;D1&lt;/number&gt;&lt;dates&gt;&lt;year&gt;2018&lt;/year&gt;&lt;/dates&gt;&lt;isbn&gt;0305-1048&lt;/isbn&gt;&lt;urls&gt;&lt;/urls&gt;&lt;/record&gt;&lt;/Cite&gt;&lt;/EndNote&gt;</w:instrText>
      </w:r>
      <w:r w:rsidRPr="006F4CDB">
        <w:fldChar w:fldCharType="separate"/>
      </w:r>
      <w:r w:rsidRPr="006F4CDB">
        <w:rPr>
          <w:noProof/>
        </w:rPr>
        <w:t>(Landrum et al., 2018)</w:t>
      </w:r>
      <w:r w:rsidRPr="006F4CDB">
        <w:fldChar w:fldCharType="end"/>
      </w:r>
      <w:r>
        <w:t>.</w:t>
      </w:r>
      <w:r w:rsidRPr="006F4CDB">
        <w:t xml:space="preserve"> </w:t>
      </w:r>
      <w:r>
        <w:t>O</w:t>
      </w:r>
      <w:r w:rsidRPr="006F4CDB">
        <w:t>range = pathogenic; yellow = pathogenic/likely pathogenic; grey = conflicting interpretation.</w:t>
      </w:r>
      <w:r w:rsidRPr="006F4CDB">
        <w:br/>
      </w:r>
      <w:r w:rsidRPr="006F4CDB">
        <w:rPr>
          <w:bCs/>
        </w:rPr>
        <w:t>Source:</w:t>
      </w:r>
      <w:r w:rsidRPr="006F4CDB">
        <w:t xml:space="preserve"> D</w:t>
      </w:r>
      <w:r>
        <w:t xml:space="preserve">CAR Table 24, </w:t>
      </w:r>
      <w:r w:rsidR="00B60410">
        <w:t xml:space="preserve">which was </w:t>
      </w:r>
      <w:r>
        <w:t>based on</w:t>
      </w:r>
      <w:r w:rsidR="00D717E0">
        <w:t xml:space="preserve"> </w:t>
      </w:r>
      <w:r w:rsidR="00D717E0" w:rsidRPr="00D717E0">
        <w:t xml:space="preserve">Veith et al. 2019, </w:t>
      </w:r>
      <w:r w:rsidR="00D717E0">
        <w:t>and US FDA</w:t>
      </w:r>
      <w:r w:rsidR="00D717E0" w:rsidRPr="00D717E0">
        <w:t xml:space="preserve"> 2017</w:t>
      </w:r>
      <w:r w:rsidR="00D717E0">
        <w:t>.</w:t>
      </w:r>
    </w:p>
    <w:p w14:paraId="74594AC7" w14:textId="783B84F4" w:rsidR="007D2860" w:rsidRDefault="007B57B2" w:rsidP="00B05487">
      <w:pPr>
        <w:pStyle w:val="Heading2"/>
      </w:pPr>
      <w:r>
        <w:t xml:space="preserve">Clinical utility </w:t>
      </w:r>
    </w:p>
    <w:p w14:paraId="1BE6ACBC" w14:textId="26FD0F6A" w:rsidR="00DE6837" w:rsidRPr="00DE6837" w:rsidRDefault="007D2860" w:rsidP="00B05487">
      <w:pPr>
        <w:pStyle w:val="Heading3"/>
      </w:pPr>
      <w:r>
        <w:t>C</w:t>
      </w:r>
      <w:r w:rsidR="00DE6837" w:rsidRPr="00DE6837">
        <w:t>hange in management</w:t>
      </w:r>
    </w:p>
    <w:p w14:paraId="7B7D59E5" w14:textId="5E9355F5" w:rsidR="00DE6837" w:rsidRDefault="00DE6837" w:rsidP="00B05487">
      <w:bookmarkStart w:id="25" w:name="_Toc318718116"/>
      <w:r w:rsidRPr="00DE6837">
        <w:t xml:space="preserve">The </w:t>
      </w:r>
      <w:r w:rsidR="00A95D1E">
        <w:t xml:space="preserve">DCAR stated that the </w:t>
      </w:r>
      <w:r w:rsidRPr="00DE6837">
        <w:t>evidence describing the impact of testing on management decisions was of low to moderate quality.</w:t>
      </w:r>
    </w:p>
    <w:p w14:paraId="7B3DCDAE" w14:textId="4A5EA326" w:rsidR="00FA0BB8" w:rsidRPr="009B136F" w:rsidRDefault="00DE6837" w:rsidP="009B136F">
      <w:pPr>
        <w:spacing w:before="240" w:after="240"/>
      </w:pPr>
      <w:r w:rsidRPr="00DE6837">
        <w:t>Compared with healthy controls or carriers, PI*ZZ individuals had higher rates</w:t>
      </w:r>
      <w:r w:rsidR="00E10FF3">
        <w:t xml:space="preserve"> of ceasing or reducing smoking (</w:t>
      </w:r>
      <w:r w:rsidR="00C14AE7">
        <w:t>Table 9</w:t>
      </w:r>
      <w:r w:rsidR="00E10FF3">
        <w:t>)</w:t>
      </w:r>
      <w:r w:rsidRPr="00DE6837">
        <w:t xml:space="preserve">. When informed at a young age (5–7 years), these individuals were more likely than were the general population to never smoke. In a US study, approximately 60% fewer PI*ZZ individuals identified themselves as smokers compared to PI*MZ individuals. However, rates of smoking among parents of children identified with a PI*S or PI*Z AAT variant by genetic screening at a young age were similar to controls. Severely deficient individuals (PI*ZZ) are more likely to engage in healthy behaviours such as exercise </w:t>
      </w:r>
      <w:r w:rsidRPr="00DE6837">
        <w:lastRenderedPageBreak/>
        <w:t>and maintenance of a healthy weight and are more likely to have flu and pneumonia vaccinations</w:t>
      </w:r>
      <w:r w:rsidR="00D717E0">
        <w:rPr>
          <w:rStyle w:val="FootnoteReference"/>
        </w:rPr>
        <w:footnoteReference w:id="27"/>
      </w:r>
      <w:r w:rsidRPr="00DE6837">
        <w:fldChar w:fldCharType="begin">
          <w:fldData xml:space="preserve">PEVuZE5vdGU+PENpdGU+PEF1dGhvcj5Ib2xtPC9BdXRob3I+PFllYXI+MjAxODwvWWVhcj48UmVj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</w:fldData>
        </w:fldChar>
      </w:r>
      <w:r w:rsidRPr="00DE6837">
        <w:instrText xml:space="preserve"> ADDIN EN.CITE </w:instrText>
      </w:r>
      <w:r w:rsidRPr="00DE6837">
        <w:fldChar w:fldCharType="begin">
          <w:fldData xml:space="preserve">PEVuZE5vdGU+PENpdGU+PEF1dGhvcj5Ib2xtPC9BdXRob3I+PFllYXI+MjAxODwvWWVhcj48UmVj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</w:fldData>
        </w:fldChar>
      </w:r>
      <w:r w:rsidRPr="00DE6837">
        <w:instrText xml:space="preserve"> ADDIN EN.CITE.DATA </w:instrText>
      </w:r>
      <w:r w:rsidRPr="00DE6837">
        <w:fldChar w:fldCharType="end"/>
      </w:r>
      <w:r w:rsidRPr="00DE6837">
        <w:fldChar w:fldCharType="end"/>
      </w:r>
      <w:r w:rsidRPr="00DE6837">
        <w:t>.</w:t>
      </w:r>
      <w:bookmarkStart w:id="26" w:name="_Ref74212176"/>
      <w:bookmarkStart w:id="27" w:name="_Toc72826845"/>
      <w:bookmarkEnd w:id="25"/>
    </w:p>
    <w:p w14:paraId="14090163" w14:textId="2ABD3612" w:rsidR="00CD1217" w:rsidRPr="00B976D6" w:rsidRDefault="00CD1217" w:rsidP="00B05487">
      <w:pPr>
        <w:pStyle w:val="Caption"/>
        <w:rPr>
          <w:rFonts w:eastAsia="Calibri" w:cs="Calibri"/>
          <w:bCs w:val="0"/>
          <w:sz w:val="27"/>
          <w:szCs w:val="27"/>
        </w:rPr>
      </w:pPr>
      <w:r>
        <w:t xml:space="preserve">Table </w:t>
      </w:r>
      <w:r w:rsidR="00095E12">
        <w:fldChar w:fldCharType="begin"/>
      </w:r>
      <w:r w:rsidR="00095E12">
        <w:instrText xml:space="preserve"> SEQ Table \* ARABIC </w:instrText>
      </w:r>
      <w:r w:rsidR="00095E12">
        <w:fldChar w:fldCharType="separate"/>
      </w:r>
      <w:r w:rsidR="00095E12">
        <w:rPr>
          <w:noProof/>
        </w:rPr>
        <w:t>9</w:t>
      </w:r>
      <w:r w:rsidR="00095E12">
        <w:rPr>
          <w:noProof/>
        </w:rPr>
        <w:fldChar w:fldCharType="end"/>
      </w:r>
      <w:bookmarkEnd w:id="26"/>
      <w:r>
        <w:tab/>
      </w:r>
      <w:r w:rsidRPr="00B976D6">
        <w:rPr>
          <w:rFonts w:eastAsia="Calibri"/>
        </w:rPr>
        <w:t>S</w:t>
      </w:r>
      <w:r w:rsidRPr="00B976D6">
        <w:rPr>
          <w:rFonts w:eastAsia="Calibri" w:cs="Times New Roman"/>
          <w:lang w:val="en-US"/>
        </w:rPr>
        <w:t>ummary of change in management results</w:t>
      </w:r>
      <w:bookmarkEnd w:id="27"/>
    </w:p>
    <w:tbl>
      <w:tblPr>
        <w:tblStyle w:val="TableGrid3"/>
        <w:tblW w:w="5000" w:type="pct"/>
        <w:tblLook w:val="04A0" w:firstRow="1" w:lastRow="0" w:firstColumn="1" w:lastColumn="0" w:noHBand="0" w:noVBand="1"/>
        <w:tblCaption w:val="Table 25 Summary of change in management results"/>
        <w:tblDescription w:val="Table 25 Summary of change in management results"/>
      </w:tblPr>
      <w:tblGrid>
        <w:gridCol w:w="2160"/>
        <w:gridCol w:w="4741"/>
        <w:gridCol w:w="2301"/>
      </w:tblGrid>
      <w:tr w:rsidR="00CD1217" w:rsidRPr="00CD1217" w14:paraId="796BF168" w14:textId="77777777" w:rsidTr="00CD1217">
        <w:tc>
          <w:tcPr>
            <w:tcW w:w="1174" w:type="pct"/>
            <w:tcBorders>
              <w:bottom w:val="single" w:sz="4" w:space="0" w:color="auto"/>
            </w:tcBorders>
            <w:shd w:val="clear" w:color="auto" w:fill="D9D9D9" w:themeFill="background1" w:themeFillShade="D9"/>
          </w:tcPr>
          <w:p w14:paraId="3886FFEB" w14:textId="77777777" w:rsidR="00CD1217" w:rsidRPr="00CD1217" w:rsidRDefault="00CD1217" w:rsidP="00B05487">
            <w:pPr>
              <w:ind w:right="-23"/>
              <w:rPr>
                <w:rFonts w:ascii="Arial Narrow" w:hAnsi="Arial Narrow"/>
                <w:b/>
                <w:sz w:val="20"/>
              </w:rPr>
            </w:pPr>
            <w:r w:rsidRPr="00CD1217">
              <w:rPr>
                <w:rFonts w:ascii="Arial Narrow" w:hAnsi="Arial Narrow"/>
                <w:b/>
                <w:sz w:val="20"/>
              </w:rPr>
              <w:t>Study</w:t>
            </w:r>
          </w:p>
          <w:p w14:paraId="2E14A2C1" w14:textId="77777777" w:rsidR="00CD1217" w:rsidRPr="00CD1217" w:rsidRDefault="00CD1217" w:rsidP="00B05487">
            <w:pPr>
              <w:ind w:right="-23"/>
              <w:rPr>
                <w:rFonts w:ascii="Arial Narrow" w:hAnsi="Arial Narrow"/>
                <w:b/>
                <w:sz w:val="20"/>
              </w:rPr>
            </w:pPr>
            <w:r w:rsidRPr="00CD1217">
              <w:rPr>
                <w:rFonts w:ascii="Arial Narrow" w:hAnsi="Arial Narrow"/>
                <w:b/>
                <w:sz w:val="20"/>
              </w:rPr>
              <w:t>Population</w:t>
            </w:r>
          </w:p>
        </w:tc>
        <w:tc>
          <w:tcPr>
            <w:tcW w:w="2575" w:type="pct"/>
            <w:tcBorders>
              <w:bottom w:val="single" w:sz="4" w:space="0" w:color="auto"/>
            </w:tcBorders>
            <w:shd w:val="clear" w:color="auto" w:fill="D9D9D9" w:themeFill="background1" w:themeFillShade="D9"/>
          </w:tcPr>
          <w:p w14:paraId="68B48B6B" w14:textId="77777777" w:rsidR="00CD1217" w:rsidRPr="00CD1217" w:rsidRDefault="00CD1217" w:rsidP="00B05487">
            <w:pPr>
              <w:ind w:right="-23"/>
              <w:rPr>
                <w:rFonts w:ascii="Arial Narrow" w:hAnsi="Arial Narrow"/>
                <w:b/>
                <w:sz w:val="20"/>
              </w:rPr>
            </w:pPr>
            <w:r w:rsidRPr="00CD1217">
              <w:rPr>
                <w:rFonts w:ascii="Arial Narrow" w:hAnsi="Arial Narrow"/>
                <w:b/>
                <w:sz w:val="20"/>
              </w:rPr>
              <w:t>Findings</w:t>
            </w:r>
          </w:p>
        </w:tc>
        <w:tc>
          <w:tcPr>
            <w:tcW w:w="1250" w:type="pct"/>
            <w:tcBorders>
              <w:bottom w:val="single" w:sz="4" w:space="0" w:color="auto"/>
            </w:tcBorders>
            <w:shd w:val="clear" w:color="auto" w:fill="D9D9D9" w:themeFill="background1" w:themeFillShade="D9"/>
          </w:tcPr>
          <w:p w14:paraId="715588BF" w14:textId="75C1252A" w:rsidR="00CD1217" w:rsidRPr="00CD1217" w:rsidRDefault="00CD1217" w:rsidP="00B05487">
            <w:pPr>
              <w:ind w:right="-23"/>
              <w:rPr>
                <w:rFonts w:ascii="Arial Narrow" w:hAnsi="Arial Narrow"/>
                <w:b/>
                <w:sz w:val="20"/>
              </w:rPr>
            </w:pPr>
            <w:r w:rsidRPr="00CD1217">
              <w:rPr>
                <w:rFonts w:ascii="Arial Narrow" w:hAnsi="Arial Narrow"/>
                <w:b/>
                <w:sz w:val="20"/>
              </w:rPr>
              <w:t xml:space="preserve">Knowledge of AATD status changed </w:t>
            </w:r>
            <w:r w:rsidR="00E10FF3">
              <w:rPr>
                <w:rFonts w:ascii="Arial Narrow" w:hAnsi="Arial Narrow"/>
                <w:b/>
                <w:sz w:val="20"/>
              </w:rPr>
              <w:t xml:space="preserve">behavior </w:t>
            </w:r>
            <w:r w:rsidRPr="00CD1217">
              <w:rPr>
                <w:rFonts w:ascii="Arial Narrow" w:hAnsi="Arial Narrow"/>
                <w:b/>
                <w:sz w:val="20"/>
              </w:rPr>
              <w:t>/</w:t>
            </w:r>
            <w:r w:rsidRPr="00CD1217">
              <w:rPr>
                <w:rFonts w:ascii="Arial Narrow" w:hAnsi="Arial Narrow"/>
                <w:b/>
                <w:sz w:val="20"/>
              </w:rPr>
              <w:br/>
              <w:t>management</w:t>
            </w:r>
          </w:p>
        </w:tc>
      </w:tr>
      <w:tr w:rsidR="00CD1217" w:rsidRPr="00CD1217" w14:paraId="1BBBAA77" w14:textId="77777777" w:rsidTr="00CD1217">
        <w:tc>
          <w:tcPr>
            <w:tcW w:w="1174" w:type="pct"/>
            <w:tcBorders>
              <w:bottom w:val="nil"/>
            </w:tcBorders>
          </w:tcPr>
          <w:p w14:paraId="08826DBF" w14:textId="1921A0A7" w:rsidR="00CD1217" w:rsidRPr="00CD1217" w:rsidRDefault="00CD1217" w:rsidP="00B05487">
            <w:pPr>
              <w:ind w:right="-23"/>
              <w:rPr>
                <w:rFonts w:ascii="Arial Narrow" w:hAnsi="Arial Narrow"/>
                <w:sz w:val="20"/>
              </w:rPr>
            </w:pPr>
            <w:r w:rsidRPr="00CD1217">
              <w:rPr>
                <w:rFonts w:ascii="Arial Narrow" w:hAnsi="Arial Narrow"/>
                <w:sz w:val="20"/>
              </w:rPr>
              <w:t>Thelin 1996, Sweden</w:t>
            </w:r>
            <w:r w:rsidR="00D717E0">
              <w:rPr>
                <w:rFonts w:ascii="Arial Narrow" w:hAnsi="Arial Narrow"/>
                <w:sz w:val="20"/>
              </w:rPr>
              <w:t xml:space="preserve"> </w:t>
            </w:r>
            <w:r w:rsidR="00D717E0">
              <w:rPr>
                <w:rStyle w:val="FootnoteReference"/>
              </w:rPr>
              <w:footnoteReference w:id="28"/>
            </w:r>
          </w:p>
          <w:p w14:paraId="0EB8E74C" w14:textId="77777777" w:rsidR="00CD1217" w:rsidRPr="00CD1217" w:rsidRDefault="00CD1217" w:rsidP="009B136F">
            <w:pPr>
              <w:spacing w:before="240"/>
              <w:ind w:right="-23"/>
              <w:rPr>
                <w:rFonts w:ascii="Arial Narrow" w:hAnsi="Arial Narrow"/>
                <w:sz w:val="20"/>
              </w:rPr>
            </w:pPr>
            <w:r w:rsidRPr="00CD1217">
              <w:rPr>
                <w:rFonts w:ascii="Arial Narrow" w:hAnsi="Arial Narrow"/>
                <w:sz w:val="20"/>
              </w:rPr>
              <w:t>Children screened for AATD as a part of the Swedish newborn screening program (1972–1974) and their parents</w:t>
            </w:r>
          </w:p>
        </w:tc>
        <w:tc>
          <w:tcPr>
            <w:tcW w:w="2575" w:type="pct"/>
            <w:tcBorders>
              <w:bottom w:val="single" w:sz="4" w:space="0" w:color="auto"/>
            </w:tcBorders>
          </w:tcPr>
          <w:p w14:paraId="668DF6D8" w14:textId="06176A51" w:rsidR="00CD1217" w:rsidRPr="00CD1217" w:rsidRDefault="00CD1217" w:rsidP="00DE464A">
            <w:pPr>
              <w:pStyle w:val="ListParagraph"/>
              <w:numPr>
                <w:ilvl w:val="0"/>
                <w:numId w:val="21"/>
              </w:numPr>
              <w:ind w:left="273" w:right="-23" w:hanging="273"/>
              <w:contextualSpacing w:val="0"/>
              <w:rPr>
                <w:rFonts w:ascii="Arial Narrow" w:eastAsia="Arial Narrow" w:hAnsi="Arial Narrow" w:cs="Arial Narrow"/>
                <w:sz w:val="20"/>
              </w:rPr>
            </w:pPr>
            <w:r w:rsidRPr="00CD1217">
              <w:rPr>
                <w:rFonts w:ascii="Arial Narrow" w:hAnsi="Arial Narrow"/>
                <w:sz w:val="20"/>
              </w:rPr>
              <w:t>Parents with AATD children had similar smoking rates to controls.</w:t>
            </w:r>
          </w:p>
          <w:p w14:paraId="6F43AB0F" w14:textId="221B22EC" w:rsidR="00CD1217" w:rsidRPr="00CD1217" w:rsidRDefault="00CD1217" w:rsidP="00DE464A">
            <w:pPr>
              <w:pStyle w:val="ListParagraph"/>
              <w:numPr>
                <w:ilvl w:val="0"/>
                <w:numId w:val="21"/>
              </w:numPr>
              <w:ind w:left="273" w:right="-23" w:hanging="273"/>
              <w:contextualSpacing w:val="0"/>
              <w:rPr>
                <w:rFonts w:ascii="Arial Narrow" w:eastAsia="Arial Narrow" w:hAnsi="Arial Narrow" w:cs="Arial Narrow"/>
                <w:sz w:val="20"/>
              </w:rPr>
            </w:pPr>
            <w:r w:rsidRPr="00CD1217">
              <w:rPr>
                <w:rFonts w:ascii="Arial Narrow" w:hAnsi="Arial Narrow"/>
                <w:sz w:val="20"/>
              </w:rPr>
              <w:t>There was increased smoking in AATD fathers compared with controls.</w:t>
            </w:r>
          </w:p>
          <w:p w14:paraId="1206628D" w14:textId="1F3A7EB2" w:rsidR="00CD1217" w:rsidRPr="00CD1217" w:rsidRDefault="00CD1217" w:rsidP="00DE464A">
            <w:pPr>
              <w:pStyle w:val="ListParagraph"/>
              <w:numPr>
                <w:ilvl w:val="0"/>
                <w:numId w:val="21"/>
              </w:numPr>
              <w:ind w:left="273" w:right="-23" w:hanging="273"/>
              <w:contextualSpacing w:val="0"/>
              <w:rPr>
                <w:rFonts w:ascii="Arial Narrow" w:eastAsia="Arial Narrow" w:hAnsi="Arial Narrow" w:cs="Arial Narrow"/>
                <w:sz w:val="20"/>
              </w:rPr>
            </w:pPr>
            <w:r w:rsidRPr="00CD1217">
              <w:rPr>
                <w:rFonts w:ascii="Arial Narrow" w:hAnsi="Arial Narrow"/>
                <w:sz w:val="20"/>
              </w:rPr>
              <w:t>There was a significant decrease of smoking in AATD individuals screened at birth, compared with matched controls.</w:t>
            </w:r>
          </w:p>
          <w:p w14:paraId="789F8B2D" w14:textId="55136462" w:rsidR="00CD1217" w:rsidRPr="00CD1217" w:rsidRDefault="00CD1217" w:rsidP="00DE464A">
            <w:pPr>
              <w:pStyle w:val="ListParagraph"/>
              <w:numPr>
                <w:ilvl w:val="0"/>
                <w:numId w:val="21"/>
              </w:numPr>
              <w:ind w:left="273" w:right="-23" w:hanging="273"/>
              <w:contextualSpacing w:val="0"/>
              <w:rPr>
                <w:rFonts w:ascii="Arial Narrow" w:eastAsia="Arial Narrow" w:hAnsi="Arial Narrow" w:cs="Arial Narrow"/>
                <w:sz w:val="20"/>
              </w:rPr>
            </w:pPr>
            <w:r w:rsidRPr="00CD1217">
              <w:rPr>
                <w:rFonts w:ascii="Arial Narrow" w:hAnsi="Arial Narrow"/>
                <w:sz w:val="20"/>
              </w:rPr>
              <w:t>AATD patients were more likely to be smokers if they</w:t>
            </w:r>
            <w:r>
              <w:rPr>
                <w:rFonts w:ascii="Arial Narrow" w:hAnsi="Arial Narrow"/>
                <w:sz w:val="20"/>
              </w:rPr>
              <w:t xml:space="preserve"> had a parent who was a smoker.</w:t>
            </w:r>
          </w:p>
        </w:tc>
        <w:tc>
          <w:tcPr>
            <w:tcW w:w="1250" w:type="pct"/>
            <w:tcBorders>
              <w:bottom w:val="single" w:sz="4" w:space="0" w:color="auto"/>
            </w:tcBorders>
          </w:tcPr>
          <w:p w14:paraId="1BAB414D" w14:textId="77777777" w:rsidR="00CD1217" w:rsidRPr="00CD1217" w:rsidRDefault="00CD1217" w:rsidP="00B05487">
            <w:pPr>
              <w:ind w:right="-23"/>
              <w:rPr>
                <w:rFonts w:ascii="Arial Narrow" w:hAnsi="Arial Narrow"/>
                <w:sz w:val="20"/>
                <w:u w:val="single"/>
              </w:rPr>
            </w:pPr>
            <w:r w:rsidRPr="00CD1217">
              <w:rPr>
                <w:rFonts w:ascii="Arial Narrow" w:hAnsi="Arial Narrow"/>
                <w:sz w:val="20"/>
                <w:u w:val="single"/>
              </w:rPr>
              <w:t>Smoking:</w:t>
            </w:r>
          </w:p>
          <w:p w14:paraId="13F4D582" w14:textId="77777777" w:rsidR="00CD1217" w:rsidRPr="00CD1217" w:rsidRDefault="00CD1217" w:rsidP="00B05487">
            <w:pPr>
              <w:ind w:right="-23"/>
              <w:rPr>
                <w:rFonts w:ascii="Arial Narrow" w:hAnsi="Arial Narrow"/>
                <w:sz w:val="20"/>
              </w:rPr>
            </w:pPr>
            <w:r w:rsidRPr="00CD1217">
              <w:rPr>
                <w:rFonts w:ascii="Arial Narrow" w:hAnsi="Arial Narrow"/>
                <w:sz w:val="20"/>
              </w:rPr>
              <w:t>Yes (in children with PI*ZZ AATD)</w:t>
            </w:r>
          </w:p>
          <w:p w14:paraId="1300AB63" w14:textId="4B5649D7" w:rsidR="00CD1217" w:rsidRPr="00CD1217" w:rsidRDefault="00CD1217" w:rsidP="00B05487">
            <w:pPr>
              <w:ind w:right="-23"/>
              <w:rPr>
                <w:rFonts w:ascii="Arial Narrow" w:hAnsi="Arial Narrow"/>
                <w:sz w:val="20"/>
              </w:rPr>
            </w:pPr>
            <w:r w:rsidRPr="00CD1217">
              <w:rPr>
                <w:rFonts w:ascii="Arial Narrow" w:hAnsi="Arial Narrow"/>
                <w:sz w:val="20"/>
              </w:rPr>
              <w:t>No (in parents of children with AATD)</w:t>
            </w:r>
          </w:p>
        </w:tc>
      </w:tr>
      <w:tr w:rsidR="00CD1217" w:rsidRPr="00CD1217" w14:paraId="34CDEB6D" w14:textId="77777777" w:rsidTr="00CD1217">
        <w:tc>
          <w:tcPr>
            <w:tcW w:w="1174" w:type="pct"/>
            <w:tcBorders>
              <w:top w:val="nil"/>
            </w:tcBorders>
          </w:tcPr>
          <w:p w14:paraId="2A4365A5" w14:textId="0BBA44A3" w:rsidR="00CD1217" w:rsidRPr="00CD1217" w:rsidRDefault="00CD1217" w:rsidP="00B05487">
            <w:pPr>
              <w:ind w:right="-23"/>
              <w:rPr>
                <w:rFonts w:ascii="Arial Narrow" w:hAnsi="Arial Narrow"/>
                <w:sz w:val="20"/>
              </w:rPr>
            </w:pPr>
            <w:r w:rsidRPr="00CD1217">
              <w:rPr>
                <w:rFonts w:ascii="Arial Narrow" w:hAnsi="Arial Narrow"/>
                <w:sz w:val="20"/>
              </w:rPr>
              <w:t>Tanash, 2015, Sweden</w:t>
            </w:r>
            <w:r w:rsidR="00D717E0">
              <w:rPr>
                <w:rFonts w:ascii="Arial Narrow" w:hAnsi="Arial Narrow"/>
                <w:sz w:val="20"/>
              </w:rPr>
              <w:t xml:space="preserve"> </w:t>
            </w:r>
            <w:r w:rsidR="00D717E0">
              <w:rPr>
                <w:rStyle w:val="FootnoteReference"/>
                <w:rFonts w:ascii="Arial Narrow" w:hAnsi="Arial Narrow"/>
                <w:sz w:val="20"/>
              </w:rPr>
              <w:footnoteReference w:id="29"/>
            </w:r>
          </w:p>
          <w:p w14:paraId="769F4347" w14:textId="77777777" w:rsidR="00CD1217" w:rsidRPr="00CD1217" w:rsidRDefault="00CD1217" w:rsidP="009B136F">
            <w:pPr>
              <w:spacing w:before="240"/>
              <w:ind w:right="-23"/>
              <w:rPr>
                <w:rFonts w:ascii="Arial Narrow" w:hAnsi="Arial Narrow"/>
                <w:sz w:val="20"/>
              </w:rPr>
            </w:pPr>
            <w:r w:rsidRPr="00CD1217">
              <w:rPr>
                <w:rFonts w:ascii="Arial Narrow" w:hAnsi="Arial Narrow"/>
                <w:sz w:val="20"/>
              </w:rPr>
              <w:t>Individuals followed up from Thelin 1996 above</w:t>
            </w:r>
          </w:p>
        </w:tc>
        <w:tc>
          <w:tcPr>
            <w:tcW w:w="2575" w:type="pct"/>
            <w:tcBorders>
              <w:top w:val="single" w:sz="4" w:space="0" w:color="auto"/>
            </w:tcBorders>
          </w:tcPr>
          <w:p w14:paraId="56E500EA" w14:textId="77777777" w:rsidR="00CD1217" w:rsidRPr="00CD1217" w:rsidRDefault="00CD1217" w:rsidP="00DE464A">
            <w:pPr>
              <w:pStyle w:val="ListParagraph"/>
              <w:numPr>
                <w:ilvl w:val="0"/>
                <w:numId w:val="23"/>
              </w:numPr>
              <w:ind w:left="273" w:right="-23" w:hanging="273"/>
              <w:contextualSpacing w:val="0"/>
              <w:rPr>
                <w:rFonts w:ascii="Arial Narrow" w:hAnsi="Arial Narrow"/>
                <w:sz w:val="20"/>
              </w:rPr>
            </w:pPr>
            <w:r w:rsidRPr="00CD1217">
              <w:rPr>
                <w:rFonts w:ascii="Arial Narrow" w:hAnsi="Arial Narrow"/>
                <w:sz w:val="20"/>
              </w:rPr>
              <w:t xml:space="preserve">At 34 years of age, the frequency of never-smokers was significantly increased in AATD patients (PI*SZ and PI*ZZ), compared with controls (PI*MM). </w:t>
            </w:r>
          </w:p>
          <w:p w14:paraId="2A60F03E" w14:textId="343CB927" w:rsidR="00CD1217" w:rsidRPr="00CD1217" w:rsidRDefault="00CD1217" w:rsidP="00DE464A">
            <w:pPr>
              <w:pStyle w:val="ListParagraph"/>
              <w:numPr>
                <w:ilvl w:val="0"/>
                <w:numId w:val="23"/>
              </w:numPr>
              <w:ind w:left="273" w:right="-23" w:hanging="273"/>
              <w:contextualSpacing w:val="0"/>
              <w:rPr>
                <w:rFonts w:ascii="Arial Narrow" w:hAnsi="Arial Narrow"/>
                <w:sz w:val="20"/>
              </w:rPr>
            </w:pPr>
            <w:r w:rsidRPr="00CD1217">
              <w:rPr>
                <w:rFonts w:ascii="Arial Narrow" w:hAnsi="Arial Narrow"/>
                <w:sz w:val="20"/>
              </w:rPr>
              <w:t>Pack years* was not significantly different between genotype groups. PI*SZ and PI*ZZ never-smokers retained normal lung function.</w:t>
            </w:r>
          </w:p>
        </w:tc>
        <w:tc>
          <w:tcPr>
            <w:tcW w:w="1250" w:type="pct"/>
            <w:tcBorders>
              <w:top w:val="single" w:sz="4" w:space="0" w:color="auto"/>
            </w:tcBorders>
          </w:tcPr>
          <w:p w14:paraId="63ED4F31" w14:textId="77777777" w:rsidR="00CD1217" w:rsidRPr="00CD1217" w:rsidRDefault="00CD1217" w:rsidP="00B05487">
            <w:pPr>
              <w:ind w:right="-23"/>
              <w:rPr>
                <w:rFonts w:ascii="Arial Narrow" w:hAnsi="Arial Narrow"/>
                <w:sz w:val="20"/>
              </w:rPr>
            </w:pPr>
            <w:r w:rsidRPr="00CD1217">
              <w:rPr>
                <w:rFonts w:ascii="Arial Narrow" w:hAnsi="Arial Narrow"/>
                <w:sz w:val="20"/>
                <w:u w:val="single"/>
              </w:rPr>
              <w:t>Smoking</w:t>
            </w:r>
            <w:r w:rsidRPr="00CD1217">
              <w:rPr>
                <w:rFonts w:ascii="Arial Narrow" w:hAnsi="Arial Narrow"/>
                <w:sz w:val="20"/>
              </w:rPr>
              <w:t>:</w:t>
            </w:r>
          </w:p>
          <w:p w14:paraId="0BDCE871" w14:textId="485BA196" w:rsidR="00CD1217" w:rsidRPr="00CD1217" w:rsidRDefault="00CD1217" w:rsidP="00B05487">
            <w:pPr>
              <w:ind w:right="-23"/>
              <w:rPr>
                <w:rFonts w:ascii="Arial Narrow" w:hAnsi="Arial Narrow"/>
                <w:sz w:val="20"/>
              </w:rPr>
            </w:pPr>
            <w:r w:rsidRPr="00CD1217">
              <w:rPr>
                <w:rFonts w:ascii="Arial Narrow" w:hAnsi="Arial Narrow"/>
                <w:sz w:val="20"/>
              </w:rPr>
              <w:t>Yes (for PI*SZ and PI*ZZ compared to PI*MM)</w:t>
            </w:r>
          </w:p>
        </w:tc>
      </w:tr>
      <w:tr w:rsidR="00CD1217" w:rsidRPr="00CD1217" w14:paraId="5702B6FF" w14:textId="77777777" w:rsidTr="00CD1217">
        <w:tc>
          <w:tcPr>
            <w:tcW w:w="1174" w:type="pct"/>
          </w:tcPr>
          <w:p w14:paraId="1AAD528F" w14:textId="208F6074" w:rsidR="00CD1217" w:rsidRPr="00CD1217" w:rsidRDefault="00CD1217" w:rsidP="00B05487">
            <w:pPr>
              <w:ind w:right="-23"/>
              <w:rPr>
                <w:rFonts w:ascii="Arial Narrow" w:hAnsi="Arial Narrow"/>
                <w:sz w:val="20"/>
              </w:rPr>
            </w:pPr>
            <w:r w:rsidRPr="00CD1217">
              <w:rPr>
                <w:rFonts w:ascii="Arial Narrow" w:hAnsi="Arial Narrow"/>
                <w:sz w:val="20"/>
              </w:rPr>
              <w:t>Carpenter, 2007, USA</w:t>
            </w:r>
            <w:r w:rsidR="00D717E0">
              <w:rPr>
                <w:rFonts w:ascii="Arial Narrow" w:hAnsi="Arial Narrow"/>
                <w:sz w:val="20"/>
              </w:rPr>
              <w:t xml:space="preserve"> </w:t>
            </w:r>
            <w:r w:rsidR="00D717E0">
              <w:rPr>
                <w:rStyle w:val="FootnoteReference"/>
                <w:rFonts w:ascii="Arial Narrow" w:hAnsi="Arial Narrow"/>
                <w:sz w:val="20"/>
              </w:rPr>
              <w:footnoteReference w:id="30"/>
            </w:r>
          </w:p>
          <w:p w14:paraId="21B73058" w14:textId="3D33565F" w:rsidR="00CD1217" w:rsidRPr="00CD1217" w:rsidRDefault="00CD1217" w:rsidP="009B136F">
            <w:pPr>
              <w:spacing w:before="240"/>
              <w:ind w:right="-23"/>
              <w:rPr>
                <w:rFonts w:ascii="Arial Narrow" w:hAnsi="Arial Narrow"/>
                <w:sz w:val="20"/>
              </w:rPr>
            </w:pPr>
            <w:r w:rsidRPr="00CD1217">
              <w:rPr>
                <w:rFonts w:ascii="Arial Narrow" w:hAnsi="Arial Narrow"/>
                <w:sz w:val="20"/>
              </w:rPr>
              <w:t>Individuals seeking an AAT genetic test kit</w:t>
            </w:r>
          </w:p>
          <w:p w14:paraId="0BC65ADE" w14:textId="77777777" w:rsidR="00CD1217" w:rsidRPr="00CD1217" w:rsidRDefault="00CD1217" w:rsidP="009B136F">
            <w:pPr>
              <w:spacing w:before="240"/>
              <w:ind w:right="-23"/>
              <w:rPr>
                <w:rFonts w:ascii="Arial Narrow" w:hAnsi="Arial Narrow"/>
                <w:sz w:val="20"/>
              </w:rPr>
            </w:pPr>
            <w:r w:rsidRPr="00CD1217">
              <w:rPr>
                <w:rFonts w:ascii="Arial Narrow" w:hAnsi="Arial Narrow"/>
                <w:sz w:val="20"/>
                <w:lang w:val="en-AU"/>
              </w:rPr>
              <w:t>Follow-up</w:t>
            </w:r>
            <w:r w:rsidRPr="00CD1217">
              <w:rPr>
                <w:rFonts w:ascii="Arial Narrow" w:hAnsi="Arial Narrow"/>
                <w:sz w:val="20"/>
              </w:rPr>
              <w:t xml:space="preserve"> at 3 months</w:t>
            </w:r>
          </w:p>
        </w:tc>
        <w:tc>
          <w:tcPr>
            <w:tcW w:w="2575" w:type="pct"/>
          </w:tcPr>
          <w:p w14:paraId="5398A148" w14:textId="1897D9AC" w:rsidR="00CD1217" w:rsidRPr="00CD1217" w:rsidRDefault="00CD1217" w:rsidP="00DE464A">
            <w:pPr>
              <w:pStyle w:val="ListParagraph"/>
              <w:numPr>
                <w:ilvl w:val="0"/>
                <w:numId w:val="20"/>
              </w:numPr>
              <w:ind w:left="273" w:right="-23" w:hanging="273"/>
              <w:contextualSpacing w:val="0"/>
              <w:rPr>
                <w:rFonts w:ascii="Arial Narrow" w:eastAsia="Arial Narrow" w:hAnsi="Arial Narrow" w:cs="Arial Narrow"/>
                <w:sz w:val="20"/>
              </w:rPr>
            </w:pPr>
            <w:r w:rsidRPr="00CD1217">
              <w:rPr>
                <w:rFonts w:ascii="Arial Narrow" w:hAnsi="Arial Narrow"/>
                <w:sz w:val="20"/>
              </w:rPr>
              <w:t>Severely deficient individuals were more likely to make an attempt to quit, make a 24-hr quit attempt, find information on smoking cessation, use medication and participate in smoking cessation programs.</w:t>
            </w:r>
          </w:p>
          <w:p w14:paraId="21702E8F" w14:textId="77777777" w:rsidR="00CD1217" w:rsidRPr="00CD1217" w:rsidRDefault="00CD1217" w:rsidP="00DE464A">
            <w:pPr>
              <w:pStyle w:val="ListParagraph"/>
              <w:numPr>
                <w:ilvl w:val="0"/>
                <w:numId w:val="20"/>
              </w:numPr>
              <w:ind w:left="273" w:right="-23" w:hanging="273"/>
              <w:contextualSpacing w:val="0"/>
              <w:rPr>
                <w:rFonts w:ascii="Arial Narrow" w:eastAsia="Arial Narrow" w:hAnsi="Arial Narrow" w:cs="Arial Narrow"/>
                <w:sz w:val="20"/>
              </w:rPr>
            </w:pPr>
            <w:r w:rsidRPr="00CD1217">
              <w:rPr>
                <w:rFonts w:ascii="Arial Narrow" w:hAnsi="Arial Narrow"/>
                <w:sz w:val="20"/>
              </w:rPr>
              <w:t>59% of severely deficient patients reduced their smoking by 50% (compared with 14% of carriers and 15% of controls)</w:t>
            </w:r>
          </w:p>
          <w:p w14:paraId="67B6F0E6" w14:textId="1486606C" w:rsidR="00CD1217" w:rsidRPr="00CD1217" w:rsidRDefault="00CD1217" w:rsidP="00DE464A">
            <w:pPr>
              <w:pStyle w:val="ListParagraph"/>
              <w:numPr>
                <w:ilvl w:val="0"/>
                <w:numId w:val="20"/>
              </w:numPr>
              <w:ind w:left="273" w:right="-23" w:hanging="273"/>
              <w:contextualSpacing w:val="0"/>
              <w:rPr>
                <w:rFonts w:ascii="Arial Narrow" w:eastAsia="Arial Narrow" w:hAnsi="Arial Narrow" w:cs="Arial Narrow"/>
                <w:sz w:val="20"/>
              </w:rPr>
            </w:pPr>
            <w:r w:rsidRPr="00CD1217">
              <w:rPr>
                <w:rFonts w:ascii="Arial Narrow" w:hAnsi="Arial Narrow"/>
                <w:sz w:val="20"/>
              </w:rPr>
              <w:t>Adjusted odds ratio for achieving abstinence was 3.6 in the severely deficient group and 1.7 for carriers.</w:t>
            </w:r>
          </w:p>
          <w:p w14:paraId="7044964C" w14:textId="022DC6E9" w:rsidR="00CD1217" w:rsidRPr="00CD1217" w:rsidRDefault="00CD1217" w:rsidP="00DE464A">
            <w:pPr>
              <w:pStyle w:val="ListParagraph"/>
              <w:numPr>
                <w:ilvl w:val="0"/>
                <w:numId w:val="20"/>
              </w:numPr>
              <w:ind w:left="273" w:right="-23" w:hanging="273"/>
              <w:contextualSpacing w:val="0"/>
              <w:rPr>
                <w:rFonts w:ascii="Arial Narrow" w:eastAsia="Arial Narrow" w:hAnsi="Arial Narrow" w:cs="Arial Narrow"/>
                <w:sz w:val="20"/>
              </w:rPr>
            </w:pPr>
            <w:r w:rsidRPr="00CD1217">
              <w:rPr>
                <w:rFonts w:ascii="Arial Narrow" w:hAnsi="Arial Narrow"/>
                <w:sz w:val="20"/>
              </w:rPr>
              <w:t>This study suggested that knowledge of severe AATD changes smoking behaviour, although this was not observed in carriers of an AATD variant allele.</w:t>
            </w:r>
          </w:p>
        </w:tc>
        <w:tc>
          <w:tcPr>
            <w:tcW w:w="1250" w:type="pct"/>
          </w:tcPr>
          <w:p w14:paraId="1246CD49" w14:textId="77777777" w:rsidR="00CD1217" w:rsidRPr="00CD1217" w:rsidRDefault="00CD1217" w:rsidP="00B05487">
            <w:pPr>
              <w:ind w:right="-23"/>
              <w:rPr>
                <w:rFonts w:ascii="Arial Narrow" w:hAnsi="Arial Narrow"/>
                <w:sz w:val="20"/>
                <w:u w:val="single"/>
              </w:rPr>
            </w:pPr>
            <w:r w:rsidRPr="00CD1217">
              <w:rPr>
                <w:rFonts w:ascii="Arial Narrow" w:hAnsi="Arial Narrow"/>
                <w:sz w:val="20"/>
                <w:u w:val="single"/>
              </w:rPr>
              <w:t>Smoking:</w:t>
            </w:r>
          </w:p>
          <w:p w14:paraId="413E1DBF" w14:textId="77777777" w:rsidR="00CD1217" w:rsidRPr="00CD1217" w:rsidRDefault="00CD1217" w:rsidP="00B05487">
            <w:pPr>
              <w:ind w:right="-23"/>
              <w:rPr>
                <w:rFonts w:ascii="Arial Narrow" w:hAnsi="Arial Narrow"/>
                <w:sz w:val="20"/>
              </w:rPr>
            </w:pPr>
            <w:r w:rsidRPr="00CD1217">
              <w:rPr>
                <w:rFonts w:ascii="Arial Narrow" w:hAnsi="Arial Narrow"/>
                <w:sz w:val="20"/>
              </w:rPr>
              <w:t>Yes (for PI*ZZ and PI*SZ)</w:t>
            </w:r>
          </w:p>
          <w:p w14:paraId="0707F305" w14:textId="77777777" w:rsidR="00CD1217" w:rsidRPr="00CD1217" w:rsidRDefault="00CD1217" w:rsidP="00B05487">
            <w:pPr>
              <w:ind w:right="-23"/>
              <w:rPr>
                <w:rFonts w:ascii="Arial Narrow" w:hAnsi="Arial Narrow"/>
                <w:sz w:val="20"/>
              </w:rPr>
            </w:pPr>
            <w:r w:rsidRPr="00CD1217">
              <w:rPr>
                <w:rFonts w:ascii="Arial Narrow" w:hAnsi="Arial Narrow"/>
                <w:sz w:val="20"/>
              </w:rPr>
              <w:t>No (for PI*MZ)</w:t>
            </w:r>
          </w:p>
        </w:tc>
      </w:tr>
      <w:tr w:rsidR="00CD1217" w:rsidRPr="00CD1217" w14:paraId="27369F1D" w14:textId="77777777" w:rsidTr="00CD1217">
        <w:tc>
          <w:tcPr>
            <w:tcW w:w="1174" w:type="pct"/>
          </w:tcPr>
          <w:p w14:paraId="2B5CFD93" w14:textId="3F377544" w:rsidR="00CD1217" w:rsidRPr="00CD1217" w:rsidRDefault="00CD1217" w:rsidP="00B05487">
            <w:pPr>
              <w:ind w:right="-23"/>
              <w:rPr>
                <w:rFonts w:ascii="Arial Narrow" w:hAnsi="Arial Narrow"/>
                <w:sz w:val="20"/>
              </w:rPr>
            </w:pPr>
            <w:r w:rsidRPr="00CD1217">
              <w:rPr>
                <w:rFonts w:ascii="Arial Narrow" w:hAnsi="Arial Narrow"/>
                <w:sz w:val="20"/>
              </w:rPr>
              <w:t>Holm, 2018, USA</w:t>
            </w:r>
            <w:r w:rsidR="00D717E0">
              <w:rPr>
                <w:rFonts w:ascii="Arial Narrow" w:hAnsi="Arial Narrow"/>
                <w:sz w:val="20"/>
              </w:rPr>
              <w:t xml:space="preserve"> </w:t>
            </w:r>
            <w:r w:rsidR="00D717E0">
              <w:rPr>
                <w:rStyle w:val="FootnoteReference"/>
              </w:rPr>
              <w:footnoteReference w:id="31"/>
            </w:r>
          </w:p>
          <w:p w14:paraId="2978AE25" w14:textId="77777777" w:rsidR="00CD1217" w:rsidRPr="00CD1217" w:rsidRDefault="00CD1217" w:rsidP="009B136F">
            <w:pPr>
              <w:spacing w:before="240"/>
              <w:ind w:right="-23"/>
              <w:rPr>
                <w:rFonts w:ascii="Arial Narrow" w:hAnsi="Arial Narrow"/>
                <w:sz w:val="20"/>
              </w:rPr>
            </w:pPr>
            <w:r w:rsidRPr="00CD1217">
              <w:rPr>
                <w:rFonts w:ascii="Arial Narrow" w:hAnsi="Arial Narrow"/>
                <w:sz w:val="20"/>
              </w:rPr>
              <w:t>Patients enrolled in AlphaNet</w:t>
            </w:r>
          </w:p>
        </w:tc>
        <w:tc>
          <w:tcPr>
            <w:tcW w:w="2575" w:type="pct"/>
          </w:tcPr>
          <w:p w14:paraId="15BD8EB2" w14:textId="31348A8C" w:rsidR="00CD1217" w:rsidRPr="00CD1217" w:rsidRDefault="00CD1217" w:rsidP="00DE464A">
            <w:pPr>
              <w:pStyle w:val="ListParagraph"/>
              <w:numPr>
                <w:ilvl w:val="0"/>
                <w:numId w:val="22"/>
              </w:numPr>
              <w:ind w:left="273" w:right="-23" w:hanging="273"/>
              <w:contextualSpacing w:val="0"/>
              <w:rPr>
                <w:rFonts w:ascii="Arial Narrow" w:hAnsi="Arial Narrow"/>
                <w:sz w:val="20"/>
              </w:rPr>
            </w:pPr>
            <w:r w:rsidRPr="00CD1217">
              <w:rPr>
                <w:rFonts w:ascii="Arial Narrow" w:hAnsi="Arial Narrow"/>
                <w:sz w:val="20"/>
              </w:rPr>
              <w:t>Individuals with the severe deficiency genotype PI*ZZ were less likely to be a current smoker, compared with PI*MZ or PI*SZ.</w:t>
            </w:r>
          </w:p>
          <w:p w14:paraId="2418008F" w14:textId="47B3F5A7" w:rsidR="00CD1217" w:rsidRPr="00CD1217" w:rsidRDefault="00CD1217" w:rsidP="00DE464A">
            <w:pPr>
              <w:pStyle w:val="ListParagraph"/>
              <w:numPr>
                <w:ilvl w:val="0"/>
                <w:numId w:val="22"/>
              </w:numPr>
              <w:ind w:left="273" w:right="-23" w:hanging="273"/>
              <w:contextualSpacing w:val="0"/>
              <w:rPr>
                <w:rFonts w:ascii="Arial Narrow" w:hAnsi="Arial Narrow"/>
                <w:sz w:val="20"/>
              </w:rPr>
            </w:pPr>
            <w:r w:rsidRPr="00CD1217">
              <w:rPr>
                <w:rFonts w:ascii="Arial Narrow" w:hAnsi="Arial Narrow"/>
                <w:sz w:val="20"/>
              </w:rPr>
              <w:t>Carrier (PI*MZ) genotypes were at greater odds of unhealthy behaviour than were PI*ZZ.</w:t>
            </w:r>
          </w:p>
          <w:p w14:paraId="47DA22C6" w14:textId="09691440" w:rsidR="00CD1217" w:rsidRPr="00CD1217" w:rsidRDefault="00CD1217" w:rsidP="00DE464A">
            <w:pPr>
              <w:pStyle w:val="ListParagraph"/>
              <w:numPr>
                <w:ilvl w:val="0"/>
                <w:numId w:val="22"/>
              </w:numPr>
              <w:ind w:left="273" w:right="-23" w:hanging="273"/>
              <w:contextualSpacing w:val="0"/>
              <w:rPr>
                <w:rFonts w:ascii="Arial Narrow" w:hAnsi="Arial Narrow"/>
                <w:sz w:val="20"/>
              </w:rPr>
            </w:pPr>
            <w:r w:rsidRPr="00CD1217">
              <w:rPr>
                <w:rFonts w:ascii="Arial Narrow" w:hAnsi="Arial Narrow"/>
                <w:sz w:val="20"/>
              </w:rPr>
              <w:t>PI*SZ had higher odds of lack of exercise and failure to maintain healthy weight (underweight and overweight)</w:t>
            </w:r>
            <w:r w:rsidR="00617DDC">
              <w:rPr>
                <w:rFonts w:ascii="Arial Narrow" w:hAnsi="Arial Narrow"/>
                <w:sz w:val="20"/>
              </w:rPr>
              <w:t>.</w:t>
            </w:r>
          </w:p>
          <w:p w14:paraId="1674E1F2" w14:textId="5DE3DB83" w:rsidR="00CD1217" w:rsidRPr="00CD1217" w:rsidRDefault="00CD1217" w:rsidP="00DE464A">
            <w:pPr>
              <w:pStyle w:val="ListParagraph"/>
              <w:numPr>
                <w:ilvl w:val="0"/>
                <w:numId w:val="22"/>
              </w:numPr>
              <w:ind w:left="273" w:right="-23" w:hanging="273"/>
              <w:contextualSpacing w:val="0"/>
              <w:rPr>
                <w:rFonts w:ascii="Arial Narrow" w:hAnsi="Arial Narrow"/>
                <w:sz w:val="20"/>
              </w:rPr>
            </w:pPr>
            <w:r w:rsidRPr="00CD1217">
              <w:rPr>
                <w:rFonts w:ascii="Arial Narrow" w:hAnsi="Arial Narrow"/>
                <w:sz w:val="20"/>
              </w:rPr>
              <w:t>Most participants had a pneumonia or flu vaccine (87.9% and 86.4% vaccinated, respectively)</w:t>
            </w:r>
            <w:r w:rsidR="00617DDC">
              <w:rPr>
                <w:rFonts w:ascii="Arial Narrow" w:hAnsi="Arial Narrow"/>
                <w:sz w:val="20"/>
              </w:rPr>
              <w:t>.</w:t>
            </w:r>
          </w:p>
        </w:tc>
        <w:tc>
          <w:tcPr>
            <w:tcW w:w="1250" w:type="pct"/>
          </w:tcPr>
          <w:p w14:paraId="1D0CB67E" w14:textId="77777777" w:rsidR="00CD1217" w:rsidRPr="00CD1217" w:rsidRDefault="00CD1217" w:rsidP="00B05487">
            <w:pPr>
              <w:ind w:right="-23"/>
              <w:rPr>
                <w:rFonts w:ascii="Arial Narrow" w:hAnsi="Arial Narrow"/>
                <w:sz w:val="20"/>
              </w:rPr>
            </w:pPr>
            <w:r w:rsidRPr="00CD1217">
              <w:rPr>
                <w:rFonts w:ascii="Arial Narrow" w:hAnsi="Arial Narrow"/>
                <w:sz w:val="20"/>
                <w:u w:val="single"/>
              </w:rPr>
              <w:t>Smoking</w:t>
            </w:r>
            <w:r w:rsidRPr="00CD1217">
              <w:rPr>
                <w:rFonts w:ascii="Arial Narrow" w:hAnsi="Arial Narrow"/>
                <w:sz w:val="20"/>
              </w:rPr>
              <w:t>:</w:t>
            </w:r>
          </w:p>
          <w:p w14:paraId="0BC1AE62" w14:textId="77777777" w:rsidR="00CD1217" w:rsidRPr="00CD1217" w:rsidRDefault="00CD1217" w:rsidP="00B05487">
            <w:pPr>
              <w:ind w:right="-23"/>
              <w:rPr>
                <w:rFonts w:ascii="Arial Narrow" w:hAnsi="Arial Narrow"/>
                <w:sz w:val="20"/>
              </w:rPr>
            </w:pPr>
            <w:r w:rsidRPr="00CD1217">
              <w:rPr>
                <w:rFonts w:ascii="Arial Narrow" w:hAnsi="Arial Narrow"/>
                <w:sz w:val="20"/>
              </w:rPr>
              <w:t>Yes (for PI*ZZ)</w:t>
            </w:r>
          </w:p>
          <w:p w14:paraId="204B9855" w14:textId="77777777" w:rsidR="00CD1217" w:rsidRPr="00CD1217" w:rsidRDefault="00CD1217" w:rsidP="00B05487">
            <w:pPr>
              <w:ind w:right="-23"/>
              <w:rPr>
                <w:rFonts w:ascii="Arial Narrow" w:hAnsi="Arial Narrow"/>
                <w:sz w:val="20"/>
              </w:rPr>
            </w:pPr>
            <w:r w:rsidRPr="00CD1217">
              <w:rPr>
                <w:rFonts w:ascii="Arial Narrow" w:hAnsi="Arial Narrow"/>
                <w:sz w:val="20"/>
              </w:rPr>
              <w:t>No (for PI*MZ, PI*SZ, PI*??)</w:t>
            </w:r>
          </w:p>
          <w:p w14:paraId="0F1FA73C" w14:textId="77777777" w:rsidR="00CD1217" w:rsidRPr="00CD1217" w:rsidRDefault="00CD1217" w:rsidP="00B05487">
            <w:pPr>
              <w:ind w:right="-23"/>
              <w:rPr>
                <w:rFonts w:ascii="Arial Narrow" w:hAnsi="Arial Narrow"/>
                <w:sz w:val="20"/>
                <w:u w:val="single"/>
              </w:rPr>
            </w:pPr>
            <w:r w:rsidRPr="00CD1217">
              <w:rPr>
                <w:rFonts w:ascii="Arial Narrow" w:hAnsi="Arial Narrow"/>
                <w:sz w:val="20"/>
                <w:u w:val="single"/>
              </w:rPr>
              <w:t>Exercise and normal weight:</w:t>
            </w:r>
          </w:p>
          <w:p w14:paraId="4C5F5EAB" w14:textId="77777777" w:rsidR="00CD1217" w:rsidRPr="00CD1217" w:rsidRDefault="00CD1217" w:rsidP="00B05487">
            <w:pPr>
              <w:ind w:right="-23"/>
              <w:rPr>
                <w:rFonts w:ascii="Arial Narrow" w:hAnsi="Arial Narrow"/>
                <w:sz w:val="20"/>
              </w:rPr>
            </w:pPr>
            <w:r w:rsidRPr="00CD1217">
              <w:rPr>
                <w:rFonts w:ascii="Arial Narrow" w:hAnsi="Arial Narrow"/>
                <w:sz w:val="20"/>
              </w:rPr>
              <w:t>Yes (PI*ZZ)</w:t>
            </w:r>
          </w:p>
          <w:p w14:paraId="01BFB6F8" w14:textId="77777777" w:rsidR="00CD1217" w:rsidRPr="00CD1217" w:rsidRDefault="00CD1217" w:rsidP="00B05487">
            <w:pPr>
              <w:ind w:right="-23"/>
              <w:rPr>
                <w:rFonts w:ascii="Arial Narrow" w:hAnsi="Arial Narrow"/>
                <w:sz w:val="20"/>
              </w:rPr>
            </w:pPr>
            <w:r w:rsidRPr="00CD1217">
              <w:rPr>
                <w:rFonts w:ascii="Arial Narrow" w:hAnsi="Arial Narrow"/>
                <w:sz w:val="20"/>
              </w:rPr>
              <w:t>No (PI*MZ, PI*SZ, PI*??)</w:t>
            </w:r>
          </w:p>
          <w:p w14:paraId="32DAEA56" w14:textId="77777777" w:rsidR="00CD1217" w:rsidRPr="00CD1217" w:rsidRDefault="00CD1217" w:rsidP="00B05487">
            <w:pPr>
              <w:ind w:right="-23"/>
              <w:rPr>
                <w:rFonts w:ascii="Arial Narrow" w:hAnsi="Arial Narrow"/>
                <w:sz w:val="20"/>
                <w:u w:val="single"/>
              </w:rPr>
            </w:pPr>
            <w:r w:rsidRPr="00CD1217">
              <w:rPr>
                <w:rFonts w:ascii="Arial Narrow" w:hAnsi="Arial Narrow"/>
                <w:sz w:val="20"/>
                <w:u w:val="single"/>
              </w:rPr>
              <w:t>Vaccinated against pneumonia and flu?</w:t>
            </w:r>
          </w:p>
          <w:p w14:paraId="135CBF76" w14:textId="77777777" w:rsidR="00CD1217" w:rsidRPr="00CD1217" w:rsidRDefault="00CD1217" w:rsidP="00B05487">
            <w:pPr>
              <w:ind w:right="-23"/>
              <w:rPr>
                <w:rFonts w:ascii="Arial Narrow" w:hAnsi="Arial Narrow"/>
                <w:sz w:val="20"/>
              </w:rPr>
            </w:pPr>
            <w:r w:rsidRPr="00CD1217">
              <w:rPr>
                <w:rFonts w:ascii="Arial Narrow" w:hAnsi="Arial Narrow"/>
                <w:sz w:val="20"/>
              </w:rPr>
              <w:t>Yes (PI*ZZ, PI*SZ, PI*??)</w:t>
            </w:r>
          </w:p>
          <w:p w14:paraId="6829D0A8" w14:textId="77777777" w:rsidR="00CD1217" w:rsidRPr="00CD1217" w:rsidRDefault="00CD1217" w:rsidP="00B05487">
            <w:pPr>
              <w:ind w:right="-23"/>
              <w:rPr>
                <w:rFonts w:ascii="Arial Narrow" w:hAnsi="Arial Narrow"/>
                <w:sz w:val="20"/>
              </w:rPr>
            </w:pPr>
            <w:r w:rsidRPr="00CD1217">
              <w:rPr>
                <w:rFonts w:ascii="Arial Narrow" w:hAnsi="Arial Narrow"/>
                <w:sz w:val="20"/>
              </w:rPr>
              <w:t>No (PI*MZ)</w:t>
            </w:r>
          </w:p>
        </w:tc>
      </w:tr>
    </w:tbl>
    <w:p w14:paraId="7582EC74" w14:textId="0B28614B" w:rsidR="00CD1217" w:rsidRDefault="00CD1217" w:rsidP="00B05487">
      <w:pPr>
        <w:pStyle w:val="Tablenotes1"/>
        <w:rPr>
          <w:rFonts w:eastAsia="Calibri"/>
        </w:rPr>
      </w:pPr>
      <w:r w:rsidRPr="05E37119">
        <w:rPr>
          <w:rFonts w:eastAsia="Calibri"/>
        </w:rPr>
        <w:t xml:space="preserve">AATD = </w:t>
      </w:r>
      <w:r w:rsidRPr="00F11935">
        <w:rPr>
          <w:rFonts w:eastAsia="Calibri"/>
        </w:rPr>
        <w:t>alpha</w:t>
      </w:r>
      <w:r w:rsidRPr="05E37119">
        <w:rPr>
          <w:rFonts w:eastAsia="Calibri"/>
        </w:rPr>
        <w:t>-1 antitrypsin deficiency</w:t>
      </w:r>
      <w:r>
        <w:rPr>
          <w:rFonts w:eastAsia="Calibri"/>
        </w:rPr>
        <w:t>, PI*?? = genotype unknown to participant.</w:t>
      </w:r>
      <w:r>
        <w:rPr>
          <w:rFonts w:eastAsia="Calibri"/>
        </w:rPr>
        <w:br/>
      </w:r>
      <w:r w:rsidRPr="00CD1217">
        <w:rPr>
          <w:rFonts w:eastAsia="Calibri"/>
        </w:rPr>
        <w:t>Note:</w:t>
      </w:r>
      <w:r>
        <w:rPr>
          <w:rFonts w:eastAsia="Calibri"/>
        </w:rPr>
        <w:t xml:space="preserve"> *When 20 cigarettes are smoked each day for a whole year this is 1 ‘pack year’.</w:t>
      </w:r>
    </w:p>
    <w:p w14:paraId="272938BD" w14:textId="0DFB1A4E" w:rsidR="00CD1217" w:rsidRPr="00177FBB" w:rsidRDefault="00CD1217" w:rsidP="00B05487">
      <w:pPr>
        <w:pStyle w:val="Tablenotes1"/>
        <w:rPr>
          <w:rFonts w:eastAsia="Calibri"/>
        </w:rPr>
      </w:pPr>
      <w:r>
        <w:rPr>
          <w:rFonts w:eastAsia="Calibri"/>
        </w:rPr>
        <w:t>Source: DCAR, Table 26.</w:t>
      </w:r>
    </w:p>
    <w:p w14:paraId="69DC7224" w14:textId="77777777" w:rsidR="00DE6837" w:rsidRPr="00DE6837" w:rsidRDefault="00DE6837" w:rsidP="00B05487">
      <w:pPr>
        <w:pStyle w:val="Heading3"/>
      </w:pPr>
      <w:r w:rsidRPr="00DE6837">
        <w:lastRenderedPageBreak/>
        <w:t>Therapeutic effectiveness (health benefit from change in management)</w:t>
      </w:r>
    </w:p>
    <w:p w14:paraId="4913C145" w14:textId="4101098F" w:rsidR="00DE6837" w:rsidRDefault="00DE6837" w:rsidP="00FD4AD8">
      <w:pPr>
        <w:spacing w:before="240"/>
      </w:pPr>
      <w:r w:rsidRPr="00DE6837">
        <w:t xml:space="preserve">One non-systematic review </w:t>
      </w:r>
      <w:r w:rsidR="00F13DEA">
        <w:t>and 4 observational studies</w:t>
      </w:r>
      <w:r w:rsidRPr="00DE6837">
        <w:t xml:space="preserve"> were used to assess the effectiveness or impact of changes in management on health outcomes</w:t>
      </w:r>
      <w:r w:rsidR="00D717E0">
        <w:t xml:space="preserve"> (</w:t>
      </w:r>
      <w:r w:rsidR="00FD4AD8">
        <w:t>Table 10</w:t>
      </w:r>
      <w:r w:rsidR="00D717E0">
        <w:t>)</w:t>
      </w:r>
      <w:r w:rsidRPr="00DE6837">
        <w:t>. The quality of the non-systematic review is high while the risk of bias of observational studies is moderate to high.</w:t>
      </w:r>
    </w:p>
    <w:p w14:paraId="3DD51992" w14:textId="4BA6AA00" w:rsidR="00D717E0" w:rsidRDefault="00D717E0" w:rsidP="009B136F">
      <w:pPr>
        <w:spacing w:before="240"/>
      </w:pPr>
      <w:bookmarkStart w:id="28" w:name="_Ref74212659"/>
      <w:bookmarkStart w:id="29" w:name="_Toc72826846"/>
      <w:r w:rsidRPr="00DE6837">
        <w:t>Augmentation therapy is not publicly funded and is outside the scope of this report because it was found to be not cost</w:t>
      </w:r>
      <w:r w:rsidR="00A95D1E">
        <w:t>-</w:t>
      </w:r>
      <w:r w:rsidRPr="00DE6837">
        <w:t xml:space="preserve">effective </w:t>
      </w:r>
      <w:r>
        <w:t xml:space="preserve">(MSAC Application </w:t>
      </w:r>
      <w:hyperlink r:id="rId12" w:history="1">
        <w:r w:rsidRPr="00191996">
          <w:rPr>
            <w:rStyle w:val="Hyperlink"/>
          </w:rPr>
          <w:t>1530</w:t>
        </w:r>
      </w:hyperlink>
      <w:r>
        <w:t>)</w:t>
      </w:r>
      <w:r w:rsidRPr="00066591">
        <w:rPr>
          <w:highlight w:val="magenta"/>
        </w:rPr>
        <w:fldChar w:fldCharType="begin"/>
      </w:r>
      <w:r w:rsidRPr="00066591">
        <w:rPr>
          <w:highlight w:val="magenta"/>
        </w:rPr>
        <w:instrText xml:space="preserve"> ADDIN EN.CITE &lt;EndNote&gt;&lt;Cite&gt;&lt;Author&gt;Vreugdenburg TD&lt;/Author&gt;&lt;Year&gt;2018&lt;/Year&gt;&lt;RecNum&gt;2612&lt;/RecNum&gt;&lt;DisplayText&gt;(Vreugdenburg TD et al., 2018)&lt;/DisplayText&gt;&lt;record&gt;&lt;rec-number&gt;2612&lt;/rec-number&gt;&lt;foreign-keys&gt;&lt;key app="EN" db-id="2fffax5ta9z95ce9fs8xf25opfareppead95" timestamp="1615956154"&gt;2612&lt;/key&gt;&lt;/foreign-keys&gt;&lt;ref-type name="Government Document"&gt;46&lt;/ref-type&gt;&lt;contributors&gt;&lt;authors&gt;&lt;author&gt;Vreugdenburg TD, &lt;/author&gt;&lt;author&gt;Scarfe AJ, &lt;/author&gt;&lt;author&gt;Ma N, &lt;/author&gt;&lt;author&gt;Jacobsen JH, &lt;/author&gt;&lt;author&gt;McLeod R, &lt;/author&gt;&lt;author&gt;Tivey D &lt;/author&gt;&lt;/authors&gt;&lt;secondary-authors&gt;&lt;author&gt;Commonwealth of Australia&lt;/author&gt;&lt;/secondary-authors&gt;&lt;/contributors&gt;&lt;titles&gt;&lt;title&gt;Purified human alpha1-proteinase inhibitor for the treatment of alpha1-proteinase inhibitor deficiency, leading to chronic obstructive pulmonary disease. MSAC Application 1530, Assessment Report&lt;/title&gt;&lt;/titles&gt;&lt;dates&gt;&lt;year&gt;2018&lt;/year&gt;&lt;/dates&gt;&lt;pub-location&gt;Canberra, ACT&lt;/pub-location&gt;&lt;urls&gt;&lt;/urls&gt;&lt;/record&gt;&lt;/Cite&gt;&lt;/EndNote&gt;</w:instrText>
      </w:r>
      <w:r w:rsidRPr="00066591">
        <w:rPr>
          <w:highlight w:val="magenta"/>
        </w:rPr>
        <w:fldChar w:fldCharType="end"/>
      </w:r>
      <w:r w:rsidRPr="00DE6837">
        <w:t>. In addition, since smoking cessation is a well-established treatment for slowing the progression of COPD, studies on the effectiveness of smoking cessation were not include</w:t>
      </w:r>
      <w:r w:rsidRPr="00F13DEA">
        <w:t>d.</w:t>
      </w:r>
    </w:p>
    <w:p w14:paraId="05127B67" w14:textId="786F7E63" w:rsidR="00E10FF3" w:rsidRPr="00981C36" w:rsidRDefault="00E10FF3" w:rsidP="009B136F">
      <w:pPr>
        <w:pStyle w:val="Caption"/>
        <w:spacing w:before="240"/>
      </w:pPr>
      <w:r>
        <w:t xml:space="preserve">Table </w:t>
      </w:r>
      <w:r w:rsidR="00095E12">
        <w:fldChar w:fldCharType="begin"/>
      </w:r>
      <w:r w:rsidR="00095E12">
        <w:instrText xml:space="preserve"> SEQ Table \* ARABIC </w:instrText>
      </w:r>
      <w:r w:rsidR="00095E12">
        <w:fldChar w:fldCharType="separate"/>
      </w:r>
      <w:r w:rsidR="00095E12">
        <w:rPr>
          <w:noProof/>
        </w:rPr>
        <w:t>10</w:t>
      </w:r>
      <w:r w:rsidR="00095E12">
        <w:rPr>
          <w:noProof/>
        </w:rPr>
        <w:fldChar w:fldCharType="end"/>
      </w:r>
      <w:bookmarkEnd w:id="28"/>
      <w:r>
        <w:tab/>
      </w:r>
      <w:r w:rsidRPr="00981C36">
        <w:t xml:space="preserve">Included studies </w:t>
      </w:r>
      <w:r>
        <w:t>examining</w:t>
      </w:r>
      <w:r w:rsidRPr="00981C36">
        <w:t xml:space="preserve"> the effectiveness </w:t>
      </w:r>
      <w:r>
        <w:t>of</w:t>
      </w:r>
      <w:r w:rsidRPr="00981C36">
        <w:t xml:space="preserve"> change in management</w:t>
      </w:r>
      <w:r>
        <w:t xml:space="preserve"> on health outcomes</w:t>
      </w:r>
      <w:r w:rsidRPr="00981C36">
        <w:t xml:space="preserve"> in patients with AATD</w:t>
      </w:r>
      <w:bookmarkEnd w:id="29"/>
    </w:p>
    <w:tbl>
      <w:tblPr>
        <w:tblStyle w:val="TableGrid3"/>
        <w:tblW w:w="9016" w:type="dxa"/>
        <w:tblLook w:val="04A0" w:firstRow="1" w:lastRow="0" w:firstColumn="1" w:lastColumn="0" w:noHBand="0" w:noVBand="1"/>
        <w:tblCaption w:val="Table 26 Included studies on the effectiveness of change in management in patients with AATD "/>
        <w:tblDescription w:val="Table 26 Included studies on the effectiveness of change in management in patients with AATD "/>
      </w:tblPr>
      <w:tblGrid>
        <w:gridCol w:w="1555"/>
        <w:gridCol w:w="3118"/>
        <w:gridCol w:w="4343"/>
      </w:tblGrid>
      <w:tr w:rsidR="00E10FF3" w:rsidRPr="00981C36" w14:paraId="00848847" w14:textId="77777777" w:rsidTr="00B012FC">
        <w:trPr>
          <w:tblHeader/>
        </w:trPr>
        <w:tc>
          <w:tcPr>
            <w:tcW w:w="1555" w:type="dxa"/>
            <w:shd w:val="clear" w:color="auto" w:fill="D9D9D9" w:themeFill="background1" w:themeFillShade="D9"/>
          </w:tcPr>
          <w:p w14:paraId="3114D7D1" w14:textId="77777777" w:rsidR="00E10FF3" w:rsidRPr="00981C36" w:rsidRDefault="00E10FF3" w:rsidP="00B05487">
            <w:pPr>
              <w:ind w:right="-23"/>
              <w:rPr>
                <w:rFonts w:ascii="Arial Narrow" w:hAnsi="Arial Narrow"/>
                <w:b/>
                <w:bCs/>
                <w:sz w:val="20"/>
              </w:rPr>
            </w:pPr>
            <w:r w:rsidRPr="00981C36">
              <w:rPr>
                <w:rFonts w:ascii="Arial Narrow" w:hAnsi="Arial Narrow"/>
                <w:b/>
                <w:bCs/>
                <w:sz w:val="20"/>
              </w:rPr>
              <w:t>Study</w:t>
            </w:r>
          </w:p>
        </w:tc>
        <w:tc>
          <w:tcPr>
            <w:tcW w:w="3118" w:type="dxa"/>
            <w:shd w:val="clear" w:color="auto" w:fill="D9D9D9" w:themeFill="background1" w:themeFillShade="D9"/>
          </w:tcPr>
          <w:p w14:paraId="07A83CA5" w14:textId="77777777" w:rsidR="00E10FF3" w:rsidRPr="00981C36" w:rsidRDefault="00E10FF3" w:rsidP="00B05487">
            <w:pPr>
              <w:ind w:right="-23"/>
              <w:rPr>
                <w:rFonts w:ascii="Arial Narrow" w:hAnsi="Arial Narrow"/>
                <w:b/>
                <w:bCs/>
                <w:sz w:val="20"/>
              </w:rPr>
            </w:pPr>
            <w:r w:rsidRPr="00981C36">
              <w:rPr>
                <w:rFonts w:ascii="Arial Narrow" w:hAnsi="Arial Narrow"/>
                <w:b/>
                <w:bCs/>
                <w:sz w:val="20"/>
              </w:rPr>
              <w:t>Population</w:t>
            </w:r>
          </w:p>
        </w:tc>
        <w:tc>
          <w:tcPr>
            <w:tcW w:w="4343" w:type="dxa"/>
            <w:shd w:val="clear" w:color="auto" w:fill="D9D9D9" w:themeFill="background1" w:themeFillShade="D9"/>
          </w:tcPr>
          <w:p w14:paraId="5C2B345C" w14:textId="77777777" w:rsidR="00E10FF3" w:rsidRPr="00981C36" w:rsidRDefault="00E10FF3" w:rsidP="00B05487">
            <w:pPr>
              <w:ind w:right="-23"/>
              <w:rPr>
                <w:rFonts w:ascii="Arial Narrow" w:hAnsi="Arial Narrow"/>
                <w:b/>
                <w:bCs/>
                <w:sz w:val="20"/>
              </w:rPr>
            </w:pPr>
            <w:r w:rsidRPr="00981C36">
              <w:rPr>
                <w:rFonts w:ascii="Arial Narrow" w:hAnsi="Arial Narrow"/>
                <w:b/>
                <w:bCs/>
                <w:sz w:val="20"/>
              </w:rPr>
              <w:t>Findings</w:t>
            </w:r>
          </w:p>
        </w:tc>
      </w:tr>
      <w:tr w:rsidR="00E10FF3" w:rsidRPr="00981C36" w14:paraId="4DB1C0EF" w14:textId="77777777" w:rsidTr="00B012FC">
        <w:trPr>
          <w:trHeight w:val="557"/>
        </w:trPr>
        <w:tc>
          <w:tcPr>
            <w:tcW w:w="1555" w:type="dxa"/>
          </w:tcPr>
          <w:p w14:paraId="776CB54D" w14:textId="78B944DF" w:rsidR="00E10FF3" w:rsidRPr="00981C36" w:rsidRDefault="00E10FF3" w:rsidP="00B05487">
            <w:pPr>
              <w:ind w:right="-23"/>
              <w:rPr>
                <w:rFonts w:ascii="Arial Narrow" w:hAnsi="Arial Narrow"/>
                <w:sz w:val="20"/>
              </w:rPr>
            </w:pPr>
            <w:r w:rsidRPr="00981C36">
              <w:rPr>
                <w:rFonts w:ascii="Arial Narrow" w:hAnsi="Arial Narrow"/>
                <w:sz w:val="20"/>
              </w:rPr>
              <w:t>Senn et al</w:t>
            </w:r>
            <w:r w:rsidR="00D717E0">
              <w:rPr>
                <w:rFonts w:ascii="Arial Narrow" w:hAnsi="Arial Narrow"/>
                <w:sz w:val="20"/>
              </w:rPr>
              <w:t>.,</w:t>
            </w:r>
            <w:r w:rsidRPr="00981C36">
              <w:rPr>
                <w:rFonts w:ascii="Arial Narrow" w:hAnsi="Arial Narrow"/>
                <w:sz w:val="20"/>
              </w:rPr>
              <w:t xml:space="preserve"> 2005</w:t>
            </w:r>
            <w:r>
              <w:rPr>
                <w:rFonts w:ascii="Arial Narrow" w:hAnsi="Arial Narrow"/>
                <w:sz w:val="20"/>
              </w:rPr>
              <w:t xml:space="preserve"> </w:t>
            </w:r>
            <w:r w:rsidR="00D717E0">
              <w:rPr>
                <w:rStyle w:val="FootnoteReference"/>
                <w:rFonts w:ascii="Arial Narrow" w:hAnsi="Arial Narrow"/>
                <w:sz w:val="20"/>
              </w:rPr>
              <w:footnoteReference w:id="32"/>
            </w:r>
            <w:r w:rsidR="00D717E0">
              <w:rPr>
                <w:rFonts w:ascii="Arial Narrow" w:hAnsi="Arial Narrow"/>
                <w:sz w:val="20"/>
              </w:rPr>
              <w:t xml:space="preserve"> non-systematic review</w:t>
            </w:r>
          </w:p>
        </w:tc>
        <w:tc>
          <w:tcPr>
            <w:tcW w:w="3118" w:type="dxa"/>
          </w:tcPr>
          <w:p w14:paraId="20743CF1" w14:textId="77777777" w:rsidR="00E10FF3" w:rsidRPr="00981C36" w:rsidRDefault="00E10FF3" w:rsidP="00B05487">
            <w:pPr>
              <w:ind w:right="-23"/>
              <w:rPr>
                <w:rFonts w:ascii="Arial Narrow" w:hAnsi="Arial Narrow"/>
                <w:sz w:val="20"/>
              </w:rPr>
            </w:pPr>
            <w:r w:rsidRPr="00981C36">
              <w:rPr>
                <w:rFonts w:ascii="Arial Narrow" w:eastAsia="Arial Narrow" w:hAnsi="Arial Narrow" w:cs="Arial Narrow"/>
                <w:sz w:val="20"/>
              </w:rPr>
              <w:t>Patients with AAT deficiency in the lungs</w:t>
            </w:r>
          </w:p>
        </w:tc>
        <w:tc>
          <w:tcPr>
            <w:tcW w:w="4343" w:type="dxa"/>
          </w:tcPr>
          <w:p w14:paraId="2652B335" w14:textId="77777777" w:rsidR="00E10FF3" w:rsidRPr="00981C36" w:rsidRDefault="00E10FF3" w:rsidP="00B05487">
            <w:pPr>
              <w:ind w:right="-23"/>
              <w:rPr>
                <w:rFonts w:ascii="Arial Narrow" w:hAnsi="Arial Narrow"/>
                <w:sz w:val="20"/>
              </w:rPr>
            </w:pPr>
            <w:r w:rsidRPr="00981C36">
              <w:rPr>
                <w:rFonts w:ascii="Arial Narrow" w:eastAsia="Arial Narrow" w:hAnsi="Arial Narrow" w:cs="Arial Narrow"/>
                <w:sz w:val="20"/>
              </w:rPr>
              <w:t>Association between intermediate AAT</w:t>
            </w:r>
            <w:r>
              <w:rPr>
                <w:rFonts w:ascii="Arial Narrow" w:eastAsia="Arial Narrow" w:hAnsi="Arial Narrow" w:cs="Arial Narrow"/>
                <w:sz w:val="20"/>
              </w:rPr>
              <w:t>D</w:t>
            </w:r>
            <w:r w:rsidRPr="00981C36">
              <w:rPr>
                <w:rFonts w:ascii="Arial Narrow" w:eastAsia="Arial Narrow" w:hAnsi="Arial Narrow" w:cs="Arial Narrow"/>
                <w:sz w:val="20"/>
              </w:rPr>
              <w:t xml:space="preserve"> </w:t>
            </w:r>
            <w:r>
              <w:rPr>
                <w:rFonts w:ascii="Arial Narrow" w:eastAsia="Arial Narrow" w:hAnsi="Arial Narrow" w:cs="Arial Narrow"/>
                <w:sz w:val="20"/>
              </w:rPr>
              <w:t>and</w:t>
            </w:r>
            <w:r w:rsidRPr="00981C36">
              <w:rPr>
                <w:rFonts w:ascii="Arial Narrow" w:eastAsia="Arial Narrow" w:hAnsi="Arial Narrow" w:cs="Arial Narrow"/>
                <w:sz w:val="20"/>
              </w:rPr>
              <w:t xml:space="preserve"> respiratory health parameters in subjects exposed to occupational inhalants was reported in some studies.</w:t>
            </w:r>
          </w:p>
        </w:tc>
      </w:tr>
      <w:tr w:rsidR="00E10FF3" w:rsidRPr="00981C36" w14:paraId="3B27D4CB" w14:textId="77777777" w:rsidTr="00B012FC">
        <w:tc>
          <w:tcPr>
            <w:tcW w:w="1555" w:type="dxa"/>
          </w:tcPr>
          <w:p w14:paraId="37437202" w14:textId="21077F5E" w:rsidR="00E10FF3" w:rsidRPr="00981C36" w:rsidRDefault="00E10FF3" w:rsidP="00B05487">
            <w:pPr>
              <w:ind w:right="-23"/>
              <w:rPr>
                <w:rFonts w:ascii="Arial Narrow" w:hAnsi="Arial Narrow"/>
                <w:sz w:val="20"/>
              </w:rPr>
            </w:pPr>
            <w:r w:rsidRPr="00981C36">
              <w:rPr>
                <w:rFonts w:ascii="Arial Narrow" w:eastAsia="Arial Narrow" w:hAnsi="Arial Narrow" w:cs="Arial Narrow"/>
                <w:sz w:val="20"/>
              </w:rPr>
              <w:t>Tejwani et al</w:t>
            </w:r>
            <w:r w:rsidR="00D717E0">
              <w:rPr>
                <w:rFonts w:ascii="Arial Narrow" w:eastAsia="Arial Narrow" w:hAnsi="Arial Narrow" w:cs="Arial Narrow"/>
                <w:sz w:val="20"/>
              </w:rPr>
              <w:t>.</w:t>
            </w:r>
            <w:r w:rsidRPr="00981C36">
              <w:rPr>
                <w:rFonts w:ascii="Arial Narrow" w:eastAsia="Arial Narrow" w:hAnsi="Arial Narrow" w:cs="Arial Narrow"/>
                <w:sz w:val="20"/>
              </w:rPr>
              <w:t>, 2019</w:t>
            </w:r>
            <w:r>
              <w:rPr>
                <w:rFonts w:ascii="Arial Narrow" w:eastAsia="Arial Narrow" w:hAnsi="Arial Narrow" w:cs="Arial Narrow"/>
                <w:sz w:val="20"/>
              </w:rPr>
              <w:t xml:space="preserve"> </w:t>
            </w:r>
            <w:r w:rsidR="00D717E0">
              <w:rPr>
                <w:rStyle w:val="FootnoteReference"/>
                <w:rFonts w:ascii="Arial Narrow" w:eastAsia="Arial Narrow" w:hAnsi="Arial Narrow" w:cs="Arial Narrow"/>
                <w:sz w:val="20"/>
              </w:rPr>
              <w:footnoteReference w:id="33"/>
            </w:r>
          </w:p>
        </w:tc>
        <w:tc>
          <w:tcPr>
            <w:tcW w:w="3118" w:type="dxa"/>
          </w:tcPr>
          <w:p w14:paraId="317980C2" w14:textId="77777777" w:rsidR="00E10FF3" w:rsidRPr="00981C36" w:rsidRDefault="00E10FF3" w:rsidP="00B05487">
            <w:pPr>
              <w:ind w:right="-23"/>
              <w:rPr>
                <w:rFonts w:ascii="Arial Narrow" w:eastAsia="Arial Narrow" w:hAnsi="Arial Narrow" w:cs="Arial Narrow"/>
                <w:sz w:val="20"/>
              </w:rPr>
            </w:pPr>
            <w:r w:rsidRPr="00981C36">
              <w:rPr>
                <w:rFonts w:ascii="Arial Narrow" w:eastAsia="Arial Narrow" w:hAnsi="Arial Narrow" w:cs="Arial Narrow"/>
                <w:sz w:val="20"/>
              </w:rPr>
              <w:t xml:space="preserve">Patients with newly diagnosed severe </w:t>
            </w:r>
            <w:r>
              <w:rPr>
                <w:rFonts w:ascii="Arial Narrow" w:eastAsia="Arial Narrow" w:hAnsi="Arial Narrow" w:cs="Arial Narrow"/>
                <w:sz w:val="20"/>
              </w:rPr>
              <w:t xml:space="preserve">AAT </w:t>
            </w:r>
            <w:r w:rsidRPr="00981C36">
              <w:rPr>
                <w:rFonts w:ascii="Arial Narrow" w:eastAsia="Arial Narrow" w:hAnsi="Arial Narrow" w:cs="Arial Narrow"/>
                <w:sz w:val="20"/>
              </w:rPr>
              <w:t>deficiency</w:t>
            </w:r>
          </w:p>
        </w:tc>
        <w:tc>
          <w:tcPr>
            <w:tcW w:w="4343" w:type="dxa"/>
          </w:tcPr>
          <w:p w14:paraId="1D4D57A3" w14:textId="7FA13EF4" w:rsidR="00E10FF3" w:rsidRPr="00981C36" w:rsidRDefault="00E10FF3" w:rsidP="00B05487">
            <w:pPr>
              <w:ind w:right="-23"/>
              <w:rPr>
                <w:rFonts w:ascii="Arial Narrow" w:eastAsia="Arial Narrow" w:hAnsi="Arial Narrow" w:cs="Arial Narrow"/>
                <w:sz w:val="20"/>
              </w:rPr>
            </w:pPr>
            <w:r w:rsidRPr="00981C36">
              <w:rPr>
                <w:rFonts w:ascii="Arial Narrow" w:eastAsia="Arial Narrow" w:hAnsi="Arial Narrow" w:cs="Arial Narrow"/>
                <w:sz w:val="20"/>
              </w:rPr>
              <w:t xml:space="preserve">Delayed diagnosis of </w:t>
            </w:r>
            <w:r>
              <w:rPr>
                <w:rFonts w:ascii="Arial Narrow" w:eastAsia="Arial Narrow" w:hAnsi="Arial Narrow" w:cs="Arial Narrow"/>
                <w:sz w:val="20"/>
              </w:rPr>
              <w:t>AATD</w:t>
            </w:r>
            <w:r w:rsidRPr="00981C36">
              <w:rPr>
                <w:rFonts w:ascii="Arial Narrow" w:eastAsia="Arial Narrow" w:hAnsi="Arial Narrow" w:cs="Arial Narrow"/>
                <w:sz w:val="20"/>
              </w:rPr>
              <w:t xml:space="preserve"> associated with worse COPD-related symptoms and functional status, and a trend toward</w:t>
            </w:r>
            <w:r>
              <w:rPr>
                <w:rFonts w:ascii="Arial Narrow" w:eastAsia="Arial Narrow" w:hAnsi="Arial Narrow" w:cs="Arial Narrow"/>
                <w:sz w:val="20"/>
              </w:rPr>
              <w:t>s</w:t>
            </w:r>
            <w:r w:rsidRPr="00981C36">
              <w:rPr>
                <w:rFonts w:ascii="Arial Narrow" w:eastAsia="Arial Narrow" w:hAnsi="Arial Narrow" w:cs="Arial Narrow"/>
                <w:sz w:val="20"/>
              </w:rPr>
              <w:t xml:space="preserve"> worse airflow obstruction.</w:t>
            </w:r>
          </w:p>
        </w:tc>
      </w:tr>
      <w:tr w:rsidR="00E10FF3" w:rsidRPr="00981C36" w14:paraId="7B62ACD1" w14:textId="77777777" w:rsidTr="00B012FC">
        <w:tc>
          <w:tcPr>
            <w:tcW w:w="1555" w:type="dxa"/>
          </w:tcPr>
          <w:p w14:paraId="021B3BA7" w14:textId="35D89B34" w:rsidR="00E10FF3" w:rsidRPr="00981C36" w:rsidRDefault="00E10FF3" w:rsidP="00B05487">
            <w:pPr>
              <w:ind w:right="-23"/>
              <w:rPr>
                <w:rFonts w:ascii="Arial Narrow" w:hAnsi="Arial Narrow"/>
                <w:sz w:val="20"/>
              </w:rPr>
            </w:pPr>
            <w:r w:rsidRPr="00981C36">
              <w:rPr>
                <w:rFonts w:ascii="Arial Narrow" w:hAnsi="Arial Narrow"/>
                <w:sz w:val="20"/>
              </w:rPr>
              <w:t>Tanash et al</w:t>
            </w:r>
            <w:r w:rsidR="00D717E0">
              <w:rPr>
                <w:rFonts w:ascii="Arial Narrow" w:hAnsi="Arial Narrow"/>
                <w:sz w:val="20"/>
              </w:rPr>
              <w:t>.,</w:t>
            </w:r>
            <w:r w:rsidRPr="00981C36">
              <w:rPr>
                <w:rFonts w:ascii="Arial Narrow" w:hAnsi="Arial Narrow"/>
                <w:sz w:val="20"/>
              </w:rPr>
              <w:t xml:space="preserve"> 2017</w:t>
            </w:r>
            <w:r>
              <w:rPr>
                <w:rFonts w:ascii="Arial Narrow" w:hAnsi="Arial Narrow"/>
                <w:sz w:val="20"/>
              </w:rPr>
              <w:t xml:space="preserve"> </w:t>
            </w:r>
            <w:r w:rsidR="00D717E0">
              <w:rPr>
                <w:rStyle w:val="FootnoteReference"/>
                <w:rFonts w:ascii="Arial Narrow" w:hAnsi="Arial Narrow"/>
                <w:sz w:val="20"/>
              </w:rPr>
              <w:footnoteReference w:id="34"/>
            </w:r>
          </w:p>
        </w:tc>
        <w:tc>
          <w:tcPr>
            <w:tcW w:w="3118" w:type="dxa"/>
          </w:tcPr>
          <w:p w14:paraId="69CC2937" w14:textId="77777777" w:rsidR="00E10FF3" w:rsidRPr="00981C36" w:rsidRDefault="00E10FF3" w:rsidP="00B05487">
            <w:pPr>
              <w:ind w:right="-23"/>
              <w:rPr>
                <w:rFonts w:ascii="Arial Narrow" w:eastAsia="Arial Narrow" w:hAnsi="Arial Narrow" w:cs="Arial Narrow"/>
                <w:sz w:val="20"/>
              </w:rPr>
            </w:pPr>
            <w:r w:rsidRPr="62D46678">
              <w:rPr>
                <w:rFonts w:ascii="Arial Narrow" w:hAnsi="Arial Narrow"/>
                <w:sz w:val="20"/>
              </w:rPr>
              <w:t>34-year-olds screened for AATD as a part of the Swedish newborn screening program (1972</w:t>
            </w:r>
            <w:r>
              <w:rPr>
                <w:rFonts w:ascii="Arial Narrow" w:hAnsi="Arial Narrow"/>
                <w:sz w:val="20"/>
              </w:rPr>
              <w:t>–</w:t>
            </w:r>
            <w:r w:rsidRPr="62D46678">
              <w:rPr>
                <w:rFonts w:ascii="Arial Narrow" w:hAnsi="Arial Narrow"/>
                <w:sz w:val="20"/>
              </w:rPr>
              <w:t>1974) and their parents</w:t>
            </w:r>
          </w:p>
        </w:tc>
        <w:tc>
          <w:tcPr>
            <w:tcW w:w="4343" w:type="dxa"/>
          </w:tcPr>
          <w:p w14:paraId="585621FC" w14:textId="63AEBB31" w:rsidR="00E10FF3" w:rsidRPr="00981C36" w:rsidRDefault="00E10FF3" w:rsidP="00B05487">
            <w:pPr>
              <w:ind w:right="-23"/>
              <w:rPr>
                <w:rFonts w:ascii="Arial Narrow" w:eastAsia="Arial Narrow" w:hAnsi="Arial Narrow" w:cs="Arial Narrow"/>
                <w:sz w:val="20"/>
              </w:rPr>
            </w:pPr>
            <w:r w:rsidRPr="00981C36">
              <w:rPr>
                <w:rFonts w:ascii="Arial Narrow" w:hAnsi="Arial Narrow"/>
                <w:sz w:val="20"/>
              </w:rPr>
              <w:t>Quality of life not affected by genotype, despite some groups with higher symptom scores</w:t>
            </w:r>
            <w:r w:rsidR="00617DDC">
              <w:rPr>
                <w:rFonts w:ascii="Arial Narrow" w:hAnsi="Arial Narrow"/>
                <w:sz w:val="20"/>
              </w:rPr>
              <w:t>.</w:t>
            </w:r>
          </w:p>
        </w:tc>
      </w:tr>
      <w:tr w:rsidR="00E10FF3" w:rsidRPr="00981C36" w14:paraId="2C61234C" w14:textId="77777777" w:rsidTr="00B012FC">
        <w:tc>
          <w:tcPr>
            <w:tcW w:w="1555" w:type="dxa"/>
          </w:tcPr>
          <w:p w14:paraId="138CB9D3" w14:textId="24F3836C" w:rsidR="00E10FF3" w:rsidRPr="00981C36" w:rsidRDefault="00E10FF3" w:rsidP="00B05487">
            <w:pPr>
              <w:ind w:right="-23"/>
              <w:rPr>
                <w:rFonts w:ascii="Arial Narrow" w:hAnsi="Arial Narrow"/>
                <w:sz w:val="20"/>
              </w:rPr>
            </w:pPr>
            <w:r w:rsidRPr="00981C36">
              <w:rPr>
                <w:rFonts w:ascii="Arial Narrow" w:hAnsi="Arial Narrow"/>
                <w:sz w:val="20"/>
              </w:rPr>
              <w:t>Von Ehrestein</w:t>
            </w:r>
            <w:r w:rsidR="00D717E0">
              <w:rPr>
                <w:rFonts w:ascii="Arial Narrow" w:hAnsi="Arial Narrow"/>
                <w:sz w:val="20"/>
              </w:rPr>
              <w:t xml:space="preserve"> et al.,</w:t>
            </w:r>
            <w:r w:rsidRPr="00981C36">
              <w:rPr>
                <w:rFonts w:ascii="Arial Narrow" w:hAnsi="Arial Narrow"/>
                <w:sz w:val="20"/>
              </w:rPr>
              <w:t xml:space="preserve"> 2002</w:t>
            </w:r>
            <w:r>
              <w:rPr>
                <w:rFonts w:ascii="Arial Narrow" w:hAnsi="Arial Narrow"/>
                <w:sz w:val="20"/>
              </w:rPr>
              <w:t xml:space="preserve"> </w:t>
            </w:r>
            <w:r w:rsidR="00D717E0">
              <w:rPr>
                <w:rStyle w:val="FootnoteReference"/>
                <w:rFonts w:ascii="Arial Narrow" w:hAnsi="Arial Narrow"/>
                <w:sz w:val="20"/>
              </w:rPr>
              <w:footnoteReference w:id="35"/>
            </w:r>
          </w:p>
        </w:tc>
        <w:tc>
          <w:tcPr>
            <w:tcW w:w="3118" w:type="dxa"/>
          </w:tcPr>
          <w:p w14:paraId="18C19CB6" w14:textId="77777777" w:rsidR="00E10FF3" w:rsidRPr="00981C36" w:rsidRDefault="00E10FF3" w:rsidP="00B05487">
            <w:pPr>
              <w:ind w:right="-23"/>
              <w:rPr>
                <w:rFonts w:ascii="Arial Narrow" w:hAnsi="Arial Narrow"/>
                <w:sz w:val="20"/>
              </w:rPr>
            </w:pPr>
            <w:r w:rsidRPr="00981C36">
              <w:rPr>
                <w:rFonts w:ascii="Arial Narrow" w:hAnsi="Arial Narrow"/>
                <w:sz w:val="20"/>
              </w:rPr>
              <w:t xml:space="preserve">International </w:t>
            </w:r>
            <w:r>
              <w:rPr>
                <w:rFonts w:ascii="Arial Narrow" w:hAnsi="Arial Narrow"/>
                <w:sz w:val="20"/>
              </w:rPr>
              <w:t>S</w:t>
            </w:r>
            <w:r w:rsidRPr="00981C36">
              <w:rPr>
                <w:rFonts w:ascii="Arial Narrow" w:hAnsi="Arial Narrow"/>
                <w:sz w:val="20"/>
              </w:rPr>
              <w:t>tudy on Asthma and Allergies in Childhood (Munich and Dresden 1995</w:t>
            </w:r>
            <w:r>
              <w:rPr>
                <w:rFonts w:ascii="Arial Narrow" w:hAnsi="Arial Narrow"/>
                <w:sz w:val="20"/>
              </w:rPr>
              <w:t>–</w:t>
            </w:r>
            <w:r w:rsidRPr="00981C36">
              <w:rPr>
                <w:rFonts w:ascii="Arial Narrow" w:hAnsi="Arial Narrow"/>
                <w:sz w:val="20"/>
              </w:rPr>
              <w:t>1996)</w:t>
            </w:r>
          </w:p>
        </w:tc>
        <w:tc>
          <w:tcPr>
            <w:tcW w:w="4343" w:type="dxa"/>
          </w:tcPr>
          <w:p w14:paraId="56A5A96A" w14:textId="41503E89" w:rsidR="00E10FF3" w:rsidRPr="00981C36" w:rsidRDefault="00E10FF3" w:rsidP="00B05487">
            <w:pPr>
              <w:ind w:right="-23"/>
              <w:rPr>
                <w:rFonts w:ascii="Arial Narrow" w:hAnsi="Arial Narrow"/>
                <w:sz w:val="20"/>
              </w:rPr>
            </w:pPr>
            <w:r w:rsidRPr="00981C36">
              <w:rPr>
                <w:rFonts w:ascii="Arial Narrow" w:hAnsi="Arial Narrow"/>
                <w:sz w:val="20"/>
              </w:rPr>
              <w:t>AATD children exposed to ETS had decreased pulmonary function compared with normal controls. Reductions largest for MEF</w:t>
            </w:r>
            <w:r w:rsidRPr="00981C36">
              <w:rPr>
                <w:rFonts w:ascii="Arial Narrow" w:hAnsi="Arial Narrow"/>
                <w:sz w:val="20"/>
                <w:vertAlign w:val="subscript"/>
              </w:rPr>
              <w:t>50</w:t>
            </w:r>
            <w:r w:rsidRPr="00981C36">
              <w:rPr>
                <w:rFonts w:ascii="Arial Narrow" w:hAnsi="Arial Narrow"/>
                <w:sz w:val="20"/>
              </w:rPr>
              <w:t>, MEF</w:t>
            </w:r>
            <w:r w:rsidRPr="00981C36">
              <w:rPr>
                <w:rFonts w:ascii="Arial Narrow" w:hAnsi="Arial Narrow"/>
                <w:sz w:val="20"/>
                <w:vertAlign w:val="subscript"/>
              </w:rPr>
              <w:t>25</w:t>
            </w:r>
            <w:r w:rsidRPr="00981C36">
              <w:rPr>
                <w:rFonts w:ascii="Arial Narrow" w:hAnsi="Arial Narrow"/>
                <w:sz w:val="20"/>
              </w:rPr>
              <w:t>, MMEF</w:t>
            </w:r>
            <w:r w:rsidR="00617DDC">
              <w:rPr>
                <w:rFonts w:ascii="Arial Narrow" w:hAnsi="Arial Narrow"/>
                <w:sz w:val="20"/>
              </w:rPr>
              <w:t>.</w:t>
            </w:r>
          </w:p>
        </w:tc>
      </w:tr>
      <w:tr w:rsidR="00E10FF3" w:rsidRPr="00981C36" w14:paraId="65A5FBF7" w14:textId="77777777" w:rsidTr="00B012FC">
        <w:tc>
          <w:tcPr>
            <w:tcW w:w="1555" w:type="dxa"/>
          </w:tcPr>
          <w:p w14:paraId="2593E1A5" w14:textId="6EE96268" w:rsidR="00E10FF3" w:rsidRPr="00981C36" w:rsidRDefault="00E10FF3" w:rsidP="00B05487">
            <w:pPr>
              <w:ind w:right="-23"/>
              <w:rPr>
                <w:rFonts w:ascii="Arial Narrow" w:hAnsi="Arial Narrow"/>
                <w:sz w:val="20"/>
              </w:rPr>
            </w:pPr>
            <w:r w:rsidRPr="00981C36">
              <w:rPr>
                <w:rFonts w:ascii="Arial Narrow" w:hAnsi="Arial Narrow"/>
                <w:sz w:val="20"/>
              </w:rPr>
              <w:t>Seersholm et al</w:t>
            </w:r>
            <w:r w:rsidR="00D717E0">
              <w:rPr>
                <w:rFonts w:ascii="Arial Narrow" w:hAnsi="Arial Narrow"/>
                <w:sz w:val="20"/>
              </w:rPr>
              <w:t>.</w:t>
            </w:r>
            <w:r w:rsidRPr="00981C36">
              <w:rPr>
                <w:rFonts w:ascii="Arial Narrow" w:hAnsi="Arial Narrow"/>
                <w:sz w:val="20"/>
              </w:rPr>
              <w:t>, 2000</w:t>
            </w:r>
            <w:r>
              <w:rPr>
                <w:rFonts w:ascii="Arial Narrow" w:hAnsi="Arial Narrow"/>
                <w:sz w:val="20"/>
              </w:rPr>
              <w:t xml:space="preserve"> </w:t>
            </w:r>
            <w:r w:rsidR="00D717E0">
              <w:rPr>
                <w:rStyle w:val="FootnoteReference"/>
                <w:rFonts w:ascii="Arial Narrow" w:hAnsi="Arial Narrow"/>
                <w:sz w:val="20"/>
              </w:rPr>
              <w:footnoteReference w:id="36"/>
            </w:r>
          </w:p>
        </w:tc>
        <w:tc>
          <w:tcPr>
            <w:tcW w:w="3118" w:type="dxa"/>
          </w:tcPr>
          <w:p w14:paraId="354431E9" w14:textId="77777777" w:rsidR="00E10FF3" w:rsidRPr="00981C36" w:rsidRDefault="00E10FF3" w:rsidP="00B05487">
            <w:pPr>
              <w:ind w:right="-23"/>
              <w:rPr>
                <w:rFonts w:ascii="Arial Narrow" w:eastAsia="Arial Narrow" w:hAnsi="Arial Narrow" w:cs="Arial Narrow"/>
                <w:sz w:val="20"/>
              </w:rPr>
            </w:pPr>
            <w:r w:rsidRPr="00981C36">
              <w:rPr>
                <w:rFonts w:ascii="Arial Narrow" w:eastAsia="Arial Narrow" w:hAnsi="Arial Narrow" w:cs="Arial Narrow"/>
                <w:sz w:val="20"/>
              </w:rPr>
              <w:t xml:space="preserve">PI*MZ subjects from the Danish </w:t>
            </w:r>
            <w:r>
              <w:rPr>
                <w:rFonts w:ascii="Arial Narrow" w:eastAsia="Arial Narrow" w:hAnsi="Arial Narrow" w:cs="Arial Narrow"/>
                <w:sz w:val="20"/>
              </w:rPr>
              <w:t>AATD</w:t>
            </w:r>
            <w:r w:rsidRPr="00981C36">
              <w:rPr>
                <w:rFonts w:ascii="Arial Narrow" w:eastAsia="Arial Narrow" w:hAnsi="Arial Narrow" w:cs="Arial Narrow"/>
                <w:sz w:val="20"/>
              </w:rPr>
              <w:t xml:space="preserve"> registry and corresponding control</w:t>
            </w:r>
            <w:r>
              <w:rPr>
                <w:rFonts w:ascii="Arial Narrow" w:eastAsia="Arial Narrow" w:hAnsi="Arial Narrow" w:cs="Arial Narrow"/>
                <w:sz w:val="20"/>
              </w:rPr>
              <w:t>s</w:t>
            </w:r>
          </w:p>
        </w:tc>
        <w:tc>
          <w:tcPr>
            <w:tcW w:w="4343" w:type="dxa"/>
          </w:tcPr>
          <w:p w14:paraId="4C0136F4" w14:textId="33F24C04" w:rsidR="00E10FF3" w:rsidRPr="009A0A1C" w:rsidRDefault="00E10FF3" w:rsidP="00B05487">
            <w:pPr>
              <w:ind w:right="-23"/>
              <w:rPr>
                <w:rFonts w:ascii="Arial Narrow" w:eastAsia="Arial Narrow" w:hAnsi="Arial Narrow" w:cs="Arial Narrow"/>
                <w:sz w:val="20"/>
              </w:rPr>
            </w:pPr>
            <w:r>
              <w:rPr>
                <w:rFonts w:ascii="Arial Narrow" w:eastAsia="Arial Narrow" w:hAnsi="Arial Narrow" w:cs="Arial Narrow"/>
                <w:sz w:val="20"/>
              </w:rPr>
              <w:t>A</w:t>
            </w:r>
            <w:r w:rsidRPr="00981C36">
              <w:rPr>
                <w:rFonts w:ascii="Arial Narrow" w:eastAsia="Arial Narrow" w:hAnsi="Arial Narrow" w:cs="Arial Narrow"/>
                <w:sz w:val="20"/>
              </w:rPr>
              <w:t>AT heterozygotes of phenotype PI*MZ are at increased risk of hospital admission for OPD if first-degree relatives of PI*Z index cases only</w:t>
            </w:r>
            <w:r>
              <w:rPr>
                <w:rFonts w:ascii="Arial Narrow" w:eastAsia="Arial Narrow" w:hAnsi="Arial Narrow" w:cs="Arial Narrow"/>
                <w:sz w:val="20"/>
              </w:rPr>
              <w:t xml:space="preserve">; </w:t>
            </w:r>
            <w:r w:rsidRPr="00981C36">
              <w:rPr>
                <w:rFonts w:ascii="Arial Narrow" w:eastAsia="Arial Narrow" w:hAnsi="Arial Narrow" w:cs="Arial Narrow"/>
                <w:sz w:val="20"/>
              </w:rPr>
              <w:t xml:space="preserve">other, </w:t>
            </w:r>
            <w:r>
              <w:rPr>
                <w:rFonts w:ascii="Arial Narrow" w:eastAsia="Arial Narrow" w:hAnsi="Arial Narrow" w:cs="Arial Narrow"/>
                <w:sz w:val="20"/>
              </w:rPr>
              <w:t xml:space="preserve">as </w:t>
            </w:r>
            <w:r w:rsidRPr="00981C36">
              <w:rPr>
                <w:rFonts w:ascii="Arial Narrow" w:eastAsia="Arial Narrow" w:hAnsi="Arial Narrow" w:cs="Arial Narrow"/>
                <w:sz w:val="20"/>
              </w:rPr>
              <w:t>yet unknown</w:t>
            </w:r>
            <w:r>
              <w:rPr>
                <w:rFonts w:ascii="Arial Narrow" w:eastAsia="Arial Narrow" w:hAnsi="Arial Narrow" w:cs="Arial Narrow"/>
                <w:sz w:val="20"/>
              </w:rPr>
              <w:t>,</w:t>
            </w:r>
            <w:r w:rsidRPr="00981C36">
              <w:rPr>
                <w:rFonts w:ascii="Arial Narrow" w:eastAsia="Arial Narrow" w:hAnsi="Arial Narrow" w:cs="Arial Narrow"/>
                <w:sz w:val="20"/>
              </w:rPr>
              <w:t xml:space="preserve"> genetic or environmental factors contribute to the development of</w:t>
            </w:r>
            <w:r w:rsidR="00617DDC">
              <w:rPr>
                <w:rFonts w:ascii="Arial Narrow" w:eastAsia="Arial Narrow" w:hAnsi="Arial Narrow" w:cs="Arial Narrow"/>
                <w:sz w:val="20"/>
              </w:rPr>
              <w:t xml:space="preserve"> </w:t>
            </w:r>
            <w:r w:rsidRPr="00981C36">
              <w:rPr>
                <w:rFonts w:ascii="Arial Narrow" w:eastAsia="Arial Narrow" w:hAnsi="Arial Narrow" w:cs="Arial Narrow"/>
                <w:sz w:val="20"/>
              </w:rPr>
              <w:t>lung disease.</w:t>
            </w:r>
          </w:p>
        </w:tc>
      </w:tr>
    </w:tbl>
    <w:p w14:paraId="2BC01DF4" w14:textId="1EEF5CB1" w:rsidR="00E10FF3" w:rsidRDefault="00E10FF3" w:rsidP="00B05487">
      <w:pPr>
        <w:pStyle w:val="Tablenotes1"/>
        <w:rPr>
          <w:rFonts w:eastAsiaTheme="minorEastAsia"/>
          <w:lang w:val="en-US"/>
        </w:rPr>
      </w:pPr>
      <w:r>
        <w:rPr>
          <w:rFonts w:eastAsiaTheme="minorEastAsia"/>
          <w:lang w:val="en-US"/>
        </w:rPr>
        <w:t>AAT = alpha-1 antitrypsin, AATD = alpha-1 antitrypsin deficiency, COPD = chronic obstructive pulmonary disease, ETS = environmental tobacco smoke, MEF = maximum expiratory flow, MMEF = maximal mid-expiratory flow, OPD = obstructive pulmonary disease.</w:t>
      </w:r>
    </w:p>
    <w:p w14:paraId="5FC3A6D3" w14:textId="23FC58A6" w:rsidR="00E10FF3" w:rsidRDefault="00E10FF3" w:rsidP="00B05487">
      <w:pPr>
        <w:pStyle w:val="Tablenotes1"/>
        <w:rPr>
          <w:rFonts w:eastAsiaTheme="minorEastAsia"/>
          <w:lang w:val="en-US"/>
        </w:rPr>
      </w:pPr>
      <w:r>
        <w:rPr>
          <w:rFonts w:eastAsiaTheme="minorEastAsia"/>
          <w:lang w:val="en-US"/>
        </w:rPr>
        <w:t>Source: DCAR, Table 27.</w:t>
      </w:r>
    </w:p>
    <w:p w14:paraId="33510786" w14:textId="77777777" w:rsidR="00D717E0" w:rsidRDefault="00D717E0" w:rsidP="00B05487">
      <w:r w:rsidRPr="00DE6837">
        <w:t>The limited evidence focused on the effect of receiving a positive genetic diagnosis for AATD and its effect on outcomes such as lung function, time to diagnosis, survival or life expectancy, occupational exposure to air pollutants, exposure to tobacco</w:t>
      </w:r>
      <w:r>
        <w:t xml:space="preserve"> smoke and hospital admissions.</w:t>
      </w:r>
    </w:p>
    <w:p w14:paraId="0D19F218" w14:textId="0FEEE2B4" w:rsidR="00DE6837" w:rsidRDefault="00DE6837" w:rsidP="009B136F">
      <w:pPr>
        <w:spacing w:before="240"/>
      </w:pPr>
      <w:r w:rsidRPr="00DE6837">
        <w:t xml:space="preserve">Results showed that there was a significant negative interaction between </w:t>
      </w:r>
      <w:r w:rsidRPr="00DE6837">
        <w:rPr>
          <w:i/>
          <w:iCs/>
        </w:rPr>
        <w:t>SERPINA1</w:t>
      </w:r>
      <w:r w:rsidRPr="00DE6837">
        <w:t xml:space="preserve"> PI*MZ genotype, outdoor particulate matter ≤10 µm (PM</w:t>
      </w:r>
      <w:r w:rsidRPr="00DE6837">
        <w:rPr>
          <w:vertAlign w:val="subscript"/>
        </w:rPr>
        <w:t>10</w:t>
      </w:r>
      <w:r w:rsidRPr="00DE6837">
        <w:t>) and occupational exposure to vapour, gases, dusts or fumes (VGDF) on lung function</w:t>
      </w:r>
      <w:r w:rsidR="00F13DEA">
        <w:rPr>
          <w:rStyle w:val="FootnoteReference"/>
        </w:rPr>
        <w:footnoteReference w:id="37"/>
      </w:r>
      <w:r w:rsidRPr="00DE6837">
        <w:t xml:space="preserve">. In PI*MZ carriers, associations between VGDF exposure and annual decline in forced expiratory flow (FEF) at 25–75% of forced vital </w:t>
      </w:r>
      <w:r w:rsidRPr="00DE6837">
        <w:lastRenderedPageBreak/>
        <w:t>capacity (FEF</w:t>
      </w:r>
      <w:r w:rsidRPr="00DE6837">
        <w:rPr>
          <w:vertAlign w:val="subscript"/>
        </w:rPr>
        <w:t>25-75%</w:t>
      </w:r>
      <w:r w:rsidRPr="00DE6837">
        <w:t>) (-82 mL/s, 95% CI -125 to -39) and forced expiratory volume in 1 second over forced vital capacity (FEV</w:t>
      </w:r>
      <w:r w:rsidRPr="00432549">
        <w:rPr>
          <w:vertAlign w:val="subscript"/>
        </w:rPr>
        <w:t>1</w:t>
      </w:r>
      <w:r w:rsidRPr="00DE6837">
        <w:t>/FVC) (-0.3%, 95% CI -0.6% to 0.0%) were observed (P</w:t>
      </w:r>
      <w:r w:rsidR="00E10FF3" w:rsidRPr="00E10FF3">
        <w:rPr>
          <w:vertAlign w:val="subscript"/>
        </w:rPr>
        <w:t>i</w:t>
      </w:r>
      <w:r w:rsidRPr="00E10FF3">
        <w:rPr>
          <w:vertAlign w:val="subscript"/>
        </w:rPr>
        <w:t>nteract</w:t>
      </w:r>
      <w:r w:rsidR="00E10FF3" w:rsidRPr="00E10FF3">
        <w:rPr>
          <w:vertAlign w:val="subscript"/>
        </w:rPr>
        <w:t>i</w:t>
      </w:r>
      <w:r w:rsidRPr="00E10FF3">
        <w:rPr>
          <w:vertAlign w:val="subscript"/>
        </w:rPr>
        <w:t>on</w:t>
      </w:r>
      <w:r w:rsidRPr="00DE6837">
        <w:t xml:space="preserve"> &lt;0.0001 and P</w:t>
      </w:r>
      <w:r w:rsidR="00E10FF3" w:rsidRPr="00E10FF3">
        <w:rPr>
          <w:vertAlign w:val="subscript"/>
        </w:rPr>
        <w:t>i</w:t>
      </w:r>
      <w:r w:rsidRPr="00E10FF3">
        <w:rPr>
          <w:vertAlign w:val="subscript"/>
        </w:rPr>
        <w:t>nteraction</w:t>
      </w:r>
      <w:r w:rsidRPr="00DE6837">
        <w:t xml:space="preserve"> = 0.03, respectively). VGDF-associated FEF</w:t>
      </w:r>
      <w:r w:rsidRPr="00DE6837">
        <w:rPr>
          <w:vertAlign w:val="subscript"/>
        </w:rPr>
        <w:t>25-75%</w:t>
      </w:r>
      <w:r w:rsidRPr="00DE6837">
        <w:t xml:space="preserve"> decline was observed only in smoking PI*MZ carriers (P</w:t>
      </w:r>
      <w:r w:rsidR="00E10FF3" w:rsidRPr="00E10FF3">
        <w:rPr>
          <w:vertAlign w:val="subscript"/>
        </w:rPr>
        <w:t>i</w:t>
      </w:r>
      <w:r w:rsidRPr="00E10FF3">
        <w:rPr>
          <w:vertAlign w:val="subscript"/>
        </w:rPr>
        <w:t>nteract</w:t>
      </w:r>
      <w:r w:rsidR="00E10FF3" w:rsidRPr="00E10FF3">
        <w:rPr>
          <w:vertAlign w:val="subscript"/>
        </w:rPr>
        <w:t>i</w:t>
      </w:r>
      <w:r w:rsidRPr="00E10FF3">
        <w:rPr>
          <w:vertAlign w:val="subscript"/>
        </w:rPr>
        <w:t>on</w:t>
      </w:r>
      <w:r w:rsidRPr="00DE6837">
        <w:t xml:space="preserve"> = 0.01).</w:t>
      </w:r>
    </w:p>
    <w:p w14:paraId="3DD5CAEA" w14:textId="588B2341" w:rsidR="00DE6837" w:rsidRDefault="00DE6837" w:rsidP="009B136F">
      <w:pPr>
        <w:spacing w:before="240"/>
      </w:pPr>
      <w:r w:rsidRPr="00DE6837">
        <w:t xml:space="preserve">Smokers with the PI*ZZ genotype had a shorter life </w:t>
      </w:r>
      <w:r w:rsidR="00F13DEA">
        <w:t>expectancy compared to controls</w:t>
      </w:r>
      <w:r w:rsidR="00F13DEA" w:rsidRPr="00F13DEA">
        <w:rPr>
          <w:vertAlign w:val="superscript"/>
        </w:rPr>
        <w:footnoteReference w:id="38"/>
      </w:r>
      <w:r w:rsidRPr="00DE6837">
        <w:t xml:space="preserve">. The risk of death was significantly higher </w:t>
      </w:r>
      <w:r w:rsidRPr="00DE6837" w:rsidDel="00396AD3">
        <w:t xml:space="preserve">in </w:t>
      </w:r>
      <w:r w:rsidRPr="00DE6837">
        <w:t>individuals with the PI*ZZ genotype compared to controls</w:t>
      </w:r>
      <w:r w:rsidR="00F13DEA">
        <w:rPr>
          <w:rStyle w:val="FootnoteReference"/>
        </w:rPr>
        <w:footnoteReference w:id="39"/>
      </w:r>
      <w:r w:rsidRPr="00DE6837">
        <w:t>. Factors significantly affecting the respiratory health of patients with severe AATD included exposure to occupational inhalants and passive smoking</w:t>
      </w:r>
      <w:r w:rsidR="00F13DEA" w:rsidRPr="00F13DEA">
        <w:rPr>
          <w:vertAlign w:val="superscript"/>
        </w:rPr>
        <w:footnoteReference w:id="40"/>
      </w:r>
      <w:r w:rsidRPr="00DE6837">
        <w:t>. First-degree relatives of PI*Z index cases with the genotype PI*MZ had a higher risk of hospital readmission for COPD (RR: 3.4, 95% CI: 2.2 to 5.3) than did controls matched for birth date, gender and country of resident</w:t>
      </w:r>
      <w:r w:rsidR="00F13DEA">
        <w:rPr>
          <w:rStyle w:val="FootnoteReference"/>
        </w:rPr>
        <w:footnoteReference w:id="41"/>
      </w:r>
      <w:r w:rsidRPr="00DE6837">
        <w:t>.</w:t>
      </w:r>
    </w:p>
    <w:p w14:paraId="5DD0E073" w14:textId="77777777" w:rsidR="00294511" w:rsidRDefault="00294511" w:rsidP="009B136F">
      <w:pPr>
        <w:pStyle w:val="Heading2"/>
        <w:spacing w:before="240"/>
        <w:rPr>
          <w:lang w:eastAsia="en-US"/>
        </w:rPr>
      </w:pPr>
      <w:r>
        <w:rPr>
          <w:lang w:eastAsia="en-US"/>
        </w:rPr>
        <w:t>Translation issues</w:t>
      </w:r>
    </w:p>
    <w:p w14:paraId="47A9D7CB" w14:textId="1CD0DC69" w:rsidR="00294511" w:rsidRPr="00B02E35" w:rsidRDefault="00DE6837" w:rsidP="00B05487">
      <w:r w:rsidRPr="00DE6837">
        <w:t xml:space="preserve">Key issues relating to the translation of the evidence to the economic model are </w:t>
      </w:r>
      <w:r w:rsidR="00EC19EF">
        <w:t>firstly</w:t>
      </w:r>
      <w:r w:rsidRPr="00DE6837">
        <w:t xml:space="preserve">, the applicability of diagnostic </w:t>
      </w:r>
      <w:r w:rsidR="00EC19EF">
        <w:t>yield</w:t>
      </w:r>
      <w:r w:rsidR="00EC19EF" w:rsidRPr="00DE6837">
        <w:t xml:space="preserve"> </w:t>
      </w:r>
      <w:r w:rsidRPr="00DE6837">
        <w:t>evidence to clinical practice in Australia is uncertain</w:t>
      </w:r>
      <w:r w:rsidRPr="00DE6837">
        <w:rPr>
          <w:i/>
          <w:iCs/>
        </w:rPr>
        <w:t xml:space="preserve"> </w:t>
      </w:r>
      <w:r w:rsidRPr="00DE6837">
        <w:t xml:space="preserve">as the 14-variant panel is not available and will need to be developed. Which set of variants laboratories choose to include in their development of 14-variant tests is not fixed, although variant prevalence can be estimated using the 14 variants on the Progenika panel. </w:t>
      </w:r>
      <w:r w:rsidR="00EC19EF">
        <w:t>Secondly, r</w:t>
      </w:r>
      <w:r w:rsidRPr="00DE6837">
        <w:t xml:space="preserve">ates of disease progression included in the Markov models were based on US registry data, which mainly include patients with the PI*ZZ genotype. </w:t>
      </w:r>
      <w:r w:rsidR="00EC19EF" w:rsidRPr="00DE6837">
        <w:t xml:space="preserve">There </w:t>
      </w:r>
      <w:r w:rsidR="00EC19EF">
        <w:t>are</w:t>
      </w:r>
      <w:r w:rsidR="00EC19EF" w:rsidRPr="00DE6837">
        <w:t xml:space="preserve"> limited data about the decline in lung function for other genotypes. </w:t>
      </w:r>
      <w:r w:rsidRPr="00DE6837">
        <w:t>T</w:t>
      </w:r>
      <w:r w:rsidR="00EC19EF">
        <w:t>hirdly, t</w:t>
      </w:r>
      <w:r w:rsidRPr="00DE6837">
        <w:t xml:space="preserve">he diagnostic yields used in the economic model </w:t>
      </w:r>
      <w:r w:rsidR="006569A9">
        <w:t>we</w:t>
      </w:r>
      <w:r w:rsidRPr="00DE6837">
        <w:t xml:space="preserve">re derived from populations less enriched than the population in the proposed clinical management algorithm. Additionally, diagnostic yields </w:t>
      </w:r>
      <w:r w:rsidR="00EC19EF">
        <w:t>in the</w:t>
      </w:r>
      <w:r w:rsidRPr="00DE6837">
        <w:t xml:space="preserve"> Australian population are unknown. Improved diagnosis is assumed to support the adoption of lifestyle interventions to better manage disease progression. The major impact is on the rates of smoking among patients with a positive genetic diagnosis. There is uncertainty about how a positive genetic diagnosis of AATD may affect rates of smoking among patients already diagnosed with lung conditions such as COPD.</w:t>
      </w:r>
    </w:p>
    <w:p w14:paraId="59C85246" w14:textId="77777777" w:rsidR="00294511" w:rsidRPr="00D90D56" w:rsidRDefault="00294511"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t>Economic evaluation</w:t>
      </w:r>
    </w:p>
    <w:p w14:paraId="17265C54" w14:textId="09BDC7E0" w:rsidR="009B136F" w:rsidRPr="009B136F" w:rsidRDefault="00294511" w:rsidP="009B136F">
      <w:r w:rsidRPr="00E23599">
        <w:t>A cost-</w:t>
      </w:r>
      <w:r w:rsidR="00E23599" w:rsidRPr="00E23599">
        <w:t>utility</w:t>
      </w:r>
      <w:r w:rsidRPr="00E23599">
        <w:t xml:space="preserve"> analysis was presented comparing </w:t>
      </w:r>
      <w:r w:rsidR="00E23599" w:rsidRPr="00E23599">
        <w:t>genetic testing</w:t>
      </w:r>
      <w:r w:rsidRPr="00E23599">
        <w:t xml:space="preserve"> with </w:t>
      </w:r>
      <w:r w:rsidR="00E23599" w:rsidRPr="00E23599">
        <w:t>IEF (</w:t>
      </w:r>
      <w:r w:rsidR="00EF726D">
        <w:t>Table 11</w:t>
      </w:r>
      <w:r w:rsidR="00E23599" w:rsidRPr="00E23599">
        <w:t>)</w:t>
      </w:r>
      <w:r w:rsidR="00E23599">
        <w:t>.</w:t>
      </w:r>
      <w:bookmarkStart w:id="30" w:name="_Ref74149316"/>
      <w:bookmarkStart w:id="31" w:name="_Toc444869034"/>
      <w:bookmarkStart w:id="32" w:name="_Toc25848488"/>
      <w:bookmarkStart w:id="33" w:name="_Toc72826823"/>
      <w:r w:rsidR="009B136F">
        <w:br w:type="page"/>
      </w:r>
    </w:p>
    <w:p w14:paraId="0F26F86A" w14:textId="7FC262A5" w:rsidR="00E23599" w:rsidRPr="00183E4D" w:rsidRDefault="00E23599" w:rsidP="009B136F">
      <w:pPr>
        <w:pStyle w:val="Caption"/>
        <w:spacing w:before="240"/>
      </w:pPr>
      <w:r>
        <w:lastRenderedPageBreak/>
        <w:t xml:space="preserve">Table </w:t>
      </w:r>
      <w:r w:rsidR="00095E12">
        <w:fldChar w:fldCharType="begin"/>
      </w:r>
      <w:r w:rsidR="00095E12">
        <w:instrText xml:space="preserve"> SEQ Table \* ARABIC </w:instrText>
      </w:r>
      <w:r w:rsidR="00095E12">
        <w:fldChar w:fldCharType="separate"/>
      </w:r>
      <w:r w:rsidR="00095E12">
        <w:rPr>
          <w:noProof/>
        </w:rPr>
        <w:t>11</w:t>
      </w:r>
      <w:r w:rsidR="00095E12">
        <w:rPr>
          <w:noProof/>
        </w:rPr>
        <w:fldChar w:fldCharType="end"/>
      </w:r>
      <w:bookmarkEnd w:id="30"/>
      <w:r>
        <w:tab/>
      </w:r>
      <w:r w:rsidRPr="00183E4D">
        <w:t>Summary of the economic evaluation</w:t>
      </w:r>
      <w:bookmarkEnd w:id="31"/>
      <w:bookmarkEnd w:id="32"/>
      <w:bookmarkEnd w:id="33"/>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le 3 Summary of the economic evaluation "/>
        <w:tblDescription w:val="Table 3 Summary of the economic evaluation "/>
      </w:tblPr>
      <w:tblGrid>
        <w:gridCol w:w="1875"/>
        <w:gridCol w:w="7327"/>
      </w:tblGrid>
      <w:tr w:rsidR="00E23599" w:rsidRPr="007F00A8" w14:paraId="4666E81F" w14:textId="77777777" w:rsidTr="00616372">
        <w:trPr>
          <w:trHeight w:val="20"/>
        </w:trPr>
        <w:tc>
          <w:tcPr>
            <w:tcW w:w="1019" w:type="pct"/>
            <w:shd w:val="clear" w:color="auto" w:fill="D9D9D9" w:themeFill="background1" w:themeFillShade="D9"/>
          </w:tcPr>
          <w:p w14:paraId="6514A6DD" w14:textId="77777777" w:rsidR="00E23599" w:rsidRPr="00F82D8E" w:rsidRDefault="00E23599" w:rsidP="00B05487">
            <w:pPr>
              <w:pStyle w:val="TableText0"/>
              <w:rPr>
                <w:b/>
                <w:bCs/>
              </w:rPr>
            </w:pPr>
            <w:r w:rsidRPr="00F82D8E">
              <w:rPr>
                <w:b/>
                <w:bCs/>
              </w:rPr>
              <w:t>Perspective</w:t>
            </w:r>
          </w:p>
        </w:tc>
        <w:tc>
          <w:tcPr>
            <w:tcW w:w="3981" w:type="pct"/>
          </w:tcPr>
          <w:p w14:paraId="64525A81" w14:textId="3A58A940" w:rsidR="00E23599" w:rsidRPr="007F00A8" w:rsidRDefault="00E23599" w:rsidP="00B05487">
            <w:pPr>
              <w:pStyle w:val="TableText0"/>
            </w:pPr>
            <w:r w:rsidRPr="007F00A8">
              <w:t>Australian health system</w:t>
            </w:r>
            <w:r>
              <w:t xml:space="preserve">; </w:t>
            </w:r>
            <w:r w:rsidRPr="007F00A8">
              <w:t>includes resource use supported by</w:t>
            </w:r>
            <w:r>
              <w:t xml:space="preserve"> the</w:t>
            </w:r>
            <w:r w:rsidRPr="007F00A8">
              <w:t xml:space="preserve"> </w:t>
            </w:r>
            <w:r w:rsidR="00B60410">
              <w:t>G</w:t>
            </w:r>
            <w:r w:rsidRPr="007F00A8">
              <w:t>overnment.</w:t>
            </w:r>
          </w:p>
        </w:tc>
      </w:tr>
      <w:tr w:rsidR="00E23599" w:rsidRPr="007F00A8" w14:paraId="009B4332" w14:textId="77777777" w:rsidTr="00616372">
        <w:trPr>
          <w:trHeight w:val="20"/>
        </w:trPr>
        <w:tc>
          <w:tcPr>
            <w:tcW w:w="1019" w:type="pct"/>
            <w:shd w:val="clear" w:color="auto" w:fill="D9D9D9" w:themeFill="background1" w:themeFillShade="D9"/>
          </w:tcPr>
          <w:p w14:paraId="74E3BE42" w14:textId="77777777" w:rsidR="00E23599" w:rsidRPr="00F82D8E" w:rsidRDefault="00E23599" w:rsidP="00B05487">
            <w:pPr>
              <w:pStyle w:val="TableText0"/>
              <w:rPr>
                <w:b/>
                <w:bCs/>
              </w:rPr>
            </w:pPr>
            <w:r w:rsidRPr="00F82D8E">
              <w:rPr>
                <w:b/>
                <w:bCs/>
              </w:rPr>
              <w:t>Patient</w:t>
            </w:r>
          </w:p>
        </w:tc>
        <w:tc>
          <w:tcPr>
            <w:tcW w:w="3981" w:type="pct"/>
          </w:tcPr>
          <w:p w14:paraId="6006D160" w14:textId="4C2612BB" w:rsidR="00E23599" w:rsidRPr="007F00A8" w:rsidRDefault="00E23599" w:rsidP="00B05487">
            <w:pPr>
              <w:pStyle w:val="TableText0"/>
            </w:pPr>
            <w:r>
              <w:t>A</w:t>
            </w:r>
            <w:r w:rsidRPr="007F00A8">
              <w:t>bnormally low (&lt;20 µmol/L</w:t>
            </w:r>
            <w:r>
              <w:t xml:space="preserve">) </w:t>
            </w:r>
            <w:r w:rsidRPr="007F00A8">
              <w:t xml:space="preserve">AAT concentration and </w:t>
            </w:r>
            <w:r>
              <w:t xml:space="preserve">symptoms </w:t>
            </w:r>
            <w:r w:rsidRPr="007F00A8">
              <w:t xml:space="preserve">suggestive </w:t>
            </w:r>
            <w:r>
              <w:t xml:space="preserve">of </w:t>
            </w:r>
            <w:r w:rsidRPr="007F00A8">
              <w:t>AATD</w:t>
            </w:r>
            <w:r>
              <w:t xml:space="preserve">, </w:t>
            </w:r>
            <w:r w:rsidRPr="007F00A8">
              <w:t>such as early-onset (&lt;40 years) COPD</w:t>
            </w:r>
            <w:r>
              <w:t>,</w:t>
            </w:r>
            <w:r w:rsidRPr="007F00A8">
              <w:t xml:space="preserve"> adult-onset asthma, liver disease at any age</w:t>
            </w:r>
            <w:r>
              <w:t>,</w:t>
            </w:r>
            <w:r w:rsidRPr="007F00A8">
              <w:t xml:space="preserve"> antiproteinase 3-positive vasculitis</w:t>
            </w:r>
            <w:r>
              <w:t>,</w:t>
            </w:r>
            <w:r w:rsidRPr="007F00A8">
              <w:t xml:space="preserve"> or </w:t>
            </w:r>
            <w:r>
              <w:t xml:space="preserve">those with </w:t>
            </w:r>
            <w:r w:rsidRPr="007F00A8">
              <w:t>a family history of AAT deficiency.</w:t>
            </w:r>
          </w:p>
        </w:tc>
      </w:tr>
      <w:tr w:rsidR="00E23599" w:rsidRPr="007F00A8" w14:paraId="167FD3C6" w14:textId="77777777" w:rsidTr="00616372">
        <w:trPr>
          <w:trHeight w:val="20"/>
        </w:trPr>
        <w:tc>
          <w:tcPr>
            <w:tcW w:w="1019" w:type="pct"/>
            <w:shd w:val="clear" w:color="auto" w:fill="D9D9D9" w:themeFill="background1" w:themeFillShade="D9"/>
          </w:tcPr>
          <w:p w14:paraId="5F6D772E" w14:textId="77777777" w:rsidR="00E23599" w:rsidRPr="00F82D8E" w:rsidRDefault="00E23599" w:rsidP="00B05487">
            <w:pPr>
              <w:pStyle w:val="TableText0"/>
              <w:rPr>
                <w:b/>
                <w:bCs/>
              </w:rPr>
            </w:pPr>
            <w:r w:rsidRPr="00F82D8E">
              <w:rPr>
                <w:b/>
                <w:bCs/>
              </w:rPr>
              <w:t>Intervention</w:t>
            </w:r>
          </w:p>
        </w:tc>
        <w:tc>
          <w:tcPr>
            <w:tcW w:w="3981" w:type="pct"/>
          </w:tcPr>
          <w:p w14:paraId="68FB9494" w14:textId="7B9D975A" w:rsidR="00E23599" w:rsidRPr="007F00A8" w:rsidRDefault="00DE464A" w:rsidP="00B05487">
            <w:pPr>
              <w:pStyle w:val="TableText0"/>
            </w:pPr>
            <w:r>
              <w:t>Variant panel testing</w:t>
            </w:r>
            <w:r w:rsidRPr="007F00A8">
              <w:t xml:space="preserve"> </w:t>
            </w:r>
            <w:r w:rsidR="00E23599" w:rsidRPr="007F00A8">
              <w:t xml:space="preserve">for the 14 most common AATD pathogenic variants </w:t>
            </w:r>
            <w:r w:rsidR="00E23599">
              <w:t xml:space="preserve">and subsequent sequencing </w:t>
            </w:r>
            <w:r w:rsidR="00E23599" w:rsidRPr="007F00A8">
              <w:t>in the base analysis.</w:t>
            </w:r>
          </w:p>
        </w:tc>
      </w:tr>
      <w:tr w:rsidR="00E23599" w:rsidRPr="007F00A8" w14:paraId="19FC73BB" w14:textId="77777777" w:rsidTr="00616372">
        <w:trPr>
          <w:trHeight w:val="20"/>
        </w:trPr>
        <w:tc>
          <w:tcPr>
            <w:tcW w:w="1019" w:type="pct"/>
            <w:shd w:val="clear" w:color="auto" w:fill="D9D9D9" w:themeFill="background1" w:themeFillShade="D9"/>
          </w:tcPr>
          <w:p w14:paraId="40EC1CE2" w14:textId="77777777" w:rsidR="00E23599" w:rsidRPr="00F82D8E" w:rsidRDefault="00E23599" w:rsidP="00B05487">
            <w:pPr>
              <w:pStyle w:val="TableText0"/>
              <w:rPr>
                <w:b/>
                <w:bCs/>
              </w:rPr>
            </w:pPr>
            <w:r w:rsidRPr="00F82D8E">
              <w:rPr>
                <w:b/>
                <w:bCs/>
              </w:rPr>
              <w:t>Comparator</w:t>
            </w:r>
          </w:p>
        </w:tc>
        <w:tc>
          <w:tcPr>
            <w:tcW w:w="3981" w:type="pct"/>
          </w:tcPr>
          <w:p w14:paraId="3D1CEEA8" w14:textId="77777777" w:rsidR="00E23599" w:rsidRPr="007F00A8" w:rsidRDefault="00E23599" w:rsidP="00B05487">
            <w:pPr>
              <w:pStyle w:val="TableText0"/>
            </w:pPr>
            <w:r w:rsidRPr="007F00A8">
              <w:t>AAT protein phenotyping with IEF (MBS item 66638)</w:t>
            </w:r>
          </w:p>
        </w:tc>
      </w:tr>
      <w:tr w:rsidR="00E23599" w:rsidRPr="007F00A8" w14:paraId="6718AB37" w14:textId="77777777" w:rsidTr="00616372">
        <w:trPr>
          <w:trHeight w:val="20"/>
        </w:trPr>
        <w:tc>
          <w:tcPr>
            <w:tcW w:w="1019" w:type="pct"/>
            <w:shd w:val="clear" w:color="auto" w:fill="D9D9D9" w:themeFill="background1" w:themeFillShade="D9"/>
          </w:tcPr>
          <w:p w14:paraId="04F09877" w14:textId="77777777" w:rsidR="00E23599" w:rsidRPr="00F82D8E" w:rsidRDefault="00E23599" w:rsidP="00B05487">
            <w:pPr>
              <w:pStyle w:val="TableText0"/>
              <w:rPr>
                <w:b/>
                <w:bCs/>
              </w:rPr>
            </w:pPr>
            <w:r w:rsidRPr="00F82D8E">
              <w:rPr>
                <w:b/>
                <w:bCs/>
              </w:rPr>
              <w:t>Economic evaluation</w:t>
            </w:r>
          </w:p>
        </w:tc>
        <w:tc>
          <w:tcPr>
            <w:tcW w:w="3981" w:type="pct"/>
          </w:tcPr>
          <w:p w14:paraId="1D15C44E" w14:textId="77777777" w:rsidR="00E23599" w:rsidRPr="007F00A8" w:rsidRDefault="00E23599" w:rsidP="00B05487">
            <w:pPr>
              <w:pStyle w:val="TableText0"/>
            </w:pPr>
            <w:r w:rsidRPr="007F00A8">
              <w:t>Cost</w:t>
            </w:r>
            <w:r>
              <w:t>–</w:t>
            </w:r>
            <w:r w:rsidRPr="007F00A8">
              <w:t>utility analysis</w:t>
            </w:r>
          </w:p>
        </w:tc>
      </w:tr>
      <w:tr w:rsidR="00E23599" w:rsidRPr="007F00A8" w14:paraId="46E7D72E" w14:textId="77777777" w:rsidTr="00616372">
        <w:trPr>
          <w:trHeight w:val="20"/>
        </w:trPr>
        <w:tc>
          <w:tcPr>
            <w:tcW w:w="1019" w:type="pct"/>
            <w:shd w:val="clear" w:color="auto" w:fill="D9D9D9" w:themeFill="background1" w:themeFillShade="D9"/>
          </w:tcPr>
          <w:p w14:paraId="386D56BD" w14:textId="77777777" w:rsidR="00E23599" w:rsidRPr="00F82D8E" w:rsidRDefault="00E23599" w:rsidP="00B05487">
            <w:pPr>
              <w:pStyle w:val="TableText0"/>
              <w:rPr>
                <w:b/>
                <w:bCs/>
              </w:rPr>
            </w:pPr>
            <w:r w:rsidRPr="00F82D8E">
              <w:rPr>
                <w:b/>
                <w:bCs/>
              </w:rPr>
              <w:t>Source of evidence</w:t>
            </w:r>
          </w:p>
        </w:tc>
        <w:tc>
          <w:tcPr>
            <w:tcW w:w="3981" w:type="pct"/>
          </w:tcPr>
          <w:p w14:paraId="55A570DE" w14:textId="77777777" w:rsidR="00E23599" w:rsidRPr="007F00A8" w:rsidRDefault="00E23599" w:rsidP="00B05487">
            <w:pPr>
              <w:pStyle w:val="TableText0"/>
            </w:pPr>
            <w:r w:rsidRPr="007F00A8">
              <w:t>Literature and clinical feedback during contracted assessment</w:t>
            </w:r>
          </w:p>
        </w:tc>
      </w:tr>
      <w:tr w:rsidR="00E23599" w:rsidRPr="007F00A8" w14:paraId="0EA9C48E" w14:textId="77777777" w:rsidTr="00616372">
        <w:trPr>
          <w:trHeight w:val="20"/>
        </w:trPr>
        <w:tc>
          <w:tcPr>
            <w:tcW w:w="1019" w:type="pct"/>
            <w:shd w:val="clear" w:color="auto" w:fill="D9D9D9" w:themeFill="background1" w:themeFillShade="D9"/>
            <w:hideMark/>
          </w:tcPr>
          <w:p w14:paraId="4736D415" w14:textId="77777777" w:rsidR="00E23599" w:rsidRPr="00F82D8E" w:rsidRDefault="00E23599" w:rsidP="00B05487">
            <w:pPr>
              <w:pStyle w:val="TableText0"/>
              <w:rPr>
                <w:b/>
                <w:bCs/>
              </w:rPr>
            </w:pPr>
            <w:r w:rsidRPr="00F82D8E">
              <w:rPr>
                <w:b/>
                <w:bCs/>
              </w:rPr>
              <w:t>Time horizon</w:t>
            </w:r>
          </w:p>
        </w:tc>
        <w:tc>
          <w:tcPr>
            <w:tcW w:w="3981" w:type="pct"/>
            <w:hideMark/>
          </w:tcPr>
          <w:p w14:paraId="1D72F156" w14:textId="77777777" w:rsidR="00E23599" w:rsidRPr="007F00A8" w:rsidRDefault="00E23599" w:rsidP="00B05487">
            <w:pPr>
              <w:pStyle w:val="TableText0"/>
            </w:pPr>
            <w:r w:rsidRPr="007F00A8">
              <w:t>50-year time horizon in the base case</w:t>
            </w:r>
          </w:p>
          <w:p w14:paraId="5DA14390" w14:textId="77777777" w:rsidR="00E23599" w:rsidRPr="007F00A8" w:rsidRDefault="00E23599" w:rsidP="00B05487">
            <w:pPr>
              <w:pStyle w:val="TableText0"/>
            </w:pPr>
            <w:r w:rsidRPr="007F00A8">
              <w:t>Sensitivity analyses include a time horizon of 10 and 25 years</w:t>
            </w:r>
          </w:p>
        </w:tc>
      </w:tr>
      <w:tr w:rsidR="00E23599" w:rsidRPr="007F00A8" w14:paraId="7A470BBD" w14:textId="77777777" w:rsidTr="00616372">
        <w:trPr>
          <w:trHeight w:val="20"/>
        </w:trPr>
        <w:tc>
          <w:tcPr>
            <w:tcW w:w="1019" w:type="pct"/>
            <w:shd w:val="clear" w:color="auto" w:fill="D9D9D9" w:themeFill="background1" w:themeFillShade="D9"/>
            <w:hideMark/>
          </w:tcPr>
          <w:p w14:paraId="21E63BE0" w14:textId="77777777" w:rsidR="00E23599" w:rsidRPr="00F82D8E" w:rsidRDefault="00E23599" w:rsidP="00B05487">
            <w:pPr>
              <w:pStyle w:val="TableText0"/>
              <w:rPr>
                <w:b/>
                <w:bCs/>
              </w:rPr>
            </w:pPr>
            <w:r w:rsidRPr="00F82D8E">
              <w:rPr>
                <w:b/>
                <w:bCs/>
              </w:rPr>
              <w:t>Outcomes</w:t>
            </w:r>
          </w:p>
        </w:tc>
        <w:tc>
          <w:tcPr>
            <w:tcW w:w="3981" w:type="pct"/>
          </w:tcPr>
          <w:p w14:paraId="1893D45F" w14:textId="77777777" w:rsidR="00E23599" w:rsidRPr="007F00A8" w:rsidRDefault="00E23599" w:rsidP="00B05487">
            <w:pPr>
              <w:pStyle w:val="TableText0"/>
            </w:pPr>
            <w:r w:rsidRPr="007F00A8">
              <w:t>Quality-adjusted life</w:t>
            </w:r>
            <w:r>
              <w:t xml:space="preserve"> </w:t>
            </w:r>
            <w:r w:rsidRPr="007F00A8">
              <w:t>years/life</w:t>
            </w:r>
            <w:r>
              <w:t xml:space="preserve"> </w:t>
            </w:r>
            <w:r w:rsidRPr="007F00A8">
              <w:t>years gained</w:t>
            </w:r>
          </w:p>
        </w:tc>
      </w:tr>
      <w:tr w:rsidR="00E23599" w:rsidRPr="007F00A8" w14:paraId="3336D7B1" w14:textId="77777777" w:rsidTr="00616372">
        <w:trPr>
          <w:trHeight w:val="20"/>
        </w:trPr>
        <w:tc>
          <w:tcPr>
            <w:tcW w:w="1019" w:type="pct"/>
            <w:shd w:val="clear" w:color="auto" w:fill="D9D9D9" w:themeFill="background1" w:themeFillShade="D9"/>
            <w:hideMark/>
          </w:tcPr>
          <w:p w14:paraId="129A3997" w14:textId="77777777" w:rsidR="00E23599" w:rsidRPr="00F82D8E" w:rsidRDefault="00E23599" w:rsidP="00B05487">
            <w:pPr>
              <w:pStyle w:val="TableText0"/>
              <w:rPr>
                <w:b/>
                <w:bCs/>
              </w:rPr>
            </w:pPr>
            <w:r w:rsidRPr="00F82D8E">
              <w:rPr>
                <w:b/>
                <w:bCs/>
              </w:rPr>
              <w:t>Methods used to generate results</w:t>
            </w:r>
          </w:p>
        </w:tc>
        <w:tc>
          <w:tcPr>
            <w:tcW w:w="3981" w:type="pct"/>
          </w:tcPr>
          <w:p w14:paraId="41A006EF" w14:textId="77777777" w:rsidR="00E23599" w:rsidRPr="007F00A8" w:rsidRDefault="00E23599" w:rsidP="00B05487">
            <w:pPr>
              <w:pStyle w:val="TableText0"/>
            </w:pPr>
            <w:r w:rsidRPr="007F00A8">
              <w:t>Cohort expected value analysis using decision tree and Markov models for</w:t>
            </w:r>
            <w:r>
              <w:t>:</w:t>
            </w:r>
            <w:r>
              <w:br/>
            </w:r>
            <w:r w:rsidRPr="007F00A8">
              <w:t>(a) true positive</w:t>
            </w:r>
            <w:r>
              <w:t>,</w:t>
            </w:r>
            <w:r w:rsidRPr="007F00A8">
              <w:t xml:space="preserve"> adopting lifestyle change</w:t>
            </w:r>
            <w:r>
              <w:br/>
            </w:r>
            <w:r w:rsidRPr="007F00A8">
              <w:t>(b) false negative, non-adopter of lifestyle change</w:t>
            </w:r>
            <w:r>
              <w:t>,</w:t>
            </w:r>
            <w:r>
              <w:br/>
            </w:r>
            <w:r w:rsidRPr="007F00A8">
              <w:t>(c) AATD negative patients</w:t>
            </w:r>
          </w:p>
        </w:tc>
      </w:tr>
      <w:tr w:rsidR="00E23599" w:rsidRPr="007F00A8" w14:paraId="10C2344A" w14:textId="77777777" w:rsidTr="00616372">
        <w:trPr>
          <w:trHeight w:val="20"/>
        </w:trPr>
        <w:tc>
          <w:tcPr>
            <w:tcW w:w="1019" w:type="pct"/>
            <w:shd w:val="clear" w:color="auto" w:fill="D9D9D9" w:themeFill="background1" w:themeFillShade="D9"/>
          </w:tcPr>
          <w:p w14:paraId="59FD651C" w14:textId="77777777" w:rsidR="00E23599" w:rsidRPr="00F82D8E" w:rsidRDefault="00E23599" w:rsidP="00B05487">
            <w:pPr>
              <w:pStyle w:val="TableText0"/>
              <w:rPr>
                <w:b/>
                <w:bCs/>
              </w:rPr>
            </w:pPr>
            <w:r w:rsidRPr="00F82D8E">
              <w:rPr>
                <w:b/>
                <w:bCs/>
              </w:rPr>
              <w:t>Health states</w:t>
            </w:r>
          </w:p>
        </w:tc>
        <w:tc>
          <w:tcPr>
            <w:tcW w:w="3981" w:type="pct"/>
          </w:tcPr>
          <w:p w14:paraId="691CCBC5" w14:textId="607DC802" w:rsidR="00E23599" w:rsidRPr="007F00A8" w:rsidRDefault="00E23599" w:rsidP="00B05487">
            <w:pPr>
              <w:pStyle w:val="TableText0"/>
            </w:pPr>
            <w:r w:rsidRPr="007F00A8">
              <w:t>FEV</w:t>
            </w:r>
            <w:r w:rsidRPr="00432549">
              <w:rPr>
                <w:vertAlign w:val="subscript"/>
              </w:rPr>
              <w:t>1</w:t>
            </w:r>
            <w:r w:rsidR="004B7079">
              <w:t xml:space="preserve"> </w:t>
            </w:r>
            <w:r w:rsidRPr="007F00A8">
              <w:t>≥50% predicted, FEV</w:t>
            </w:r>
            <w:r w:rsidRPr="00432549">
              <w:rPr>
                <w:vertAlign w:val="subscript"/>
              </w:rPr>
              <w:t>1</w:t>
            </w:r>
            <w:r>
              <w:t xml:space="preserve"> </w:t>
            </w:r>
            <w:r w:rsidRPr="007F00A8">
              <w:t>&lt;50% predicted, Lung transplant, Dead</w:t>
            </w:r>
          </w:p>
        </w:tc>
      </w:tr>
      <w:tr w:rsidR="00E23599" w:rsidRPr="007F00A8" w14:paraId="047C8ED8" w14:textId="77777777" w:rsidTr="00616372">
        <w:trPr>
          <w:trHeight w:val="20"/>
        </w:trPr>
        <w:tc>
          <w:tcPr>
            <w:tcW w:w="1019" w:type="pct"/>
            <w:shd w:val="clear" w:color="auto" w:fill="D9D9D9" w:themeFill="background1" w:themeFillShade="D9"/>
            <w:hideMark/>
          </w:tcPr>
          <w:p w14:paraId="055CA7B2" w14:textId="77777777" w:rsidR="00E23599" w:rsidRPr="00F82D8E" w:rsidRDefault="00E23599" w:rsidP="00B05487">
            <w:pPr>
              <w:pStyle w:val="TableText0"/>
              <w:rPr>
                <w:b/>
                <w:bCs/>
              </w:rPr>
            </w:pPr>
            <w:r w:rsidRPr="00F82D8E">
              <w:rPr>
                <w:b/>
                <w:bCs/>
              </w:rPr>
              <w:t>Cycle length</w:t>
            </w:r>
          </w:p>
        </w:tc>
        <w:tc>
          <w:tcPr>
            <w:tcW w:w="3981" w:type="pct"/>
          </w:tcPr>
          <w:p w14:paraId="4E99FC9A" w14:textId="77777777" w:rsidR="00E23599" w:rsidRPr="007F00A8" w:rsidRDefault="00E23599" w:rsidP="00B05487">
            <w:pPr>
              <w:pStyle w:val="TableText0"/>
            </w:pPr>
            <w:r w:rsidRPr="007F00A8">
              <w:t>1 year</w:t>
            </w:r>
          </w:p>
        </w:tc>
      </w:tr>
      <w:tr w:rsidR="00E23599" w:rsidRPr="007F00A8" w14:paraId="172FAD82" w14:textId="77777777" w:rsidTr="00616372">
        <w:trPr>
          <w:trHeight w:val="20"/>
        </w:trPr>
        <w:tc>
          <w:tcPr>
            <w:tcW w:w="1019" w:type="pct"/>
            <w:shd w:val="clear" w:color="auto" w:fill="D9D9D9" w:themeFill="background1" w:themeFillShade="D9"/>
            <w:hideMark/>
          </w:tcPr>
          <w:p w14:paraId="3980A15A" w14:textId="77777777" w:rsidR="00E23599" w:rsidRPr="00F82D8E" w:rsidRDefault="00E23599" w:rsidP="00B05487">
            <w:pPr>
              <w:pStyle w:val="TableText0"/>
              <w:rPr>
                <w:b/>
                <w:bCs/>
              </w:rPr>
            </w:pPr>
            <w:r w:rsidRPr="00F82D8E">
              <w:rPr>
                <w:b/>
                <w:bCs/>
              </w:rPr>
              <w:t>Discount rate</w:t>
            </w:r>
          </w:p>
        </w:tc>
        <w:tc>
          <w:tcPr>
            <w:tcW w:w="3981" w:type="pct"/>
          </w:tcPr>
          <w:p w14:paraId="16BACBF8" w14:textId="77777777" w:rsidR="00E23599" w:rsidRPr="007F00A8" w:rsidRDefault="00E23599" w:rsidP="00B05487">
            <w:pPr>
              <w:pStyle w:val="TableText0"/>
            </w:pPr>
            <w:r w:rsidRPr="007F00A8">
              <w:t>5% used for base</w:t>
            </w:r>
            <w:r>
              <w:t>;</w:t>
            </w:r>
            <w:r w:rsidRPr="007F00A8">
              <w:t xml:space="preserve"> 3.5% and 7% sensitivity analyses</w:t>
            </w:r>
          </w:p>
        </w:tc>
      </w:tr>
      <w:tr w:rsidR="00E23599" w:rsidRPr="007F00A8" w14:paraId="4A222847" w14:textId="77777777" w:rsidTr="00616372">
        <w:trPr>
          <w:trHeight w:val="20"/>
        </w:trPr>
        <w:tc>
          <w:tcPr>
            <w:tcW w:w="1019" w:type="pct"/>
            <w:shd w:val="clear" w:color="auto" w:fill="D9D9D9" w:themeFill="background1" w:themeFillShade="D9"/>
            <w:hideMark/>
          </w:tcPr>
          <w:p w14:paraId="1B20017C" w14:textId="77777777" w:rsidR="00E23599" w:rsidRPr="00F82D8E" w:rsidRDefault="00E23599" w:rsidP="00B05487">
            <w:pPr>
              <w:pStyle w:val="TableText0"/>
              <w:rPr>
                <w:b/>
                <w:bCs/>
              </w:rPr>
            </w:pPr>
            <w:r w:rsidRPr="00F82D8E">
              <w:rPr>
                <w:b/>
                <w:bCs/>
              </w:rPr>
              <w:t>Software used</w:t>
            </w:r>
          </w:p>
        </w:tc>
        <w:tc>
          <w:tcPr>
            <w:tcW w:w="3981" w:type="pct"/>
          </w:tcPr>
          <w:p w14:paraId="35E5C0CC" w14:textId="77777777" w:rsidR="00E23599" w:rsidRPr="007F00A8" w:rsidRDefault="00E23599" w:rsidP="00B05487">
            <w:pPr>
              <w:pStyle w:val="TableText0"/>
            </w:pPr>
            <w:r w:rsidRPr="007F00A8">
              <w:t>Microsoft Excel 2010</w:t>
            </w:r>
          </w:p>
        </w:tc>
      </w:tr>
    </w:tbl>
    <w:p w14:paraId="1B70014A" w14:textId="5E255674" w:rsidR="00E23599" w:rsidRDefault="00E23599" w:rsidP="00B05487">
      <w:pPr>
        <w:pStyle w:val="Tablenotes1"/>
      </w:pPr>
      <w:r>
        <w:t>AAT = alpha-1 antitrypsin; AATD = alpha-1 antitrypsin deficiency; COPD = chronic obstructive pulmonary disease; FEV</w:t>
      </w:r>
      <w:r w:rsidRPr="00432549">
        <w:rPr>
          <w:vertAlign w:val="subscript"/>
        </w:rPr>
        <w:t>1</w:t>
      </w:r>
      <w:r>
        <w:t xml:space="preserve"> = forced expiratory volume in 1 second; IEF = isoelectric focusing; </w:t>
      </w:r>
      <w:r w:rsidRPr="00AC706B">
        <w:t>MBS</w:t>
      </w:r>
      <w:r>
        <w:t xml:space="preserve"> =</w:t>
      </w:r>
      <w:r w:rsidRPr="00AC706B">
        <w:t xml:space="preserve"> Medicare Benefits Schedule; QALY</w:t>
      </w:r>
      <w:r>
        <w:t xml:space="preserve"> =</w:t>
      </w:r>
      <w:r w:rsidRPr="00AC706B">
        <w:t xml:space="preserve"> quality</w:t>
      </w:r>
      <w:r>
        <w:t>-</w:t>
      </w:r>
      <w:r w:rsidRPr="00AC706B">
        <w:t>adjusted life year</w:t>
      </w:r>
      <w:r>
        <w:t>.</w:t>
      </w:r>
    </w:p>
    <w:p w14:paraId="0D4DE31A" w14:textId="19A01232" w:rsidR="00294511" w:rsidRDefault="00E23599" w:rsidP="00B05487">
      <w:pPr>
        <w:pStyle w:val="Tablenotes1"/>
      </w:pPr>
      <w:r>
        <w:t>Source: DCAR, Table 4.</w:t>
      </w:r>
    </w:p>
    <w:p w14:paraId="036ECAA3" w14:textId="68449BDB" w:rsidR="00E97C81" w:rsidRDefault="00294511" w:rsidP="00B05487">
      <w:pPr>
        <w:tabs>
          <w:tab w:val="left" w:pos="720"/>
        </w:tabs>
      </w:pPr>
      <w:r w:rsidRPr="00EA52A4">
        <w:t>The overall costs and outcomes, and incremental costs and outcomes (quality-adjusted life years (QALYs) as calculated for the intervention and comparator in the model, and using the base case assumptions, are shown in</w:t>
      </w:r>
      <w:r w:rsidR="00EA52A4" w:rsidRPr="00EA52A4">
        <w:t xml:space="preserve"> </w:t>
      </w:r>
      <w:r w:rsidR="00EA52A4" w:rsidRPr="00EA52A4">
        <w:fldChar w:fldCharType="begin"/>
      </w:r>
      <w:r w:rsidR="00EA52A4" w:rsidRPr="00EA52A4">
        <w:instrText xml:space="preserve"> REF _Ref74220322 </w:instrText>
      </w:r>
      <w:r w:rsidR="00EA52A4">
        <w:instrText xml:space="preserve"> \* MERGEFORMAT </w:instrText>
      </w:r>
      <w:r w:rsidR="00EA52A4" w:rsidRPr="00EA52A4">
        <w:fldChar w:fldCharType="separate"/>
      </w:r>
      <w:r w:rsidR="00095E12" w:rsidRPr="00583630">
        <w:t xml:space="preserve">Table </w:t>
      </w:r>
      <w:r w:rsidR="00095E12">
        <w:rPr>
          <w:noProof/>
        </w:rPr>
        <w:t>12</w:t>
      </w:r>
      <w:r w:rsidR="00EA52A4" w:rsidRPr="00EA52A4">
        <w:fldChar w:fldCharType="end"/>
      </w:r>
      <w:r w:rsidR="003740A6" w:rsidRPr="00EA52A4">
        <w:t>.</w:t>
      </w:r>
      <w:r w:rsidR="003D19F7">
        <w:t xml:space="preserve"> The cost-effectiveness of other </w:t>
      </w:r>
      <w:r w:rsidR="00E97C81">
        <w:t>decision</w:t>
      </w:r>
      <w:r w:rsidR="003D19F7">
        <w:t xml:space="preserve"> options available to MSAC </w:t>
      </w:r>
      <w:r w:rsidR="006569A9">
        <w:t>are</w:t>
      </w:r>
      <w:r w:rsidR="003D19F7">
        <w:t xml:space="preserve"> also presented, including</w:t>
      </w:r>
      <w:r w:rsidR="00E97C81">
        <w:t xml:space="preserve"> clearly separating out</w:t>
      </w:r>
      <w:r w:rsidR="003D19F7">
        <w:t xml:space="preserve"> the increment of sequencing on panel testing.</w:t>
      </w:r>
      <w:r w:rsidR="003740A6" w:rsidRPr="00EA52A4">
        <w:t xml:space="preserve"> </w:t>
      </w:r>
      <w:r w:rsidR="00E97C81">
        <w:t xml:space="preserve">The </w:t>
      </w:r>
      <w:r w:rsidR="00E97C81" w:rsidRPr="00EA52A4">
        <w:t xml:space="preserve">incremental cost-effectiveness ratio (ICER) </w:t>
      </w:r>
      <w:r w:rsidR="00E97C81">
        <w:t>per extra proband detected is also presented to facilitate comparisons to other germline testing applications previously considered by MSAC.</w:t>
      </w:r>
    </w:p>
    <w:p w14:paraId="1F39F130" w14:textId="4D37C6D9" w:rsidR="00294511" w:rsidRDefault="003740A6" w:rsidP="009B136F">
      <w:pPr>
        <w:tabs>
          <w:tab w:val="left" w:pos="720"/>
        </w:tabs>
        <w:spacing w:before="240"/>
      </w:pPr>
      <w:r w:rsidRPr="00EA52A4">
        <w:t>The ICER</w:t>
      </w:r>
      <w:r w:rsidR="00E97C81">
        <w:t xml:space="preserve"> per extra QALY</w:t>
      </w:r>
      <w:r w:rsidRPr="00EA52A4">
        <w:t xml:space="preserve"> for</w:t>
      </w:r>
      <w:r w:rsidR="00E97C81">
        <w:t xml:space="preserve"> the base case</w:t>
      </w:r>
      <w:r w:rsidRPr="00EA52A4">
        <w:t xml:space="preserve"> </w:t>
      </w:r>
      <w:r w:rsidR="002F41F8">
        <w:t>(</w:t>
      </w:r>
      <w:r w:rsidRPr="00EA52A4">
        <w:t>14-variant panel testing and sequencing</w:t>
      </w:r>
      <w:r w:rsidR="002F41F8">
        <w:t>)</w:t>
      </w:r>
      <w:r w:rsidRPr="00EA52A4">
        <w:t xml:space="preserve"> is $35,756 per QALY</w:t>
      </w:r>
      <w:r w:rsidRPr="00FA58F1">
        <w:t xml:space="preserve"> over 50 years.</w:t>
      </w:r>
      <w:r w:rsidR="00EA52A4">
        <w:t xml:space="preserve"> </w:t>
      </w:r>
      <w:r w:rsidR="00E97C81">
        <w:t xml:space="preserve">Using costs and diagnostic yield </w:t>
      </w:r>
      <w:r w:rsidR="00144060">
        <w:t>estimates</w:t>
      </w:r>
      <w:r w:rsidR="00E97C81">
        <w:t xml:space="preserve"> from the DCAR, the ICER per extra proband detected is </w:t>
      </w:r>
      <w:r w:rsidR="002F41F8">
        <w:t xml:space="preserve">calculated to be </w:t>
      </w:r>
      <w:r w:rsidR="00E97C81">
        <w:t>$391 for the 14-variant panel alone, and $43,728 for sequencing after the 14-variant panel – giving an overall ICER per extra proband detected for the base case of $4,607.</w:t>
      </w:r>
    </w:p>
    <w:p w14:paraId="41DCB6F3" w14:textId="77777777" w:rsidR="00EA52A4" w:rsidRDefault="00EA52A4" w:rsidP="00B05487">
      <w:pPr>
        <w:pStyle w:val="Caption"/>
        <w:sectPr w:rsidR="00EA52A4" w:rsidSect="00B05487">
          <w:headerReference w:type="even" r:id="rId13"/>
          <w:headerReference w:type="default" r:id="rId14"/>
          <w:footerReference w:type="even" r:id="rId15"/>
          <w:headerReference w:type="first" r:id="rId16"/>
          <w:pgSz w:w="11906" w:h="16838"/>
          <w:pgMar w:top="1440" w:right="1276" w:bottom="1440" w:left="1418" w:header="708" w:footer="708" w:gutter="0"/>
          <w:cols w:space="708"/>
          <w:docGrid w:linePitch="360"/>
        </w:sectPr>
      </w:pPr>
      <w:bookmarkStart w:id="34" w:name="_Ref534185424"/>
      <w:bookmarkStart w:id="35" w:name="_Toc1371963"/>
    </w:p>
    <w:p w14:paraId="1EC57F54" w14:textId="2C5EEB73" w:rsidR="00EA52A4" w:rsidRPr="00583630" w:rsidRDefault="00EA52A4" w:rsidP="00B05487">
      <w:pPr>
        <w:pStyle w:val="Caption"/>
      </w:pPr>
      <w:bookmarkStart w:id="36" w:name="_Ref74220322"/>
      <w:r w:rsidRPr="00583630">
        <w:lastRenderedPageBreak/>
        <w:t xml:space="preserve">Table </w:t>
      </w:r>
      <w:r w:rsidRPr="00583630">
        <w:rPr>
          <w:noProof/>
        </w:rPr>
        <w:fldChar w:fldCharType="begin"/>
      </w:r>
      <w:r w:rsidRPr="00583630">
        <w:rPr>
          <w:noProof/>
        </w:rPr>
        <w:instrText xml:space="preserve"> SEQ Table \* ARABIC </w:instrText>
      </w:r>
      <w:r w:rsidRPr="00583630">
        <w:rPr>
          <w:noProof/>
        </w:rPr>
        <w:fldChar w:fldCharType="separate"/>
      </w:r>
      <w:r w:rsidR="00095E12">
        <w:rPr>
          <w:noProof/>
        </w:rPr>
        <w:t>12</w:t>
      </w:r>
      <w:r w:rsidRPr="00583630">
        <w:rPr>
          <w:noProof/>
        </w:rPr>
        <w:fldChar w:fldCharType="end"/>
      </w:r>
      <w:bookmarkEnd w:id="36"/>
      <w:r w:rsidRPr="00583630">
        <w:rPr>
          <w:noProof/>
        </w:rPr>
        <w:tab/>
      </w:r>
      <w:r w:rsidR="000F2663">
        <w:rPr>
          <w:noProof/>
        </w:rPr>
        <w:t>E</w:t>
      </w:r>
      <w:r w:rsidR="000F2663" w:rsidRPr="00BC7871">
        <w:rPr>
          <w:noProof/>
        </w:rPr>
        <w:t>conomic outcome</w:t>
      </w:r>
      <w:r w:rsidR="000F2663">
        <w:rPr>
          <w:noProof/>
        </w:rPr>
        <w:t>s for affected individual testing:</w:t>
      </w:r>
      <w:r w:rsidR="000F2663" w:rsidRPr="00BC7871">
        <w:rPr>
          <w:noProof/>
        </w:rPr>
        <w:t xml:space="preserve"> </w:t>
      </w:r>
      <w:r w:rsidR="001C71DF">
        <w:rPr>
          <w:noProof/>
        </w:rPr>
        <w:t xml:space="preserve">incremental benefit of sequencing after </w:t>
      </w:r>
      <w:r w:rsidR="000F2663" w:rsidRPr="00BC7871">
        <w:rPr>
          <w:noProof/>
        </w:rPr>
        <w:t>the 2-</w:t>
      </w:r>
      <w:r w:rsidR="000F2663">
        <w:rPr>
          <w:noProof/>
        </w:rPr>
        <w:t xml:space="preserve"> and</w:t>
      </w:r>
      <w:r w:rsidR="000F2663" w:rsidRPr="00BC7871">
        <w:rPr>
          <w:noProof/>
        </w:rPr>
        <w:t xml:space="preserve"> 14-</w:t>
      </w:r>
      <w:r w:rsidR="000F2663">
        <w:rPr>
          <w:noProof/>
        </w:rPr>
        <w:t xml:space="preserve">variant </w:t>
      </w:r>
      <w:r w:rsidR="000F2663" w:rsidRPr="00BC7871">
        <w:rPr>
          <w:noProof/>
        </w:rPr>
        <w:t>panel</w:t>
      </w:r>
      <w:r w:rsidR="000F2663">
        <w:rPr>
          <w:noProof/>
        </w:rPr>
        <w:t>s,</w:t>
      </w:r>
      <w:r w:rsidR="000F2663" w:rsidRPr="00BC7871">
        <w:rPr>
          <w:noProof/>
        </w:rPr>
        <w:t xml:space="preserve"> against IEF</w:t>
      </w:r>
    </w:p>
    <w:tbl>
      <w:tblPr>
        <w:tblStyle w:val="TableGrid"/>
        <w:tblW w:w="5000" w:type="pct"/>
        <w:tblLook w:val="04A0" w:firstRow="1" w:lastRow="0" w:firstColumn="1" w:lastColumn="0" w:noHBand="0" w:noVBand="1"/>
      </w:tblPr>
      <w:tblGrid>
        <w:gridCol w:w="2117"/>
        <w:gridCol w:w="1274"/>
        <w:gridCol w:w="1137"/>
        <w:gridCol w:w="1277"/>
        <w:gridCol w:w="1137"/>
        <w:gridCol w:w="1558"/>
        <w:gridCol w:w="1848"/>
        <w:gridCol w:w="1845"/>
        <w:gridCol w:w="1745"/>
      </w:tblGrid>
      <w:tr w:rsidR="000F2663" w:rsidRPr="00583630" w14:paraId="565CFFDF" w14:textId="77777777" w:rsidTr="000F2663">
        <w:trPr>
          <w:trHeight w:val="585"/>
        </w:trPr>
        <w:tc>
          <w:tcPr>
            <w:tcW w:w="759" w:type="pct"/>
            <w:tcBorders>
              <w:top w:val="single" w:sz="8" w:space="0" w:color="auto"/>
              <w:left w:val="single" w:sz="8" w:space="0" w:color="auto"/>
            </w:tcBorders>
            <w:shd w:val="clear" w:color="auto" w:fill="D9D9D9" w:themeFill="background1" w:themeFillShade="D9"/>
            <w:vAlign w:val="center"/>
          </w:tcPr>
          <w:p w14:paraId="102062A4" w14:textId="77777777" w:rsidR="000F2663" w:rsidRPr="00BC7871" w:rsidRDefault="000F2663" w:rsidP="00B05487">
            <w:pPr>
              <w:rPr>
                <w:rFonts w:ascii="Arial Narrow" w:hAnsi="Arial Narrow"/>
                <w:b/>
                <w:bCs/>
                <w:sz w:val="20"/>
              </w:rPr>
            </w:pPr>
            <w:r>
              <w:rPr>
                <w:rFonts w:ascii="Arial Narrow" w:hAnsi="Arial Narrow"/>
                <w:b/>
                <w:bCs/>
                <w:sz w:val="20"/>
              </w:rPr>
              <w:t>Scenario</w:t>
            </w:r>
          </w:p>
        </w:tc>
        <w:tc>
          <w:tcPr>
            <w:tcW w:w="457" w:type="pct"/>
            <w:tcBorders>
              <w:top w:val="single" w:sz="8" w:space="0" w:color="auto"/>
            </w:tcBorders>
            <w:shd w:val="clear" w:color="auto" w:fill="D9D9D9" w:themeFill="background1" w:themeFillShade="D9"/>
            <w:vAlign w:val="center"/>
          </w:tcPr>
          <w:p w14:paraId="4574DB49" w14:textId="77777777" w:rsidR="000F2663" w:rsidRPr="00BF2FFB" w:rsidRDefault="000F2663" w:rsidP="00B05487">
            <w:pPr>
              <w:jc w:val="center"/>
              <w:rPr>
                <w:rFonts w:ascii="Arial Narrow" w:hAnsi="Arial Narrow"/>
                <w:b/>
                <w:bCs/>
                <w:sz w:val="20"/>
              </w:rPr>
            </w:pPr>
            <w:r w:rsidRPr="00BF2FFB">
              <w:rPr>
                <w:rFonts w:ascii="Arial Narrow" w:hAnsi="Arial Narrow"/>
                <w:b/>
                <w:bCs/>
                <w:sz w:val="20"/>
              </w:rPr>
              <w:t>Cost (discounted)</w:t>
            </w:r>
          </w:p>
        </w:tc>
        <w:tc>
          <w:tcPr>
            <w:tcW w:w="408" w:type="pct"/>
            <w:tcBorders>
              <w:top w:val="single" w:sz="8" w:space="0" w:color="auto"/>
              <w:bottom w:val="single" w:sz="4" w:space="0" w:color="auto"/>
            </w:tcBorders>
            <w:shd w:val="clear" w:color="auto" w:fill="D9D9D9" w:themeFill="background1" w:themeFillShade="D9"/>
            <w:vAlign w:val="center"/>
          </w:tcPr>
          <w:p w14:paraId="2F0D51B8" w14:textId="77777777" w:rsidR="000F2663" w:rsidRPr="00BF2FFB" w:rsidRDefault="000F2663" w:rsidP="00B05487">
            <w:pPr>
              <w:jc w:val="center"/>
              <w:rPr>
                <w:rFonts w:ascii="Arial Narrow" w:hAnsi="Arial Narrow"/>
                <w:b/>
                <w:bCs/>
                <w:sz w:val="20"/>
              </w:rPr>
            </w:pPr>
            <w:r w:rsidRPr="00BF2FFB">
              <w:rPr>
                <w:rFonts w:ascii="Arial Narrow" w:hAnsi="Arial Narrow"/>
                <w:b/>
                <w:bCs/>
                <w:sz w:val="20"/>
              </w:rPr>
              <w:t>Incremental cost</w:t>
            </w:r>
          </w:p>
        </w:tc>
        <w:tc>
          <w:tcPr>
            <w:tcW w:w="458" w:type="pct"/>
            <w:tcBorders>
              <w:top w:val="single" w:sz="8" w:space="0" w:color="auto"/>
            </w:tcBorders>
            <w:shd w:val="clear" w:color="auto" w:fill="D9D9D9" w:themeFill="background1" w:themeFillShade="D9"/>
            <w:vAlign w:val="center"/>
          </w:tcPr>
          <w:p w14:paraId="2D04BD49" w14:textId="77777777" w:rsidR="000F2663" w:rsidRPr="00BF2FFB" w:rsidRDefault="000F2663" w:rsidP="00B05487">
            <w:pPr>
              <w:jc w:val="center"/>
              <w:rPr>
                <w:rFonts w:ascii="Arial Narrow" w:hAnsi="Arial Narrow"/>
                <w:b/>
                <w:bCs/>
                <w:sz w:val="20"/>
              </w:rPr>
            </w:pPr>
            <w:r w:rsidRPr="00BF2FFB">
              <w:rPr>
                <w:rFonts w:ascii="Arial Narrow" w:hAnsi="Arial Narrow"/>
                <w:b/>
                <w:bCs/>
                <w:sz w:val="20"/>
              </w:rPr>
              <w:t>QALYs (discounted)</w:t>
            </w:r>
          </w:p>
        </w:tc>
        <w:tc>
          <w:tcPr>
            <w:tcW w:w="408" w:type="pct"/>
            <w:tcBorders>
              <w:top w:val="single" w:sz="8" w:space="0" w:color="auto"/>
              <w:bottom w:val="single" w:sz="4" w:space="0" w:color="auto"/>
            </w:tcBorders>
            <w:shd w:val="clear" w:color="auto" w:fill="D9D9D9" w:themeFill="background1" w:themeFillShade="D9"/>
            <w:vAlign w:val="center"/>
          </w:tcPr>
          <w:p w14:paraId="29DE7143" w14:textId="77777777" w:rsidR="000F2663" w:rsidRPr="00BF2FFB" w:rsidRDefault="000F2663" w:rsidP="00B05487">
            <w:pPr>
              <w:jc w:val="center"/>
              <w:rPr>
                <w:rFonts w:ascii="Arial Narrow" w:hAnsi="Arial Narrow"/>
                <w:b/>
                <w:bCs/>
                <w:sz w:val="20"/>
              </w:rPr>
            </w:pPr>
            <w:r w:rsidRPr="00BF2FFB">
              <w:rPr>
                <w:rFonts w:ascii="Arial Narrow" w:hAnsi="Arial Narrow"/>
                <w:b/>
                <w:bCs/>
                <w:sz w:val="20"/>
              </w:rPr>
              <w:t>Incremental QALY</w:t>
            </w:r>
          </w:p>
        </w:tc>
        <w:tc>
          <w:tcPr>
            <w:tcW w:w="559" w:type="pct"/>
            <w:tcBorders>
              <w:top w:val="single" w:sz="8" w:space="0" w:color="auto"/>
              <w:bottom w:val="single" w:sz="4" w:space="0" w:color="auto"/>
              <w:right w:val="single" w:sz="8" w:space="0" w:color="auto"/>
            </w:tcBorders>
            <w:shd w:val="clear" w:color="auto" w:fill="D9D9D9" w:themeFill="background1" w:themeFillShade="D9"/>
            <w:vAlign w:val="center"/>
          </w:tcPr>
          <w:p w14:paraId="55ABE5B7" w14:textId="77777777" w:rsidR="000F2663" w:rsidRPr="00BF2FFB" w:rsidRDefault="000F2663" w:rsidP="00B05487">
            <w:pPr>
              <w:jc w:val="center"/>
              <w:rPr>
                <w:rFonts w:ascii="Arial Narrow" w:hAnsi="Arial Narrow"/>
                <w:b/>
                <w:bCs/>
                <w:sz w:val="20"/>
              </w:rPr>
            </w:pPr>
            <w:r w:rsidRPr="00BF2FFB">
              <w:rPr>
                <w:rFonts w:ascii="Arial Narrow" w:hAnsi="Arial Narrow"/>
                <w:b/>
                <w:bCs/>
                <w:sz w:val="20"/>
              </w:rPr>
              <w:t>ICER ($ per extra QALY gained)</w:t>
            </w:r>
          </w:p>
        </w:tc>
        <w:tc>
          <w:tcPr>
            <w:tcW w:w="663" w:type="pct"/>
            <w:tcBorders>
              <w:top w:val="single" w:sz="8" w:space="0" w:color="auto"/>
              <w:bottom w:val="single" w:sz="4" w:space="0" w:color="auto"/>
            </w:tcBorders>
            <w:shd w:val="clear" w:color="auto" w:fill="D9D9D9" w:themeFill="background1" w:themeFillShade="D9"/>
            <w:vAlign w:val="center"/>
          </w:tcPr>
          <w:p w14:paraId="3E98772C" w14:textId="77777777" w:rsidR="000F2663" w:rsidRPr="00BF2FFB" w:rsidRDefault="000F2663" w:rsidP="00B05487">
            <w:pPr>
              <w:jc w:val="center"/>
              <w:rPr>
                <w:rFonts w:ascii="Arial Narrow" w:hAnsi="Arial Narrow"/>
                <w:b/>
                <w:bCs/>
                <w:sz w:val="20"/>
              </w:rPr>
            </w:pPr>
            <w:r w:rsidRPr="00BF2FFB">
              <w:rPr>
                <w:rFonts w:ascii="Arial Narrow" w:hAnsi="Arial Narrow"/>
                <w:b/>
                <w:bCs/>
                <w:sz w:val="20"/>
              </w:rPr>
              <w:t>Diagnostic yield</w:t>
            </w:r>
          </w:p>
        </w:tc>
        <w:tc>
          <w:tcPr>
            <w:tcW w:w="662" w:type="pct"/>
            <w:tcBorders>
              <w:top w:val="single" w:sz="8" w:space="0" w:color="auto"/>
              <w:bottom w:val="single" w:sz="4" w:space="0" w:color="auto"/>
            </w:tcBorders>
            <w:shd w:val="clear" w:color="auto" w:fill="D9D9D9" w:themeFill="background1" w:themeFillShade="D9"/>
            <w:vAlign w:val="center"/>
          </w:tcPr>
          <w:p w14:paraId="7A2096B7" w14:textId="432621F8" w:rsidR="000F2663" w:rsidRPr="00BF2FFB" w:rsidRDefault="000F2663" w:rsidP="00B05487">
            <w:pPr>
              <w:jc w:val="center"/>
              <w:rPr>
                <w:rFonts w:ascii="Arial Narrow" w:hAnsi="Arial Narrow"/>
                <w:b/>
                <w:bCs/>
                <w:sz w:val="20"/>
              </w:rPr>
            </w:pPr>
            <w:r w:rsidRPr="00BF2FFB">
              <w:rPr>
                <w:rFonts w:ascii="Arial Narrow" w:hAnsi="Arial Narrow"/>
                <w:b/>
                <w:bCs/>
                <w:sz w:val="20"/>
              </w:rPr>
              <w:t>Incremental probands detected</w:t>
            </w:r>
          </w:p>
        </w:tc>
        <w:tc>
          <w:tcPr>
            <w:tcW w:w="626" w:type="pct"/>
            <w:tcBorders>
              <w:top w:val="single" w:sz="8" w:space="0" w:color="auto"/>
              <w:bottom w:val="single" w:sz="4" w:space="0" w:color="auto"/>
              <w:right w:val="single" w:sz="8" w:space="0" w:color="auto"/>
            </w:tcBorders>
            <w:shd w:val="clear" w:color="auto" w:fill="D9D9D9" w:themeFill="background1" w:themeFillShade="D9"/>
            <w:vAlign w:val="center"/>
          </w:tcPr>
          <w:p w14:paraId="4F42F27A" w14:textId="77777777" w:rsidR="000F2663" w:rsidRPr="00BF2FFB" w:rsidRDefault="000F2663" w:rsidP="00B05487">
            <w:pPr>
              <w:jc w:val="center"/>
              <w:rPr>
                <w:rFonts w:ascii="Arial Narrow" w:hAnsi="Arial Narrow"/>
                <w:b/>
                <w:bCs/>
                <w:sz w:val="20"/>
              </w:rPr>
            </w:pPr>
            <w:r w:rsidRPr="00BF2FFB">
              <w:rPr>
                <w:rFonts w:ascii="Arial Narrow" w:hAnsi="Arial Narrow"/>
                <w:b/>
                <w:bCs/>
                <w:sz w:val="20"/>
              </w:rPr>
              <w:t>ICER ($ per extra proband detected)</w:t>
            </w:r>
          </w:p>
        </w:tc>
      </w:tr>
      <w:tr w:rsidR="000F2663" w:rsidRPr="00EB2900" w14:paraId="6543CF9D" w14:textId="77777777" w:rsidTr="000F2663">
        <w:trPr>
          <w:trHeight w:val="585"/>
        </w:trPr>
        <w:tc>
          <w:tcPr>
            <w:tcW w:w="759" w:type="pct"/>
            <w:tcBorders>
              <w:left w:val="single" w:sz="8" w:space="0" w:color="auto"/>
            </w:tcBorders>
            <w:vAlign w:val="center"/>
          </w:tcPr>
          <w:p w14:paraId="48D0E7C7" w14:textId="1698324F" w:rsidR="000F2663" w:rsidRDefault="000F2663" w:rsidP="00B05487">
            <w:pPr>
              <w:rPr>
                <w:rFonts w:ascii="Arial Narrow" w:hAnsi="Arial Narrow"/>
                <w:sz w:val="20"/>
              </w:rPr>
            </w:pPr>
            <w:r>
              <w:rPr>
                <w:rFonts w:ascii="Arial Narrow" w:hAnsi="Arial Narrow"/>
                <w:sz w:val="20"/>
              </w:rPr>
              <w:t xml:space="preserve">IEF (comparator) </w:t>
            </w:r>
          </w:p>
        </w:tc>
        <w:tc>
          <w:tcPr>
            <w:tcW w:w="457" w:type="pct"/>
            <w:vAlign w:val="center"/>
          </w:tcPr>
          <w:p w14:paraId="11588800" w14:textId="77777777" w:rsidR="000F2663" w:rsidRPr="00EB2900" w:rsidRDefault="000F2663" w:rsidP="00B05487">
            <w:pPr>
              <w:jc w:val="center"/>
              <w:rPr>
                <w:rFonts w:ascii="Arial Narrow" w:hAnsi="Arial Narrow"/>
                <w:sz w:val="20"/>
              </w:rPr>
            </w:pPr>
            <w:r w:rsidRPr="00EB2900">
              <w:rPr>
                <w:rFonts w:ascii="Arial Narrow" w:hAnsi="Arial Narrow"/>
                <w:sz w:val="20"/>
              </w:rPr>
              <w:t>$17,316</w:t>
            </w:r>
          </w:p>
        </w:tc>
        <w:tc>
          <w:tcPr>
            <w:tcW w:w="408" w:type="pct"/>
            <w:vAlign w:val="center"/>
          </w:tcPr>
          <w:p w14:paraId="0C661F27" w14:textId="77777777" w:rsidR="000F2663" w:rsidRPr="00EB2900" w:rsidRDefault="000F2663" w:rsidP="00B05487">
            <w:pPr>
              <w:jc w:val="center"/>
              <w:rPr>
                <w:rFonts w:ascii="Arial Narrow" w:hAnsi="Arial Narrow"/>
                <w:sz w:val="20"/>
              </w:rPr>
            </w:pPr>
            <w:r>
              <w:rPr>
                <w:rFonts w:ascii="Arial Narrow" w:hAnsi="Arial Narrow"/>
                <w:sz w:val="20"/>
              </w:rPr>
              <w:t>-</w:t>
            </w:r>
          </w:p>
        </w:tc>
        <w:tc>
          <w:tcPr>
            <w:tcW w:w="458" w:type="pct"/>
            <w:vAlign w:val="center"/>
          </w:tcPr>
          <w:p w14:paraId="44C5C2A8" w14:textId="77777777" w:rsidR="000F2663" w:rsidRPr="00EB2900" w:rsidRDefault="000F2663" w:rsidP="00B05487">
            <w:pPr>
              <w:jc w:val="center"/>
              <w:rPr>
                <w:rFonts w:ascii="Arial Narrow" w:hAnsi="Arial Narrow"/>
                <w:sz w:val="20"/>
              </w:rPr>
            </w:pPr>
            <w:r w:rsidRPr="00EB2900">
              <w:rPr>
                <w:rFonts w:ascii="Arial Narrow" w:hAnsi="Arial Narrow"/>
                <w:sz w:val="20"/>
              </w:rPr>
              <w:t>23.03</w:t>
            </w:r>
          </w:p>
        </w:tc>
        <w:tc>
          <w:tcPr>
            <w:tcW w:w="408" w:type="pct"/>
            <w:vAlign w:val="center"/>
          </w:tcPr>
          <w:p w14:paraId="71C9764D" w14:textId="77777777" w:rsidR="000F2663" w:rsidRPr="00EB2900" w:rsidRDefault="000F2663" w:rsidP="00B05487">
            <w:pPr>
              <w:jc w:val="center"/>
              <w:rPr>
                <w:rFonts w:ascii="Arial Narrow" w:hAnsi="Arial Narrow"/>
                <w:sz w:val="20"/>
              </w:rPr>
            </w:pPr>
            <w:r>
              <w:rPr>
                <w:rFonts w:ascii="Arial Narrow" w:hAnsi="Arial Narrow"/>
                <w:sz w:val="20"/>
              </w:rPr>
              <w:t>-</w:t>
            </w:r>
          </w:p>
        </w:tc>
        <w:tc>
          <w:tcPr>
            <w:tcW w:w="559" w:type="pct"/>
            <w:tcBorders>
              <w:right w:val="single" w:sz="8" w:space="0" w:color="auto"/>
            </w:tcBorders>
            <w:vAlign w:val="center"/>
          </w:tcPr>
          <w:p w14:paraId="58CC6EEB" w14:textId="77777777" w:rsidR="000F2663" w:rsidRPr="00EB2900" w:rsidRDefault="000F2663" w:rsidP="00B05487">
            <w:pPr>
              <w:jc w:val="center"/>
              <w:rPr>
                <w:rFonts w:ascii="Arial Narrow" w:hAnsi="Arial Narrow"/>
                <w:sz w:val="20"/>
              </w:rPr>
            </w:pPr>
            <w:r>
              <w:rPr>
                <w:rFonts w:ascii="Arial Narrow" w:hAnsi="Arial Narrow"/>
                <w:sz w:val="20"/>
              </w:rPr>
              <w:t>-</w:t>
            </w:r>
          </w:p>
        </w:tc>
        <w:tc>
          <w:tcPr>
            <w:tcW w:w="663" w:type="pct"/>
            <w:tcBorders>
              <w:bottom w:val="single" w:sz="4" w:space="0" w:color="auto"/>
            </w:tcBorders>
            <w:vAlign w:val="center"/>
          </w:tcPr>
          <w:p w14:paraId="35C80C75" w14:textId="00CEA96B" w:rsidR="000F2663" w:rsidRDefault="000F2663" w:rsidP="00B05487">
            <w:pPr>
              <w:jc w:val="center"/>
              <w:rPr>
                <w:rFonts w:ascii="Arial Narrow" w:hAnsi="Arial Narrow"/>
                <w:sz w:val="20"/>
              </w:rPr>
            </w:pPr>
            <w:r>
              <w:rPr>
                <w:rFonts w:ascii="Arial Narrow" w:hAnsi="Arial Narrow"/>
                <w:sz w:val="20"/>
              </w:rPr>
              <w:t>0.2452</w:t>
            </w:r>
            <w:r w:rsidRPr="002805E0">
              <w:rPr>
                <w:rFonts w:ascii="Arial Narrow" w:hAnsi="Arial Narrow"/>
                <w:sz w:val="20"/>
              </w:rPr>
              <w:t xml:space="preserve"> </w:t>
            </w:r>
            <w:r>
              <w:rPr>
                <w:rFonts w:ascii="Arial Narrow" w:hAnsi="Arial Narrow"/>
                <w:sz w:val="20"/>
              </w:rPr>
              <w:t>× 0.815</w:t>
            </w:r>
          </w:p>
          <w:p w14:paraId="5692AB3C" w14:textId="77777777" w:rsidR="000F2663" w:rsidRDefault="000F2663" w:rsidP="00B05487">
            <w:pPr>
              <w:jc w:val="center"/>
              <w:rPr>
                <w:rFonts w:ascii="Arial Narrow" w:hAnsi="Arial Narrow"/>
                <w:sz w:val="20"/>
              </w:rPr>
            </w:pPr>
            <w:r>
              <w:rPr>
                <w:rFonts w:ascii="Arial Narrow" w:hAnsi="Arial Narrow"/>
                <w:sz w:val="20"/>
              </w:rPr>
              <w:t>= 0.199838</w:t>
            </w:r>
          </w:p>
        </w:tc>
        <w:tc>
          <w:tcPr>
            <w:tcW w:w="662" w:type="pct"/>
            <w:vAlign w:val="center"/>
          </w:tcPr>
          <w:p w14:paraId="53C0089E" w14:textId="77777777" w:rsidR="000F2663" w:rsidRPr="00333167" w:rsidRDefault="000F2663" w:rsidP="00B05487">
            <w:pPr>
              <w:jc w:val="center"/>
              <w:rPr>
                <w:rFonts w:ascii="Arial Narrow" w:hAnsi="Arial Narrow"/>
                <w:sz w:val="20"/>
              </w:rPr>
            </w:pPr>
            <w:r>
              <w:rPr>
                <w:rFonts w:ascii="Arial Narrow" w:hAnsi="Arial Narrow"/>
                <w:sz w:val="20"/>
              </w:rPr>
              <w:t>-</w:t>
            </w:r>
          </w:p>
        </w:tc>
        <w:tc>
          <w:tcPr>
            <w:tcW w:w="626" w:type="pct"/>
            <w:tcBorders>
              <w:right w:val="single" w:sz="8" w:space="0" w:color="auto"/>
            </w:tcBorders>
            <w:vAlign w:val="center"/>
          </w:tcPr>
          <w:p w14:paraId="09177DDA" w14:textId="77777777" w:rsidR="000F2663" w:rsidRDefault="000F2663" w:rsidP="00B05487">
            <w:pPr>
              <w:jc w:val="center"/>
              <w:rPr>
                <w:rFonts w:ascii="Arial Narrow" w:hAnsi="Arial Narrow"/>
                <w:sz w:val="20"/>
              </w:rPr>
            </w:pPr>
            <w:r>
              <w:rPr>
                <w:rFonts w:ascii="Arial Narrow" w:hAnsi="Arial Narrow"/>
                <w:sz w:val="20"/>
              </w:rPr>
              <w:t>-</w:t>
            </w:r>
          </w:p>
        </w:tc>
      </w:tr>
      <w:tr w:rsidR="000F2663" w:rsidRPr="00583630" w14:paraId="70EC6EAC" w14:textId="77777777" w:rsidTr="000F2663">
        <w:trPr>
          <w:trHeight w:val="585"/>
        </w:trPr>
        <w:tc>
          <w:tcPr>
            <w:tcW w:w="759" w:type="pct"/>
            <w:tcBorders>
              <w:top w:val="single" w:sz="8" w:space="0" w:color="auto"/>
              <w:left w:val="single" w:sz="8" w:space="0" w:color="auto"/>
            </w:tcBorders>
            <w:shd w:val="clear" w:color="auto" w:fill="auto"/>
            <w:vAlign w:val="center"/>
          </w:tcPr>
          <w:p w14:paraId="75809572" w14:textId="77777777" w:rsidR="000F2663" w:rsidRPr="0085103C" w:rsidRDefault="000F2663" w:rsidP="00B05487">
            <w:pPr>
              <w:rPr>
                <w:rFonts w:ascii="Arial Narrow" w:hAnsi="Arial Narrow"/>
                <w:sz w:val="20"/>
              </w:rPr>
            </w:pPr>
            <w:r w:rsidRPr="00BC7871">
              <w:rPr>
                <w:rFonts w:ascii="Arial Narrow" w:hAnsi="Arial Narrow"/>
                <w:sz w:val="20"/>
              </w:rPr>
              <w:t>14-</w:t>
            </w:r>
            <w:r>
              <w:rPr>
                <w:rFonts w:ascii="Arial Narrow" w:hAnsi="Arial Narrow"/>
                <w:sz w:val="20"/>
              </w:rPr>
              <w:t xml:space="preserve">variant </w:t>
            </w:r>
            <w:r w:rsidRPr="00BC7871">
              <w:rPr>
                <w:rFonts w:ascii="Arial Narrow" w:hAnsi="Arial Narrow"/>
                <w:sz w:val="20"/>
              </w:rPr>
              <w:t>panel alone</w:t>
            </w:r>
          </w:p>
        </w:tc>
        <w:tc>
          <w:tcPr>
            <w:tcW w:w="457" w:type="pct"/>
            <w:tcBorders>
              <w:top w:val="single" w:sz="8" w:space="0" w:color="auto"/>
            </w:tcBorders>
            <w:shd w:val="clear" w:color="auto" w:fill="auto"/>
            <w:vAlign w:val="center"/>
          </w:tcPr>
          <w:p w14:paraId="60F22754" w14:textId="77777777" w:rsidR="000F2663" w:rsidRPr="0085103C" w:rsidRDefault="000F2663" w:rsidP="00B05487">
            <w:pPr>
              <w:jc w:val="center"/>
              <w:rPr>
                <w:rFonts w:ascii="Arial Narrow" w:hAnsi="Arial Narrow"/>
                <w:sz w:val="20"/>
              </w:rPr>
            </w:pPr>
            <w:r w:rsidRPr="0085103C">
              <w:rPr>
                <w:rFonts w:ascii="Arial Narrow" w:hAnsi="Arial Narrow"/>
                <w:sz w:val="20"/>
              </w:rPr>
              <w:t>$17,333</w:t>
            </w:r>
          </w:p>
        </w:tc>
        <w:tc>
          <w:tcPr>
            <w:tcW w:w="408" w:type="pct"/>
            <w:tcBorders>
              <w:top w:val="single" w:sz="8" w:space="0" w:color="auto"/>
            </w:tcBorders>
            <w:shd w:val="clear" w:color="auto" w:fill="auto"/>
            <w:vAlign w:val="center"/>
          </w:tcPr>
          <w:p w14:paraId="44DBB787" w14:textId="77777777" w:rsidR="000F2663" w:rsidRPr="0085103C" w:rsidRDefault="000F2663" w:rsidP="00B05487">
            <w:pPr>
              <w:jc w:val="center"/>
              <w:rPr>
                <w:rFonts w:ascii="Arial Narrow" w:hAnsi="Arial Narrow"/>
                <w:sz w:val="20"/>
              </w:rPr>
            </w:pPr>
            <w:r w:rsidRPr="0085103C">
              <w:rPr>
                <w:rFonts w:ascii="Arial Narrow" w:hAnsi="Arial Narrow"/>
                <w:sz w:val="20"/>
              </w:rPr>
              <w:t>$16</w:t>
            </w:r>
          </w:p>
        </w:tc>
        <w:tc>
          <w:tcPr>
            <w:tcW w:w="458" w:type="pct"/>
            <w:tcBorders>
              <w:top w:val="single" w:sz="8" w:space="0" w:color="auto"/>
            </w:tcBorders>
            <w:shd w:val="clear" w:color="auto" w:fill="auto"/>
            <w:vAlign w:val="center"/>
          </w:tcPr>
          <w:p w14:paraId="3C1C931B" w14:textId="77777777" w:rsidR="000F2663" w:rsidRPr="0085103C" w:rsidRDefault="000F2663" w:rsidP="00B05487">
            <w:pPr>
              <w:jc w:val="center"/>
              <w:rPr>
                <w:rFonts w:ascii="Arial Narrow" w:hAnsi="Arial Narrow"/>
                <w:sz w:val="20"/>
              </w:rPr>
            </w:pPr>
            <w:r w:rsidRPr="0085103C">
              <w:rPr>
                <w:rFonts w:ascii="Arial Narrow" w:hAnsi="Arial Narrow"/>
                <w:sz w:val="20"/>
              </w:rPr>
              <w:t>23.04</w:t>
            </w:r>
          </w:p>
        </w:tc>
        <w:tc>
          <w:tcPr>
            <w:tcW w:w="408" w:type="pct"/>
            <w:tcBorders>
              <w:top w:val="single" w:sz="8" w:space="0" w:color="auto"/>
            </w:tcBorders>
            <w:shd w:val="clear" w:color="auto" w:fill="auto"/>
            <w:vAlign w:val="center"/>
          </w:tcPr>
          <w:p w14:paraId="2F443D37" w14:textId="77777777" w:rsidR="000F2663" w:rsidRPr="0085103C" w:rsidRDefault="000F2663" w:rsidP="00B05487">
            <w:pPr>
              <w:jc w:val="center"/>
              <w:rPr>
                <w:rFonts w:ascii="Arial Narrow" w:hAnsi="Arial Narrow"/>
                <w:sz w:val="20"/>
              </w:rPr>
            </w:pPr>
            <w:r w:rsidRPr="0085103C">
              <w:rPr>
                <w:rFonts w:ascii="Arial Narrow" w:hAnsi="Arial Narrow"/>
                <w:sz w:val="20"/>
              </w:rPr>
              <w:t>0.01</w:t>
            </w:r>
          </w:p>
        </w:tc>
        <w:tc>
          <w:tcPr>
            <w:tcW w:w="559" w:type="pct"/>
            <w:tcBorders>
              <w:top w:val="single" w:sz="8" w:space="0" w:color="auto"/>
              <w:right w:val="single" w:sz="8" w:space="0" w:color="auto"/>
            </w:tcBorders>
            <w:shd w:val="clear" w:color="auto" w:fill="auto"/>
            <w:vAlign w:val="center"/>
          </w:tcPr>
          <w:p w14:paraId="67ED289E" w14:textId="77777777" w:rsidR="000F2663" w:rsidRPr="0085103C" w:rsidRDefault="000F2663" w:rsidP="00B05487">
            <w:pPr>
              <w:jc w:val="center"/>
              <w:rPr>
                <w:rFonts w:ascii="Arial Narrow" w:hAnsi="Arial Narrow"/>
                <w:sz w:val="20"/>
              </w:rPr>
            </w:pPr>
            <w:r w:rsidRPr="0085103C">
              <w:rPr>
                <w:rFonts w:ascii="Arial Narrow" w:hAnsi="Arial Narrow"/>
                <w:sz w:val="20"/>
              </w:rPr>
              <w:t>$3,119</w:t>
            </w:r>
          </w:p>
        </w:tc>
        <w:tc>
          <w:tcPr>
            <w:tcW w:w="663" w:type="pct"/>
            <w:tcBorders>
              <w:top w:val="single" w:sz="8" w:space="0" w:color="auto"/>
            </w:tcBorders>
            <w:vAlign w:val="center"/>
          </w:tcPr>
          <w:p w14:paraId="103C13BD" w14:textId="0582991C" w:rsidR="000F2663" w:rsidRDefault="000F2663" w:rsidP="00B05487">
            <w:pPr>
              <w:jc w:val="center"/>
              <w:rPr>
                <w:rFonts w:ascii="Arial Narrow" w:hAnsi="Arial Narrow"/>
                <w:sz w:val="20"/>
              </w:rPr>
            </w:pPr>
            <w:r>
              <w:rPr>
                <w:rFonts w:ascii="Arial Narrow" w:hAnsi="Arial Narrow"/>
                <w:sz w:val="20"/>
              </w:rPr>
              <w:t>0.</w:t>
            </w:r>
            <w:r w:rsidRPr="002805E0">
              <w:rPr>
                <w:rFonts w:ascii="Arial Narrow" w:hAnsi="Arial Narrow"/>
                <w:sz w:val="20"/>
              </w:rPr>
              <w:t>2452</w:t>
            </w:r>
            <w:r>
              <w:rPr>
                <w:rFonts w:ascii="Arial Narrow" w:hAnsi="Arial Narrow"/>
                <w:sz w:val="20"/>
              </w:rPr>
              <w:t xml:space="preserve"> × 0.982</w:t>
            </w:r>
          </w:p>
          <w:p w14:paraId="6BCDE112" w14:textId="77777777" w:rsidR="000F2663" w:rsidRPr="000257B6" w:rsidRDefault="000F2663" w:rsidP="00B05487">
            <w:pPr>
              <w:jc w:val="center"/>
              <w:rPr>
                <w:rFonts w:ascii="Arial Narrow" w:hAnsi="Arial Narrow"/>
                <w:sz w:val="20"/>
              </w:rPr>
            </w:pPr>
            <w:r>
              <w:rPr>
                <w:rFonts w:ascii="Arial Narrow" w:hAnsi="Arial Narrow"/>
                <w:sz w:val="20"/>
              </w:rPr>
              <w:t>= 0.2407864</w:t>
            </w:r>
          </w:p>
        </w:tc>
        <w:tc>
          <w:tcPr>
            <w:tcW w:w="662" w:type="pct"/>
            <w:tcBorders>
              <w:top w:val="single" w:sz="8" w:space="0" w:color="auto"/>
            </w:tcBorders>
            <w:vAlign w:val="center"/>
          </w:tcPr>
          <w:p w14:paraId="54405E35" w14:textId="77777777" w:rsidR="000F2663" w:rsidRDefault="000F2663" w:rsidP="00B05487">
            <w:pPr>
              <w:jc w:val="center"/>
              <w:rPr>
                <w:rFonts w:ascii="Arial Narrow" w:hAnsi="Arial Narrow"/>
                <w:sz w:val="20"/>
              </w:rPr>
            </w:pPr>
            <w:r>
              <w:rPr>
                <w:rFonts w:ascii="Arial Narrow" w:hAnsi="Arial Narrow"/>
                <w:sz w:val="20"/>
              </w:rPr>
              <w:t>0.240786 – 0.199838</w:t>
            </w:r>
          </w:p>
          <w:p w14:paraId="446AFC08" w14:textId="77777777" w:rsidR="000F2663" w:rsidRPr="00333167" w:rsidRDefault="000F2663" w:rsidP="00B05487">
            <w:pPr>
              <w:jc w:val="center"/>
              <w:rPr>
                <w:rFonts w:ascii="Arial Narrow" w:hAnsi="Arial Narrow"/>
                <w:sz w:val="20"/>
              </w:rPr>
            </w:pPr>
            <w:r>
              <w:rPr>
                <w:rFonts w:ascii="Arial Narrow" w:hAnsi="Arial Narrow"/>
                <w:sz w:val="20"/>
              </w:rPr>
              <w:t>= 0.0409484</w:t>
            </w:r>
          </w:p>
        </w:tc>
        <w:tc>
          <w:tcPr>
            <w:tcW w:w="626" w:type="pct"/>
            <w:tcBorders>
              <w:top w:val="single" w:sz="8" w:space="0" w:color="auto"/>
              <w:right w:val="single" w:sz="8" w:space="0" w:color="auto"/>
            </w:tcBorders>
            <w:vAlign w:val="center"/>
          </w:tcPr>
          <w:p w14:paraId="5753A482" w14:textId="77777777" w:rsidR="000F2663" w:rsidRDefault="000F2663" w:rsidP="00B05487">
            <w:pPr>
              <w:jc w:val="center"/>
              <w:rPr>
                <w:rFonts w:ascii="Arial Narrow" w:hAnsi="Arial Narrow"/>
                <w:sz w:val="20"/>
              </w:rPr>
            </w:pPr>
            <w:r>
              <w:rPr>
                <w:rFonts w:ascii="Arial Narrow" w:hAnsi="Arial Narrow"/>
                <w:sz w:val="20"/>
              </w:rPr>
              <w:t>$16 / 0.0409484</w:t>
            </w:r>
          </w:p>
          <w:p w14:paraId="3EDAF4C1" w14:textId="77777777" w:rsidR="000F2663" w:rsidRPr="00724058" w:rsidRDefault="000F2663" w:rsidP="00B05487">
            <w:pPr>
              <w:jc w:val="center"/>
              <w:rPr>
                <w:rFonts w:ascii="Arial Narrow" w:hAnsi="Arial Narrow"/>
                <w:sz w:val="20"/>
              </w:rPr>
            </w:pPr>
            <w:r>
              <w:rPr>
                <w:rFonts w:ascii="Arial Narrow" w:hAnsi="Arial Narrow"/>
                <w:sz w:val="20"/>
              </w:rPr>
              <w:t xml:space="preserve">= </w:t>
            </w:r>
            <w:r w:rsidRPr="00AC1611">
              <w:rPr>
                <w:rFonts w:ascii="Arial Narrow" w:hAnsi="Arial Narrow"/>
                <w:b/>
                <w:sz w:val="20"/>
              </w:rPr>
              <w:t>$</w:t>
            </w:r>
            <w:r>
              <w:rPr>
                <w:rFonts w:ascii="Arial Narrow" w:hAnsi="Arial Narrow"/>
                <w:b/>
                <w:sz w:val="20"/>
              </w:rPr>
              <w:t>391</w:t>
            </w:r>
          </w:p>
        </w:tc>
      </w:tr>
      <w:tr w:rsidR="000F2663" w:rsidRPr="00EB2900" w14:paraId="101D6036" w14:textId="77777777" w:rsidTr="000F2663">
        <w:trPr>
          <w:trHeight w:val="585"/>
        </w:trPr>
        <w:tc>
          <w:tcPr>
            <w:tcW w:w="759" w:type="pct"/>
            <w:tcBorders>
              <w:left w:val="single" w:sz="8" w:space="0" w:color="auto"/>
            </w:tcBorders>
            <w:vAlign w:val="center"/>
          </w:tcPr>
          <w:p w14:paraId="395E9F2A" w14:textId="77777777" w:rsidR="000F2663" w:rsidRDefault="000F2663" w:rsidP="00B05487">
            <w:pPr>
              <w:rPr>
                <w:rFonts w:ascii="Arial Narrow" w:hAnsi="Arial Narrow"/>
                <w:sz w:val="20"/>
              </w:rPr>
            </w:pPr>
            <w:r>
              <w:rPr>
                <w:rFonts w:ascii="Arial Narrow" w:hAnsi="Arial Narrow"/>
                <w:sz w:val="20"/>
              </w:rPr>
              <w:t>Sequencing after 14-variant panel</w:t>
            </w:r>
          </w:p>
        </w:tc>
        <w:tc>
          <w:tcPr>
            <w:tcW w:w="457" w:type="pct"/>
            <w:vAlign w:val="center"/>
          </w:tcPr>
          <w:p w14:paraId="7E0CF0A3" w14:textId="77777777" w:rsidR="000F2663" w:rsidRPr="00EB2900" w:rsidRDefault="000F2663" w:rsidP="00B05487">
            <w:pPr>
              <w:jc w:val="center"/>
              <w:rPr>
                <w:rFonts w:ascii="Arial Narrow" w:hAnsi="Arial Narrow"/>
                <w:sz w:val="20"/>
              </w:rPr>
            </w:pPr>
          </w:p>
        </w:tc>
        <w:tc>
          <w:tcPr>
            <w:tcW w:w="408" w:type="pct"/>
            <w:vAlign w:val="center"/>
          </w:tcPr>
          <w:p w14:paraId="51788A03" w14:textId="77777777" w:rsidR="000F2663" w:rsidRDefault="000F2663" w:rsidP="00B05487">
            <w:pPr>
              <w:jc w:val="center"/>
              <w:rPr>
                <w:rFonts w:ascii="Arial Narrow" w:hAnsi="Arial Narrow"/>
                <w:sz w:val="20"/>
              </w:rPr>
            </w:pPr>
            <w:r>
              <w:rPr>
                <w:rFonts w:ascii="Arial Narrow" w:hAnsi="Arial Narrow"/>
                <w:sz w:val="20"/>
              </w:rPr>
              <w:t>$209-$16</w:t>
            </w:r>
          </w:p>
          <w:p w14:paraId="1853650B" w14:textId="77777777" w:rsidR="000F2663" w:rsidRPr="00EB2900" w:rsidRDefault="000F2663" w:rsidP="00B05487">
            <w:pPr>
              <w:jc w:val="center"/>
              <w:rPr>
                <w:rFonts w:ascii="Arial Narrow" w:hAnsi="Arial Narrow"/>
                <w:sz w:val="20"/>
              </w:rPr>
            </w:pPr>
            <w:r>
              <w:rPr>
                <w:rFonts w:ascii="Arial Narrow" w:hAnsi="Arial Narrow"/>
                <w:sz w:val="20"/>
              </w:rPr>
              <w:t>= $193</w:t>
            </w:r>
          </w:p>
        </w:tc>
        <w:tc>
          <w:tcPr>
            <w:tcW w:w="458" w:type="pct"/>
            <w:vAlign w:val="center"/>
          </w:tcPr>
          <w:p w14:paraId="52580334" w14:textId="77777777" w:rsidR="000F2663" w:rsidRPr="00EB2900" w:rsidRDefault="000F2663" w:rsidP="00B05487">
            <w:pPr>
              <w:jc w:val="center"/>
              <w:rPr>
                <w:rFonts w:ascii="Arial Narrow" w:hAnsi="Arial Narrow"/>
                <w:sz w:val="20"/>
              </w:rPr>
            </w:pPr>
          </w:p>
        </w:tc>
        <w:tc>
          <w:tcPr>
            <w:tcW w:w="408" w:type="pct"/>
            <w:vAlign w:val="center"/>
          </w:tcPr>
          <w:p w14:paraId="157FC22D" w14:textId="77777777" w:rsidR="000F2663" w:rsidRPr="00EB2900" w:rsidRDefault="000F2663" w:rsidP="00B05487">
            <w:pPr>
              <w:jc w:val="center"/>
              <w:rPr>
                <w:rFonts w:ascii="Arial Narrow" w:hAnsi="Arial Narrow"/>
                <w:sz w:val="20"/>
              </w:rPr>
            </w:pPr>
          </w:p>
        </w:tc>
        <w:tc>
          <w:tcPr>
            <w:tcW w:w="559" w:type="pct"/>
            <w:tcBorders>
              <w:right w:val="single" w:sz="8" w:space="0" w:color="auto"/>
            </w:tcBorders>
            <w:vAlign w:val="center"/>
          </w:tcPr>
          <w:p w14:paraId="6148FB7B" w14:textId="77777777" w:rsidR="000F2663" w:rsidRPr="00EB2900" w:rsidRDefault="000F2663" w:rsidP="00B05487">
            <w:pPr>
              <w:jc w:val="center"/>
              <w:rPr>
                <w:rFonts w:ascii="Arial Narrow" w:hAnsi="Arial Narrow"/>
                <w:sz w:val="20"/>
              </w:rPr>
            </w:pPr>
          </w:p>
        </w:tc>
        <w:tc>
          <w:tcPr>
            <w:tcW w:w="663" w:type="pct"/>
            <w:tcBorders>
              <w:bottom w:val="single" w:sz="4" w:space="0" w:color="auto"/>
            </w:tcBorders>
            <w:vAlign w:val="center"/>
          </w:tcPr>
          <w:p w14:paraId="47E4944B" w14:textId="7E388A31" w:rsidR="000F2663" w:rsidRDefault="000F2663" w:rsidP="00B05487">
            <w:pPr>
              <w:jc w:val="center"/>
              <w:rPr>
                <w:rFonts w:ascii="Arial Narrow" w:hAnsi="Arial Narrow"/>
                <w:sz w:val="20"/>
              </w:rPr>
            </w:pPr>
            <w:r>
              <w:rPr>
                <w:rFonts w:ascii="Arial Narrow" w:hAnsi="Arial Narrow"/>
                <w:sz w:val="20"/>
              </w:rPr>
              <w:t>0.2452 – 0.2407864</w:t>
            </w:r>
          </w:p>
          <w:p w14:paraId="2719EFB1" w14:textId="77777777" w:rsidR="000F2663" w:rsidRPr="000257B6" w:rsidRDefault="000F2663" w:rsidP="00B05487">
            <w:pPr>
              <w:jc w:val="center"/>
              <w:rPr>
                <w:rFonts w:ascii="Arial Narrow" w:hAnsi="Arial Narrow"/>
                <w:sz w:val="20"/>
              </w:rPr>
            </w:pPr>
            <w:r>
              <w:rPr>
                <w:rFonts w:ascii="Arial Narrow" w:hAnsi="Arial Narrow"/>
                <w:sz w:val="20"/>
              </w:rPr>
              <w:t>= 0.0044136</w:t>
            </w:r>
          </w:p>
        </w:tc>
        <w:tc>
          <w:tcPr>
            <w:tcW w:w="662" w:type="pct"/>
            <w:vAlign w:val="center"/>
          </w:tcPr>
          <w:p w14:paraId="290D291A" w14:textId="77777777" w:rsidR="000F2663" w:rsidRPr="00333167" w:rsidRDefault="000F2663" w:rsidP="00B05487">
            <w:pPr>
              <w:jc w:val="center"/>
              <w:rPr>
                <w:rFonts w:ascii="Arial Narrow" w:hAnsi="Arial Narrow"/>
                <w:sz w:val="20"/>
              </w:rPr>
            </w:pPr>
            <w:r>
              <w:rPr>
                <w:rFonts w:ascii="Arial Narrow" w:hAnsi="Arial Narrow"/>
                <w:sz w:val="20"/>
              </w:rPr>
              <w:t>0.0044136</w:t>
            </w:r>
          </w:p>
        </w:tc>
        <w:tc>
          <w:tcPr>
            <w:tcW w:w="626" w:type="pct"/>
            <w:tcBorders>
              <w:right w:val="single" w:sz="8" w:space="0" w:color="auto"/>
            </w:tcBorders>
            <w:vAlign w:val="center"/>
          </w:tcPr>
          <w:p w14:paraId="78EE8F14" w14:textId="77777777" w:rsidR="000F2663" w:rsidRDefault="000F2663" w:rsidP="00B05487">
            <w:pPr>
              <w:jc w:val="center"/>
              <w:rPr>
                <w:rFonts w:ascii="Arial Narrow" w:hAnsi="Arial Narrow"/>
                <w:sz w:val="20"/>
              </w:rPr>
            </w:pPr>
            <w:r>
              <w:rPr>
                <w:rFonts w:ascii="Arial Narrow" w:hAnsi="Arial Narrow"/>
                <w:sz w:val="20"/>
              </w:rPr>
              <w:t>$193 / 0.0044136</w:t>
            </w:r>
          </w:p>
          <w:p w14:paraId="72F3DACA" w14:textId="77777777" w:rsidR="000F2663" w:rsidRDefault="000F2663" w:rsidP="00B05487">
            <w:pPr>
              <w:jc w:val="center"/>
              <w:rPr>
                <w:rFonts w:ascii="Arial Narrow" w:hAnsi="Arial Narrow"/>
                <w:sz w:val="20"/>
              </w:rPr>
            </w:pPr>
            <w:r>
              <w:rPr>
                <w:rFonts w:ascii="Arial Narrow" w:hAnsi="Arial Narrow"/>
                <w:sz w:val="20"/>
              </w:rPr>
              <w:t xml:space="preserve">= </w:t>
            </w:r>
            <w:r w:rsidRPr="00AC1611">
              <w:rPr>
                <w:rFonts w:ascii="Arial Narrow" w:hAnsi="Arial Narrow"/>
                <w:b/>
                <w:sz w:val="20"/>
              </w:rPr>
              <w:t>$</w:t>
            </w:r>
            <w:r>
              <w:rPr>
                <w:rFonts w:ascii="Arial Narrow" w:hAnsi="Arial Narrow"/>
                <w:b/>
                <w:sz w:val="20"/>
              </w:rPr>
              <w:t>43,728</w:t>
            </w:r>
          </w:p>
        </w:tc>
      </w:tr>
      <w:tr w:rsidR="000F2663" w:rsidRPr="00EB2900" w14:paraId="3E92AA86" w14:textId="77777777" w:rsidTr="000F2663">
        <w:trPr>
          <w:trHeight w:val="585"/>
        </w:trPr>
        <w:tc>
          <w:tcPr>
            <w:tcW w:w="759" w:type="pct"/>
            <w:tcBorders>
              <w:left w:val="single" w:sz="8" w:space="0" w:color="auto"/>
            </w:tcBorders>
            <w:vAlign w:val="center"/>
          </w:tcPr>
          <w:p w14:paraId="5200AF96" w14:textId="77777777" w:rsidR="000F2663" w:rsidRPr="00EB2900" w:rsidRDefault="000F2663" w:rsidP="00B05487">
            <w:pPr>
              <w:rPr>
                <w:rFonts w:ascii="Arial Narrow" w:hAnsi="Arial Narrow"/>
                <w:sz w:val="20"/>
              </w:rPr>
            </w:pPr>
            <w:r>
              <w:rPr>
                <w:rFonts w:ascii="Arial Narrow" w:hAnsi="Arial Narrow"/>
                <w:sz w:val="20"/>
              </w:rPr>
              <w:t>14-variant panel ± sequencing (</w:t>
            </w:r>
            <w:r w:rsidRPr="00D6591C">
              <w:rPr>
                <w:rFonts w:ascii="Arial Narrow" w:hAnsi="Arial Narrow"/>
                <w:b/>
                <w:sz w:val="20"/>
              </w:rPr>
              <w:t>base case</w:t>
            </w:r>
            <w:r>
              <w:rPr>
                <w:rFonts w:ascii="Arial Narrow" w:hAnsi="Arial Narrow"/>
                <w:sz w:val="20"/>
              </w:rPr>
              <w:t>)</w:t>
            </w:r>
          </w:p>
        </w:tc>
        <w:tc>
          <w:tcPr>
            <w:tcW w:w="457" w:type="pct"/>
            <w:vAlign w:val="center"/>
          </w:tcPr>
          <w:p w14:paraId="7F5D01A1" w14:textId="77777777" w:rsidR="000F2663" w:rsidRPr="00EB2900" w:rsidRDefault="000F2663" w:rsidP="00B05487">
            <w:pPr>
              <w:jc w:val="center"/>
              <w:rPr>
                <w:rFonts w:ascii="Arial Narrow" w:hAnsi="Arial Narrow"/>
                <w:sz w:val="20"/>
              </w:rPr>
            </w:pPr>
            <w:r w:rsidRPr="00EB2900">
              <w:rPr>
                <w:rFonts w:ascii="Arial Narrow" w:hAnsi="Arial Narrow"/>
                <w:sz w:val="20"/>
              </w:rPr>
              <w:t>$17,526</w:t>
            </w:r>
          </w:p>
        </w:tc>
        <w:tc>
          <w:tcPr>
            <w:tcW w:w="408" w:type="pct"/>
            <w:vAlign w:val="center"/>
          </w:tcPr>
          <w:p w14:paraId="2E146C29" w14:textId="77777777" w:rsidR="000F2663" w:rsidRPr="00EB2900" w:rsidRDefault="000F2663" w:rsidP="00B05487">
            <w:pPr>
              <w:jc w:val="center"/>
              <w:rPr>
                <w:rFonts w:ascii="Arial Narrow" w:hAnsi="Arial Narrow"/>
                <w:sz w:val="20"/>
              </w:rPr>
            </w:pPr>
            <w:r w:rsidRPr="00EB2900">
              <w:rPr>
                <w:rFonts w:ascii="Arial Narrow" w:hAnsi="Arial Narrow"/>
                <w:sz w:val="20"/>
              </w:rPr>
              <w:t>$209</w:t>
            </w:r>
          </w:p>
        </w:tc>
        <w:tc>
          <w:tcPr>
            <w:tcW w:w="458" w:type="pct"/>
            <w:vAlign w:val="center"/>
          </w:tcPr>
          <w:p w14:paraId="60861F4F" w14:textId="77777777" w:rsidR="000F2663" w:rsidRPr="00EB2900" w:rsidRDefault="000F2663" w:rsidP="00B05487">
            <w:pPr>
              <w:jc w:val="center"/>
              <w:rPr>
                <w:rFonts w:ascii="Arial Narrow" w:hAnsi="Arial Narrow"/>
                <w:sz w:val="20"/>
              </w:rPr>
            </w:pPr>
            <w:r w:rsidRPr="00EB2900">
              <w:rPr>
                <w:rFonts w:ascii="Arial Narrow" w:hAnsi="Arial Narrow"/>
                <w:sz w:val="20"/>
              </w:rPr>
              <w:t>23.04</w:t>
            </w:r>
          </w:p>
        </w:tc>
        <w:tc>
          <w:tcPr>
            <w:tcW w:w="408" w:type="pct"/>
            <w:vAlign w:val="center"/>
          </w:tcPr>
          <w:p w14:paraId="146BFF4E" w14:textId="77777777" w:rsidR="000F2663" w:rsidRPr="00EB2900" w:rsidRDefault="000F2663" w:rsidP="00B05487">
            <w:pPr>
              <w:jc w:val="center"/>
              <w:rPr>
                <w:rFonts w:ascii="Arial Narrow" w:hAnsi="Arial Narrow"/>
                <w:sz w:val="20"/>
              </w:rPr>
            </w:pPr>
            <w:r w:rsidRPr="00EB2900">
              <w:rPr>
                <w:rFonts w:ascii="Arial Narrow" w:hAnsi="Arial Narrow"/>
                <w:sz w:val="20"/>
              </w:rPr>
              <w:t>0.01</w:t>
            </w:r>
          </w:p>
        </w:tc>
        <w:tc>
          <w:tcPr>
            <w:tcW w:w="559" w:type="pct"/>
            <w:tcBorders>
              <w:right w:val="single" w:sz="8" w:space="0" w:color="auto"/>
            </w:tcBorders>
            <w:vAlign w:val="center"/>
          </w:tcPr>
          <w:p w14:paraId="0E2E1281" w14:textId="77777777" w:rsidR="000F2663" w:rsidRPr="00EB2900" w:rsidRDefault="000F2663" w:rsidP="00B05487">
            <w:pPr>
              <w:jc w:val="center"/>
              <w:rPr>
                <w:rFonts w:ascii="Arial Narrow" w:hAnsi="Arial Narrow"/>
                <w:sz w:val="20"/>
              </w:rPr>
            </w:pPr>
            <w:r w:rsidRPr="00EB2900">
              <w:rPr>
                <w:rFonts w:ascii="Arial Narrow" w:hAnsi="Arial Narrow"/>
                <w:sz w:val="20"/>
              </w:rPr>
              <w:t>$35,756</w:t>
            </w:r>
          </w:p>
        </w:tc>
        <w:tc>
          <w:tcPr>
            <w:tcW w:w="663" w:type="pct"/>
            <w:tcBorders>
              <w:bottom w:val="single" w:sz="4" w:space="0" w:color="auto"/>
            </w:tcBorders>
            <w:vAlign w:val="center"/>
          </w:tcPr>
          <w:p w14:paraId="18889710" w14:textId="5A1A7924" w:rsidR="000F2663" w:rsidRPr="000257B6" w:rsidRDefault="000F2663" w:rsidP="00B05487">
            <w:pPr>
              <w:jc w:val="center"/>
              <w:rPr>
                <w:rFonts w:ascii="Arial Narrow" w:hAnsi="Arial Narrow"/>
                <w:sz w:val="20"/>
              </w:rPr>
            </w:pPr>
            <w:r>
              <w:rPr>
                <w:rFonts w:ascii="Arial Narrow" w:hAnsi="Arial Narrow"/>
                <w:sz w:val="20"/>
              </w:rPr>
              <w:t>0.2452</w:t>
            </w:r>
          </w:p>
        </w:tc>
        <w:tc>
          <w:tcPr>
            <w:tcW w:w="662" w:type="pct"/>
            <w:vAlign w:val="center"/>
          </w:tcPr>
          <w:p w14:paraId="4B17FD21" w14:textId="77777777" w:rsidR="000F2663" w:rsidRDefault="000F2663" w:rsidP="00B05487">
            <w:pPr>
              <w:jc w:val="center"/>
              <w:rPr>
                <w:rFonts w:ascii="Arial Narrow" w:hAnsi="Arial Narrow"/>
                <w:sz w:val="20"/>
              </w:rPr>
            </w:pPr>
            <w:r>
              <w:rPr>
                <w:rFonts w:ascii="Arial Narrow" w:hAnsi="Arial Narrow"/>
                <w:sz w:val="20"/>
              </w:rPr>
              <w:t>0.2452 – 0.199838</w:t>
            </w:r>
          </w:p>
          <w:p w14:paraId="7256BD4B" w14:textId="77777777" w:rsidR="000F2663" w:rsidRPr="00333167" w:rsidRDefault="000F2663" w:rsidP="00B05487">
            <w:pPr>
              <w:jc w:val="center"/>
              <w:rPr>
                <w:rFonts w:ascii="Arial Narrow" w:hAnsi="Arial Narrow"/>
                <w:sz w:val="20"/>
              </w:rPr>
            </w:pPr>
            <w:r>
              <w:rPr>
                <w:rFonts w:ascii="Arial Narrow" w:hAnsi="Arial Narrow"/>
                <w:sz w:val="20"/>
              </w:rPr>
              <w:t>= 0.045362</w:t>
            </w:r>
          </w:p>
        </w:tc>
        <w:tc>
          <w:tcPr>
            <w:tcW w:w="626" w:type="pct"/>
            <w:tcBorders>
              <w:right w:val="single" w:sz="8" w:space="0" w:color="auto"/>
            </w:tcBorders>
            <w:vAlign w:val="center"/>
          </w:tcPr>
          <w:p w14:paraId="04A8CC14" w14:textId="77777777" w:rsidR="000F2663" w:rsidRDefault="000F2663" w:rsidP="00B05487">
            <w:pPr>
              <w:jc w:val="center"/>
              <w:rPr>
                <w:rFonts w:ascii="Arial Narrow" w:hAnsi="Arial Narrow"/>
                <w:sz w:val="20"/>
              </w:rPr>
            </w:pPr>
            <w:r>
              <w:rPr>
                <w:rFonts w:ascii="Arial Narrow" w:hAnsi="Arial Narrow"/>
                <w:sz w:val="20"/>
              </w:rPr>
              <w:t>$209 / 0.045362</w:t>
            </w:r>
          </w:p>
          <w:p w14:paraId="5AA9C90C" w14:textId="77777777" w:rsidR="000F2663" w:rsidRPr="00724058" w:rsidRDefault="000F2663" w:rsidP="00B05487">
            <w:pPr>
              <w:jc w:val="center"/>
              <w:rPr>
                <w:rFonts w:ascii="Arial Narrow" w:hAnsi="Arial Narrow"/>
                <w:sz w:val="20"/>
              </w:rPr>
            </w:pPr>
            <w:r>
              <w:rPr>
                <w:rFonts w:ascii="Arial Narrow" w:hAnsi="Arial Narrow"/>
                <w:sz w:val="20"/>
              </w:rPr>
              <w:t xml:space="preserve">= </w:t>
            </w:r>
            <w:r w:rsidRPr="00AC1611">
              <w:rPr>
                <w:rFonts w:ascii="Arial Narrow" w:hAnsi="Arial Narrow"/>
                <w:b/>
                <w:sz w:val="20"/>
              </w:rPr>
              <w:t>$</w:t>
            </w:r>
            <w:r>
              <w:rPr>
                <w:rFonts w:ascii="Arial Narrow" w:hAnsi="Arial Narrow"/>
                <w:b/>
                <w:sz w:val="20"/>
              </w:rPr>
              <w:t>4,607</w:t>
            </w:r>
          </w:p>
        </w:tc>
      </w:tr>
      <w:tr w:rsidR="000F2663" w:rsidRPr="00EB2900" w14:paraId="72562C64" w14:textId="77777777" w:rsidTr="000F2663">
        <w:trPr>
          <w:trHeight w:val="585"/>
        </w:trPr>
        <w:tc>
          <w:tcPr>
            <w:tcW w:w="759" w:type="pct"/>
            <w:tcBorders>
              <w:top w:val="single" w:sz="8" w:space="0" w:color="auto"/>
              <w:left w:val="single" w:sz="8" w:space="0" w:color="auto"/>
            </w:tcBorders>
            <w:vAlign w:val="center"/>
          </w:tcPr>
          <w:p w14:paraId="1BA4B65E" w14:textId="77777777" w:rsidR="000F2663" w:rsidRPr="00BC7871" w:rsidRDefault="000F2663" w:rsidP="00B05487">
            <w:pPr>
              <w:rPr>
                <w:rFonts w:ascii="Arial Narrow" w:hAnsi="Arial Narrow"/>
                <w:b/>
                <w:bCs/>
                <w:sz w:val="20"/>
              </w:rPr>
            </w:pPr>
            <w:r w:rsidRPr="00BC7871">
              <w:rPr>
                <w:rFonts w:ascii="Arial Narrow" w:hAnsi="Arial Narrow"/>
                <w:sz w:val="20"/>
              </w:rPr>
              <w:t>2-</w:t>
            </w:r>
            <w:r>
              <w:rPr>
                <w:rFonts w:ascii="Arial Narrow" w:hAnsi="Arial Narrow"/>
                <w:sz w:val="20"/>
              </w:rPr>
              <w:t xml:space="preserve">variant </w:t>
            </w:r>
            <w:r w:rsidRPr="00BC7871">
              <w:rPr>
                <w:rFonts w:ascii="Arial Narrow" w:hAnsi="Arial Narrow"/>
                <w:sz w:val="20"/>
              </w:rPr>
              <w:t>panel alone</w:t>
            </w:r>
          </w:p>
        </w:tc>
        <w:tc>
          <w:tcPr>
            <w:tcW w:w="457" w:type="pct"/>
            <w:tcBorders>
              <w:top w:val="single" w:sz="8" w:space="0" w:color="auto"/>
            </w:tcBorders>
            <w:vAlign w:val="center"/>
          </w:tcPr>
          <w:p w14:paraId="18F4E5E7" w14:textId="77777777" w:rsidR="000F2663" w:rsidRPr="00BC7871" w:rsidRDefault="000F2663" w:rsidP="00B05487">
            <w:pPr>
              <w:jc w:val="center"/>
              <w:rPr>
                <w:rFonts w:ascii="Arial Narrow" w:hAnsi="Arial Narrow"/>
                <w:b/>
                <w:bCs/>
                <w:sz w:val="20"/>
              </w:rPr>
            </w:pPr>
            <w:r w:rsidRPr="00BC7871">
              <w:rPr>
                <w:rFonts w:ascii="Arial Narrow" w:hAnsi="Arial Narrow" w:cs="Calibri"/>
                <w:color w:val="000000"/>
                <w:sz w:val="20"/>
              </w:rPr>
              <w:t>$17,352</w:t>
            </w:r>
          </w:p>
        </w:tc>
        <w:tc>
          <w:tcPr>
            <w:tcW w:w="408" w:type="pct"/>
            <w:tcBorders>
              <w:top w:val="single" w:sz="8" w:space="0" w:color="auto"/>
            </w:tcBorders>
            <w:vAlign w:val="center"/>
          </w:tcPr>
          <w:p w14:paraId="062499C6" w14:textId="77777777" w:rsidR="000F2663" w:rsidRPr="00BC7871" w:rsidRDefault="000F2663" w:rsidP="00B05487">
            <w:pPr>
              <w:jc w:val="center"/>
              <w:rPr>
                <w:rFonts w:ascii="Arial Narrow" w:hAnsi="Arial Narrow"/>
                <w:b/>
                <w:bCs/>
                <w:sz w:val="20"/>
              </w:rPr>
            </w:pPr>
            <w:r w:rsidRPr="00BC7871">
              <w:rPr>
                <w:rFonts w:ascii="Arial Narrow" w:hAnsi="Arial Narrow" w:cs="Calibri"/>
                <w:color w:val="000000"/>
                <w:sz w:val="20"/>
              </w:rPr>
              <w:t>$36</w:t>
            </w:r>
          </w:p>
        </w:tc>
        <w:tc>
          <w:tcPr>
            <w:tcW w:w="458" w:type="pct"/>
            <w:tcBorders>
              <w:top w:val="single" w:sz="8" w:space="0" w:color="auto"/>
            </w:tcBorders>
            <w:vAlign w:val="center"/>
          </w:tcPr>
          <w:p w14:paraId="452C0603" w14:textId="77777777" w:rsidR="000F2663" w:rsidRPr="00BC7871" w:rsidRDefault="000F2663" w:rsidP="00B05487">
            <w:pPr>
              <w:jc w:val="center"/>
              <w:rPr>
                <w:rFonts w:ascii="Arial Narrow" w:hAnsi="Arial Narrow"/>
                <w:b/>
                <w:bCs/>
                <w:sz w:val="20"/>
              </w:rPr>
            </w:pPr>
            <w:r w:rsidRPr="00BC7871">
              <w:rPr>
                <w:rFonts w:ascii="Arial Narrow" w:hAnsi="Arial Narrow" w:cs="Calibri"/>
                <w:color w:val="000000"/>
                <w:sz w:val="20"/>
              </w:rPr>
              <w:t>23.03</w:t>
            </w:r>
          </w:p>
        </w:tc>
        <w:tc>
          <w:tcPr>
            <w:tcW w:w="408" w:type="pct"/>
            <w:tcBorders>
              <w:top w:val="single" w:sz="8" w:space="0" w:color="auto"/>
            </w:tcBorders>
            <w:vAlign w:val="center"/>
          </w:tcPr>
          <w:p w14:paraId="44EF8D10" w14:textId="77777777" w:rsidR="000F2663" w:rsidRPr="00BC7871" w:rsidRDefault="000F2663" w:rsidP="00B05487">
            <w:pPr>
              <w:jc w:val="center"/>
              <w:rPr>
                <w:rFonts w:ascii="Arial Narrow" w:hAnsi="Arial Narrow"/>
                <w:b/>
                <w:bCs/>
                <w:sz w:val="20"/>
              </w:rPr>
            </w:pPr>
            <w:r w:rsidRPr="00BC7871">
              <w:rPr>
                <w:rFonts w:ascii="Arial Narrow" w:hAnsi="Arial Narrow" w:cs="Calibri"/>
                <w:color w:val="000000"/>
                <w:sz w:val="20"/>
              </w:rPr>
              <w:t>0.00</w:t>
            </w:r>
          </w:p>
        </w:tc>
        <w:tc>
          <w:tcPr>
            <w:tcW w:w="559" w:type="pct"/>
            <w:tcBorders>
              <w:top w:val="single" w:sz="8" w:space="0" w:color="auto"/>
              <w:right w:val="single" w:sz="8" w:space="0" w:color="auto"/>
            </w:tcBorders>
            <w:vAlign w:val="center"/>
          </w:tcPr>
          <w:p w14:paraId="35036ED6" w14:textId="77777777" w:rsidR="000F2663" w:rsidRPr="00BC7871" w:rsidRDefault="000F2663" w:rsidP="00B05487">
            <w:pPr>
              <w:rPr>
                <w:rFonts w:ascii="Arial Narrow" w:hAnsi="Arial Narrow"/>
                <w:sz w:val="20"/>
              </w:rPr>
            </w:pPr>
            <w:r w:rsidRPr="00BC7871">
              <w:rPr>
                <w:rFonts w:ascii="Arial Narrow" w:hAnsi="Arial Narrow"/>
                <w:sz w:val="20"/>
              </w:rPr>
              <w:t>Cost increase with no improvement in effectiveness</w:t>
            </w:r>
          </w:p>
        </w:tc>
        <w:tc>
          <w:tcPr>
            <w:tcW w:w="663" w:type="pct"/>
            <w:tcBorders>
              <w:top w:val="single" w:sz="8" w:space="0" w:color="auto"/>
            </w:tcBorders>
            <w:vAlign w:val="center"/>
          </w:tcPr>
          <w:p w14:paraId="5FBFE148" w14:textId="3847C2DA" w:rsidR="000F2663" w:rsidRDefault="000F2663" w:rsidP="00B05487">
            <w:pPr>
              <w:jc w:val="center"/>
              <w:rPr>
                <w:rFonts w:ascii="Arial Narrow" w:hAnsi="Arial Narrow"/>
                <w:sz w:val="20"/>
              </w:rPr>
            </w:pPr>
            <w:r>
              <w:rPr>
                <w:rFonts w:ascii="Arial Narrow" w:hAnsi="Arial Narrow"/>
                <w:sz w:val="20"/>
              </w:rPr>
              <w:t>0.2452</w:t>
            </w:r>
            <w:r w:rsidRPr="002805E0">
              <w:rPr>
                <w:rFonts w:ascii="Arial Narrow" w:hAnsi="Arial Narrow"/>
                <w:sz w:val="20"/>
              </w:rPr>
              <w:t xml:space="preserve"> </w:t>
            </w:r>
            <w:r>
              <w:rPr>
                <w:rFonts w:ascii="Arial Narrow" w:hAnsi="Arial Narrow"/>
                <w:sz w:val="20"/>
              </w:rPr>
              <w:t>× 0.815</w:t>
            </w:r>
          </w:p>
          <w:p w14:paraId="5F326351" w14:textId="77777777" w:rsidR="000F2663" w:rsidRPr="000257B6" w:rsidRDefault="000F2663" w:rsidP="00B05487">
            <w:pPr>
              <w:jc w:val="center"/>
              <w:rPr>
                <w:rFonts w:ascii="Arial Narrow" w:hAnsi="Arial Narrow"/>
                <w:sz w:val="20"/>
              </w:rPr>
            </w:pPr>
            <w:r>
              <w:rPr>
                <w:rFonts w:ascii="Arial Narrow" w:hAnsi="Arial Narrow"/>
                <w:sz w:val="20"/>
              </w:rPr>
              <w:t>= 0.199838</w:t>
            </w:r>
          </w:p>
        </w:tc>
        <w:tc>
          <w:tcPr>
            <w:tcW w:w="662" w:type="pct"/>
            <w:tcBorders>
              <w:top w:val="single" w:sz="8" w:space="0" w:color="auto"/>
            </w:tcBorders>
            <w:vAlign w:val="center"/>
          </w:tcPr>
          <w:p w14:paraId="2B19044D" w14:textId="15C548FA" w:rsidR="000F2663" w:rsidRDefault="000F2663" w:rsidP="00B05487">
            <w:pPr>
              <w:jc w:val="center"/>
              <w:rPr>
                <w:rFonts w:ascii="Arial Narrow" w:hAnsi="Arial Narrow"/>
                <w:sz w:val="20"/>
              </w:rPr>
            </w:pPr>
            <w:r>
              <w:rPr>
                <w:rFonts w:ascii="Arial Narrow" w:hAnsi="Arial Narrow"/>
                <w:sz w:val="20"/>
              </w:rPr>
              <w:t>0.19</w:t>
            </w:r>
            <w:r w:rsidR="00647959">
              <w:rPr>
                <w:rFonts w:ascii="Arial Narrow" w:hAnsi="Arial Narrow"/>
                <w:sz w:val="20"/>
              </w:rPr>
              <w:t>9</w:t>
            </w:r>
            <w:r>
              <w:rPr>
                <w:rFonts w:ascii="Arial Narrow" w:hAnsi="Arial Narrow"/>
                <w:sz w:val="20"/>
              </w:rPr>
              <w:t>838 – 0.199838</w:t>
            </w:r>
          </w:p>
          <w:p w14:paraId="79C6CAB2" w14:textId="77777777" w:rsidR="000F2663" w:rsidRPr="00333167" w:rsidRDefault="000F2663" w:rsidP="00B05487">
            <w:pPr>
              <w:jc w:val="center"/>
              <w:rPr>
                <w:rFonts w:ascii="Arial Narrow" w:hAnsi="Arial Narrow"/>
                <w:sz w:val="20"/>
              </w:rPr>
            </w:pPr>
            <w:r>
              <w:rPr>
                <w:rFonts w:ascii="Arial Narrow" w:hAnsi="Arial Narrow"/>
                <w:sz w:val="20"/>
              </w:rPr>
              <w:t>= 0</w:t>
            </w:r>
          </w:p>
        </w:tc>
        <w:tc>
          <w:tcPr>
            <w:tcW w:w="626" w:type="pct"/>
            <w:tcBorders>
              <w:top w:val="single" w:sz="8" w:space="0" w:color="auto"/>
              <w:right w:val="single" w:sz="8" w:space="0" w:color="auto"/>
            </w:tcBorders>
            <w:vAlign w:val="center"/>
          </w:tcPr>
          <w:p w14:paraId="5A5B0EDD" w14:textId="77777777" w:rsidR="000F2663" w:rsidRPr="00724058" w:rsidRDefault="000F2663" w:rsidP="00B05487">
            <w:pPr>
              <w:jc w:val="center"/>
              <w:rPr>
                <w:rFonts w:ascii="Arial Narrow" w:hAnsi="Arial Narrow"/>
                <w:sz w:val="20"/>
              </w:rPr>
            </w:pPr>
            <w:r>
              <w:rPr>
                <w:rFonts w:ascii="Arial Narrow" w:hAnsi="Arial Narrow"/>
                <w:sz w:val="20"/>
              </w:rPr>
              <w:t>Undefined</w:t>
            </w:r>
          </w:p>
        </w:tc>
      </w:tr>
      <w:tr w:rsidR="000F2663" w:rsidRPr="00EB2900" w14:paraId="61CD3A61" w14:textId="77777777" w:rsidTr="000F2663">
        <w:trPr>
          <w:trHeight w:val="585"/>
        </w:trPr>
        <w:tc>
          <w:tcPr>
            <w:tcW w:w="759" w:type="pct"/>
            <w:tcBorders>
              <w:left w:val="single" w:sz="8" w:space="0" w:color="auto"/>
            </w:tcBorders>
            <w:vAlign w:val="center"/>
          </w:tcPr>
          <w:p w14:paraId="6EF1FF0C" w14:textId="77777777" w:rsidR="000F2663" w:rsidRDefault="000F2663" w:rsidP="00B05487">
            <w:pPr>
              <w:rPr>
                <w:rFonts w:ascii="Arial Narrow" w:hAnsi="Arial Narrow"/>
                <w:sz w:val="20"/>
              </w:rPr>
            </w:pPr>
            <w:r>
              <w:rPr>
                <w:rFonts w:ascii="Arial Narrow" w:hAnsi="Arial Narrow"/>
                <w:sz w:val="20"/>
              </w:rPr>
              <w:t>Sequencing after 2-variant panel</w:t>
            </w:r>
          </w:p>
        </w:tc>
        <w:tc>
          <w:tcPr>
            <w:tcW w:w="457" w:type="pct"/>
            <w:vAlign w:val="center"/>
          </w:tcPr>
          <w:p w14:paraId="54D25FFA" w14:textId="77777777" w:rsidR="000F2663" w:rsidRPr="00EB2900" w:rsidRDefault="000F2663" w:rsidP="00B05487">
            <w:pPr>
              <w:jc w:val="center"/>
              <w:rPr>
                <w:rFonts w:ascii="Arial Narrow" w:hAnsi="Arial Narrow"/>
                <w:sz w:val="20"/>
              </w:rPr>
            </w:pPr>
          </w:p>
        </w:tc>
        <w:tc>
          <w:tcPr>
            <w:tcW w:w="408" w:type="pct"/>
            <w:vAlign w:val="center"/>
          </w:tcPr>
          <w:p w14:paraId="25B8D3F6" w14:textId="77777777" w:rsidR="000F2663" w:rsidRDefault="000F2663" w:rsidP="00B05487">
            <w:pPr>
              <w:jc w:val="center"/>
              <w:rPr>
                <w:rFonts w:ascii="Arial Narrow" w:hAnsi="Arial Narrow"/>
                <w:sz w:val="20"/>
              </w:rPr>
            </w:pPr>
            <w:r>
              <w:rPr>
                <w:rFonts w:ascii="Arial Narrow" w:hAnsi="Arial Narrow"/>
                <w:sz w:val="20"/>
              </w:rPr>
              <w:t>$198-$36</w:t>
            </w:r>
          </w:p>
          <w:p w14:paraId="3EA84B8D" w14:textId="77777777" w:rsidR="000F2663" w:rsidRPr="00EB2900" w:rsidRDefault="000F2663" w:rsidP="00B05487">
            <w:pPr>
              <w:jc w:val="center"/>
              <w:rPr>
                <w:rFonts w:ascii="Arial Narrow" w:hAnsi="Arial Narrow"/>
                <w:sz w:val="20"/>
              </w:rPr>
            </w:pPr>
            <w:r>
              <w:rPr>
                <w:rFonts w:ascii="Arial Narrow" w:hAnsi="Arial Narrow"/>
                <w:sz w:val="20"/>
              </w:rPr>
              <w:t>= $162</w:t>
            </w:r>
          </w:p>
        </w:tc>
        <w:tc>
          <w:tcPr>
            <w:tcW w:w="458" w:type="pct"/>
            <w:vAlign w:val="center"/>
          </w:tcPr>
          <w:p w14:paraId="59672920" w14:textId="77777777" w:rsidR="000F2663" w:rsidRPr="00EB2900" w:rsidRDefault="000F2663" w:rsidP="00B05487">
            <w:pPr>
              <w:jc w:val="center"/>
              <w:rPr>
                <w:rFonts w:ascii="Arial Narrow" w:hAnsi="Arial Narrow"/>
                <w:sz w:val="20"/>
              </w:rPr>
            </w:pPr>
          </w:p>
        </w:tc>
        <w:tc>
          <w:tcPr>
            <w:tcW w:w="408" w:type="pct"/>
            <w:vAlign w:val="center"/>
          </w:tcPr>
          <w:p w14:paraId="65A1A6B6" w14:textId="77777777" w:rsidR="000F2663" w:rsidRPr="00EB2900" w:rsidRDefault="000F2663" w:rsidP="00B05487">
            <w:pPr>
              <w:jc w:val="center"/>
              <w:rPr>
                <w:rFonts w:ascii="Arial Narrow" w:hAnsi="Arial Narrow"/>
                <w:sz w:val="20"/>
              </w:rPr>
            </w:pPr>
          </w:p>
        </w:tc>
        <w:tc>
          <w:tcPr>
            <w:tcW w:w="559" w:type="pct"/>
            <w:tcBorders>
              <w:right w:val="single" w:sz="8" w:space="0" w:color="auto"/>
            </w:tcBorders>
            <w:vAlign w:val="center"/>
          </w:tcPr>
          <w:p w14:paraId="05857826" w14:textId="77777777" w:rsidR="000F2663" w:rsidRPr="00EB2900" w:rsidRDefault="000F2663" w:rsidP="00B05487">
            <w:pPr>
              <w:jc w:val="center"/>
              <w:rPr>
                <w:rFonts w:ascii="Arial Narrow" w:hAnsi="Arial Narrow"/>
                <w:sz w:val="20"/>
              </w:rPr>
            </w:pPr>
          </w:p>
        </w:tc>
        <w:tc>
          <w:tcPr>
            <w:tcW w:w="663" w:type="pct"/>
            <w:tcBorders>
              <w:bottom w:val="single" w:sz="4" w:space="0" w:color="auto"/>
            </w:tcBorders>
            <w:vAlign w:val="center"/>
          </w:tcPr>
          <w:p w14:paraId="6C5F1016" w14:textId="340B003C" w:rsidR="000F2663" w:rsidRDefault="000F2663" w:rsidP="00B05487">
            <w:pPr>
              <w:jc w:val="center"/>
              <w:rPr>
                <w:rFonts w:ascii="Arial Narrow" w:hAnsi="Arial Narrow"/>
                <w:sz w:val="20"/>
              </w:rPr>
            </w:pPr>
            <w:r>
              <w:rPr>
                <w:rFonts w:ascii="Arial Narrow" w:hAnsi="Arial Narrow"/>
                <w:sz w:val="20"/>
              </w:rPr>
              <w:t>0.2452 – 0.199838</w:t>
            </w:r>
          </w:p>
          <w:p w14:paraId="15F9045F" w14:textId="77777777" w:rsidR="000F2663" w:rsidRPr="000257B6" w:rsidRDefault="000F2663" w:rsidP="00B05487">
            <w:pPr>
              <w:jc w:val="center"/>
              <w:rPr>
                <w:rFonts w:ascii="Arial Narrow" w:hAnsi="Arial Narrow"/>
                <w:sz w:val="20"/>
              </w:rPr>
            </w:pPr>
            <w:r>
              <w:rPr>
                <w:rFonts w:ascii="Arial Narrow" w:hAnsi="Arial Narrow"/>
                <w:sz w:val="20"/>
              </w:rPr>
              <w:t>= 0.045362</w:t>
            </w:r>
          </w:p>
        </w:tc>
        <w:tc>
          <w:tcPr>
            <w:tcW w:w="662" w:type="pct"/>
            <w:vAlign w:val="center"/>
          </w:tcPr>
          <w:p w14:paraId="0D29650A" w14:textId="77777777" w:rsidR="000F2663" w:rsidRDefault="000F2663" w:rsidP="00B05487">
            <w:pPr>
              <w:jc w:val="center"/>
              <w:rPr>
                <w:rFonts w:ascii="Arial Narrow" w:hAnsi="Arial Narrow"/>
                <w:sz w:val="20"/>
              </w:rPr>
            </w:pPr>
            <w:r>
              <w:rPr>
                <w:rFonts w:ascii="Arial Narrow" w:hAnsi="Arial Narrow"/>
                <w:sz w:val="20"/>
              </w:rPr>
              <w:t>0.045362</w:t>
            </w:r>
          </w:p>
        </w:tc>
        <w:tc>
          <w:tcPr>
            <w:tcW w:w="626" w:type="pct"/>
            <w:tcBorders>
              <w:right w:val="single" w:sz="8" w:space="0" w:color="auto"/>
            </w:tcBorders>
            <w:vAlign w:val="center"/>
          </w:tcPr>
          <w:p w14:paraId="0815F0C6" w14:textId="77777777" w:rsidR="000F2663" w:rsidRDefault="000F2663" w:rsidP="00B05487">
            <w:pPr>
              <w:jc w:val="center"/>
              <w:rPr>
                <w:rFonts w:ascii="Arial Narrow" w:hAnsi="Arial Narrow"/>
                <w:sz w:val="20"/>
              </w:rPr>
            </w:pPr>
            <w:r>
              <w:rPr>
                <w:rFonts w:ascii="Arial Narrow" w:hAnsi="Arial Narrow"/>
                <w:sz w:val="20"/>
              </w:rPr>
              <w:t>$162 / 0.045362</w:t>
            </w:r>
          </w:p>
          <w:p w14:paraId="4CC2A1FD" w14:textId="77777777" w:rsidR="000F2663" w:rsidRDefault="000F2663" w:rsidP="00B05487">
            <w:pPr>
              <w:jc w:val="center"/>
              <w:rPr>
                <w:rFonts w:ascii="Arial Narrow" w:hAnsi="Arial Narrow"/>
                <w:sz w:val="20"/>
              </w:rPr>
            </w:pPr>
            <w:r>
              <w:rPr>
                <w:rFonts w:ascii="Arial Narrow" w:hAnsi="Arial Narrow"/>
                <w:sz w:val="20"/>
              </w:rPr>
              <w:t xml:space="preserve">= </w:t>
            </w:r>
            <w:r>
              <w:rPr>
                <w:rFonts w:ascii="Arial Narrow" w:hAnsi="Arial Narrow"/>
                <w:b/>
                <w:sz w:val="20"/>
              </w:rPr>
              <w:t>$3,571</w:t>
            </w:r>
          </w:p>
        </w:tc>
      </w:tr>
      <w:tr w:rsidR="000F2663" w:rsidRPr="00EB2900" w14:paraId="68DB05CA" w14:textId="77777777" w:rsidTr="000F2663">
        <w:trPr>
          <w:trHeight w:val="585"/>
        </w:trPr>
        <w:tc>
          <w:tcPr>
            <w:tcW w:w="759" w:type="pct"/>
            <w:tcBorders>
              <w:left w:val="single" w:sz="8" w:space="0" w:color="auto"/>
            </w:tcBorders>
            <w:vAlign w:val="center"/>
          </w:tcPr>
          <w:p w14:paraId="1945826B" w14:textId="77777777" w:rsidR="000F2663" w:rsidRPr="00EB2900" w:rsidRDefault="000F2663" w:rsidP="00B05487">
            <w:pPr>
              <w:rPr>
                <w:rFonts w:ascii="Arial Narrow" w:hAnsi="Arial Narrow"/>
                <w:sz w:val="20"/>
              </w:rPr>
            </w:pPr>
            <w:r>
              <w:rPr>
                <w:rFonts w:ascii="Arial Narrow" w:hAnsi="Arial Narrow"/>
                <w:sz w:val="20"/>
              </w:rPr>
              <w:t>2-variant panel</w:t>
            </w:r>
            <w:r w:rsidRPr="00EB2900">
              <w:rPr>
                <w:rFonts w:ascii="Arial Narrow" w:hAnsi="Arial Narrow"/>
                <w:sz w:val="20"/>
              </w:rPr>
              <w:t xml:space="preserve"> ± sequencing</w:t>
            </w:r>
          </w:p>
        </w:tc>
        <w:tc>
          <w:tcPr>
            <w:tcW w:w="457" w:type="pct"/>
            <w:vAlign w:val="center"/>
          </w:tcPr>
          <w:p w14:paraId="1AA8FAEC" w14:textId="77777777" w:rsidR="000F2663" w:rsidRPr="00EB2900" w:rsidRDefault="000F2663" w:rsidP="00B05487">
            <w:pPr>
              <w:jc w:val="center"/>
              <w:rPr>
                <w:rFonts w:ascii="Arial Narrow" w:hAnsi="Arial Narrow"/>
                <w:sz w:val="20"/>
              </w:rPr>
            </w:pPr>
            <w:r w:rsidRPr="00EB2900">
              <w:rPr>
                <w:rFonts w:ascii="Arial Narrow" w:hAnsi="Arial Narrow"/>
                <w:sz w:val="20"/>
              </w:rPr>
              <w:t>$17,514</w:t>
            </w:r>
          </w:p>
        </w:tc>
        <w:tc>
          <w:tcPr>
            <w:tcW w:w="408" w:type="pct"/>
            <w:vAlign w:val="center"/>
          </w:tcPr>
          <w:p w14:paraId="5FAEDE1D" w14:textId="77777777" w:rsidR="000F2663" w:rsidRPr="00EB2900" w:rsidRDefault="000F2663" w:rsidP="00B05487">
            <w:pPr>
              <w:jc w:val="center"/>
              <w:rPr>
                <w:rFonts w:ascii="Arial Narrow" w:hAnsi="Arial Narrow"/>
                <w:sz w:val="20"/>
              </w:rPr>
            </w:pPr>
            <w:r w:rsidRPr="00EB2900">
              <w:rPr>
                <w:rFonts w:ascii="Arial Narrow" w:hAnsi="Arial Narrow"/>
                <w:sz w:val="20"/>
              </w:rPr>
              <w:t>$198</w:t>
            </w:r>
          </w:p>
        </w:tc>
        <w:tc>
          <w:tcPr>
            <w:tcW w:w="458" w:type="pct"/>
            <w:vAlign w:val="center"/>
          </w:tcPr>
          <w:p w14:paraId="528BE915" w14:textId="77777777" w:rsidR="000F2663" w:rsidRPr="00EB2900" w:rsidRDefault="000F2663" w:rsidP="00B05487">
            <w:pPr>
              <w:jc w:val="center"/>
              <w:rPr>
                <w:rFonts w:ascii="Arial Narrow" w:hAnsi="Arial Narrow"/>
                <w:sz w:val="20"/>
              </w:rPr>
            </w:pPr>
            <w:r w:rsidRPr="00EB2900">
              <w:rPr>
                <w:rFonts w:ascii="Arial Narrow" w:hAnsi="Arial Narrow"/>
                <w:sz w:val="20"/>
              </w:rPr>
              <w:t>23.04</w:t>
            </w:r>
          </w:p>
        </w:tc>
        <w:tc>
          <w:tcPr>
            <w:tcW w:w="408" w:type="pct"/>
            <w:vAlign w:val="center"/>
          </w:tcPr>
          <w:p w14:paraId="5C79AFB5" w14:textId="77777777" w:rsidR="000F2663" w:rsidRPr="00EB2900" w:rsidRDefault="000F2663" w:rsidP="00B05487">
            <w:pPr>
              <w:jc w:val="center"/>
              <w:rPr>
                <w:rFonts w:ascii="Arial Narrow" w:hAnsi="Arial Narrow"/>
                <w:sz w:val="20"/>
              </w:rPr>
            </w:pPr>
            <w:r w:rsidRPr="00EB2900">
              <w:rPr>
                <w:rFonts w:ascii="Arial Narrow" w:hAnsi="Arial Narrow"/>
                <w:sz w:val="20"/>
              </w:rPr>
              <w:t>0.01</w:t>
            </w:r>
          </w:p>
        </w:tc>
        <w:tc>
          <w:tcPr>
            <w:tcW w:w="559" w:type="pct"/>
            <w:tcBorders>
              <w:right w:val="single" w:sz="8" w:space="0" w:color="auto"/>
            </w:tcBorders>
            <w:vAlign w:val="center"/>
          </w:tcPr>
          <w:p w14:paraId="43568DDE" w14:textId="77777777" w:rsidR="000F2663" w:rsidRPr="00EB2900" w:rsidRDefault="000F2663" w:rsidP="00B05487">
            <w:pPr>
              <w:jc w:val="center"/>
              <w:rPr>
                <w:rFonts w:ascii="Arial Narrow" w:hAnsi="Arial Narrow"/>
                <w:sz w:val="20"/>
              </w:rPr>
            </w:pPr>
            <w:r w:rsidRPr="00EB2900">
              <w:rPr>
                <w:rFonts w:ascii="Arial Narrow" w:hAnsi="Arial Narrow"/>
                <w:sz w:val="20"/>
              </w:rPr>
              <w:t>$33,818</w:t>
            </w:r>
          </w:p>
        </w:tc>
        <w:tc>
          <w:tcPr>
            <w:tcW w:w="663" w:type="pct"/>
            <w:tcBorders>
              <w:bottom w:val="single" w:sz="4" w:space="0" w:color="auto"/>
            </w:tcBorders>
            <w:vAlign w:val="center"/>
          </w:tcPr>
          <w:p w14:paraId="6A8D52B1" w14:textId="2514CBE0" w:rsidR="000F2663" w:rsidRPr="000257B6" w:rsidRDefault="000F2663" w:rsidP="00B05487">
            <w:pPr>
              <w:jc w:val="center"/>
              <w:rPr>
                <w:rFonts w:ascii="Arial Narrow" w:hAnsi="Arial Narrow"/>
                <w:sz w:val="20"/>
              </w:rPr>
            </w:pPr>
            <w:r>
              <w:rPr>
                <w:rFonts w:ascii="Arial Narrow" w:hAnsi="Arial Narrow"/>
                <w:sz w:val="20"/>
              </w:rPr>
              <w:t>0.2452</w:t>
            </w:r>
          </w:p>
        </w:tc>
        <w:tc>
          <w:tcPr>
            <w:tcW w:w="662" w:type="pct"/>
            <w:vAlign w:val="center"/>
          </w:tcPr>
          <w:p w14:paraId="4AAA305C" w14:textId="77777777" w:rsidR="000F2663" w:rsidRDefault="000F2663" w:rsidP="00B05487">
            <w:pPr>
              <w:jc w:val="center"/>
              <w:rPr>
                <w:rFonts w:ascii="Arial Narrow" w:hAnsi="Arial Narrow"/>
                <w:sz w:val="20"/>
              </w:rPr>
            </w:pPr>
            <w:r>
              <w:rPr>
                <w:rFonts w:ascii="Arial Narrow" w:hAnsi="Arial Narrow"/>
                <w:sz w:val="20"/>
              </w:rPr>
              <w:t>0.2452 – 0.199838</w:t>
            </w:r>
          </w:p>
          <w:p w14:paraId="7E0E0E03" w14:textId="77777777" w:rsidR="000F2663" w:rsidRPr="00333167" w:rsidRDefault="000F2663" w:rsidP="00B05487">
            <w:pPr>
              <w:jc w:val="center"/>
              <w:rPr>
                <w:rFonts w:ascii="Arial Narrow" w:hAnsi="Arial Narrow"/>
                <w:sz w:val="20"/>
              </w:rPr>
            </w:pPr>
            <w:r>
              <w:rPr>
                <w:rFonts w:ascii="Arial Narrow" w:hAnsi="Arial Narrow"/>
                <w:sz w:val="20"/>
              </w:rPr>
              <w:t>= 0.045362</w:t>
            </w:r>
          </w:p>
        </w:tc>
        <w:tc>
          <w:tcPr>
            <w:tcW w:w="626" w:type="pct"/>
            <w:tcBorders>
              <w:right w:val="single" w:sz="8" w:space="0" w:color="auto"/>
            </w:tcBorders>
            <w:vAlign w:val="center"/>
          </w:tcPr>
          <w:p w14:paraId="7C3C8C10" w14:textId="77777777" w:rsidR="000F2663" w:rsidRDefault="000F2663" w:rsidP="00B05487">
            <w:pPr>
              <w:jc w:val="center"/>
              <w:rPr>
                <w:rFonts w:ascii="Arial Narrow" w:hAnsi="Arial Narrow"/>
                <w:sz w:val="20"/>
              </w:rPr>
            </w:pPr>
            <w:r>
              <w:rPr>
                <w:rFonts w:ascii="Arial Narrow" w:hAnsi="Arial Narrow"/>
                <w:sz w:val="20"/>
              </w:rPr>
              <w:t>$198 / 0.045362</w:t>
            </w:r>
          </w:p>
          <w:p w14:paraId="39D62F22" w14:textId="77777777" w:rsidR="000F2663" w:rsidRPr="00AC1611" w:rsidRDefault="000F2663" w:rsidP="00B05487">
            <w:pPr>
              <w:jc w:val="center"/>
              <w:rPr>
                <w:rFonts w:ascii="Arial Narrow" w:hAnsi="Arial Narrow"/>
                <w:b/>
                <w:sz w:val="20"/>
              </w:rPr>
            </w:pPr>
            <w:r>
              <w:rPr>
                <w:rFonts w:ascii="Arial Narrow" w:hAnsi="Arial Narrow"/>
                <w:sz w:val="20"/>
              </w:rPr>
              <w:t xml:space="preserve">= </w:t>
            </w:r>
            <w:r>
              <w:rPr>
                <w:rFonts w:ascii="Arial Narrow" w:hAnsi="Arial Narrow"/>
                <w:b/>
                <w:sz w:val="20"/>
              </w:rPr>
              <w:t>$4,365</w:t>
            </w:r>
          </w:p>
        </w:tc>
      </w:tr>
    </w:tbl>
    <w:p w14:paraId="3579F970" w14:textId="306ADC90" w:rsidR="000F2663" w:rsidRDefault="000F2663" w:rsidP="00B05487">
      <w:pPr>
        <w:pStyle w:val="Tablenotes1"/>
      </w:pPr>
      <w:r>
        <w:t>ICER = incremental cost-effectiveness ratio, IEF = isoelectric focusing, QALY = Quality-adjusted life years.</w:t>
      </w:r>
    </w:p>
    <w:p w14:paraId="2F5A758D" w14:textId="74895B43" w:rsidR="00EA52A4" w:rsidRDefault="000F2663" w:rsidP="00B05487">
      <w:pPr>
        <w:pStyle w:val="Tablenotes1"/>
      </w:pPr>
      <w:r>
        <w:t>Note:</w:t>
      </w:r>
      <w:r w:rsidRPr="00BB44C7">
        <w:t xml:space="preserve"> the increments </w:t>
      </w:r>
      <w:r>
        <w:t>for</w:t>
      </w:r>
      <w:r w:rsidRPr="00BB44C7">
        <w:t xml:space="preserve"> panel alone and panel</w:t>
      </w:r>
      <w:r>
        <w:t xml:space="preserve"> </w:t>
      </w:r>
      <w:r w:rsidRPr="00EB2900">
        <w:t>±</w:t>
      </w:r>
      <w:r>
        <w:t xml:space="preserve"> </w:t>
      </w:r>
      <w:r w:rsidRPr="00BB44C7">
        <w:t>seq</w:t>
      </w:r>
      <w:r>
        <w:t xml:space="preserve">uencing are </w:t>
      </w:r>
      <w:r w:rsidRPr="00BB44C7">
        <w:t xml:space="preserve">relative to IEF, </w:t>
      </w:r>
      <w:r>
        <w:t>whereas</w:t>
      </w:r>
      <w:r w:rsidRPr="00BB44C7">
        <w:t xml:space="preserve"> the increment</w:t>
      </w:r>
      <w:r>
        <w:t>s</w:t>
      </w:r>
      <w:r w:rsidRPr="00BB44C7">
        <w:t xml:space="preserve"> for sequencing-after-panel </w:t>
      </w:r>
      <w:r>
        <w:t>are</w:t>
      </w:r>
      <w:r w:rsidRPr="00BB44C7">
        <w:t xml:space="preserve"> relative to panel alone</w:t>
      </w:r>
      <w:r>
        <w:t>.</w:t>
      </w:r>
    </w:p>
    <w:p w14:paraId="398BCCA7" w14:textId="37141DDA" w:rsidR="00D27847" w:rsidRDefault="00EA52A4" w:rsidP="00B05487">
      <w:pPr>
        <w:pStyle w:val="Tablenotes1"/>
      </w:pPr>
      <w:r>
        <w:t>Source: Department’s calculations expanding</w:t>
      </w:r>
      <w:r w:rsidR="003D19F7">
        <w:t xml:space="preserve"> R</w:t>
      </w:r>
      <w:r>
        <w:t>ejoinder Table 6</w:t>
      </w:r>
      <w:r w:rsidR="00F669B0">
        <w:t xml:space="preserve">, as </w:t>
      </w:r>
      <w:r w:rsidR="00BE77B1">
        <w:t>endorsed by</w:t>
      </w:r>
      <w:r w:rsidR="00F669B0">
        <w:t xml:space="preserve"> ESC.</w:t>
      </w:r>
    </w:p>
    <w:p w14:paraId="402CDCEA" w14:textId="49FDE8C8" w:rsidR="00EA52A4" w:rsidRDefault="00D27847" w:rsidP="00B05487">
      <w:r>
        <w:t>The DCAR did not include cascade testing items CCCC, DDDD, or EEEE in its economic analyses.</w:t>
      </w:r>
    </w:p>
    <w:p w14:paraId="2AC7B1D4" w14:textId="7CB814C9" w:rsidR="00D90D56" w:rsidRDefault="00D90D56" w:rsidP="009B136F">
      <w:pPr>
        <w:spacing w:before="240"/>
      </w:pPr>
      <w:r>
        <w:t>The DCAR’s sensitivity analyses found that a</w:t>
      </w:r>
      <w:r w:rsidRPr="00C36BB6">
        <w:t>ssumption</w:t>
      </w:r>
      <w:r>
        <w:t>s</w:t>
      </w:r>
      <w:r w:rsidRPr="00C36BB6">
        <w:t xml:space="preserve"> about </w:t>
      </w:r>
      <w:r>
        <w:t>diagnostic accuracy, proportion adopting lifestyle changes, FEV</w:t>
      </w:r>
      <w:r w:rsidRPr="00432549">
        <w:rPr>
          <w:vertAlign w:val="subscript"/>
        </w:rPr>
        <w:t>1</w:t>
      </w:r>
      <w:r>
        <w:t xml:space="preserve"> decline rates and smoking rates </w:t>
      </w:r>
      <w:r w:rsidRPr="00C36BB6">
        <w:t xml:space="preserve">have the largest impact on model results. </w:t>
      </w:r>
      <w:r>
        <w:t xml:space="preserve">Key drivers of the model are summarised in </w:t>
      </w:r>
      <w:r w:rsidR="00095E12">
        <w:fldChar w:fldCharType="begin"/>
      </w:r>
      <w:r w:rsidR="00095E12">
        <w:instrText xml:space="preserve"> REF _Ref74150164 </w:instrText>
      </w:r>
      <w:r w:rsidR="00095E12">
        <w:fldChar w:fldCharType="separate"/>
      </w:r>
      <w:r w:rsidR="00095E12">
        <w:t xml:space="preserve">Table </w:t>
      </w:r>
      <w:r w:rsidR="00095E12">
        <w:rPr>
          <w:noProof/>
        </w:rPr>
        <w:t>13</w:t>
      </w:r>
      <w:r w:rsidR="00095E12">
        <w:rPr>
          <w:noProof/>
        </w:rPr>
        <w:fldChar w:fldCharType="end"/>
      </w:r>
      <w:r>
        <w:t>.</w:t>
      </w:r>
    </w:p>
    <w:p w14:paraId="0C0AD1BC" w14:textId="4D2283F3" w:rsidR="00D90D56" w:rsidRDefault="00D90D56" w:rsidP="00B05487">
      <w:pPr>
        <w:sectPr w:rsidR="00D90D56" w:rsidSect="00EA52A4">
          <w:pgSz w:w="16838" w:h="11906" w:orient="landscape"/>
          <w:pgMar w:top="993" w:right="1440" w:bottom="1276" w:left="1440" w:header="708" w:footer="708" w:gutter="0"/>
          <w:cols w:space="708"/>
          <w:docGrid w:linePitch="360"/>
        </w:sectPr>
      </w:pPr>
    </w:p>
    <w:p w14:paraId="2DC60443" w14:textId="51CAFC1D" w:rsidR="003740A6" w:rsidRPr="00A83BB0" w:rsidRDefault="002F247B" w:rsidP="00B05487">
      <w:pPr>
        <w:pStyle w:val="Caption"/>
        <w:rPr>
          <w:snapToGrid w:val="0"/>
          <w:szCs w:val="16"/>
        </w:rPr>
      </w:pPr>
      <w:bookmarkStart w:id="37" w:name="_Ref74150164"/>
      <w:bookmarkStart w:id="38" w:name="_Toc25848504"/>
      <w:bookmarkStart w:id="39" w:name="_Toc72826825"/>
      <w:bookmarkEnd w:id="34"/>
      <w:bookmarkEnd w:id="35"/>
      <w:r>
        <w:lastRenderedPageBreak/>
        <w:t xml:space="preserve">Table </w:t>
      </w:r>
      <w:r w:rsidR="00095E12">
        <w:fldChar w:fldCharType="begin"/>
      </w:r>
      <w:r w:rsidR="00095E12">
        <w:instrText xml:space="preserve"> SEQ Table \* ARABIC </w:instrText>
      </w:r>
      <w:r w:rsidR="00095E12">
        <w:fldChar w:fldCharType="separate"/>
      </w:r>
      <w:r w:rsidR="00095E12">
        <w:rPr>
          <w:noProof/>
        </w:rPr>
        <w:t>13</w:t>
      </w:r>
      <w:r w:rsidR="00095E12">
        <w:rPr>
          <w:noProof/>
        </w:rPr>
        <w:fldChar w:fldCharType="end"/>
      </w:r>
      <w:bookmarkEnd w:id="37"/>
      <w:r>
        <w:tab/>
      </w:r>
      <w:r w:rsidR="003740A6" w:rsidRPr="004517AD">
        <w:rPr>
          <w:snapToGrid w:val="0"/>
          <w:szCs w:val="16"/>
        </w:rPr>
        <w:t>Key drivers of the economic model</w:t>
      </w:r>
      <w:bookmarkEnd w:id="38"/>
      <w:bookmarkEnd w:id="39"/>
    </w:p>
    <w:tbl>
      <w:tblPr>
        <w:tblStyle w:val="Submissiontemplate2"/>
        <w:tblW w:w="5000" w:type="pct"/>
        <w:tblCellMar>
          <w:left w:w="28" w:type="dxa"/>
          <w:right w:w="28" w:type="dxa"/>
        </w:tblCellMar>
        <w:tblLook w:val="04A0" w:firstRow="1" w:lastRow="0" w:firstColumn="1" w:lastColumn="0" w:noHBand="0" w:noVBand="1"/>
        <w:tblCaption w:val="Table 5 Key drivers of the economic model"/>
        <w:tblDescription w:val="Table 5 Key drivers of the economic model"/>
      </w:tblPr>
      <w:tblGrid>
        <w:gridCol w:w="1697"/>
        <w:gridCol w:w="4252"/>
        <w:gridCol w:w="3067"/>
      </w:tblGrid>
      <w:tr w:rsidR="003740A6" w:rsidRPr="00263518" w14:paraId="305E9FC4" w14:textId="77777777" w:rsidTr="007228BE">
        <w:trPr>
          <w:cnfStyle w:val="100000000000" w:firstRow="1" w:lastRow="0" w:firstColumn="0" w:lastColumn="0" w:oddVBand="0" w:evenVBand="0" w:oddHBand="0" w:evenHBand="0" w:firstRowFirstColumn="0" w:firstRowLastColumn="0" w:lastRowFirstColumn="0" w:lastRowLastColumn="0"/>
          <w:tblHeader/>
        </w:trPr>
        <w:tc>
          <w:tcPr>
            <w:tcW w:w="941" w:type="pct"/>
            <w:shd w:val="clear" w:color="auto" w:fill="D9D9D9" w:themeFill="background1" w:themeFillShade="D9"/>
            <w:vAlign w:val="center"/>
          </w:tcPr>
          <w:p w14:paraId="209E5077" w14:textId="77777777" w:rsidR="003740A6" w:rsidRPr="00263518" w:rsidRDefault="003740A6" w:rsidP="00B05487">
            <w:pPr>
              <w:pStyle w:val="TableText0"/>
              <w:rPr>
                <w:b/>
                <w:bCs/>
                <w:snapToGrid w:val="0"/>
              </w:rPr>
            </w:pPr>
            <w:r w:rsidRPr="00263518">
              <w:rPr>
                <w:b/>
                <w:bCs/>
                <w:snapToGrid w:val="0"/>
              </w:rPr>
              <w:t>Description</w:t>
            </w:r>
          </w:p>
        </w:tc>
        <w:tc>
          <w:tcPr>
            <w:tcW w:w="2358" w:type="pct"/>
            <w:shd w:val="clear" w:color="auto" w:fill="D9D9D9" w:themeFill="background1" w:themeFillShade="D9"/>
            <w:vAlign w:val="center"/>
          </w:tcPr>
          <w:p w14:paraId="74819BB3" w14:textId="77777777" w:rsidR="003740A6" w:rsidRPr="00263518" w:rsidRDefault="003740A6" w:rsidP="00B05487">
            <w:pPr>
              <w:pStyle w:val="TableText0"/>
              <w:rPr>
                <w:b/>
                <w:bCs/>
                <w:snapToGrid w:val="0"/>
              </w:rPr>
            </w:pPr>
            <w:r w:rsidRPr="00263518">
              <w:rPr>
                <w:b/>
                <w:bCs/>
                <w:snapToGrid w:val="0"/>
              </w:rPr>
              <w:t>Method/Value</w:t>
            </w:r>
          </w:p>
        </w:tc>
        <w:tc>
          <w:tcPr>
            <w:tcW w:w="1701" w:type="pct"/>
            <w:shd w:val="clear" w:color="auto" w:fill="D9D9D9" w:themeFill="background1" w:themeFillShade="D9"/>
            <w:vAlign w:val="center"/>
          </w:tcPr>
          <w:p w14:paraId="2B3F2441" w14:textId="77777777" w:rsidR="003740A6" w:rsidRPr="00263518" w:rsidRDefault="003740A6" w:rsidP="00B05487">
            <w:pPr>
              <w:pStyle w:val="TableText0"/>
              <w:rPr>
                <w:b/>
                <w:bCs/>
                <w:snapToGrid w:val="0"/>
              </w:rPr>
            </w:pPr>
            <w:r w:rsidRPr="00263518">
              <w:rPr>
                <w:b/>
                <w:bCs/>
                <w:snapToGrid w:val="0"/>
              </w:rPr>
              <w:t>Impact</w:t>
            </w:r>
          </w:p>
        </w:tc>
      </w:tr>
      <w:tr w:rsidR="003740A6" w:rsidRPr="00A83BB0" w14:paraId="0C42C01F" w14:textId="77777777" w:rsidTr="007228BE">
        <w:trPr>
          <w:cnfStyle w:val="000000100000" w:firstRow="0" w:lastRow="0" w:firstColumn="0" w:lastColumn="0" w:oddVBand="0" w:evenVBand="0" w:oddHBand="1" w:evenHBand="0" w:firstRowFirstColumn="0" w:firstRowLastColumn="0" w:lastRowFirstColumn="0" w:lastRowLastColumn="0"/>
        </w:trPr>
        <w:tc>
          <w:tcPr>
            <w:tcW w:w="941" w:type="pct"/>
            <w:shd w:val="clear" w:color="auto" w:fill="auto"/>
            <w:vAlign w:val="center"/>
          </w:tcPr>
          <w:p w14:paraId="09711A12" w14:textId="6DD696B0" w:rsidR="003740A6" w:rsidRPr="000341BD" w:rsidRDefault="003740A6" w:rsidP="00B05487">
            <w:pPr>
              <w:pStyle w:val="TableText0"/>
              <w:rPr>
                <w:snapToGrid w:val="0"/>
              </w:rPr>
            </w:pPr>
            <w:r w:rsidRPr="006979D6">
              <w:rPr>
                <w:snapToGrid w:val="0"/>
              </w:rPr>
              <w:t>AATD pathogenic variant prevalence</w:t>
            </w:r>
          </w:p>
        </w:tc>
        <w:tc>
          <w:tcPr>
            <w:tcW w:w="2358" w:type="pct"/>
            <w:shd w:val="clear" w:color="auto" w:fill="auto"/>
            <w:vAlign w:val="center"/>
          </w:tcPr>
          <w:p w14:paraId="5301CE59" w14:textId="77777777" w:rsidR="003740A6" w:rsidRPr="00A83BB0" w:rsidRDefault="003740A6" w:rsidP="00B05487">
            <w:pPr>
              <w:pStyle w:val="TableText0"/>
              <w:rPr>
                <w:snapToGrid w:val="0"/>
              </w:rPr>
            </w:pPr>
            <w:r w:rsidRPr="007F00A8">
              <w:rPr>
                <w:snapToGrid w:val="0"/>
              </w:rPr>
              <w:t xml:space="preserve">Diagnostic yield estimates were based on </w:t>
            </w:r>
            <w:r>
              <w:rPr>
                <w:snapToGrid w:val="0"/>
              </w:rPr>
              <w:t xml:space="preserve">international </w:t>
            </w:r>
            <w:r w:rsidRPr="007F00A8">
              <w:rPr>
                <w:snapToGrid w:val="0"/>
              </w:rPr>
              <w:t>studies</w:t>
            </w:r>
            <w:r>
              <w:rPr>
                <w:snapToGrid w:val="0"/>
              </w:rPr>
              <w:t>,</w:t>
            </w:r>
            <w:r w:rsidRPr="007F00A8">
              <w:rPr>
                <w:snapToGrid w:val="0"/>
              </w:rPr>
              <w:t xml:space="preserve"> with a range of serum thresholds used for testing eligibility. Prevalence and diagnostic yield in the Australian target population </w:t>
            </w:r>
            <w:r>
              <w:rPr>
                <w:snapToGrid w:val="0"/>
              </w:rPr>
              <w:t>are</w:t>
            </w:r>
            <w:r w:rsidRPr="007F00A8">
              <w:rPr>
                <w:snapToGrid w:val="0"/>
              </w:rPr>
              <w:t xml:space="preserve"> high</w:t>
            </w:r>
            <w:r>
              <w:rPr>
                <w:snapToGrid w:val="0"/>
              </w:rPr>
              <w:t>ly</w:t>
            </w:r>
            <w:r w:rsidRPr="007F00A8">
              <w:rPr>
                <w:snapToGrid w:val="0"/>
              </w:rPr>
              <w:t xml:space="preserve"> uncertain. Prevalence</w:t>
            </w:r>
            <w:r>
              <w:rPr>
                <w:snapToGrid w:val="0"/>
              </w:rPr>
              <w:t xml:space="preserve"> rates</w:t>
            </w:r>
            <w:r w:rsidRPr="007F00A8">
              <w:rPr>
                <w:snapToGrid w:val="0"/>
              </w:rPr>
              <w:t xml:space="preserve"> of 19.6% and 30.6% were included as sensitivity estimates.</w:t>
            </w:r>
          </w:p>
        </w:tc>
        <w:tc>
          <w:tcPr>
            <w:tcW w:w="1701" w:type="pct"/>
            <w:shd w:val="clear" w:color="auto" w:fill="auto"/>
            <w:vAlign w:val="center"/>
          </w:tcPr>
          <w:p w14:paraId="075613D0" w14:textId="65E68A1A" w:rsidR="003740A6" w:rsidRPr="007F00A8" w:rsidRDefault="003740A6" w:rsidP="00B05487">
            <w:pPr>
              <w:pStyle w:val="TableText0"/>
              <w:rPr>
                <w:snapToGrid w:val="0"/>
                <w:u w:val="single"/>
              </w:rPr>
            </w:pPr>
            <w:r w:rsidRPr="007F00A8">
              <w:rPr>
                <w:snapToGrid w:val="0"/>
                <w:u w:val="single"/>
              </w:rPr>
              <w:t xml:space="preserve">High </w:t>
            </w:r>
            <w:r w:rsidR="006F5B25" w:rsidRPr="007F00A8">
              <w:rPr>
                <w:snapToGrid w:val="0"/>
                <w:u w:val="single"/>
              </w:rPr>
              <w:t>i</w:t>
            </w:r>
            <w:r w:rsidRPr="007F00A8">
              <w:rPr>
                <w:snapToGrid w:val="0"/>
                <w:u w:val="single"/>
              </w:rPr>
              <w:t>mpact</w:t>
            </w:r>
            <w:r w:rsidRPr="006F5B25">
              <w:rPr>
                <w:snapToGrid w:val="0"/>
              </w:rPr>
              <w:t>.</w:t>
            </w:r>
            <w:r w:rsidRPr="007F00A8">
              <w:rPr>
                <w:snapToGrid w:val="0"/>
              </w:rPr>
              <w:t xml:space="preserve"> </w:t>
            </w:r>
            <w:r>
              <w:rPr>
                <w:snapToGrid w:val="0"/>
              </w:rPr>
              <w:t>An</w:t>
            </w:r>
            <w:r w:rsidRPr="007F00A8">
              <w:rPr>
                <w:snapToGrid w:val="0"/>
              </w:rPr>
              <w:t xml:space="preserve"> AATD </w:t>
            </w:r>
            <w:r>
              <w:rPr>
                <w:snapToGrid w:val="0"/>
              </w:rPr>
              <w:t xml:space="preserve">prevalence of </w:t>
            </w:r>
            <w:r w:rsidRPr="007F00A8">
              <w:rPr>
                <w:snapToGrid w:val="0"/>
              </w:rPr>
              <w:t>19.6% resulted in an ICER of $49,346 per QALY</w:t>
            </w:r>
            <w:r>
              <w:rPr>
                <w:snapToGrid w:val="0"/>
              </w:rPr>
              <w:t xml:space="preserve">, whereas a </w:t>
            </w:r>
            <w:r w:rsidR="007228BE">
              <w:rPr>
                <w:snapToGrid w:val="0"/>
              </w:rPr>
              <w:t xml:space="preserve">prevalence </w:t>
            </w:r>
            <w:r>
              <w:rPr>
                <w:snapToGrid w:val="0"/>
              </w:rPr>
              <w:t>of</w:t>
            </w:r>
            <w:r w:rsidRPr="007F00A8">
              <w:rPr>
                <w:snapToGrid w:val="0"/>
              </w:rPr>
              <w:t xml:space="preserve"> 30.6% </w:t>
            </w:r>
            <w:r>
              <w:rPr>
                <w:snapToGrid w:val="0"/>
              </w:rPr>
              <w:t>generated</w:t>
            </w:r>
            <w:r w:rsidRPr="007F00A8">
              <w:rPr>
                <w:snapToGrid w:val="0"/>
              </w:rPr>
              <w:t xml:space="preserve"> an ICER of $24,885 per QALY.</w:t>
            </w:r>
          </w:p>
        </w:tc>
      </w:tr>
      <w:tr w:rsidR="003740A6" w:rsidRPr="00A83BB0" w14:paraId="2B294C74" w14:textId="77777777" w:rsidTr="007228BE">
        <w:tc>
          <w:tcPr>
            <w:tcW w:w="941" w:type="pct"/>
            <w:shd w:val="clear" w:color="auto" w:fill="auto"/>
            <w:vAlign w:val="center"/>
          </w:tcPr>
          <w:p w14:paraId="77D12985" w14:textId="77777777" w:rsidR="003740A6" w:rsidRPr="000341BD" w:rsidRDefault="003740A6" w:rsidP="00B05487">
            <w:pPr>
              <w:pStyle w:val="TableText0"/>
              <w:rPr>
                <w:snapToGrid w:val="0"/>
              </w:rPr>
            </w:pPr>
            <w:r w:rsidRPr="000379D3">
              <w:rPr>
                <w:snapToGrid w:val="0"/>
              </w:rPr>
              <w:t>Diagnostic accuracy</w:t>
            </w:r>
          </w:p>
        </w:tc>
        <w:tc>
          <w:tcPr>
            <w:tcW w:w="2358" w:type="pct"/>
            <w:shd w:val="clear" w:color="auto" w:fill="auto"/>
            <w:vAlign w:val="center"/>
          </w:tcPr>
          <w:p w14:paraId="2E32BF5D" w14:textId="473DEB6B" w:rsidR="003740A6" w:rsidRDefault="003740A6" w:rsidP="00B05487">
            <w:pPr>
              <w:pStyle w:val="TableText0"/>
              <w:rPr>
                <w:snapToGrid w:val="0"/>
              </w:rPr>
            </w:pPr>
            <w:r w:rsidRPr="007F00A8">
              <w:rPr>
                <w:snapToGrid w:val="0"/>
              </w:rPr>
              <w:t xml:space="preserve">PASC noted that Australian laboratories will need to develop their own panels for testing. Based on the literature </w:t>
            </w:r>
            <w:r>
              <w:rPr>
                <w:snapToGrid w:val="0"/>
              </w:rPr>
              <w:t xml:space="preserve">and </w:t>
            </w:r>
            <w:r w:rsidRPr="007F00A8">
              <w:rPr>
                <w:snapToGrid w:val="0"/>
              </w:rPr>
              <w:t>claims made by the applicant, a sensitivity of 98% was included for the 14-</w:t>
            </w:r>
            <w:r>
              <w:rPr>
                <w:snapToGrid w:val="0"/>
              </w:rPr>
              <w:t xml:space="preserve">variant </w:t>
            </w:r>
            <w:r w:rsidRPr="007F00A8">
              <w:rPr>
                <w:snapToGrid w:val="0"/>
              </w:rPr>
              <w:t xml:space="preserve">panel test </w:t>
            </w:r>
            <w:r>
              <w:rPr>
                <w:snapToGrid w:val="0"/>
              </w:rPr>
              <w:t>when</w:t>
            </w:r>
            <w:r w:rsidRPr="007F00A8">
              <w:rPr>
                <w:snapToGrid w:val="0"/>
              </w:rPr>
              <w:t xml:space="preserve"> detecting </w:t>
            </w:r>
            <w:r>
              <w:rPr>
                <w:snapToGrid w:val="0"/>
              </w:rPr>
              <w:t xml:space="preserve">the </w:t>
            </w:r>
            <w:r w:rsidRPr="007F00A8">
              <w:rPr>
                <w:snapToGrid w:val="0"/>
              </w:rPr>
              <w:t xml:space="preserve">14 </w:t>
            </w:r>
            <w:r>
              <w:rPr>
                <w:snapToGrid w:val="0"/>
              </w:rPr>
              <w:t xml:space="preserve">most common </w:t>
            </w:r>
            <w:r w:rsidRPr="007F00A8">
              <w:rPr>
                <w:snapToGrid w:val="0"/>
              </w:rPr>
              <w:t>pathogenic variants</w:t>
            </w:r>
            <w:r>
              <w:rPr>
                <w:snapToGrid w:val="0"/>
              </w:rPr>
              <w:t>; w</w:t>
            </w:r>
            <w:r w:rsidRPr="007F00A8">
              <w:rPr>
                <w:snapToGrid w:val="0"/>
              </w:rPr>
              <w:t>ith sequencing this increases to 100%. The IEF test was assumed to have the same diagnostic yield (20%) and sensitivity (82%) as the 2-</w:t>
            </w:r>
            <w:r>
              <w:rPr>
                <w:snapToGrid w:val="0"/>
              </w:rPr>
              <w:t xml:space="preserve">variant </w:t>
            </w:r>
            <w:r w:rsidRPr="007F00A8">
              <w:rPr>
                <w:snapToGrid w:val="0"/>
              </w:rPr>
              <w:t xml:space="preserve">panel test </w:t>
            </w:r>
            <w:r>
              <w:rPr>
                <w:snapToGrid w:val="0"/>
              </w:rPr>
              <w:t xml:space="preserve">for </w:t>
            </w:r>
            <w:r w:rsidRPr="007F00A8">
              <w:rPr>
                <w:snapToGrid w:val="0"/>
              </w:rPr>
              <w:t>detect</w:t>
            </w:r>
            <w:r>
              <w:rPr>
                <w:snapToGrid w:val="0"/>
              </w:rPr>
              <w:t>ing the</w:t>
            </w:r>
            <w:r w:rsidRPr="007F00A8">
              <w:rPr>
                <w:snapToGrid w:val="0"/>
              </w:rPr>
              <w:t xml:space="preserve"> 14 </w:t>
            </w:r>
            <w:r>
              <w:rPr>
                <w:snapToGrid w:val="0"/>
              </w:rPr>
              <w:t xml:space="preserve">most common </w:t>
            </w:r>
            <w:r w:rsidRPr="007F00A8">
              <w:rPr>
                <w:snapToGrid w:val="0"/>
              </w:rPr>
              <w:t xml:space="preserve">AATD variants. Commercial IEF kits target common variants; however, gels could be formulated to improve diagnostic accuracy. Sensitivities may differ, so a 90% sensitivity scenario </w:t>
            </w:r>
            <w:r>
              <w:rPr>
                <w:snapToGrid w:val="0"/>
              </w:rPr>
              <w:t>wa</w:t>
            </w:r>
            <w:r w:rsidRPr="007F00A8">
              <w:rPr>
                <w:snapToGrid w:val="0"/>
              </w:rPr>
              <w:t>s included for IEF.</w:t>
            </w:r>
          </w:p>
        </w:tc>
        <w:tc>
          <w:tcPr>
            <w:tcW w:w="1701" w:type="pct"/>
            <w:shd w:val="clear" w:color="auto" w:fill="auto"/>
            <w:vAlign w:val="center"/>
          </w:tcPr>
          <w:p w14:paraId="6BE429ED" w14:textId="567233F9" w:rsidR="003740A6" w:rsidRPr="007F00A8" w:rsidRDefault="003740A6" w:rsidP="00B05487">
            <w:pPr>
              <w:pStyle w:val="TableText0"/>
              <w:rPr>
                <w:snapToGrid w:val="0"/>
                <w:u w:val="single"/>
              </w:rPr>
            </w:pPr>
            <w:r w:rsidRPr="006979D6">
              <w:rPr>
                <w:snapToGrid w:val="0"/>
                <w:u w:val="single"/>
              </w:rPr>
              <w:t xml:space="preserve">High </w:t>
            </w:r>
            <w:r w:rsidR="006F5B25">
              <w:rPr>
                <w:snapToGrid w:val="0"/>
                <w:u w:val="single"/>
              </w:rPr>
              <w:t>i</w:t>
            </w:r>
            <w:r w:rsidRPr="006979D6">
              <w:rPr>
                <w:snapToGrid w:val="0"/>
                <w:u w:val="single"/>
              </w:rPr>
              <w:t>mpact</w:t>
            </w:r>
            <w:r w:rsidRPr="006F5B25">
              <w:rPr>
                <w:snapToGrid w:val="0"/>
              </w:rPr>
              <w:t xml:space="preserve">. </w:t>
            </w:r>
            <w:r w:rsidRPr="006979D6">
              <w:rPr>
                <w:snapToGrid w:val="0"/>
              </w:rPr>
              <w:t>If IEF sensitivity is increased from 82% to 90%, then the ICER would increase to $72,873. Changes in panel sensitivities had less impact on the ICER.</w:t>
            </w:r>
          </w:p>
        </w:tc>
      </w:tr>
      <w:tr w:rsidR="00752281" w:rsidRPr="00752281" w14:paraId="62BF216D" w14:textId="77777777" w:rsidTr="007228BE">
        <w:trPr>
          <w:cnfStyle w:val="000000100000" w:firstRow="0" w:lastRow="0" w:firstColumn="0" w:lastColumn="0" w:oddVBand="0" w:evenVBand="0" w:oddHBand="1" w:evenHBand="0" w:firstRowFirstColumn="0" w:firstRowLastColumn="0" w:lastRowFirstColumn="0" w:lastRowLastColumn="0"/>
        </w:trPr>
        <w:tc>
          <w:tcPr>
            <w:tcW w:w="941" w:type="pct"/>
            <w:shd w:val="clear" w:color="auto" w:fill="auto"/>
            <w:vAlign w:val="center"/>
          </w:tcPr>
          <w:p w14:paraId="4B7B9C88" w14:textId="77777777" w:rsidR="00752281" w:rsidRPr="006F5B25" w:rsidRDefault="00752281" w:rsidP="00B05487">
            <w:pPr>
              <w:pStyle w:val="TableText0"/>
              <w:rPr>
                <w:iCs/>
                <w:snapToGrid w:val="0"/>
              </w:rPr>
            </w:pPr>
            <w:r w:rsidRPr="006F5B25">
              <w:rPr>
                <w:iCs/>
                <w:snapToGrid w:val="0"/>
              </w:rPr>
              <w:t>Proportion adopting lifestyle changes</w:t>
            </w:r>
          </w:p>
        </w:tc>
        <w:tc>
          <w:tcPr>
            <w:tcW w:w="2358" w:type="pct"/>
            <w:shd w:val="clear" w:color="auto" w:fill="auto"/>
            <w:vAlign w:val="center"/>
          </w:tcPr>
          <w:p w14:paraId="6030FDCC" w14:textId="14A76A58" w:rsidR="00752281" w:rsidRPr="006F5B25" w:rsidRDefault="00752281" w:rsidP="00B05487">
            <w:pPr>
              <w:pStyle w:val="TableText0"/>
              <w:rPr>
                <w:iCs/>
                <w:snapToGrid w:val="0"/>
              </w:rPr>
            </w:pPr>
            <w:r w:rsidRPr="006F5B25">
              <w:rPr>
                <w:iCs/>
                <w:snapToGrid w:val="0"/>
              </w:rPr>
              <w:t xml:space="preserve">The base analysis assumed that 60% of patients adopt smoking cessation upon being </w:t>
            </w:r>
            <w:r w:rsidR="00B17B93">
              <w:rPr>
                <w:iCs/>
                <w:snapToGrid w:val="0"/>
              </w:rPr>
              <w:t xml:space="preserve">genetically </w:t>
            </w:r>
            <w:r w:rsidRPr="006F5B25">
              <w:rPr>
                <w:iCs/>
                <w:snapToGrid w:val="0"/>
              </w:rPr>
              <w:t xml:space="preserve">diagnosed with AATD, which was reasonable given the smoking rates of patients with MZ and ZZ genotypes reported in </w:t>
            </w:r>
            <w:bookmarkStart w:id="40" w:name="_Hlk70604148"/>
            <w:r w:rsidRPr="006F5B25">
              <w:rPr>
                <w:iCs/>
                <w:snapToGrid w:val="0"/>
              </w:rPr>
              <w:t xml:space="preserve">Holm et al. 2018 </w:t>
            </w:r>
            <w:bookmarkEnd w:id="40"/>
            <w:r w:rsidRPr="006F5B25">
              <w:rPr>
                <w:iCs/>
                <w:snapToGrid w:val="0"/>
              </w:rPr>
              <w:t>(7.1% and 2.4%, respectively).</w:t>
            </w:r>
          </w:p>
        </w:tc>
        <w:tc>
          <w:tcPr>
            <w:tcW w:w="1701" w:type="pct"/>
            <w:shd w:val="clear" w:color="auto" w:fill="auto"/>
            <w:vAlign w:val="center"/>
          </w:tcPr>
          <w:p w14:paraId="528566A1" w14:textId="0FF22772" w:rsidR="00752281" w:rsidRPr="006F5B25" w:rsidRDefault="00752281" w:rsidP="00B05487">
            <w:pPr>
              <w:pStyle w:val="TableText0"/>
              <w:rPr>
                <w:iCs/>
                <w:snapToGrid w:val="0"/>
                <w:u w:val="single"/>
              </w:rPr>
            </w:pPr>
            <w:r w:rsidRPr="006F5B25">
              <w:rPr>
                <w:iCs/>
                <w:snapToGrid w:val="0"/>
                <w:u w:val="single"/>
              </w:rPr>
              <w:t xml:space="preserve">High </w:t>
            </w:r>
            <w:r w:rsidR="006F5B25">
              <w:rPr>
                <w:iCs/>
                <w:snapToGrid w:val="0"/>
                <w:u w:val="single"/>
              </w:rPr>
              <w:t>i</w:t>
            </w:r>
            <w:r w:rsidRPr="006F5B25">
              <w:rPr>
                <w:iCs/>
                <w:snapToGrid w:val="0"/>
                <w:u w:val="single"/>
              </w:rPr>
              <w:t>mpact</w:t>
            </w:r>
            <w:r w:rsidRPr="006F5B25">
              <w:rPr>
                <w:iCs/>
                <w:snapToGrid w:val="0"/>
              </w:rPr>
              <w:t>. A lifestyle change adoption rate of 90% resulted in an ICER of $21,201 per QALY, whereas a rate of 30% generated an ICER of $79,424 per QALY.</w:t>
            </w:r>
          </w:p>
        </w:tc>
      </w:tr>
      <w:tr w:rsidR="003740A6" w:rsidRPr="00A83BB0" w14:paraId="1D55FCE8" w14:textId="77777777" w:rsidTr="007228BE">
        <w:tc>
          <w:tcPr>
            <w:tcW w:w="941" w:type="pct"/>
            <w:shd w:val="clear" w:color="auto" w:fill="auto"/>
            <w:vAlign w:val="center"/>
          </w:tcPr>
          <w:p w14:paraId="6A66D295" w14:textId="2D7D308E" w:rsidR="003740A6" w:rsidRPr="000341BD" w:rsidRDefault="003740A6" w:rsidP="00B05487">
            <w:pPr>
              <w:pStyle w:val="TableText0"/>
              <w:rPr>
                <w:snapToGrid w:val="0"/>
              </w:rPr>
            </w:pPr>
            <w:r w:rsidRPr="000341BD">
              <w:rPr>
                <w:snapToGrid w:val="0"/>
              </w:rPr>
              <w:t>FEV</w:t>
            </w:r>
            <w:r w:rsidRPr="00432549">
              <w:rPr>
                <w:snapToGrid w:val="0"/>
                <w:vertAlign w:val="subscript"/>
              </w:rPr>
              <w:t>1</w:t>
            </w:r>
            <w:r w:rsidRPr="000341BD">
              <w:rPr>
                <w:snapToGrid w:val="0"/>
              </w:rPr>
              <w:t xml:space="preserve"> rates of decline for </w:t>
            </w:r>
            <w:r w:rsidR="00752281">
              <w:rPr>
                <w:snapToGrid w:val="0"/>
              </w:rPr>
              <w:t>non-panel</w:t>
            </w:r>
            <w:r w:rsidR="00752281" w:rsidRPr="000341BD">
              <w:rPr>
                <w:snapToGrid w:val="0"/>
              </w:rPr>
              <w:t xml:space="preserve"> </w:t>
            </w:r>
            <w:r w:rsidRPr="000341BD">
              <w:rPr>
                <w:snapToGrid w:val="0"/>
              </w:rPr>
              <w:t>variants</w:t>
            </w:r>
          </w:p>
        </w:tc>
        <w:tc>
          <w:tcPr>
            <w:tcW w:w="2358" w:type="pct"/>
            <w:shd w:val="clear" w:color="auto" w:fill="auto"/>
            <w:vAlign w:val="center"/>
          </w:tcPr>
          <w:p w14:paraId="05A9932C" w14:textId="70B7F7F5" w:rsidR="003740A6" w:rsidRDefault="003740A6" w:rsidP="00B05487">
            <w:pPr>
              <w:pStyle w:val="TableText0"/>
              <w:rPr>
                <w:snapToGrid w:val="0"/>
              </w:rPr>
            </w:pPr>
            <w:r>
              <w:rPr>
                <w:snapToGrid w:val="0"/>
              </w:rPr>
              <w:t>The decline in FEV</w:t>
            </w:r>
            <w:r w:rsidRPr="00432549">
              <w:rPr>
                <w:snapToGrid w:val="0"/>
                <w:vertAlign w:val="subscript"/>
              </w:rPr>
              <w:t>1</w:t>
            </w:r>
            <w:r>
              <w:rPr>
                <w:snapToGrid w:val="0"/>
              </w:rPr>
              <w:t xml:space="preserve"> assumptions </w:t>
            </w:r>
            <w:r w:rsidR="00B17B93">
              <w:rPr>
                <w:snapToGrid w:val="0"/>
              </w:rPr>
              <w:t xml:space="preserve">were </w:t>
            </w:r>
            <w:r>
              <w:rPr>
                <w:snapToGrid w:val="0"/>
              </w:rPr>
              <w:t>based on US registry data, which mainly include patients with the PI*ZZ genotype. Other variants may result in similar disease progression; however, there is limited data on the decline in lung function across these variants, given they are not widespread. High and low FEV</w:t>
            </w:r>
            <w:r w:rsidRPr="00432549">
              <w:rPr>
                <w:snapToGrid w:val="0"/>
                <w:vertAlign w:val="subscript"/>
              </w:rPr>
              <w:t>1</w:t>
            </w:r>
            <w:r>
              <w:rPr>
                <w:snapToGrid w:val="0"/>
              </w:rPr>
              <w:t xml:space="preserve"> declines were included in the sensitivity analysis.</w:t>
            </w:r>
          </w:p>
        </w:tc>
        <w:tc>
          <w:tcPr>
            <w:tcW w:w="1701" w:type="pct"/>
            <w:shd w:val="clear" w:color="auto" w:fill="auto"/>
            <w:vAlign w:val="center"/>
          </w:tcPr>
          <w:p w14:paraId="557FA7D2" w14:textId="6A8FCB53" w:rsidR="003740A6" w:rsidRDefault="003740A6" w:rsidP="00B05487">
            <w:pPr>
              <w:pStyle w:val="TableText0"/>
              <w:rPr>
                <w:snapToGrid w:val="0"/>
              </w:rPr>
            </w:pPr>
            <w:r w:rsidRPr="007F00A8">
              <w:rPr>
                <w:snapToGrid w:val="0"/>
                <w:u w:val="single"/>
              </w:rPr>
              <w:t xml:space="preserve">High </w:t>
            </w:r>
            <w:r w:rsidR="006F5B25">
              <w:rPr>
                <w:snapToGrid w:val="0"/>
                <w:u w:val="single"/>
              </w:rPr>
              <w:t>i</w:t>
            </w:r>
            <w:r w:rsidRPr="007F00A8">
              <w:rPr>
                <w:snapToGrid w:val="0"/>
                <w:u w:val="single"/>
              </w:rPr>
              <w:t>mpact</w:t>
            </w:r>
            <w:r w:rsidRPr="006F5B25">
              <w:rPr>
                <w:snapToGrid w:val="0"/>
              </w:rPr>
              <w:t xml:space="preserve">. </w:t>
            </w:r>
            <w:r w:rsidRPr="007F00A8">
              <w:rPr>
                <w:snapToGrid w:val="0"/>
              </w:rPr>
              <w:t>The use of low and high FEV</w:t>
            </w:r>
            <w:r w:rsidRPr="00432549">
              <w:rPr>
                <w:snapToGrid w:val="0"/>
                <w:vertAlign w:val="subscript"/>
              </w:rPr>
              <w:t>1</w:t>
            </w:r>
            <w:r w:rsidRPr="007F00A8">
              <w:rPr>
                <w:snapToGrid w:val="0"/>
              </w:rPr>
              <w:t xml:space="preserve"> decline estimates, which could be associated with some </w:t>
            </w:r>
            <w:r w:rsidR="00752281">
              <w:rPr>
                <w:snapToGrid w:val="0"/>
              </w:rPr>
              <w:t>non-panel</w:t>
            </w:r>
            <w:r w:rsidR="00752281" w:rsidRPr="007F00A8">
              <w:rPr>
                <w:snapToGrid w:val="0"/>
              </w:rPr>
              <w:t xml:space="preserve"> </w:t>
            </w:r>
            <w:r w:rsidRPr="007F00A8">
              <w:rPr>
                <w:snapToGrid w:val="0"/>
              </w:rPr>
              <w:t>variants, ha</w:t>
            </w:r>
            <w:r>
              <w:rPr>
                <w:snapToGrid w:val="0"/>
              </w:rPr>
              <w:t>d</w:t>
            </w:r>
            <w:r w:rsidRPr="007F00A8">
              <w:rPr>
                <w:snapToGrid w:val="0"/>
              </w:rPr>
              <w:t xml:space="preserve"> a large impact on the estimated ICER. At a lower smoker FEV</w:t>
            </w:r>
            <w:r w:rsidRPr="00432549">
              <w:rPr>
                <w:snapToGrid w:val="0"/>
                <w:vertAlign w:val="subscript"/>
              </w:rPr>
              <w:t>1</w:t>
            </w:r>
            <w:r w:rsidRPr="007F00A8">
              <w:rPr>
                <w:snapToGrid w:val="0"/>
              </w:rPr>
              <w:t xml:space="preserve"> decline of 70</w:t>
            </w:r>
            <w:r>
              <w:rPr>
                <w:snapToGrid w:val="0"/>
              </w:rPr>
              <w:t xml:space="preserve"> ml/year</w:t>
            </w:r>
            <w:r w:rsidRPr="007F00A8">
              <w:rPr>
                <w:snapToGrid w:val="0"/>
              </w:rPr>
              <w:t xml:space="preserve"> for AATD+ patients, the ICER increased to $1</w:t>
            </w:r>
            <w:r w:rsidR="00B17B93">
              <w:rPr>
                <w:snapToGrid w:val="0"/>
              </w:rPr>
              <w:t>27,741</w:t>
            </w:r>
            <w:r>
              <w:rPr>
                <w:snapToGrid w:val="0"/>
              </w:rPr>
              <w:t xml:space="preserve"> </w:t>
            </w:r>
            <w:r w:rsidRPr="007F00A8">
              <w:rPr>
                <w:snapToGrid w:val="0"/>
              </w:rPr>
              <w:t>per QALY</w:t>
            </w:r>
            <w:r>
              <w:rPr>
                <w:snapToGrid w:val="0"/>
              </w:rPr>
              <w:t>.</w:t>
            </w:r>
          </w:p>
        </w:tc>
      </w:tr>
      <w:tr w:rsidR="003740A6" w:rsidRPr="00A83BB0" w14:paraId="651DB788" w14:textId="77777777" w:rsidTr="007228BE">
        <w:trPr>
          <w:cnfStyle w:val="000000100000" w:firstRow="0" w:lastRow="0" w:firstColumn="0" w:lastColumn="0" w:oddVBand="0" w:evenVBand="0" w:oddHBand="1" w:evenHBand="0" w:firstRowFirstColumn="0" w:firstRowLastColumn="0" w:lastRowFirstColumn="0" w:lastRowLastColumn="0"/>
        </w:trPr>
        <w:tc>
          <w:tcPr>
            <w:tcW w:w="941" w:type="pct"/>
            <w:shd w:val="clear" w:color="auto" w:fill="auto"/>
            <w:vAlign w:val="center"/>
          </w:tcPr>
          <w:p w14:paraId="06D40D0D" w14:textId="77777777" w:rsidR="003740A6" w:rsidRPr="000341BD" w:rsidRDefault="003740A6" w:rsidP="00B05487">
            <w:pPr>
              <w:pStyle w:val="TableText0"/>
              <w:rPr>
                <w:snapToGrid w:val="0"/>
              </w:rPr>
            </w:pPr>
            <w:r w:rsidRPr="000341BD">
              <w:rPr>
                <w:snapToGrid w:val="0"/>
              </w:rPr>
              <w:t>Smoking prevalence and lifestyle adoption</w:t>
            </w:r>
          </w:p>
        </w:tc>
        <w:tc>
          <w:tcPr>
            <w:tcW w:w="2358" w:type="pct"/>
            <w:shd w:val="clear" w:color="auto" w:fill="auto"/>
            <w:vAlign w:val="center"/>
          </w:tcPr>
          <w:p w14:paraId="10056B1E" w14:textId="669122AA" w:rsidR="003740A6" w:rsidRPr="00A83BB0" w:rsidRDefault="004B1846" w:rsidP="00B05487">
            <w:pPr>
              <w:pStyle w:val="TableText0"/>
              <w:rPr>
                <w:snapToGrid w:val="0"/>
              </w:rPr>
            </w:pPr>
            <w:r>
              <w:rPr>
                <w:snapToGrid w:val="0"/>
              </w:rPr>
              <w:t>The base case assumed 7% smoking</w:t>
            </w:r>
            <w:r w:rsidR="00B17B93">
              <w:rPr>
                <w:snapToGrid w:val="0"/>
              </w:rPr>
              <w:t xml:space="preserve"> prevalence</w:t>
            </w:r>
            <w:r>
              <w:rPr>
                <w:snapToGrid w:val="0"/>
              </w:rPr>
              <w:t xml:space="preserve"> among adult patients with AATD presenting with COPD or other indications. </w:t>
            </w:r>
            <w:r w:rsidR="003740A6">
              <w:rPr>
                <w:snapToGrid w:val="0"/>
              </w:rPr>
              <w:t>There is considerable uncertainty about smoking rates among COPD patients and those who test genotype-positive for AATD. Clinical feedback during the assessment indicated COPD patients would cease smoking with or without receiving genotype-positive AATD diagnoses.</w:t>
            </w:r>
          </w:p>
        </w:tc>
        <w:tc>
          <w:tcPr>
            <w:tcW w:w="1701" w:type="pct"/>
            <w:shd w:val="clear" w:color="auto" w:fill="auto"/>
            <w:vAlign w:val="center"/>
          </w:tcPr>
          <w:p w14:paraId="3AEB04A3" w14:textId="10BFF3A3" w:rsidR="003740A6" w:rsidRPr="00A83BB0" w:rsidRDefault="003740A6" w:rsidP="00B05487">
            <w:pPr>
              <w:pStyle w:val="TableText0"/>
              <w:rPr>
                <w:snapToGrid w:val="0"/>
              </w:rPr>
            </w:pPr>
            <w:r w:rsidRPr="00A027A7">
              <w:rPr>
                <w:snapToGrid w:val="0"/>
                <w:u w:val="single"/>
              </w:rPr>
              <w:t>High impact</w:t>
            </w:r>
            <w:r w:rsidRPr="00A87860">
              <w:rPr>
                <w:snapToGrid w:val="0"/>
              </w:rPr>
              <w:t xml:space="preserve">. </w:t>
            </w:r>
            <w:r>
              <w:rPr>
                <w:snapToGrid w:val="0"/>
              </w:rPr>
              <w:t>If the rate of smoking in COPD patients was 3% in the absence of AATD diagnosis, then the estimated ICER increase</w:t>
            </w:r>
            <w:r w:rsidR="00526303">
              <w:rPr>
                <w:snapToGrid w:val="0"/>
              </w:rPr>
              <w:t>d</w:t>
            </w:r>
            <w:r>
              <w:rPr>
                <w:snapToGrid w:val="0"/>
              </w:rPr>
              <w:t xml:space="preserve"> to $9</w:t>
            </w:r>
            <w:r w:rsidR="004B1846">
              <w:rPr>
                <w:snapToGrid w:val="0"/>
              </w:rPr>
              <w:t>3,072</w:t>
            </w:r>
            <w:r>
              <w:rPr>
                <w:snapToGrid w:val="0"/>
              </w:rPr>
              <w:t xml:space="preserve"> per QALY</w:t>
            </w:r>
            <w:r w:rsidR="00B17B93">
              <w:rPr>
                <w:snapToGrid w:val="0"/>
              </w:rPr>
              <w:t>. If smoking prevalence was 25%, then the ICER decrease</w:t>
            </w:r>
            <w:r w:rsidR="00526303">
              <w:rPr>
                <w:snapToGrid w:val="0"/>
              </w:rPr>
              <w:t>d</w:t>
            </w:r>
            <w:r w:rsidR="00B17B93">
              <w:rPr>
                <w:snapToGrid w:val="0"/>
              </w:rPr>
              <w:t xml:space="preserve"> to $4,717</w:t>
            </w:r>
            <w:r w:rsidR="00526303">
              <w:rPr>
                <w:snapToGrid w:val="0"/>
              </w:rPr>
              <w:t xml:space="preserve"> per QALY</w:t>
            </w:r>
            <w:r w:rsidR="00B17B93">
              <w:rPr>
                <w:snapToGrid w:val="0"/>
              </w:rPr>
              <w:t>.</w:t>
            </w:r>
          </w:p>
        </w:tc>
      </w:tr>
      <w:tr w:rsidR="00752281" w:rsidRPr="00A83BB0" w14:paraId="23E784D0" w14:textId="77777777" w:rsidTr="007228BE">
        <w:tc>
          <w:tcPr>
            <w:tcW w:w="941" w:type="pct"/>
            <w:shd w:val="clear" w:color="auto" w:fill="auto"/>
            <w:vAlign w:val="center"/>
          </w:tcPr>
          <w:p w14:paraId="6EDAD5E7" w14:textId="77777777" w:rsidR="00752281" w:rsidRPr="000341BD" w:rsidRDefault="00752281" w:rsidP="00B05487">
            <w:pPr>
              <w:pStyle w:val="TableText0"/>
              <w:rPr>
                <w:snapToGrid w:val="0"/>
              </w:rPr>
            </w:pPr>
            <w:r w:rsidRPr="000341BD">
              <w:rPr>
                <w:snapToGrid w:val="0"/>
              </w:rPr>
              <w:t>Cost of the test</w:t>
            </w:r>
          </w:p>
        </w:tc>
        <w:tc>
          <w:tcPr>
            <w:tcW w:w="2358" w:type="pct"/>
            <w:shd w:val="clear" w:color="auto" w:fill="auto"/>
            <w:vAlign w:val="center"/>
          </w:tcPr>
          <w:p w14:paraId="5C4CF441" w14:textId="52B3F5B8" w:rsidR="00752281" w:rsidRPr="00A83BB0" w:rsidRDefault="00752281" w:rsidP="00B05487">
            <w:pPr>
              <w:pStyle w:val="TableText0"/>
              <w:rPr>
                <w:snapToGrid w:val="0"/>
              </w:rPr>
            </w:pPr>
            <w:r>
              <w:rPr>
                <w:snapToGrid w:val="0"/>
              </w:rPr>
              <w:t xml:space="preserve">Costs for the 14- and 2-variant panels are proposed to be </w:t>
            </w:r>
            <w:r w:rsidRPr="009A7EFC">
              <w:rPr>
                <w:snapToGrid w:val="0"/>
              </w:rPr>
              <w:t>$100 and $78</w:t>
            </w:r>
            <w:r>
              <w:rPr>
                <w:snapToGrid w:val="0"/>
              </w:rPr>
              <w:t>,</w:t>
            </w:r>
            <w:r w:rsidRPr="009A7EFC">
              <w:rPr>
                <w:snapToGrid w:val="0"/>
              </w:rPr>
              <w:t xml:space="preserve"> </w:t>
            </w:r>
            <w:r>
              <w:rPr>
                <w:snapToGrid w:val="0"/>
              </w:rPr>
              <w:t xml:space="preserve">respectively. The cost was varied by 10% in sensitivity analyses. </w:t>
            </w:r>
            <w:r w:rsidRPr="009A7EFC">
              <w:rPr>
                <w:snapToGrid w:val="0"/>
              </w:rPr>
              <w:t>The applicant note</w:t>
            </w:r>
            <w:r>
              <w:rPr>
                <w:snapToGrid w:val="0"/>
              </w:rPr>
              <w:t>d</w:t>
            </w:r>
            <w:r w:rsidRPr="009A7EFC">
              <w:rPr>
                <w:snapToGrid w:val="0"/>
              </w:rPr>
              <w:t xml:space="preserve"> that </w:t>
            </w:r>
            <w:r w:rsidRPr="00AD5B78">
              <w:rPr>
                <w:i/>
                <w:snapToGrid w:val="0"/>
              </w:rPr>
              <w:t>SERPINA1</w:t>
            </w:r>
            <w:r w:rsidRPr="009A7EFC">
              <w:rPr>
                <w:snapToGrid w:val="0"/>
              </w:rPr>
              <w:t xml:space="preserve"> sequencing is offered by Queensland Health for $260</w:t>
            </w:r>
            <w:r>
              <w:rPr>
                <w:snapToGrid w:val="0"/>
              </w:rPr>
              <w:t>. Sensitivity analyses were included with these testing costs.</w:t>
            </w:r>
          </w:p>
        </w:tc>
        <w:tc>
          <w:tcPr>
            <w:tcW w:w="1701" w:type="pct"/>
            <w:shd w:val="clear" w:color="auto" w:fill="auto"/>
            <w:vAlign w:val="center"/>
          </w:tcPr>
          <w:p w14:paraId="0F434CD7" w14:textId="27D69391" w:rsidR="00752281" w:rsidRPr="00A83BB0" w:rsidRDefault="00752281" w:rsidP="00B05487">
            <w:pPr>
              <w:pStyle w:val="TableText0"/>
              <w:rPr>
                <w:snapToGrid w:val="0"/>
              </w:rPr>
            </w:pPr>
            <w:r w:rsidRPr="007F00A8">
              <w:rPr>
                <w:snapToGrid w:val="0"/>
                <w:u w:val="single"/>
              </w:rPr>
              <w:t xml:space="preserve">Moderate </w:t>
            </w:r>
            <w:r w:rsidR="006F5B25">
              <w:rPr>
                <w:snapToGrid w:val="0"/>
                <w:u w:val="single"/>
              </w:rPr>
              <w:t>i</w:t>
            </w:r>
            <w:r w:rsidRPr="007F00A8">
              <w:rPr>
                <w:snapToGrid w:val="0"/>
                <w:u w:val="single"/>
              </w:rPr>
              <w:t>mpact</w:t>
            </w:r>
            <w:r w:rsidRPr="006F5B25">
              <w:rPr>
                <w:snapToGrid w:val="0"/>
              </w:rPr>
              <w:t xml:space="preserve">. </w:t>
            </w:r>
            <w:r w:rsidRPr="007F00A8">
              <w:rPr>
                <w:snapToGrid w:val="0"/>
              </w:rPr>
              <w:t>Changing the 14</w:t>
            </w:r>
            <w:r>
              <w:rPr>
                <w:snapToGrid w:val="0"/>
              </w:rPr>
              <w:t>-variant</w:t>
            </w:r>
            <w:r w:rsidRPr="007F00A8">
              <w:rPr>
                <w:snapToGrid w:val="0"/>
              </w:rPr>
              <w:t xml:space="preserve"> panel cost from $90</w:t>
            </w:r>
            <w:r>
              <w:rPr>
                <w:snapToGrid w:val="0"/>
              </w:rPr>
              <w:t xml:space="preserve"> to $</w:t>
            </w:r>
            <w:r w:rsidRPr="007F00A8">
              <w:rPr>
                <w:snapToGrid w:val="0"/>
              </w:rPr>
              <w:t>100</w:t>
            </w:r>
            <w:r>
              <w:rPr>
                <w:snapToGrid w:val="0"/>
              </w:rPr>
              <w:t>,</w:t>
            </w:r>
            <w:r w:rsidRPr="007F00A8">
              <w:rPr>
                <w:snapToGrid w:val="0"/>
              </w:rPr>
              <w:t xml:space="preserve"> var</w:t>
            </w:r>
            <w:r w:rsidR="007228BE">
              <w:rPr>
                <w:snapToGrid w:val="0"/>
              </w:rPr>
              <w:t>ied</w:t>
            </w:r>
            <w:r w:rsidRPr="007F00A8">
              <w:rPr>
                <w:snapToGrid w:val="0"/>
              </w:rPr>
              <w:t xml:space="preserve"> the ICER from $34</w:t>
            </w:r>
            <w:r>
              <w:rPr>
                <w:snapToGrid w:val="0"/>
              </w:rPr>
              <w:t>,0</w:t>
            </w:r>
            <w:r w:rsidR="00526303">
              <w:rPr>
                <w:snapToGrid w:val="0"/>
              </w:rPr>
              <w:t>49</w:t>
            </w:r>
            <w:r w:rsidRPr="007F00A8">
              <w:rPr>
                <w:snapToGrid w:val="0"/>
              </w:rPr>
              <w:t xml:space="preserve"> to $37</w:t>
            </w:r>
            <w:r>
              <w:rPr>
                <w:snapToGrid w:val="0"/>
              </w:rPr>
              <w:t>,</w:t>
            </w:r>
            <w:r w:rsidR="00526303">
              <w:rPr>
                <w:snapToGrid w:val="0"/>
              </w:rPr>
              <w:t>464</w:t>
            </w:r>
            <w:r w:rsidRPr="007F00A8">
              <w:rPr>
                <w:snapToGrid w:val="0"/>
              </w:rPr>
              <w:t xml:space="preserve"> per QALY. Varying the cost of sequencing by 10% ha</w:t>
            </w:r>
            <w:r>
              <w:rPr>
                <w:snapToGrid w:val="0"/>
              </w:rPr>
              <w:t>d</w:t>
            </w:r>
            <w:r w:rsidRPr="007F00A8">
              <w:rPr>
                <w:snapToGrid w:val="0"/>
              </w:rPr>
              <w:t xml:space="preserve"> a larger impact</w:t>
            </w:r>
            <w:r>
              <w:rPr>
                <w:snapToGrid w:val="0"/>
              </w:rPr>
              <w:t>,</w:t>
            </w:r>
            <w:r w:rsidRPr="007F00A8">
              <w:rPr>
                <w:snapToGrid w:val="0"/>
              </w:rPr>
              <w:t xml:space="preserve"> given the cost per test is $260 and a large percentage (76%) of inconclusive panel tests </w:t>
            </w:r>
            <w:r>
              <w:rPr>
                <w:snapToGrid w:val="0"/>
              </w:rPr>
              <w:t>will require sequencing</w:t>
            </w:r>
            <w:r w:rsidRPr="007F00A8">
              <w:rPr>
                <w:snapToGrid w:val="0"/>
              </w:rPr>
              <w:t>.</w:t>
            </w:r>
          </w:p>
        </w:tc>
      </w:tr>
      <w:tr w:rsidR="003740A6" w:rsidRPr="004517AD" w14:paraId="25151CC9" w14:textId="77777777" w:rsidTr="007228BE">
        <w:trPr>
          <w:cnfStyle w:val="000000100000" w:firstRow="0" w:lastRow="0" w:firstColumn="0" w:lastColumn="0" w:oddVBand="0" w:evenVBand="0" w:oddHBand="1" w:evenHBand="0" w:firstRowFirstColumn="0" w:firstRowLastColumn="0" w:lastRowFirstColumn="0" w:lastRowLastColumn="0"/>
        </w:trPr>
        <w:tc>
          <w:tcPr>
            <w:tcW w:w="941" w:type="pct"/>
            <w:shd w:val="clear" w:color="auto" w:fill="auto"/>
            <w:vAlign w:val="center"/>
          </w:tcPr>
          <w:p w14:paraId="4016BFD6" w14:textId="491D8A0B" w:rsidR="003740A6" w:rsidRPr="000341BD" w:rsidRDefault="003740A6" w:rsidP="00B05487">
            <w:pPr>
              <w:pStyle w:val="TableText0"/>
              <w:rPr>
                <w:snapToGrid w:val="0"/>
              </w:rPr>
            </w:pPr>
            <w:r w:rsidRPr="000341BD">
              <w:rPr>
                <w:snapToGrid w:val="0"/>
              </w:rPr>
              <w:t>Disease management costs for COPD</w:t>
            </w:r>
          </w:p>
        </w:tc>
        <w:tc>
          <w:tcPr>
            <w:tcW w:w="2358" w:type="pct"/>
            <w:shd w:val="clear" w:color="auto" w:fill="auto"/>
            <w:vAlign w:val="center"/>
          </w:tcPr>
          <w:p w14:paraId="43CA5001" w14:textId="77777777" w:rsidR="003740A6" w:rsidRPr="00A83BB0" w:rsidRDefault="003740A6" w:rsidP="00B05487">
            <w:pPr>
              <w:pStyle w:val="TableText0"/>
              <w:rPr>
                <w:snapToGrid w:val="0"/>
              </w:rPr>
            </w:pPr>
            <w:r w:rsidRPr="004D0726">
              <w:rPr>
                <w:snapToGrid w:val="0"/>
              </w:rPr>
              <w:t xml:space="preserve">Disease management costs </w:t>
            </w:r>
            <w:r>
              <w:rPr>
                <w:snapToGrid w:val="0"/>
              </w:rPr>
              <w:t xml:space="preserve">based on a UK study were used in the economic model. The proportions of mild, severe and very severe cases are varied </w:t>
            </w:r>
            <w:r w:rsidRPr="004D0726">
              <w:rPr>
                <w:snapToGrid w:val="0"/>
              </w:rPr>
              <w:t>by 20% for each COPD state</w:t>
            </w:r>
            <w:r>
              <w:rPr>
                <w:snapToGrid w:val="0"/>
              </w:rPr>
              <w:t xml:space="preserve"> in a series of sensitivity analyses.</w:t>
            </w:r>
          </w:p>
        </w:tc>
        <w:tc>
          <w:tcPr>
            <w:tcW w:w="1701" w:type="pct"/>
            <w:shd w:val="clear" w:color="auto" w:fill="auto"/>
            <w:vAlign w:val="center"/>
          </w:tcPr>
          <w:p w14:paraId="436C1958" w14:textId="1BC45C26" w:rsidR="003740A6" w:rsidRPr="00F50440" w:rsidRDefault="003740A6" w:rsidP="00B05487">
            <w:pPr>
              <w:pStyle w:val="TableText0"/>
              <w:rPr>
                <w:snapToGrid w:val="0"/>
              </w:rPr>
            </w:pPr>
            <w:r w:rsidRPr="00A027A7">
              <w:rPr>
                <w:snapToGrid w:val="0"/>
                <w:u w:val="single"/>
              </w:rPr>
              <w:t>Low impact</w:t>
            </w:r>
            <w:r w:rsidRPr="00A87860">
              <w:rPr>
                <w:snapToGrid w:val="0"/>
              </w:rPr>
              <w:t>.</w:t>
            </w:r>
            <w:r>
              <w:rPr>
                <w:snapToGrid w:val="0"/>
              </w:rPr>
              <w:t xml:space="preserve"> </w:t>
            </w:r>
            <w:r w:rsidRPr="004D0726">
              <w:rPr>
                <w:snapToGrid w:val="0"/>
              </w:rPr>
              <w:t>This variation ha</w:t>
            </w:r>
            <w:r w:rsidR="007228BE">
              <w:rPr>
                <w:snapToGrid w:val="0"/>
              </w:rPr>
              <w:t>d</w:t>
            </w:r>
            <w:r w:rsidRPr="004D0726">
              <w:rPr>
                <w:snapToGrid w:val="0"/>
              </w:rPr>
              <w:t xml:space="preserve"> limited impact </w:t>
            </w:r>
            <w:r>
              <w:rPr>
                <w:snapToGrid w:val="0"/>
              </w:rPr>
              <w:t>on</w:t>
            </w:r>
            <w:r w:rsidRPr="004D0726">
              <w:rPr>
                <w:snapToGrid w:val="0"/>
              </w:rPr>
              <w:t xml:space="preserve"> economic results. </w:t>
            </w:r>
            <w:r>
              <w:rPr>
                <w:snapToGrid w:val="0"/>
              </w:rPr>
              <w:t>Differences in testing costs and lung transplant costs ha</w:t>
            </w:r>
            <w:r w:rsidR="007228BE">
              <w:rPr>
                <w:snapToGrid w:val="0"/>
              </w:rPr>
              <w:t>d</w:t>
            </w:r>
            <w:r>
              <w:rPr>
                <w:snapToGrid w:val="0"/>
              </w:rPr>
              <w:t xml:space="preserve"> a larger impact on the ICER</w:t>
            </w:r>
            <w:r w:rsidR="00752281">
              <w:rPr>
                <w:snapToGrid w:val="0"/>
              </w:rPr>
              <w:t>.</w:t>
            </w:r>
          </w:p>
        </w:tc>
      </w:tr>
    </w:tbl>
    <w:p w14:paraId="35FE205D" w14:textId="559A433F" w:rsidR="003740A6" w:rsidRDefault="003740A6" w:rsidP="00B05487">
      <w:pPr>
        <w:pStyle w:val="Tablenotes1"/>
      </w:pPr>
      <w:bookmarkStart w:id="41" w:name="_Hlk29232945"/>
      <w:r>
        <w:t>AATD = alpha-1 antitrypsin deficiency; COPD = chronic obstructive pulmonary disease; FEV</w:t>
      </w:r>
      <w:r w:rsidRPr="00432549">
        <w:rPr>
          <w:vertAlign w:val="subscript"/>
        </w:rPr>
        <w:t>1</w:t>
      </w:r>
      <w:r>
        <w:t xml:space="preserve"> = forced expiratory volume in 1 second; </w:t>
      </w:r>
      <w:r w:rsidRPr="0073386C">
        <w:t xml:space="preserve">ICER = </w:t>
      </w:r>
      <w:r>
        <w:t>i</w:t>
      </w:r>
      <w:r w:rsidRPr="0073386C">
        <w:t xml:space="preserve">ncremental </w:t>
      </w:r>
      <w:r>
        <w:t>c</w:t>
      </w:r>
      <w:r w:rsidRPr="0073386C">
        <w:t>ost</w:t>
      </w:r>
      <w:r>
        <w:t>-e</w:t>
      </w:r>
      <w:r w:rsidRPr="0073386C">
        <w:t xml:space="preserve">ffectiveness </w:t>
      </w:r>
      <w:r>
        <w:t>r</w:t>
      </w:r>
      <w:r w:rsidRPr="0073386C">
        <w:t>atio, QALYs</w:t>
      </w:r>
      <w:r>
        <w:t xml:space="preserve"> </w:t>
      </w:r>
      <w:r w:rsidRPr="0073386C">
        <w:t>= quality</w:t>
      </w:r>
      <w:r>
        <w:t>-</w:t>
      </w:r>
      <w:r w:rsidRPr="0073386C">
        <w:t>adjusted life years</w:t>
      </w:r>
      <w:bookmarkEnd w:id="41"/>
      <w:r>
        <w:t>.</w:t>
      </w:r>
    </w:p>
    <w:p w14:paraId="6F712F2E" w14:textId="1965D495" w:rsidR="003740A6" w:rsidRDefault="003740A6" w:rsidP="00B05487">
      <w:pPr>
        <w:pStyle w:val="Tablenotes1"/>
      </w:pPr>
      <w:r>
        <w:t>Source: DCAR Table 6</w:t>
      </w:r>
      <w:r w:rsidR="00752281">
        <w:t xml:space="preserve">, </w:t>
      </w:r>
      <w:r w:rsidR="00B60410">
        <w:t xml:space="preserve">including </w:t>
      </w:r>
      <w:r w:rsidR="00752281">
        <w:t>additions by ESC</w:t>
      </w:r>
      <w:r>
        <w:t>.</w:t>
      </w:r>
    </w:p>
    <w:p w14:paraId="09CF683C" w14:textId="2E2935A7" w:rsidR="003B0F05" w:rsidRDefault="003B0F05" w:rsidP="00B05487">
      <w:r>
        <w:lastRenderedPageBreak/>
        <w:t xml:space="preserve">The rejoinder conducted a further sensitivity analysis to </w:t>
      </w:r>
      <w:r w:rsidR="00752281">
        <w:t>re-</w:t>
      </w:r>
      <w:r>
        <w:t xml:space="preserve">examine the DCAR’s assumption of equivalent diagnostic yields for IEF and the 2-variant panel. </w:t>
      </w:r>
      <w:r w:rsidR="00752281">
        <w:t>I</w:t>
      </w:r>
      <w:r>
        <w:t xml:space="preserve">f the ratio of diagnostic yields between IEF and the 2-variant panel observed by Snyder is applied to the diagnostic yield observed for the 2-variant panel by Ottaviani, then the hypothetical diagnostic yield for IEF in the Ottaviani population </w:t>
      </w:r>
      <w:r w:rsidR="00752281">
        <w:t>is</w:t>
      </w:r>
      <w:r>
        <w:t xml:space="preserve"> 21.4%. A sensitivity analysis using this diagnostic yield for IEF produced a higher ICER </w:t>
      </w:r>
      <w:r w:rsidR="000E1ED1">
        <w:t xml:space="preserve">for genetic testing, </w:t>
      </w:r>
      <w:r>
        <w:t>of $52,875 per QALY gained.</w:t>
      </w:r>
    </w:p>
    <w:p w14:paraId="40BE0065" w14:textId="77777777" w:rsidR="00294511" w:rsidRPr="00D90D56" w:rsidRDefault="00294511"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t>Financial/budgetary impacts</w:t>
      </w:r>
    </w:p>
    <w:p w14:paraId="04AF4F70" w14:textId="71E7AC1D" w:rsidR="00D27847" w:rsidRDefault="003740A6" w:rsidP="009B136F">
      <w:pPr>
        <w:spacing w:after="240"/>
      </w:pPr>
      <w:r>
        <w:t>The DCAR used a market share approach to estimate utilisation of genetic testing</w:t>
      </w:r>
      <w:r w:rsidR="00CF2A6D">
        <w:t>, assuming 70% of IEF i</w:t>
      </w:r>
      <w:r w:rsidR="002F247B">
        <w:t>s replaced by genetic testing</w:t>
      </w:r>
      <w:r w:rsidR="00D27847">
        <w:t>. The flow of patients and diagnostic yield assumptions used in the DCAR’s financial calculations are presented below (</w:t>
      </w:r>
      <w:r w:rsidR="00095E12">
        <w:fldChar w:fldCharType="begin"/>
      </w:r>
      <w:r w:rsidR="00095E12">
        <w:instrText xml:space="preserve"> REF _Ref74221818 </w:instrText>
      </w:r>
      <w:r w:rsidR="00095E12">
        <w:fldChar w:fldCharType="separate"/>
      </w:r>
      <w:r w:rsidR="00095E12">
        <w:t xml:space="preserve">Figure </w:t>
      </w:r>
      <w:r w:rsidR="00095E12">
        <w:rPr>
          <w:noProof/>
        </w:rPr>
        <w:t>4</w:t>
      </w:r>
      <w:r w:rsidR="00095E12">
        <w:rPr>
          <w:noProof/>
        </w:rPr>
        <w:fldChar w:fldCharType="end"/>
      </w:r>
      <w:r w:rsidR="00D27847">
        <w:t>).</w:t>
      </w:r>
    </w:p>
    <w:p w14:paraId="1CBC5C61" w14:textId="77777777" w:rsidR="00D27847" w:rsidRDefault="00D27847" w:rsidP="00B05487">
      <w:pPr>
        <w:keepNext/>
      </w:pPr>
      <w:r w:rsidRPr="00D27847">
        <w:rPr>
          <w:noProof/>
        </w:rPr>
        <w:drawing>
          <wp:inline distT="0" distB="0" distL="0" distR="0" wp14:anchorId="764C1F1D" wp14:editId="1A8AB12D">
            <wp:extent cx="5731510" cy="4420870"/>
            <wp:effectExtent l="0" t="0" r="2540" b="0"/>
            <wp:docPr id="8" name="Picture 7" descr="Flow of patients and diagnostic yield assumptions used in the financial analyses">
              <a:extLst xmlns:a="http://schemas.openxmlformats.org/drawingml/2006/main">
                <a:ext uri="{FF2B5EF4-FFF2-40B4-BE49-F238E27FC236}">
                  <a16:creationId xmlns:a16="http://schemas.microsoft.com/office/drawing/2014/main" id="{8FC533FF-9223-B249-9387-A99255D808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Flow of patients and diagnostic yield assumptions used in the financial analyses">
                      <a:extLst>
                        <a:ext uri="{FF2B5EF4-FFF2-40B4-BE49-F238E27FC236}">
                          <a16:creationId xmlns:a16="http://schemas.microsoft.com/office/drawing/2014/main" id="{8FC533FF-9223-B249-9387-A99255D8081E}"/>
                        </a:ext>
                      </a:extLst>
                    </pic:cNvPr>
                    <pic:cNvPicPr>
                      <a:picLocks noChangeAspect="1"/>
                    </pic:cNvPicPr>
                  </pic:nvPicPr>
                  <pic:blipFill>
                    <a:blip r:embed="rId17" cstate="hqprint">
                      <a:extLst>
                        <a:ext uri="{28A0092B-C50C-407E-A947-70E740481C1C}">
                          <a14:useLocalDpi xmlns:a14="http://schemas.microsoft.com/office/drawing/2010/main"/>
                        </a:ext>
                      </a:extLst>
                    </a:blip>
                    <a:stretch>
                      <a:fillRect/>
                    </a:stretch>
                  </pic:blipFill>
                  <pic:spPr>
                    <a:xfrm>
                      <a:off x="0" y="0"/>
                      <a:ext cx="5731510" cy="4420870"/>
                    </a:xfrm>
                    <a:prstGeom prst="rect">
                      <a:avLst/>
                    </a:prstGeom>
                  </pic:spPr>
                </pic:pic>
              </a:graphicData>
            </a:graphic>
          </wp:inline>
        </w:drawing>
      </w:r>
    </w:p>
    <w:p w14:paraId="26729249" w14:textId="16FA7CB7" w:rsidR="00D27847" w:rsidRDefault="00D27847" w:rsidP="00B05487">
      <w:pPr>
        <w:pStyle w:val="Caption"/>
        <w:jc w:val="left"/>
        <w:rPr>
          <w:b w:val="0"/>
        </w:rPr>
      </w:pPr>
      <w:bookmarkStart w:id="42" w:name="_Ref74221818"/>
      <w:r>
        <w:t xml:space="preserve">Figure </w:t>
      </w:r>
      <w:r w:rsidR="00095E12">
        <w:fldChar w:fldCharType="begin"/>
      </w:r>
      <w:r w:rsidR="00095E12">
        <w:instrText xml:space="preserve"> SEQ Figure \* ARABIC </w:instrText>
      </w:r>
      <w:r w:rsidR="00095E12">
        <w:fldChar w:fldCharType="separate"/>
      </w:r>
      <w:r w:rsidR="00095E12">
        <w:rPr>
          <w:noProof/>
        </w:rPr>
        <w:t>4</w:t>
      </w:r>
      <w:r w:rsidR="00095E12">
        <w:rPr>
          <w:noProof/>
        </w:rPr>
        <w:fldChar w:fldCharType="end"/>
      </w:r>
      <w:bookmarkEnd w:id="42"/>
      <w:r>
        <w:tab/>
        <w:t xml:space="preserve">Flow of patients and diagnostic yield assumptions </w:t>
      </w:r>
      <w:r w:rsidR="00CF2A6D">
        <w:t>used in</w:t>
      </w:r>
      <w:r>
        <w:t xml:space="preserve"> the financial analyses</w:t>
      </w:r>
    </w:p>
    <w:p w14:paraId="2AB0A30B" w14:textId="326D37BE" w:rsidR="00D27847" w:rsidRPr="00D27847" w:rsidRDefault="00D27847" w:rsidP="00B05487">
      <w:pPr>
        <w:pStyle w:val="Tablenotes1"/>
      </w:pPr>
      <w:r>
        <w:t>Source: ESC</w:t>
      </w:r>
    </w:p>
    <w:p w14:paraId="472D3D09" w14:textId="7299223B" w:rsidR="00AB5273" w:rsidRDefault="00AB5273" w:rsidP="00B05487">
      <w:r>
        <w:t xml:space="preserve">In the pre-ESC response, the applicant disagreed with the DCAR’s assumption of 70% market share substitution of IEF by genetic testing, stating that </w:t>
      </w:r>
      <w:r w:rsidRPr="00D27847">
        <w:t xml:space="preserve">it is unclear why only 70% of IEF tests will be substituted by 14-variant panel testing instead of the proposed 100%. </w:t>
      </w:r>
      <w:r w:rsidR="002F41F8">
        <w:t xml:space="preserve">The applicant stated that </w:t>
      </w:r>
      <w:r w:rsidRPr="00D27847">
        <w:t>IEF will be superseded by</w:t>
      </w:r>
      <w:r w:rsidR="002F41F8">
        <w:t xml:space="preserve"> genetic testing</w:t>
      </w:r>
      <w:r w:rsidRPr="00D27847">
        <w:t>, with Australian laboratories currently disinvesting themselves from this technology</w:t>
      </w:r>
      <w:r w:rsidR="006F5B25">
        <w:t>, and that a</w:t>
      </w:r>
      <w:r w:rsidRPr="00D27847">
        <w:t xml:space="preserve"> more appropriate base case analysis would be 100% </w:t>
      </w:r>
      <w:r w:rsidR="002F41F8">
        <w:t>genetic</w:t>
      </w:r>
      <w:r w:rsidRPr="00D27847">
        <w:t xml:space="preserve"> testing, followed by a one-way sensitivity analysis of 70%.</w:t>
      </w:r>
    </w:p>
    <w:p w14:paraId="0F54E690" w14:textId="45B30F1F" w:rsidR="003740A6" w:rsidRDefault="003740A6" w:rsidP="009B136F">
      <w:pPr>
        <w:spacing w:before="240"/>
      </w:pPr>
      <w:r w:rsidRPr="003740A6">
        <w:t xml:space="preserve">The 5-year budget impact underpinned by the </w:t>
      </w:r>
      <w:r w:rsidR="002F247B">
        <w:t xml:space="preserve">DCAR’s </w:t>
      </w:r>
      <w:r w:rsidRPr="003740A6">
        <w:t xml:space="preserve">assumptions is presented in </w:t>
      </w:r>
      <w:r w:rsidR="00095E12">
        <w:fldChar w:fldCharType="begin"/>
      </w:r>
      <w:r w:rsidR="00095E12">
        <w:instrText xml:space="preserve"> REF _Ref74149952 </w:instrText>
      </w:r>
      <w:r w:rsidR="00095E12">
        <w:fldChar w:fldCharType="separate"/>
      </w:r>
      <w:r w:rsidR="00095E12">
        <w:t xml:space="preserve">Table </w:t>
      </w:r>
      <w:r w:rsidR="00095E12">
        <w:rPr>
          <w:noProof/>
        </w:rPr>
        <w:t>14</w:t>
      </w:r>
      <w:r w:rsidR="00095E12">
        <w:rPr>
          <w:noProof/>
        </w:rPr>
        <w:fldChar w:fldCharType="end"/>
      </w:r>
      <w:r w:rsidRPr="003740A6">
        <w:t xml:space="preserve">. Net costs are limited to the MBS and increase from $573,462 in 2022 to $603,869 in 2026. The budget impact analysis is most sensitive to the assumed number of </w:t>
      </w:r>
      <w:r w:rsidR="00D27847">
        <w:t>panel</w:t>
      </w:r>
      <w:r w:rsidR="00D27847" w:rsidRPr="003740A6">
        <w:t xml:space="preserve"> </w:t>
      </w:r>
      <w:r w:rsidRPr="003740A6">
        <w:t>tests conducted.</w:t>
      </w:r>
      <w:bookmarkStart w:id="43" w:name="_Ref56617796"/>
      <w:bookmarkStart w:id="44" w:name="_Ref56683258"/>
    </w:p>
    <w:p w14:paraId="471DDEEE" w14:textId="3FF864C0" w:rsidR="003740A6" w:rsidRDefault="003740A6" w:rsidP="00B05487">
      <w:pPr>
        <w:pStyle w:val="Caption"/>
      </w:pPr>
      <w:bookmarkStart w:id="45" w:name="_Ref74149952"/>
      <w:bookmarkStart w:id="46" w:name="_Toc72826826"/>
      <w:bookmarkEnd w:id="43"/>
      <w:r>
        <w:lastRenderedPageBreak/>
        <w:t xml:space="preserve">Table </w:t>
      </w:r>
      <w:r w:rsidR="00095E12">
        <w:fldChar w:fldCharType="begin"/>
      </w:r>
      <w:r w:rsidR="00095E12">
        <w:instrText xml:space="preserve"> SEQ Table \* ARABIC </w:instrText>
      </w:r>
      <w:r w:rsidR="00095E12">
        <w:fldChar w:fldCharType="separate"/>
      </w:r>
      <w:r w:rsidR="00095E12">
        <w:rPr>
          <w:noProof/>
        </w:rPr>
        <w:t>14</w:t>
      </w:r>
      <w:r w:rsidR="00095E12">
        <w:rPr>
          <w:noProof/>
        </w:rPr>
        <w:fldChar w:fldCharType="end"/>
      </w:r>
      <w:bookmarkEnd w:id="45"/>
      <w:r>
        <w:tab/>
      </w:r>
      <w:r w:rsidRPr="00982E69">
        <w:t xml:space="preserve">Budget impact of </w:t>
      </w:r>
      <w:r>
        <w:t xml:space="preserve">AAT </w:t>
      </w:r>
      <w:r w:rsidR="00920862">
        <w:t>genetic testing</w:t>
      </w:r>
      <w:r w:rsidRPr="00982E69">
        <w:t xml:space="preserve"> listing, 202</w:t>
      </w:r>
      <w:r>
        <w:t>2–</w:t>
      </w:r>
      <w:r w:rsidRPr="00982E69">
        <w:t>202</w:t>
      </w:r>
      <w:bookmarkEnd w:id="44"/>
      <w:r>
        <w:t>6</w:t>
      </w:r>
      <w:bookmarkEnd w:id="46"/>
    </w:p>
    <w:tbl>
      <w:tblPr>
        <w:tblStyle w:val="TableGridLight"/>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6 Budget impact of AAT genotyping listing, 2022–2026"/>
        <w:tblDescription w:val="Table 6 Budget impact of AAT genotyping listing, 2022–2026"/>
      </w:tblPr>
      <w:tblGrid>
        <w:gridCol w:w="2972"/>
        <w:gridCol w:w="1219"/>
        <w:gridCol w:w="1219"/>
        <w:gridCol w:w="1219"/>
        <w:gridCol w:w="1219"/>
        <w:gridCol w:w="1219"/>
      </w:tblGrid>
      <w:tr w:rsidR="003740A6" w:rsidRPr="00212D12" w14:paraId="68D47598" w14:textId="77777777" w:rsidTr="00BC4EA9">
        <w:trPr>
          <w:trHeight w:val="255"/>
          <w:tblHeader/>
        </w:trPr>
        <w:tc>
          <w:tcPr>
            <w:tcW w:w="2972" w:type="dxa"/>
            <w:shd w:val="clear" w:color="auto" w:fill="D9D9D9" w:themeFill="background1" w:themeFillShade="D9"/>
            <w:noWrap/>
            <w:vAlign w:val="center"/>
            <w:hideMark/>
          </w:tcPr>
          <w:p w14:paraId="5FFE2846" w14:textId="77777777" w:rsidR="003740A6" w:rsidRPr="00212D12" w:rsidRDefault="003740A6" w:rsidP="00B05487">
            <w:pPr>
              <w:ind w:right="-23"/>
              <w:rPr>
                <w:rFonts w:ascii="Arial Narrow" w:hAnsi="Arial Narrow" w:cs="Calibri"/>
                <w:b/>
                <w:bCs/>
                <w:color w:val="000000"/>
                <w:sz w:val="20"/>
              </w:rPr>
            </w:pPr>
            <w:r w:rsidRPr="00212D12">
              <w:rPr>
                <w:rFonts w:ascii="Arial Narrow" w:hAnsi="Arial Narrow" w:cs="Calibri"/>
                <w:b/>
                <w:bCs/>
                <w:color w:val="000000"/>
                <w:sz w:val="20"/>
              </w:rPr>
              <w:t>Costs to the MBS</w:t>
            </w:r>
          </w:p>
        </w:tc>
        <w:tc>
          <w:tcPr>
            <w:tcW w:w="1219" w:type="dxa"/>
            <w:shd w:val="clear" w:color="auto" w:fill="D9D9D9" w:themeFill="background1" w:themeFillShade="D9"/>
            <w:noWrap/>
            <w:vAlign w:val="center"/>
            <w:hideMark/>
          </w:tcPr>
          <w:p w14:paraId="345C0123"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2022</w:t>
            </w:r>
          </w:p>
        </w:tc>
        <w:tc>
          <w:tcPr>
            <w:tcW w:w="1219" w:type="dxa"/>
            <w:shd w:val="clear" w:color="auto" w:fill="D9D9D9" w:themeFill="background1" w:themeFillShade="D9"/>
            <w:noWrap/>
            <w:vAlign w:val="center"/>
            <w:hideMark/>
          </w:tcPr>
          <w:p w14:paraId="48A47148"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2023</w:t>
            </w:r>
          </w:p>
        </w:tc>
        <w:tc>
          <w:tcPr>
            <w:tcW w:w="1219" w:type="dxa"/>
            <w:shd w:val="clear" w:color="auto" w:fill="D9D9D9" w:themeFill="background1" w:themeFillShade="D9"/>
            <w:noWrap/>
            <w:vAlign w:val="center"/>
            <w:hideMark/>
          </w:tcPr>
          <w:p w14:paraId="679AC1A1"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2024</w:t>
            </w:r>
          </w:p>
        </w:tc>
        <w:tc>
          <w:tcPr>
            <w:tcW w:w="1219" w:type="dxa"/>
            <w:shd w:val="clear" w:color="auto" w:fill="D9D9D9" w:themeFill="background1" w:themeFillShade="D9"/>
            <w:noWrap/>
            <w:vAlign w:val="center"/>
            <w:hideMark/>
          </w:tcPr>
          <w:p w14:paraId="37031B99"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2025</w:t>
            </w:r>
          </w:p>
        </w:tc>
        <w:tc>
          <w:tcPr>
            <w:tcW w:w="1219" w:type="dxa"/>
            <w:shd w:val="clear" w:color="auto" w:fill="D9D9D9" w:themeFill="background1" w:themeFillShade="D9"/>
            <w:noWrap/>
            <w:vAlign w:val="center"/>
            <w:hideMark/>
          </w:tcPr>
          <w:p w14:paraId="0D469BD2"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2026</w:t>
            </w:r>
          </w:p>
        </w:tc>
      </w:tr>
      <w:tr w:rsidR="003740A6" w:rsidRPr="00212D12" w14:paraId="10071FCB" w14:textId="77777777" w:rsidTr="00BC4EA9">
        <w:trPr>
          <w:trHeight w:val="255"/>
        </w:trPr>
        <w:tc>
          <w:tcPr>
            <w:tcW w:w="2972" w:type="dxa"/>
            <w:shd w:val="clear" w:color="auto" w:fill="auto"/>
            <w:noWrap/>
            <w:vAlign w:val="center"/>
            <w:hideMark/>
          </w:tcPr>
          <w:p w14:paraId="39B02BCD" w14:textId="77777777" w:rsidR="003740A6" w:rsidRPr="00212D12" w:rsidRDefault="003740A6" w:rsidP="00B05487">
            <w:pPr>
              <w:ind w:right="-23"/>
              <w:rPr>
                <w:rFonts w:ascii="Arial Narrow" w:hAnsi="Arial Narrow" w:cs="Calibri"/>
                <w:color w:val="000000"/>
                <w:sz w:val="20"/>
              </w:rPr>
            </w:pPr>
            <w:r w:rsidRPr="00212D12">
              <w:rPr>
                <w:rFonts w:ascii="Arial Narrow" w:hAnsi="Arial Narrow" w:cs="Calibri"/>
                <w:color w:val="000000"/>
                <w:sz w:val="20"/>
              </w:rPr>
              <w:t>IEF tests without listing (66683)</w:t>
            </w:r>
          </w:p>
        </w:tc>
        <w:tc>
          <w:tcPr>
            <w:tcW w:w="1219" w:type="dxa"/>
            <w:shd w:val="clear" w:color="auto" w:fill="auto"/>
            <w:noWrap/>
            <w:vAlign w:val="center"/>
            <w:hideMark/>
          </w:tcPr>
          <w:p w14:paraId="368D1A4F"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$72,975</w:t>
            </w:r>
          </w:p>
        </w:tc>
        <w:tc>
          <w:tcPr>
            <w:tcW w:w="1219" w:type="dxa"/>
            <w:shd w:val="clear" w:color="auto" w:fill="auto"/>
            <w:noWrap/>
            <w:vAlign w:val="center"/>
            <w:hideMark/>
          </w:tcPr>
          <w:p w14:paraId="5E372370"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$73,924</w:t>
            </w:r>
          </w:p>
        </w:tc>
        <w:tc>
          <w:tcPr>
            <w:tcW w:w="1219" w:type="dxa"/>
            <w:shd w:val="clear" w:color="auto" w:fill="auto"/>
            <w:noWrap/>
            <w:vAlign w:val="center"/>
            <w:hideMark/>
          </w:tcPr>
          <w:p w14:paraId="04575842"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$74,885</w:t>
            </w:r>
          </w:p>
        </w:tc>
        <w:tc>
          <w:tcPr>
            <w:tcW w:w="1219" w:type="dxa"/>
            <w:shd w:val="clear" w:color="auto" w:fill="auto"/>
            <w:noWrap/>
            <w:vAlign w:val="center"/>
            <w:hideMark/>
          </w:tcPr>
          <w:p w14:paraId="25E183EA"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$75,858</w:t>
            </w:r>
          </w:p>
        </w:tc>
        <w:tc>
          <w:tcPr>
            <w:tcW w:w="1219" w:type="dxa"/>
            <w:shd w:val="clear" w:color="auto" w:fill="auto"/>
            <w:noWrap/>
            <w:vAlign w:val="center"/>
            <w:hideMark/>
          </w:tcPr>
          <w:p w14:paraId="578E7ABA"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$76,844</w:t>
            </w:r>
          </w:p>
        </w:tc>
      </w:tr>
      <w:tr w:rsidR="003740A6" w:rsidRPr="00212D12" w14:paraId="23D21679" w14:textId="77777777" w:rsidTr="00BC4EA9">
        <w:trPr>
          <w:trHeight w:val="255"/>
        </w:trPr>
        <w:tc>
          <w:tcPr>
            <w:tcW w:w="2972" w:type="dxa"/>
            <w:shd w:val="clear" w:color="auto" w:fill="auto"/>
            <w:noWrap/>
            <w:vAlign w:val="center"/>
          </w:tcPr>
          <w:p w14:paraId="7C5B69A3" w14:textId="77777777" w:rsidR="003740A6" w:rsidRPr="00212D12" w:rsidRDefault="003740A6" w:rsidP="00B05487">
            <w:pPr>
              <w:ind w:right="-23"/>
              <w:rPr>
                <w:rFonts w:ascii="Arial Narrow" w:hAnsi="Arial Narrow" w:cs="Calibri"/>
                <w:color w:val="000000"/>
                <w:sz w:val="20"/>
              </w:rPr>
            </w:pPr>
            <w:r w:rsidRPr="00212D12">
              <w:rPr>
                <w:rFonts w:ascii="Arial Narrow" w:hAnsi="Arial Narrow" w:cs="Calibri"/>
                <w:color w:val="000000"/>
                <w:sz w:val="20"/>
              </w:rPr>
              <w:t>Counselling costs</w:t>
            </w:r>
          </w:p>
        </w:tc>
        <w:tc>
          <w:tcPr>
            <w:tcW w:w="1219" w:type="dxa"/>
            <w:shd w:val="clear" w:color="auto" w:fill="auto"/>
            <w:noWrap/>
            <w:vAlign w:val="center"/>
          </w:tcPr>
          <w:p w14:paraId="59F08993"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color w:val="000000"/>
                <w:sz w:val="20"/>
              </w:rPr>
              <w:t>$46,929</w:t>
            </w:r>
          </w:p>
        </w:tc>
        <w:tc>
          <w:tcPr>
            <w:tcW w:w="1219" w:type="dxa"/>
            <w:shd w:val="clear" w:color="auto" w:fill="auto"/>
            <w:noWrap/>
            <w:vAlign w:val="center"/>
          </w:tcPr>
          <w:p w14:paraId="7BDAB3E0"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color w:val="000000"/>
                <w:sz w:val="20"/>
              </w:rPr>
              <w:t>$47,539</w:t>
            </w:r>
          </w:p>
        </w:tc>
        <w:tc>
          <w:tcPr>
            <w:tcW w:w="1219" w:type="dxa"/>
            <w:shd w:val="clear" w:color="auto" w:fill="auto"/>
            <w:noWrap/>
            <w:vAlign w:val="center"/>
          </w:tcPr>
          <w:p w14:paraId="103392A9"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color w:val="000000"/>
                <w:sz w:val="20"/>
              </w:rPr>
              <w:t>$48,157</w:t>
            </w:r>
          </w:p>
        </w:tc>
        <w:tc>
          <w:tcPr>
            <w:tcW w:w="1219" w:type="dxa"/>
            <w:shd w:val="clear" w:color="auto" w:fill="auto"/>
            <w:noWrap/>
            <w:vAlign w:val="center"/>
          </w:tcPr>
          <w:p w14:paraId="258E21A8"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color w:val="000000"/>
                <w:sz w:val="20"/>
              </w:rPr>
              <w:t>$48,783</w:t>
            </w:r>
          </w:p>
        </w:tc>
        <w:tc>
          <w:tcPr>
            <w:tcW w:w="1219" w:type="dxa"/>
            <w:shd w:val="clear" w:color="auto" w:fill="auto"/>
            <w:noWrap/>
            <w:vAlign w:val="center"/>
          </w:tcPr>
          <w:p w14:paraId="58ADEFB7"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color w:val="000000"/>
                <w:sz w:val="20"/>
              </w:rPr>
              <w:t>$49,417</w:t>
            </w:r>
          </w:p>
        </w:tc>
      </w:tr>
      <w:tr w:rsidR="003740A6" w:rsidRPr="00212D12" w14:paraId="46A8E40E" w14:textId="77777777" w:rsidTr="00BC4EA9">
        <w:trPr>
          <w:trHeight w:val="255"/>
        </w:trPr>
        <w:tc>
          <w:tcPr>
            <w:tcW w:w="2972" w:type="dxa"/>
            <w:shd w:val="clear" w:color="auto" w:fill="D9D9D9" w:themeFill="background1" w:themeFillShade="D9"/>
            <w:noWrap/>
            <w:vAlign w:val="center"/>
            <w:hideMark/>
          </w:tcPr>
          <w:p w14:paraId="4DB4F560" w14:textId="77777777" w:rsidR="003740A6" w:rsidRPr="00212D12" w:rsidRDefault="003740A6" w:rsidP="00B05487">
            <w:pPr>
              <w:ind w:right="-23"/>
              <w:rPr>
                <w:rFonts w:ascii="Arial Narrow" w:hAnsi="Arial Narrow" w:cs="Calibri"/>
                <w:b/>
                <w:bCs/>
                <w:color w:val="000000"/>
                <w:sz w:val="20"/>
              </w:rPr>
            </w:pPr>
            <w:r w:rsidRPr="00212D12">
              <w:rPr>
                <w:rFonts w:ascii="Arial Narrow" w:hAnsi="Arial Narrow" w:cs="Calibri"/>
                <w:b/>
                <w:bCs/>
                <w:color w:val="000000"/>
                <w:sz w:val="20"/>
              </w:rPr>
              <w:t>Total MBS costs without listing</w:t>
            </w:r>
          </w:p>
        </w:tc>
        <w:tc>
          <w:tcPr>
            <w:tcW w:w="1219" w:type="dxa"/>
            <w:shd w:val="clear" w:color="auto" w:fill="D9D9D9" w:themeFill="background1" w:themeFillShade="D9"/>
            <w:noWrap/>
            <w:vAlign w:val="center"/>
            <w:hideMark/>
          </w:tcPr>
          <w:p w14:paraId="3236406A"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$119,904</w:t>
            </w:r>
          </w:p>
        </w:tc>
        <w:tc>
          <w:tcPr>
            <w:tcW w:w="1219" w:type="dxa"/>
            <w:shd w:val="clear" w:color="auto" w:fill="D9D9D9" w:themeFill="background1" w:themeFillShade="D9"/>
            <w:noWrap/>
            <w:vAlign w:val="center"/>
            <w:hideMark/>
          </w:tcPr>
          <w:p w14:paraId="6651E27F"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$121,462</w:t>
            </w:r>
          </w:p>
        </w:tc>
        <w:tc>
          <w:tcPr>
            <w:tcW w:w="1219" w:type="dxa"/>
            <w:shd w:val="clear" w:color="auto" w:fill="D9D9D9" w:themeFill="background1" w:themeFillShade="D9"/>
            <w:noWrap/>
            <w:vAlign w:val="center"/>
            <w:hideMark/>
          </w:tcPr>
          <w:p w14:paraId="6E6B009E"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$123,041</w:t>
            </w:r>
          </w:p>
        </w:tc>
        <w:tc>
          <w:tcPr>
            <w:tcW w:w="1219" w:type="dxa"/>
            <w:shd w:val="clear" w:color="auto" w:fill="D9D9D9" w:themeFill="background1" w:themeFillShade="D9"/>
            <w:noWrap/>
            <w:vAlign w:val="center"/>
            <w:hideMark/>
          </w:tcPr>
          <w:p w14:paraId="1A03AF7A"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$124,641</w:t>
            </w:r>
          </w:p>
        </w:tc>
        <w:tc>
          <w:tcPr>
            <w:tcW w:w="1219" w:type="dxa"/>
            <w:shd w:val="clear" w:color="auto" w:fill="D9D9D9" w:themeFill="background1" w:themeFillShade="D9"/>
            <w:noWrap/>
            <w:vAlign w:val="center"/>
            <w:hideMark/>
          </w:tcPr>
          <w:p w14:paraId="1A6F9B63"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$126,261</w:t>
            </w:r>
          </w:p>
        </w:tc>
      </w:tr>
      <w:tr w:rsidR="003740A6" w:rsidRPr="00212D12" w14:paraId="07DED0F7" w14:textId="77777777" w:rsidTr="00BC4EA9">
        <w:trPr>
          <w:trHeight w:val="255"/>
        </w:trPr>
        <w:tc>
          <w:tcPr>
            <w:tcW w:w="2972" w:type="dxa"/>
            <w:shd w:val="clear" w:color="auto" w:fill="auto"/>
            <w:noWrap/>
            <w:vAlign w:val="center"/>
            <w:hideMark/>
          </w:tcPr>
          <w:p w14:paraId="5841C4AD" w14:textId="77777777" w:rsidR="003740A6" w:rsidRPr="00212D12" w:rsidRDefault="003740A6" w:rsidP="00B05487">
            <w:pPr>
              <w:ind w:right="-23"/>
              <w:rPr>
                <w:rFonts w:ascii="Arial Narrow" w:hAnsi="Arial Narrow" w:cs="Calibri"/>
                <w:color w:val="000000"/>
                <w:sz w:val="20"/>
              </w:rPr>
            </w:pPr>
            <w:r w:rsidRPr="00212D12">
              <w:rPr>
                <w:rFonts w:ascii="Arial Narrow" w:hAnsi="Arial Narrow" w:cs="Calibri"/>
                <w:color w:val="000000"/>
                <w:sz w:val="20"/>
              </w:rPr>
              <w:t>IEF tests with listing (66683)</w:t>
            </w:r>
          </w:p>
        </w:tc>
        <w:tc>
          <w:tcPr>
            <w:tcW w:w="1219" w:type="dxa"/>
            <w:shd w:val="clear" w:color="auto" w:fill="auto"/>
            <w:noWrap/>
            <w:vAlign w:val="center"/>
            <w:hideMark/>
          </w:tcPr>
          <w:p w14:paraId="6E2307A6"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$21,893</w:t>
            </w:r>
          </w:p>
        </w:tc>
        <w:tc>
          <w:tcPr>
            <w:tcW w:w="1219" w:type="dxa"/>
            <w:shd w:val="clear" w:color="auto" w:fill="auto"/>
            <w:noWrap/>
            <w:vAlign w:val="center"/>
            <w:hideMark/>
          </w:tcPr>
          <w:p w14:paraId="50E94D3C"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$22,177</w:t>
            </w:r>
          </w:p>
        </w:tc>
        <w:tc>
          <w:tcPr>
            <w:tcW w:w="1219" w:type="dxa"/>
            <w:shd w:val="clear" w:color="auto" w:fill="auto"/>
            <w:noWrap/>
            <w:vAlign w:val="center"/>
            <w:hideMark/>
          </w:tcPr>
          <w:p w14:paraId="2144E039"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$22,465</w:t>
            </w:r>
          </w:p>
        </w:tc>
        <w:tc>
          <w:tcPr>
            <w:tcW w:w="1219" w:type="dxa"/>
            <w:shd w:val="clear" w:color="auto" w:fill="auto"/>
            <w:noWrap/>
            <w:vAlign w:val="center"/>
            <w:hideMark/>
          </w:tcPr>
          <w:p w14:paraId="6A5AB3FC"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$22,757</w:t>
            </w:r>
          </w:p>
        </w:tc>
        <w:tc>
          <w:tcPr>
            <w:tcW w:w="1219" w:type="dxa"/>
            <w:shd w:val="clear" w:color="auto" w:fill="auto"/>
            <w:noWrap/>
            <w:vAlign w:val="center"/>
            <w:hideMark/>
          </w:tcPr>
          <w:p w14:paraId="34B7BD1D"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$23,053</w:t>
            </w:r>
          </w:p>
        </w:tc>
      </w:tr>
      <w:tr w:rsidR="003740A6" w:rsidRPr="00212D12" w14:paraId="1367E81F" w14:textId="77777777" w:rsidTr="00BC4EA9">
        <w:trPr>
          <w:trHeight w:val="300"/>
        </w:trPr>
        <w:tc>
          <w:tcPr>
            <w:tcW w:w="2972" w:type="dxa"/>
            <w:shd w:val="clear" w:color="auto" w:fill="auto"/>
            <w:noWrap/>
            <w:vAlign w:val="center"/>
            <w:hideMark/>
          </w:tcPr>
          <w:p w14:paraId="0A033587" w14:textId="77777777" w:rsidR="003740A6" w:rsidRPr="00212D12" w:rsidRDefault="003740A6" w:rsidP="00B05487">
            <w:pPr>
              <w:ind w:right="-23"/>
              <w:rPr>
                <w:rFonts w:ascii="Arial Narrow" w:hAnsi="Arial Narrow" w:cs="Calibri"/>
                <w:color w:val="000000"/>
                <w:sz w:val="20"/>
              </w:rPr>
            </w:pPr>
            <w:r w:rsidRPr="00212D12">
              <w:rPr>
                <w:rFonts w:ascii="Arial Narrow" w:hAnsi="Arial Narrow" w:cs="Calibri"/>
                <w:color w:val="000000"/>
                <w:sz w:val="20"/>
              </w:rPr>
              <w:t>Panel tests (AAAA)</w:t>
            </w:r>
          </w:p>
        </w:tc>
        <w:tc>
          <w:tcPr>
            <w:tcW w:w="1219" w:type="dxa"/>
            <w:shd w:val="clear" w:color="auto" w:fill="auto"/>
            <w:noWrap/>
            <w:vAlign w:val="center"/>
            <w:hideMark/>
          </w:tcPr>
          <w:p w14:paraId="38292C73"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$104,125</w:t>
            </w:r>
          </w:p>
        </w:tc>
        <w:tc>
          <w:tcPr>
            <w:tcW w:w="1219" w:type="dxa"/>
            <w:shd w:val="clear" w:color="auto" w:fill="auto"/>
            <w:noWrap/>
            <w:vAlign w:val="center"/>
            <w:hideMark/>
          </w:tcPr>
          <w:p w14:paraId="1E9AF84B"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$105,479</w:t>
            </w:r>
          </w:p>
        </w:tc>
        <w:tc>
          <w:tcPr>
            <w:tcW w:w="1219" w:type="dxa"/>
            <w:shd w:val="clear" w:color="auto" w:fill="auto"/>
            <w:noWrap/>
            <w:vAlign w:val="center"/>
            <w:hideMark/>
          </w:tcPr>
          <w:p w14:paraId="3A3417C8"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$106,850</w:t>
            </w:r>
          </w:p>
        </w:tc>
        <w:tc>
          <w:tcPr>
            <w:tcW w:w="1219" w:type="dxa"/>
            <w:shd w:val="clear" w:color="auto" w:fill="auto"/>
            <w:noWrap/>
            <w:vAlign w:val="center"/>
            <w:hideMark/>
          </w:tcPr>
          <w:p w14:paraId="7B8138E2"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$108,239</w:t>
            </w:r>
          </w:p>
        </w:tc>
        <w:tc>
          <w:tcPr>
            <w:tcW w:w="1219" w:type="dxa"/>
            <w:shd w:val="clear" w:color="auto" w:fill="auto"/>
            <w:noWrap/>
            <w:vAlign w:val="center"/>
            <w:hideMark/>
          </w:tcPr>
          <w:p w14:paraId="27701F27"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$109,646</w:t>
            </w:r>
          </w:p>
        </w:tc>
      </w:tr>
      <w:tr w:rsidR="003740A6" w:rsidRPr="00212D12" w14:paraId="6A8AB5CB" w14:textId="77777777" w:rsidTr="00BC4EA9">
        <w:trPr>
          <w:trHeight w:val="300"/>
        </w:trPr>
        <w:tc>
          <w:tcPr>
            <w:tcW w:w="2972" w:type="dxa"/>
            <w:shd w:val="clear" w:color="auto" w:fill="auto"/>
            <w:noWrap/>
            <w:vAlign w:val="center"/>
            <w:hideMark/>
          </w:tcPr>
          <w:p w14:paraId="1440B5A5" w14:textId="77777777" w:rsidR="003740A6" w:rsidRPr="00212D12" w:rsidRDefault="003740A6" w:rsidP="00B05487">
            <w:pPr>
              <w:ind w:right="-23"/>
              <w:rPr>
                <w:rFonts w:ascii="Arial Narrow" w:hAnsi="Arial Narrow" w:cs="Calibri"/>
                <w:color w:val="000000"/>
                <w:sz w:val="20"/>
              </w:rPr>
            </w:pPr>
            <w:r w:rsidRPr="00212D12">
              <w:rPr>
                <w:rFonts w:ascii="Arial Narrow" w:hAnsi="Arial Narrow" w:cs="Calibri"/>
                <w:color w:val="000000"/>
                <w:sz w:val="20"/>
              </w:rPr>
              <w:t>Sequencing tests (BBBB)</w:t>
            </w:r>
          </w:p>
        </w:tc>
        <w:tc>
          <w:tcPr>
            <w:tcW w:w="1219" w:type="dxa"/>
            <w:shd w:val="clear" w:color="auto" w:fill="auto"/>
            <w:noWrap/>
            <w:vAlign w:val="center"/>
            <w:hideMark/>
          </w:tcPr>
          <w:p w14:paraId="11854041"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$205,724</w:t>
            </w:r>
          </w:p>
        </w:tc>
        <w:tc>
          <w:tcPr>
            <w:tcW w:w="1219" w:type="dxa"/>
            <w:shd w:val="clear" w:color="auto" w:fill="auto"/>
            <w:noWrap/>
            <w:vAlign w:val="center"/>
            <w:hideMark/>
          </w:tcPr>
          <w:p w14:paraId="3FFEB1C4"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$208,398</w:t>
            </w:r>
          </w:p>
        </w:tc>
        <w:tc>
          <w:tcPr>
            <w:tcW w:w="1219" w:type="dxa"/>
            <w:shd w:val="clear" w:color="auto" w:fill="auto"/>
            <w:noWrap/>
            <w:vAlign w:val="center"/>
            <w:hideMark/>
          </w:tcPr>
          <w:p w14:paraId="28F66FDD"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$211,108</w:t>
            </w:r>
          </w:p>
        </w:tc>
        <w:tc>
          <w:tcPr>
            <w:tcW w:w="1219" w:type="dxa"/>
            <w:shd w:val="clear" w:color="auto" w:fill="auto"/>
            <w:noWrap/>
            <w:vAlign w:val="center"/>
            <w:hideMark/>
          </w:tcPr>
          <w:p w14:paraId="112E4BF4"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$213,852</w:t>
            </w:r>
          </w:p>
        </w:tc>
        <w:tc>
          <w:tcPr>
            <w:tcW w:w="1219" w:type="dxa"/>
            <w:shd w:val="clear" w:color="auto" w:fill="auto"/>
            <w:noWrap/>
            <w:vAlign w:val="center"/>
            <w:hideMark/>
          </w:tcPr>
          <w:p w14:paraId="38247AE0"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$216,632</w:t>
            </w:r>
          </w:p>
        </w:tc>
      </w:tr>
      <w:tr w:rsidR="003740A6" w:rsidRPr="00212D12" w14:paraId="4B25CCAE" w14:textId="77777777" w:rsidTr="00BC4EA9">
        <w:trPr>
          <w:trHeight w:val="255"/>
        </w:trPr>
        <w:tc>
          <w:tcPr>
            <w:tcW w:w="2972" w:type="dxa"/>
            <w:shd w:val="clear" w:color="auto" w:fill="auto"/>
            <w:noWrap/>
            <w:vAlign w:val="center"/>
          </w:tcPr>
          <w:p w14:paraId="666D2574" w14:textId="77777777" w:rsidR="003740A6" w:rsidRPr="00212D12" w:rsidRDefault="003740A6" w:rsidP="00B05487">
            <w:pPr>
              <w:ind w:right="-23"/>
              <w:rPr>
                <w:rFonts w:ascii="Arial Narrow" w:hAnsi="Arial Narrow" w:cs="Calibri"/>
                <w:color w:val="000000"/>
                <w:sz w:val="20"/>
              </w:rPr>
            </w:pPr>
            <w:r w:rsidRPr="00212D12">
              <w:rPr>
                <w:rFonts w:ascii="Arial Narrow" w:hAnsi="Arial Narrow" w:cs="Calibri"/>
                <w:color w:val="000000"/>
                <w:sz w:val="20"/>
              </w:rPr>
              <w:t>Cascade tests (CCCC)</w:t>
            </w:r>
          </w:p>
        </w:tc>
        <w:tc>
          <w:tcPr>
            <w:tcW w:w="1219" w:type="dxa"/>
            <w:shd w:val="clear" w:color="auto" w:fill="auto"/>
            <w:noWrap/>
            <w:vAlign w:val="center"/>
          </w:tcPr>
          <w:p w14:paraId="0442C4E3"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$103,263</w:t>
            </w:r>
          </w:p>
        </w:tc>
        <w:tc>
          <w:tcPr>
            <w:tcW w:w="1219" w:type="dxa"/>
            <w:shd w:val="clear" w:color="auto" w:fill="auto"/>
            <w:noWrap/>
            <w:vAlign w:val="center"/>
          </w:tcPr>
          <w:p w14:paraId="1087E19B"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$104,606</w:t>
            </w:r>
          </w:p>
        </w:tc>
        <w:tc>
          <w:tcPr>
            <w:tcW w:w="1219" w:type="dxa"/>
            <w:shd w:val="clear" w:color="auto" w:fill="auto"/>
            <w:noWrap/>
            <w:vAlign w:val="center"/>
          </w:tcPr>
          <w:p w14:paraId="47E6A012"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$105,966</w:t>
            </w:r>
          </w:p>
        </w:tc>
        <w:tc>
          <w:tcPr>
            <w:tcW w:w="1219" w:type="dxa"/>
            <w:shd w:val="clear" w:color="auto" w:fill="auto"/>
            <w:noWrap/>
            <w:vAlign w:val="center"/>
          </w:tcPr>
          <w:p w14:paraId="7597A52F"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$107,343</w:t>
            </w:r>
          </w:p>
        </w:tc>
        <w:tc>
          <w:tcPr>
            <w:tcW w:w="1219" w:type="dxa"/>
            <w:shd w:val="clear" w:color="auto" w:fill="auto"/>
            <w:noWrap/>
            <w:vAlign w:val="center"/>
          </w:tcPr>
          <w:p w14:paraId="55A8E353"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$108,739</w:t>
            </w:r>
          </w:p>
        </w:tc>
      </w:tr>
      <w:tr w:rsidR="003740A6" w:rsidRPr="00212D12" w14:paraId="1524C453" w14:textId="77777777" w:rsidTr="00BC4EA9">
        <w:trPr>
          <w:trHeight w:val="255"/>
        </w:trPr>
        <w:tc>
          <w:tcPr>
            <w:tcW w:w="2972" w:type="dxa"/>
            <w:shd w:val="clear" w:color="auto" w:fill="auto"/>
            <w:noWrap/>
            <w:vAlign w:val="center"/>
          </w:tcPr>
          <w:p w14:paraId="042A0DC6" w14:textId="77777777" w:rsidR="003740A6" w:rsidRPr="00212D12" w:rsidRDefault="003740A6" w:rsidP="00B05487">
            <w:pPr>
              <w:ind w:right="-23"/>
              <w:rPr>
                <w:rFonts w:ascii="Arial Narrow" w:hAnsi="Arial Narrow" w:cs="Calibri"/>
                <w:color w:val="000000"/>
                <w:sz w:val="20"/>
              </w:rPr>
            </w:pPr>
            <w:r w:rsidRPr="00212D12">
              <w:rPr>
                <w:rFonts w:ascii="Arial Narrow" w:hAnsi="Arial Narrow" w:cs="Calibri"/>
                <w:color w:val="000000"/>
                <w:sz w:val="20"/>
              </w:rPr>
              <w:t>Counselling costs</w:t>
            </w:r>
          </w:p>
        </w:tc>
        <w:tc>
          <w:tcPr>
            <w:tcW w:w="1219" w:type="dxa"/>
            <w:shd w:val="clear" w:color="auto" w:fill="auto"/>
            <w:noWrap/>
            <w:vAlign w:val="center"/>
          </w:tcPr>
          <w:p w14:paraId="5C5F213F"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$258,361</w:t>
            </w:r>
          </w:p>
        </w:tc>
        <w:tc>
          <w:tcPr>
            <w:tcW w:w="1219" w:type="dxa"/>
            <w:shd w:val="clear" w:color="auto" w:fill="auto"/>
            <w:noWrap/>
            <w:vAlign w:val="center"/>
          </w:tcPr>
          <w:p w14:paraId="488B5031"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$261,720</w:t>
            </w:r>
          </w:p>
        </w:tc>
        <w:tc>
          <w:tcPr>
            <w:tcW w:w="1219" w:type="dxa"/>
            <w:shd w:val="clear" w:color="auto" w:fill="auto"/>
            <w:noWrap/>
            <w:vAlign w:val="center"/>
          </w:tcPr>
          <w:p w14:paraId="23904DA1"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$265,122</w:t>
            </w:r>
          </w:p>
        </w:tc>
        <w:tc>
          <w:tcPr>
            <w:tcW w:w="1219" w:type="dxa"/>
            <w:shd w:val="clear" w:color="auto" w:fill="auto"/>
            <w:noWrap/>
            <w:vAlign w:val="center"/>
          </w:tcPr>
          <w:p w14:paraId="71FEED8E"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$268,569</w:t>
            </w:r>
          </w:p>
        </w:tc>
        <w:tc>
          <w:tcPr>
            <w:tcW w:w="1219" w:type="dxa"/>
            <w:shd w:val="clear" w:color="auto" w:fill="auto"/>
            <w:noWrap/>
            <w:vAlign w:val="center"/>
          </w:tcPr>
          <w:p w14:paraId="5BEC5925" w14:textId="77777777" w:rsidR="003740A6" w:rsidRPr="00212D12" w:rsidRDefault="003740A6" w:rsidP="00B05487">
            <w:pPr>
              <w:ind w:right="-23"/>
              <w:jc w:val="center"/>
              <w:rPr>
                <w:rFonts w:ascii="Arial Narrow" w:hAnsi="Arial Narrow" w:cs="Calibri"/>
                <w:color w:val="000000"/>
                <w:sz w:val="20"/>
              </w:rPr>
            </w:pPr>
            <w:r w:rsidRPr="00212D12">
              <w:rPr>
                <w:rFonts w:ascii="Arial Narrow" w:hAnsi="Arial Narrow" w:cs="Calibri"/>
                <w:color w:val="000000"/>
                <w:sz w:val="20"/>
              </w:rPr>
              <w:t>$272,060</w:t>
            </w:r>
          </w:p>
        </w:tc>
      </w:tr>
      <w:tr w:rsidR="003740A6" w:rsidRPr="00212D12" w14:paraId="61A43102" w14:textId="77777777" w:rsidTr="00BC4EA9">
        <w:trPr>
          <w:trHeight w:val="255"/>
        </w:trPr>
        <w:tc>
          <w:tcPr>
            <w:tcW w:w="2972" w:type="dxa"/>
            <w:shd w:val="clear" w:color="auto" w:fill="D9D9D9" w:themeFill="background1" w:themeFillShade="D9"/>
            <w:noWrap/>
            <w:vAlign w:val="center"/>
            <w:hideMark/>
          </w:tcPr>
          <w:p w14:paraId="3E8C5C80" w14:textId="77777777" w:rsidR="003740A6" w:rsidRPr="00212D12" w:rsidRDefault="003740A6" w:rsidP="00B05487">
            <w:pPr>
              <w:ind w:right="-23"/>
              <w:rPr>
                <w:rFonts w:ascii="Arial Narrow" w:hAnsi="Arial Narrow" w:cs="Calibri"/>
                <w:b/>
                <w:bCs/>
                <w:color w:val="000000"/>
                <w:sz w:val="20"/>
              </w:rPr>
            </w:pPr>
            <w:r w:rsidRPr="00212D12">
              <w:rPr>
                <w:rFonts w:ascii="Arial Narrow" w:hAnsi="Arial Narrow" w:cs="Calibri"/>
                <w:b/>
                <w:bCs/>
                <w:color w:val="000000"/>
                <w:sz w:val="20"/>
              </w:rPr>
              <w:t>Total MBS costs with listing</w:t>
            </w:r>
          </w:p>
        </w:tc>
        <w:tc>
          <w:tcPr>
            <w:tcW w:w="1219" w:type="dxa"/>
            <w:shd w:val="clear" w:color="auto" w:fill="D9D9D9" w:themeFill="background1" w:themeFillShade="D9"/>
            <w:noWrap/>
            <w:vAlign w:val="center"/>
            <w:hideMark/>
          </w:tcPr>
          <w:p w14:paraId="29C564C1"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$693,366</w:t>
            </w:r>
          </w:p>
        </w:tc>
        <w:tc>
          <w:tcPr>
            <w:tcW w:w="1219" w:type="dxa"/>
            <w:shd w:val="clear" w:color="auto" w:fill="D9D9D9" w:themeFill="background1" w:themeFillShade="D9"/>
            <w:noWrap/>
            <w:vAlign w:val="center"/>
            <w:hideMark/>
          </w:tcPr>
          <w:p w14:paraId="14B71A2E"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$702,379</w:t>
            </w:r>
          </w:p>
        </w:tc>
        <w:tc>
          <w:tcPr>
            <w:tcW w:w="1219" w:type="dxa"/>
            <w:shd w:val="clear" w:color="auto" w:fill="D9D9D9" w:themeFill="background1" w:themeFillShade="D9"/>
            <w:noWrap/>
            <w:vAlign w:val="center"/>
            <w:hideMark/>
          </w:tcPr>
          <w:p w14:paraId="4F7416ED"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$711,510</w:t>
            </w:r>
          </w:p>
        </w:tc>
        <w:tc>
          <w:tcPr>
            <w:tcW w:w="1219" w:type="dxa"/>
            <w:shd w:val="clear" w:color="auto" w:fill="D9D9D9" w:themeFill="background1" w:themeFillShade="D9"/>
            <w:noWrap/>
            <w:vAlign w:val="center"/>
            <w:hideMark/>
          </w:tcPr>
          <w:p w14:paraId="33A04F20"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$720,760</w:t>
            </w:r>
          </w:p>
        </w:tc>
        <w:tc>
          <w:tcPr>
            <w:tcW w:w="1219" w:type="dxa"/>
            <w:shd w:val="clear" w:color="auto" w:fill="D9D9D9" w:themeFill="background1" w:themeFillShade="D9"/>
            <w:noWrap/>
            <w:vAlign w:val="center"/>
            <w:hideMark/>
          </w:tcPr>
          <w:p w14:paraId="28084DFA"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$730,130</w:t>
            </w:r>
          </w:p>
        </w:tc>
      </w:tr>
      <w:tr w:rsidR="003740A6" w:rsidRPr="00212D12" w14:paraId="5A0CF759" w14:textId="77777777" w:rsidTr="00BC4EA9">
        <w:trPr>
          <w:trHeight w:val="255"/>
        </w:trPr>
        <w:tc>
          <w:tcPr>
            <w:tcW w:w="2972" w:type="dxa"/>
            <w:shd w:val="clear" w:color="auto" w:fill="D9D9D9" w:themeFill="background1" w:themeFillShade="D9"/>
            <w:noWrap/>
            <w:vAlign w:val="center"/>
            <w:hideMark/>
          </w:tcPr>
          <w:p w14:paraId="72F8F49D" w14:textId="77777777" w:rsidR="003740A6" w:rsidRPr="00212D12" w:rsidRDefault="003740A6" w:rsidP="00B05487">
            <w:pPr>
              <w:ind w:right="-23"/>
              <w:rPr>
                <w:rFonts w:ascii="Arial Narrow" w:hAnsi="Arial Narrow" w:cs="Calibri"/>
                <w:b/>
                <w:bCs/>
                <w:color w:val="000000"/>
                <w:sz w:val="20"/>
              </w:rPr>
            </w:pPr>
            <w:r w:rsidRPr="00212D12">
              <w:rPr>
                <w:rFonts w:ascii="Arial Narrow" w:hAnsi="Arial Narrow" w:cs="Calibri"/>
                <w:b/>
                <w:bCs/>
                <w:color w:val="000000"/>
                <w:sz w:val="20"/>
              </w:rPr>
              <w:t>Net MBS costs to government</w:t>
            </w:r>
          </w:p>
        </w:tc>
        <w:tc>
          <w:tcPr>
            <w:tcW w:w="1219" w:type="dxa"/>
            <w:shd w:val="clear" w:color="auto" w:fill="D9D9D9" w:themeFill="background1" w:themeFillShade="D9"/>
            <w:noWrap/>
            <w:vAlign w:val="center"/>
            <w:hideMark/>
          </w:tcPr>
          <w:p w14:paraId="53CD1189"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$573,462</w:t>
            </w:r>
          </w:p>
        </w:tc>
        <w:tc>
          <w:tcPr>
            <w:tcW w:w="1219" w:type="dxa"/>
            <w:shd w:val="clear" w:color="auto" w:fill="D9D9D9" w:themeFill="background1" w:themeFillShade="D9"/>
            <w:noWrap/>
            <w:vAlign w:val="center"/>
            <w:hideMark/>
          </w:tcPr>
          <w:p w14:paraId="7D26A130"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$580,917</w:t>
            </w:r>
          </w:p>
        </w:tc>
        <w:tc>
          <w:tcPr>
            <w:tcW w:w="1219" w:type="dxa"/>
            <w:shd w:val="clear" w:color="auto" w:fill="D9D9D9" w:themeFill="background1" w:themeFillShade="D9"/>
            <w:noWrap/>
            <w:vAlign w:val="center"/>
            <w:hideMark/>
          </w:tcPr>
          <w:p w14:paraId="4E02A845"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$588,469</w:t>
            </w:r>
          </w:p>
        </w:tc>
        <w:tc>
          <w:tcPr>
            <w:tcW w:w="1219" w:type="dxa"/>
            <w:shd w:val="clear" w:color="auto" w:fill="D9D9D9" w:themeFill="background1" w:themeFillShade="D9"/>
            <w:noWrap/>
            <w:vAlign w:val="center"/>
            <w:hideMark/>
          </w:tcPr>
          <w:p w14:paraId="56FE4664"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$596,119</w:t>
            </w:r>
          </w:p>
        </w:tc>
        <w:tc>
          <w:tcPr>
            <w:tcW w:w="1219" w:type="dxa"/>
            <w:shd w:val="clear" w:color="auto" w:fill="D9D9D9" w:themeFill="background1" w:themeFillShade="D9"/>
            <w:noWrap/>
            <w:vAlign w:val="center"/>
            <w:hideMark/>
          </w:tcPr>
          <w:p w14:paraId="73DF56AC" w14:textId="77777777" w:rsidR="003740A6" w:rsidRPr="00212D12" w:rsidRDefault="003740A6" w:rsidP="00B05487">
            <w:pPr>
              <w:ind w:right="-23"/>
              <w:jc w:val="center"/>
              <w:rPr>
                <w:rFonts w:ascii="Arial Narrow" w:hAnsi="Arial Narrow" w:cs="Calibri"/>
                <w:b/>
                <w:bCs/>
                <w:color w:val="000000"/>
                <w:sz w:val="20"/>
              </w:rPr>
            </w:pPr>
            <w:r w:rsidRPr="00212D12">
              <w:rPr>
                <w:rFonts w:ascii="Arial Narrow" w:hAnsi="Arial Narrow" w:cs="Calibri"/>
                <w:b/>
                <w:bCs/>
                <w:color w:val="000000"/>
                <w:sz w:val="20"/>
              </w:rPr>
              <w:t>$603,869</w:t>
            </w:r>
          </w:p>
        </w:tc>
      </w:tr>
    </w:tbl>
    <w:p w14:paraId="3E79FCB4" w14:textId="0310B6C9" w:rsidR="003740A6" w:rsidRDefault="003740A6" w:rsidP="00B05487">
      <w:pPr>
        <w:pStyle w:val="Tablenotes1"/>
      </w:pPr>
      <w:r>
        <w:t xml:space="preserve">AATD = </w:t>
      </w:r>
      <w:r w:rsidRPr="00E675F4">
        <w:t>alpha-1 antitrypsin deficiency</w:t>
      </w:r>
      <w:r>
        <w:t xml:space="preserve">, IEF = </w:t>
      </w:r>
      <w:r w:rsidRPr="001B720E">
        <w:t>Isoelectric focusing</w:t>
      </w:r>
      <w:r>
        <w:t xml:space="preserve">, MBS = Medicare Benefits </w:t>
      </w:r>
      <w:r w:rsidRPr="00E675F4">
        <w:t>Schedule</w:t>
      </w:r>
    </w:p>
    <w:p w14:paraId="4F5578AD" w14:textId="2764B015" w:rsidR="003740A6" w:rsidRDefault="003740A6" w:rsidP="00B05487">
      <w:pPr>
        <w:pStyle w:val="Tablenotes1"/>
        <w:rPr>
          <w:szCs w:val="18"/>
        </w:rPr>
      </w:pPr>
      <w:r>
        <w:t>Source: DCAR Table 7.</w:t>
      </w:r>
    </w:p>
    <w:p w14:paraId="6DB720DD" w14:textId="743AD4DF" w:rsidR="009B136F" w:rsidRPr="009B136F" w:rsidRDefault="00AB5273" w:rsidP="009B136F">
      <w:r>
        <w:t xml:space="preserve">The estimated utilisation and financial impact of </w:t>
      </w:r>
      <w:r w:rsidR="00920862">
        <w:t>cascade</w:t>
      </w:r>
      <w:r>
        <w:t xml:space="preserve"> testing for reproductive partners (DDDD) and fetuses (EEEE) is </w:t>
      </w:r>
      <w:r w:rsidR="002F41F8">
        <w:t xml:space="preserve">provided </w:t>
      </w:r>
      <w:r>
        <w:t>below (</w:t>
      </w:r>
      <w:r w:rsidR="00EF726D">
        <w:t>Table 15</w:t>
      </w:r>
      <w:r>
        <w:t xml:space="preserve">), noting that this table </w:t>
      </w:r>
      <w:r w:rsidR="00920862">
        <w:t xml:space="preserve">also differs from </w:t>
      </w:r>
      <w:r w:rsidR="00095E12">
        <w:fldChar w:fldCharType="begin"/>
      </w:r>
      <w:r w:rsidR="00095E12">
        <w:instrText xml:space="preserve"> REF _Ref74149952 </w:instrText>
      </w:r>
      <w:r w:rsidR="00095E12">
        <w:fldChar w:fldCharType="separate"/>
      </w:r>
      <w:r w:rsidR="00095E12">
        <w:t xml:space="preserve">Table </w:t>
      </w:r>
      <w:r w:rsidR="00095E12">
        <w:rPr>
          <w:noProof/>
        </w:rPr>
        <w:t>14</w:t>
      </w:r>
      <w:r w:rsidR="00095E12">
        <w:rPr>
          <w:noProof/>
        </w:rPr>
        <w:fldChar w:fldCharType="end"/>
      </w:r>
      <w:r w:rsidR="00920862">
        <w:t xml:space="preserve"> in that it assumes an 80%</w:t>
      </w:r>
      <w:r>
        <w:t xml:space="preserve"> market share </w:t>
      </w:r>
      <w:r w:rsidR="00920862">
        <w:t>for genetic testing</w:t>
      </w:r>
      <w:r>
        <w:t>.</w:t>
      </w:r>
      <w:bookmarkStart w:id="47" w:name="_Ref74222516"/>
      <w:r w:rsidR="009B136F">
        <w:br w:type="page"/>
      </w:r>
    </w:p>
    <w:p w14:paraId="46532895" w14:textId="0A489565" w:rsidR="00AB5273" w:rsidRDefault="00AB5273" w:rsidP="009B136F">
      <w:pPr>
        <w:pStyle w:val="Caption"/>
        <w:spacing w:before="240"/>
      </w:pPr>
      <w:r>
        <w:lastRenderedPageBreak/>
        <w:t xml:space="preserve">Table </w:t>
      </w:r>
      <w:r>
        <w:rPr>
          <w:noProof/>
        </w:rPr>
        <w:fldChar w:fldCharType="begin"/>
      </w:r>
      <w:r>
        <w:rPr>
          <w:noProof/>
        </w:rPr>
        <w:instrText xml:space="preserve"> SEQ Table \* ARABIC </w:instrText>
      </w:r>
      <w:r>
        <w:rPr>
          <w:noProof/>
        </w:rPr>
        <w:fldChar w:fldCharType="separate"/>
      </w:r>
      <w:r w:rsidR="00095E12">
        <w:rPr>
          <w:noProof/>
        </w:rPr>
        <w:t>15</w:t>
      </w:r>
      <w:r>
        <w:rPr>
          <w:noProof/>
        </w:rPr>
        <w:fldChar w:fldCharType="end"/>
      </w:r>
      <w:bookmarkEnd w:id="47"/>
      <w:r>
        <w:tab/>
      </w:r>
      <w:r w:rsidR="00920862">
        <w:t>Budget impact</w:t>
      </w:r>
      <w:r>
        <w:t xml:space="preserve"> of </w:t>
      </w:r>
      <w:r w:rsidR="00191996">
        <w:t>cascade</w:t>
      </w:r>
      <w:r>
        <w:t xml:space="preserve"> testing</w:t>
      </w:r>
      <w:r w:rsidR="00191996">
        <w:t>, including</w:t>
      </w:r>
      <w:r>
        <w:t xml:space="preserve"> reproductive partners </w:t>
      </w:r>
      <w:r w:rsidRPr="00AB5273">
        <w:t>and fetuses</w:t>
      </w:r>
    </w:p>
    <w:tbl>
      <w:tblPr>
        <w:tblStyle w:val="TableGridLight"/>
        <w:tblW w:w="50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Description w:val="Budget impact of cascade testing, including reproductive partners and fetuses"/>
      </w:tblPr>
      <w:tblGrid>
        <w:gridCol w:w="1841"/>
        <w:gridCol w:w="988"/>
        <w:gridCol w:w="988"/>
        <w:gridCol w:w="988"/>
        <w:gridCol w:w="988"/>
        <w:gridCol w:w="988"/>
        <w:gridCol w:w="459"/>
        <w:gridCol w:w="1826"/>
      </w:tblGrid>
      <w:tr w:rsidR="00191996" w:rsidRPr="00191996" w14:paraId="3BCFAA13" w14:textId="77777777" w:rsidTr="00191996">
        <w:trPr>
          <w:cantSplit/>
          <w:tblHeader/>
        </w:trPr>
        <w:tc>
          <w:tcPr>
            <w:tcW w:w="1015" w:type="pct"/>
            <w:shd w:val="clear" w:color="auto" w:fill="BFBFBF" w:themeFill="background1" w:themeFillShade="BF"/>
            <w:noWrap/>
            <w:vAlign w:val="center"/>
            <w:hideMark/>
          </w:tcPr>
          <w:p w14:paraId="7F48AAA6" w14:textId="77777777" w:rsidR="00AB5273" w:rsidRPr="00191996" w:rsidRDefault="00AB5273" w:rsidP="00B05487">
            <w:pPr>
              <w:contextualSpacing/>
              <w:rPr>
                <w:rFonts w:ascii="Arial Narrow" w:hAnsi="Arial Narrow" w:cs="Calibri"/>
                <w:b/>
                <w:bCs/>
                <w:sz w:val="20"/>
              </w:rPr>
            </w:pPr>
            <w:r w:rsidRPr="00191996">
              <w:rPr>
                <w:rFonts w:ascii="Arial Narrow" w:hAnsi="Arial Narrow" w:cs="Calibri"/>
                <w:b/>
                <w:bCs/>
                <w:sz w:val="20"/>
              </w:rPr>
              <w:t>Description</w:t>
            </w:r>
          </w:p>
        </w:tc>
        <w:tc>
          <w:tcPr>
            <w:tcW w:w="545" w:type="pct"/>
            <w:shd w:val="clear" w:color="auto" w:fill="BFBFBF" w:themeFill="background1" w:themeFillShade="BF"/>
            <w:noWrap/>
            <w:vAlign w:val="center"/>
            <w:hideMark/>
          </w:tcPr>
          <w:p w14:paraId="21C7B04C"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2022</w:t>
            </w:r>
          </w:p>
        </w:tc>
        <w:tc>
          <w:tcPr>
            <w:tcW w:w="545" w:type="pct"/>
            <w:shd w:val="clear" w:color="auto" w:fill="BFBFBF" w:themeFill="background1" w:themeFillShade="BF"/>
            <w:noWrap/>
            <w:vAlign w:val="center"/>
            <w:hideMark/>
          </w:tcPr>
          <w:p w14:paraId="04C30F2E"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2023</w:t>
            </w:r>
          </w:p>
        </w:tc>
        <w:tc>
          <w:tcPr>
            <w:tcW w:w="545" w:type="pct"/>
            <w:shd w:val="clear" w:color="auto" w:fill="BFBFBF" w:themeFill="background1" w:themeFillShade="BF"/>
            <w:noWrap/>
            <w:vAlign w:val="center"/>
            <w:hideMark/>
          </w:tcPr>
          <w:p w14:paraId="4A2A1AB2"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2024</w:t>
            </w:r>
          </w:p>
        </w:tc>
        <w:tc>
          <w:tcPr>
            <w:tcW w:w="545" w:type="pct"/>
            <w:shd w:val="clear" w:color="auto" w:fill="BFBFBF" w:themeFill="background1" w:themeFillShade="BF"/>
            <w:noWrap/>
            <w:vAlign w:val="center"/>
            <w:hideMark/>
          </w:tcPr>
          <w:p w14:paraId="4C4F0757"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2025</w:t>
            </w:r>
          </w:p>
        </w:tc>
        <w:tc>
          <w:tcPr>
            <w:tcW w:w="545" w:type="pct"/>
            <w:shd w:val="clear" w:color="auto" w:fill="BFBFBF" w:themeFill="background1" w:themeFillShade="BF"/>
            <w:noWrap/>
            <w:vAlign w:val="center"/>
            <w:hideMark/>
          </w:tcPr>
          <w:p w14:paraId="0ED964EF"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2026</w:t>
            </w:r>
          </w:p>
        </w:tc>
        <w:tc>
          <w:tcPr>
            <w:tcW w:w="253" w:type="pct"/>
            <w:shd w:val="clear" w:color="auto" w:fill="BFBFBF" w:themeFill="background1" w:themeFillShade="BF"/>
            <w:vAlign w:val="center"/>
          </w:tcPr>
          <w:p w14:paraId="4501CD83" w14:textId="77777777" w:rsidR="00AB5273" w:rsidRPr="00191996" w:rsidRDefault="00AB5273" w:rsidP="00B05487">
            <w:pPr>
              <w:contextualSpacing/>
              <w:rPr>
                <w:rFonts w:ascii="Arial Narrow" w:hAnsi="Arial Narrow" w:cs="Calibri"/>
                <w:b/>
                <w:bCs/>
                <w:color w:val="000000"/>
                <w:sz w:val="20"/>
              </w:rPr>
            </w:pPr>
            <w:r w:rsidRPr="00191996">
              <w:rPr>
                <w:rFonts w:ascii="Arial Narrow" w:hAnsi="Arial Narrow" w:cs="Calibri"/>
                <w:b/>
                <w:bCs/>
                <w:color w:val="000000"/>
                <w:sz w:val="20"/>
              </w:rPr>
              <w:t>Row Ref.</w:t>
            </w:r>
          </w:p>
        </w:tc>
        <w:tc>
          <w:tcPr>
            <w:tcW w:w="1007" w:type="pct"/>
            <w:shd w:val="clear" w:color="auto" w:fill="BFBFBF" w:themeFill="background1" w:themeFillShade="BF"/>
            <w:noWrap/>
            <w:vAlign w:val="center"/>
            <w:hideMark/>
          </w:tcPr>
          <w:p w14:paraId="7135E644" w14:textId="77777777" w:rsidR="00AB5273" w:rsidRPr="00191996" w:rsidRDefault="00AB5273" w:rsidP="00B05487">
            <w:pPr>
              <w:contextualSpacing/>
              <w:rPr>
                <w:rFonts w:ascii="Arial Narrow" w:hAnsi="Arial Narrow" w:cs="Calibri"/>
                <w:b/>
                <w:bCs/>
                <w:sz w:val="20"/>
              </w:rPr>
            </w:pPr>
            <w:r w:rsidRPr="00191996">
              <w:rPr>
                <w:rFonts w:ascii="Arial Narrow" w:hAnsi="Arial Narrow" w:cs="Calibri"/>
                <w:b/>
                <w:bCs/>
                <w:sz w:val="20"/>
              </w:rPr>
              <w:t>Source or calculation</w:t>
            </w:r>
          </w:p>
        </w:tc>
      </w:tr>
      <w:tr w:rsidR="00191996" w:rsidRPr="00191996" w14:paraId="70D975DE" w14:textId="77777777" w:rsidTr="00191996">
        <w:trPr>
          <w:cantSplit/>
        </w:trPr>
        <w:tc>
          <w:tcPr>
            <w:tcW w:w="1015" w:type="pct"/>
            <w:shd w:val="clear" w:color="auto" w:fill="auto"/>
            <w:noWrap/>
            <w:vAlign w:val="center"/>
          </w:tcPr>
          <w:p w14:paraId="28BC7FFB"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Australia population</w:t>
            </w:r>
          </w:p>
        </w:tc>
        <w:tc>
          <w:tcPr>
            <w:tcW w:w="545" w:type="pct"/>
            <w:shd w:val="clear" w:color="auto" w:fill="auto"/>
            <w:noWrap/>
            <w:vAlign w:val="center"/>
          </w:tcPr>
          <w:p w14:paraId="62869B4B"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26,020,973</w:t>
            </w:r>
          </w:p>
        </w:tc>
        <w:tc>
          <w:tcPr>
            <w:tcW w:w="545" w:type="pct"/>
            <w:shd w:val="clear" w:color="auto" w:fill="auto"/>
            <w:noWrap/>
            <w:vAlign w:val="center"/>
          </w:tcPr>
          <w:p w14:paraId="610087A7"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26,359,245</w:t>
            </w:r>
          </w:p>
        </w:tc>
        <w:tc>
          <w:tcPr>
            <w:tcW w:w="545" w:type="pct"/>
            <w:shd w:val="clear" w:color="auto" w:fill="auto"/>
            <w:noWrap/>
            <w:vAlign w:val="center"/>
          </w:tcPr>
          <w:p w14:paraId="6C60F1B9"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26,701,915</w:t>
            </w:r>
          </w:p>
        </w:tc>
        <w:tc>
          <w:tcPr>
            <w:tcW w:w="545" w:type="pct"/>
            <w:shd w:val="clear" w:color="auto" w:fill="auto"/>
            <w:noWrap/>
            <w:vAlign w:val="center"/>
          </w:tcPr>
          <w:p w14:paraId="5E26412A"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27,049,040</w:t>
            </w:r>
          </w:p>
        </w:tc>
        <w:tc>
          <w:tcPr>
            <w:tcW w:w="545" w:type="pct"/>
            <w:shd w:val="clear" w:color="auto" w:fill="auto"/>
            <w:noWrap/>
            <w:vAlign w:val="center"/>
          </w:tcPr>
          <w:p w14:paraId="7C9EC4F1"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27,400,678</w:t>
            </w:r>
          </w:p>
        </w:tc>
        <w:tc>
          <w:tcPr>
            <w:tcW w:w="253" w:type="pct"/>
            <w:vAlign w:val="center"/>
          </w:tcPr>
          <w:p w14:paraId="71F645D6"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A</w:t>
            </w:r>
          </w:p>
        </w:tc>
        <w:tc>
          <w:tcPr>
            <w:tcW w:w="1007" w:type="pct"/>
            <w:shd w:val="clear" w:color="auto" w:fill="auto"/>
            <w:noWrap/>
            <w:vAlign w:val="center"/>
          </w:tcPr>
          <w:p w14:paraId="0FE21F5A"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ABS</w:t>
            </w:r>
          </w:p>
        </w:tc>
      </w:tr>
      <w:tr w:rsidR="00191996" w:rsidRPr="00191996" w14:paraId="2599CC33" w14:textId="77777777" w:rsidTr="00191996">
        <w:trPr>
          <w:cantSplit/>
        </w:trPr>
        <w:tc>
          <w:tcPr>
            <w:tcW w:w="1015" w:type="pct"/>
            <w:shd w:val="clear" w:color="auto" w:fill="auto"/>
            <w:noWrap/>
            <w:vAlign w:val="center"/>
          </w:tcPr>
          <w:p w14:paraId="618BAC00"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Affected individuals tested</w:t>
            </w:r>
          </w:p>
        </w:tc>
        <w:tc>
          <w:tcPr>
            <w:tcW w:w="545" w:type="pct"/>
            <w:shd w:val="clear" w:color="auto" w:fill="auto"/>
            <w:noWrap/>
            <w:vAlign w:val="center"/>
          </w:tcPr>
          <w:p w14:paraId="46525AA2"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1,750</w:t>
            </w:r>
          </w:p>
        </w:tc>
        <w:tc>
          <w:tcPr>
            <w:tcW w:w="545" w:type="pct"/>
            <w:shd w:val="clear" w:color="auto" w:fill="auto"/>
            <w:noWrap/>
            <w:vAlign w:val="center"/>
          </w:tcPr>
          <w:p w14:paraId="606BE280"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1,773</w:t>
            </w:r>
          </w:p>
        </w:tc>
        <w:tc>
          <w:tcPr>
            <w:tcW w:w="545" w:type="pct"/>
            <w:shd w:val="clear" w:color="auto" w:fill="auto"/>
            <w:noWrap/>
            <w:vAlign w:val="center"/>
          </w:tcPr>
          <w:p w14:paraId="25DD26B0"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1,796</w:t>
            </w:r>
          </w:p>
        </w:tc>
        <w:tc>
          <w:tcPr>
            <w:tcW w:w="545" w:type="pct"/>
            <w:shd w:val="clear" w:color="auto" w:fill="auto"/>
            <w:noWrap/>
            <w:vAlign w:val="center"/>
          </w:tcPr>
          <w:p w14:paraId="3021EDC7"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1,819</w:t>
            </w:r>
          </w:p>
        </w:tc>
        <w:tc>
          <w:tcPr>
            <w:tcW w:w="545" w:type="pct"/>
            <w:shd w:val="clear" w:color="auto" w:fill="auto"/>
            <w:noWrap/>
            <w:vAlign w:val="center"/>
          </w:tcPr>
          <w:p w14:paraId="20ABBBD8"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1,843</w:t>
            </w:r>
          </w:p>
        </w:tc>
        <w:tc>
          <w:tcPr>
            <w:tcW w:w="253" w:type="pct"/>
            <w:vAlign w:val="center"/>
          </w:tcPr>
          <w:p w14:paraId="77520B0F"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B</w:t>
            </w:r>
          </w:p>
        </w:tc>
        <w:tc>
          <w:tcPr>
            <w:tcW w:w="1007" w:type="pct"/>
            <w:shd w:val="clear" w:color="auto" w:fill="auto"/>
            <w:noWrap/>
            <w:vAlign w:val="center"/>
          </w:tcPr>
          <w:p w14:paraId="217F2421"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A × 0.007%, Australian population</w:t>
            </w:r>
          </w:p>
        </w:tc>
      </w:tr>
      <w:tr w:rsidR="00191996" w:rsidRPr="00191996" w14:paraId="654F3AB5" w14:textId="77777777" w:rsidTr="00191996">
        <w:trPr>
          <w:cantSplit/>
        </w:trPr>
        <w:tc>
          <w:tcPr>
            <w:tcW w:w="1015" w:type="pct"/>
            <w:shd w:val="clear" w:color="auto" w:fill="auto"/>
            <w:noWrap/>
            <w:vAlign w:val="center"/>
          </w:tcPr>
          <w:p w14:paraId="183B7B93" w14:textId="0F3B36E7" w:rsidR="00AB5273" w:rsidRPr="00191996" w:rsidRDefault="00AB5273" w:rsidP="00B05487">
            <w:pPr>
              <w:contextualSpacing/>
              <w:rPr>
                <w:rFonts w:ascii="Arial Narrow" w:hAnsi="Arial Narrow" w:cs="Calibri"/>
                <w:iCs/>
                <w:sz w:val="20"/>
              </w:rPr>
            </w:pPr>
            <w:r w:rsidRPr="00191996">
              <w:rPr>
                <w:rFonts w:ascii="Arial Narrow" w:hAnsi="Arial Narrow" w:cs="Calibri"/>
                <w:iCs/>
                <w:sz w:val="20"/>
              </w:rPr>
              <w:t xml:space="preserve">14-variant panel </w:t>
            </w:r>
            <w:r w:rsidR="00920862" w:rsidRPr="00191996">
              <w:rPr>
                <w:rFonts w:ascii="Arial Narrow" w:hAnsi="Arial Narrow" w:cs="Calibri"/>
                <w:iCs/>
                <w:sz w:val="20"/>
              </w:rPr>
              <w:t>tests (AAAA)</w:t>
            </w:r>
          </w:p>
        </w:tc>
        <w:tc>
          <w:tcPr>
            <w:tcW w:w="545" w:type="pct"/>
            <w:shd w:val="clear" w:color="auto" w:fill="auto"/>
            <w:noWrap/>
            <w:vAlign w:val="center"/>
          </w:tcPr>
          <w:p w14:paraId="3D006EF9" w14:textId="77777777" w:rsidR="00AB5273" w:rsidRPr="00191996" w:rsidRDefault="00AB5273" w:rsidP="00B05487">
            <w:pPr>
              <w:contextualSpacing/>
              <w:jc w:val="center"/>
              <w:rPr>
                <w:rFonts w:ascii="Arial Narrow" w:hAnsi="Arial Narrow" w:cs="Calibri"/>
                <w:iCs/>
                <w:color w:val="000000"/>
                <w:sz w:val="20"/>
              </w:rPr>
            </w:pPr>
            <w:r w:rsidRPr="00191996">
              <w:rPr>
                <w:rFonts w:ascii="Arial Narrow" w:hAnsi="Arial Narrow" w:cs="Calibri"/>
                <w:iCs/>
                <w:color w:val="000000"/>
                <w:sz w:val="20"/>
              </w:rPr>
              <w:t>1,400</w:t>
            </w:r>
          </w:p>
        </w:tc>
        <w:tc>
          <w:tcPr>
            <w:tcW w:w="545" w:type="pct"/>
            <w:shd w:val="clear" w:color="auto" w:fill="auto"/>
            <w:noWrap/>
            <w:vAlign w:val="center"/>
          </w:tcPr>
          <w:p w14:paraId="54AE259D" w14:textId="77777777" w:rsidR="00AB5273" w:rsidRPr="00191996" w:rsidRDefault="00AB5273" w:rsidP="00B05487">
            <w:pPr>
              <w:contextualSpacing/>
              <w:jc w:val="center"/>
              <w:rPr>
                <w:rFonts w:ascii="Arial Narrow" w:hAnsi="Arial Narrow" w:cs="Calibri"/>
                <w:iCs/>
                <w:color w:val="000000"/>
                <w:sz w:val="20"/>
              </w:rPr>
            </w:pPr>
            <w:r w:rsidRPr="00191996">
              <w:rPr>
                <w:rFonts w:ascii="Arial Narrow" w:hAnsi="Arial Narrow" w:cs="Calibri"/>
                <w:iCs/>
                <w:color w:val="000000"/>
                <w:sz w:val="20"/>
              </w:rPr>
              <w:t>1,418</w:t>
            </w:r>
          </w:p>
        </w:tc>
        <w:tc>
          <w:tcPr>
            <w:tcW w:w="545" w:type="pct"/>
            <w:shd w:val="clear" w:color="auto" w:fill="auto"/>
            <w:noWrap/>
            <w:vAlign w:val="center"/>
          </w:tcPr>
          <w:p w14:paraId="37E5EC1A" w14:textId="77777777" w:rsidR="00AB5273" w:rsidRPr="00191996" w:rsidRDefault="00AB5273" w:rsidP="00B05487">
            <w:pPr>
              <w:contextualSpacing/>
              <w:jc w:val="center"/>
              <w:rPr>
                <w:rFonts w:ascii="Arial Narrow" w:hAnsi="Arial Narrow" w:cs="Calibri"/>
                <w:iCs/>
                <w:color w:val="000000"/>
                <w:sz w:val="20"/>
              </w:rPr>
            </w:pPr>
            <w:r w:rsidRPr="00191996">
              <w:rPr>
                <w:rFonts w:ascii="Arial Narrow" w:hAnsi="Arial Narrow" w:cs="Calibri"/>
                <w:iCs/>
                <w:color w:val="000000"/>
                <w:sz w:val="20"/>
              </w:rPr>
              <w:t>1,437</w:t>
            </w:r>
          </w:p>
        </w:tc>
        <w:tc>
          <w:tcPr>
            <w:tcW w:w="545" w:type="pct"/>
            <w:shd w:val="clear" w:color="auto" w:fill="auto"/>
            <w:noWrap/>
            <w:vAlign w:val="center"/>
          </w:tcPr>
          <w:p w14:paraId="0A9F62C9" w14:textId="77777777" w:rsidR="00AB5273" w:rsidRPr="00191996" w:rsidRDefault="00AB5273" w:rsidP="00B05487">
            <w:pPr>
              <w:contextualSpacing/>
              <w:jc w:val="center"/>
              <w:rPr>
                <w:rFonts w:ascii="Arial Narrow" w:hAnsi="Arial Narrow" w:cs="Calibri"/>
                <w:iCs/>
                <w:color w:val="000000"/>
                <w:sz w:val="20"/>
              </w:rPr>
            </w:pPr>
            <w:r w:rsidRPr="00191996">
              <w:rPr>
                <w:rFonts w:ascii="Arial Narrow" w:hAnsi="Arial Narrow" w:cs="Calibri"/>
                <w:iCs/>
                <w:color w:val="000000"/>
                <w:sz w:val="20"/>
              </w:rPr>
              <w:t>1,455</w:t>
            </w:r>
          </w:p>
        </w:tc>
        <w:tc>
          <w:tcPr>
            <w:tcW w:w="545" w:type="pct"/>
            <w:shd w:val="clear" w:color="auto" w:fill="auto"/>
            <w:noWrap/>
            <w:vAlign w:val="center"/>
          </w:tcPr>
          <w:p w14:paraId="1F9D7B7C" w14:textId="77777777" w:rsidR="00AB5273" w:rsidRPr="00191996" w:rsidRDefault="00AB5273" w:rsidP="00B05487">
            <w:pPr>
              <w:contextualSpacing/>
              <w:jc w:val="center"/>
              <w:rPr>
                <w:rFonts w:ascii="Arial Narrow" w:hAnsi="Arial Narrow" w:cs="Calibri"/>
                <w:iCs/>
                <w:color w:val="000000"/>
                <w:sz w:val="20"/>
              </w:rPr>
            </w:pPr>
            <w:r w:rsidRPr="00191996">
              <w:rPr>
                <w:rFonts w:ascii="Arial Narrow" w:hAnsi="Arial Narrow" w:cs="Calibri"/>
                <w:iCs/>
                <w:color w:val="000000"/>
                <w:sz w:val="20"/>
              </w:rPr>
              <w:t>1,474</w:t>
            </w:r>
          </w:p>
        </w:tc>
        <w:tc>
          <w:tcPr>
            <w:tcW w:w="253" w:type="pct"/>
            <w:vAlign w:val="center"/>
          </w:tcPr>
          <w:p w14:paraId="7796FBF1" w14:textId="77777777" w:rsidR="00AB5273" w:rsidRPr="00191996" w:rsidRDefault="00AB5273" w:rsidP="00B05487">
            <w:pPr>
              <w:contextualSpacing/>
              <w:rPr>
                <w:rFonts w:ascii="Arial Narrow" w:hAnsi="Arial Narrow" w:cs="Calibri"/>
                <w:iCs/>
                <w:color w:val="000000"/>
                <w:sz w:val="20"/>
              </w:rPr>
            </w:pPr>
            <w:r w:rsidRPr="00191996">
              <w:rPr>
                <w:rFonts w:ascii="Arial Narrow" w:hAnsi="Arial Narrow" w:cs="Calibri"/>
                <w:iCs/>
                <w:color w:val="000000"/>
                <w:sz w:val="20"/>
              </w:rPr>
              <w:t>C</w:t>
            </w:r>
          </w:p>
        </w:tc>
        <w:tc>
          <w:tcPr>
            <w:tcW w:w="1007" w:type="pct"/>
            <w:shd w:val="clear" w:color="auto" w:fill="auto"/>
            <w:noWrap/>
            <w:vAlign w:val="center"/>
          </w:tcPr>
          <w:p w14:paraId="764C39B8" w14:textId="77777777" w:rsidR="00AB5273" w:rsidRPr="00191996" w:rsidRDefault="00AB5273" w:rsidP="00B05487">
            <w:pPr>
              <w:contextualSpacing/>
              <w:rPr>
                <w:rFonts w:ascii="Arial Narrow" w:hAnsi="Arial Narrow" w:cs="Calibri"/>
                <w:iCs/>
                <w:sz w:val="20"/>
              </w:rPr>
            </w:pPr>
            <w:r w:rsidRPr="00191996">
              <w:rPr>
                <w:rFonts w:ascii="Arial Narrow" w:hAnsi="Arial Narrow" w:cs="Calibri"/>
                <w:iCs/>
                <w:sz w:val="20"/>
              </w:rPr>
              <w:t>B × 80%, assumption†</w:t>
            </w:r>
          </w:p>
        </w:tc>
      </w:tr>
      <w:tr w:rsidR="00191996" w:rsidRPr="00191996" w14:paraId="2FA85BB6" w14:textId="77777777" w:rsidTr="00191996">
        <w:trPr>
          <w:cantSplit/>
        </w:trPr>
        <w:tc>
          <w:tcPr>
            <w:tcW w:w="1015" w:type="pct"/>
            <w:shd w:val="clear" w:color="auto" w:fill="auto"/>
            <w:noWrap/>
            <w:vAlign w:val="center"/>
          </w:tcPr>
          <w:p w14:paraId="2B8C1D21"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Probands identified by panel testing</w:t>
            </w:r>
          </w:p>
        </w:tc>
        <w:tc>
          <w:tcPr>
            <w:tcW w:w="545" w:type="pct"/>
            <w:shd w:val="clear" w:color="auto" w:fill="auto"/>
            <w:noWrap/>
            <w:vAlign w:val="center"/>
          </w:tcPr>
          <w:p w14:paraId="394639A1"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336</w:t>
            </w:r>
          </w:p>
        </w:tc>
        <w:tc>
          <w:tcPr>
            <w:tcW w:w="545" w:type="pct"/>
            <w:shd w:val="clear" w:color="auto" w:fill="auto"/>
            <w:noWrap/>
            <w:vAlign w:val="center"/>
          </w:tcPr>
          <w:p w14:paraId="561DA9A2"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341</w:t>
            </w:r>
          </w:p>
        </w:tc>
        <w:tc>
          <w:tcPr>
            <w:tcW w:w="545" w:type="pct"/>
            <w:shd w:val="clear" w:color="auto" w:fill="auto"/>
            <w:noWrap/>
            <w:vAlign w:val="center"/>
          </w:tcPr>
          <w:p w14:paraId="4B018504"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345</w:t>
            </w:r>
          </w:p>
        </w:tc>
        <w:tc>
          <w:tcPr>
            <w:tcW w:w="545" w:type="pct"/>
            <w:shd w:val="clear" w:color="auto" w:fill="auto"/>
            <w:noWrap/>
            <w:vAlign w:val="center"/>
          </w:tcPr>
          <w:p w14:paraId="1458CA24"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349</w:t>
            </w:r>
          </w:p>
        </w:tc>
        <w:tc>
          <w:tcPr>
            <w:tcW w:w="545" w:type="pct"/>
            <w:shd w:val="clear" w:color="auto" w:fill="auto"/>
            <w:noWrap/>
            <w:vAlign w:val="center"/>
          </w:tcPr>
          <w:p w14:paraId="2D4F78D5"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354</w:t>
            </w:r>
          </w:p>
        </w:tc>
        <w:tc>
          <w:tcPr>
            <w:tcW w:w="253" w:type="pct"/>
            <w:vAlign w:val="center"/>
          </w:tcPr>
          <w:p w14:paraId="5CDB4E3B"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D</w:t>
            </w:r>
          </w:p>
        </w:tc>
        <w:tc>
          <w:tcPr>
            <w:tcW w:w="1007" w:type="pct"/>
            <w:shd w:val="clear" w:color="auto" w:fill="auto"/>
            <w:noWrap/>
            <w:vAlign w:val="center"/>
          </w:tcPr>
          <w:p w14:paraId="645518E1"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C × 24%, 14-variant panel DY</w:t>
            </w:r>
          </w:p>
        </w:tc>
      </w:tr>
      <w:tr w:rsidR="00191996" w:rsidRPr="00191996" w14:paraId="17BE445D" w14:textId="77777777" w:rsidTr="00191996">
        <w:trPr>
          <w:cantSplit/>
        </w:trPr>
        <w:tc>
          <w:tcPr>
            <w:tcW w:w="1015" w:type="pct"/>
            <w:shd w:val="clear" w:color="auto" w:fill="auto"/>
            <w:noWrap/>
            <w:vAlign w:val="center"/>
          </w:tcPr>
          <w:p w14:paraId="68D32523" w14:textId="2F8F5CC5" w:rsidR="00AB5273" w:rsidRPr="00191996" w:rsidRDefault="00AB5273" w:rsidP="00B05487">
            <w:pPr>
              <w:contextualSpacing/>
              <w:rPr>
                <w:rFonts w:ascii="Arial Narrow" w:hAnsi="Arial Narrow" w:cs="Calibri"/>
                <w:sz w:val="20"/>
              </w:rPr>
            </w:pPr>
            <w:r w:rsidRPr="00191996">
              <w:rPr>
                <w:rFonts w:ascii="Arial Narrow" w:hAnsi="Arial Narrow" w:cs="Calibri"/>
                <w:sz w:val="20"/>
              </w:rPr>
              <w:t>Affected individuals proceeding to sequencing</w:t>
            </w:r>
            <w:r w:rsidR="00920862" w:rsidRPr="00191996">
              <w:rPr>
                <w:rFonts w:ascii="Arial Narrow" w:hAnsi="Arial Narrow" w:cs="Calibri"/>
                <w:sz w:val="20"/>
              </w:rPr>
              <w:t xml:space="preserve"> (BBBB)</w:t>
            </w:r>
          </w:p>
        </w:tc>
        <w:tc>
          <w:tcPr>
            <w:tcW w:w="545" w:type="pct"/>
            <w:shd w:val="clear" w:color="auto" w:fill="auto"/>
            <w:noWrap/>
            <w:vAlign w:val="center"/>
          </w:tcPr>
          <w:p w14:paraId="0744AF9F"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1,064</w:t>
            </w:r>
          </w:p>
        </w:tc>
        <w:tc>
          <w:tcPr>
            <w:tcW w:w="545" w:type="pct"/>
            <w:shd w:val="clear" w:color="auto" w:fill="auto"/>
            <w:noWrap/>
            <w:vAlign w:val="center"/>
          </w:tcPr>
          <w:p w14:paraId="71121C8F"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1,078</w:t>
            </w:r>
          </w:p>
        </w:tc>
        <w:tc>
          <w:tcPr>
            <w:tcW w:w="545" w:type="pct"/>
            <w:shd w:val="clear" w:color="auto" w:fill="auto"/>
            <w:noWrap/>
            <w:vAlign w:val="center"/>
          </w:tcPr>
          <w:p w14:paraId="5EDE83D2"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1,092</w:t>
            </w:r>
          </w:p>
        </w:tc>
        <w:tc>
          <w:tcPr>
            <w:tcW w:w="545" w:type="pct"/>
            <w:shd w:val="clear" w:color="auto" w:fill="auto"/>
            <w:noWrap/>
            <w:vAlign w:val="center"/>
          </w:tcPr>
          <w:p w14:paraId="19740275"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1,106</w:t>
            </w:r>
          </w:p>
        </w:tc>
        <w:tc>
          <w:tcPr>
            <w:tcW w:w="545" w:type="pct"/>
            <w:shd w:val="clear" w:color="auto" w:fill="auto"/>
            <w:noWrap/>
            <w:vAlign w:val="center"/>
          </w:tcPr>
          <w:p w14:paraId="128EFCF3"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1,120</w:t>
            </w:r>
          </w:p>
        </w:tc>
        <w:tc>
          <w:tcPr>
            <w:tcW w:w="253" w:type="pct"/>
            <w:vAlign w:val="center"/>
          </w:tcPr>
          <w:p w14:paraId="128AC3D5"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E</w:t>
            </w:r>
          </w:p>
        </w:tc>
        <w:tc>
          <w:tcPr>
            <w:tcW w:w="1007" w:type="pct"/>
            <w:shd w:val="clear" w:color="auto" w:fill="auto"/>
            <w:noWrap/>
            <w:vAlign w:val="center"/>
          </w:tcPr>
          <w:p w14:paraId="708775C7"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C – D, 14-variant panel negative or unspecified population</w:t>
            </w:r>
          </w:p>
        </w:tc>
      </w:tr>
      <w:tr w:rsidR="00191996" w:rsidRPr="00191996" w14:paraId="1801D7F4" w14:textId="77777777" w:rsidTr="00191996">
        <w:trPr>
          <w:cantSplit/>
        </w:trPr>
        <w:tc>
          <w:tcPr>
            <w:tcW w:w="1015" w:type="pct"/>
            <w:shd w:val="clear" w:color="auto" w:fill="auto"/>
            <w:noWrap/>
            <w:vAlign w:val="center"/>
          </w:tcPr>
          <w:p w14:paraId="79515B01"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Probands identified by sequencing</w:t>
            </w:r>
          </w:p>
        </w:tc>
        <w:tc>
          <w:tcPr>
            <w:tcW w:w="545" w:type="pct"/>
            <w:shd w:val="clear" w:color="auto" w:fill="auto"/>
            <w:noWrap/>
            <w:vAlign w:val="center"/>
          </w:tcPr>
          <w:p w14:paraId="411D308C"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7</w:t>
            </w:r>
          </w:p>
        </w:tc>
        <w:tc>
          <w:tcPr>
            <w:tcW w:w="545" w:type="pct"/>
            <w:shd w:val="clear" w:color="auto" w:fill="auto"/>
            <w:noWrap/>
            <w:vAlign w:val="center"/>
          </w:tcPr>
          <w:p w14:paraId="17DC3604"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7</w:t>
            </w:r>
          </w:p>
        </w:tc>
        <w:tc>
          <w:tcPr>
            <w:tcW w:w="545" w:type="pct"/>
            <w:shd w:val="clear" w:color="auto" w:fill="auto"/>
            <w:noWrap/>
            <w:vAlign w:val="center"/>
          </w:tcPr>
          <w:p w14:paraId="7610F20B"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7</w:t>
            </w:r>
          </w:p>
        </w:tc>
        <w:tc>
          <w:tcPr>
            <w:tcW w:w="545" w:type="pct"/>
            <w:shd w:val="clear" w:color="auto" w:fill="auto"/>
            <w:noWrap/>
            <w:vAlign w:val="center"/>
          </w:tcPr>
          <w:p w14:paraId="032291DA"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7</w:t>
            </w:r>
          </w:p>
        </w:tc>
        <w:tc>
          <w:tcPr>
            <w:tcW w:w="545" w:type="pct"/>
            <w:shd w:val="clear" w:color="auto" w:fill="auto"/>
            <w:noWrap/>
            <w:vAlign w:val="center"/>
          </w:tcPr>
          <w:p w14:paraId="6042036D"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7</w:t>
            </w:r>
          </w:p>
        </w:tc>
        <w:tc>
          <w:tcPr>
            <w:tcW w:w="253" w:type="pct"/>
            <w:vAlign w:val="center"/>
          </w:tcPr>
          <w:p w14:paraId="5F8A6562"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F</w:t>
            </w:r>
          </w:p>
        </w:tc>
        <w:tc>
          <w:tcPr>
            <w:tcW w:w="1007" w:type="pct"/>
            <w:shd w:val="clear" w:color="auto" w:fill="auto"/>
            <w:noWrap/>
            <w:vAlign w:val="center"/>
          </w:tcPr>
          <w:p w14:paraId="5B6049F3"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E × 0.6%, sequencing DY</w:t>
            </w:r>
          </w:p>
        </w:tc>
      </w:tr>
      <w:tr w:rsidR="00191996" w:rsidRPr="00191996" w14:paraId="729EDBA2" w14:textId="77777777" w:rsidTr="00191996">
        <w:trPr>
          <w:cantSplit/>
        </w:trPr>
        <w:tc>
          <w:tcPr>
            <w:tcW w:w="1015" w:type="pct"/>
            <w:shd w:val="clear" w:color="auto" w:fill="F2F2F2" w:themeFill="background1" w:themeFillShade="F2"/>
            <w:noWrap/>
            <w:vAlign w:val="center"/>
          </w:tcPr>
          <w:p w14:paraId="19C67BF7" w14:textId="023DD46F" w:rsidR="00AB5273" w:rsidRPr="00191996" w:rsidRDefault="00191996" w:rsidP="00B05487">
            <w:pPr>
              <w:contextualSpacing/>
              <w:rPr>
                <w:rFonts w:ascii="Arial Narrow" w:hAnsi="Arial Narrow" w:cs="Calibri"/>
                <w:b/>
                <w:sz w:val="20"/>
              </w:rPr>
            </w:pPr>
            <w:r>
              <w:rPr>
                <w:rFonts w:ascii="Arial Narrow" w:hAnsi="Arial Narrow" w:cs="Calibri"/>
                <w:b/>
                <w:sz w:val="20"/>
              </w:rPr>
              <w:t>Number of p</w:t>
            </w:r>
            <w:r w:rsidR="00AB5273" w:rsidRPr="00191996">
              <w:rPr>
                <w:rFonts w:ascii="Arial Narrow" w:hAnsi="Arial Narrow" w:cs="Calibri"/>
                <w:b/>
                <w:sz w:val="20"/>
              </w:rPr>
              <w:t>robands identified</w:t>
            </w:r>
            <w:r w:rsidR="00AB5273" w:rsidRPr="00191996">
              <w:rPr>
                <w:rFonts w:ascii="Arial Narrow" w:hAnsi="Arial Narrow" w:cs="Calibri"/>
                <w:b/>
                <w:bCs/>
                <w:sz w:val="20"/>
              </w:rPr>
              <w:t xml:space="preserve"> </w:t>
            </w:r>
            <w:r>
              <w:rPr>
                <w:rFonts w:ascii="Arial Narrow" w:hAnsi="Arial Narrow" w:cs="Calibri"/>
                <w:b/>
                <w:sz w:val="20"/>
              </w:rPr>
              <w:t>by</w:t>
            </w:r>
            <w:r w:rsidRPr="00191996">
              <w:rPr>
                <w:rFonts w:ascii="Arial Narrow" w:hAnsi="Arial Narrow" w:cs="Calibri"/>
                <w:b/>
                <w:sz w:val="20"/>
              </w:rPr>
              <w:t xml:space="preserve"> affected individual testing</w:t>
            </w:r>
          </w:p>
        </w:tc>
        <w:tc>
          <w:tcPr>
            <w:tcW w:w="545" w:type="pct"/>
            <w:shd w:val="clear" w:color="auto" w:fill="F2F2F2" w:themeFill="background1" w:themeFillShade="F2"/>
            <w:noWrap/>
            <w:vAlign w:val="center"/>
          </w:tcPr>
          <w:p w14:paraId="6E8E81C7" w14:textId="77777777" w:rsidR="00AB5273" w:rsidRPr="00191996" w:rsidRDefault="00AB5273" w:rsidP="00B05487">
            <w:pPr>
              <w:contextualSpacing/>
              <w:jc w:val="center"/>
              <w:rPr>
                <w:rFonts w:ascii="Arial Narrow" w:hAnsi="Arial Narrow" w:cs="Calibri"/>
                <w:b/>
                <w:color w:val="000000"/>
                <w:sz w:val="20"/>
              </w:rPr>
            </w:pPr>
            <w:r w:rsidRPr="00191996">
              <w:rPr>
                <w:rFonts w:ascii="Arial Narrow" w:hAnsi="Arial Narrow" w:cs="Calibri"/>
                <w:b/>
                <w:color w:val="000000"/>
                <w:sz w:val="20"/>
              </w:rPr>
              <w:t>343</w:t>
            </w:r>
          </w:p>
        </w:tc>
        <w:tc>
          <w:tcPr>
            <w:tcW w:w="545" w:type="pct"/>
            <w:shd w:val="clear" w:color="auto" w:fill="F2F2F2" w:themeFill="background1" w:themeFillShade="F2"/>
            <w:noWrap/>
            <w:vAlign w:val="center"/>
          </w:tcPr>
          <w:p w14:paraId="6C15A155" w14:textId="77777777" w:rsidR="00AB5273" w:rsidRPr="00191996" w:rsidRDefault="00AB5273" w:rsidP="00B05487">
            <w:pPr>
              <w:contextualSpacing/>
              <w:jc w:val="center"/>
              <w:rPr>
                <w:rFonts w:ascii="Arial Narrow" w:hAnsi="Arial Narrow" w:cs="Calibri"/>
                <w:b/>
                <w:color w:val="000000"/>
                <w:sz w:val="20"/>
              </w:rPr>
            </w:pPr>
            <w:r w:rsidRPr="00191996">
              <w:rPr>
                <w:rFonts w:ascii="Arial Narrow" w:hAnsi="Arial Narrow" w:cs="Calibri"/>
                <w:b/>
                <w:color w:val="000000"/>
                <w:sz w:val="20"/>
              </w:rPr>
              <w:t>347</w:t>
            </w:r>
          </w:p>
        </w:tc>
        <w:tc>
          <w:tcPr>
            <w:tcW w:w="545" w:type="pct"/>
            <w:shd w:val="clear" w:color="auto" w:fill="F2F2F2" w:themeFill="background1" w:themeFillShade="F2"/>
            <w:noWrap/>
            <w:vAlign w:val="center"/>
          </w:tcPr>
          <w:p w14:paraId="14DB2567" w14:textId="77777777" w:rsidR="00AB5273" w:rsidRPr="00191996" w:rsidRDefault="00AB5273" w:rsidP="00B05487">
            <w:pPr>
              <w:contextualSpacing/>
              <w:jc w:val="center"/>
              <w:rPr>
                <w:rFonts w:ascii="Arial Narrow" w:hAnsi="Arial Narrow" w:cs="Calibri"/>
                <w:b/>
                <w:color w:val="000000"/>
                <w:sz w:val="20"/>
              </w:rPr>
            </w:pPr>
            <w:r w:rsidRPr="00191996">
              <w:rPr>
                <w:rFonts w:ascii="Arial Narrow" w:hAnsi="Arial Narrow" w:cs="Calibri"/>
                <w:b/>
                <w:color w:val="000000"/>
                <w:sz w:val="20"/>
              </w:rPr>
              <w:t>352</w:t>
            </w:r>
          </w:p>
        </w:tc>
        <w:tc>
          <w:tcPr>
            <w:tcW w:w="545" w:type="pct"/>
            <w:shd w:val="clear" w:color="auto" w:fill="F2F2F2" w:themeFill="background1" w:themeFillShade="F2"/>
            <w:noWrap/>
            <w:vAlign w:val="center"/>
          </w:tcPr>
          <w:p w14:paraId="3636AD12" w14:textId="77777777" w:rsidR="00AB5273" w:rsidRPr="00191996" w:rsidRDefault="00AB5273" w:rsidP="00B05487">
            <w:pPr>
              <w:contextualSpacing/>
              <w:jc w:val="center"/>
              <w:rPr>
                <w:rFonts w:ascii="Arial Narrow" w:hAnsi="Arial Narrow" w:cs="Calibri"/>
                <w:b/>
                <w:color w:val="000000"/>
                <w:sz w:val="20"/>
              </w:rPr>
            </w:pPr>
            <w:r w:rsidRPr="00191996">
              <w:rPr>
                <w:rFonts w:ascii="Arial Narrow" w:hAnsi="Arial Narrow" w:cs="Calibri"/>
                <w:b/>
                <w:color w:val="000000"/>
                <w:sz w:val="20"/>
              </w:rPr>
              <w:t>357</w:t>
            </w:r>
          </w:p>
        </w:tc>
        <w:tc>
          <w:tcPr>
            <w:tcW w:w="545" w:type="pct"/>
            <w:shd w:val="clear" w:color="auto" w:fill="F2F2F2" w:themeFill="background1" w:themeFillShade="F2"/>
            <w:noWrap/>
            <w:vAlign w:val="center"/>
          </w:tcPr>
          <w:p w14:paraId="6A9A5E68" w14:textId="77777777" w:rsidR="00AB5273" w:rsidRPr="00191996" w:rsidRDefault="00AB5273" w:rsidP="00B05487">
            <w:pPr>
              <w:contextualSpacing/>
              <w:jc w:val="center"/>
              <w:rPr>
                <w:rFonts w:ascii="Arial Narrow" w:hAnsi="Arial Narrow" w:cs="Calibri"/>
                <w:b/>
                <w:color w:val="000000"/>
                <w:sz w:val="20"/>
              </w:rPr>
            </w:pPr>
            <w:r w:rsidRPr="00191996">
              <w:rPr>
                <w:rFonts w:ascii="Arial Narrow" w:hAnsi="Arial Narrow" w:cs="Calibri"/>
                <w:b/>
                <w:color w:val="000000"/>
                <w:sz w:val="20"/>
              </w:rPr>
              <w:t>361</w:t>
            </w:r>
          </w:p>
        </w:tc>
        <w:tc>
          <w:tcPr>
            <w:tcW w:w="253" w:type="pct"/>
            <w:shd w:val="clear" w:color="auto" w:fill="F2F2F2" w:themeFill="background1" w:themeFillShade="F2"/>
            <w:vAlign w:val="center"/>
          </w:tcPr>
          <w:p w14:paraId="3F24B7F0" w14:textId="77777777" w:rsidR="00AB5273" w:rsidRPr="00191996" w:rsidRDefault="00AB5273" w:rsidP="00B05487">
            <w:pPr>
              <w:contextualSpacing/>
              <w:rPr>
                <w:rFonts w:ascii="Arial Narrow" w:hAnsi="Arial Narrow" w:cs="Calibri"/>
                <w:b/>
                <w:color w:val="000000"/>
                <w:sz w:val="20"/>
              </w:rPr>
            </w:pPr>
            <w:r w:rsidRPr="00191996">
              <w:rPr>
                <w:rFonts w:ascii="Arial Narrow" w:hAnsi="Arial Narrow" w:cs="Calibri"/>
                <w:b/>
                <w:color w:val="000000"/>
                <w:sz w:val="20"/>
              </w:rPr>
              <w:t>G</w:t>
            </w:r>
          </w:p>
        </w:tc>
        <w:tc>
          <w:tcPr>
            <w:tcW w:w="1007" w:type="pct"/>
            <w:shd w:val="clear" w:color="auto" w:fill="F2F2F2" w:themeFill="background1" w:themeFillShade="F2"/>
            <w:noWrap/>
            <w:vAlign w:val="center"/>
          </w:tcPr>
          <w:p w14:paraId="7EB14B33" w14:textId="235AEAEB" w:rsidR="00AB5273" w:rsidRPr="00191996" w:rsidRDefault="00AB5273" w:rsidP="00B05487">
            <w:pPr>
              <w:contextualSpacing/>
              <w:rPr>
                <w:rFonts w:ascii="Arial Narrow" w:hAnsi="Arial Narrow" w:cs="Calibri"/>
                <w:b/>
                <w:sz w:val="20"/>
              </w:rPr>
            </w:pPr>
            <w:r w:rsidRPr="00191996">
              <w:rPr>
                <w:rFonts w:ascii="Arial Narrow" w:hAnsi="Arial Narrow" w:cs="Calibri"/>
                <w:b/>
                <w:sz w:val="20"/>
              </w:rPr>
              <w:t xml:space="preserve">D + </w:t>
            </w:r>
            <w:r w:rsidR="00191996">
              <w:rPr>
                <w:rFonts w:ascii="Arial Narrow" w:hAnsi="Arial Narrow" w:cs="Calibri"/>
                <w:b/>
                <w:sz w:val="20"/>
              </w:rPr>
              <w:t>F</w:t>
            </w:r>
            <w:r w:rsidRPr="00191996">
              <w:rPr>
                <w:rFonts w:ascii="Arial Narrow" w:hAnsi="Arial Narrow" w:cs="Calibri"/>
                <w:b/>
                <w:sz w:val="20"/>
              </w:rPr>
              <w:t xml:space="preserve">, probands </w:t>
            </w:r>
            <w:r w:rsidR="00191996">
              <w:rPr>
                <w:rFonts w:ascii="Arial Narrow" w:hAnsi="Arial Narrow" w:cs="Calibri"/>
                <w:b/>
                <w:sz w:val="20"/>
              </w:rPr>
              <w:t>identified by affected individual testing</w:t>
            </w:r>
          </w:p>
        </w:tc>
      </w:tr>
      <w:tr w:rsidR="00191996" w:rsidRPr="00191996" w14:paraId="662C4840" w14:textId="77777777" w:rsidTr="00191996">
        <w:trPr>
          <w:cantSplit/>
        </w:trPr>
        <w:tc>
          <w:tcPr>
            <w:tcW w:w="1015" w:type="pct"/>
            <w:shd w:val="clear" w:color="auto" w:fill="auto"/>
            <w:noWrap/>
            <w:vAlign w:val="center"/>
          </w:tcPr>
          <w:p w14:paraId="535CDCA6" w14:textId="0C6EF0FE" w:rsidR="00AB5273" w:rsidRPr="00191996" w:rsidRDefault="00AB5273" w:rsidP="00B05487">
            <w:pPr>
              <w:contextualSpacing/>
              <w:rPr>
                <w:rFonts w:ascii="Arial Narrow" w:hAnsi="Arial Narrow" w:cs="Calibri"/>
                <w:sz w:val="20"/>
              </w:rPr>
            </w:pPr>
            <w:r w:rsidRPr="00191996">
              <w:rPr>
                <w:rFonts w:ascii="Arial Narrow" w:hAnsi="Arial Narrow" w:cs="Calibri"/>
                <w:sz w:val="20"/>
              </w:rPr>
              <w:t>FDRs tested</w:t>
            </w:r>
            <w:r w:rsidR="00920862" w:rsidRPr="00191996">
              <w:rPr>
                <w:rFonts w:ascii="Arial Narrow" w:hAnsi="Arial Narrow" w:cs="Calibri"/>
                <w:sz w:val="20"/>
              </w:rPr>
              <w:t xml:space="preserve"> (CCCC)</w:t>
            </w:r>
          </w:p>
        </w:tc>
        <w:tc>
          <w:tcPr>
            <w:tcW w:w="545" w:type="pct"/>
            <w:shd w:val="clear" w:color="auto" w:fill="auto"/>
            <w:noWrap/>
            <w:vAlign w:val="center"/>
          </w:tcPr>
          <w:p w14:paraId="2C899D74"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1,029</w:t>
            </w:r>
          </w:p>
        </w:tc>
        <w:tc>
          <w:tcPr>
            <w:tcW w:w="545" w:type="pct"/>
            <w:shd w:val="clear" w:color="auto" w:fill="auto"/>
            <w:noWrap/>
            <w:vAlign w:val="center"/>
          </w:tcPr>
          <w:p w14:paraId="366A3A1E"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1,042</w:t>
            </w:r>
          </w:p>
        </w:tc>
        <w:tc>
          <w:tcPr>
            <w:tcW w:w="545" w:type="pct"/>
            <w:shd w:val="clear" w:color="auto" w:fill="auto"/>
            <w:noWrap/>
            <w:vAlign w:val="center"/>
          </w:tcPr>
          <w:p w14:paraId="2444559C"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1,056</w:t>
            </w:r>
          </w:p>
        </w:tc>
        <w:tc>
          <w:tcPr>
            <w:tcW w:w="545" w:type="pct"/>
            <w:shd w:val="clear" w:color="auto" w:fill="auto"/>
            <w:noWrap/>
            <w:vAlign w:val="center"/>
          </w:tcPr>
          <w:p w14:paraId="6C950ACD"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1,070</w:t>
            </w:r>
          </w:p>
        </w:tc>
        <w:tc>
          <w:tcPr>
            <w:tcW w:w="545" w:type="pct"/>
            <w:shd w:val="clear" w:color="auto" w:fill="auto"/>
            <w:noWrap/>
            <w:vAlign w:val="center"/>
          </w:tcPr>
          <w:p w14:paraId="2CCC3F1A"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1,084</w:t>
            </w:r>
          </w:p>
        </w:tc>
        <w:tc>
          <w:tcPr>
            <w:tcW w:w="253" w:type="pct"/>
            <w:vAlign w:val="center"/>
          </w:tcPr>
          <w:p w14:paraId="329DA030"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H</w:t>
            </w:r>
          </w:p>
        </w:tc>
        <w:tc>
          <w:tcPr>
            <w:tcW w:w="1007" w:type="pct"/>
            <w:shd w:val="clear" w:color="auto" w:fill="auto"/>
            <w:noWrap/>
            <w:vAlign w:val="center"/>
          </w:tcPr>
          <w:p w14:paraId="64171FD0"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G × 3, assuming 3 FDRs tested per proband</w:t>
            </w:r>
          </w:p>
        </w:tc>
      </w:tr>
      <w:tr w:rsidR="00191996" w:rsidRPr="00191996" w14:paraId="7E7CC3D4" w14:textId="77777777" w:rsidTr="00191996">
        <w:trPr>
          <w:cantSplit/>
        </w:trPr>
        <w:tc>
          <w:tcPr>
            <w:tcW w:w="1015" w:type="pct"/>
            <w:shd w:val="clear" w:color="auto" w:fill="auto"/>
            <w:noWrap/>
            <w:vAlign w:val="center"/>
          </w:tcPr>
          <w:p w14:paraId="4BDCA959"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Positive FDRs expected</w:t>
            </w:r>
          </w:p>
        </w:tc>
        <w:tc>
          <w:tcPr>
            <w:tcW w:w="545" w:type="pct"/>
            <w:shd w:val="clear" w:color="auto" w:fill="auto"/>
            <w:noWrap/>
            <w:vAlign w:val="center"/>
          </w:tcPr>
          <w:p w14:paraId="6B599CF6"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515</w:t>
            </w:r>
          </w:p>
        </w:tc>
        <w:tc>
          <w:tcPr>
            <w:tcW w:w="545" w:type="pct"/>
            <w:shd w:val="clear" w:color="auto" w:fill="auto"/>
            <w:noWrap/>
            <w:vAlign w:val="center"/>
          </w:tcPr>
          <w:p w14:paraId="67E77D34"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521</w:t>
            </w:r>
          </w:p>
        </w:tc>
        <w:tc>
          <w:tcPr>
            <w:tcW w:w="545" w:type="pct"/>
            <w:shd w:val="clear" w:color="auto" w:fill="auto"/>
            <w:noWrap/>
            <w:vAlign w:val="center"/>
          </w:tcPr>
          <w:p w14:paraId="36BB2D33"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528</w:t>
            </w:r>
          </w:p>
        </w:tc>
        <w:tc>
          <w:tcPr>
            <w:tcW w:w="545" w:type="pct"/>
            <w:shd w:val="clear" w:color="auto" w:fill="auto"/>
            <w:noWrap/>
            <w:vAlign w:val="center"/>
          </w:tcPr>
          <w:p w14:paraId="45C1DA4A"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535</w:t>
            </w:r>
          </w:p>
        </w:tc>
        <w:tc>
          <w:tcPr>
            <w:tcW w:w="545" w:type="pct"/>
            <w:shd w:val="clear" w:color="auto" w:fill="auto"/>
            <w:noWrap/>
            <w:vAlign w:val="center"/>
          </w:tcPr>
          <w:p w14:paraId="38E01DC7"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542</w:t>
            </w:r>
          </w:p>
        </w:tc>
        <w:tc>
          <w:tcPr>
            <w:tcW w:w="253" w:type="pct"/>
            <w:vAlign w:val="center"/>
          </w:tcPr>
          <w:p w14:paraId="08E32D6B"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I</w:t>
            </w:r>
          </w:p>
        </w:tc>
        <w:tc>
          <w:tcPr>
            <w:tcW w:w="1007" w:type="pct"/>
            <w:shd w:val="clear" w:color="auto" w:fill="auto"/>
            <w:noWrap/>
            <w:vAlign w:val="center"/>
          </w:tcPr>
          <w:p w14:paraId="0E521859"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H × 50%, assuming 50% DY in FDRs</w:t>
            </w:r>
          </w:p>
        </w:tc>
      </w:tr>
      <w:tr w:rsidR="00191996" w:rsidRPr="00191996" w14:paraId="5D7F1C95" w14:textId="77777777" w:rsidTr="00191996">
        <w:trPr>
          <w:cantSplit/>
        </w:trPr>
        <w:tc>
          <w:tcPr>
            <w:tcW w:w="1015" w:type="pct"/>
            <w:shd w:val="clear" w:color="auto" w:fill="auto"/>
            <w:noWrap/>
            <w:vAlign w:val="center"/>
          </w:tcPr>
          <w:p w14:paraId="13719062"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Total number of probands</w:t>
            </w:r>
          </w:p>
        </w:tc>
        <w:tc>
          <w:tcPr>
            <w:tcW w:w="545" w:type="pct"/>
            <w:shd w:val="clear" w:color="auto" w:fill="auto"/>
            <w:noWrap/>
            <w:vAlign w:val="center"/>
          </w:tcPr>
          <w:p w14:paraId="06BCB687"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858</w:t>
            </w:r>
          </w:p>
        </w:tc>
        <w:tc>
          <w:tcPr>
            <w:tcW w:w="545" w:type="pct"/>
            <w:shd w:val="clear" w:color="auto" w:fill="auto"/>
            <w:noWrap/>
            <w:vAlign w:val="center"/>
          </w:tcPr>
          <w:p w14:paraId="10B311FE"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868</w:t>
            </w:r>
          </w:p>
        </w:tc>
        <w:tc>
          <w:tcPr>
            <w:tcW w:w="545" w:type="pct"/>
            <w:shd w:val="clear" w:color="auto" w:fill="auto"/>
            <w:noWrap/>
            <w:vAlign w:val="center"/>
          </w:tcPr>
          <w:p w14:paraId="40C5F28C"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880</w:t>
            </w:r>
          </w:p>
        </w:tc>
        <w:tc>
          <w:tcPr>
            <w:tcW w:w="545" w:type="pct"/>
            <w:shd w:val="clear" w:color="auto" w:fill="auto"/>
            <w:noWrap/>
            <w:vAlign w:val="center"/>
          </w:tcPr>
          <w:p w14:paraId="04F6C452"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892</w:t>
            </w:r>
          </w:p>
        </w:tc>
        <w:tc>
          <w:tcPr>
            <w:tcW w:w="545" w:type="pct"/>
            <w:shd w:val="clear" w:color="auto" w:fill="auto"/>
            <w:noWrap/>
            <w:vAlign w:val="center"/>
          </w:tcPr>
          <w:p w14:paraId="09D64101" w14:textId="77777777" w:rsidR="00AB5273" w:rsidRPr="00191996" w:rsidRDefault="00AB5273" w:rsidP="00B05487">
            <w:pPr>
              <w:contextualSpacing/>
              <w:jc w:val="center"/>
              <w:rPr>
                <w:rFonts w:ascii="Arial Narrow" w:hAnsi="Arial Narrow" w:cs="Calibri"/>
                <w:color w:val="000000"/>
                <w:sz w:val="20"/>
              </w:rPr>
            </w:pPr>
            <w:r w:rsidRPr="00191996">
              <w:rPr>
                <w:rFonts w:ascii="Arial Narrow" w:hAnsi="Arial Narrow" w:cs="Calibri"/>
                <w:color w:val="000000"/>
                <w:sz w:val="20"/>
              </w:rPr>
              <w:t>903</w:t>
            </w:r>
          </w:p>
        </w:tc>
        <w:tc>
          <w:tcPr>
            <w:tcW w:w="253" w:type="pct"/>
            <w:vAlign w:val="center"/>
          </w:tcPr>
          <w:p w14:paraId="7B887437"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J</w:t>
            </w:r>
          </w:p>
        </w:tc>
        <w:tc>
          <w:tcPr>
            <w:tcW w:w="1007" w:type="pct"/>
            <w:shd w:val="clear" w:color="auto" w:fill="auto"/>
            <w:noWrap/>
            <w:vAlign w:val="center"/>
          </w:tcPr>
          <w:p w14:paraId="3CDF4C4E" w14:textId="651EE980" w:rsidR="00AB5273" w:rsidRPr="00191996" w:rsidRDefault="00AB5273" w:rsidP="00B05487">
            <w:pPr>
              <w:contextualSpacing/>
              <w:rPr>
                <w:rFonts w:ascii="Arial Narrow" w:hAnsi="Arial Narrow" w:cs="Calibri"/>
                <w:sz w:val="20"/>
              </w:rPr>
            </w:pPr>
            <w:r w:rsidRPr="00191996">
              <w:rPr>
                <w:rFonts w:ascii="Arial Narrow" w:hAnsi="Arial Narrow" w:cs="Calibri"/>
                <w:sz w:val="20"/>
              </w:rPr>
              <w:t xml:space="preserve">D + F + I, number of </w:t>
            </w:r>
            <w:r w:rsidR="00191996">
              <w:rPr>
                <w:rFonts w:ascii="Arial Narrow" w:hAnsi="Arial Narrow" w:cs="Calibri"/>
                <w:sz w:val="20"/>
              </w:rPr>
              <w:t>probands identified by affected individual testing and cascade testing of FDRs</w:t>
            </w:r>
          </w:p>
        </w:tc>
      </w:tr>
      <w:tr w:rsidR="00191996" w:rsidRPr="00191996" w14:paraId="2BBC33F4" w14:textId="77777777" w:rsidTr="00191996">
        <w:trPr>
          <w:cantSplit/>
        </w:trPr>
        <w:tc>
          <w:tcPr>
            <w:tcW w:w="1015" w:type="pct"/>
            <w:shd w:val="clear" w:color="auto" w:fill="auto"/>
            <w:noWrap/>
            <w:vAlign w:val="center"/>
          </w:tcPr>
          <w:p w14:paraId="70786E92" w14:textId="4E4652A2" w:rsidR="00AB5273" w:rsidRPr="00191996" w:rsidRDefault="00AB5273" w:rsidP="00B05487">
            <w:pPr>
              <w:contextualSpacing/>
              <w:rPr>
                <w:rFonts w:ascii="Arial Narrow" w:hAnsi="Arial Narrow" w:cs="Calibri"/>
                <w:sz w:val="20"/>
              </w:rPr>
            </w:pPr>
            <w:r w:rsidRPr="00191996">
              <w:rPr>
                <w:rFonts w:ascii="Arial Narrow" w:hAnsi="Arial Narrow" w:cs="Calibri"/>
                <w:sz w:val="20"/>
              </w:rPr>
              <w:t>Reproductive partners tested</w:t>
            </w:r>
            <w:r w:rsidR="00920862" w:rsidRPr="00191996">
              <w:rPr>
                <w:rFonts w:ascii="Arial Narrow" w:hAnsi="Arial Narrow" w:cs="Calibri"/>
                <w:sz w:val="20"/>
              </w:rPr>
              <w:t xml:space="preserve"> (DDDD)</w:t>
            </w:r>
          </w:p>
        </w:tc>
        <w:tc>
          <w:tcPr>
            <w:tcW w:w="545" w:type="pct"/>
            <w:shd w:val="clear" w:color="auto" w:fill="auto"/>
            <w:noWrap/>
            <w:vAlign w:val="center"/>
          </w:tcPr>
          <w:p w14:paraId="5736CD33"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669</w:t>
            </w:r>
          </w:p>
        </w:tc>
        <w:tc>
          <w:tcPr>
            <w:tcW w:w="545" w:type="pct"/>
            <w:shd w:val="clear" w:color="auto" w:fill="auto"/>
            <w:noWrap/>
            <w:vAlign w:val="center"/>
          </w:tcPr>
          <w:p w14:paraId="6C6B0899"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677</w:t>
            </w:r>
          </w:p>
        </w:tc>
        <w:tc>
          <w:tcPr>
            <w:tcW w:w="545" w:type="pct"/>
            <w:shd w:val="clear" w:color="auto" w:fill="auto"/>
            <w:noWrap/>
            <w:vAlign w:val="center"/>
          </w:tcPr>
          <w:p w14:paraId="6135C513"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686</w:t>
            </w:r>
          </w:p>
        </w:tc>
        <w:tc>
          <w:tcPr>
            <w:tcW w:w="545" w:type="pct"/>
            <w:shd w:val="clear" w:color="auto" w:fill="auto"/>
            <w:noWrap/>
            <w:vAlign w:val="center"/>
          </w:tcPr>
          <w:p w14:paraId="66D64E87"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696</w:t>
            </w:r>
          </w:p>
        </w:tc>
        <w:tc>
          <w:tcPr>
            <w:tcW w:w="545" w:type="pct"/>
            <w:shd w:val="clear" w:color="auto" w:fill="auto"/>
            <w:noWrap/>
            <w:vAlign w:val="center"/>
          </w:tcPr>
          <w:p w14:paraId="468F8F13" w14:textId="77777777" w:rsidR="00AB5273" w:rsidRPr="00191996" w:rsidRDefault="00AB5273" w:rsidP="00B05487">
            <w:pPr>
              <w:contextualSpacing/>
              <w:jc w:val="center"/>
              <w:rPr>
                <w:rFonts w:ascii="Arial Narrow" w:hAnsi="Arial Narrow" w:cs="Calibri"/>
                <w:b/>
                <w:bCs/>
                <w:color w:val="000000"/>
                <w:sz w:val="20"/>
              </w:rPr>
            </w:pPr>
            <w:r w:rsidRPr="00191996">
              <w:rPr>
                <w:rFonts w:ascii="Arial Narrow" w:hAnsi="Arial Narrow" w:cs="Calibri"/>
                <w:b/>
                <w:bCs/>
                <w:color w:val="000000"/>
                <w:sz w:val="20"/>
              </w:rPr>
              <w:t>704</w:t>
            </w:r>
          </w:p>
        </w:tc>
        <w:tc>
          <w:tcPr>
            <w:tcW w:w="253" w:type="pct"/>
            <w:vAlign w:val="center"/>
          </w:tcPr>
          <w:p w14:paraId="0C709350"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K</w:t>
            </w:r>
          </w:p>
        </w:tc>
        <w:tc>
          <w:tcPr>
            <w:tcW w:w="1007" w:type="pct"/>
            <w:shd w:val="clear" w:color="auto" w:fill="auto"/>
            <w:noWrap/>
            <w:vAlign w:val="center"/>
          </w:tcPr>
          <w:p w14:paraId="55D01B82"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J × 78%, assuming 78% of patients are in a reproductive relationship‡</w:t>
            </w:r>
          </w:p>
        </w:tc>
      </w:tr>
      <w:tr w:rsidR="00191996" w:rsidRPr="00191996" w14:paraId="4DFB1DEB" w14:textId="77777777" w:rsidTr="00191996">
        <w:trPr>
          <w:cantSplit/>
        </w:trPr>
        <w:tc>
          <w:tcPr>
            <w:tcW w:w="1015" w:type="pct"/>
            <w:shd w:val="clear" w:color="auto" w:fill="auto"/>
            <w:noWrap/>
            <w:vAlign w:val="center"/>
          </w:tcPr>
          <w:p w14:paraId="6E21D66E"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Positive reproductive partners expected</w:t>
            </w:r>
          </w:p>
        </w:tc>
        <w:tc>
          <w:tcPr>
            <w:tcW w:w="545" w:type="pct"/>
            <w:shd w:val="clear" w:color="auto" w:fill="auto"/>
            <w:noWrap/>
            <w:vAlign w:val="center"/>
          </w:tcPr>
          <w:p w14:paraId="232C1C0B" w14:textId="77777777" w:rsidR="00AB5273" w:rsidRPr="00BE77B1" w:rsidRDefault="00AB5273" w:rsidP="00B05487">
            <w:pPr>
              <w:contextualSpacing/>
              <w:jc w:val="center"/>
              <w:rPr>
                <w:rFonts w:ascii="Arial Narrow" w:hAnsi="Arial Narrow" w:cs="Calibri"/>
                <w:i/>
                <w:iCs/>
                <w:sz w:val="20"/>
              </w:rPr>
            </w:pPr>
            <w:r w:rsidRPr="00BE77B1">
              <w:rPr>
                <w:rFonts w:ascii="Arial Narrow" w:hAnsi="Arial Narrow" w:cs="Calibri"/>
                <w:i/>
                <w:iCs/>
                <w:sz w:val="20"/>
              </w:rPr>
              <w:t>72</w:t>
            </w:r>
          </w:p>
        </w:tc>
        <w:tc>
          <w:tcPr>
            <w:tcW w:w="545" w:type="pct"/>
            <w:shd w:val="clear" w:color="auto" w:fill="auto"/>
            <w:noWrap/>
            <w:vAlign w:val="center"/>
          </w:tcPr>
          <w:p w14:paraId="6E3CA2FE" w14:textId="77777777" w:rsidR="00AB5273" w:rsidRPr="00BE77B1" w:rsidRDefault="00AB5273" w:rsidP="00B05487">
            <w:pPr>
              <w:contextualSpacing/>
              <w:jc w:val="center"/>
              <w:rPr>
                <w:rFonts w:ascii="Arial Narrow" w:hAnsi="Arial Narrow" w:cs="Calibri"/>
                <w:i/>
                <w:iCs/>
                <w:sz w:val="20"/>
              </w:rPr>
            </w:pPr>
            <w:r w:rsidRPr="00BE77B1">
              <w:rPr>
                <w:rFonts w:ascii="Arial Narrow" w:hAnsi="Arial Narrow" w:cs="Calibri"/>
                <w:i/>
                <w:iCs/>
                <w:sz w:val="20"/>
              </w:rPr>
              <w:t>73</w:t>
            </w:r>
          </w:p>
        </w:tc>
        <w:tc>
          <w:tcPr>
            <w:tcW w:w="545" w:type="pct"/>
            <w:shd w:val="clear" w:color="auto" w:fill="auto"/>
            <w:noWrap/>
            <w:vAlign w:val="center"/>
          </w:tcPr>
          <w:p w14:paraId="2745D1AD" w14:textId="77777777" w:rsidR="00AB5273" w:rsidRPr="00BE77B1" w:rsidRDefault="00AB5273" w:rsidP="00B05487">
            <w:pPr>
              <w:contextualSpacing/>
              <w:jc w:val="center"/>
              <w:rPr>
                <w:rFonts w:ascii="Arial Narrow" w:hAnsi="Arial Narrow" w:cs="Calibri"/>
                <w:i/>
                <w:iCs/>
                <w:sz w:val="20"/>
              </w:rPr>
            </w:pPr>
            <w:r w:rsidRPr="00BE77B1">
              <w:rPr>
                <w:rFonts w:ascii="Arial Narrow" w:hAnsi="Arial Narrow" w:cs="Calibri"/>
                <w:i/>
                <w:iCs/>
                <w:sz w:val="20"/>
              </w:rPr>
              <w:t>74</w:t>
            </w:r>
          </w:p>
        </w:tc>
        <w:tc>
          <w:tcPr>
            <w:tcW w:w="545" w:type="pct"/>
            <w:shd w:val="clear" w:color="auto" w:fill="auto"/>
            <w:noWrap/>
            <w:vAlign w:val="center"/>
          </w:tcPr>
          <w:p w14:paraId="3C89A6CD" w14:textId="77777777" w:rsidR="00AB5273" w:rsidRPr="00BE77B1" w:rsidRDefault="00AB5273" w:rsidP="00B05487">
            <w:pPr>
              <w:contextualSpacing/>
              <w:jc w:val="center"/>
              <w:rPr>
                <w:rFonts w:ascii="Arial Narrow" w:hAnsi="Arial Narrow" w:cs="Calibri"/>
                <w:i/>
                <w:iCs/>
                <w:sz w:val="20"/>
              </w:rPr>
            </w:pPr>
            <w:r w:rsidRPr="00BE77B1">
              <w:rPr>
                <w:rFonts w:ascii="Arial Narrow" w:hAnsi="Arial Narrow" w:cs="Calibri"/>
                <w:i/>
                <w:iCs/>
                <w:sz w:val="20"/>
              </w:rPr>
              <w:t>75</w:t>
            </w:r>
          </w:p>
        </w:tc>
        <w:tc>
          <w:tcPr>
            <w:tcW w:w="545" w:type="pct"/>
            <w:shd w:val="clear" w:color="auto" w:fill="auto"/>
            <w:noWrap/>
            <w:vAlign w:val="center"/>
          </w:tcPr>
          <w:p w14:paraId="07D0CEDB" w14:textId="77777777" w:rsidR="00AB5273" w:rsidRPr="00BE77B1" w:rsidRDefault="00AB5273" w:rsidP="00B05487">
            <w:pPr>
              <w:contextualSpacing/>
              <w:jc w:val="center"/>
              <w:rPr>
                <w:rFonts w:ascii="Arial Narrow" w:hAnsi="Arial Narrow" w:cs="Calibri"/>
                <w:i/>
                <w:iCs/>
                <w:sz w:val="20"/>
              </w:rPr>
            </w:pPr>
            <w:r w:rsidRPr="00BE77B1">
              <w:rPr>
                <w:rFonts w:ascii="Arial Narrow" w:hAnsi="Arial Narrow" w:cs="Calibri"/>
                <w:i/>
                <w:iCs/>
                <w:sz w:val="20"/>
              </w:rPr>
              <w:t>76</w:t>
            </w:r>
          </w:p>
        </w:tc>
        <w:tc>
          <w:tcPr>
            <w:tcW w:w="253" w:type="pct"/>
            <w:vAlign w:val="center"/>
          </w:tcPr>
          <w:p w14:paraId="709C6CDD"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L</w:t>
            </w:r>
          </w:p>
        </w:tc>
        <w:tc>
          <w:tcPr>
            <w:tcW w:w="1007" w:type="pct"/>
            <w:shd w:val="clear" w:color="auto" w:fill="auto"/>
            <w:noWrap/>
            <w:vAlign w:val="center"/>
          </w:tcPr>
          <w:p w14:paraId="3C095B2A" w14:textId="77777777" w:rsidR="00AB5273" w:rsidRPr="00191996" w:rsidRDefault="00AB5273" w:rsidP="00B05487">
            <w:pPr>
              <w:contextualSpacing/>
              <w:rPr>
                <w:rFonts w:ascii="Arial Narrow" w:hAnsi="Arial Narrow" w:cs="Calibri"/>
                <w:sz w:val="20"/>
              </w:rPr>
            </w:pPr>
            <w:r w:rsidRPr="00191996">
              <w:rPr>
                <w:rFonts w:ascii="Arial Narrow" w:hAnsi="Arial Narrow" w:cs="Calibri"/>
                <w:sz w:val="20"/>
              </w:rPr>
              <w:t>K × 10.67%, sum of S- and Z-containing genotype frequencies in Australia (DCAR, Table 13)</w:t>
            </w:r>
          </w:p>
        </w:tc>
      </w:tr>
      <w:tr w:rsidR="00191996" w:rsidRPr="00191996" w14:paraId="53643029" w14:textId="77777777" w:rsidTr="00191996">
        <w:trPr>
          <w:cantSplit/>
        </w:trPr>
        <w:tc>
          <w:tcPr>
            <w:tcW w:w="1015" w:type="pct"/>
            <w:shd w:val="clear" w:color="auto" w:fill="auto"/>
            <w:noWrap/>
            <w:vAlign w:val="center"/>
          </w:tcPr>
          <w:p w14:paraId="35B79B09" w14:textId="2BF7B292" w:rsidR="00AB5273" w:rsidRPr="00191996" w:rsidRDefault="00920862" w:rsidP="00B05487">
            <w:pPr>
              <w:contextualSpacing/>
              <w:rPr>
                <w:rFonts w:ascii="Arial Narrow" w:hAnsi="Arial Narrow" w:cs="Calibri"/>
                <w:sz w:val="20"/>
              </w:rPr>
            </w:pPr>
            <w:r w:rsidRPr="00191996">
              <w:rPr>
                <w:rFonts w:ascii="Arial Narrow" w:hAnsi="Arial Narrow" w:cs="Calibri"/>
                <w:sz w:val="20"/>
              </w:rPr>
              <w:t>Fetuses tested (EEEE)</w:t>
            </w:r>
          </w:p>
        </w:tc>
        <w:tc>
          <w:tcPr>
            <w:tcW w:w="545" w:type="pct"/>
            <w:shd w:val="clear" w:color="auto" w:fill="auto"/>
            <w:noWrap/>
            <w:vAlign w:val="center"/>
          </w:tcPr>
          <w:p w14:paraId="5FC379DD"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w:t>
            </w:r>
          </w:p>
        </w:tc>
        <w:tc>
          <w:tcPr>
            <w:tcW w:w="545" w:type="pct"/>
            <w:shd w:val="clear" w:color="auto" w:fill="auto"/>
            <w:noWrap/>
            <w:vAlign w:val="center"/>
          </w:tcPr>
          <w:p w14:paraId="69270C11"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w:t>
            </w:r>
          </w:p>
        </w:tc>
        <w:tc>
          <w:tcPr>
            <w:tcW w:w="545" w:type="pct"/>
            <w:shd w:val="clear" w:color="auto" w:fill="auto"/>
            <w:noWrap/>
            <w:vAlign w:val="center"/>
          </w:tcPr>
          <w:p w14:paraId="1A06E0E3"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w:t>
            </w:r>
          </w:p>
        </w:tc>
        <w:tc>
          <w:tcPr>
            <w:tcW w:w="545" w:type="pct"/>
            <w:shd w:val="clear" w:color="auto" w:fill="auto"/>
            <w:noWrap/>
            <w:vAlign w:val="center"/>
          </w:tcPr>
          <w:p w14:paraId="14EE2FD8"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w:t>
            </w:r>
          </w:p>
        </w:tc>
        <w:tc>
          <w:tcPr>
            <w:tcW w:w="545" w:type="pct"/>
            <w:shd w:val="clear" w:color="auto" w:fill="auto"/>
            <w:noWrap/>
            <w:vAlign w:val="center"/>
          </w:tcPr>
          <w:p w14:paraId="10AE40F9"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w:t>
            </w:r>
          </w:p>
        </w:tc>
        <w:tc>
          <w:tcPr>
            <w:tcW w:w="253" w:type="pct"/>
            <w:vAlign w:val="center"/>
          </w:tcPr>
          <w:p w14:paraId="07FF3939"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M</w:t>
            </w:r>
          </w:p>
        </w:tc>
        <w:tc>
          <w:tcPr>
            <w:tcW w:w="1007" w:type="pct"/>
            <w:shd w:val="clear" w:color="auto" w:fill="auto"/>
            <w:noWrap/>
            <w:vAlign w:val="center"/>
          </w:tcPr>
          <w:p w14:paraId="6542EBFD" w14:textId="64034949" w:rsidR="00AB5273" w:rsidRPr="00191996" w:rsidRDefault="00AB5273" w:rsidP="00B05487">
            <w:pPr>
              <w:contextualSpacing/>
              <w:rPr>
                <w:rFonts w:ascii="Arial Narrow" w:hAnsi="Arial Narrow" w:cs="Calibri"/>
                <w:sz w:val="20"/>
              </w:rPr>
            </w:pPr>
            <w:r w:rsidRPr="00191996">
              <w:rPr>
                <w:rFonts w:ascii="Arial Narrow" w:hAnsi="Arial Narrow" w:cs="Calibri"/>
                <w:sz w:val="20"/>
              </w:rPr>
              <w:t>L × (12.1/1000), assuming CBR of 12.1 per 1000</w:t>
            </w:r>
          </w:p>
        </w:tc>
      </w:tr>
      <w:tr w:rsidR="00191996" w:rsidRPr="00191996" w14:paraId="3B954586" w14:textId="77777777" w:rsidTr="00191996">
        <w:trPr>
          <w:cantSplit/>
        </w:trPr>
        <w:tc>
          <w:tcPr>
            <w:tcW w:w="1015" w:type="pct"/>
            <w:shd w:val="clear" w:color="auto" w:fill="auto"/>
            <w:noWrap/>
            <w:vAlign w:val="center"/>
          </w:tcPr>
          <w:p w14:paraId="45987A46" w14:textId="7DDD0F2F" w:rsidR="00AB5273" w:rsidRPr="00191996" w:rsidRDefault="00AB5273" w:rsidP="00B05487">
            <w:pPr>
              <w:contextualSpacing/>
              <w:rPr>
                <w:rFonts w:ascii="Arial Narrow" w:hAnsi="Arial Narrow" w:cs="Calibri"/>
                <w:b/>
                <w:bCs/>
                <w:sz w:val="20"/>
              </w:rPr>
            </w:pPr>
            <w:r w:rsidRPr="00191996">
              <w:rPr>
                <w:rFonts w:ascii="Arial Narrow" w:hAnsi="Arial Narrow" w:cs="Calibri"/>
                <w:b/>
                <w:bCs/>
                <w:sz w:val="20"/>
              </w:rPr>
              <w:t xml:space="preserve">Total </w:t>
            </w:r>
            <w:r w:rsidR="00191996">
              <w:rPr>
                <w:rFonts w:ascii="Arial Narrow" w:hAnsi="Arial Narrow" w:cs="Calibri"/>
                <w:b/>
                <w:bCs/>
                <w:sz w:val="20"/>
              </w:rPr>
              <w:t>cascade testing</w:t>
            </w:r>
            <w:r w:rsidRPr="00191996">
              <w:rPr>
                <w:rFonts w:ascii="Arial Narrow" w:hAnsi="Arial Narrow" w:cs="Calibri"/>
                <w:b/>
                <w:bCs/>
                <w:sz w:val="20"/>
              </w:rPr>
              <w:t xml:space="preserve"> volume</w:t>
            </w:r>
          </w:p>
        </w:tc>
        <w:tc>
          <w:tcPr>
            <w:tcW w:w="545" w:type="pct"/>
            <w:shd w:val="clear" w:color="auto" w:fill="auto"/>
            <w:noWrap/>
            <w:vAlign w:val="center"/>
          </w:tcPr>
          <w:p w14:paraId="0597A00E"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1,699</w:t>
            </w:r>
          </w:p>
        </w:tc>
        <w:tc>
          <w:tcPr>
            <w:tcW w:w="545" w:type="pct"/>
            <w:shd w:val="clear" w:color="auto" w:fill="auto"/>
            <w:noWrap/>
            <w:vAlign w:val="center"/>
          </w:tcPr>
          <w:p w14:paraId="24E3FDA6"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1,720</w:t>
            </w:r>
          </w:p>
        </w:tc>
        <w:tc>
          <w:tcPr>
            <w:tcW w:w="545" w:type="pct"/>
            <w:shd w:val="clear" w:color="auto" w:fill="auto"/>
            <w:noWrap/>
            <w:vAlign w:val="center"/>
          </w:tcPr>
          <w:p w14:paraId="5986847F"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1,743</w:t>
            </w:r>
          </w:p>
        </w:tc>
        <w:tc>
          <w:tcPr>
            <w:tcW w:w="545" w:type="pct"/>
            <w:shd w:val="clear" w:color="auto" w:fill="auto"/>
            <w:noWrap/>
            <w:vAlign w:val="center"/>
          </w:tcPr>
          <w:p w14:paraId="1895E903"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1,767</w:t>
            </w:r>
          </w:p>
        </w:tc>
        <w:tc>
          <w:tcPr>
            <w:tcW w:w="545" w:type="pct"/>
            <w:shd w:val="clear" w:color="auto" w:fill="auto"/>
            <w:noWrap/>
            <w:vAlign w:val="center"/>
          </w:tcPr>
          <w:p w14:paraId="4A18C8A5"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1,789</w:t>
            </w:r>
          </w:p>
        </w:tc>
        <w:tc>
          <w:tcPr>
            <w:tcW w:w="253" w:type="pct"/>
            <w:vAlign w:val="center"/>
          </w:tcPr>
          <w:p w14:paraId="33D63064"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N</w:t>
            </w:r>
          </w:p>
        </w:tc>
        <w:tc>
          <w:tcPr>
            <w:tcW w:w="1007" w:type="pct"/>
            <w:shd w:val="clear" w:color="auto" w:fill="auto"/>
            <w:noWrap/>
            <w:vAlign w:val="center"/>
          </w:tcPr>
          <w:p w14:paraId="3B0B4CFC" w14:textId="1D80C085" w:rsidR="00AB5273" w:rsidRPr="00191996" w:rsidRDefault="00AB5273" w:rsidP="00B05487">
            <w:pPr>
              <w:contextualSpacing/>
              <w:rPr>
                <w:rFonts w:ascii="Arial Narrow" w:hAnsi="Arial Narrow" w:cs="Calibri"/>
                <w:sz w:val="20"/>
              </w:rPr>
            </w:pPr>
            <w:r w:rsidRPr="00191996">
              <w:rPr>
                <w:rFonts w:ascii="Arial Narrow" w:hAnsi="Arial Narrow" w:cs="Calibri"/>
                <w:sz w:val="20"/>
              </w:rPr>
              <w:t xml:space="preserve">H + K + M, total </w:t>
            </w:r>
            <w:r w:rsidR="00191996">
              <w:rPr>
                <w:rFonts w:ascii="Arial Narrow" w:hAnsi="Arial Narrow" w:cs="Calibri"/>
                <w:sz w:val="20"/>
              </w:rPr>
              <w:t>cascade testing volume (i.e. FDRs, reproductive partner and fetuses)</w:t>
            </w:r>
          </w:p>
        </w:tc>
      </w:tr>
      <w:tr w:rsidR="00191996" w:rsidRPr="00191996" w14:paraId="1DA68709" w14:textId="77777777" w:rsidTr="00191996">
        <w:trPr>
          <w:cantSplit/>
        </w:trPr>
        <w:tc>
          <w:tcPr>
            <w:tcW w:w="1015" w:type="pct"/>
            <w:shd w:val="clear" w:color="auto" w:fill="auto"/>
            <w:noWrap/>
            <w:vAlign w:val="center"/>
          </w:tcPr>
          <w:p w14:paraId="689907AF" w14:textId="12F2390A" w:rsidR="00AB5273" w:rsidRPr="00191996" w:rsidRDefault="00AB5273" w:rsidP="00B05487">
            <w:pPr>
              <w:contextualSpacing/>
              <w:rPr>
                <w:rFonts w:ascii="Arial Narrow" w:hAnsi="Arial Narrow" w:cs="Calibri"/>
                <w:b/>
                <w:bCs/>
                <w:sz w:val="20"/>
              </w:rPr>
            </w:pPr>
            <w:r w:rsidRPr="00191996">
              <w:rPr>
                <w:rFonts w:ascii="Arial Narrow" w:hAnsi="Arial Narrow" w:cs="Calibri"/>
                <w:b/>
                <w:bCs/>
                <w:sz w:val="20"/>
              </w:rPr>
              <w:t xml:space="preserve">Total cost of </w:t>
            </w:r>
            <w:r w:rsidR="00191996">
              <w:rPr>
                <w:rFonts w:ascii="Arial Narrow" w:hAnsi="Arial Narrow" w:cs="Calibri"/>
                <w:b/>
                <w:bCs/>
                <w:sz w:val="20"/>
              </w:rPr>
              <w:t>cascade</w:t>
            </w:r>
            <w:r w:rsidRPr="00191996">
              <w:rPr>
                <w:rFonts w:ascii="Arial Narrow" w:hAnsi="Arial Narrow" w:cs="Calibri"/>
                <w:b/>
                <w:bCs/>
                <w:sz w:val="20"/>
              </w:rPr>
              <w:t xml:space="preserve"> testing</w:t>
            </w:r>
          </w:p>
        </w:tc>
        <w:tc>
          <w:tcPr>
            <w:tcW w:w="545" w:type="pct"/>
            <w:shd w:val="clear" w:color="auto" w:fill="auto"/>
            <w:noWrap/>
            <w:vAlign w:val="center"/>
          </w:tcPr>
          <w:p w14:paraId="51C8B4E4"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$144,415</w:t>
            </w:r>
          </w:p>
        </w:tc>
        <w:tc>
          <w:tcPr>
            <w:tcW w:w="545" w:type="pct"/>
            <w:shd w:val="clear" w:color="auto" w:fill="auto"/>
            <w:noWrap/>
            <w:vAlign w:val="center"/>
          </w:tcPr>
          <w:p w14:paraId="1BD07362"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$146,200</w:t>
            </w:r>
          </w:p>
        </w:tc>
        <w:tc>
          <w:tcPr>
            <w:tcW w:w="545" w:type="pct"/>
            <w:shd w:val="clear" w:color="auto" w:fill="auto"/>
            <w:noWrap/>
            <w:vAlign w:val="center"/>
          </w:tcPr>
          <w:p w14:paraId="26E7474D"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$148,155</w:t>
            </w:r>
          </w:p>
        </w:tc>
        <w:tc>
          <w:tcPr>
            <w:tcW w:w="545" w:type="pct"/>
            <w:shd w:val="clear" w:color="auto" w:fill="auto"/>
            <w:noWrap/>
            <w:vAlign w:val="center"/>
          </w:tcPr>
          <w:p w14:paraId="11A72081"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$150,195</w:t>
            </w:r>
          </w:p>
        </w:tc>
        <w:tc>
          <w:tcPr>
            <w:tcW w:w="545" w:type="pct"/>
            <w:shd w:val="clear" w:color="auto" w:fill="auto"/>
            <w:noWrap/>
            <w:vAlign w:val="center"/>
          </w:tcPr>
          <w:p w14:paraId="5396ABEF" w14:textId="77777777" w:rsidR="00AB5273" w:rsidRPr="00BE77B1" w:rsidRDefault="00AB5273" w:rsidP="00B05487">
            <w:pPr>
              <w:contextualSpacing/>
              <w:jc w:val="center"/>
              <w:rPr>
                <w:rFonts w:ascii="Arial Narrow" w:hAnsi="Arial Narrow" w:cs="Calibri"/>
                <w:b/>
                <w:i/>
                <w:iCs/>
                <w:sz w:val="20"/>
              </w:rPr>
            </w:pPr>
            <w:r w:rsidRPr="00BE77B1">
              <w:rPr>
                <w:rFonts w:ascii="Arial Narrow" w:hAnsi="Arial Narrow" w:cs="Calibri"/>
                <w:b/>
                <w:i/>
                <w:iCs/>
                <w:sz w:val="20"/>
              </w:rPr>
              <w:t>$152,065</w:t>
            </w:r>
          </w:p>
        </w:tc>
        <w:tc>
          <w:tcPr>
            <w:tcW w:w="253" w:type="pct"/>
            <w:vAlign w:val="center"/>
          </w:tcPr>
          <w:p w14:paraId="564EDD12" w14:textId="77777777" w:rsidR="00AB5273" w:rsidRPr="00191996" w:rsidRDefault="00AB5273" w:rsidP="00B05487">
            <w:pPr>
              <w:contextualSpacing/>
              <w:rPr>
                <w:rFonts w:ascii="Arial Narrow" w:hAnsi="Arial Narrow" w:cs="Calibri"/>
                <w:color w:val="000000"/>
                <w:sz w:val="20"/>
              </w:rPr>
            </w:pPr>
            <w:r w:rsidRPr="00191996">
              <w:rPr>
                <w:rFonts w:ascii="Arial Narrow" w:hAnsi="Arial Narrow" w:cs="Calibri"/>
                <w:color w:val="000000"/>
                <w:sz w:val="20"/>
              </w:rPr>
              <w:t>O</w:t>
            </w:r>
          </w:p>
        </w:tc>
        <w:tc>
          <w:tcPr>
            <w:tcW w:w="1007" w:type="pct"/>
            <w:shd w:val="clear" w:color="auto" w:fill="auto"/>
            <w:noWrap/>
            <w:vAlign w:val="center"/>
          </w:tcPr>
          <w:p w14:paraId="2A83CEF0" w14:textId="5953EC25" w:rsidR="00AB5273" w:rsidRPr="00191996" w:rsidRDefault="00AB5273" w:rsidP="00B05487">
            <w:pPr>
              <w:contextualSpacing/>
              <w:rPr>
                <w:rFonts w:ascii="Arial Narrow" w:hAnsi="Arial Narrow" w:cs="Calibri"/>
                <w:sz w:val="20"/>
              </w:rPr>
            </w:pPr>
            <w:r w:rsidRPr="00191996">
              <w:rPr>
                <w:rFonts w:ascii="Arial Narrow" w:hAnsi="Arial Narrow" w:cs="Calibri"/>
                <w:sz w:val="20"/>
              </w:rPr>
              <w:t xml:space="preserve">N × $85, assuming all </w:t>
            </w:r>
            <w:r w:rsidR="00191996">
              <w:rPr>
                <w:rFonts w:ascii="Arial Narrow" w:hAnsi="Arial Narrow" w:cs="Calibri"/>
                <w:sz w:val="20"/>
              </w:rPr>
              <w:t>use</w:t>
            </w:r>
            <w:r w:rsidRPr="00191996">
              <w:rPr>
                <w:rFonts w:ascii="Arial Narrow" w:hAnsi="Arial Narrow" w:cs="Calibri"/>
                <w:sz w:val="20"/>
              </w:rPr>
              <w:t xml:space="preserve"> the 14-variant panel </w:t>
            </w:r>
          </w:p>
        </w:tc>
      </w:tr>
    </w:tbl>
    <w:p w14:paraId="18972071" w14:textId="66B7FA78" w:rsidR="00AB5273" w:rsidRPr="006A1878" w:rsidRDefault="00AB5273" w:rsidP="00B05487">
      <w:pPr>
        <w:pStyle w:val="Tablenotes0"/>
        <w:jc w:val="left"/>
      </w:pPr>
      <w:r>
        <w:t xml:space="preserve">AATD = Alpha-1 Antitrypsin Deficiency, </w:t>
      </w:r>
      <w:r w:rsidRPr="000407E3">
        <w:t>ABS = Australian Bureau of Statistics, CBR = Crude birth rate</w:t>
      </w:r>
      <w:r w:rsidR="00191996">
        <w:t xml:space="preserve"> (i.e. births per 1000 estimated resident population per year)</w:t>
      </w:r>
      <w:r w:rsidRPr="000407E3">
        <w:t>, DY = diagnostic yield, FDR = first</w:t>
      </w:r>
      <w:r w:rsidR="00700383">
        <w:t>-</w:t>
      </w:r>
      <w:r w:rsidRPr="000407E3">
        <w:t>degree relatives</w:t>
      </w:r>
      <w:r w:rsidR="00191996">
        <w:t>.</w:t>
      </w:r>
    </w:p>
    <w:p w14:paraId="1DA80C36" w14:textId="5AD3B61A" w:rsidR="00AB5273" w:rsidRDefault="00AB5273" w:rsidP="00B05487">
      <w:pPr>
        <w:pStyle w:val="Tablenotes0"/>
        <w:jc w:val="left"/>
      </w:pPr>
      <w:r>
        <w:t xml:space="preserve">† = </w:t>
      </w:r>
      <w:r w:rsidR="00920862">
        <w:t>assumes</w:t>
      </w:r>
      <w:r>
        <w:t xml:space="preserve"> 80% market share (rather than </w:t>
      </w:r>
      <w:r w:rsidR="00920862">
        <w:t xml:space="preserve">the </w:t>
      </w:r>
      <w:r>
        <w:t xml:space="preserve">70% </w:t>
      </w:r>
      <w:r w:rsidR="00920862">
        <w:t>used</w:t>
      </w:r>
      <w:r>
        <w:t xml:space="preserve"> in the base case)</w:t>
      </w:r>
    </w:p>
    <w:p w14:paraId="78C43D0E" w14:textId="78137623" w:rsidR="00AB5273" w:rsidRDefault="00AB5273" w:rsidP="00B05487">
      <w:pPr>
        <w:pStyle w:val="Tablenotes0"/>
        <w:jc w:val="left"/>
      </w:pPr>
      <w:r>
        <w:t>‡ = maximum 78% partnership rate suggested based on most recent ABS data for household structure.</w:t>
      </w:r>
    </w:p>
    <w:p w14:paraId="4FB622F9" w14:textId="3B0E5892" w:rsidR="00AB5273" w:rsidRPr="006A1878" w:rsidRDefault="00AB5273" w:rsidP="00B05487">
      <w:pPr>
        <w:pStyle w:val="Tablenotes0"/>
        <w:jc w:val="left"/>
      </w:pPr>
      <w:r>
        <w:t xml:space="preserve">Source: based on Rejoinder Table 1, with </w:t>
      </w:r>
      <w:r w:rsidR="00191996">
        <w:t>calculations modified</w:t>
      </w:r>
      <w:r>
        <w:t xml:space="preserve"> by the Department (</w:t>
      </w:r>
      <w:r w:rsidR="00BE77B1">
        <w:t>italics</w:t>
      </w:r>
      <w:r>
        <w:t>) to assume the diagnostic yield in reproductive partner</w:t>
      </w:r>
      <w:r w:rsidR="00191996">
        <w:t>s</w:t>
      </w:r>
      <w:r>
        <w:t xml:space="preserve"> </w:t>
      </w:r>
      <w:r w:rsidR="00920862">
        <w:t>is</w:t>
      </w:r>
      <w:r>
        <w:t xml:space="preserve"> comparable to that </w:t>
      </w:r>
      <w:r w:rsidR="00191996">
        <w:t>in</w:t>
      </w:r>
      <w:r>
        <w:t xml:space="preserve"> the general Australian population, and to reflect the clinical management algorithm </w:t>
      </w:r>
      <w:r w:rsidR="00920862">
        <w:t>under which</w:t>
      </w:r>
      <w:r>
        <w:t xml:space="preserve"> fetal testing</w:t>
      </w:r>
      <w:r w:rsidR="00920862">
        <w:t xml:space="preserve"> would take place</w:t>
      </w:r>
      <w:r>
        <w:t>.</w:t>
      </w:r>
    </w:p>
    <w:p w14:paraId="54A603F0" w14:textId="7507D280" w:rsidR="00916592" w:rsidRDefault="00CF2A6D" w:rsidP="009B136F">
      <w:pPr>
        <w:spacing w:before="240" w:after="720"/>
      </w:pPr>
      <w:r>
        <w:t xml:space="preserve">ESC noted that future cost </w:t>
      </w:r>
      <w:r w:rsidR="009207ED">
        <w:t>offsets</w:t>
      </w:r>
      <w:r>
        <w:t xml:space="preserve"> due to slower disease progression are not included in the DCAR’s financial </w:t>
      </w:r>
      <w:r w:rsidR="002F41F8">
        <w:t>impact assessment</w:t>
      </w:r>
      <w:r>
        <w:t>.</w:t>
      </w:r>
    </w:p>
    <w:p w14:paraId="3EA50CE8" w14:textId="6252A7AF" w:rsidR="00916592" w:rsidRPr="00D90D56" w:rsidRDefault="00916592"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lastRenderedPageBreak/>
        <w:t xml:space="preserve">Key issues from ESC </w:t>
      </w:r>
      <w:r w:rsidR="00D90D56">
        <w:rPr>
          <w:rFonts w:ascii="Arial" w:eastAsia="Times New Roman" w:hAnsi="Arial" w:cs="Times New Roman"/>
        </w:rPr>
        <w:t>for</w:t>
      </w:r>
      <w:r w:rsidRPr="00D90D56">
        <w:rPr>
          <w:rFonts w:ascii="Arial" w:eastAsia="Times New Roman" w:hAnsi="Arial" w:cs="Times New Roman"/>
        </w:rPr>
        <w:t xml:space="preserve"> MSAC</w:t>
      </w:r>
    </w:p>
    <w:tbl>
      <w:tblPr>
        <w:tblStyle w:val="TableGrid"/>
        <w:tblpPr w:leftFromText="180" w:rightFromText="180" w:vertAnchor="text" w:tblpY="1"/>
        <w:tblOverlap w:val="never"/>
        <w:tblW w:w="9634" w:type="dxa"/>
        <w:tblLook w:val="04A0" w:firstRow="1" w:lastRow="0" w:firstColumn="1" w:lastColumn="0" w:noHBand="0" w:noVBand="1"/>
      </w:tblPr>
      <w:tblGrid>
        <w:gridCol w:w="2093"/>
        <w:gridCol w:w="7541"/>
      </w:tblGrid>
      <w:tr w:rsidR="00916592" w:rsidRPr="00232DE6" w14:paraId="1E471CB6" w14:textId="77777777" w:rsidTr="00916592">
        <w:trPr>
          <w:cantSplit/>
        </w:trPr>
        <w:tc>
          <w:tcPr>
            <w:tcW w:w="2093" w:type="dxa"/>
          </w:tcPr>
          <w:p w14:paraId="5CECF2ED" w14:textId="77777777" w:rsidR="00916592" w:rsidRPr="00232DE6" w:rsidRDefault="00916592" w:rsidP="00B05487">
            <w:pPr>
              <w:pStyle w:val="TableHeading"/>
              <w:ind w:left="0" w:firstLine="0"/>
              <w:rPr>
                <w:rFonts w:ascii="Times New Roman" w:hAnsi="Times New Roman" w:cs="Times New Roman"/>
                <w:sz w:val="22"/>
                <w:szCs w:val="22"/>
              </w:rPr>
            </w:pPr>
            <w:r w:rsidRPr="00232DE6">
              <w:rPr>
                <w:rFonts w:ascii="Times New Roman" w:hAnsi="Times New Roman" w:cs="Times New Roman"/>
                <w:sz w:val="22"/>
                <w:szCs w:val="22"/>
              </w:rPr>
              <w:t>ESC key issue</w:t>
            </w:r>
          </w:p>
        </w:tc>
        <w:tc>
          <w:tcPr>
            <w:tcW w:w="7541" w:type="dxa"/>
          </w:tcPr>
          <w:p w14:paraId="0930555A" w14:textId="77777777" w:rsidR="00916592" w:rsidRPr="00232DE6" w:rsidRDefault="00916592" w:rsidP="00B05487">
            <w:pPr>
              <w:pStyle w:val="TableHeading"/>
              <w:ind w:left="0" w:firstLine="0"/>
              <w:rPr>
                <w:rFonts w:ascii="Times New Roman" w:hAnsi="Times New Roman" w:cs="Times New Roman"/>
                <w:sz w:val="22"/>
                <w:szCs w:val="22"/>
              </w:rPr>
            </w:pPr>
            <w:r w:rsidRPr="00232DE6">
              <w:rPr>
                <w:rFonts w:ascii="Times New Roman" w:hAnsi="Times New Roman" w:cs="Times New Roman"/>
                <w:sz w:val="22"/>
                <w:szCs w:val="22"/>
              </w:rPr>
              <w:t>ESC advice to MSAC</w:t>
            </w:r>
          </w:p>
        </w:tc>
      </w:tr>
      <w:tr w:rsidR="00916592" w:rsidRPr="00232DE6" w14:paraId="262730B0" w14:textId="77777777" w:rsidTr="00916592">
        <w:trPr>
          <w:cantSplit/>
        </w:trPr>
        <w:tc>
          <w:tcPr>
            <w:tcW w:w="2093" w:type="dxa"/>
          </w:tcPr>
          <w:p w14:paraId="292542BE"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Clinical utility is possible but uncertain</w:t>
            </w:r>
          </w:p>
        </w:tc>
        <w:tc>
          <w:tcPr>
            <w:tcW w:w="7541" w:type="dxa"/>
          </w:tcPr>
          <w:p w14:paraId="157E3796"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 xml:space="preserve">Detecting a gene variant may affect </w:t>
            </w:r>
            <w:r>
              <w:rPr>
                <w:rFonts w:ascii="Times New Roman" w:hAnsi="Times New Roman"/>
                <w:sz w:val="22"/>
                <w:szCs w:val="22"/>
              </w:rPr>
              <w:t xml:space="preserve">the </w:t>
            </w:r>
            <w:r w:rsidRPr="00232DE6">
              <w:rPr>
                <w:rFonts w:ascii="Times New Roman" w:hAnsi="Times New Roman"/>
                <w:sz w:val="22"/>
                <w:szCs w:val="22"/>
              </w:rPr>
              <w:t>health behaviours and clinical decisions</w:t>
            </w:r>
            <w:r>
              <w:rPr>
                <w:rFonts w:ascii="Times New Roman" w:hAnsi="Times New Roman"/>
                <w:sz w:val="22"/>
                <w:szCs w:val="22"/>
              </w:rPr>
              <w:t xml:space="preserve"> of the person tested</w:t>
            </w:r>
            <w:r w:rsidRPr="00232DE6">
              <w:rPr>
                <w:rFonts w:ascii="Times New Roman" w:hAnsi="Times New Roman"/>
                <w:sz w:val="22"/>
                <w:szCs w:val="22"/>
              </w:rPr>
              <w:t xml:space="preserve">, which </w:t>
            </w:r>
            <w:r>
              <w:rPr>
                <w:rFonts w:ascii="Times New Roman" w:hAnsi="Times New Roman"/>
                <w:sz w:val="22"/>
                <w:szCs w:val="22"/>
              </w:rPr>
              <w:t xml:space="preserve">may then </w:t>
            </w:r>
            <w:r w:rsidRPr="00232DE6">
              <w:rPr>
                <w:rFonts w:ascii="Times New Roman" w:hAnsi="Times New Roman"/>
                <w:sz w:val="22"/>
                <w:szCs w:val="22"/>
              </w:rPr>
              <w:t xml:space="preserve">translate to health benefits. </w:t>
            </w:r>
            <w:r>
              <w:rPr>
                <w:rFonts w:ascii="Times New Roman" w:hAnsi="Times New Roman"/>
                <w:sz w:val="22"/>
                <w:szCs w:val="22"/>
              </w:rPr>
              <w:t>The b</w:t>
            </w:r>
            <w:r w:rsidRPr="00232DE6">
              <w:rPr>
                <w:rFonts w:ascii="Times New Roman" w:hAnsi="Times New Roman"/>
                <w:sz w:val="22"/>
                <w:szCs w:val="22"/>
              </w:rPr>
              <w:t xml:space="preserve">enefit of early detection may be greatest for cascade testing (before clinical disease is apparent), although evidence in this population was generally lacking. </w:t>
            </w:r>
            <w:r>
              <w:rPr>
                <w:rFonts w:ascii="Times New Roman" w:hAnsi="Times New Roman"/>
                <w:sz w:val="22"/>
                <w:szCs w:val="22"/>
              </w:rPr>
              <w:t>Few individuals receive c</w:t>
            </w:r>
            <w:r w:rsidRPr="00232DE6">
              <w:rPr>
                <w:rFonts w:ascii="Times New Roman" w:hAnsi="Times New Roman"/>
                <w:sz w:val="22"/>
                <w:szCs w:val="22"/>
              </w:rPr>
              <w:t>ascade testing under the current pathway.</w:t>
            </w:r>
          </w:p>
        </w:tc>
      </w:tr>
      <w:tr w:rsidR="00916592" w:rsidRPr="00232DE6" w14:paraId="650F0D54" w14:textId="77777777" w:rsidTr="00916592">
        <w:trPr>
          <w:cantSplit/>
        </w:trPr>
        <w:tc>
          <w:tcPr>
            <w:tcW w:w="2093" w:type="dxa"/>
          </w:tcPr>
          <w:p w14:paraId="48839672"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Safety is probably non-inferior</w:t>
            </w:r>
          </w:p>
        </w:tc>
        <w:tc>
          <w:tcPr>
            <w:tcW w:w="7541" w:type="dxa"/>
          </w:tcPr>
          <w:p w14:paraId="7B2F6A54"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The limited evidence suggests that it is reasonable to assume non-inferior</w:t>
            </w:r>
            <w:r>
              <w:rPr>
                <w:rFonts w:ascii="Times New Roman" w:hAnsi="Times New Roman"/>
                <w:sz w:val="22"/>
                <w:szCs w:val="22"/>
              </w:rPr>
              <w:t xml:space="preserve"> safe</w:t>
            </w:r>
            <w:r w:rsidRPr="00232DE6">
              <w:rPr>
                <w:rFonts w:ascii="Times New Roman" w:hAnsi="Times New Roman"/>
                <w:sz w:val="22"/>
                <w:szCs w:val="22"/>
              </w:rPr>
              <w:t xml:space="preserve">ty to </w:t>
            </w:r>
            <w:r>
              <w:rPr>
                <w:rFonts w:ascii="Times New Roman" w:hAnsi="Times New Roman"/>
                <w:sz w:val="22"/>
                <w:szCs w:val="22"/>
              </w:rPr>
              <w:t xml:space="preserve">the reasonable comparator of </w:t>
            </w:r>
            <w:r w:rsidRPr="00A96CE7">
              <w:rPr>
                <w:rFonts w:ascii="Times New Roman" w:hAnsi="Times New Roman"/>
                <w:sz w:val="22"/>
                <w:szCs w:val="22"/>
              </w:rPr>
              <w:t xml:space="preserve">isoelectric focusing </w:t>
            </w:r>
            <w:r>
              <w:rPr>
                <w:rFonts w:ascii="Times New Roman" w:hAnsi="Times New Roman"/>
                <w:sz w:val="22"/>
                <w:szCs w:val="22"/>
              </w:rPr>
              <w:t>(</w:t>
            </w:r>
            <w:r w:rsidRPr="00232DE6">
              <w:rPr>
                <w:rFonts w:ascii="Times New Roman" w:hAnsi="Times New Roman"/>
                <w:sz w:val="22"/>
                <w:szCs w:val="22"/>
              </w:rPr>
              <w:t>IEF</w:t>
            </w:r>
            <w:r>
              <w:rPr>
                <w:rFonts w:ascii="Times New Roman" w:hAnsi="Times New Roman"/>
                <w:sz w:val="22"/>
                <w:szCs w:val="22"/>
              </w:rPr>
              <w:t>)</w:t>
            </w:r>
            <w:r w:rsidRPr="00232DE6">
              <w:rPr>
                <w:rFonts w:ascii="Times New Roman" w:hAnsi="Times New Roman"/>
                <w:sz w:val="22"/>
                <w:szCs w:val="22"/>
              </w:rPr>
              <w:t>.</w:t>
            </w:r>
          </w:p>
        </w:tc>
      </w:tr>
      <w:tr w:rsidR="00916592" w:rsidRPr="00232DE6" w14:paraId="7B65F507" w14:textId="77777777" w:rsidTr="00916592">
        <w:trPr>
          <w:cantSplit/>
        </w:trPr>
        <w:tc>
          <w:tcPr>
            <w:tcW w:w="2093" w:type="dxa"/>
          </w:tcPr>
          <w:p w14:paraId="0D7F3040"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2- or 14-</w:t>
            </w:r>
            <w:r>
              <w:rPr>
                <w:rFonts w:ascii="Times New Roman" w:hAnsi="Times New Roman"/>
                <w:sz w:val="22"/>
                <w:szCs w:val="22"/>
              </w:rPr>
              <w:t>variant</w:t>
            </w:r>
            <w:r w:rsidRPr="00232DE6">
              <w:rPr>
                <w:rFonts w:ascii="Times New Roman" w:hAnsi="Times New Roman"/>
                <w:sz w:val="22"/>
                <w:szCs w:val="22"/>
              </w:rPr>
              <w:t xml:space="preserve"> panel</w:t>
            </w:r>
            <w:r>
              <w:rPr>
                <w:rFonts w:ascii="Times New Roman" w:hAnsi="Times New Roman"/>
                <w:sz w:val="22"/>
                <w:szCs w:val="22"/>
              </w:rPr>
              <w:t xml:space="preserve"> for AAAA</w:t>
            </w:r>
          </w:p>
        </w:tc>
        <w:tc>
          <w:tcPr>
            <w:tcW w:w="7541" w:type="dxa"/>
          </w:tcPr>
          <w:p w14:paraId="636ACDD5" w14:textId="77777777" w:rsidR="00916592" w:rsidRDefault="00916592" w:rsidP="00B05487">
            <w:pPr>
              <w:pStyle w:val="TableText1"/>
              <w:rPr>
                <w:rFonts w:ascii="Times New Roman" w:hAnsi="Times New Roman"/>
                <w:sz w:val="22"/>
                <w:szCs w:val="22"/>
              </w:rPr>
            </w:pPr>
            <w:r>
              <w:rPr>
                <w:rFonts w:ascii="Times New Roman" w:hAnsi="Times New Roman"/>
                <w:sz w:val="22"/>
                <w:szCs w:val="22"/>
              </w:rPr>
              <w:t>The</w:t>
            </w:r>
            <w:r w:rsidRPr="00232DE6">
              <w:rPr>
                <w:rFonts w:ascii="Times New Roman" w:hAnsi="Times New Roman"/>
                <w:sz w:val="22"/>
                <w:szCs w:val="22"/>
              </w:rPr>
              <w:t xml:space="preserve"> 14-</w:t>
            </w:r>
            <w:r>
              <w:rPr>
                <w:rFonts w:ascii="Times New Roman" w:hAnsi="Times New Roman"/>
                <w:sz w:val="22"/>
                <w:szCs w:val="22"/>
              </w:rPr>
              <w:t>variant</w:t>
            </w:r>
            <w:r w:rsidRPr="00232DE6">
              <w:rPr>
                <w:rFonts w:ascii="Times New Roman" w:hAnsi="Times New Roman"/>
                <w:sz w:val="22"/>
                <w:szCs w:val="22"/>
              </w:rPr>
              <w:t xml:space="preserve"> panel appears to have higher diagnostic yield</w:t>
            </w:r>
            <w:r>
              <w:rPr>
                <w:rFonts w:ascii="Times New Roman" w:hAnsi="Times New Roman"/>
                <w:sz w:val="22"/>
                <w:szCs w:val="22"/>
              </w:rPr>
              <w:t xml:space="preserve"> compared to the 2-variant panel alone</w:t>
            </w:r>
            <w:r w:rsidRPr="00232DE6">
              <w:rPr>
                <w:rFonts w:ascii="Times New Roman" w:hAnsi="Times New Roman"/>
                <w:sz w:val="22"/>
                <w:szCs w:val="22"/>
              </w:rPr>
              <w:t>, but when</w:t>
            </w:r>
            <w:r>
              <w:rPr>
                <w:rFonts w:ascii="Times New Roman" w:hAnsi="Times New Roman"/>
                <w:sz w:val="22"/>
                <w:szCs w:val="22"/>
              </w:rPr>
              <w:t xml:space="preserve"> each is</w:t>
            </w:r>
            <w:r w:rsidRPr="00232DE6">
              <w:rPr>
                <w:rFonts w:ascii="Times New Roman" w:hAnsi="Times New Roman"/>
                <w:sz w:val="22"/>
                <w:szCs w:val="22"/>
              </w:rPr>
              <w:t xml:space="preserve"> combined with sequencing </w:t>
            </w:r>
            <w:r>
              <w:rPr>
                <w:rFonts w:ascii="Times New Roman" w:hAnsi="Times New Roman"/>
                <w:sz w:val="22"/>
                <w:szCs w:val="22"/>
              </w:rPr>
              <w:t>the overall diagnostic yield should be similar;</w:t>
            </w:r>
            <w:r w:rsidRPr="00232DE6">
              <w:rPr>
                <w:rFonts w:ascii="Times New Roman" w:hAnsi="Times New Roman"/>
                <w:sz w:val="22"/>
                <w:szCs w:val="22"/>
              </w:rPr>
              <w:t xml:space="preserve"> </w:t>
            </w:r>
            <w:r>
              <w:rPr>
                <w:rFonts w:ascii="Times New Roman" w:hAnsi="Times New Roman"/>
                <w:sz w:val="22"/>
                <w:szCs w:val="22"/>
              </w:rPr>
              <w:t xml:space="preserve">the </w:t>
            </w:r>
            <w:r w:rsidRPr="00232DE6">
              <w:rPr>
                <w:rFonts w:ascii="Times New Roman" w:hAnsi="Times New Roman"/>
                <w:sz w:val="22"/>
                <w:szCs w:val="22"/>
              </w:rPr>
              <w:t xml:space="preserve">choice </w:t>
            </w:r>
            <w:r>
              <w:rPr>
                <w:rFonts w:ascii="Times New Roman" w:hAnsi="Times New Roman"/>
                <w:sz w:val="22"/>
                <w:szCs w:val="22"/>
              </w:rPr>
              <w:t xml:space="preserve">of approach </w:t>
            </w:r>
            <w:r w:rsidRPr="00232DE6">
              <w:rPr>
                <w:rFonts w:ascii="Times New Roman" w:hAnsi="Times New Roman"/>
                <w:sz w:val="22"/>
                <w:szCs w:val="22"/>
              </w:rPr>
              <w:t xml:space="preserve">may </w:t>
            </w:r>
            <w:r>
              <w:rPr>
                <w:rFonts w:ascii="Times New Roman" w:hAnsi="Times New Roman"/>
                <w:sz w:val="22"/>
                <w:szCs w:val="22"/>
              </w:rPr>
              <w:t xml:space="preserve">therefore </w:t>
            </w:r>
            <w:r w:rsidRPr="00232DE6">
              <w:rPr>
                <w:rFonts w:ascii="Times New Roman" w:hAnsi="Times New Roman"/>
                <w:sz w:val="22"/>
                <w:szCs w:val="22"/>
              </w:rPr>
              <w:t xml:space="preserve">depend on which testing pathway has the lower </w:t>
            </w:r>
            <w:r>
              <w:rPr>
                <w:rFonts w:ascii="Times New Roman" w:hAnsi="Times New Roman"/>
                <w:sz w:val="22"/>
                <w:szCs w:val="22"/>
              </w:rPr>
              <w:t xml:space="preserve">overall </w:t>
            </w:r>
            <w:r w:rsidRPr="00232DE6">
              <w:rPr>
                <w:rFonts w:ascii="Times New Roman" w:hAnsi="Times New Roman"/>
                <w:sz w:val="22"/>
                <w:szCs w:val="22"/>
              </w:rPr>
              <w:t>cost.</w:t>
            </w:r>
          </w:p>
          <w:p w14:paraId="13674244"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 xml:space="preserve">Neither </w:t>
            </w:r>
            <w:r>
              <w:rPr>
                <w:rFonts w:ascii="Times New Roman" w:hAnsi="Times New Roman"/>
                <w:sz w:val="22"/>
                <w:szCs w:val="22"/>
              </w:rPr>
              <w:t xml:space="preserve">panel </w:t>
            </w:r>
            <w:r w:rsidRPr="00232DE6">
              <w:rPr>
                <w:rFonts w:ascii="Times New Roman" w:hAnsi="Times New Roman"/>
                <w:sz w:val="22"/>
                <w:szCs w:val="22"/>
              </w:rPr>
              <w:t>detects wildtype genotype</w:t>
            </w:r>
            <w:r>
              <w:rPr>
                <w:rFonts w:ascii="Times New Roman" w:hAnsi="Times New Roman"/>
                <w:sz w:val="22"/>
                <w:szCs w:val="22"/>
              </w:rPr>
              <w:t xml:space="preserve"> conclusively</w:t>
            </w:r>
            <w:r w:rsidRPr="00232DE6">
              <w:rPr>
                <w:rFonts w:ascii="Times New Roman" w:hAnsi="Times New Roman"/>
                <w:sz w:val="22"/>
                <w:szCs w:val="22"/>
              </w:rPr>
              <w:t xml:space="preserve">, so if there is leakage to patients with a broader spectrum of disease than that defined by the MBS descriptor, this could result in more requests for sequencing. If </w:t>
            </w:r>
            <w:r>
              <w:rPr>
                <w:rFonts w:ascii="Times New Roman" w:hAnsi="Times New Roman"/>
                <w:sz w:val="22"/>
                <w:szCs w:val="22"/>
              </w:rPr>
              <w:t>the</w:t>
            </w:r>
            <w:r w:rsidRPr="00232DE6">
              <w:rPr>
                <w:rFonts w:ascii="Times New Roman" w:hAnsi="Times New Roman"/>
                <w:sz w:val="22"/>
                <w:szCs w:val="22"/>
              </w:rPr>
              <w:t xml:space="preserve"> 14-</w:t>
            </w:r>
            <w:r>
              <w:rPr>
                <w:rFonts w:ascii="Times New Roman" w:hAnsi="Times New Roman"/>
                <w:sz w:val="22"/>
                <w:szCs w:val="22"/>
              </w:rPr>
              <w:t>variant</w:t>
            </w:r>
            <w:r w:rsidRPr="00232DE6">
              <w:rPr>
                <w:rFonts w:ascii="Times New Roman" w:hAnsi="Times New Roman"/>
                <w:sz w:val="22"/>
                <w:szCs w:val="22"/>
              </w:rPr>
              <w:t xml:space="preserve"> panel is chosen, then there is a need to determine </w:t>
            </w:r>
            <w:r>
              <w:rPr>
                <w:rFonts w:ascii="Times New Roman" w:hAnsi="Times New Roman"/>
                <w:sz w:val="22"/>
                <w:szCs w:val="22"/>
              </w:rPr>
              <w:t xml:space="preserve">the </w:t>
            </w:r>
            <w:r w:rsidRPr="00232DE6">
              <w:rPr>
                <w:rFonts w:ascii="Times New Roman" w:hAnsi="Times New Roman"/>
                <w:sz w:val="22"/>
                <w:szCs w:val="22"/>
              </w:rPr>
              <w:t xml:space="preserve">prevalence and clinical validity of </w:t>
            </w:r>
            <w:r w:rsidRPr="00232DE6">
              <w:rPr>
                <w:rFonts w:ascii="Times New Roman" w:hAnsi="Times New Roman"/>
                <w:i/>
                <w:iCs/>
                <w:sz w:val="22"/>
                <w:szCs w:val="22"/>
              </w:rPr>
              <w:t>SERPINA1</w:t>
            </w:r>
            <w:r w:rsidRPr="00232DE6">
              <w:rPr>
                <w:rFonts w:ascii="Times New Roman" w:hAnsi="Times New Roman"/>
                <w:sz w:val="22"/>
                <w:szCs w:val="22"/>
              </w:rPr>
              <w:t xml:space="preserve"> variants in the Australian </w:t>
            </w:r>
            <w:r>
              <w:rPr>
                <w:rFonts w:ascii="Times New Roman" w:hAnsi="Times New Roman"/>
                <w:sz w:val="22"/>
                <w:szCs w:val="22"/>
              </w:rPr>
              <w:t>population</w:t>
            </w:r>
            <w:r w:rsidRPr="00232DE6">
              <w:rPr>
                <w:rFonts w:ascii="Times New Roman" w:hAnsi="Times New Roman"/>
                <w:sz w:val="22"/>
                <w:szCs w:val="22"/>
              </w:rPr>
              <w:t xml:space="preserve"> and develop an Australia-specific </w:t>
            </w:r>
            <w:r>
              <w:rPr>
                <w:rFonts w:ascii="Times New Roman" w:hAnsi="Times New Roman"/>
                <w:sz w:val="22"/>
                <w:szCs w:val="22"/>
              </w:rPr>
              <w:t xml:space="preserve">14-variant </w:t>
            </w:r>
            <w:r w:rsidRPr="00232DE6">
              <w:rPr>
                <w:rFonts w:ascii="Times New Roman" w:hAnsi="Times New Roman"/>
                <w:sz w:val="22"/>
                <w:szCs w:val="22"/>
              </w:rPr>
              <w:t>panel.</w:t>
            </w:r>
          </w:p>
        </w:tc>
      </w:tr>
      <w:tr w:rsidR="00916592" w:rsidRPr="00232DE6" w14:paraId="5B8A35D6" w14:textId="77777777" w:rsidTr="00916592">
        <w:trPr>
          <w:cantSplit/>
        </w:trPr>
        <w:tc>
          <w:tcPr>
            <w:tcW w:w="2093" w:type="dxa"/>
          </w:tcPr>
          <w:p w14:paraId="117614F1"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Consider retaining IEF</w:t>
            </w:r>
          </w:p>
        </w:tc>
        <w:tc>
          <w:tcPr>
            <w:tcW w:w="7541" w:type="dxa"/>
          </w:tcPr>
          <w:p w14:paraId="7A0E1DB7" w14:textId="77777777" w:rsidR="00916592" w:rsidRDefault="00916592" w:rsidP="00B05487">
            <w:pPr>
              <w:pStyle w:val="TableText1"/>
              <w:rPr>
                <w:rFonts w:ascii="Times New Roman" w:hAnsi="Times New Roman"/>
                <w:sz w:val="22"/>
                <w:szCs w:val="22"/>
              </w:rPr>
            </w:pPr>
            <w:bookmarkStart w:id="48" w:name="_Hlk76633931"/>
            <w:r>
              <w:rPr>
                <w:rFonts w:ascii="Times New Roman" w:hAnsi="Times New Roman"/>
                <w:sz w:val="22"/>
                <w:szCs w:val="22"/>
              </w:rPr>
              <w:t xml:space="preserve">MSAC may wish to </w:t>
            </w:r>
            <w:r w:rsidRPr="00232DE6">
              <w:rPr>
                <w:rFonts w:ascii="Times New Roman" w:hAnsi="Times New Roman"/>
                <w:sz w:val="22"/>
                <w:szCs w:val="22"/>
              </w:rPr>
              <w:t>consider if there is any value retaining IEF as a prior test to the panel</w:t>
            </w:r>
            <w:r>
              <w:rPr>
                <w:rFonts w:ascii="Times New Roman" w:hAnsi="Times New Roman"/>
                <w:sz w:val="22"/>
                <w:szCs w:val="22"/>
              </w:rPr>
              <w:t>, noting the applicant states that IEF is becoming an obsolete test in Australia</w:t>
            </w:r>
            <w:r w:rsidRPr="00232DE6">
              <w:rPr>
                <w:rFonts w:ascii="Times New Roman" w:hAnsi="Times New Roman"/>
                <w:sz w:val="22"/>
                <w:szCs w:val="22"/>
              </w:rPr>
              <w:t>.</w:t>
            </w:r>
          </w:p>
          <w:p w14:paraId="0A96F037" w14:textId="77777777" w:rsidR="00916592" w:rsidRPr="00232DE6" w:rsidRDefault="00916592" w:rsidP="00B05487">
            <w:pPr>
              <w:pStyle w:val="TableText1"/>
              <w:rPr>
                <w:rFonts w:ascii="Times New Roman" w:hAnsi="Times New Roman"/>
                <w:sz w:val="22"/>
                <w:szCs w:val="22"/>
              </w:rPr>
            </w:pPr>
            <w:r>
              <w:rPr>
                <w:rFonts w:ascii="Times New Roman" w:hAnsi="Times New Roman"/>
                <w:sz w:val="22"/>
                <w:szCs w:val="22"/>
              </w:rPr>
              <w:t xml:space="preserve">The ability of </w:t>
            </w:r>
            <w:r w:rsidRPr="00232DE6">
              <w:rPr>
                <w:rFonts w:ascii="Times New Roman" w:hAnsi="Times New Roman"/>
                <w:sz w:val="22"/>
                <w:szCs w:val="22"/>
              </w:rPr>
              <w:t xml:space="preserve">IEF </w:t>
            </w:r>
            <w:r>
              <w:rPr>
                <w:rFonts w:ascii="Times New Roman" w:hAnsi="Times New Roman"/>
                <w:sz w:val="22"/>
                <w:szCs w:val="22"/>
              </w:rPr>
              <w:t xml:space="preserve">to </w:t>
            </w:r>
            <w:r w:rsidRPr="00232DE6">
              <w:rPr>
                <w:rFonts w:ascii="Times New Roman" w:hAnsi="Times New Roman"/>
                <w:sz w:val="22"/>
                <w:szCs w:val="22"/>
              </w:rPr>
              <w:t xml:space="preserve">detect wildtype protein phenotype </w:t>
            </w:r>
            <w:r>
              <w:rPr>
                <w:rFonts w:ascii="Times New Roman" w:hAnsi="Times New Roman"/>
                <w:sz w:val="22"/>
                <w:szCs w:val="22"/>
              </w:rPr>
              <w:t xml:space="preserve">would </w:t>
            </w:r>
            <w:r w:rsidRPr="00232DE6">
              <w:rPr>
                <w:rFonts w:ascii="Times New Roman" w:hAnsi="Times New Roman"/>
                <w:sz w:val="22"/>
                <w:szCs w:val="22"/>
              </w:rPr>
              <w:t xml:space="preserve">prevent unnecessary </w:t>
            </w:r>
            <w:r>
              <w:rPr>
                <w:rFonts w:ascii="Times New Roman" w:hAnsi="Times New Roman"/>
                <w:sz w:val="22"/>
                <w:szCs w:val="22"/>
              </w:rPr>
              <w:t xml:space="preserve">subsequent referral to gene </w:t>
            </w:r>
            <w:r w:rsidRPr="00232DE6">
              <w:rPr>
                <w:rFonts w:ascii="Times New Roman" w:hAnsi="Times New Roman"/>
                <w:sz w:val="22"/>
                <w:szCs w:val="22"/>
              </w:rPr>
              <w:t xml:space="preserve">sequencing. The applicant states that few Australian labs have </w:t>
            </w:r>
            <w:r>
              <w:rPr>
                <w:rFonts w:ascii="Times New Roman" w:hAnsi="Times New Roman"/>
                <w:sz w:val="22"/>
                <w:szCs w:val="22"/>
              </w:rPr>
              <w:t>IEF</w:t>
            </w:r>
            <w:r w:rsidRPr="00232DE6">
              <w:rPr>
                <w:rFonts w:ascii="Times New Roman" w:hAnsi="Times New Roman"/>
                <w:sz w:val="22"/>
                <w:szCs w:val="22"/>
              </w:rPr>
              <w:t xml:space="preserve"> capability, but it appears that it may be part of </w:t>
            </w:r>
            <w:r>
              <w:rPr>
                <w:rFonts w:ascii="Times New Roman" w:hAnsi="Times New Roman"/>
                <w:sz w:val="22"/>
                <w:szCs w:val="22"/>
              </w:rPr>
              <w:t>international</w:t>
            </w:r>
            <w:r w:rsidRPr="00232DE6">
              <w:rPr>
                <w:rFonts w:ascii="Times New Roman" w:hAnsi="Times New Roman"/>
                <w:sz w:val="22"/>
                <w:szCs w:val="22"/>
              </w:rPr>
              <w:t xml:space="preserve"> clinical algorithm</w:t>
            </w:r>
            <w:r>
              <w:rPr>
                <w:rFonts w:ascii="Times New Roman" w:hAnsi="Times New Roman"/>
                <w:sz w:val="22"/>
                <w:szCs w:val="22"/>
              </w:rPr>
              <w:t>s</w:t>
            </w:r>
            <w:r w:rsidRPr="00232DE6">
              <w:rPr>
                <w:rFonts w:ascii="Times New Roman" w:hAnsi="Times New Roman"/>
                <w:sz w:val="22"/>
                <w:szCs w:val="22"/>
              </w:rPr>
              <w:t xml:space="preserve"> that include </w:t>
            </w:r>
            <w:r>
              <w:rPr>
                <w:rFonts w:ascii="Times New Roman" w:hAnsi="Times New Roman"/>
                <w:sz w:val="22"/>
                <w:szCs w:val="22"/>
              </w:rPr>
              <w:t>panel testing</w:t>
            </w:r>
            <w:r w:rsidRPr="00232DE6">
              <w:rPr>
                <w:rFonts w:ascii="Times New Roman" w:hAnsi="Times New Roman"/>
                <w:sz w:val="22"/>
                <w:szCs w:val="22"/>
              </w:rPr>
              <w:t xml:space="preserve"> (e.g. Ottaviani 2020).</w:t>
            </w:r>
            <w:bookmarkEnd w:id="48"/>
          </w:p>
        </w:tc>
      </w:tr>
      <w:tr w:rsidR="00916592" w:rsidRPr="00232DE6" w14:paraId="3B5486AF" w14:textId="77777777" w:rsidTr="00916592">
        <w:trPr>
          <w:cantSplit/>
        </w:trPr>
        <w:tc>
          <w:tcPr>
            <w:tcW w:w="2093" w:type="dxa"/>
          </w:tcPr>
          <w:p w14:paraId="604033FF"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Economic model presented is uncertain</w:t>
            </w:r>
          </w:p>
        </w:tc>
        <w:tc>
          <w:tcPr>
            <w:tcW w:w="7541" w:type="dxa"/>
          </w:tcPr>
          <w:p w14:paraId="1A17B500" w14:textId="77777777" w:rsidR="00916592" w:rsidRPr="00432549" w:rsidRDefault="00916592" w:rsidP="00B05487">
            <w:pPr>
              <w:pStyle w:val="TableText1"/>
              <w:rPr>
                <w:rFonts w:ascii="Times New Roman" w:hAnsi="Times New Roman"/>
                <w:sz w:val="22"/>
                <w:szCs w:val="22"/>
              </w:rPr>
            </w:pPr>
            <w:r w:rsidRPr="00432549">
              <w:rPr>
                <w:rFonts w:ascii="Times New Roman" w:hAnsi="Times New Roman"/>
                <w:sz w:val="22"/>
                <w:szCs w:val="22"/>
              </w:rPr>
              <w:t xml:space="preserve">The economic model presents an ICER with a base case of $35,000/QALY for identification of a proband. The main drivers </w:t>
            </w:r>
            <w:r>
              <w:rPr>
                <w:rFonts w:ascii="Times New Roman" w:hAnsi="Times New Roman"/>
                <w:sz w:val="22"/>
                <w:szCs w:val="22"/>
              </w:rPr>
              <w:t xml:space="preserve">of the ICER </w:t>
            </w:r>
            <w:r w:rsidRPr="00432549">
              <w:rPr>
                <w:rFonts w:ascii="Times New Roman" w:hAnsi="Times New Roman"/>
                <w:sz w:val="22"/>
                <w:szCs w:val="22"/>
              </w:rPr>
              <w:t>are smoking prevalence, FEV</w:t>
            </w:r>
            <w:r w:rsidRPr="00432549">
              <w:rPr>
                <w:rFonts w:ascii="Times New Roman" w:hAnsi="Times New Roman"/>
                <w:sz w:val="22"/>
                <w:szCs w:val="22"/>
                <w:vertAlign w:val="subscript"/>
              </w:rPr>
              <w:t>1</w:t>
            </w:r>
            <w:r w:rsidRPr="00432549">
              <w:rPr>
                <w:rFonts w:ascii="Times New Roman" w:hAnsi="Times New Roman"/>
                <w:sz w:val="22"/>
                <w:szCs w:val="22"/>
              </w:rPr>
              <w:t xml:space="preserve"> decline and lifestyle changes, which can change the ICER from $20,000/QALY to more than $100,000/QALY.</w:t>
            </w:r>
          </w:p>
          <w:p w14:paraId="1A87820A" w14:textId="77777777" w:rsidR="00916592" w:rsidRDefault="00916592" w:rsidP="00B05487">
            <w:pPr>
              <w:pStyle w:val="ListParagraph"/>
              <w:keepNext/>
              <w:numPr>
                <w:ilvl w:val="0"/>
                <w:numId w:val="24"/>
              </w:numPr>
              <w:tabs>
                <w:tab w:val="left" w:pos="0"/>
              </w:tabs>
              <w:spacing w:before="60" w:after="60"/>
              <w:ind w:left="0" w:firstLine="0"/>
              <w:rPr>
                <w:rFonts w:ascii="Times New Roman" w:hAnsi="Times New Roman"/>
                <w:color w:val="000000"/>
                <w:szCs w:val="22"/>
              </w:rPr>
            </w:pPr>
            <w:r>
              <w:rPr>
                <w:rFonts w:ascii="Times New Roman" w:hAnsi="Times New Roman"/>
                <w:color w:val="000000"/>
                <w:szCs w:val="22"/>
              </w:rPr>
              <w:t>The</w:t>
            </w:r>
            <w:r w:rsidRPr="00B61C6C">
              <w:rPr>
                <w:rFonts w:ascii="Times New Roman" w:hAnsi="Times New Roman"/>
                <w:color w:val="000000"/>
                <w:szCs w:val="22"/>
              </w:rPr>
              <w:t xml:space="preserve"> diagnostic yield from Ottaviani 2020 may not accurately reflect the Australian population. ESC considered the uncertainty related to these diagnostic yield estimates to be problematic because </w:t>
            </w:r>
            <w:r>
              <w:rPr>
                <w:rFonts w:ascii="Times New Roman" w:hAnsi="Times New Roman"/>
                <w:color w:val="000000"/>
                <w:szCs w:val="22"/>
              </w:rPr>
              <w:t>it</w:t>
            </w:r>
            <w:r w:rsidRPr="00B61C6C">
              <w:rPr>
                <w:rFonts w:ascii="Times New Roman" w:hAnsi="Times New Roman"/>
                <w:color w:val="000000"/>
                <w:szCs w:val="22"/>
              </w:rPr>
              <w:t xml:space="preserve"> drive</w:t>
            </w:r>
            <w:r>
              <w:rPr>
                <w:rFonts w:ascii="Times New Roman" w:hAnsi="Times New Roman"/>
                <w:color w:val="000000"/>
                <w:szCs w:val="22"/>
              </w:rPr>
              <w:t>s</w:t>
            </w:r>
            <w:r w:rsidRPr="00B61C6C">
              <w:rPr>
                <w:rFonts w:ascii="Times New Roman" w:hAnsi="Times New Roman"/>
                <w:color w:val="000000"/>
                <w:szCs w:val="22"/>
              </w:rPr>
              <w:t xml:space="preserve"> the economic model.</w:t>
            </w:r>
          </w:p>
          <w:p w14:paraId="5B948695" w14:textId="77777777" w:rsidR="00916592" w:rsidRPr="00432549" w:rsidRDefault="00916592" w:rsidP="00B05487">
            <w:pPr>
              <w:pStyle w:val="ListParagraph"/>
              <w:keepNext/>
              <w:numPr>
                <w:ilvl w:val="0"/>
                <w:numId w:val="24"/>
              </w:numPr>
              <w:tabs>
                <w:tab w:val="left" w:pos="0"/>
              </w:tabs>
              <w:spacing w:before="60" w:after="60"/>
              <w:ind w:left="0" w:firstLine="0"/>
              <w:rPr>
                <w:rFonts w:ascii="Times New Roman" w:hAnsi="Times New Roman"/>
                <w:color w:val="000000"/>
                <w:szCs w:val="22"/>
              </w:rPr>
            </w:pPr>
            <w:r w:rsidRPr="00432549">
              <w:rPr>
                <w:rFonts w:ascii="Times New Roman" w:hAnsi="Times New Roman"/>
                <w:color w:val="000000"/>
                <w:szCs w:val="22"/>
              </w:rPr>
              <w:t>A detailed overview of applicability and translation issues was presented. Uncertainty is correctly quantified in the DCAR, and may not be further reduced in the absence of new studies.</w:t>
            </w:r>
          </w:p>
          <w:p w14:paraId="6BFBF0DF" w14:textId="77777777" w:rsidR="00916592" w:rsidRPr="00432549" w:rsidRDefault="00916592" w:rsidP="00B05487">
            <w:pPr>
              <w:pStyle w:val="ListParagraph"/>
              <w:keepNext/>
              <w:numPr>
                <w:ilvl w:val="0"/>
                <w:numId w:val="24"/>
              </w:numPr>
              <w:tabs>
                <w:tab w:val="left" w:pos="0"/>
              </w:tabs>
              <w:spacing w:before="60" w:after="60"/>
              <w:ind w:left="0" w:firstLine="0"/>
              <w:rPr>
                <w:rFonts w:ascii="Times New Roman" w:hAnsi="Times New Roman"/>
                <w:szCs w:val="22"/>
              </w:rPr>
            </w:pPr>
            <w:r w:rsidRPr="00432549">
              <w:rPr>
                <w:rFonts w:ascii="Times New Roman" w:hAnsi="Times New Roman"/>
                <w:color w:val="000000"/>
                <w:szCs w:val="22"/>
              </w:rPr>
              <w:t>Health benefits for the cascade testing population are not included (DDDD, EEEE).</w:t>
            </w:r>
          </w:p>
        </w:tc>
      </w:tr>
      <w:tr w:rsidR="00916592" w:rsidRPr="00232DE6" w14:paraId="0104CE03" w14:textId="77777777" w:rsidTr="00916592">
        <w:trPr>
          <w:cantSplit/>
        </w:trPr>
        <w:tc>
          <w:tcPr>
            <w:tcW w:w="2093" w:type="dxa"/>
          </w:tcPr>
          <w:p w14:paraId="34BFC22A"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Budget impact is uncertain</w:t>
            </w:r>
          </w:p>
        </w:tc>
        <w:tc>
          <w:tcPr>
            <w:tcW w:w="7541" w:type="dxa"/>
          </w:tcPr>
          <w:p w14:paraId="3B888FE3" w14:textId="77777777" w:rsidR="00916592" w:rsidRPr="00432549" w:rsidRDefault="00916592" w:rsidP="00B05487">
            <w:pPr>
              <w:pStyle w:val="TableText1"/>
              <w:rPr>
                <w:rFonts w:ascii="Times New Roman" w:hAnsi="Times New Roman"/>
                <w:sz w:val="22"/>
                <w:szCs w:val="22"/>
              </w:rPr>
            </w:pPr>
            <w:r w:rsidRPr="00432549">
              <w:rPr>
                <w:rFonts w:ascii="Times New Roman" w:hAnsi="Times New Roman"/>
                <w:sz w:val="22"/>
                <w:szCs w:val="22"/>
              </w:rPr>
              <w:t xml:space="preserve">The financial cost to the MBS is estimated to be $435k per year (excluding counselling costs, and assuming 70% market share substitution), which is a net financial cost of $363k per year above current testing. If the market share substitution is increased to 100%, then the net cost to the MBS is estimated to be $195k per year. Changing assumptions needed because of insufficient data about diagnostic yield can substantially change the budget impact. Cost </w:t>
            </w:r>
            <w:r>
              <w:rPr>
                <w:rFonts w:ascii="Times New Roman" w:hAnsi="Times New Roman"/>
                <w:sz w:val="22"/>
                <w:szCs w:val="22"/>
              </w:rPr>
              <w:t>offsets</w:t>
            </w:r>
            <w:r w:rsidRPr="00432549">
              <w:rPr>
                <w:rFonts w:ascii="Times New Roman" w:hAnsi="Times New Roman"/>
                <w:sz w:val="22"/>
                <w:szCs w:val="22"/>
              </w:rPr>
              <w:t xml:space="preserve"> due to earlier diagnosis and slower progression in the affected population are not included, primarily as there are no specific treatments available.</w:t>
            </w:r>
          </w:p>
        </w:tc>
      </w:tr>
      <w:tr w:rsidR="00916592" w:rsidRPr="00232DE6" w14:paraId="38F684B4" w14:textId="77777777" w:rsidTr="00916592">
        <w:trPr>
          <w:cantSplit/>
        </w:trPr>
        <w:tc>
          <w:tcPr>
            <w:tcW w:w="2093" w:type="dxa"/>
          </w:tcPr>
          <w:p w14:paraId="305FF4B3" w14:textId="77777777" w:rsidR="00916592" w:rsidRPr="00232DE6" w:rsidRDefault="00916592" w:rsidP="00B05487">
            <w:pPr>
              <w:pStyle w:val="TableText1"/>
              <w:rPr>
                <w:rFonts w:ascii="Times New Roman" w:hAnsi="Times New Roman"/>
                <w:sz w:val="22"/>
                <w:szCs w:val="22"/>
              </w:rPr>
            </w:pPr>
            <w:r w:rsidRPr="00232DE6">
              <w:rPr>
                <w:rFonts w:ascii="Times New Roman" w:hAnsi="Times New Roman"/>
                <w:sz w:val="22"/>
                <w:szCs w:val="22"/>
              </w:rPr>
              <w:t>Analysis of cascade testing</w:t>
            </w:r>
          </w:p>
        </w:tc>
        <w:tc>
          <w:tcPr>
            <w:tcW w:w="7541" w:type="dxa"/>
          </w:tcPr>
          <w:p w14:paraId="6C3B45ED" w14:textId="77777777" w:rsidR="00916592" w:rsidRPr="00232DE6" w:rsidRDefault="00916592" w:rsidP="00B05487">
            <w:pPr>
              <w:pStyle w:val="TableText1"/>
              <w:rPr>
                <w:rFonts w:ascii="Times New Roman" w:hAnsi="Times New Roman"/>
                <w:sz w:val="22"/>
                <w:szCs w:val="22"/>
              </w:rPr>
            </w:pPr>
            <w:r>
              <w:rPr>
                <w:rFonts w:ascii="Times New Roman" w:hAnsi="Times New Roman"/>
                <w:sz w:val="22"/>
                <w:szCs w:val="22"/>
              </w:rPr>
              <w:t xml:space="preserve">The DCAR did not further analyse the health benefits of cascade testing. </w:t>
            </w:r>
            <w:r w:rsidRPr="00232DE6">
              <w:rPr>
                <w:rFonts w:ascii="Times New Roman" w:hAnsi="Times New Roman"/>
                <w:sz w:val="22"/>
                <w:szCs w:val="22"/>
              </w:rPr>
              <w:t xml:space="preserve">Including the analysis of </w:t>
            </w:r>
            <w:r>
              <w:rPr>
                <w:rFonts w:ascii="Times New Roman" w:hAnsi="Times New Roman"/>
                <w:sz w:val="22"/>
                <w:szCs w:val="22"/>
              </w:rPr>
              <w:t>cascade</w:t>
            </w:r>
            <w:r w:rsidRPr="00232DE6">
              <w:rPr>
                <w:rFonts w:ascii="Times New Roman" w:hAnsi="Times New Roman"/>
                <w:sz w:val="22"/>
                <w:szCs w:val="22"/>
              </w:rPr>
              <w:t xml:space="preserve"> testing </w:t>
            </w:r>
            <w:r>
              <w:rPr>
                <w:rFonts w:ascii="Times New Roman" w:hAnsi="Times New Roman"/>
                <w:sz w:val="22"/>
                <w:szCs w:val="22"/>
              </w:rPr>
              <w:t>of</w:t>
            </w:r>
            <w:r w:rsidRPr="00232DE6">
              <w:rPr>
                <w:rFonts w:ascii="Times New Roman" w:hAnsi="Times New Roman"/>
                <w:sz w:val="22"/>
                <w:szCs w:val="22"/>
              </w:rPr>
              <w:t xml:space="preserve"> first- and second-</w:t>
            </w:r>
            <w:r>
              <w:rPr>
                <w:rFonts w:ascii="Times New Roman" w:hAnsi="Times New Roman"/>
                <w:sz w:val="22"/>
                <w:szCs w:val="22"/>
              </w:rPr>
              <w:t>degree</w:t>
            </w:r>
            <w:r w:rsidRPr="00232DE6">
              <w:rPr>
                <w:rFonts w:ascii="Times New Roman" w:hAnsi="Times New Roman"/>
                <w:sz w:val="22"/>
                <w:szCs w:val="22"/>
              </w:rPr>
              <w:t xml:space="preserve"> </w:t>
            </w:r>
            <w:r>
              <w:rPr>
                <w:rFonts w:ascii="Times New Roman" w:hAnsi="Times New Roman"/>
                <w:sz w:val="22"/>
                <w:szCs w:val="22"/>
              </w:rPr>
              <w:t>relatives</w:t>
            </w:r>
            <w:r w:rsidRPr="00232DE6">
              <w:rPr>
                <w:rFonts w:ascii="Times New Roman" w:hAnsi="Times New Roman"/>
                <w:sz w:val="22"/>
                <w:szCs w:val="22"/>
              </w:rPr>
              <w:t xml:space="preserve"> was </w:t>
            </w:r>
            <w:r>
              <w:rPr>
                <w:rFonts w:ascii="Times New Roman" w:hAnsi="Times New Roman"/>
                <w:sz w:val="22"/>
                <w:szCs w:val="22"/>
              </w:rPr>
              <w:t>suggested by PASC noted</w:t>
            </w:r>
            <w:r w:rsidRPr="00232DE6">
              <w:rPr>
                <w:rFonts w:ascii="Times New Roman" w:hAnsi="Times New Roman"/>
                <w:sz w:val="22"/>
                <w:szCs w:val="22"/>
              </w:rPr>
              <w:t xml:space="preserve"> in </w:t>
            </w:r>
            <w:r>
              <w:rPr>
                <w:rFonts w:ascii="Times New Roman" w:hAnsi="Times New Roman"/>
                <w:sz w:val="22"/>
                <w:szCs w:val="22"/>
              </w:rPr>
              <w:t xml:space="preserve">its </w:t>
            </w:r>
            <w:r w:rsidRPr="00232DE6">
              <w:rPr>
                <w:rFonts w:ascii="Times New Roman" w:hAnsi="Times New Roman"/>
                <w:sz w:val="22"/>
                <w:szCs w:val="22"/>
              </w:rPr>
              <w:t>ratified PICO.</w:t>
            </w:r>
          </w:p>
        </w:tc>
      </w:tr>
    </w:tbl>
    <w:p w14:paraId="1731707D" w14:textId="77777777" w:rsidR="00916592" w:rsidRDefault="00916592" w:rsidP="00B05487">
      <w:pPr>
        <w:pStyle w:val="Heading1"/>
      </w:pPr>
      <w:r w:rsidRPr="00BE61F0">
        <w:lastRenderedPageBreak/>
        <w:t>ESC discussion</w:t>
      </w:r>
    </w:p>
    <w:p w14:paraId="5EB51E23" w14:textId="07B1380C" w:rsidR="00916592" w:rsidRDefault="00916592" w:rsidP="00B05487">
      <w:r>
        <w:t>ESC noted that this application was s</w:t>
      </w:r>
      <w:r w:rsidRPr="004B4295">
        <w:t xml:space="preserve">eeking new </w:t>
      </w:r>
      <w:r>
        <w:t>Medicare Benefits Schedule (</w:t>
      </w:r>
      <w:r w:rsidRPr="004B4295">
        <w:t>MBS</w:t>
      </w:r>
      <w:r>
        <w:t>)</w:t>
      </w:r>
      <w:r w:rsidRPr="004B4295">
        <w:t xml:space="preserve"> items for </w:t>
      </w:r>
      <w:r w:rsidR="00DE464A">
        <w:t>variant panel testing for</w:t>
      </w:r>
      <w:r w:rsidR="00DE464A" w:rsidRPr="004B4295">
        <w:t xml:space="preserve"> </w:t>
      </w:r>
      <w:r w:rsidRPr="004B4295">
        <w:t xml:space="preserve">common </w:t>
      </w:r>
      <w:r w:rsidRPr="004B4295">
        <w:rPr>
          <w:i/>
          <w:iCs/>
        </w:rPr>
        <w:t>SERPINA1</w:t>
      </w:r>
      <w:r w:rsidRPr="004B4295">
        <w:t xml:space="preserve"> gene variants</w:t>
      </w:r>
      <w:r>
        <w:t>,</w:t>
      </w:r>
      <w:r w:rsidRPr="004B4295">
        <w:t xml:space="preserve"> followed by sequencing the </w:t>
      </w:r>
      <w:r w:rsidRPr="004B4295">
        <w:rPr>
          <w:i/>
          <w:iCs/>
        </w:rPr>
        <w:t>SERPINA1</w:t>
      </w:r>
      <w:r w:rsidRPr="004B4295">
        <w:t xml:space="preserve"> protein-coding </w:t>
      </w:r>
      <w:r>
        <w:t>regions</w:t>
      </w:r>
      <w:r w:rsidRPr="004B4295">
        <w:t xml:space="preserve"> if </w:t>
      </w:r>
      <w:r>
        <w:t xml:space="preserve">the </w:t>
      </w:r>
      <w:r w:rsidRPr="004B4295">
        <w:t xml:space="preserve">panel test </w:t>
      </w:r>
      <w:r>
        <w:t xml:space="preserve">is </w:t>
      </w:r>
      <w:r w:rsidRPr="004B4295">
        <w:t>negative</w:t>
      </w:r>
      <w:r>
        <w:t xml:space="preserve"> or </w:t>
      </w:r>
      <w:r w:rsidRPr="004B4295">
        <w:t>inconclusive</w:t>
      </w:r>
      <w:r>
        <w:t>, as happens with non-panel</w:t>
      </w:r>
      <w:r w:rsidRPr="004B4295">
        <w:t xml:space="preserve"> </w:t>
      </w:r>
      <w:r>
        <w:t>variants</w:t>
      </w:r>
      <w:r w:rsidRPr="004B4295">
        <w:t xml:space="preserve"> and in individuals who do not have a variant</w:t>
      </w:r>
      <w:r>
        <w:t xml:space="preserve">. The </w:t>
      </w:r>
      <w:r w:rsidRPr="00635D60">
        <w:rPr>
          <w:i/>
          <w:iCs/>
        </w:rPr>
        <w:t>SERPINA1</w:t>
      </w:r>
      <w:r>
        <w:t xml:space="preserve"> gene encodes the a</w:t>
      </w:r>
      <w:r w:rsidRPr="004B4295">
        <w:t>lpha-1 antitrypsin (AAT)</w:t>
      </w:r>
      <w:r>
        <w:t xml:space="preserve"> protein, whose insufficiency </w:t>
      </w:r>
      <w:r w:rsidR="00DE464A">
        <w:t>can result in</w:t>
      </w:r>
      <w:r>
        <w:t xml:space="preserve"> AAT deficiency (AATD).</w:t>
      </w:r>
    </w:p>
    <w:p w14:paraId="15744133" w14:textId="77777777" w:rsidR="00916592" w:rsidRDefault="00916592" w:rsidP="009B136F">
      <w:pPr>
        <w:spacing w:before="240"/>
      </w:pPr>
      <w:r>
        <w:t>ESC noted that consumer feedback supported the application. Without genetic testing, many adults are misdiagnosed with late-onset asthma.</w:t>
      </w:r>
    </w:p>
    <w:p w14:paraId="25377156" w14:textId="77777777" w:rsidR="00916592" w:rsidRDefault="00916592" w:rsidP="009B136F">
      <w:pPr>
        <w:spacing w:before="240"/>
      </w:pPr>
      <w:r>
        <w:t>ESC noted the clinical claim that e</w:t>
      </w:r>
      <w:r w:rsidRPr="004B4295">
        <w:t xml:space="preserve">arly detection </w:t>
      </w:r>
      <w:r>
        <w:t xml:space="preserve">of </w:t>
      </w:r>
      <w:r w:rsidRPr="004B4295">
        <w:t>AAT</w:t>
      </w:r>
      <w:r>
        <w:t xml:space="preserve">D genotypes </w:t>
      </w:r>
      <w:r w:rsidRPr="004B4295">
        <w:t>can lead to</w:t>
      </w:r>
      <w:r>
        <w:t xml:space="preserve"> patients more readily making</w:t>
      </w:r>
      <w:r w:rsidRPr="004B4295">
        <w:t xml:space="preserve"> lifestyle changes</w:t>
      </w:r>
      <w:r>
        <w:t>,</w:t>
      </w:r>
      <w:r w:rsidRPr="004B4295">
        <w:t xml:space="preserve"> such as limiting alcohol and smoking</w:t>
      </w:r>
      <w:r>
        <w:t>,</w:t>
      </w:r>
      <w:r w:rsidRPr="004B4295">
        <w:t xml:space="preserve"> that will </w:t>
      </w:r>
      <w:r>
        <w:t>reduce</w:t>
      </w:r>
      <w:r w:rsidRPr="004B4295">
        <w:t xml:space="preserve"> damage to </w:t>
      </w:r>
      <w:r>
        <w:t>the lungs and liver</w:t>
      </w:r>
      <w:r w:rsidRPr="004B4295">
        <w:t xml:space="preserve">, or clinical interventions such as vaccination to </w:t>
      </w:r>
      <w:r>
        <w:t xml:space="preserve">reduce the rates of </w:t>
      </w:r>
      <w:r w:rsidRPr="004B4295">
        <w:t>infection</w:t>
      </w:r>
      <w:r>
        <w:t>s</w:t>
      </w:r>
      <w:r w:rsidRPr="004B4295">
        <w:t>.</w:t>
      </w:r>
    </w:p>
    <w:p w14:paraId="35BAFADF" w14:textId="77777777" w:rsidR="00916592" w:rsidRDefault="00916592" w:rsidP="009B136F">
      <w:pPr>
        <w:pStyle w:val="NormalBeforeBullet"/>
        <w:spacing w:before="240" w:after="0"/>
      </w:pPr>
      <w:r>
        <w:t>ESC noted that five MBS items are proposed:</w:t>
      </w:r>
    </w:p>
    <w:p w14:paraId="613701CB" w14:textId="77777777" w:rsidR="00916592" w:rsidRDefault="00916592" w:rsidP="00DE464A">
      <w:pPr>
        <w:pStyle w:val="Bullet"/>
        <w:numPr>
          <w:ilvl w:val="0"/>
          <w:numId w:val="24"/>
        </w:numPr>
        <w:spacing w:after="0"/>
      </w:pPr>
      <w:r>
        <w:t xml:space="preserve">AAAA is for panel testing to identify the 14 most common pathogenic variants (as requested by the applicant) in the </w:t>
      </w:r>
      <w:r w:rsidRPr="00635D60">
        <w:rPr>
          <w:i/>
          <w:iCs/>
        </w:rPr>
        <w:t>SERPINA1</w:t>
      </w:r>
      <w:r>
        <w:t xml:space="preserve"> gene.</w:t>
      </w:r>
    </w:p>
    <w:p w14:paraId="164CBF36" w14:textId="77777777" w:rsidR="00916592" w:rsidRDefault="00916592" w:rsidP="00DE464A">
      <w:pPr>
        <w:pStyle w:val="Bullet"/>
        <w:numPr>
          <w:ilvl w:val="1"/>
          <w:numId w:val="24"/>
        </w:numPr>
        <w:spacing w:after="0"/>
      </w:pPr>
      <w:r>
        <w:t>PASC requested a 2-variant panel also be considered as an option for AAAA, as such a panel is more readily defined and available, and it may be more cost-effective.</w:t>
      </w:r>
    </w:p>
    <w:p w14:paraId="195034C4" w14:textId="77777777" w:rsidR="00916592" w:rsidRDefault="00916592" w:rsidP="00DE464A">
      <w:pPr>
        <w:pStyle w:val="Bullet"/>
        <w:numPr>
          <w:ilvl w:val="0"/>
          <w:numId w:val="24"/>
        </w:numPr>
        <w:spacing w:after="0"/>
      </w:pPr>
      <w:r>
        <w:t xml:space="preserve">BBBB is for </w:t>
      </w:r>
      <w:r w:rsidRPr="00B60410">
        <w:rPr>
          <w:i/>
          <w:iCs/>
        </w:rPr>
        <w:t>SERPINA1</w:t>
      </w:r>
      <w:r w:rsidRPr="006A332A">
        <w:t xml:space="preserve"> </w:t>
      </w:r>
      <w:r>
        <w:t>gene sequencing if AAAA does not identify a pathogenic variant.</w:t>
      </w:r>
    </w:p>
    <w:p w14:paraId="3504F4E2" w14:textId="77777777" w:rsidR="00916592" w:rsidRDefault="00916592" w:rsidP="00DE464A">
      <w:pPr>
        <w:pStyle w:val="Bullet"/>
        <w:numPr>
          <w:ilvl w:val="0"/>
          <w:numId w:val="24"/>
        </w:numPr>
        <w:spacing w:after="0"/>
      </w:pPr>
      <w:r>
        <w:t>CCCC is for cascade testing of first- and second-degree relatives of probands.</w:t>
      </w:r>
    </w:p>
    <w:p w14:paraId="1A3345FD" w14:textId="77777777" w:rsidR="00916592" w:rsidRDefault="00916592" w:rsidP="00DE464A">
      <w:pPr>
        <w:pStyle w:val="Bullet"/>
        <w:numPr>
          <w:ilvl w:val="0"/>
          <w:numId w:val="24"/>
        </w:numPr>
        <w:spacing w:after="0"/>
      </w:pPr>
      <w:r>
        <w:t xml:space="preserve">DDDD is for panel testing to identify the 14 (or 2) most common </w:t>
      </w:r>
      <w:r w:rsidRPr="00B60410">
        <w:rPr>
          <w:i/>
          <w:iCs/>
        </w:rPr>
        <w:t>SERPINA1</w:t>
      </w:r>
      <w:r>
        <w:t xml:space="preserve"> pathogenic variants in the reproductive partner of probands identified using AAAA, BBBB or CCCC.</w:t>
      </w:r>
    </w:p>
    <w:p w14:paraId="3C10C41E" w14:textId="77777777" w:rsidR="00916592" w:rsidRDefault="00916592" w:rsidP="00DE464A">
      <w:pPr>
        <w:pStyle w:val="Bullet"/>
        <w:numPr>
          <w:ilvl w:val="0"/>
          <w:numId w:val="24"/>
        </w:numPr>
        <w:spacing w:after="0"/>
      </w:pPr>
      <w:r>
        <w:t xml:space="preserve">EEEE is for panel testing of the pregnant patient to identify the 14 (or 2) most common pathogenic variants of </w:t>
      </w:r>
      <w:r w:rsidRPr="00B60410">
        <w:rPr>
          <w:i/>
          <w:iCs/>
        </w:rPr>
        <w:t>SERPINA1</w:t>
      </w:r>
      <w:r>
        <w:t xml:space="preserve"> in their fetus.</w:t>
      </w:r>
    </w:p>
    <w:p w14:paraId="464D83E6" w14:textId="77777777" w:rsidR="00916592" w:rsidRDefault="00916592" w:rsidP="009B136F">
      <w:pPr>
        <w:spacing w:before="240"/>
      </w:pPr>
      <w:r>
        <w:t>ESC noted that the two</w:t>
      </w:r>
      <w:r w:rsidRPr="00112366">
        <w:t xml:space="preserve"> most common variants </w:t>
      </w:r>
      <w:r>
        <w:t xml:space="preserve">in Australia </w:t>
      </w:r>
      <w:r w:rsidRPr="00112366">
        <w:t xml:space="preserve">are the </w:t>
      </w:r>
      <w:r>
        <w:t>PI*</w:t>
      </w:r>
      <w:r w:rsidRPr="00112366">
        <w:t xml:space="preserve">S </w:t>
      </w:r>
      <w:r>
        <w:t xml:space="preserve">(44.4/1,000) </w:t>
      </w:r>
      <w:r w:rsidRPr="00112366">
        <w:t xml:space="preserve">and the </w:t>
      </w:r>
      <w:r>
        <w:t>PI*</w:t>
      </w:r>
      <w:r w:rsidRPr="00112366">
        <w:t>Z</w:t>
      </w:r>
      <w:r>
        <w:t xml:space="preserve"> (13.4/1,000) </w:t>
      </w:r>
      <w:r w:rsidRPr="00112366">
        <w:t xml:space="preserve">alleles. </w:t>
      </w:r>
      <w:r>
        <w:t>People with PI*</w:t>
      </w:r>
      <w:r w:rsidRPr="00112366">
        <w:t xml:space="preserve">Z </w:t>
      </w:r>
      <w:r>
        <w:t xml:space="preserve">have a more </w:t>
      </w:r>
      <w:r w:rsidRPr="00112366">
        <w:t xml:space="preserve">severe phenotype. </w:t>
      </w:r>
      <w:r>
        <w:t>ESC considered that Australian laboratories would need to determine the most common pathogenic variants in Australia (and their pathogenicity and penetrance) to inform an Australia-specific 14-variant gene panel, if the 14-variant panel is supported.</w:t>
      </w:r>
    </w:p>
    <w:p w14:paraId="28307B88" w14:textId="77777777" w:rsidR="00916592" w:rsidRDefault="00916592" w:rsidP="009B136F">
      <w:pPr>
        <w:pStyle w:val="NormalBeforeBullet"/>
        <w:spacing w:before="240"/>
      </w:pPr>
      <w:r>
        <w:t>ESC noted the following issues with the proposed MBS items:</w:t>
      </w:r>
    </w:p>
    <w:p w14:paraId="66FFE586" w14:textId="73679C28" w:rsidR="00916592" w:rsidRDefault="00916592" w:rsidP="00DE464A">
      <w:pPr>
        <w:pStyle w:val="Bullet"/>
        <w:numPr>
          <w:ilvl w:val="0"/>
          <w:numId w:val="43"/>
        </w:numPr>
        <w:spacing w:after="0"/>
      </w:pPr>
      <w:r w:rsidRPr="00667442">
        <w:t>Patients with rare non-functioning protein</w:t>
      </w:r>
      <w:r>
        <w:t xml:space="preserve"> variants (but with a ‘normal’ AAT concentration)</w:t>
      </w:r>
      <w:r w:rsidRPr="00667442">
        <w:t xml:space="preserve"> would not be accommodated by the </w:t>
      </w:r>
      <w:r>
        <w:t>algorithm</w:t>
      </w:r>
      <w:r w:rsidRPr="00667442">
        <w:t xml:space="preserve"> as currently </w:t>
      </w:r>
      <w:r>
        <w:t>proposed</w:t>
      </w:r>
      <w:r w:rsidRPr="00667442">
        <w:t>. T</w:t>
      </w:r>
      <w:r>
        <w:t>o include them, t</w:t>
      </w:r>
      <w:r w:rsidRPr="00667442">
        <w:t>he AA</w:t>
      </w:r>
      <w:r>
        <w:t>A</w:t>
      </w:r>
      <w:r w:rsidRPr="00667442">
        <w:t xml:space="preserve">A descriptor would need to be amended to indicate </w:t>
      </w:r>
      <w:r>
        <w:t xml:space="preserve">an </w:t>
      </w:r>
      <w:r w:rsidRPr="00667442">
        <w:t>abnormally low (&lt;20</w:t>
      </w:r>
      <w:r>
        <w:t> </w:t>
      </w:r>
      <w:r w:rsidRPr="00667442">
        <w:t xml:space="preserve">μmol/L) </w:t>
      </w:r>
      <w:r>
        <w:t xml:space="preserve">serum </w:t>
      </w:r>
      <w:r w:rsidRPr="00667442">
        <w:t xml:space="preserve">AAT </w:t>
      </w:r>
      <w:r>
        <w:t>concentration</w:t>
      </w:r>
      <w:r w:rsidRPr="00667442">
        <w:t xml:space="preserve"> as an option</w:t>
      </w:r>
      <w:r>
        <w:t>al indication</w:t>
      </w:r>
      <w:r w:rsidRPr="00667442">
        <w:t xml:space="preserve"> for testing rather than a requirement. However, </w:t>
      </w:r>
      <w:r>
        <w:t>doing so</w:t>
      </w:r>
      <w:r w:rsidRPr="00667442">
        <w:t xml:space="preserve"> would significantly increase the eligible patient cohort</w:t>
      </w:r>
      <w:r>
        <w:t xml:space="preserve"> for a likely greatly reduced diagnostic yield as a proportion of the increased number of patients tested</w:t>
      </w:r>
      <w:r w:rsidRPr="00667442">
        <w:t>.</w:t>
      </w:r>
    </w:p>
    <w:p w14:paraId="02152CB6" w14:textId="77777777" w:rsidR="00916592" w:rsidRPr="00667442" w:rsidRDefault="00916592" w:rsidP="00DE464A">
      <w:pPr>
        <w:pStyle w:val="Bullet"/>
        <w:numPr>
          <w:ilvl w:val="0"/>
          <w:numId w:val="43"/>
        </w:numPr>
        <w:spacing w:after="0"/>
      </w:pPr>
      <w:r>
        <w:t>MSAC could c</w:t>
      </w:r>
      <w:r w:rsidRPr="00667442">
        <w:t>onsider including:</w:t>
      </w:r>
    </w:p>
    <w:p w14:paraId="0160EC3B" w14:textId="77777777" w:rsidR="00916592" w:rsidRPr="00667442" w:rsidRDefault="00916592" w:rsidP="00DE464A">
      <w:pPr>
        <w:pStyle w:val="Bullet"/>
        <w:numPr>
          <w:ilvl w:val="1"/>
          <w:numId w:val="43"/>
        </w:numPr>
        <w:spacing w:after="0"/>
      </w:pPr>
      <w:r w:rsidRPr="00667442">
        <w:t>practice note (PN.0.23) in all proposed items requiring appropriate genetic counselling before the test is requested</w:t>
      </w:r>
      <w:r>
        <w:t>,</w:t>
      </w:r>
      <w:r w:rsidRPr="00667442">
        <w:t xml:space="preserve"> to ensure consistency with other listed genetic items.</w:t>
      </w:r>
    </w:p>
    <w:p w14:paraId="7E534A0E" w14:textId="77777777" w:rsidR="00916592" w:rsidRPr="00667442" w:rsidRDefault="00916592" w:rsidP="00DE464A">
      <w:pPr>
        <w:pStyle w:val="Bullet"/>
        <w:numPr>
          <w:ilvl w:val="1"/>
          <w:numId w:val="43"/>
        </w:numPr>
        <w:spacing w:after="0"/>
      </w:pPr>
      <w:r w:rsidRPr="00667442">
        <w:t>practice note to ensure that the testing methodology used is appropriately sensitive to detect the</w:t>
      </w:r>
      <w:r>
        <w:t xml:space="preserve"> </w:t>
      </w:r>
      <w:r w:rsidRPr="00667442">
        <w:t xml:space="preserve">clinically relevant </w:t>
      </w:r>
      <w:r w:rsidRPr="00B60410">
        <w:rPr>
          <w:i/>
          <w:iCs/>
        </w:rPr>
        <w:t>SERPINA1</w:t>
      </w:r>
      <w:r w:rsidRPr="00667442">
        <w:t xml:space="preserve"> variants </w:t>
      </w:r>
      <w:r>
        <w:t xml:space="preserve">that are most </w:t>
      </w:r>
      <w:r>
        <w:lastRenderedPageBreak/>
        <w:t xml:space="preserve">common </w:t>
      </w:r>
      <w:r w:rsidRPr="00667442">
        <w:t>in the Australian population</w:t>
      </w:r>
      <w:r>
        <w:t>,</w:t>
      </w:r>
      <w:r w:rsidRPr="00667442">
        <w:t xml:space="preserve"> consistent with the practice notes for MBS items 73345–73350. PASC proposed</w:t>
      </w:r>
      <w:r>
        <w:t xml:space="preserve"> using</w:t>
      </w:r>
      <w:r w:rsidRPr="00667442">
        <w:t xml:space="preserve"> “sufficient diagnostic range and sensitivity to detect at least 95% </w:t>
      </w:r>
      <w:r>
        <w:t xml:space="preserve">(if 2-variant panel) </w:t>
      </w:r>
      <w:r w:rsidRPr="00667442">
        <w:t>or 99%</w:t>
      </w:r>
      <w:r>
        <w:t xml:space="preserve"> (if 14-variant panel)</w:t>
      </w:r>
      <w:r w:rsidRPr="00667442">
        <w:t xml:space="preserve"> of pathogenic </w:t>
      </w:r>
      <w:r w:rsidRPr="00B60410">
        <w:t>SERPINA1</w:t>
      </w:r>
      <w:r w:rsidRPr="00667442">
        <w:t xml:space="preserve"> variants likely to be present in the patient”</w:t>
      </w:r>
      <w:r>
        <w:t>, based on the reported frequencies of these alleles amongst other populations.</w:t>
      </w:r>
    </w:p>
    <w:p w14:paraId="5C4CFBE1" w14:textId="77777777" w:rsidR="00916592" w:rsidRPr="00667442" w:rsidRDefault="00916592" w:rsidP="00DE464A">
      <w:pPr>
        <w:pStyle w:val="Bullet"/>
        <w:numPr>
          <w:ilvl w:val="1"/>
          <w:numId w:val="43"/>
        </w:numPr>
        <w:spacing w:after="0"/>
      </w:pPr>
      <w:r>
        <w:t>“</w:t>
      </w:r>
      <w:r w:rsidRPr="00667442">
        <w:t>applicable once per lifetime</w:t>
      </w:r>
      <w:r>
        <w:t>”</w:t>
      </w:r>
      <w:r w:rsidRPr="00667442">
        <w:t xml:space="preserve"> (AAAA and BBBB)</w:t>
      </w:r>
      <w:r>
        <w:t>,</w:t>
      </w:r>
      <w:r w:rsidRPr="00667442">
        <w:t xml:space="preserve"> to both reduce the risk of unnecessary claiming and ensure consistency with other </w:t>
      </w:r>
      <w:r>
        <w:t xml:space="preserve">similar </w:t>
      </w:r>
      <w:r w:rsidRPr="00667442">
        <w:t xml:space="preserve">listed </w:t>
      </w:r>
      <w:r>
        <w:t>tests.</w:t>
      </w:r>
    </w:p>
    <w:p w14:paraId="1067DD0E" w14:textId="77777777" w:rsidR="00916592" w:rsidRPr="00667442" w:rsidRDefault="00916592" w:rsidP="00DE464A">
      <w:pPr>
        <w:pStyle w:val="Bullet"/>
        <w:numPr>
          <w:ilvl w:val="1"/>
          <w:numId w:val="43"/>
        </w:numPr>
        <w:spacing w:after="0"/>
      </w:pPr>
      <w:r>
        <w:t>“</w:t>
      </w:r>
      <w:r w:rsidRPr="00667442">
        <w:t>applicable once per variant per lifetime</w:t>
      </w:r>
      <w:r>
        <w:t>”</w:t>
      </w:r>
      <w:r w:rsidRPr="00667442">
        <w:t xml:space="preserve"> in cascade item CCCC to both reduce the risk of unnecessary claiming and ensure consistency with other </w:t>
      </w:r>
      <w:r>
        <w:t xml:space="preserve">similar </w:t>
      </w:r>
      <w:r w:rsidRPr="00667442">
        <w:t xml:space="preserve">listed </w:t>
      </w:r>
      <w:r>
        <w:t>tests</w:t>
      </w:r>
      <w:r w:rsidRPr="00667442">
        <w:t>.</w:t>
      </w:r>
    </w:p>
    <w:p w14:paraId="7B980E4A" w14:textId="77777777" w:rsidR="00916592" w:rsidRPr="00667442" w:rsidRDefault="00916592" w:rsidP="00DE464A">
      <w:pPr>
        <w:pStyle w:val="Bullet"/>
        <w:numPr>
          <w:ilvl w:val="0"/>
          <w:numId w:val="43"/>
        </w:numPr>
        <w:spacing w:after="0"/>
      </w:pPr>
      <w:r>
        <w:t>P</w:t>
      </w:r>
      <w:r w:rsidRPr="00667442">
        <w:t xml:space="preserve">roposed item CCCC </w:t>
      </w:r>
      <w:r>
        <w:t xml:space="preserve">may not be </w:t>
      </w:r>
      <w:r w:rsidRPr="00667442">
        <w:t xml:space="preserve">needed, given item AAAA already includes access to </w:t>
      </w:r>
      <w:r>
        <w:t>genetic testing for</w:t>
      </w:r>
      <w:r w:rsidRPr="00667442">
        <w:t xml:space="preserve"> those with a demonstrated family history of </w:t>
      </w:r>
      <w:r>
        <w:t>AAT</w:t>
      </w:r>
      <w:r w:rsidRPr="00667442">
        <w:t xml:space="preserve"> deficiency. </w:t>
      </w:r>
      <w:r>
        <w:t xml:space="preserve">The Boolean logic in proposed item AAAA may also need to be clarified as to whether the family history clause is connected to or independent of the serum AAT concentration clause. </w:t>
      </w:r>
      <w:r w:rsidRPr="00667442">
        <w:t xml:space="preserve">PASC </w:t>
      </w:r>
      <w:r>
        <w:t>also suggested that</w:t>
      </w:r>
      <w:r w:rsidRPr="00667442">
        <w:t xml:space="preserve"> </w:t>
      </w:r>
      <w:r>
        <w:t>cascade testing</w:t>
      </w:r>
      <w:r w:rsidRPr="00667442">
        <w:t xml:space="preserve"> not be restricted to first</w:t>
      </w:r>
      <w:r>
        <w:t>-</w:t>
      </w:r>
      <w:r w:rsidRPr="00667442">
        <w:t>degree relatives</w:t>
      </w:r>
      <w:r>
        <w:t>,</w:t>
      </w:r>
      <w:r w:rsidRPr="00667442">
        <w:t xml:space="preserve"> as </w:t>
      </w:r>
      <w:r>
        <w:t xml:space="preserve">the </w:t>
      </w:r>
      <w:r w:rsidRPr="00667442">
        <w:t xml:space="preserve">clinical utility </w:t>
      </w:r>
      <w:r>
        <w:t xml:space="preserve">was expected to be greater </w:t>
      </w:r>
      <w:r w:rsidRPr="00667442">
        <w:t xml:space="preserve">for </w:t>
      </w:r>
      <w:r>
        <w:t xml:space="preserve">this </w:t>
      </w:r>
      <w:r w:rsidRPr="00667442">
        <w:t xml:space="preserve">predictive testing in relatives than for affected individuals. </w:t>
      </w:r>
    </w:p>
    <w:p w14:paraId="13693388" w14:textId="77777777" w:rsidR="00916592" w:rsidRDefault="00916592" w:rsidP="00DE464A">
      <w:pPr>
        <w:pStyle w:val="Bullet"/>
        <w:numPr>
          <w:ilvl w:val="0"/>
          <w:numId w:val="43"/>
        </w:numPr>
        <w:spacing w:after="0"/>
      </w:pPr>
      <w:r w:rsidRPr="00667442">
        <w:t xml:space="preserve">The </w:t>
      </w:r>
      <w:r>
        <w:t xml:space="preserve">proposed </w:t>
      </w:r>
      <w:r w:rsidRPr="00667442">
        <w:t xml:space="preserve">item AAAA will identify 95% </w:t>
      </w:r>
      <w:r>
        <w:t xml:space="preserve">(if 2-variant panel) or 99% (if 14-variant panel) </w:t>
      </w:r>
      <w:r w:rsidRPr="00667442">
        <w:t xml:space="preserve">of patients </w:t>
      </w:r>
      <w:r>
        <w:t>who have</w:t>
      </w:r>
      <w:r w:rsidRPr="00667442">
        <w:t xml:space="preserve"> a pathogenic variant.</w:t>
      </w:r>
      <w:r>
        <w:t xml:space="preserve"> Neither panel will be able to conclusively establish wildtype genotype in the considerable proportion of affected individuals who have no variant.</w:t>
      </w:r>
      <w:r w:rsidRPr="00667442">
        <w:t xml:space="preserve"> </w:t>
      </w:r>
      <w:r>
        <w:t>The proposed fee for the</w:t>
      </w:r>
      <w:r w:rsidRPr="00667442">
        <w:t xml:space="preserve"> </w:t>
      </w:r>
      <w:r>
        <w:t>2-</w:t>
      </w:r>
      <w:r w:rsidRPr="00667442">
        <w:t>variant</w:t>
      </w:r>
      <w:r>
        <w:t xml:space="preserve"> panel ($78) is cheaper than that of the 14-variant panel ($100)</w:t>
      </w:r>
      <w:r w:rsidRPr="00667442">
        <w:t xml:space="preserve">, </w:t>
      </w:r>
      <w:r>
        <w:t>however opting</w:t>
      </w:r>
      <w:r w:rsidRPr="00667442">
        <w:t xml:space="preserve"> </w:t>
      </w:r>
      <w:r>
        <w:t xml:space="preserve">for the 2-variant panel </w:t>
      </w:r>
      <w:r w:rsidRPr="00667442">
        <w:t xml:space="preserve">would increase the proportion of patients requiring gene sequencing </w:t>
      </w:r>
      <w:r>
        <w:t>through proposed item</w:t>
      </w:r>
      <w:r w:rsidRPr="00667442">
        <w:t xml:space="preserve"> BBBB.</w:t>
      </w:r>
    </w:p>
    <w:p w14:paraId="56C6A39D" w14:textId="77777777" w:rsidR="00916592" w:rsidRDefault="00916592" w:rsidP="009B136F">
      <w:pPr>
        <w:spacing w:before="240"/>
      </w:pPr>
      <w:r>
        <w:t>ESC noted that isoelectric focusing (</w:t>
      </w:r>
      <w:r w:rsidRPr="00667442">
        <w:t>IEF</w:t>
      </w:r>
      <w:r>
        <w:t>), the comparator, is becoming an outdated test and few laboratories still offer it. ESC also noted that cascade testing is not commonly performed in the relatives of probands who were identified using IEF, though is proposed for the relatives of probands who were identified using genetic testing.</w:t>
      </w:r>
    </w:p>
    <w:p w14:paraId="456AA198" w14:textId="77777777" w:rsidR="00916592" w:rsidRDefault="00916592" w:rsidP="009B136F">
      <w:pPr>
        <w:spacing w:before="240"/>
      </w:pPr>
      <w:r>
        <w:t xml:space="preserve">ESC advised that </w:t>
      </w:r>
      <w:r w:rsidRPr="00CB01B3">
        <w:t>MSAC may wish to consider retaining IEF as a prior test to the panel,</w:t>
      </w:r>
      <w:r>
        <w:t xml:space="preserve"> as t</w:t>
      </w:r>
      <w:r w:rsidRPr="00CB01B3">
        <w:t>he ability of IEF to detect wildtype protein phenotype would prevent unnecessary subsequent referral to gene sequencing.</w:t>
      </w:r>
    </w:p>
    <w:p w14:paraId="1B871F96" w14:textId="3E6C028E" w:rsidR="00916592" w:rsidRDefault="00916592" w:rsidP="009B136F">
      <w:pPr>
        <w:spacing w:before="240"/>
      </w:pPr>
      <w:r>
        <w:t xml:space="preserve">ESC considered that </w:t>
      </w:r>
      <w:r w:rsidR="00DE464A">
        <w:t xml:space="preserve">genetic testing </w:t>
      </w:r>
      <w:r>
        <w:t xml:space="preserve">had non-inferior safety to </w:t>
      </w:r>
      <w:r w:rsidRPr="00667442">
        <w:t>IEF</w:t>
      </w:r>
      <w:r>
        <w:t>, and that f</w:t>
      </w:r>
      <w:r w:rsidRPr="00007AEE">
        <w:t xml:space="preserve">alse negatives resulting from </w:t>
      </w:r>
      <w:r w:rsidR="00DE464A">
        <w:t>variant panel testing</w:t>
      </w:r>
      <w:r w:rsidR="00DE464A" w:rsidRPr="00007AEE">
        <w:t xml:space="preserve"> </w:t>
      </w:r>
      <w:r w:rsidRPr="00007AEE">
        <w:t>or sequencing are rare</w:t>
      </w:r>
      <w:r>
        <w:t>.</w:t>
      </w:r>
    </w:p>
    <w:p w14:paraId="32258ECC" w14:textId="77777777" w:rsidR="00916592" w:rsidRDefault="00916592" w:rsidP="009B136F">
      <w:pPr>
        <w:spacing w:before="240"/>
      </w:pPr>
      <w:r>
        <w:t>ESC noted that the clinical trial data were presented using a linked evidence approach. ESC noted that the d</w:t>
      </w:r>
      <w:r w:rsidRPr="00667442">
        <w:t xml:space="preserve">iagnostic accuracy of the 14-variant panel was high among </w:t>
      </w:r>
      <w:r>
        <w:t>two</w:t>
      </w:r>
      <w:r w:rsidRPr="00667442">
        <w:t xml:space="preserve"> studies</w:t>
      </w:r>
      <w:r>
        <w:t xml:space="preserve"> –</w:t>
      </w:r>
      <w:r w:rsidRPr="00667442">
        <w:t xml:space="preserve"> clinical sensitivity and specificity is 98.2% and 100%</w:t>
      </w:r>
      <w:r>
        <w:t>, respectively</w:t>
      </w:r>
      <w:r w:rsidRPr="00667442">
        <w:t xml:space="preserve"> (k = 1, clinical population), test sensitivity and specificity </w:t>
      </w:r>
      <w:r>
        <w:t>are both</w:t>
      </w:r>
      <w:r w:rsidRPr="00667442">
        <w:t xml:space="preserve"> 100% (k = 1, highly enriched population).</w:t>
      </w:r>
    </w:p>
    <w:p w14:paraId="76BE5DDC" w14:textId="77777777" w:rsidR="00916592" w:rsidRDefault="00916592" w:rsidP="009B136F">
      <w:pPr>
        <w:spacing w:before="240"/>
      </w:pPr>
      <w:r>
        <w:t>ESC noted that there was</w:t>
      </w:r>
      <w:r w:rsidRPr="00667442">
        <w:t xml:space="preserve"> high variability </w:t>
      </w:r>
      <w:r>
        <w:t>in the DCAR’s estimates of diagnostic yield, depending on how the study population was selected for testing, including the serum AAT threshold used</w:t>
      </w:r>
      <w:r w:rsidRPr="00667442">
        <w:t>. In some studies, the lower AAT threshold may lead to overestimated diagnostic yields of variants. In contrast, it is anticipated that the PICO population is more enriched than the populations of the included studies, leading to underestimat</w:t>
      </w:r>
      <w:r>
        <w:t>e</w:t>
      </w:r>
      <w:r w:rsidRPr="00667442">
        <w:t xml:space="preserve">s of diagnostic yield. In addition, based on the comparative prevalences of PI*S and PI*Z variants in the countries of the included studies </w:t>
      </w:r>
      <w:r>
        <w:t xml:space="preserve">(mostly European countries) </w:t>
      </w:r>
      <w:r w:rsidRPr="00667442">
        <w:t>versus those in Australia, most reported diagnostic yields are likely underestimat</w:t>
      </w:r>
      <w:r>
        <w:t>e</w:t>
      </w:r>
      <w:r w:rsidRPr="00667442">
        <w:t xml:space="preserve">s. </w:t>
      </w:r>
      <w:r>
        <w:t xml:space="preserve">ESC noted the rejoinder’s correction to </w:t>
      </w:r>
      <w:r>
        <w:lastRenderedPageBreak/>
        <w:t>the AAT</w:t>
      </w:r>
      <w:r w:rsidRPr="00667442">
        <w:t xml:space="preserve"> threshold </w:t>
      </w:r>
      <w:r>
        <w:t xml:space="preserve">used by the key study Ottaviani </w:t>
      </w:r>
      <w:r w:rsidRPr="00290604">
        <w:t>et al.</w:t>
      </w:r>
      <w:r>
        <w:rPr>
          <w:i/>
          <w:iCs/>
        </w:rPr>
        <w:t xml:space="preserve"> </w:t>
      </w:r>
      <w:r>
        <w:t>2020</w:t>
      </w:r>
      <w:r w:rsidRPr="00EF66C4">
        <w:rPr>
          <w:rStyle w:val="FootnoteReference"/>
        </w:rPr>
        <w:footnoteReference w:id="42"/>
      </w:r>
      <w:r>
        <w:t xml:space="preserve"> </w:t>
      </w:r>
      <w:r w:rsidRPr="00667442">
        <w:t>(</w:t>
      </w:r>
      <w:r>
        <w:t>from 14.7 </w:t>
      </w:r>
      <w:r w:rsidRPr="00667442">
        <w:t>µmol/L</w:t>
      </w:r>
      <w:r>
        <w:t xml:space="preserve"> to </w:t>
      </w:r>
      <w:r w:rsidRPr="00667442">
        <w:t>20.8</w:t>
      </w:r>
      <w:r>
        <w:t> </w:t>
      </w:r>
      <w:r w:rsidRPr="00667442">
        <w:t xml:space="preserve">µmol/L) means the study is more closely aligned with the PICO than </w:t>
      </w:r>
      <w:r>
        <w:t>stated in the DCAR.</w:t>
      </w:r>
      <w:r w:rsidRPr="00667442">
        <w:t xml:space="preserve"> </w:t>
      </w:r>
      <w:r>
        <w:t xml:space="preserve">ESC noted the DCAR conclusion that </w:t>
      </w:r>
      <w:r w:rsidRPr="00667442">
        <w:t xml:space="preserve">IEF has a similar diagnostic yield to 2-variant panel </w:t>
      </w:r>
      <w:r>
        <w:t>testing.</w:t>
      </w:r>
    </w:p>
    <w:p w14:paraId="771C35B7" w14:textId="77777777" w:rsidR="00916592" w:rsidRDefault="00916592" w:rsidP="009B136F">
      <w:pPr>
        <w:spacing w:before="240"/>
      </w:pPr>
      <w:r>
        <w:t>ESC noted that the evidence of clinical utility for AAT genetic testing related to changes in patients’ behaviour (smoking, exercise, vaccination against pneumonia and flu). There is no publicly funded intervention or therapy for AATD, as the November 2018 MSAC meeting found therapy for AATD in adults with severe emphysema to be insufficiently cost-effective (MSAC application 1530).</w:t>
      </w:r>
    </w:p>
    <w:p w14:paraId="5822C0CD" w14:textId="77777777" w:rsidR="00916592" w:rsidRDefault="00916592" w:rsidP="009B136F">
      <w:pPr>
        <w:spacing w:before="240"/>
      </w:pPr>
      <w:r>
        <w:t xml:space="preserve">ESC noted the translation issues with the </w:t>
      </w:r>
      <w:r w:rsidRPr="00311347">
        <w:t>diagnostic performance and yield from the literature</w:t>
      </w:r>
      <w:r>
        <w:t xml:space="preserve">. A </w:t>
      </w:r>
      <w:r w:rsidRPr="00311347">
        <w:t>14</w:t>
      </w:r>
      <w:r>
        <w:t>-</w:t>
      </w:r>
      <w:r w:rsidRPr="00311347">
        <w:t xml:space="preserve">variant panel </w:t>
      </w:r>
      <w:r>
        <w:t xml:space="preserve">is not currently </w:t>
      </w:r>
      <w:r w:rsidRPr="00311347">
        <w:t>available in Australia</w:t>
      </w:r>
      <w:r>
        <w:t xml:space="preserve">, and the transformation </w:t>
      </w:r>
      <w:r w:rsidRPr="00311347">
        <w:t xml:space="preserve">of </w:t>
      </w:r>
      <w:r>
        <w:t xml:space="preserve">improved overall </w:t>
      </w:r>
      <w:r w:rsidRPr="00311347">
        <w:t xml:space="preserve">diagnostic accuracy to </w:t>
      </w:r>
      <w:r>
        <w:t xml:space="preserve">any improved </w:t>
      </w:r>
      <w:r w:rsidRPr="00311347">
        <w:t>health outcomes</w:t>
      </w:r>
      <w:r>
        <w:t xml:space="preserve"> is uncertain. ESC also noted the u</w:t>
      </w:r>
      <w:r w:rsidRPr="00311347">
        <w:t>ncertaint</w:t>
      </w:r>
      <w:r>
        <w:t>ies</w:t>
      </w:r>
      <w:r w:rsidRPr="00311347">
        <w:t xml:space="preserve"> in </w:t>
      </w:r>
      <w:r>
        <w:t xml:space="preserve">the </w:t>
      </w:r>
      <w:r w:rsidRPr="00311347">
        <w:t xml:space="preserve">rates of smoking among patients </w:t>
      </w:r>
      <w:r>
        <w:t>who receive a positive</w:t>
      </w:r>
      <w:r w:rsidRPr="00311347">
        <w:t xml:space="preserve"> genetic diagnosis</w:t>
      </w:r>
      <w:r>
        <w:t>, the s</w:t>
      </w:r>
      <w:r w:rsidRPr="00311347">
        <w:t>election of utility values</w:t>
      </w:r>
      <w:r>
        <w:t xml:space="preserve">, and the use of </w:t>
      </w:r>
      <w:r w:rsidRPr="00311347">
        <w:t>US registry data</w:t>
      </w:r>
      <w:r>
        <w:t xml:space="preserve"> as m</w:t>
      </w:r>
      <w:r w:rsidRPr="00311347">
        <w:t>odel inputs</w:t>
      </w:r>
      <w:r>
        <w:t>.</w:t>
      </w:r>
    </w:p>
    <w:p w14:paraId="0DDAEAA4" w14:textId="77777777" w:rsidR="00916592" w:rsidRDefault="00916592" w:rsidP="009B136F">
      <w:pPr>
        <w:spacing w:before="240"/>
      </w:pPr>
      <w:r>
        <w:t xml:space="preserve">ESC </w:t>
      </w:r>
      <w:r w:rsidRPr="006002D6">
        <w:t>noted that</w:t>
      </w:r>
      <w:r>
        <w:t>,</w:t>
      </w:r>
      <w:r w:rsidRPr="006002D6">
        <w:t xml:space="preserve"> </w:t>
      </w:r>
      <w:r>
        <w:t xml:space="preserve">in its pre-ESC response, </w:t>
      </w:r>
      <w:r w:rsidRPr="006002D6">
        <w:t xml:space="preserve">the applicant claimed </w:t>
      </w:r>
      <w:r>
        <w:t xml:space="preserve">that the diagnostic yields should be 67% for IEF, 95% for the </w:t>
      </w:r>
      <w:r w:rsidRPr="00A4752F">
        <w:t>14</w:t>
      </w:r>
      <w:r>
        <w:t>-</w:t>
      </w:r>
      <w:r w:rsidRPr="00A4752F">
        <w:t>variant panel</w:t>
      </w:r>
      <w:r>
        <w:t xml:space="preserve">, and 100% for </w:t>
      </w:r>
      <w:r w:rsidRPr="00A4752F">
        <w:t>sequencing</w:t>
      </w:r>
      <w:r>
        <w:t>. ESC considered the rejoinder’s response  that the diagnostic yield of the 14-variant panel should be 24.1% (from the Ottaviani (2020) paper), to be more reasonable, as diagnostic yield is not the proportion of true positives that are detected (i.e. sensitivity), but the proportion of all tested individuals who test positive, and</w:t>
      </w:r>
      <w:r w:rsidRPr="00CA3F33">
        <w:t xml:space="preserve"> a neg</w:t>
      </w:r>
      <w:r>
        <w:t>ative</w:t>
      </w:r>
      <w:r w:rsidRPr="00CA3F33">
        <w:t xml:space="preserve"> </w:t>
      </w:r>
      <w:r>
        <w:t xml:space="preserve">(or inconclusive) panel test </w:t>
      </w:r>
      <w:r w:rsidRPr="00CA3F33">
        <w:t>result does</w:t>
      </w:r>
      <w:r>
        <w:t xml:space="preserve"> </w:t>
      </w:r>
      <w:r w:rsidRPr="00CA3F33">
        <w:t>n</w:t>
      </w:r>
      <w:r>
        <w:t>o</w:t>
      </w:r>
      <w:r w:rsidRPr="00CA3F33">
        <w:t xml:space="preserve">t </w:t>
      </w:r>
      <w:r>
        <w:t>rule out all variants, but rather it means further</w:t>
      </w:r>
      <w:r w:rsidRPr="00CA3F33">
        <w:t xml:space="preserve"> testing</w:t>
      </w:r>
      <w:r>
        <w:t xml:space="preserve"> is needed (via sequencing). However, ESC also considered that this estimate </w:t>
      </w:r>
      <w:r w:rsidRPr="00F001AB">
        <w:t xml:space="preserve">of diagnostic yield </w:t>
      </w:r>
      <w:r>
        <w:t xml:space="preserve">from </w:t>
      </w:r>
      <w:r w:rsidRPr="00F001AB">
        <w:t xml:space="preserve">the Ottaviani </w:t>
      </w:r>
      <w:r>
        <w:t xml:space="preserve">(2020) </w:t>
      </w:r>
      <w:r w:rsidRPr="00F001AB">
        <w:t>paper</w:t>
      </w:r>
      <w:r>
        <w:t xml:space="preserve"> may not accurately reflect that of the proposed Australian population tested as defined by the proposed item descriptor, which also has implications for the incremental diagnostic yield following referral for gene sequencing</w:t>
      </w:r>
      <w:r w:rsidRPr="00F001AB">
        <w:t>.</w:t>
      </w:r>
      <w:r w:rsidRPr="00D91341">
        <w:t xml:space="preserve"> </w:t>
      </w:r>
      <w:r>
        <w:t>ESC considered the uncertainty related to these diagnostic yield estimates to be problematic because it drives the economic model.</w:t>
      </w:r>
    </w:p>
    <w:p w14:paraId="17627D44" w14:textId="77777777" w:rsidR="00916592" w:rsidRDefault="00916592" w:rsidP="009B136F">
      <w:pPr>
        <w:spacing w:before="240"/>
      </w:pPr>
      <w:r>
        <w:t>ESC noted the incremental cost-effectiveness ratio (ICER) of $35,000 per QALY, and considered the estimated utility gain to be small.</w:t>
      </w:r>
    </w:p>
    <w:p w14:paraId="317465DF" w14:textId="52F952A6" w:rsidR="00916592" w:rsidRDefault="00916592" w:rsidP="009B136F">
      <w:pPr>
        <w:spacing w:before="240"/>
      </w:pPr>
      <w:r>
        <w:t xml:space="preserve">ESC noted the additional economic analyses presented for its consideration by the Department (see </w:t>
      </w:r>
      <w:r w:rsidR="00095E12">
        <w:fldChar w:fldCharType="begin"/>
      </w:r>
      <w:r w:rsidR="00095E12">
        <w:instrText xml:space="preserve"> REF _Ref74220322 </w:instrText>
      </w:r>
      <w:r w:rsidR="00095E12">
        <w:fldChar w:fldCharType="separate"/>
      </w:r>
      <w:r w:rsidR="00095E12" w:rsidRPr="00583630">
        <w:t xml:space="preserve">Table </w:t>
      </w:r>
      <w:r w:rsidR="00095E12">
        <w:rPr>
          <w:noProof/>
        </w:rPr>
        <w:t>12</w:t>
      </w:r>
      <w:r w:rsidR="00095E12">
        <w:rPr>
          <w:noProof/>
        </w:rPr>
        <w:fldChar w:fldCharType="end"/>
      </w:r>
      <w:r>
        <w:t>). ESC recommended that MSAC consider this table as presenting a more comprehensive set of cost-effectiveness results for the 2- and 14-variant gene panels, with and without subsequent sequencing, and thus informing a wider range of decision options, including sequencing alone, without a panel triage.</w:t>
      </w:r>
    </w:p>
    <w:p w14:paraId="7FA6D778" w14:textId="76A49EF8" w:rsidR="00916592" w:rsidRDefault="00916592" w:rsidP="009B136F">
      <w:pPr>
        <w:spacing w:before="240"/>
      </w:pPr>
      <w:r>
        <w:t>ESC noted that, in its pre-ESC response, the applicant queried why the financial estimates used a market share of 70% substitution of IEF, rather than 100% as genetic testing is proposed to completely replace IEF. ESC considered that the DCAR’s financial impact of $363,000 per year and the applicant’s revised financial impact of $194,000 per year could indicate the maximum and minimum likely impact, respectively. ESC noted that the financial impact did not include other future cost offsets due to decreased disease progression.</w:t>
      </w:r>
    </w:p>
    <w:p w14:paraId="65FDF486" w14:textId="77777777" w:rsidR="00D90D56" w:rsidRPr="00D90D56" w:rsidRDefault="00D90D56"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lastRenderedPageBreak/>
        <w:t>Other significant factors</w:t>
      </w:r>
    </w:p>
    <w:p w14:paraId="5A9AB283" w14:textId="59EC0C81" w:rsidR="00D90D56" w:rsidRPr="00D90D56" w:rsidRDefault="00D90D56" w:rsidP="00D90D56">
      <w:pPr>
        <w:spacing w:after="240"/>
        <w:rPr>
          <w:iCs/>
          <w:szCs w:val="24"/>
        </w:rPr>
      </w:pPr>
      <w:r w:rsidRPr="00D90D56">
        <w:rPr>
          <w:iCs/>
          <w:szCs w:val="24"/>
        </w:rPr>
        <w:t>Nil</w:t>
      </w:r>
    </w:p>
    <w:p w14:paraId="7BBF32C3" w14:textId="6C742705" w:rsidR="00D90D56" w:rsidRDefault="00D90D56"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t>Applicant comments on MSAC’s Public Summary Document</w:t>
      </w:r>
    </w:p>
    <w:p w14:paraId="3F09DA16" w14:textId="759506D4" w:rsidR="00E51EC6" w:rsidRPr="00E51EC6" w:rsidRDefault="00292B88" w:rsidP="00724510">
      <w:pPr>
        <w:spacing w:after="240"/>
        <w:rPr>
          <w:iCs/>
          <w:szCs w:val="24"/>
        </w:rPr>
      </w:pPr>
      <w:r w:rsidRPr="00292B88">
        <w:rPr>
          <w:iCs/>
          <w:szCs w:val="24"/>
        </w:rPr>
        <w:t>The College</w:t>
      </w:r>
      <w:r w:rsidR="00724510">
        <w:rPr>
          <w:iCs/>
          <w:szCs w:val="24"/>
        </w:rPr>
        <w:t xml:space="preserve"> does not </w:t>
      </w:r>
      <w:r w:rsidR="00724510" w:rsidRPr="00724510">
        <w:rPr>
          <w:iCs/>
          <w:szCs w:val="24"/>
        </w:rPr>
        <w:t>agree with MSAC’s interpretation of the evidence, and will work with MSAC and the Department to resolve this</w:t>
      </w:r>
      <w:r w:rsidR="001B002D" w:rsidRPr="001B002D">
        <w:rPr>
          <w:iCs/>
          <w:szCs w:val="24"/>
        </w:rPr>
        <w:t>.</w:t>
      </w:r>
    </w:p>
    <w:p w14:paraId="5D92C6C7" w14:textId="77777777" w:rsidR="00D90D56" w:rsidRPr="00D90D56" w:rsidRDefault="00D90D56" w:rsidP="00D90D56">
      <w:pPr>
        <w:pStyle w:val="Heading1"/>
        <w:numPr>
          <w:ilvl w:val="0"/>
          <w:numId w:val="13"/>
        </w:numPr>
        <w:spacing w:before="240" w:after="240"/>
        <w:ind w:left="0" w:firstLine="0"/>
        <w:rPr>
          <w:rFonts w:ascii="Arial" w:eastAsia="Times New Roman" w:hAnsi="Arial" w:cs="Times New Roman"/>
        </w:rPr>
      </w:pPr>
      <w:r w:rsidRPr="00D90D56">
        <w:rPr>
          <w:rFonts w:ascii="Arial" w:eastAsia="Times New Roman" w:hAnsi="Arial" w:cs="Times New Roman"/>
        </w:rPr>
        <w:t>Further information on MSAC</w:t>
      </w:r>
    </w:p>
    <w:p w14:paraId="2D6710D8" w14:textId="61016F1B" w:rsidR="00D90D56" w:rsidRPr="009B136F" w:rsidRDefault="00D90D56" w:rsidP="009B136F">
      <w:pPr>
        <w:spacing w:after="240"/>
        <w:rPr>
          <w:szCs w:val="24"/>
        </w:rPr>
      </w:pPr>
      <w:r w:rsidRPr="00F715D1">
        <w:rPr>
          <w:szCs w:val="24"/>
        </w:rPr>
        <w:t xml:space="preserve">MSAC Terms of Reference and other information are available on the MSAC Website: </w:t>
      </w:r>
      <w:r>
        <w:rPr>
          <w:szCs w:val="24"/>
        </w:rPr>
        <w:br/>
      </w:r>
      <w:hyperlink r:id="rId18" w:tooltip="Link to Medical Services Advisory Committee website" w:history="1">
        <w:r w:rsidRPr="00F715D1">
          <w:rPr>
            <w:rStyle w:val="Hyperlink"/>
            <w:szCs w:val="24"/>
          </w:rPr>
          <w:t>visit the MSAC website</w:t>
        </w:r>
      </w:hyperlink>
    </w:p>
    <w:sectPr w:rsidR="00D90D56" w:rsidRPr="009B136F" w:rsidSect="00342FAC">
      <w:footerReference w:type="default" r:id="rId19"/>
      <w:pgSz w:w="11906" w:h="16838"/>
      <w:pgMar w:top="1440" w:right="1440" w:bottom="1134"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A64D9B" w14:textId="77777777" w:rsidR="00AF08E7" w:rsidRDefault="00AF08E7" w:rsidP="00065623">
      <w:r>
        <w:separator/>
      </w:r>
    </w:p>
  </w:endnote>
  <w:endnote w:type="continuationSeparator" w:id="0">
    <w:p w14:paraId="29E62051" w14:textId="77777777" w:rsidR="00AF08E7" w:rsidRDefault="00AF08E7" w:rsidP="00065623">
      <w:r>
        <w:continuationSeparator/>
      </w:r>
    </w:p>
  </w:endnote>
  <w:endnote w:type="continuationNotice" w:id="1">
    <w:p w14:paraId="5395108C" w14:textId="77777777" w:rsidR="00AF08E7" w:rsidRDefault="00AF08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Humanist 77 7 BT">
    <w:altName w:val="Calibri"/>
    <w:panose1 w:val="00000000000000000000"/>
    <w:charset w:val="00"/>
    <w:family w:val="swiss"/>
    <w:notTrueType/>
    <w:pitch w:val="default"/>
    <w:sig w:usb0="00000003" w:usb1="00000000" w:usb2="00000000" w:usb3="00000000" w:csb0="00000001" w:csb1="00000000"/>
  </w:font>
  <w:font w:name="CIDFont+F5">
    <w:altName w:val="Yu Gothic"/>
    <w:panose1 w:val="00000000000000000000"/>
    <w:charset w:val="80"/>
    <w:family w:val="auto"/>
    <w:notTrueType/>
    <w:pitch w:val="default"/>
    <w:sig w:usb0="00000001" w:usb1="08070000" w:usb2="00000010" w:usb3="00000000" w:csb0="00020000" w:csb1="00000000"/>
  </w:font>
  <w:font w:name="CIDFont+F4">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C52025" w14:textId="77777777" w:rsidR="00AF08E7" w:rsidRDefault="00AF08E7">
    <w:pPr>
      <w:pStyle w:val="Footer"/>
      <w:tabs>
        <w:tab w:val="right" w:pos="8931"/>
        <w:tab w:val="right" w:pos="14742"/>
      </w:tabs>
      <w:ind w:right="98"/>
    </w:pPr>
    <w:r>
      <w:rPr>
        <w:rStyle w:val="PageNumber"/>
        <w:bCs/>
      </w:rPr>
      <w:fldChar w:fldCharType="begin"/>
    </w:r>
    <w:r>
      <w:rPr>
        <w:rStyle w:val="PageNumber"/>
        <w:bCs/>
      </w:rPr>
      <w:instrText xml:space="preserve"> PAGE </w:instrText>
    </w:r>
    <w:r>
      <w:rPr>
        <w:rStyle w:val="PageNumber"/>
        <w:bCs/>
      </w:rPr>
      <w:fldChar w:fldCharType="separate"/>
    </w:r>
    <w:r>
      <w:rPr>
        <w:rStyle w:val="PageNumber"/>
        <w:bCs/>
        <w:noProof/>
      </w:rPr>
      <w:t>42</w:t>
    </w:r>
    <w:r>
      <w:rPr>
        <w:rStyle w:val="PageNumber"/>
        <w:bCs/>
      </w:rPr>
      <w:fldChar w:fldCharType="end"/>
    </w:r>
    <w:r>
      <w:rPr>
        <w:rStyle w:val="PageNumber"/>
      </w:rPr>
      <w:tab/>
      <w:t>Vertebroplasty and kyphoplasty</w:t>
    </w:r>
    <w:r>
      <w:rPr>
        <w:vanish/>
        <w:color w:val="0000FF"/>
      </w:rPr>
      <w:t>&lt;Name of application&gt;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46773568"/>
      <w:docPartObj>
        <w:docPartGallery w:val="Page Numbers (Bottom of Page)"/>
        <w:docPartUnique/>
      </w:docPartObj>
    </w:sdtPr>
    <w:sdtEndPr>
      <w:rPr>
        <w:noProof/>
      </w:rPr>
    </w:sdtEndPr>
    <w:sdtContent>
      <w:p w14:paraId="57D6A905" w14:textId="63CBFD0D" w:rsidR="00AF08E7" w:rsidRDefault="00AF08E7">
        <w:pPr>
          <w:pStyle w:val="Footer"/>
          <w:jc w:val="right"/>
        </w:pPr>
        <w:r>
          <w:fldChar w:fldCharType="begin"/>
        </w:r>
        <w:r>
          <w:instrText xml:space="preserve"> PAGE   \* MERGEFORMAT </w:instrText>
        </w:r>
        <w:r>
          <w:fldChar w:fldCharType="separate"/>
        </w:r>
        <w:r>
          <w:rPr>
            <w:noProof/>
          </w:rPr>
          <w:t>34</w:t>
        </w:r>
        <w:r>
          <w:rPr>
            <w:noProof/>
          </w:rPr>
          <w:fldChar w:fldCharType="end"/>
        </w:r>
      </w:p>
    </w:sdtContent>
  </w:sdt>
  <w:p w14:paraId="611F0B18" w14:textId="77777777" w:rsidR="00AF08E7" w:rsidRDefault="00AF08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5941D5" w14:textId="77777777" w:rsidR="00AF08E7" w:rsidRDefault="00AF08E7" w:rsidP="00065623">
      <w:r>
        <w:separator/>
      </w:r>
    </w:p>
  </w:footnote>
  <w:footnote w:type="continuationSeparator" w:id="0">
    <w:p w14:paraId="3F67E4D2" w14:textId="77777777" w:rsidR="00AF08E7" w:rsidRDefault="00AF08E7" w:rsidP="00065623">
      <w:r>
        <w:continuationSeparator/>
      </w:r>
    </w:p>
  </w:footnote>
  <w:footnote w:type="continuationNotice" w:id="1">
    <w:p w14:paraId="26DE8A6B" w14:textId="77777777" w:rsidR="00AF08E7" w:rsidRDefault="00AF08E7"/>
  </w:footnote>
  <w:footnote w:id="2">
    <w:p w14:paraId="7446ABC9" w14:textId="0A36AFA1" w:rsidR="00AF08E7" w:rsidRDefault="00AF08E7">
      <w:pPr>
        <w:pStyle w:val="FootnoteText"/>
      </w:pPr>
      <w:r>
        <w:rPr>
          <w:rStyle w:val="FootnoteReference"/>
        </w:rPr>
        <w:footnoteRef/>
      </w:r>
      <w:r>
        <w:t xml:space="preserve"> MBS Online: </w:t>
      </w:r>
      <w:hyperlink r:id="rId1" w:history="1">
        <w:r w:rsidRPr="002212F5">
          <w:rPr>
            <w:rStyle w:val="Hyperlink"/>
          </w:rPr>
          <w:t>http://www.mbsonline.gov.au/internet/mbsonline/publishing.nsf/Content/downloads</w:t>
        </w:r>
      </w:hyperlink>
    </w:p>
  </w:footnote>
  <w:footnote w:id="3">
    <w:p w14:paraId="60DEAF22" w14:textId="77777777" w:rsidR="00AF08E7" w:rsidRDefault="00AF08E7" w:rsidP="006F2AAF">
      <w:pPr>
        <w:pStyle w:val="FootnoteText"/>
      </w:pPr>
      <w:r>
        <w:rPr>
          <w:rStyle w:val="FootnoteReference"/>
        </w:rPr>
        <w:footnoteRef/>
      </w:r>
      <w:r>
        <w:t xml:space="preserve"> </w:t>
      </w:r>
      <w:r w:rsidRPr="00152652">
        <w:t xml:space="preserve">American Thoracic Society/European Respiratory Society Statement Standards for the Diagnosis and Management of Individuals with Alpha-1 Antitrypsin Deficiency: </w:t>
      </w:r>
      <w:hyperlink r:id="rId2" w:history="1">
        <w:r w:rsidRPr="009D112A">
          <w:rPr>
            <w:rStyle w:val="Hyperlink"/>
          </w:rPr>
          <w:t>https://doi.org/10.1164/rccm.168.7.818</w:t>
        </w:r>
      </w:hyperlink>
      <w:r>
        <w:t xml:space="preserve"> </w:t>
      </w:r>
    </w:p>
  </w:footnote>
  <w:footnote w:id="4">
    <w:p w14:paraId="7A3A0847" w14:textId="77777777" w:rsidR="00AF08E7" w:rsidRDefault="00AF08E7" w:rsidP="00FF6C90">
      <w:pPr>
        <w:pStyle w:val="FootnoteText"/>
      </w:pPr>
      <w:r>
        <w:rPr>
          <w:rStyle w:val="FootnoteReference"/>
        </w:rPr>
        <w:footnoteRef/>
      </w:r>
      <w:r>
        <w:t xml:space="preserve"> Understanding Direct-to-Consumer Genetic DNA Testing – An Information Resource for Consumers. NHMRC, 2014. Available online: </w:t>
      </w:r>
      <w:hyperlink r:id="rId3" w:history="1">
        <w:r w:rsidRPr="00B93D3B">
          <w:rPr>
            <w:rStyle w:val="Hyperlink"/>
          </w:rPr>
          <w:t>https://www.nhmrc.gov.au/sites/default/files/documents/reports/direct-consumer-genetic-testing.pdf</w:t>
        </w:r>
      </w:hyperlink>
      <w:r>
        <w:t xml:space="preserve"> </w:t>
      </w:r>
    </w:p>
  </w:footnote>
  <w:footnote w:id="5">
    <w:p w14:paraId="4B1D81AD" w14:textId="7D0B0256" w:rsidR="00AF08E7" w:rsidRDefault="00AF08E7">
      <w:pPr>
        <w:pStyle w:val="FootnoteText"/>
      </w:pPr>
      <w:r>
        <w:rPr>
          <w:rStyle w:val="FootnoteReference"/>
        </w:rPr>
        <w:footnoteRef/>
      </w:r>
      <w:r>
        <w:t xml:space="preserve"> </w:t>
      </w:r>
      <w:r w:rsidRPr="00195958">
        <w:t>Brode SK, Ling SC, Chapman KR. Alpha-1 antitrypsin deficiency: a commonly overlooked cause of lung disease. CMAJ. 2012 Sep 4;184(12):1365-71.</w:t>
      </w:r>
    </w:p>
  </w:footnote>
  <w:footnote w:id="6">
    <w:p w14:paraId="7D76C056" w14:textId="359C4679" w:rsidR="00AF08E7" w:rsidRDefault="00AF08E7" w:rsidP="004F7105">
      <w:pPr>
        <w:pStyle w:val="FootnoteText"/>
      </w:pPr>
      <w:r>
        <w:rPr>
          <w:rStyle w:val="FootnoteReference"/>
        </w:rPr>
        <w:footnoteRef/>
      </w:r>
      <w:r>
        <w:t xml:space="preserve"> Miravitlles, M. et al. 2017. European Respiratory Society statement: diagnosis and treatment of pulmonary disease in α1-antitrypsin deficiency. European Respiratory Journal 50(5): 1700610.</w:t>
      </w:r>
    </w:p>
  </w:footnote>
  <w:footnote w:id="7">
    <w:p w14:paraId="7135528F" w14:textId="018D2516" w:rsidR="00AF08E7" w:rsidRDefault="00AF08E7">
      <w:pPr>
        <w:pStyle w:val="FootnoteText"/>
      </w:pPr>
      <w:r>
        <w:rPr>
          <w:rStyle w:val="FootnoteReference"/>
        </w:rPr>
        <w:footnoteRef/>
      </w:r>
      <w:r>
        <w:t xml:space="preserve"> </w:t>
      </w:r>
      <w:r w:rsidRPr="009D3A01">
        <w:t>Cortes-Lopez, R.</w:t>
      </w:r>
      <w:r>
        <w:t xml:space="preserve"> &amp;</w:t>
      </w:r>
      <w:r w:rsidRPr="009D3A01">
        <w:t xml:space="preserve"> Barjaktarevic, I</w:t>
      </w:r>
      <w:r>
        <w:t>. 2020</w:t>
      </w:r>
      <w:r w:rsidRPr="009D3A01">
        <w:t>. Alpha-1 Antitrypsin Deficiency: a Rare Disease? Curr Allergy Asthma Rep 20, 51.</w:t>
      </w:r>
    </w:p>
  </w:footnote>
  <w:footnote w:id="8">
    <w:p w14:paraId="2288BE31" w14:textId="77777777" w:rsidR="00AF08E7" w:rsidRDefault="00AF08E7" w:rsidP="00B05487">
      <w:pPr>
        <w:pStyle w:val="FootnoteText"/>
      </w:pPr>
      <w:r>
        <w:rPr>
          <w:rStyle w:val="FootnoteReference"/>
        </w:rPr>
        <w:footnoteRef/>
      </w:r>
      <w:r>
        <w:t xml:space="preserve"> </w:t>
      </w:r>
      <w:r w:rsidRPr="00E92BE2">
        <w:t xml:space="preserve">Alpha-1 Association </w:t>
      </w:r>
      <w:r>
        <w:t>o</w:t>
      </w:r>
      <w:r w:rsidRPr="00E92BE2">
        <w:t xml:space="preserve">f Australia. 2017. </w:t>
      </w:r>
      <w:r w:rsidRPr="00E92BE2">
        <w:rPr>
          <w:i/>
        </w:rPr>
        <w:t xml:space="preserve">A guide to alpha-1 antitrypsin deficiency </w:t>
      </w:r>
      <w:r w:rsidRPr="00E92BE2">
        <w:t xml:space="preserve">[Online]. Available: </w:t>
      </w:r>
      <w:hyperlink r:id="rId4" w:history="1">
        <w:r w:rsidRPr="00E92BE2">
          <w:rPr>
            <w:rStyle w:val="Hyperlink"/>
          </w:rPr>
          <w:t>https://www.alpha1.org.au/doc/AAAbooklet.pdf</w:t>
        </w:r>
      </w:hyperlink>
      <w:r w:rsidRPr="00E92BE2">
        <w:t xml:space="preserve"> [Accessed March 10 2021].</w:t>
      </w:r>
    </w:p>
  </w:footnote>
  <w:footnote w:id="9">
    <w:p w14:paraId="72F515D8" w14:textId="77777777" w:rsidR="00AF08E7" w:rsidRDefault="00AF08E7" w:rsidP="00B05487">
      <w:pPr>
        <w:pStyle w:val="FootnoteText"/>
      </w:pPr>
      <w:r>
        <w:rPr>
          <w:rStyle w:val="FootnoteReference"/>
        </w:rPr>
        <w:footnoteRef/>
      </w:r>
      <w:r>
        <w:t xml:space="preserve"> </w:t>
      </w:r>
      <w:r w:rsidRPr="00E92BE2">
        <w:t xml:space="preserve">Lab Tests Online. 2021. </w:t>
      </w:r>
      <w:r w:rsidRPr="00E92BE2">
        <w:rPr>
          <w:i/>
        </w:rPr>
        <w:t xml:space="preserve">Alpha-1-antitrypsin </w:t>
      </w:r>
      <w:r w:rsidRPr="00E92BE2">
        <w:t xml:space="preserve">[Online]. Available: </w:t>
      </w:r>
      <w:hyperlink r:id="rId5" w:history="1">
        <w:r w:rsidRPr="00E92BE2">
          <w:rPr>
            <w:rStyle w:val="Hyperlink"/>
          </w:rPr>
          <w:t>https://www.labtestsonline.org.au/learning/test-index/alpha1-antitrypsin</w:t>
        </w:r>
      </w:hyperlink>
      <w:r w:rsidRPr="00E92BE2">
        <w:t xml:space="preserve"> [Accessed March 10 2021].</w:t>
      </w:r>
    </w:p>
  </w:footnote>
  <w:footnote w:id="10">
    <w:p w14:paraId="7EB74E2A" w14:textId="273A4306" w:rsidR="00AF08E7" w:rsidRDefault="00AF08E7">
      <w:pPr>
        <w:pStyle w:val="FootnoteText"/>
      </w:pPr>
      <w:r>
        <w:rPr>
          <w:rStyle w:val="FootnoteReference"/>
        </w:rPr>
        <w:footnoteRef/>
      </w:r>
      <w:r>
        <w:t xml:space="preserve"> Thelin, T., et al.</w:t>
      </w:r>
      <w:r w:rsidRPr="0089330A">
        <w:t xml:space="preserve"> 1996. Primary prevention in a high‐risk group: smoking habits in adolescents with homozygous alpha‐1‐antitrypsin deficiency (ATD). </w:t>
      </w:r>
      <w:r w:rsidRPr="0089330A">
        <w:rPr>
          <w:i/>
        </w:rPr>
        <w:t>Acta Paediatrica,</w:t>
      </w:r>
      <w:r w:rsidRPr="0089330A">
        <w:t xml:space="preserve"> 85</w:t>
      </w:r>
      <w:r w:rsidRPr="0089330A">
        <w:rPr>
          <w:b/>
        </w:rPr>
        <w:t>,</w:t>
      </w:r>
      <w:r w:rsidRPr="0089330A">
        <w:t xml:space="preserve"> 1207-1212.</w:t>
      </w:r>
    </w:p>
  </w:footnote>
  <w:footnote w:id="11">
    <w:p w14:paraId="185FFE90" w14:textId="6B54922D" w:rsidR="00AF08E7" w:rsidRDefault="00AF08E7">
      <w:pPr>
        <w:pStyle w:val="FootnoteText"/>
      </w:pPr>
      <w:r>
        <w:rPr>
          <w:rStyle w:val="FootnoteReference"/>
        </w:rPr>
        <w:footnoteRef/>
      </w:r>
      <w:r>
        <w:t xml:space="preserve"> </w:t>
      </w:r>
      <w:r w:rsidRPr="0089330A">
        <w:t xml:space="preserve">Worthington, A. K., </w:t>
      </w:r>
      <w:r>
        <w:t>et al.</w:t>
      </w:r>
      <w:r w:rsidRPr="0089330A">
        <w:t xml:space="preserve"> 2018. Spirituality, illness unpredictability, and math anxiety effects on negative affect and affect-management coping for individuals diagnosed with alpha-1 antitrypsin deficiency. </w:t>
      </w:r>
      <w:r w:rsidRPr="0089330A">
        <w:rPr>
          <w:i/>
        </w:rPr>
        <w:t>Health communication,</w:t>
      </w:r>
      <w:r w:rsidRPr="0089330A">
        <w:t xml:space="preserve"> 33</w:t>
      </w:r>
      <w:r w:rsidRPr="0089330A">
        <w:rPr>
          <w:b/>
        </w:rPr>
        <w:t>,</w:t>
      </w:r>
      <w:r w:rsidRPr="0089330A">
        <w:t xml:space="preserve"> 363-371.</w:t>
      </w:r>
    </w:p>
  </w:footnote>
  <w:footnote w:id="12">
    <w:p w14:paraId="6663DBEF" w14:textId="2755C123" w:rsidR="00AF08E7" w:rsidRDefault="00AF08E7">
      <w:pPr>
        <w:pStyle w:val="FootnoteText"/>
      </w:pPr>
      <w:r>
        <w:rPr>
          <w:rStyle w:val="FootnoteReference"/>
        </w:rPr>
        <w:footnoteRef/>
      </w:r>
      <w:r>
        <w:t xml:space="preserve"> </w:t>
      </w:r>
      <w:r w:rsidRPr="0089330A">
        <w:t xml:space="preserve">Klitzman, R. L. 2010. Misunderstandings concerning genetics among patients confronting genetic disease. </w:t>
      </w:r>
      <w:r w:rsidRPr="0089330A">
        <w:rPr>
          <w:i/>
        </w:rPr>
        <w:t>Journal of genetic counseling,</w:t>
      </w:r>
      <w:r w:rsidRPr="0089330A">
        <w:t xml:space="preserve"> 19</w:t>
      </w:r>
      <w:r w:rsidRPr="0089330A">
        <w:rPr>
          <w:b/>
        </w:rPr>
        <w:t>,</w:t>
      </w:r>
      <w:r w:rsidRPr="0089330A">
        <w:t xml:space="preserve"> 430-446.</w:t>
      </w:r>
    </w:p>
  </w:footnote>
  <w:footnote w:id="13">
    <w:p w14:paraId="09215C13" w14:textId="77777777" w:rsidR="00AF08E7" w:rsidRDefault="00AF08E7" w:rsidP="0089330A">
      <w:pPr>
        <w:pStyle w:val="FootnoteText"/>
      </w:pPr>
      <w:r>
        <w:rPr>
          <w:rStyle w:val="FootnoteReference"/>
        </w:rPr>
        <w:footnoteRef/>
      </w:r>
      <w:r>
        <w:t xml:space="preserve"> </w:t>
      </w:r>
      <w:r w:rsidRPr="0089330A">
        <w:t xml:space="preserve">Sveger, T. &amp; Thelin, T. 1981. Four-year-old children with alpha 1-antitrypsin deficiency. Clinical follow-up and parental attitudes towards neonatal screening. </w:t>
      </w:r>
      <w:r w:rsidRPr="0089330A">
        <w:rPr>
          <w:i/>
        </w:rPr>
        <w:t>Acta Paediatrica Scandinavica,</w:t>
      </w:r>
      <w:r w:rsidRPr="0089330A">
        <w:t xml:space="preserve"> 70</w:t>
      </w:r>
      <w:r w:rsidRPr="0089330A">
        <w:rPr>
          <w:b/>
        </w:rPr>
        <w:t>,</w:t>
      </w:r>
      <w:r w:rsidRPr="0089330A">
        <w:t xml:space="preserve"> 171-177.</w:t>
      </w:r>
    </w:p>
  </w:footnote>
  <w:footnote w:id="14">
    <w:p w14:paraId="661136C1" w14:textId="51719D62" w:rsidR="00AF08E7" w:rsidRDefault="00AF08E7">
      <w:pPr>
        <w:pStyle w:val="FootnoteText"/>
      </w:pPr>
      <w:r>
        <w:rPr>
          <w:rStyle w:val="FootnoteReference"/>
        </w:rPr>
        <w:footnoteRef/>
      </w:r>
      <w:r w:rsidRPr="00290604">
        <w:t xml:space="preserve"> Snyder, M. R., et al. 2006. </w:t>
      </w:r>
      <w:r w:rsidRPr="00EF66C4">
        <w:t xml:space="preserve">Diagnosis of alpha-1-antitrypsin deficiency: An algorithm of quantification, genotyping, and phenotyping. </w:t>
      </w:r>
      <w:r w:rsidRPr="00EF66C4">
        <w:rPr>
          <w:i/>
        </w:rPr>
        <w:t>Clin Chem,</w:t>
      </w:r>
      <w:r w:rsidRPr="00EF66C4">
        <w:t xml:space="preserve"> 52</w:t>
      </w:r>
      <w:r w:rsidRPr="00EF66C4">
        <w:rPr>
          <w:b/>
        </w:rPr>
        <w:t>,</w:t>
      </w:r>
      <w:r w:rsidRPr="00EF66C4">
        <w:t xml:space="preserve"> 2236-42.</w:t>
      </w:r>
    </w:p>
  </w:footnote>
  <w:footnote w:id="15">
    <w:p w14:paraId="6CF0322B" w14:textId="0F6BA7D5" w:rsidR="00AF08E7" w:rsidRDefault="00AF08E7">
      <w:pPr>
        <w:pStyle w:val="FootnoteText"/>
      </w:pPr>
      <w:r>
        <w:rPr>
          <w:rStyle w:val="FootnoteReference"/>
        </w:rPr>
        <w:footnoteRef/>
      </w:r>
      <w:r>
        <w:t xml:space="preserve"> </w:t>
      </w:r>
      <w:r w:rsidRPr="0089330A">
        <w:t xml:space="preserve">Ottaviani, S., </w:t>
      </w:r>
      <w:r>
        <w:t>et al.</w:t>
      </w:r>
      <w:r w:rsidRPr="0089330A">
        <w:t xml:space="preserve"> 2020. Molecular diagnosis of alpha1-antitrypsin deficiency: A new method based on Luminex technology. </w:t>
      </w:r>
      <w:r w:rsidRPr="0089330A">
        <w:rPr>
          <w:i/>
        </w:rPr>
        <w:t>Journal of Clinical Laboratory Analysis,</w:t>
      </w:r>
      <w:r w:rsidRPr="0089330A">
        <w:t xml:space="preserve"> 34.</w:t>
      </w:r>
    </w:p>
  </w:footnote>
  <w:footnote w:id="16">
    <w:p w14:paraId="4D4E25FE" w14:textId="2214037D" w:rsidR="00AF08E7" w:rsidRDefault="00AF08E7">
      <w:pPr>
        <w:pStyle w:val="FootnoteText"/>
      </w:pPr>
      <w:r>
        <w:rPr>
          <w:rStyle w:val="FootnoteReference"/>
        </w:rPr>
        <w:footnoteRef/>
      </w:r>
      <w:r>
        <w:t xml:space="preserve"> </w:t>
      </w:r>
      <w:r w:rsidRPr="00E92BE2">
        <w:t>R</w:t>
      </w:r>
      <w:r>
        <w:t>usso</w:t>
      </w:r>
      <w:r w:rsidRPr="00E92BE2">
        <w:t xml:space="preserve">, R., </w:t>
      </w:r>
      <w:r>
        <w:t>et al</w:t>
      </w:r>
      <w:r w:rsidRPr="00E92BE2">
        <w:t xml:space="preserve">. 2016. Prevalence of alpha-1 antitrypsin deficiency and allele frequency in patients with COPD in Brazil. </w:t>
      </w:r>
      <w:r>
        <w:rPr>
          <w:i/>
        </w:rPr>
        <w:t>Jornal B</w:t>
      </w:r>
      <w:r w:rsidRPr="00E92BE2">
        <w:rPr>
          <w:i/>
        </w:rPr>
        <w:t xml:space="preserve">rasileiro de </w:t>
      </w:r>
      <w:r>
        <w:rPr>
          <w:i/>
        </w:rPr>
        <w:t>P</w:t>
      </w:r>
      <w:r w:rsidRPr="00E92BE2">
        <w:rPr>
          <w:i/>
        </w:rPr>
        <w:t>neumologia: publicacao oficial da Sociedade Brasileira de Pneumologia e Tisilogia,</w:t>
      </w:r>
      <w:r w:rsidRPr="00E92BE2">
        <w:t xml:space="preserve"> 42</w:t>
      </w:r>
      <w:r w:rsidRPr="00E92BE2">
        <w:rPr>
          <w:b/>
        </w:rPr>
        <w:t>,</w:t>
      </w:r>
      <w:r w:rsidRPr="00E92BE2">
        <w:t xml:space="preserve"> 311-316.</w:t>
      </w:r>
    </w:p>
  </w:footnote>
  <w:footnote w:id="17">
    <w:p w14:paraId="75A62ADD" w14:textId="01E85DF1" w:rsidR="00AF08E7" w:rsidRDefault="00AF08E7">
      <w:pPr>
        <w:pStyle w:val="FootnoteText"/>
      </w:pPr>
      <w:r>
        <w:rPr>
          <w:rStyle w:val="FootnoteReference"/>
        </w:rPr>
        <w:footnoteRef/>
      </w:r>
      <w:r>
        <w:t xml:space="preserve"> Veith</w:t>
      </w:r>
      <w:r w:rsidRPr="00E92BE2">
        <w:t xml:space="preserve">, M., </w:t>
      </w:r>
      <w:r>
        <w:t>et al.</w:t>
      </w:r>
      <w:r w:rsidRPr="00E92BE2">
        <w:t xml:space="preserve"> 2019. Diagnosing Alpha-1-Antitrypsin Deficiency Using </w:t>
      </w:r>
      <w:r>
        <w:t>a</w:t>
      </w:r>
      <w:r w:rsidRPr="00E92BE2">
        <w:t xml:space="preserve"> PCR/Luminescence-Based Technology. </w:t>
      </w:r>
      <w:r w:rsidRPr="00E92BE2">
        <w:rPr>
          <w:i/>
        </w:rPr>
        <w:t>Int J Chron Obstruct Pulmon Dis,</w:t>
      </w:r>
      <w:r w:rsidRPr="00E92BE2">
        <w:t xml:space="preserve"> 14</w:t>
      </w:r>
      <w:r w:rsidRPr="00E92BE2">
        <w:rPr>
          <w:b/>
        </w:rPr>
        <w:t>,</w:t>
      </w:r>
      <w:r>
        <w:t xml:space="preserve"> 2535-2542.</w:t>
      </w:r>
    </w:p>
  </w:footnote>
  <w:footnote w:id="18">
    <w:p w14:paraId="7E10B630" w14:textId="0EA017AC" w:rsidR="00AF08E7" w:rsidRDefault="00AF08E7">
      <w:pPr>
        <w:pStyle w:val="FootnoteText"/>
      </w:pPr>
      <w:r>
        <w:rPr>
          <w:rStyle w:val="FootnoteReference"/>
        </w:rPr>
        <w:footnoteRef/>
      </w:r>
      <w:r>
        <w:t xml:space="preserve"> </w:t>
      </w:r>
      <w:r w:rsidRPr="00F669B0">
        <w:t xml:space="preserve">Sorroche, P. B., </w:t>
      </w:r>
      <w:r>
        <w:t>et al</w:t>
      </w:r>
      <w:r w:rsidRPr="00F669B0">
        <w:t>. 2015. Alpha-1 Antitrypsin Deficiency in COPD Patients: A Cross-Sectional Study. [Spanish]. Archivos de Bronconeumologia, 51, 539-543.</w:t>
      </w:r>
    </w:p>
  </w:footnote>
  <w:footnote w:id="19">
    <w:p w14:paraId="01172F9D" w14:textId="76912F37" w:rsidR="00AF08E7" w:rsidRDefault="00AF08E7">
      <w:pPr>
        <w:pStyle w:val="FootnoteText"/>
      </w:pPr>
      <w:r>
        <w:rPr>
          <w:rStyle w:val="FootnoteReference"/>
        </w:rPr>
        <w:footnoteRef/>
      </w:r>
      <w:r>
        <w:t xml:space="preserve"> Menga</w:t>
      </w:r>
      <w:r w:rsidRPr="00EF66C4">
        <w:t xml:space="preserve">, G., </w:t>
      </w:r>
      <w:r>
        <w:t>et al.</w:t>
      </w:r>
      <w:r w:rsidRPr="00EF66C4">
        <w:t xml:space="preserve"> 2020. Prevalence of Alpha-1 Antitrypsin Deficiency in COPD Patients in Argentina. The DAAT.AR Study. </w:t>
      </w:r>
      <w:r w:rsidRPr="00EF66C4">
        <w:rPr>
          <w:i/>
        </w:rPr>
        <w:t>Archivos de Bronconeumologia,</w:t>
      </w:r>
      <w:r w:rsidRPr="00EF66C4">
        <w:t xml:space="preserve"> 56</w:t>
      </w:r>
      <w:r w:rsidRPr="00EF66C4">
        <w:rPr>
          <w:b/>
        </w:rPr>
        <w:t>,</w:t>
      </w:r>
      <w:r w:rsidRPr="00EF66C4">
        <w:t xml:space="preserve"> 571-577.</w:t>
      </w:r>
    </w:p>
  </w:footnote>
  <w:footnote w:id="20">
    <w:p w14:paraId="22563E53" w14:textId="6C336C78" w:rsidR="00AF08E7" w:rsidRDefault="00AF08E7">
      <w:pPr>
        <w:pStyle w:val="FootnoteText"/>
      </w:pPr>
      <w:r>
        <w:rPr>
          <w:rStyle w:val="FootnoteReference"/>
        </w:rPr>
        <w:footnoteRef/>
      </w:r>
      <w:r>
        <w:t xml:space="preserve"> </w:t>
      </w:r>
      <w:r w:rsidRPr="00EF66C4">
        <w:t xml:space="preserve">Sorroche, P. B., </w:t>
      </w:r>
      <w:r>
        <w:t>et al</w:t>
      </w:r>
      <w:r w:rsidRPr="00EF66C4">
        <w:t xml:space="preserve">. 2015. Alpha-1 Antitrypsin Deficiency in COPD Patients: A Cross-Sectional Study. [Spanish]. </w:t>
      </w:r>
      <w:r w:rsidRPr="00EF66C4">
        <w:rPr>
          <w:i/>
        </w:rPr>
        <w:t>Archivos de Bronconeumologia,</w:t>
      </w:r>
      <w:r w:rsidRPr="00EF66C4">
        <w:t xml:space="preserve"> 51</w:t>
      </w:r>
      <w:r w:rsidRPr="00EF66C4">
        <w:rPr>
          <w:b/>
        </w:rPr>
        <w:t>,</w:t>
      </w:r>
      <w:r w:rsidRPr="00EF66C4">
        <w:t xml:space="preserve"> 539-543.</w:t>
      </w:r>
    </w:p>
  </w:footnote>
  <w:footnote w:id="21">
    <w:p w14:paraId="0446F3A5" w14:textId="19C64022" w:rsidR="00AF08E7" w:rsidRDefault="00AF08E7">
      <w:pPr>
        <w:pStyle w:val="FootnoteText"/>
      </w:pPr>
      <w:r>
        <w:rPr>
          <w:rStyle w:val="FootnoteReference"/>
        </w:rPr>
        <w:footnoteRef/>
      </w:r>
      <w:r>
        <w:t xml:space="preserve"> United States Food a</w:t>
      </w:r>
      <w:r w:rsidRPr="00EF66C4">
        <w:t xml:space="preserve">nd Drug Administration 2017. 510(k) Substantial equivalence determination decision summary K171868. </w:t>
      </w:r>
      <w:r w:rsidRPr="00EF66C4">
        <w:rPr>
          <w:i/>
        </w:rPr>
        <w:t>In:</w:t>
      </w:r>
      <w:r w:rsidRPr="00EF66C4">
        <w:t xml:space="preserve"> Administration, US F</w:t>
      </w:r>
      <w:r>
        <w:t>D</w:t>
      </w:r>
      <w:r w:rsidRPr="00EF66C4">
        <w:t>A (ed.).</w:t>
      </w:r>
    </w:p>
  </w:footnote>
  <w:footnote w:id="22">
    <w:p w14:paraId="6D55A726" w14:textId="3F0ED8AF" w:rsidR="00AF08E7" w:rsidRDefault="00AF08E7">
      <w:pPr>
        <w:pStyle w:val="FootnoteText"/>
      </w:pPr>
      <w:r>
        <w:rPr>
          <w:rStyle w:val="FootnoteReference"/>
        </w:rPr>
        <w:footnoteRef/>
      </w:r>
      <w:r>
        <w:t xml:space="preserve"> </w:t>
      </w:r>
      <w:r w:rsidRPr="00EF66C4">
        <w:t xml:space="preserve">Graham, R. P., </w:t>
      </w:r>
      <w:r>
        <w:t>et al</w:t>
      </w:r>
      <w:r w:rsidRPr="00EF66C4">
        <w:t xml:space="preserve">. 2015. </w:t>
      </w:r>
      <w:r w:rsidRPr="00EF66C4">
        <w:rPr>
          <w:i/>
        </w:rPr>
        <w:t>SERPINA1</w:t>
      </w:r>
      <w:r w:rsidRPr="00EF66C4">
        <w:t xml:space="preserve"> Full-Gene Sequencing Identifies Rare Mutations Not Detected in Targeted Mutation Analysis. </w:t>
      </w:r>
      <w:r w:rsidRPr="00EF66C4">
        <w:rPr>
          <w:i/>
        </w:rPr>
        <w:t>Journal of Molecular Diagnostics,</w:t>
      </w:r>
      <w:r w:rsidRPr="00EF66C4">
        <w:t xml:space="preserve"> 17</w:t>
      </w:r>
      <w:r w:rsidRPr="00EF66C4">
        <w:rPr>
          <w:b/>
        </w:rPr>
        <w:t>,</w:t>
      </w:r>
      <w:r w:rsidRPr="00EF66C4">
        <w:t xml:space="preserve"> 689-694.</w:t>
      </w:r>
    </w:p>
  </w:footnote>
  <w:footnote w:id="23">
    <w:p w14:paraId="646A1566" w14:textId="33E87EC3" w:rsidR="00AF08E7" w:rsidRDefault="00AF08E7">
      <w:pPr>
        <w:pStyle w:val="FootnoteText"/>
      </w:pPr>
      <w:r>
        <w:rPr>
          <w:rStyle w:val="FootnoteReference"/>
        </w:rPr>
        <w:footnoteRef/>
      </w:r>
      <w:r>
        <w:t xml:space="preserve"> </w:t>
      </w:r>
      <w:r w:rsidRPr="00EF66C4">
        <w:t xml:space="preserve">Blanco, I., </w:t>
      </w:r>
      <w:r>
        <w:t>et al.</w:t>
      </w:r>
      <w:r w:rsidRPr="00EF66C4">
        <w:t xml:space="preserve"> 2017. Alpha-1 antitrypsin Pi*SZ genotype: Estimated prevalence and number of SZ subjects worldwide. </w:t>
      </w:r>
      <w:r w:rsidRPr="00EF66C4">
        <w:rPr>
          <w:i/>
        </w:rPr>
        <w:t>International Journal of COPD,</w:t>
      </w:r>
      <w:r w:rsidRPr="00EF66C4">
        <w:t xml:space="preserve"> 12</w:t>
      </w:r>
      <w:r w:rsidRPr="00EF66C4">
        <w:rPr>
          <w:b/>
        </w:rPr>
        <w:t>,</w:t>
      </w:r>
      <w:r w:rsidRPr="00EF66C4">
        <w:t xml:space="preserve"> 1683-1694.</w:t>
      </w:r>
    </w:p>
  </w:footnote>
  <w:footnote w:id="24">
    <w:p w14:paraId="08D72AE9" w14:textId="48CB7367" w:rsidR="00AF08E7" w:rsidRDefault="00AF08E7">
      <w:pPr>
        <w:pStyle w:val="FootnoteText"/>
      </w:pPr>
      <w:r>
        <w:rPr>
          <w:rStyle w:val="FootnoteReference"/>
        </w:rPr>
        <w:footnoteRef/>
      </w:r>
      <w:r>
        <w:t xml:space="preserve"> d</w:t>
      </w:r>
      <w:r w:rsidRPr="002B508B">
        <w:t>e Serres, F. J.,</w:t>
      </w:r>
      <w:r>
        <w:t xml:space="preserve">et al. </w:t>
      </w:r>
      <w:r w:rsidRPr="002B508B">
        <w:t xml:space="preserve">2003. Genetic epidemiology of alpha-1 antitrypsin deficiency in North America and Australia/New Zealand: Australia, Canada, New Zealand and the United States of America. </w:t>
      </w:r>
      <w:r w:rsidRPr="002B508B">
        <w:rPr>
          <w:i/>
        </w:rPr>
        <w:t>Clinical Genetics,</w:t>
      </w:r>
      <w:r w:rsidRPr="002B508B">
        <w:t xml:space="preserve"> 64</w:t>
      </w:r>
      <w:r w:rsidRPr="002B508B">
        <w:rPr>
          <w:b/>
        </w:rPr>
        <w:t>,</w:t>
      </w:r>
      <w:r w:rsidRPr="002B508B">
        <w:t xml:space="preserve"> 382-397.</w:t>
      </w:r>
    </w:p>
  </w:footnote>
  <w:footnote w:id="25">
    <w:p w14:paraId="7FC4A153" w14:textId="16FE9EB0" w:rsidR="00AF08E7" w:rsidRDefault="00AF08E7">
      <w:pPr>
        <w:pStyle w:val="FootnoteText"/>
      </w:pPr>
      <w:r>
        <w:rPr>
          <w:rStyle w:val="FootnoteReference"/>
        </w:rPr>
        <w:footnoteRef/>
      </w:r>
      <w:r>
        <w:t xml:space="preserve"> </w:t>
      </w:r>
      <w:r w:rsidRPr="00E92BE2">
        <w:t xml:space="preserve">Landrum, M. J., </w:t>
      </w:r>
      <w:r>
        <w:t>et al</w:t>
      </w:r>
      <w:r w:rsidRPr="00E92BE2">
        <w:t xml:space="preserve">. 2018. ClinVar: improving access to variant interpretations and supporting evidence. </w:t>
      </w:r>
      <w:r w:rsidRPr="00E92BE2">
        <w:rPr>
          <w:i/>
        </w:rPr>
        <w:t>Nucleic acids research,</w:t>
      </w:r>
      <w:r w:rsidRPr="00E92BE2">
        <w:t xml:space="preserve"> 46</w:t>
      </w:r>
      <w:r w:rsidRPr="00E92BE2">
        <w:rPr>
          <w:b/>
        </w:rPr>
        <w:t>,</w:t>
      </w:r>
      <w:r w:rsidRPr="00E92BE2">
        <w:t xml:space="preserve"> D1062-D1067.</w:t>
      </w:r>
    </w:p>
  </w:footnote>
  <w:footnote w:id="26">
    <w:p w14:paraId="6FEAE69F" w14:textId="7E7FE9FB" w:rsidR="00AF08E7" w:rsidRDefault="00AF08E7">
      <w:pPr>
        <w:pStyle w:val="FootnoteText"/>
      </w:pPr>
      <w:r>
        <w:rPr>
          <w:rStyle w:val="FootnoteReference"/>
        </w:rPr>
        <w:footnoteRef/>
      </w:r>
      <w:r>
        <w:t xml:space="preserve"> Silva</w:t>
      </w:r>
      <w:r w:rsidRPr="00E92BE2">
        <w:t xml:space="preserve">, D., </w:t>
      </w:r>
      <w:r>
        <w:t>et al</w:t>
      </w:r>
      <w:r w:rsidRPr="00E92BE2">
        <w:t>. 2016. Alpha-1-antitrypsin (</w:t>
      </w:r>
      <w:r w:rsidRPr="00E92BE2">
        <w:rPr>
          <w:i/>
        </w:rPr>
        <w:t>SERPINA1</w:t>
      </w:r>
      <w:r w:rsidRPr="00E92BE2">
        <w:t xml:space="preserve">) mutation spectrum: Three novel variants and haplotype characterization of rare deficiency alleles identified in Portugal. </w:t>
      </w:r>
      <w:r w:rsidRPr="00E92BE2">
        <w:rPr>
          <w:i/>
        </w:rPr>
        <w:t>Respiratory Medicine,</w:t>
      </w:r>
      <w:r w:rsidRPr="00E92BE2">
        <w:t xml:space="preserve"> 116</w:t>
      </w:r>
      <w:r w:rsidRPr="00E92BE2">
        <w:rPr>
          <w:b/>
        </w:rPr>
        <w:t>,</w:t>
      </w:r>
      <w:r w:rsidRPr="00E92BE2">
        <w:t xml:space="preserve"> 8-18.</w:t>
      </w:r>
    </w:p>
  </w:footnote>
  <w:footnote w:id="27">
    <w:p w14:paraId="45CD1500" w14:textId="23149793" w:rsidR="00AF08E7" w:rsidRDefault="00AF08E7">
      <w:pPr>
        <w:pStyle w:val="FootnoteText"/>
      </w:pPr>
      <w:r>
        <w:rPr>
          <w:rStyle w:val="FootnoteReference"/>
        </w:rPr>
        <w:footnoteRef/>
      </w:r>
      <w:r>
        <w:t xml:space="preserve"> </w:t>
      </w:r>
      <w:r w:rsidRPr="00D717E0">
        <w:t>H</w:t>
      </w:r>
      <w:r>
        <w:t>olm</w:t>
      </w:r>
      <w:r w:rsidRPr="00D717E0">
        <w:t xml:space="preserve">, K. E., </w:t>
      </w:r>
      <w:r>
        <w:t>et al.</w:t>
      </w:r>
      <w:r w:rsidRPr="00D717E0">
        <w:t xml:space="preserve"> 2018. Genotype is associated with smoking and other key health behaviors among individuals with alpha-1 antitrypsin deficiency-associated lung disease. </w:t>
      </w:r>
      <w:r w:rsidRPr="00D717E0">
        <w:rPr>
          <w:i/>
        </w:rPr>
        <w:t>Respir Med,</w:t>
      </w:r>
      <w:r w:rsidRPr="00D717E0">
        <w:t xml:space="preserve"> 143</w:t>
      </w:r>
      <w:r w:rsidRPr="00D717E0">
        <w:rPr>
          <w:b/>
        </w:rPr>
        <w:t>,</w:t>
      </w:r>
      <w:r w:rsidRPr="00D717E0">
        <w:t xml:space="preserve"> 48-55.</w:t>
      </w:r>
    </w:p>
  </w:footnote>
  <w:footnote w:id="28">
    <w:p w14:paraId="6FC95D98" w14:textId="77777777" w:rsidR="00AF08E7" w:rsidRDefault="00AF08E7" w:rsidP="00D717E0">
      <w:pPr>
        <w:pStyle w:val="FootnoteText"/>
      </w:pPr>
      <w:r>
        <w:rPr>
          <w:rStyle w:val="FootnoteReference"/>
        </w:rPr>
        <w:footnoteRef/>
      </w:r>
      <w:r>
        <w:t xml:space="preserve"> Thelin, T., et al.</w:t>
      </w:r>
      <w:r w:rsidRPr="0089330A">
        <w:t xml:space="preserve"> 1996. Primary prevention in a high‐risk group: smoking habits in adolescents with homozygous alpha‐1‐antitrypsin deficiency (ATD). </w:t>
      </w:r>
      <w:r w:rsidRPr="0089330A">
        <w:rPr>
          <w:i/>
        </w:rPr>
        <w:t>Acta Paediatrica,</w:t>
      </w:r>
      <w:r w:rsidRPr="0089330A">
        <w:t xml:space="preserve"> 85</w:t>
      </w:r>
      <w:r w:rsidRPr="0089330A">
        <w:rPr>
          <w:b/>
        </w:rPr>
        <w:t>,</w:t>
      </w:r>
      <w:r w:rsidRPr="0089330A">
        <w:t xml:space="preserve"> 1207-1212.</w:t>
      </w:r>
    </w:p>
  </w:footnote>
  <w:footnote w:id="29">
    <w:p w14:paraId="67F492E8" w14:textId="7254557C" w:rsidR="00AF08E7" w:rsidRDefault="00AF08E7">
      <w:pPr>
        <w:pStyle w:val="FootnoteText"/>
      </w:pPr>
      <w:r>
        <w:rPr>
          <w:rStyle w:val="FootnoteReference"/>
        </w:rPr>
        <w:footnoteRef/>
      </w:r>
      <w:r>
        <w:t xml:space="preserve"> </w:t>
      </w:r>
      <w:r w:rsidRPr="00D717E0">
        <w:t>T</w:t>
      </w:r>
      <w:r>
        <w:t>anash</w:t>
      </w:r>
      <w:r w:rsidRPr="00D717E0">
        <w:t xml:space="preserve">, H. A., </w:t>
      </w:r>
      <w:r>
        <w:t>et al.</w:t>
      </w:r>
      <w:r w:rsidRPr="00D717E0">
        <w:t xml:space="preserve"> 2015. The Swedish α1-Antitrypsin Screening Study: health status and lung and liver function at age 34. </w:t>
      </w:r>
      <w:r w:rsidRPr="00D717E0">
        <w:rPr>
          <w:i/>
        </w:rPr>
        <w:t>Annals of the American Thoracic Society,</w:t>
      </w:r>
      <w:r w:rsidRPr="00D717E0">
        <w:t xml:space="preserve"> 12</w:t>
      </w:r>
      <w:r w:rsidRPr="00D717E0">
        <w:rPr>
          <w:b/>
        </w:rPr>
        <w:t>,</w:t>
      </w:r>
      <w:r w:rsidRPr="00D717E0">
        <w:t xml:space="preserve"> 807-812.</w:t>
      </w:r>
    </w:p>
  </w:footnote>
  <w:footnote w:id="30">
    <w:p w14:paraId="52A640A7" w14:textId="37730751" w:rsidR="00AF08E7" w:rsidRDefault="00AF08E7">
      <w:pPr>
        <w:pStyle w:val="FootnoteText"/>
      </w:pPr>
      <w:r>
        <w:rPr>
          <w:rStyle w:val="FootnoteReference"/>
        </w:rPr>
        <w:footnoteRef/>
      </w:r>
      <w:r>
        <w:t xml:space="preserve"> </w:t>
      </w:r>
      <w:r w:rsidRPr="00D717E0">
        <w:t xml:space="preserve">Carpenter, M. J., </w:t>
      </w:r>
      <w:r>
        <w:t>et al.</w:t>
      </w:r>
      <w:r w:rsidRPr="00D717E0">
        <w:t xml:space="preserve"> 2007. Does genetic testing result in behavioral health change? Changes in smoking behavior following testing for alpha-1 antitrypsin deficiency. </w:t>
      </w:r>
      <w:r w:rsidRPr="00D717E0">
        <w:rPr>
          <w:i/>
        </w:rPr>
        <w:t>Annals of Behavioral Medicine,</w:t>
      </w:r>
      <w:r w:rsidRPr="00D717E0">
        <w:t xml:space="preserve"> 33</w:t>
      </w:r>
      <w:r w:rsidRPr="00D717E0">
        <w:rPr>
          <w:b/>
        </w:rPr>
        <w:t>,</w:t>
      </w:r>
      <w:r w:rsidRPr="00D717E0">
        <w:t xml:space="preserve"> 22-28.</w:t>
      </w:r>
    </w:p>
  </w:footnote>
  <w:footnote w:id="31">
    <w:p w14:paraId="1BD5D14B" w14:textId="77777777" w:rsidR="00AF08E7" w:rsidRDefault="00AF08E7" w:rsidP="00D717E0">
      <w:pPr>
        <w:pStyle w:val="FootnoteText"/>
      </w:pPr>
      <w:r>
        <w:rPr>
          <w:rStyle w:val="FootnoteReference"/>
        </w:rPr>
        <w:footnoteRef/>
      </w:r>
      <w:r>
        <w:t xml:space="preserve"> </w:t>
      </w:r>
      <w:r w:rsidRPr="00D717E0">
        <w:t>H</w:t>
      </w:r>
      <w:r>
        <w:t>olm</w:t>
      </w:r>
      <w:r w:rsidRPr="00D717E0">
        <w:t xml:space="preserve">, K. E., </w:t>
      </w:r>
      <w:r>
        <w:t>et al.</w:t>
      </w:r>
      <w:r w:rsidRPr="00D717E0">
        <w:t xml:space="preserve"> 2018. Genotype is associated with smoking and other key health behaviors among individuals with alpha-1 antitrypsin deficiency-associated lung disease. </w:t>
      </w:r>
      <w:r w:rsidRPr="00D717E0">
        <w:rPr>
          <w:i/>
        </w:rPr>
        <w:t>Respir Med,</w:t>
      </w:r>
      <w:r w:rsidRPr="00D717E0">
        <w:t xml:space="preserve"> 143</w:t>
      </w:r>
      <w:r w:rsidRPr="00D717E0">
        <w:rPr>
          <w:b/>
        </w:rPr>
        <w:t>,</w:t>
      </w:r>
      <w:r w:rsidRPr="00D717E0">
        <w:t xml:space="preserve"> 48-55.</w:t>
      </w:r>
    </w:p>
  </w:footnote>
  <w:footnote w:id="32">
    <w:p w14:paraId="247C10B1" w14:textId="17B9122D" w:rsidR="00AF08E7" w:rsidRDefault="00AF08E7">
      <w:pPr>
        <w:pStyle w:val="FootnoteText"/>
      </w:pPr>
      <w:r>
        <w:rPr>
          <w:rStyle w:val="FootnoteReference"/>
        </w:rPr>
        <w:footnoteRef/>
      </w:r>
      <w:r>
        <w:t xml:space="preserve"> </w:t>
      </w:r>
      <w:r w:rsidRPr="00D717E0">
        <w:t>S</w:t>
      </w:r>
      <w:r>
        <w:t>enn</w:t>
      </w:r>
      <w:r w:rsidRPr="00D717E0">
        <w:t xml:space="preserve">, O., </w:t>
      </w:r>
      <w:r>
        <w:t>et al</w:t>
      </w:r>
      <w:r w:rsidRPr="00D717E0">
        <w:t xml:space="preserve">. 2005. α1-Antitrypsin deficiency and lung disease: risk modification by occupational and environmental inhalants. </w:t>
      </w:r>
      <w:r w:rsidRPr="00D717E0">
        <w:rPr>
          <w:i/>
        </w:rPr>
        <w:t>European Respiratory Journal,</w:t>
      </w:r>
      <w:r w:rsidRPr="00D717E0">
        <w:t xml:space="preserve"> 26</w:t>
      </w:r>
      <w:r w:rsidRPr="00D717E0">
        <w:rPr>
          <w:b/>
        </w:rPr>
        <w:t>,</w:t>
      </w:r>
      <w:r w:rsidRPr="00D717E0">
        <w:t xml:space="preserve"> 909-917.</w:t>
      </w:r>
    </w:p>
  </w:footnote>
  <w:footnote w:id="33">
    <w:p w14:paraId="3B1DD9AC" w14:textId="36510CBC" w:rsidR="00AF08E7" w:rsidRDefault="00AF08E7">
      <w:pPr>
        <w:pStyle w:val="FootnoteText"/>
      </w:pPr>
      <w:r>
        <w:rPr>
          <w:rStyle w:val="FootnoteReference"/>
        </w:rPr>
        <w:footnoteRef/>
      </w:r>
      <w:r>
        <w:t xml:space="preserve"> </w:t>
      </w:r>
      <w:r w:rsidRPr="00D717E0">
        <w:t xml:space="preserve">Tejwani, V., </w:t>
      </w:r>
      <w:r>
        <w:t>et al</w:t>
      </w:r>
      <w:r w:rsidRPr="00D717E0">
        <w:t xml:space="preserve">. 2019. The impact of delayed diagnosis of alpha-1 antitrypsin deficiency: The association between diagnostic delay and worsened clinical status. </w:t>
      </w:r>
      <w:r w:rsidRPr="00D717E0">
        <w:rPr>
          <w:i/>
        </w:rPr>
        <w:t>Respiratory Care,</w:t>
      </w:r>
      <w:r w:rsidRPr="00D717E0">
        <w:t xml:space="preserve"> 64</w:t>
      </w:r>
      <w:r w:rsidRPr="00D717E0">
        <w:rPr>
          <w:b/>
        </w:rPr>
        <w:t>,</w:t>
      </w:r>
      <w:r w:rsidRPr="00D717E0">
        <w:t xml:space="preserve"> 915-922.</w:t>
      </w:r>
    </w:p>
  </w:footnote>
  <w:footnote w:id="34">
    <w:p w14:paraId="1C2BF726" w14:textId="5F73E6D4" w:rsidR="00AF08E7" w:rsidRDefault="00AF08E7">
      <w:pPr>
        <w:pStyle w:val="FootnoteText"/>
      </w:pPr>
      <w:r>
        <w:rPr>
          <w:rStyle w:val="FootnoteReference"/>
        </w:rPr>
        <w:footnoteRef/>
      </w:r>
      <w:r>
        <w:t xml:space="preserve"> </w:t>
      </w:r>
      <w:r w:rsidRPr="00D717E0">
        <w:t xml:space="preserve">Tanash, H. A., </w:t>
      </w:r>
      <w:r>
        <w:t>et al</w:t>
      </w:r>
      <w:r w:rsidRPr="00D717E0">
        <w:t xml:space="preserve">. 2017. Survival in individuals with severe alpha 1-antitrypsin deficiency (PiZZ) in comparison to a general population with known smoking habits. </w:t>
      </w:r>
      <w:r w:rsidRPr="00D717E0">
        <w:rPr>
          <w:i/>
        </w:rPr>
        <w:t>European Respiratory Journal,</w:t>
      </w:r>
      <w:r w:rsidRPr="00D717E0">
        <w:t xml:space="preserve"> 50.</w:t>
      </w:r>
    </w:p>
  </w:footnote>
  <w:footnote w:id="35">
    <w:p w14:paraId="6D27180E" w14:textId="6914853E" w:rsidR="00AF08E7" w:rsidRDefault="00AF08E7">
      <w:pPr>
        <w:pStyle w:val="FootnoteText"/>
      </w:pPr>
      <w:r>
        <w:rPr>
          <w:rStyle w:val="FootnoteReference"/>
        </w:rPr>
        <w:footnoteRef/>
      </w:r>
      <w:r>
        <w:t xml:space="preserve"> </w:t>
      </w:r>
      <w:r w:rsidRPr="00D717E0">
        <w:t xml:space="preserve">Von Ehrenstein, O. S., </w:t>
      </w:r>
      <w:r>
        <w:t>et al.</w:t>
      </w:r>
      <w:r w:rsidRPr="00D717E0">
        <w:t xml:space="preserve"> 2002. Lung function of school children with low levels of alpha1-antitrypsin and tobacco smoke exposure. </w:t>
      </w:r>
      <w:r w:rsidRPr="00D717E0">
        <w:rPr>
          <w:i/>
        </w:rPr>
        <w:t>Eur Respir J,</w:t>
      </w:r>
      <w:r w:rsidRPr="00D717E0">
        <w:t xml:space="preserve"> 19</w:t>
      </w:r>
      <w:r w:rsidRPr="00D717E0">
        <w:rPr>
          <w:b/>
        </w:rPr>
        <w:t>,</w:t>
      </w:r>
      <w:r w:rsidRPr="00D717E0">
        <w:t xml:space="preserve"> 1099-106.</w:t>
      </w:r>
    </w:p>
  </w:footnote>
  <w:footnote w:id="36">
    <w:p w14:paraId="3DA7175A" w14:textId="1604BEC0" w:rsidR="00AF08E7" w:rsidRDefault="00AF08E7">
      <w:pPr>
        <w:pStyle w:val="FootnoteText"/>
      </w:pPr>
      <w:r>
        <w:rPr>
          <w:rStyle w:val="FootnoteReference"/>
        </w:rPr>
        <w:footnoteRef/>
      </w:r>
      <w:r>
        <w:t xml:space="preserve"> </w:t>
      </w:r>
      <w:r w:rsidRPr="00D717E0">
        <w:t xml:space="preserve">Seersholm, N., </w:t>
      </w:r>
      <w:r>
        <w:t>et al.</w:t>
      </w:r>
      <w:r w:rsidRPr="00D717E0">
        <w:t xml:space="preserve"> 2000. Risk of hospital admission for obstructive pulmonary disease in alpha(1)-antitrypsin heterozygotes of phenotype PiMZ. </w:t>
      </w:r>
      <w:r w:rsidRPr="00D717E0">
        <w:rPr>
          <w:i/>
        </w:rPr>
        <w:t>Am J Respir Crit Care Med,</w:t>
      </w:r>
      <w:r w:rsidRPr="00D717E0">
        <w:t xml:space="preserve"> 161</w:t>
      </w:r>
      <w:r w:rsidRPr="00D717E0">
        <w:rPr>
          <w:b/>
        </w:rPr>
        <w:t>,</w:t>
      </w:r>
      <w:r w:rsidRPr="00D717E0">
        <w:t xml:space="preserve"> 81-4.</w:t>
      </w:r>
    </w:p>
  </w:footnote>
  <w:footnote w:id="37">
    <w:p w14:paraId="2A24967A" w14:textId="196785BE" w:rsidR="00AF08E7" w:rsidRDefault="00AF08E7">
      <w:pPr>
        <w:pStyle w:val="FootnoteText"/>
      </w:pPr>
      <w:r>
        <w:rPr>
          <w:rStyle w:val="FootnoteReference"/>
        </w:rPr>
        <w:footnoteRef/>
      </w:r>
      <w:r>
        <w:t xml:space="preserve"> </w:t>
      </w:r>
      <w:r w:rsidRPr="00F13DEA">
        <w:t>M</w:t>
      </w:r>
      <w:r>
        <w:t>ehta</w:t>
      </w:r>
      <w:r w:rsidRPr="00F13DEA">
        <w:t>, A. J</w:t>
      </w:r>
      <w:r>
        <w:t xml:space="preserve">., et al. </w:t>
      </w:r>
      <w:r w:rsidRPr="00F13DEA">
        <w:t xml:space="preserve">2014. Interactions between SERPINA1 PiMZ genotype, occupational exposure and lung function decline. </w:t>
      </w:r>
      <w:r w:rsidRPr="00F13DEA">
        <w:rPr>
          <w:i/>
        </w:rPr>
        <w:t>Occupational and Environmental Medicine,</w:t>
      </w:r>
      <w:r w:rsidRPr="00F13DEA">
        <w:t xml:space="preserve"> 71</w:t>
      </w:r>
      <w:r w:rsidRPr="00F13DEA">
        <w:rPr>
          <w:b/>
        </w:rPr>
        <w:t>,</w:t>
      </w:r>
      <w:r w:rsidRPr="00F13DEA">
        <w:t xml:space="preserve"> 234-240.</w:t>
      </w:r>
    </w:p>
  </w:footnote>
  <w:footnote w:id="38">
    <w:p w14:paraId="03D43D00" w14:textId="77777777" w:rsidR="00AF08E7" w:rsidRDefault="00AF08E7" w:rsidP="00F13DEA">
      <w:pPr>
        <w:pStyle w:val="FootnoteText"/>
      </w:pPr>
      <w:r>
        <w:rPr>
          <w:rStyle w:val="FootnoteReference"/>
        </w:rPr>
        <w:footnoteRef/>
      </w:r>
      <w:r>
        <w:t xml:space="preserve"> </w:t>
      </w:r>
      <w:r w:rsidRPr="00D717E0">
        <w:t xml:space="preserve">Tanash, H. A., </w:t>
      </w:r>
      <w:r>
        <w:t>et al</w:t>
      </w:r>
      <w:r w:rsidRPr="00D717E0">
        <w:t xml:space="preserve">. 2017. Survival in individuals with severe alpha 1-antitrypsin deficiency (PiZZ) in comparison to a general population with known smoking habits. </w:t>
      </w:r>
      <w:r w:rsidRPr="00D717E0">
        <w:rPr>
          <w:i/>
        </w:rPr>
        <w:t>European Respiratory Journal,</w:t>
      </w:r>
      <w:r w:rsidRPr="00D717E0">
        <w:t xml:space="preserve"> 50.</w:t>
      </w:r>
    </w:p>
  </w:footnote>
  <w:footnote w:id="39">
    <w:p w14:paraId="5380640C" w14:textId="013A59CF" w:rsidR="00AF08E7" w:rsidRDefault="00AF08E7">
      <w:pPr>
        <w:pStyle w:val="FootnoteText"/>
      </w:pPr>
      <w:r>
        <w:rPr>
          <w:rStyle w:val="FootnoteReference"/>
        </w:rPr>
        <w:footnoteRef/>
      </w:r>
      <w:r>
        <w:t xml:space="preserve"> </w:t>
      </w:r>
      <w:r w:rsidRPr="00F13DEA">
        <w:t xml:space="preserve">Piitulainen, E., </w:t>
      </w:r>
      <w:r>
        <w:t>et al</w:t>
      </w:r>
      <w:r w:rsidRPr="00F13DEA">
        <w:t xml:space="preserve">. </w:t>
      </w:r>
      <w:r>
        <w:t xml:space="preserve">2017 </w:t>
      </w:r>
      <w:r w:rsidRPr="00F13DEA">
        <w:t xml:space="preserve">Health status and lung function in the Swedish alpha 1-antitrypsin deficient cohort, identified by neonatal screening, at the age of 37-40 years. </w:t>
      </w:r>
      <w:r w:rsidRPr="00F13DEA">
        <w:rPr>
          <w:i/>
        </w:rPr>
        <w:t>International Journal of C</w:t>
      </w:r>
      <w:r>
        <w:rPr>
          <w:i/>
        </w:rPr>
        <w:t>OPD</w:t>
      </w:r>
      <w:r w:rsidRPr="00F13DEA">
        <w:rPr>
          <w:i/>
        </w:rPr>
        <w:t>,</w:t>
      </w:r>
      <w:r w:rsidRPr="00F13DEA">
        <w:t xml:space="preserve"> 12</w:t>
      </w:r>
      <w:r w:rsidRPr="00F13DEA">
        <w:rPr>
          <w:b/>
        </w:rPr>
        <w:t>,</w:t>
      </w:r>
      <w:r w:rsidRPr="00F13DEA">
        <w:t xml:space="preserve"> 495-500.</w:t>
      </w:r>
    </w:p>
  </w:footnote>
  <w:footnote w:id="40">
    <w:p w14:paraId="17934A09" w14:textId="77777777" w:rsidR="00AF08E7" w:rsidRDefault="00AF08E7" w:rsidP="00F13DEA">
      <w:pPr>
        <w:pStyle w:val="FootnoteText"/>
      </w:pPr>
      <w:r>
        <w:rPr>
          <w:rStyle w:val="FootnoteReference"/>
        </w:rPr>
        <w:footnoteRef/>
      </w:r>
      <w:r>
        <w:t xml:space="preserve"> </w:t>
      </w:r>
      <w:r w:rsidRPr="00D717E0">
        <w:t>S</w:t>
      </w:r>
      <w:r>
        <w:t>enn</w:t>
      </w:r>
      <w:r w:rsidRPr="00D717E0">
        <w:t xml:space="preserve">, O., </w:t>
      </w:r>
      <w:r>
        <w:t>et al</w:t>
      </w:r>
      <w:r w:rsidRPr="00D717E0">
        <w:t xml:space="preserve">. 2005. α1-Antitrypsin deficiency and lung disease: risk modification by occupational and environmental inhalants. </w:t>
      </w:r>
      <w:r w:rsidRPr="00D717E0">
        <w:rPr>
          <w:i/>
        </w:rPr>
        <w:t>European Respiratory Journal,</w:t>
      </w:r>
      <w:r w:rsidRPr="00D717E0">
        <w:t xml:space="preserve"> 26</w:t>
      </w:r>
      <w:r w:rsidRPr="00D717E0">
        <w:rPr>
          <w:b/>
        </w:rPr>
        <w:t>,</w:t>
      </w:r>
      <w:r w:rsidRPr="00D717E0">
        <w:t xml:space="preserve"> 909-917.</w:t>
      </w:r>
    </w:p>
  </w:footnote>
  <w:footnote w:id="41">
    <w:p w14:paraId="32F6B370" w14:textId="7E226A89" w:rsidR="00AF08E7" w:rsidRDefault="00AF08E7">
      <w:pPr>
        <w:pStyle w:val="FootnoteText"/>
      </w:pPr>
      <w:r>
        <w:rPr>
          <w:rStyle w:val="FootnoteReference"/>
        </w:rPr>
        <w:footnoteRef/>
      </w:r>
      <w:r>
        <w:t xml:space="preserve"> </w:t>
      </w:r>
      <w:r w:rsidRPr="00F13DEA">
        <w:t xml:space="preserve">Seersholm, N., </w:t>
      </w:r>
      <w:r>
        <w:t>et al</w:t>
      </w:r>
      <w:r w:rsidRPr="00F13DEA">
        <w:t xml:space="preserve">. 2000. Risk of hospital admission for obstructive pulmonary disease in alpha(1)-antitrypsin heterozygotes of phenotype PiMZ. </w:t>
      </w:r>
      <w:r w:rsidRPr="00F13DEA">
        <w:rPr>
          <w:i/>
        </w:rPr>
        <w:t>Am J Respir Crit Care Med,</w:t>
      </w:r>
      <w:r w:rsidRPr="00F13DEA">
        <w:t xml:space="preserve"> 161</w:t>
      </w:r>
      <w:r w:rsidRPr="00F13DEA">
        <w:rPr>
          <w:b/>
        </w:rPr>
        <w:t>,</w:t>
      </w:r>
      <w:r w:rsidRPr="00F13DEA">
        <w:t xml:space="preserve"> 81-4.</w:t>
      </w:r>
    </w:p>
  </w:footnote>
  <w:footnote w:id="42">
    <w:p w14:paraId="203AE0B4" w14:textId="77777777" w:rsidR="00AF08E7" w:rsidRDefault="00AF08E7" w:rsidP="00916592">
      <w:pPr>
        <w:pStyle w:val="FootnoteText"/>
      </w:pPr>
      <w:r>
        <w:rPr>
          <w:rStyle w:val="FootnoteReference"/>
        </w:rPr>
        <w:footnoteRef/>
      </w:r>
      <w:r>
        <w:t xml:space="preserve"> </w:t>
      </w:r>
      <w:r w:rsidRPr="0089330A">
        <w:t xml:space="preserve">Ottaviani, S., </w:t>
      </w:r>
      <w:r>
        <w:t>et al.</w:t>
      </w:r>
      <w:r w:rsidRPr="0089330A">
        <w:t xml:space="preserve"> 2020. Molecular diagnosis of alpha1-antitrypsin deficiency: A new method based on Luminex technology. </w:t>
      </w:r>
      <w:r w:rsidRPr="0089330A">
        <w:rPr>
          <w:i/>
        </w:rPr>
        <w:t>Journal of Clinical Laboratory Analysis,</w:t>
      </w:r>
      <w:r w:rsidRPr="0089330A">
        <w:t xml:space="preserve"> 34.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CA56D" w14:textId="77777777" w:rsidR="00AF08E7" w:rsidRDefault="00AF08E7">
    <w:pPr>
      <w:pStyle w:val="Header"/>
    </w:pPr>
    <w:r>
      <w:rPr>
        <w:noProof/>
      </w:rPr>
      <mc:AlternateContent>
        <mc:Choice Requires="wps">
          <w:drawing>
            <wp:inline distT="0" distB="0" distL="0" distR="0" wp14:anchorId="236057BC" wp14:editId="1EB13509">
              <wp:extent cx="5234940" cy="3140710"/>
              <wp:effectExtent l="0" t="0" r="0" b="0"/>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4940" cy="31407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BB2E3B" w14:textId="77777777" w:rsidR="00AF08E7" w:rsidRDefault="00AF08E7" w:rsidP="000133DF">
                          <w:pPr>
                            <w:jc w:val="center"/>
                            <w:rPr>
                              <w:szCs w:val="24"/>
                            </w:rPr>
                          </w:pPr>
                          <w:r>
                            <w:rPr>
                              <w:rFonts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inline>
          </w:drawing>
        </mc:Choice>
        <mc:Fallback>
          <w:pict>
            <v:shapetype w14:anchorId="236057BC" id="_x0000_t202" coordsize="21600,21600" o:spt="202" path="m,l,21600r21600,l21600,xe">
              <v:stroke joinstyle="miter"/>
              <v:path gradientshapeok="t" o:connecttype="rect"/>
            </v:shapetype>
            <v:shape id="Text Box 1" o:spid="_x0000_s1069" type="#_x0000_t202" style="width:412.2pt;height:247.3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" filled="f" stroked="f">
              <v:stroke joinstyle="round"/>
              <o:lock v:ext="edit" shapetype="t"/>
              <v:textbox style="mso-fit-shape-to-text:t">
                <w:txbxContent>
                  <w:p w14:paraId="4FBB2E3B" w14:textId="77777777" w:rsidR="00AF08E7" w:rsidRDefault="00AF08E7" w:rsidP="000133DF">
                    <w:pPr>
                      <w:jc w:val="center"/>
                      <w:rPr>
                        <w:szCs w:val="24"/>
                      </w:rPr>
                    </w:pPr>
                    <w:r>
                      <w:rPr>
                        <w:rFonts w:cs="Calibri"/>
                        <w:color w:val="C0C0C0"/>
                        <w:sz w:val="2"/>
                        <w:szCs w:val="2"/>
                        <w14:textFill>
                          <w14:solidFill>
                            <w14:srgbClr w14:val="C0C0C0">
                              <w14:alpha w14:val="50000"/>
                            </w14:srgbClr>
                          </w14:solidFill>
                        </w14:textFill>
                      </w:rPr>
                      <w:t>DRAFT</w:t>
                    </w:r>
                  </w:p>
                </w:txbxContent>
              </v:textbox>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1661AD" w14:textId="77777777" w:rsidR="00AF08E7" w:rsidRDefault="00AF08E7" w:rsidP="000133DF">
    <w:pPr>
      <w:pStyle w:val="Header"/>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3C935" w14:textId="77777777" w:rsidR="00AF08E7" w:rsidRDefault="00AF08E7">
    <w:pPr>
      <w:pStyle w:val="Header"/>
    </w:pPr>
    <w:r>
      <w:rPr>
        <w:noProof/>
      </w:rPr>
      <mc:AlternateContent>
        <mc:Choice Requires="wps">
          <w:drawing>
            <wp:inline distT="0" distB="0" distL="0" distR="0" wp14:anchorId="5B220269" wp14:editId="7CD0EFBF">
              <wp:extent cx="5234940" cy="3140710"/>
              <wp:effectExtent l="0" t="0" r="0" b="0"/>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4940" cy="31407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69640D4" w14:textId="77777777" w:rsidR="00AF08E7" w:rsidRDefault="00AF08E7" w:rsidP="000133DF">
                          <w:pPr>
                            <w:jc w:val="center"/>
                            <w:rPr>
                              <w:szCs w:val="24"/>
                            </w:rPr>
                          </w:pPr>
                          <w:r>
                            <w:rPr>
                              <w:rFonts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inline>
          </w:drawing>
        </mc:Choice>
        <mc:Fallback>
          <w:pict>
            <v:shapetype w14:anchorId="5B220269" id="_x0000_t202" coordsize="21600,21600" o:spt="202" path="m,l,21600r21600,l21600,xe">
              <v:stroke joinstyle="miter"/>
              <v:path gradientshapeok="t" o:connecttype="rect"/>
            </v:shapetype>
            <v:shape id="Text Box 3" o:spid="_x0000_s1070" type="#_x0000_t202" style="width:412.2pt;height:247.3pt;rotation:-4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" filled="f" stroked="f">
              <v:stroke joinstyle="round"/>
              <o:lock v:ext="edit" shapetype="t"/>
              <v:textbox style="mso-fit-shape-to-text:t">
                <w:txbxContent>
                  <w:p w14:paraId="469640D4" w14:textId="77777777" w:rsidR="00AF08E7" w:rsidRDefault="00AF08E7" w:rsidP="000133DF">
                    <w:pPr>
                      <w:jc w:val="center"/>
                      <w:rPr>
                        <w:szCs w:val="24"/>
                      </w:rPr>
                    </w:pPr>
                    <w:r>
                      <w:rPr>
                        <w:rFonts w:cs="Calibri"/>
                        <w:color w:val="C0C0C0"/>
                        <w:sz w:val="2"/>
                        <w:szCs w:val="2"/>
                        <w14:textFill>
                          <w14:solidFill>
                            <w14:srgbClr w14:val="C0C0C0">
                              <w14:alpha w14:val="50000"/>
                            </w14:srgbClr>
                          </w14:solidFill>
                        </w14:textFill>
                      </w:rPr>
                      <w:t>DRAFT</w:t>
                    </w:r>
                  </w:p>
                </w:txbxContent>
              </v:textbox>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105138"/>
    <w:multiLevelType w:val="hybridMultilevel"/>
    <w:tmpl w:val="0E8C4BC4"/>
    <w:lvl w:ilvl="0" w:tplc="EC840366">
      <w:start w:val="1"/>
      <w:numFmt w:val="bullet"/>
      <w:pStyle w:val="Dash"/>
      <w:lvlText w:val="–"/>
      <w:lvlJc w:val="left"/>
      <w:pPr>
        <w:tabs>
          <w:tab w:val="num" w:pos="216"/>
        </w:tabs>
        <w:ind w:left="360" w:firstLine="0"/>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234802"/>
    <w:multiLevelType w:val="hybridMultilevel"/>
    <w:tmpl w:val="64629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A114BB"/>
    <w:multiLevelType w:val="hybridMultilevel"/>
    <w:tmpl w:val="03C62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48004C"/>
    <w:multiLevelType w:val="hybridMultilevel"/>
    <w:tmpl w:val="4B8A3A36"/>
    <w:lvl w:ilvl="0" w:tplc="DBFA83DC">
      <w:start w:val="1"/>
      <w:numFmt w:val="bullet"/>
      <w:lvlText w:val=""/>
      <w:lvlJc w:val="left"/>
      <w:pPr>
        <w:tabs>
          <w:tab w:val="num" w:pos="1080"/>
        </w:tabs>
        <w:ind w:left="1080" w:hanging="360"/>
      </w:pPr>
      <w:rPr>
        <w:rFonts w:ascii="Symbol" w:hAnsi="Symbol" w:hint="default"/>
        <w:color w:val="auto"/>
        <w:sz w:val="22"/>
        <w:szCs w:val="22"/>
      </w:rPr>
    </w:lvl>
    <w:lvl w:ilvl="1" w:tplc="32EAB99E">
      <w:start w:val="1"/>
      <w:numFmt w:val="bullet"/>
      <w:lvlText w:val=""/>
      <w:lvlJc w:val="left"/>
      <w:pPr>
        <w:tabs>
          <w:tab w:val="num" w:pos="2160"/>
        </w:tabs>
        <w:ind w:left="2160" w:hanging="360"/>
      </w:pPr>
      <w:rPr>
        <w:rFonts w:ascii="Symbol" w:hAnsi="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110F211F"/>
    <w:multiLevelType w:val="hybridMultilevel"/>
    <w:tmpl w:val="B330AAEC"/>
    <w:lvl w:ilvl="0" w:tplc="9CACE612">
      <w:start w:val="1"/>
      <w:numFmt w:val="bullet"/>
      <w:lvlText w:val=""/>
      <w:lvlJc w:val="left"/>
      <w:pPr>
        <w:ind w:left="360" w:hanging="360"/>
      </w:pPr>
      <w:rPr>
        <w:rFonts w:ascii="Symbol" w:hAnsi="Symbol" w:hint="default"/>
      </w:rPr>
    </w:lvl>
    <w:lvl w:ilvl="1" w:tplc="D6ECCDA2">
      <w:start w:val="1"/>
      <w:numFmt w:val="bullet"/>
      <w:lvlText w:val="o"/>
      <w:lvlJc w:val="left"/>
      <w:pPr>
        <w:ind w:left="1080" w:hanging="360"/>
      </w:pPr>
      <w:rPr>
        <w:rFonts w:ascii="Courier New" w:hAnsi="Courier New" w:hint="default"/>
      </w:rPr>
    </w:lvl>
    <w:lvl w:ilvl="2" w:tplc="457AEBA8">
      <w:start w:val="1"/>
      <w:numFmt w:val="bullet"/>
      <w:lvlText w:val=""/>
      <w:lvlJc w:val="left"/>
      <w:pPr>
        <w:ind w:left="1800" w:hanging="360"/>
      </w:pPr>
      <w:rPr>
        <w:rFonts w:ascii="Wingdings" w:hAnsi="Wingdings" w:hint="default"/>
      </w:rPr>
    </w:lvl>
    <w:lvl w:ilvl="3" w:tplc="3F4EE216">
      <w:start w:val="1"/>
      <w:numFmt w:val="bullet"/>
      <w:lvlText w:val=""/>
      <w:lvlJc w:val="left"/>
      <w:pPr>
        <w:ind w:left="2520" w:hanging="360"/>
      </w:pPr>
      <w:rPr>
        <w:rFonts w:ascii="Symbol" w:hAnsi="Symbol" w:hint="default"/>
      </w:rPr>
    </w:lvl>
    <w:lvl w:ilvl="4" w:tplc="E206BE68">
      <w:start w:val="1"/>
      <w:numFmt w:val="bullet"/>
      <w:lvlText w:val="o"/>
      <w:lvlJc w:val="left"/>
      <w:pPr>
        <w:ind w:left="3240" w:hanging="360"/>
      </w:pPr>
      <w:rPr>
        <w:rFonts w:ascii="Courier New" w:hAnsi="Courier New" w:hint="default"/>
      </w:rPr>
    </w:lvl>
    <w:lvl w:ilvl="5" w:tplc="21C87E1A">
      <w:start w:val="1"/>
      <w:numFmt w:val="bullet"/>
      <w:lvlText w:val=""/>
      <w:lvlJc w:val="left"/>
      <w:pPr>
        <w:ind w:left="3960" w:hanging="360"/>
      </w:pPr>
      <w:rPr>
        <w:rFonts w:ascii="Wingdings" w:hAnsi="Wingdings" w:hint="default"/>
      </w:rPr>
    </w:lvl>
    <w:lvl w:ilvl="6" w:tplc="08645D6E">
      <w:start w:val="1"/>
      <w:numFmt w:val="bullet"/>
      <w:lvlText w:val=""/>
      <w:lvlJc w:val="left"/>
      <w:pPr>
        <w:ind w:left="4680" w:hanging="360"/>
      </w:pPr>
      <w:rPr>
        <w:rFonts w:ascii="Symbol" w:hAnsi="Symbol" w:hint="default"/>
      </w:rPr>
    </w:lvl>
    <w:lvl w:ilvl="7" w:tplc="B14AF0D4">
      <w:start w:val="1"/>
      <w:numFmt w:val="bullet"/>
      <w:lvlText w:val="o"/>
      <w:lvlJc w:val="left"/>
      <w:pPr>
        <w:ind w:left="5400" w:hanging="360"/>
      </w:pPr>
      <w:rPr>
        <w:rFonts w:ascii="Courier New" w:hAnsi="Courier New" w:hint="default"/>
      </w:rPr>
    </w:lvl>
    <w:lvl w:ilvl="8" w:tplc="A028C32C">
      <w:start w:val="1"/>
      <w:numFmt w:val="bullet"/>
      <w:lvlText w:val=""/>
      <w:lvlJc w:val="left"/>
      <w:pPr>
        <w:ind w:left="6120" w:hanging="360"/>
      </w:pPr>
      <w:rPr>
        <w:rFonts w:ascii="Wingdings" w:hAnsi="Wingdings" w:hint="default"/>
      </w:rPr>
    </w:lvl>
  </w:abstractNum>
  <w:abstractNum w:abstractNumId="5" w15:restartNumberingAfterBreak="0">
    <w:nsid w:val="154F2F91"/>
    <w:multiLevelType w:val="hybridMultilevel"/>
    <w:tmpl w:val="F63A9AF2"/>
    <w:lvl w:ilvl="0" w:tplc="BC708C1A">
      <w:start w:val="1"/>
      <w:numFmt w:val="bullet"/>
      <w:lvlText w:val=""/>
      <w:lvlJc w:val="left"/>
      <w:pPr>
        <w:ind w:left="360" w:hanging="360"/>
      </w:pPr>
      <w:rPr>
        <w:rFonts w:ascii="Symbol" w:hAnsi="Symbol" w:hint="default"/>
      </w:rPr>
    </w:lvl>
    <w:lvl w:ilvl="1" w:tplc="4418A4F4">
      <w:start w:val="1"/>
      <w:numFmt w:val="bullet"/>
      <w:lvlText w:val="o"/>
      <w:lvlJc w:val="left"/>
      <w:pPr>
        <w:ind w:left="1080" w:hanging="360"/>
      </w:pPr>
      <w:rPr>
        <w:rFonts w:ascii="Courier New" w:hAnsi="Courier New" w:hint="default"/>
      </w:rPr>
    </w:lvl>
    <w:lvl w:ilvl="2" w:tplc="D1183E62">
      <w:start w:val="1"/>
      <w:numFmt w:val="bullet"/>
      <w:lvlText w:val=""/>
      <w:lvlJc w:val="left"/>
      <w:pPr>
        <w:ind w:left="1800" w:hanging="360"/>
      </w:pPr>
      <w:rPr>
        <w:rFonts w:ascii="Wingdings" w:hAnsi="Wingdings" w:hint="default"/>
      </w:rPr>
    </w:lvl>
    <w:lvl w:ilvl="3" w:tplc="847606C8">
      <w:start w:val="1"/>
      <w:numFmt w:val="bullet"/>
      <w:lvlText w:val=""/>
      <w:lvlJc w:val="left"/>
      <w:pPr>
        <w:ind w:left="2520" w:hanging="360"/>
      </w:pPr>
      <w:rPr>
        <w:rFonts w:ascii="Symbol" w:hAnsi="Symbol" w:hint="default"/>
      </w:rPr>
    </w:lvl>
    <w:lvl w:ilvl="4" w:tplc="7BAE361E">
      <w:start w:val="1"/>
      <w:numFmt w:val="bullet"/>
      <w:lvlText w:val="o"/>
      <w:lvlJc w:val="left"/>
      <w:pPr>
        <w:ind w:left="3240" w:hanging="360"/>
      </w:pPr>
      <w:rPr>
        <w:rFonts w:ascii="Courier New" w:hAnsi="Courier New" w:hint="default"/>
      </w:rPr>
    </w:lvl>
    <w:lvl w:ilvl="5" w:tplc="9E68A08C">
      <w:start w:val="1"/>
      <w:numFmt w:val="bullet"/>
      <w:lvlText w:val=""/>
      <w:lvlJc w:val="left"/>
      <w:pPr>
        <w:ind w:left="3960" w:hanging="360"/>
      </w:pPr>
      <w:rPr>
        <w:rFonts w:ascii="Wingdings" w:hAnsi="Wingdings" w:hint="default"/>
      </w:rPr>
    </w:lvl>
    <w:lvl w:ilvl="6" w:tplc="8F9A91D0">
      <w:start w:val="1"/>
      <w:numFmt w:val="bullet"/>
      <w:lvlText w:val=""/>
      <w:lvlJc w:val="left"/>
      <w:pPr>
        <w:ind w:left="4680" w:hanging="360"/>
      </w:pPr>
      <w:rPr>
        <w:rFonts w:ascii="Symbol" w:hAnsi="Symbol" w:hint="default"/>
      </w:rPr>
    </w:lvl>
    <w:lvl w:ilvl="7" w:tplc="7C044CFE">
      <w:start w:val="1"/>
      <w:numFmt w:val="bullet"/>
      <w:lvlText w:val="o"/>
      <w:lvlJc w:val="left"/>
      <w:pPr>
        <w:ind w:left="5400" w:hanging="360"/>
      </w:pPr>
      <w:rPr>
        <w:rFonts w:ascii="Courier New" w:hAnsi="Courier New" w:hint="default"/>
      </w:rPr>
    </w:lvl>
    <w:lvl w:ilvl="8" w:tplc="2018B3AA">
      <w:start w:val="1"/>
      <w:numFmt w:val="bullet"/>
      <w:lvlText w:val=""/>
      <w:lvlJc w:val="left"/>
      <w:pPr>
        <w:ind w:left="6120" w:hanging="360"/>
      </w:pPr>
      <w:rPr>
        <w:rFonts w:ascii="Wingdings" w:hAnsi="Wingdings" w:hint="default"/>
      </w:rPr>
    </w:lvl>
  </w:abstractNum>
  <w:abstractNum w:abstractNumId="6" w15:restartNumberingAfterBreak="0">
    <w:nsid w:val="169045EC"/>
    <w:multiLevelType w:val="hybridMultilevel"/>
    <w:tmpl w:val="51EAD1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ED91422"/>
    <w:multiLevelType w:val="hybridMultilevel"/>
    <w:tmpl w:val="72882C6E"/>
    <w:styleLink w:val="ESSectionheading-numbered"/>
    <w:lvl w:ilvl="0" w:tplc="42E2531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643"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4033A42"/>
    <w:multiLevelType w:val="hybridMultilevel"/>
    <w:tmpl w:val="3A52BA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5AE421E"/>
    <w:multiLevelType w:val="hybridMultilevel"/>
    <w:tmpl w:val="6382EA38"/>
    <w:lvl w:ilvl="0" w:tplc="FB7A37EE">
      <w:start w:val="1"/>
      <w:numFmt w:val="bullet"/>
      <w:lvlText w:val=""/>
      <w:lvlJc w:val="left"/>
      <w:pPr>
        <w:tabs>
          <w:tab w:val="num" w:pos="360"/>
        </w:tabs>
        <w:ind w:left="360" w:hanging="360"/>
      </w:pPr>
      <w:rPr>
        <w:rFonts w:ascii="Symbol" w:hAnsi="Symbol" w:hint="default"/>
        <w:color w:val="3366FF"/>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C933BF8"/>
    <w:multiLevelType w:val="multilevel"/>
    <w:tmpl w:val="B22A93B6"/>
    <w:styleLink w:val="Heading1a"/>
    <w:lvl w:ilvl="0">
      <w:start w:val="1"/>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302A6E7C"/>
    <w:multiLevelType w:val="hybridMultilevel"/>
    <w:tmpl w:val="9A66C17A"/>
    <w:lvl w:ilvl="0" w:tplc="0C090001">
      <w:start w:val="1"/>
      <w:numFmt w:val="bullet"/>
      <w:lvlText w:val=""/>
      <w:lvlJc w:val="left"/>
      <w:pPr>
        <w:tabs>
          <w:tab w:val="num" w:pos="1080"/>
        </w:tabs>
        <w:ind w:left="1080" w:hanging="72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7B54856"/>
    <w:multiLevelType w:val="hybridMultilevel"/>
    <w:tmpl w:val="C25AA6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8332E52"/>
    <w:multiLevelType w:val="hybridMultilevel"/>
    <w:tmpl w:val="72882C6E"/>
    <w:numStyleLink w:val="ESSectionheading-numbered"/>
  </w:abstractNum>
  <w:abstractNum w:abstractNumId="14" w15:restartNumberingAfterBreak="0">
    <w:nsid w:val="3C525CBE"/>
    <w:multiLevelType w:val="hybridMultilevel"/>
    <w:tmpl w:val="0B40E7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CC91B9A"/>
    <w:multiLevelType w:val="hybridMultilevel"/>
    <w:tmpl w:val="B2561AE8"/>
    <w:lvl w:ilvl="0" w:tplc="8722CAEE">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FDB6A0A"/>
    <w:multiLevelType w:val="hybridMultilevel"/>
    <w:tmpl w:val="43DCB7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0B63FB7"/>
    <w:multiLevelType w:val="hybridMultilevel"/>
    <w:tmpl w:val="35B6EF7C"/>
    <w:lvl w:ilvl="0" w:tplc="BC708C1A">
      <w:start w:val="1"/>
      <w:numFmt w:val="bulle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20B6ECC"/>
    <w:multiLevelType w:val="hybridMultilevel"/>
    <w:tmpl w:val="5A1ECD14"/>
    <w:lvl w:ilvl="0" w:tplc="DEFAC1A4">
      <w:start w:val="1"/>
      <w:numFmt w:val="bullet"/>
      <w:pStyle w:val="NormalBulletList"/>
      <w:lvlText w:val=""/>
      <w:lvlJc w:val="left"/>
      <w:pPr>
        <w:ind w:left="720" w:hanging="360"/>
      </w:pPr>
      <w:rPr>
        <w:rFonts w:ascii="Symbol" w:hAnsi="Symbol" w:hint="default"/>
      </w:rPr>
    </w:lvl>
    <w:lvl w:ilvl="1" w:tplc="CC2ADE4A">
      <w:start w:val="1"/>
      <w:numFmt w:val="bullet"/>
      <w:lvlText w:val="o"/>
      <w:lvlJc w:val="left"/>
      <w:pPr>
        <w:ind w:left="1440" w:hanging="360"/>
      </w:pPr>
      <w:rPr>
        <w:rFonts w:ascii="Courier New" w:hAnsi="Courier New" w:cs="Courier New" w:hint="default"/>
      </w:rPr>
    </w:lvl>
    <w:lvl w:ilvl="2" w:tplc="61E61A46" w:tentative="1">
      <w:start w:val="1"/>
      <w:numFmt w:val="bullet"/>
      <w:lvlText w:val=""/>
      <w:lvlJc w:val="left"/>
      <w:pPr>
        <w:ind w:left="2160" w:hanging="360"/>
      </w:pPr>
      <w:rPr>
        <w:rFonts w:ascii="Wingdings" w:hAnsi="Wingdings" w:hint="default"/>
      </w:rPr>
    </w:lvl>
    <w:lvl w:ilvl="3" w:tplc="48E8658E" w:tentative="1">
      <w:start w:val="1"/>
      <w:numFmt w:val="bullet"/>
      <w:lvlText w:val=""/>
      <w:lvlJc w:val="left"/>
      <w:pPr>
        <w:ind w:left="2880" w:hanging="360"/>
      </w:pPr>
      <w:rPr>
        <w:rFonts w:ascii="Symbol" w:hAnsi="Symbol" w:hint="default"/>
      </w:rPr>
    </w:lvl>
    <w:lvl w:ilvl="4" w:tplc="4EE87910" w:tentative="1">
      <w:start w:val="1"/>
      <w:numFmt w:val="bullet"/>
      <w:lvlText w:val="o"/>
      <w:lvlJc w:val="left"/>
      <w:pPr>
        <w:ind w:left="3600" w:hanging="360"/>
      </w:pPr>
      <w:rPr>
        <w:rFonts w:ascii="Courier New" w:hAnsi="Courier New" w:cs="Courier New" w:hint="default"/>
      </w:rPr>
    </w:lvl>
    <w:lvl w:ilvl="5" w:tplc="E2D8FC36" w:tentative="1">
      <w:start w:val="1"/>
      <w:numFmt w:val="bullet"/>
      <w:lvlText w:val=""/>
      <w:lvlJc w:val="left"/>
      <w:pPr>
        <w:ind w:left="4320" w:hanging="360"/>
      </w:pPr>
      <w:rPr>
        <w:rFonts w:ascii="Wingdings" w:hAnsi="Wingdings" w:hint="default"/>
      </w:rPr>
    </w:lvl>
    <w:lvl w:ilvl="6" w:tplc="4B22A9DC" w:tentative="1">
      <w:start w:val="1"/>
      <w:numFmt w:val="bullet"/>
      <w:lvlText w:val=""/>
      <w:lvlJc w:val="left"/>
      <w:pPr>
        <w:ind w:left="5040" w:hanging="360"/>
      </w:pPr>
      <w:rPr>
        <w:rFonts w:ascii="Symbol" w:hAnsi="Symbol" w:hint="default"/>
      </w:rPr>
    </w:lvl>
    <w:lvl w:ilvl="7" w:tplc="02445202" w:tentative="1">
      <w:start w:val="1"/>
      <w:numFmt w:val="bullet"/>
      <w:lvlText w:val="o"/>
      <w:lvlJc w:val="left"/>
      <w:pPr>
        <w:ind w:left="5760" w:hanging="360"/>
      </w:pPr>
      <w:rPr>
        <w:rFonts w:ascii="Courier New" w:hAnsi="Courier New" w:cs="Courier New" w:hint="default"/>
      </w:rPr>
    </w:lvl>
    <w:lvl w:ilvl="8" w:tplc="947490A4" w:tentative="1">
      <w:start w:val="1"/>
      <w:numFmt w:val="bullet"/>
      <w:lvlText w:val=""/>
      <w:lvlJc w:val="left"/>
      <w:pPr>
        <w:ind w:left="6480" w:hanging="360"/>
      </w:pPr>
      <w:rPr>
        <w:rFonts w:ascii="Wingdings" w:hAnsi="Wingdings" w:hint="default"/>
      </w:rPr>
    </w:lvl>
  </w:abstractNum>
  <w:abstractNum w:abstractNumId="19" w15:restartNumberingAfterBreak="0">
    <w:nsid w:val="45F473A9"/>
    <w:multiLevelType w:val="hybridMultilevel"/>
    <w:tmpl w:val="C8FE2AF8"/>
    <w:lvl w:ilvl="0" w:tplc="57F6110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607390F"/>
    <w:multiLevelType w:val="hybridMultilevel"/>
    <w:tmpl w:val="555E50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61728C5"/>
    <w:multiLevelType w:val="hybridMultilevel"/>
    <w:tmpl w:val="AF8ABA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7123FED"/>
    <w:multiLevelType w:val="hybridMultilevel"/>
    <w:tmpl w:val="EA3818A2"/>
    <w:lvl w:ilvl="0" w:tplc="64BE4998">
      <w:start w:val="1"/>
      <w:numFmt w:val="bullet"/>
      <w:lvlText w:val=""/>
      <w:lvlJc w:val="left"/>
      <w:pPr>
        <w:tabs>
          <w:tab w:val="num" w:pos="1080"/>
        </w:tabs>
        <w:ind w:left="1080" w:hanging="360"/>
      </w:pPr>
      <w:rPr>
        <w:rFonts w:ascii="Symbol" w:hAnsi="Symbol" w:hint="default"/>
        <w:color w:val="3366FF"/>
        <w:sz w:val="22"/>
        <w:szCs w:val="22"/>
      </w:rPr>
    </w:lvl>
    <w:lvl w:ilvl="1" w:tplc="32EAB99E">
      <w:start w:val="1"/>
      <w:numFmt w:val="bullet"/>
      <w:lvlText w:val=""/>
      <w:lvlJc w:val="left"/>
      <w:pPr>
        <w:tabs>
          <w:tab w:val="num" w:pos="2160"/>
        </w:tabs>
        <w:ind w:left="2160" w:hanging="360"/>
      </w:pPr>
      <w:rPr>
        <w:rFonts w:ascii="Symbol" w:hAnsi="Symbol"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48EA0519"/>
    <w:multiLevelType w:val="hybridMultilevel"/>
    <w:tmpl w:val="74263F56"/>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4" w15:restartNumberingAfterBreak="0">
    <w:nsid w:val="54784526"/>
    <w:multiLevelType w:val="hybridMultilevel"/>
    <w:tmpl w:val="A74EF95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D387448"/>
    <w:multiLevelType w:val="multilevel"/>
    <w:tmpl w:val="B22A93B6"/>
    <w:numStyleLink w:val="Heading1a"/>
  </w:abstractNum>
  <w:abstractNum w:abstractNumId="26" w15:restartNumberingAfterBreak="0">
    <w:nsid w:val="5D666045"/>
    <w:multiLevelType w:val="hybridMultilevel"/>
    <w:tmpl w:val="22B0351A"/>
    <w:lvl w:ilvl="0" w:tplc="0409000F">
      <w:start w:val="9"/>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64542DC9"/>
    <w:multiLevelType w:val="hybridMultilevel"/>
    <w:tmpl w:val="5F0811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45853F9"/>
    <w:multiLevelType w:val="hybridMultilevel"/>
    <w:tmpl w:val="91784F30"/>
    <w:lvl w:ilvl="0" w:tplc="FB06DE06">
      <w:start w:val="3"/>
      <w:numFmt w:val="decimal"/>
      <w:lvlText w:val="%1."/>
      <w:lvlJc w:val="left"/>
      <w:pPr>
        <w:tabs>
          <w:tab w:val="num" w:pos="1080"/>
        </w:tabs>
        <w:ind w:left="1080" w:hanging="720"/>
      </w:pPr>
      <w:rPr>
        <w:rFonts w:hint="default"/>
      </w:rPr>
    </w:lvl>
    <w:lvl w:ilvl="1" w:tplc="72A82EDE">
      <w:start w:val="1"/>
      <w:numFmt w:val="bullet"/>
      <w:lvlText w:val=""/>
      <w:lvlJc w:val="left"/>
      <w:pPr>
        <w:tabs>
          <w:tab w:val="num" w:pos="1440"/>
        </w:tabs>
        <w:ind w:left="1440" w:hanging="360"/>
      </w:pPr>
      <w:rPr>
        <w:rFonts w:ascii="Symbol" w:hAnsi="Symbol"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6FBA0B51"/>
    <w:multiLevelType w:val="hybridMultilevel"/>
    <w:tmpl w:val="AE58EF74"/>
    <w:lvl w:ilvl="0" w:tplc="0C090001">
      <w:start w:val="1"/>
      <w:numFmt w:val="bullet"/>
      <w:lvlText w:val=""/>
      <w:lvlJc w:val="left"/>
      <w:pPr>
        <w:tabs>
          <w:tab w:val="num" w:pos="1080"/>
        </w:tabs>
        <w:ind w:left="1080" w:hanging="720"/>
      </w:pPr>
      <w:rPr>
        <w:rFonts w:ascii="Symbol" w:hAnsi="Symbol" w:hint="default"/>
      </w:rPr>
    </w:lvl>
    <w:lvl w:ilvl="1" w:tplc="72A82EDE">
      <w:start w:val="1"/>
      <w:numFmt w:val="bullet"/>
      <w:lvlText w:val=""/>
      <w:lvlJc w:val="left"/>
      <w:pPr>
        <w:tabs>
          <w:tab w:val="num" w:pos="1440"/>
        </w:tabs>
        <w:ind w:left="1440" w:hanging="360"/>
      </w:pPr>
      <w:rPr>
        <w:rFonts w:ascii="Symbol" w:hAnsi="Symbol"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30569F4"/>
    <w:multiLevelType w:val="hybridMultilevel"/>
    <w:tmpl w:val="1C9E4E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76B428F5"/>
    <w:multiLevelType w:val="hybridMultilevel"/>
    <w:tmpl w:val="E028E07A"/>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78E81FDC"/>
    <w:multiLevelType w:val="hybridMultilevel"/>
    <w:tmpl w:val="D5C698E8"/>
    <w:lvl w:ilvl="0" w:tplc="A79EC4F8">
      <w:start w:val="1"/>
      <w:numFmt w:val="bullet"/>
      <w:pStyle w:val="BulletBeforeDash"/>
      <w:lvlText w:val="•"/>
      <w:lvlJc w:val="left"/>
      <w:pPr>
        <w:tabs>
          <w:tab w:val="num" w:pos="360"/>
        </w:tabs>
        <w:ind w:left="360" w:hanging="360"/>
      </w:pPr>
      <w:rPr>
        <w:rFonts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A5E4D7C"/>
    <w:multiLevelType w:val="hybridMultilevel"/>
    <w:tmpl w:val="877AC5C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C7032DF"/>
    <w:multiLevelType w:val="hybridMultilevel"/>
    <w:tmpl w:val="C2F4886C"/>
    <w:lvl w:ilvl="0" w:tplc="F30EFE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D962F94"/>
    <w:multiLevelType w:val="hybridMultilevel"/>
    <w:tmpl w:val="74903CEE"/>
    <w:lvl w:ilvl="0" w:tplc="16D68352">
      <w:start w:val="5"/>
      <w:numFmt w:val="bullet"/>
      <w:lvlText w:val="-"/>
      <w:lvlJc w:val="left"/>
      <w:pPr>
        <w:ind w:left="786" w:hanging="360"/>
      </w:pPr>
      <w:rPr>
        <w:rFonts w:ascii="Arial" w:eastAsia="Times New Roman" w:hAnsi="Arial" w:cs="Aria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36" w15:restartNumberingAfterBreak="0">
    <w:nsid w:val="7EBC358B"/>
    <w:multiLevelType w:val="hybridMultilevel"/>
    <w:tmpl w:val="DA7C6A16"/>
    <w:lvl w:ilvl="0" w:tplc="5C548CF8">
      <w:start w:val="1"/>
      <w:numFmt w:val="bullet"/>
      <w:lvlText w:val=""/>
      <w:lvlJc w:val="left"/>
      <w:pPr>
        <w:tabs>
          <w:tab w:val="num" w:pos="360"/>
        </w:tabs>
        <w:ind w:left="360" w:hanging="360"/>
      </w:pPr>
      <w:rPr>
        <w:rFonts w:ascii="Symbol" w:hAnsi="Symbol" w:hint="default"/>
        <w:color w:val="3366FF"/>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FD02776"/>
    <w:multiLevelType w:val="hybridMultilevel"/>
    <w:tmpl w:val="4B8A3A36"/>
    <w:lvl w:ilvl="0" w:tplc="DBFA83DC">
      <w:start w:val="1"/>
      <w:numFmt w:val="bullet"/>
      <w:lvlText w:val=""/>
      <w:lvlJc w:val="left"/>
      <w:pPr>
        <w:tabs>
          <w:tab w:val="num" w:pos="360"/>
        </w:tabs>
        <w:ind w:left="360" w:hanging="360"/>
      </w:pPr>
      <w:rPr>
        <w:rFonts w:ascii="Symbol" w:hAnsi="Symbol" w:hint="default"/>
        <w:color w:val="auto"/>
        <w:sz w:val="22"/>
        <w:szCs w:val="22"/>
      </w:rPr>
    </w:lvl>
    <w:lvl w:ilvl="1" w:tplc="32EAB99E">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3"/>
  </w:num>
  <w:num w:numId="3">
    <w:abstractNumId w:val="22"/>
  </w:num>
  <w:num w:numId="4">
    <w:abstractNumId w:val="36"/>
  </w:num>
  <w:num w:numId="5">
    <w:abstractNumId w:val="28"/>
  </w:num>
  <w:num w:numId="6">
    <w:abstractNumId w:val="26"/>
  </w:num>
  <w:num w:numId="7">
    <w:abstractNumId w:val="18"/>
  </w:num>
  <w:num w:numId="8">
    <w:abstractNumId w:val="11"/>
  </w:num>
  <w:num w:numId="9">
    <w:abstractNumId w:val="29"/>
  </w:num>
  <w:num w:numId="10">
    <w:abstractNumId w:val="35"/>
  </w:num>
  <w:num w:numId="11">
    <w:abstractNumId w:val="10"/>
  </w:num>
  <w:num w:numId="12">
    <w:abstractNumId w:val="25"/>
  </w:num>
  <w:num w:numId="13">
    <w:abstractNumId w:val="19"/>
  </w:num>
  <w:num w:numId="14">
    <w:abstractNumId w:val="37"/>
  </w:num>
  <w:num w:numId="15">
    <w:abstractNumId w:val="7"/>
  </w:num>
  <w:num w:numId="16">
    <w:abstractNumId w:val="34"/>
  </w:num>
  <w:num w:numId="17">
    <w:abstractNumId w:val="13"/>
  </w:num>
  <w:num w:numId="18">
    <w:abstractNumId w:val="21"/>
  </w:num>
  <w:num w:numId="19">
    <w:abstractNumId w:val="8"/>
  </w:num>
  <w:num w:numId="20">
    <w:abstractNumId w:val="4"/>
  </w:num>
  <w:num w:numId="21">
    <w:abstractNumId w:val="5"/>
  </w:num>
  <w:num w:numId="22">
    <w:abstractNumId w:val="30"/>
  </w:num>
  <w:num w:numId="23">
    <w:abstractNumId w:val="31"/>
  </w:num>
  <w:num w:numId="24">
    <w:abstractNumId w:val="14"/>
  </w:num>
  <w:num w:numId="25">
    <w:abstractNumId w:val="15"/>
  </w:num>
  <w:num w:numId="26">
    <w:abstractNumId w:val="20"/>
  </w:num>
  <w:num w:numId="27">
    <w:abstractNumId w:val="24"/>
  </w:num>
  <w:num w:numId="28">
    <w:abstractNumId w:val="2"/>
  </w:num>
  <w:num w:numId="29">
    <w:abstractNumId w:val="32"/>
  </w:num>
  <w:num w:numId="30">
    <w:abstractNumId w:val="0"/>
  </w:num>
  <w:num w:numId="31">
    <w:abstractNumId w:val="17"/>
  </w:num>
  <w:num w:numId="32">
    <w:abstractNumId w:val="32"/>
  </w:num>
  <w:num w:numId="33">
    <w:abstractNumId w:val="32"/>
  </w:num>
  <w:num w:numId="34">
    <w:abstractNumId w:val="32"/>
  </w:num>
  <w:num w:numId="35">
    <w:abstractNumId w:val="32"/>
  </w:num>
  <w:num w:numId="36">
    <w:abstractNumId w:val="12"/>
  </w:num>
  <w:num w:numId="37">
    <w:abstractNumId w:val="23"/>
  </w:num>
  <w:num w:numId="38">
    <w:abstractNumId w:val="1"/>
  </w:num>
  <w:num w:numId="39">
    <w:abstractNumId w:val="33"/>
  </w:num>
  <w:num w:numId="40">
    <w:abstractNumId w:val="6"/>
  </w:num>
  <w:num w:numId="41">
    <w:abstractNumId w:val="27"/>
  </w:num>
  <w:num w:numId="42">
    <w:abstractNumId w:val="32"/>
  </w:num>
  <w:num w:numId="43">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defaultTabStop w:val="720"/>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M0MTUyMjEwNDA3MDFQ0lEKTi0uzszPAykwrgUAlzBzIywAAAA="/>
  </w:docVars>
  <w:rsids>
    <w:rsidRoot w:val="00065623"/>
    <w:rsid w:val="00001884"/>
    <w:rsid w:val="00001D31"/>
    <w:rsid w:val="000036AF"/>
    <w:rsid w:val="000133DF"/>
    <w:rsid w:val="00014731"/>
    <w:rsid w:val="000171A6"/>
    <w:rsid w:val="000213E9"/>
    <w:rsid w:val="00021DA2"/>
    <w:rsid w:val="000229A1"/>
    <w:rsid w:val="000268A1"/>
    <w:rsid w:val="00026D59"/>
    <w:rsid w:val="00036721"/>
    <w:rsid w:val="00036C99"/>
    <w:rsid w:val="00054151"/>
    <w:rsid w:val="0006073C"/>
    <w:rsid w:val="000632EF"/>
    <w:rsid w:val="00065623"/>
    <w:rsid w:val="00065AE1"/>
    <w:rsid w:val="00066591"/>
    <w:rsid w:val="00066FAD"/>
    <w:rsid w:val="0007047C"/>
    <w:rsid w:val="000827F0"/>
    <w:rsid w:val="0008767E"/>
    <w:rsid w:val="00095E12"/>
    <w:rsid w:val="000A63D3"/>
    <w:rsid w:val="000A738E"/>
    <w:rsid w:val="000D384D"/>
    <w:rsid w:val="000E1ED1"/>
    <w:rsid w:val="000E396B"/>
    <w:rsid w:val="000E3C10"/>
    <w:rsid w:val="000E6588"/>
    <w:rsid w:val="000F21FE"/>
    <w:rsid w:val="000F2663"/>
    <w:rsid w:val="000F28CC"/>
    <w:rsid w:val="00100C2E"/>
    <w:rsid w:val="00104710"/>
    <w:rsid w:val="001106FC"/>
    <w:rsid w:val="001217F5"/>
    <w:rsid w:val="00124170"/>
    <w:rsid w:val="0013032B"/>
    <w:rsid w:val="0013112F"/>
    <w:rsid w:val="00136257"/>
    <w:rsid w:val="00136969"/>
    <w:rsid w:val="0014037D"/>
    <w:rsid w:val="00141D66"/>
    <w:rsid w:val="00143882"/>
    <w:rsid w:val="00144060"/>
    <w:rsid w:val="0014545A"/>
    <w:rsid w:val="00152652"/>
    <w:rsid w:val="001538CF"/>
    <w:rsid w:val="00155468"/>
    <w:rsid w:val="00155BF4"/>
    <w:rsid w:val="00157D30"/>
    <w:rsid w:val="00167C8A"/>
    <w:rsid w:val="00171759"/>
    <w:rsid w:val="00177A1B"/>
    <w:rsid w:val="001803FF"/>
    <w:rsid w:val="00191996"/>
    <w:rsid w:val="001921DF"/>
    <w:rsid w:val="001951EC"/>
    <w:rsid w:val="00195958"/>
    <w:rsid w:val="001A44E1"/>
    <w:rsid w:val="001A669F"/>
    <w:rsid w:val="001B002D"/>
    <w:rsid w:val="001B0097"/>
    <w:rsid w:val="001B1DFA"/>
    <w:rsid w:val="001B1E42"/>
    <w:rsid w:val="001B5169"/>
    <w:rsid w:val="001B5BBA"/>
    <w:rsid w:val="001C0169"/>
    <w:rsid w:val="001C7004"/>
    <w:rsid w:val="001C71DF"/>
    <w:rsid w:val="001C75D8"/>
    <w:rsid w:val="001D24A5"/>
    <w:rsid w:val="001D2A85"/>
    <w:rsid w:val="001D47FB"/>
    <w:rsid w:val="001E219D"/>
    <w:rsid w:val="001E457C"/>
    <w:rsid w:val="001E7A0A"/>
    <w:rsid w:val="001F11FA"/>
    <w:rsid w:val="001F3C4C"/>
    <w:rsid w:val="00206760"/>
    <w:rsid w:val="0021159F"/>
    <w:rsid w:val="00211EAC"/>
    <w:rsid w:val="00215359"/>
    <w:rsid w:val="00232DE6"/>
    <w:rsid w:val="00236247"/>
    <w:rsid w:val="00242AD4"/>
    <w:rsid w:val="00252638"/>
    <w:rsid w:val="0026665D"/>
    <w:rsid w:val="00267F42"/>
    <w:rsid w:val="0027168E"/>
    <w:rsid w:val="002768C1"/>
    <w:rsid w:val="00280998"/>
    <w:rsid w:val="00285056"/>
    <w:rsid w:val="00286676"/>
    <w:rsid w:val="00286BC8"/>
    <w:rsid w:val="00290604"/>
    <w:rsid w:val="00292B88"/>
    <w:rsid w:val="0029348E"/>
    <w:rsid w:val="00294511"/>
    <w:rsid w:val="0029463E"/>
    <w:rsid w:val="002A3768"/>
    <w:rsid w:val="002A7743"/>
    <w:rsid w:val="002B34D5"/>
    <w:rsid w:val="002B402D"/>
    <w:rsid w:val="002B508B"/>
    <w:rsid w:val="002D0267"/>
    <w:rsid w:val="002D08AA"/>
    <w:rsid w:val="002D2973"/>
    <w:rsid w:val="002D43CE"/>
    <w:rsid w:val="002D57BB"/>
    <w:rsid w:val="002E4460"/>
    <w:rsid w:val="002F247B"/>
    <w:rsid w:val="002F3D9D"/>
    <w:rsid w:val="002F41F8"/>
    <w:rsid w:val="002F54B1"/>
    <w:rsid w:val="002F693D"/>
    <w:rsid w:val="00301462"/>
    <w:rsid w:val="00303414"/>
    <w:rsid w:val="00310658"/>
    <w:rsid w:val="0033781F"/>
    <w:rsid w:val="00337945"/>
    <w:rsid w:val="0034047C"/>
    <w:rsid w:val="00342FAC"/>
    <w:rsid w:val="00344582"/>
    <w:rsid w:val="00346169"/>
    <w:rsid w:val="003515D1"/>
    <w:rsid w:val="00352CB8"/>
    <w:rsid w:val="003538F7"/>
    <w:rsid w:val="0035535A"/>
    <w:rsid w:val="00355B86"/>
    <w:rsid w:val="0035718D"/>
    <w:rsid w:val="00361DD2"/>
    <w:rsid w:val="00362ED2"/>
    <w:rsid w:val="00364D19"/>
    <w:rsid w:val="00367BDD"/>
    <w:rsid w:val="003700A9"/>
    <w:rsid w:val="003740A6"/>
    <w:rsid w:val="00374EE6"/>
    <w:rsid w:val="0037650D"/>
    <w:rsid w:val="00386D67"/>
    <w:rsid w:val="003A078D"/>
    <w:rsid w:val="003A326F"/>
    <w:rsid w:val="003A4F78"/>
    <w:rsid w:val="003B02B8"/>
    <w:rsid w:val="003B0CA4"/>
    <w:rsid w:val="003B0F05"/>
    <w:rsid w:val="003D19F7"/>
    <w:rsid w:val="003D2991"/>
    <w:rsid w:val="003D44C4"/>
    <w:rsid w:val="003D4BFC"/>
    <w:rsid w:val="003D6A0F"/>
    <w:rsid w:val="003E1045"/>
    <w:rsid w:val="003E3728"/>
    <w:rsid w:val="003E44A3"/>
    <w:rsid w:val="003E63C9"/>
    <w:rsid w:val="003F0834"/>
    <w:rsid w:val="003F30AD"/>
    <w:rsid w:val="003F5EE6"/>
    <w:rsid w:val="003F60DD"/>
    <w:rsid w:val="003F62D1"/>
    <w:rsid w:val="003F6B16"/>
    <w:rsid w:val="004031F7"/>
    <w:rsid w:val="00410178"/>
    <w:rsid w:val="0042114B"/>
    <w:rsid w:val="00432549"/>
    <w:rsid w:val="00433060"/>
    <w:rsid w:val="004336AD"/>
    <w:rsid w:val="00434089"/>
    <w:rsid w:val="00443F1D"/>
    <w:rsid w:val="004453FB"/>
    <w:rsid w:val="00451310"/>
    <w:rsid w:val="00452DFC"/>
    <w:rsid w:val="00460DB6"/>
    <w:rsid w:val="0046745E"/>
    <w:rsid w:val="00471BF1"/>
    <w:rsid w:val="00474BAD"/>
    <w:rsid w:val="004851AB"/>
    <w:rsid w:val="00492EA2"/>
    <w:rsid w:val="00495285"/>
    <w:rsid w:val="004A4E41"/>
    <w:rsid w:val="004A6AA9"/>
    <w:rsid w:val="004B01A4"/>
    <w:rsid w:val="004B1846"/>
    <w:rsid w:val="004B2358"/>
    <w:rsid w:val="004B542E"/>
    <w:rsid w:val="004B7079"/>
    <w:rsid w:val="004C0219"/>
    <w:rsid w:val="004D1800"/>
    <w:rsid w:val="004E348D"/>
    <w:rsid w:val="004E432D"/>
    <w:rsid w:val="004E5C21"/>
    <w:rsid w:val="004F7105"/>
    <w:rsid w:val="0050188B"/>
    <w:rsid w:val="00507F95"/>
    <w:rsid w:val="00511C8B"/>
    <w:rsid w:val="00511EE0"/>
    <w:rsid w:val="00514BAF"/>
    <w:rsid w:val="00516ACE"/>
    <w:rsid w:val="00522528"/>
    <w:rsid w:val="00526303"/>
    <w:rsid w:val="00527480"/>
    <w:rsid w:val="00541679"/>
    <w:rsid w:val="005420D3"/>
    <w:rsid w:val="00544BA0"/>
    <w:rsid w:val="00552DFF"/>
    <w:rsid w:val="00556744"/>
    <w:rsid w:val="00565224"/>
    <w:rsid w:val="00566DC3"/>
    <w:rsid w:val="00567131"/>
    <w:rsid w:val="0056736C"/>
    <w:rsid w:val="00573F22"/>
    <w:rsid w:val="00576ED3"/>
    <w:rsid w:val="005805BC"/>
    <w:rsid w:val="005817E4"/>
    <w:rsid w:val="00583D1B"/>
    <w:rsid w:val="005856E5"/>
    <w:rsid w:val="0058659C"/>
    <w:rsid w:val="00590817"/>
    <w:rsid w:val="00590A73"/>
    <w:rsid w:val="005922DB"/>
    <w:rsid w:val="005938FD"/>
    <w:rsid w:val="00594478"/>
    <w:rsid w:val="005A14E4"/>
    <w:rsid w:val="005B59F4"/>
    <w:rsid w:val="005D0332"/>
    <w:rsid w:val="005D637D"/>
    <w:rsid w:val="005E3645"/>
    <w:rsid w:val="005E42A8"/>
    <w:rsid w:val="005F004E"/>
    <w:rsid w:val="005F04BB"/>
    <w:rsid w:val="005F1860"/>
    <w:rsid w:val="005F3F0D"/>
    <w:rsid w:val="00603860"/>
    <w:rsid w:val="00606566"/>
    <w:rsid w:val="006074D3"/>
    <w:rsid w:val="00607D37"/>
    <w:rsid w:val="00611744"/>
    <w:rsid w:val="00611918"/>
    <w:rsid w:val="00612A11"/>
    <w:rsid w:val="00616051"/>
    <w:rsid w:val="0061621F"/>
    <w:rsid w:val="00616372"/>
    <w:rsid w:val="00617DDC"/>
    <w:rsid w:val="0063740F"/>
    <w:rsid w:val="00640A46"/>
    <w:rsid w:val="00645C2D"/>
    <w:rsid w:val="00647959"/>
    <w:rsid w:val="00652E31"/>
    <w:rsid w:val="0065529B"/>
    <w:rsid w:val="006569A9"/>
    <w:rsid w:val="00657AE4"/>
    <w:rsid w:val="00657EC6"/>
    <w:rsid w:val="00663F00"/>
    <w:rsid w:val="00664E2A"/>
    <w:rsid w:val="00676A80"/>
    <w:rsid w:val="00676C49"/>
    <w:rsid w:val="00677A6C"/>
    <w:rsid w:val="00685001"/>
    <w:rsid w:val="00690FF6"/>
    <w:rsid w:val="00693716"/>
    <w:rsid w:val="006A27C7"/>
    <w:rsid w:val="006A332A"/>
    <w:rsid w:val="006A78A9"/>
    <w:rsid w:val="006B241A"/>
    <w:rsid w:val="006B49FD"/>
    <w:rsid w:val="006B5BE7"/>
    <w:rsid w:val="006B7F3E"/>
    <w:rsid w:val="006C1938"/>
    <w:rsid w:val="006C26E3"/>
    <w:rsid w:val="006C3324"/>
    <w:rsid w:val="006C5230"/>
    <w:rsid w:val="006D4227"/>
    <w:rsid w:val="006D6594"/>
    <w:rsid w:val="006D7D0C"/>
    <w:rsid w:val="006E0923"/>
    <w:rsid w:val="006E2F06"/>
    <w:rsid w:val="006E7A8E"/>
    <w:rsid w:val="006F2A30"/>
    <w:rsid w:val="006F2AAF"/>
    <w:rsid w:val="006F47F4"/>
    <w:rsid w:val="006F4CDB"/>
    <w:rsid w:val="006F5B25"/>
    <w:rsid w:val="00700383"/>
    <w:rsid w:val="007023EA"/>
    <w:rsid w:val="00703892"/>
    <w:rsid w:val="00707FED"/>
    <w:rsid w:val="00711391"/>
    <w:rsid w:val="00713D11"/>
    <w:rsid w:val="0071498A"/>
    <w:rsid w:val="00722408"/>
    <w:rsid w:val="00722776"/>
    <w:rsid w:val="007228BE"/>
    <w:rsid w:val="007229D6"/>
    <w:rsid w:val="00723375"/>
    <w:rsid w:val="00724510"/>
    <w:rsid w:val="00731492"/>
    <w:rsid w:val="00732C4E"/>
    <w:rsid w:val="00736B3B"/>
    <w:rsid w:val="00744A4C"/>
    <w:rsid w:val="00744C5D"/>
    <w:rsid w:val="00752281"/>
    <w:rsid w:val="007554DA"/>
    <w:rsid w:val="00766E36"/>
    <w:rsid w:val="00775963"/>
    <w:rsid w:val="007849B8"/>
    <w:rsid w:val="00794936"/>
    <w:rsid w:val="00794D30"/>
    <w:rsid w:val="00795263"/>
    <w:rsid w:val="007964EB"/>
    <w:rsid w:val="00797D8D"/>
    <w:rsid w:val="007A0F08"/>
    <w:rsid w:val="007A6B4F"/>
    <w:rsid w:val="007A6BE5"/>
    <w:rsid w:val="007A7B08"/>
    <w:rsid w:val="007B57B2"/>
    <w:rsid w:val="007C2D6A"/>
    <w:rsid w:val="007C4959"/>
    <w:rsid w:val="007C60BB"/>
    <w:rsid w:val="007D2860"/>
    <w:rsid w:val="007D3F5F"/>
    <w:rsid w:val="007D6C35"/>
    <w:rsid w:val="007D7ECB"/>
    <w:rsid w:val="007E0EAF"/>
    <w:rsid w:val="007F4E20"/>
    <w:rsid w:val="007F5142"/>
    <w:rsid w:val="00802D70"/>
    <w:rsid w:val="00806A9C"/>
    <w:rsid w:val="008115BB"/>
    <w:rsid w:val="008227C1"/>
    <w:rsid w:val="00827C06"/>
    <w:rsid w:val="0083013B"/>
    <w:rsid w:val="008356AA"/>
    <w:rsid w:val="0084645A"/>
    <w:rsid w:val="00850724"/>
    <w:rsid w:val="0086104A"/>
    <w:rsid w:val="0086275B"/>
    <w:rsid w:val="00865259"/>
    <w:rsid w:val="00866548"/>
    <w:rsid w:val="00867384"/>
    <w:rsid w:val="0088197A"/>
    <w:rsid w:val="0089330A"/>
    <w:rsid w:val="008948CE"/>
    <w:rsid w:val="00896E79"/>
    <w:rsid w:val="008A0363"/>
    <w:rsid w:val="008A0D74"/>
    <w:rsid w:val="008A10AA"/>
    <w:rsid w:val="008A5AF4"/>
    <w:rsid w:val="008A5C67"/>
    <w:rsid w:val="008A6C0C"/>
    <w:rsid w:val="008A7405"/>
    <w:rsid w:val="008C6DE4"/>
    <w:rsid w:val="008E2DF5"/>
    <w:rsid w:val="008F28C0"/>
    <w:rsid w:val="00901821"/>
    <w:rsid w:val="009110E5"/>
    <w:rsid w:val="00912AD8"/>
    <w:rsid w:val="00913058"/>
    <w:rsid w:val="00916592"/>
    <w:rsid w:val="009207ED"/>
    <w:rsid w:val="00920862"/>
    <w:rsid w:val="00920A83"/>
    <w:rsid w:val="009255F9"/>
    <w:rsid w:val="00933B33"/>
    <w:rsid w:val="009351F0"/>
    <w:rsid w:val="00940F74"/>
    <w:rsid w:val="009418C0"/>
    <w:rsid w:val="00943312"/>
    <w:rsid w:val="00950C0C"/>
    <w:rsid w:val="009533A5"/>
    <w:rsid w:val="00954C6A"/>
    <w:rsid w:val="009606B7"/>
    <w:rsid w:val="009607F5"/>
    <w:rsid w:val="00961AD6"/>
    <w:rsid w:val="00962750"/>
    <w:rsid w:val="00963F86"/>
    <w:rsid w:val="00964755"/>
    <w:rsid w:val="00964BB7"/>
    <w:rsid w:val="00967F19"/>
    <w:rsid w:val="00976B13"/>
    <w:rsid w:val="009807B9"/>
    <w:rsid w:val="00982EC8"/>
    <w:rsid w:val="00983ED4"/>
    <w:rsid w:val="009855F9"/>
    <w:rsid w:val="00986B0F"/>
    <w:rsid w:val="00990BF9"/>
    <w:rsid w:val="00994EE3"/>
    <w:rsid w:val="009A702B"/>
    <w:rsid w:val="009B136F"/>
    <w:rsid w:val="009B2A75"/>
    <w:rsid w:val="009B2DD5"/>
    <w:rsid w:val="009B5ACA"/>
    <w:rsid w:val="009B7E2B"/>
    <w:rsid w:val="009C172D"/>
    <w:rsid w:val="009C34E7"/>
    <w:rsid w:val="009C5E6A"/>
    <w:rsid w:val="009C6DC4"/>
    <w:rsid w:val="009D1BAC"/>
    <w:rsid w:val="009D3A01"/>
    <w:rsid w:val="009D64AB"/>
    <w:rsid w:val="009E2FFB"/>
    <w:rsid w:val="009F1B6A"/>
    <w:rsid w:val="00A009C9"/>
    <w:rsid w:val="00A021B7"/>
    <w:rsid w:val="00A30752"/>
    <w:rsid w:val="00A30A85"/>
    <w:rsid w:val="00A317E6"/>
    <w:rsid w:val="00A341A6"/>
    <w:rsid w:val="00A35A4F"/>
    <w:rsid w:val="00A37003"/>
    <w:rsid w:val="00A44C6E"/>
    <w:rsid w:val="00A508BE"/>
    <w:rsid w:val="00A52CAF"/>
    <w:rsid w:val="00A52FEC"/>
    <w:rsid w:val="00A6398F"/>
    <w:rsid w:val="00A8603E"/>
    <w:rsid w:val="00A95D1E"/>
    <w:rsid w:val="00A96916"/>
    <w:rsid w:val="00A96CE7"/>
    <w:rsid w:val="00AA3E4B"/>
    <w:rsid w:val="00AA502F"/>
    <w:rsid w:val="00AA689B"/>
    <w:rsid w:val="00AB37FD"/>
    <w:rsid w:val="00AB5273"/>
    <w:rsid w:val="00AC0916"/>
    <w:rsid w:val="00AC7621"/>
    <w:rsid w:val="00AD026F"/>
    <w:rsid w:val="00AE4C2D"/>
    <w:rsid w:val="00AE76A3"/>
    <w:rsid w:val="00AF08E7"/>
    <w:rsid w:val="00AF3EC9"/>
    <w:rsid w:val="00AF64E7"/>
    <w:rsid w:val="00AF72BF"/>
    <w:rsid w:val="00AF76FB"/>
    <w:rsid w:val="00B012FC"/>
    <w:rsid w:val="00B02E35"/>
    <w:rsid w:val="00B03576"/>
    <w:rsid w:val="00B0472C"/>
    <w:rsid w:val="00B05487"/>
    <w:rsid w:val="00B0629C"/>
    <w:rsid w:val="00B102D9"/>
    <w:rsid w:val="00B15E56"/>
    <w:rsid w:val="00B1779B"/>
    <w:rsid w:val="00B17B93"/>
    <w:rsid w:val="00B254FC"/>
    <w:rsid w:val="00B27F12"/>
    <w:rsid w:val="00B33D7B"/>
    <w:rsid w:val="00B360D5"/>
    <w:rsid w:val="00B37582"/>
    <w:rsid w:val="00B40410"/>
    <w:rsid w:val="00B411FE"/>
    <w:rsid w:val="00B456D9"/>
    <w:rsid w:val="00B46C7E"/>
    <w:rsid w:val="00B52FCF"/>
    <w:rsid w:val="00B6033B"/>
    <w:rsid w:val="00B60410"/>
    <w:rsid w:val="00B61C6C"/>
    <w:rsid w:val="00B71A55"/>
    <w:rsid w:val="00B74E71"/>
    <w:rsid w:val="00B76CA9"/>
    <w:rsid w:val="00B96EA7"/>
    <w:rsid w:val="00BA5A83"/>
    <w:rsid w:val="00BA6799"/>
    <w:rsid w:val="00BB18CD"/>
    <w:rsid w:val="00BB26AB"/>
    <w:rsid w:val="00BC04A2"/>
    <w:rsid w:val="00BC2040"/>
    <w:rsid w:val="00BC3AD3"/>
    <w:rsid w:val="00BC44F4"/>
    <w:rsid w:val="00BC4EA9"/>
    <w:rsid w:val="00BD09C3"/>
    <w:rsid w:val="00BD2888"/>
    <w:rsid w:val="00BD6A05"/>
    <w:rsid w:val="00BD6C4E"/>
    <w:rsid w:val="00BE396E"/>
    <w:rsid w:val="00BE61F0"/>
    <w:rsid w:val="00BE6936"/>
    <w:rsid w:val="00BE69AC"/>
    <w:rsid w:val="00BE77B1"/>
    <w:rsid w:val="00BF0479"/>
    <w:rsid w:val="00BF0DFE"/>
    <w:rsid w:val="00BF3109"/>
    <w:rsid w:val="00BF4914"/>
    <w:rsid w:val="00C0013C"/>
    <w:rsid w:val="00C05EDF"/>
    <w:rsid w:val="00C06FBE"/>
    <w:rsid w:val="00C13B47"/>
    <w:rsid w:val="00C14AE7"/>
    <w:rsid w:val="00C1782D"/>
    <w:rsid w:val="00C20B8A"/>
    <w:rsid w:val="00C20BEE"/>
    <w:rsid w:val="00C30798"/>
    <w:rsid w:val="00C30DDB"/>
    <w:rsid w:val="00C3412D"/>
    <w:rsid w:val="00C34180"/>
    <w:rsid w:val="00C45D90"/>
    <w:rsid w:val="00C50B10"/>
    <w:rsid w:val="00C540A4"/>
    <w:rsid w:val="00C56F2A"/>
    <w:rsid w:val="00C612D9"/>
    <w:rsid w:val="00C614AF"/>
    <w:rsid w:val="00C67123"/>
    <w:rsid w:val="00C703C1"/>
    <w:rsid w:val="00C7085E"/>
    <w:rsid w:val="00C711A1"/>
    <w:rsid w:val="00C808E5"/>
    <w:rsid w:val="00C84EFB"/>
    <w:rsid w:val="00C90108"/>
    <w:rsid w:val="00C90EB4"/>
    <w:rsid w:val="00CA13D9"/>
    <w:rsid w:val="00CA2278"/>
    <w:rsid w:val="00CB01B3"/>
    <w:rsid w:val="00CB1778"/>
    <w:rsid w:val="00CB7E7D"/>
    <w:rsid w:val="00CC038A"/>
    <w:rsid w:val="00CC074D"/>
    <w:rsid w:val="00CC23B0"/>
    <w:rsid w:val="00CC4EBD"/>
    <w:rsid w:val="00CD1217"/>
    <w:rsid w:val="00CD5843"/>
    <w:rsid w:val="00CD712E"/>
    <w:rsid w:val="00CD7AAF"/>
    <w:rsid w:val="00CF2A6D"/>
    <w:rsid w:val="00CF305A"/>
    <w:rsid w:val="00D10820"/>
    <w:rsid w:val="00D118AD"/>
    <w:rsid w:val="00D15284"/>
    <w:rsid w:val="00D23BA3"/>
    <w:rsid w:val="00D27847"/>
    <w:rsid w:val="00D27B27"/>
    <w:rsid w:val="00D4755A"/>
    <w:rsid w:val="00D47A2C"/>
    <w:rsid w:val="00D54A3A"/>
    <w:rsid w:val="00D55D87"/>
    <w:rsid w:val="00D55F83"/>
    <w:rsid w:val="00D56BFA"/>
    <w:rsid w:val="00D701CC"/>
    <w:rsid w:val="00D70C50"/>
    <w:rsid w:val="00D717E0"/>
    <w:rsid w:val="00D733C1"/>
    <w:rsid w:val="00D769FB"/>
    <w:rsid w:val="00D90D56"/>
    <w:rsid w:val="00D93418"/>
    <w:rsid w:val="00DA2F53"/>
    <w:rsid w:val="00DB1E71"/>
    <w:rsid w:val="00DB24BD"/>
    <w:rsid w:val="00DB4A4B"/>
    <w:rsid w:val="00DC0830"/>
    <w:rsid w:val="00DC0A70"/>
    <w:rsid w:val="00DC0E3C"/>
    <w:rsid w:val="00DC3FFD"/>
    <w:rsid w:val="00DC6DB4"/>
    <w:rsid w:val="00DD0AF1"/>
    <w:rsid w:val="00DD311A"/>
    <w:rsid w:val="00DD6B18"/>
    <w:rsid w:val="00DD7F85"/>
    <w:rsid w:val="00DE1748"/>
    <w:rsid w:val="00DE3BBE"/>
    <w:rsid w:val="00DE464A"/>
    <w:rsid w:val="00DE552A"/>
    <w:rsid w:val="00DE6837"/>
    <w:rsid w:val="00DF0327"/>
    <w:rsid w:val="00DF2260"/>
    <w:rsid w:val="00DF79ED"/>
    <w:rsid w:val="00E02561"/>
    <w:rsid w:val="00E031DE"/>
    <w:rsid w:val="00E06462"/>
    <w:rsid w:val="00E10FF3"/>
    <w:rsid w:val="00E16CCC"/>
    <w:rsid w:val="00E231D4"/>
    <w:rsid w:val="00E23599"/>
    <w:rsid w:val="00E31F56"/>
    <w:rsid w:val="00E51EC6"/>
    <w:rsid w:val="00E521B1"/>
    <w:rsid w:val="00E526D4"/>
    <w:rsid w:val="00E52838"/>
    <w:rsid w:val="00E57B85"/>
    <w:rsid w:val="00E62F27"/>
    <w:rsid w:val="00E713BF"/>
    <w:rsid w:val="00E73842"/>
    <w:rsid w:val="00E7422C"/>
    <w:rsid w:val="00E74504"/>
    <w:rsid w:val="00E7560F"/>
    <w:rsid w:val="00E846B1"/>
    <w:rsid w:val="00E924FD"/>
    <w:rsid w:val="00E92BE2"/>
    <w:rsid w:val="00E936DA"/>
    <w:rsid w:val="00E97375"/>
    <w:rsid w:val="00E97C81"/>
    <w:rsid w:val="00EA3BA5"/>
    <w:rsid w:val="00EA3CBC"/>
    <w:rsid w:val="00EA52A4"/>
    <w:rsid w:val="00EC19EF"/>
    <w:rsid w:val="00ED202E"/>
    <w:rsid w:val="00ED4E80"/>
    <w:rsid w:val="00ED516D"/>
    <w:rsid w:val="00EE2D09"/>
    <w:rsid w:val="00EE7F7B"/>
    <w:rsid w:val="00EF3110"/>
    <w:rsid w:val="00EF66C4"/>
    <w:rsid w:val="00EF726D"/>
    <w:rsid w:val="00EF7C38"/>
    <w:rsid w:val="00F04F02"/>
    <w:rsid w:val="00F06683"/>
    <w:rsid w:val="00F13DEA"/>
    <w:rsid w:val="00F157EE"/>
    <w:rsid w:val="00F16E5D"/>
    <w:rsid w:val="00F2152F"/>
    <w:rsid w:val="00F2353D"/>
    <w:rsid w:val="00F32003"/>
    <w:rsid w:val="00F326F1"/>
    <w:rsid w:val="00F51D27"/>
    <w:rsid w:val="00F51E0F"/>
    <w:rsid w:val="00F530A0"/>
    <w:rsid w:val="00F53378"/>
    <w:rsid w:val="00F5737D"/>
    <w:rsid w:val="00F60AAE"/>
    <w:rsid w:val="00F64B99"/>
    <w:rsid w:val="00F669B0"/>
    <w:rsid w:val="00F7360A"/>
    <w:rsid w:val="00F7484F"/>
    <w:rsid w:val="00F8174C"/>
    <w:rsid w:val="00F901ED"/>
    <w:rsid w:val="00F972E7"/>
    <w:rsid w:val="00FA0BB8"/>
    <w:rsid w:val="00FA22A4"/>
    <w:rsid w:val="00FA36DD"/>
    <w:rsid w:val="00FB0CB3"/>
    <w:rsid w:val="00FB1C28"/>
    <w:rsid w:val="00FB39F7"/>
    <w:rsid w:val="00FB7083"/>
    <w:rsid w:val="00FC13AA"/>
    <w:rsid w:val="00FC2897"/>
    <w:rsid w:val="00FC32C0"/>
    <w:rsid w:val="00FC3F65"/>
    <w:rsid w:val="00FC7CC2"/>
    <w:rsid w:val="00FD4AD8"/>
    <w:rsid w:val="00FD60FF"/>
    <w:rsid w:val="00FE1A4B"/>
    <w:rsid w:val="00FE5F2A"/>
    <w:rsid w:val="00FF6C90"/>
    <w:rsid w:val="00FF732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8665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5623"/>
    <w:pPr>
      <w:spacing w:after="0" w:line="240" w:lineRule="auto"/>
    </w:pPr>
    <w:rPr>
      <w:rFonts w:eastAsia="Times New Roman" w:cs="Times New Roman"/>
      <w:szCs w:val="20"/>
      <w:lang w:eastAsia="en-AU"/>
    </w:rPr>
  </w:style>
  <w:style w:type="paragraph" w:styleId="Heading1">
    <w:name w:val="heading 1"/>
    <w:basedOn w:val="Normal"/>
    <w:link w:val="Heading1Char"/>
    <w:uiPriority w:val="99"/>
    <w:qFormat/>
    <w:rsid w:val="00AF64E7"/>
    <w:pPr>
      <w:keepNext/>
      <w:keepLines/>
      <w:outlineLvl w:val="0"/>
    </w:pPr>
    <w:rPr>
      <w:rFonts w:eastAsiaTheme="majorEastAsia" w:cstheme="majorBidi"/>
      <w:b/>
      <w:bCs/>
      <w:szCs w:val="28"/>
    </w:rPr>
  </w:style>
  <w:style w:type="paragraph" w:styleId="Heading2">
    <w:name w:val="heading 2"/>
    <w:basedOn w:val="Normal"/>
    <w:link w:val="Heading2Char"/>
    <w:uiPriority w:val="9"/>
    <w:unhideWhenUsed/>
    <w:qFormat/>
    <w:rsid w:val="00451310"/>
    <w:pPr>
      <w:keepNext/>
      <w:keepLines/>
      <w:outlineLvl w:val="1"/>
    </w:pPr>
    <w:rPr>
      <w:rFonts w:eastAsiaTheme="majorEastAsia" w:cstheme="majorBidi"/>
      <w:bCs/>
      <w:i/>
      <w:szCs w:val="26"/>
    </w:rPr>
  </w:style>
  <w:style w:type="paragraph" w:styleId="Heading3">
    <w:name w:val="heading 3"/>
    <w:basedOn w:val="Normal"/>
    <w:next w:val="Normal"/>
    <w:link w:val="Heading3Char"/>
    <w:uiPriority w:val="9"/>
    <w:unhideWhenUsed/>
    <w:qFormat/>
    <w:rsid w:val="00301462"/>
    <w:pPr>
      <w:keepNext/>
      <w:keepLines/>
      <w:spacing w:before="40"/>
      <w:outlineLvl w:val="2"/>
    </w:pPr>
    <w:rPr>
      <w:rFonts w:eastAsiaTheme="majorEastAsia" w:cstheme="majorBidi"/>
      <w:szCs w:val="24"/>
      <w:u w:val="single"/>
    </w:rPr>
  </w:style>
  <w:style w:type="paragraph" w:styleId="Heading4">
    <w:name w:val="heading 4"/>
    <w:basedOn w:val="Normal"/>
    <w:next w:val="Normal"/>
    <w:link w:val="Heading4Char"/>
    <w:uiPriority w:val="9"/>
    <w:semiHidden/>
    <w:unhideWhenUsed/>
    <w:qFormat/>
    <w:rsid w:val="007C2D6A"/>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963F86"/>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DE6837"/>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65623"/>
    <w:rPr>
      <w:color w:val="0000FF"/>
      <w:u w:val="single"/>
    </w:rPr>
  </w:style>
  <w:style w:type="paragraph" w:styleId="FootnoteText">
    <w:name w:val="footnote text"/>
    <w:basedOn w:val="Normal"/>
    <w:link w:val="FootnoteTextChar"/>
    <w:semiHidden/>
    <w:rsid w:val="00065623"/>
    <w:rPr>
      <w:sz w:val="20"/>
    </w:rPr>
  </w:style>
  <w:style w:type="character" w:customStyle="1" w:styleId="FootnoteTextChar">
    <w:name w:val="Footnote Text Char"/>
    <w:basedOn w:val="DefaultParagraphFont"/>
    <w:link w:val="FootnoteText"/>
    <w:semiHidden/>
    <w:rsid w:val="00065623"/>
    <w:rPr>
      <w:rFonts w:eastAsia="Times New Roman" w:cs="Times New Roman"/>
      <w:sz w:val="20"/>
      <w:szCs w:val="20"/>
      <w:lang w:eastAsia="en-AU"/>
    </w:rPr>
  </w:style>
  <w:style w:type="character" w:styleId="FootnoteReference">
    <w:name w:val="footnote reference"/>
    <w:basedOn w:val="DefaultParagraphFont"/>
    <w:semiHidden/>
    <w:rsid w:val="00065623"/>
    <w:rPr>
      <w:vertAlign w:val="superscript"/>
    </w:rPr>
  </w:style>
  <w:style w:type="paragraph" w:styleId="ListParagraph">
    <w:name w:val="List Paragraph"/>
    <w:aliases w:val="Styl moj,Akapit z listą1,Akapit z listą11"/>
    <w:basedOn w:val="Normal"/>
    <w:link w:val="ListParagraphChar"/>
    <w:uiPriority w:val="34"/>
    <w:qFormat/>
    <w:rsid w:val="00065623"/>
    <w:pPr>
      <w:ind w:left="720"/>
      <w:contextualSpacing/>
    </w:pPr>
  </w:style>
  <w:style w:type="paragraph" w:styleId="BalloonText">
    <w:name w:val="Balloon Text"/>
    <w:basedOn w:val="Normal"/>
    <w:link w:val="BalloonTextChar"/>
    <w:uiPriority w:val="99"/>
    <w:semiHidden/>
    <w:unhideWhenUsed/>
    <w:rsid w:val="00065623"/>
    <w:rPr>
      <w:rFonts w:ascii="Tahoma" w:hAnsi="Tahoma" w:cs="Tahoma"/>
      <w:sz w:val="16"/>
      <w:szCs w:val="16"/>
    </w:rPr>
  </w:style>
  <w:style w:type="character" w:customStyle="1" w:styleId="BalloonTextChar">
    <w:name w:val="Balloon Text Char"/>
    <w:basedOn w:val="DefaultParagraphFont"/>
    <w:link w:val="BalloonText"/>
    <w:uiPriority w:val="99"/>
    <w:semiHidden/>
    <w:rsid w:val="00065623"/>
    <w:rPr>
      <w:rFonts w:ascii="Tahoma" w:eastAsia="Times New Roman" w:hAnsi="Tahoma" w:cs="Tahoma"/>
      <w:sz w:val="16"/>
      <w:szCs w:val="16"/>
      <w:lang w:eastAsia="en-AU"/>
    </w:rPr>
  </w:style>
  <w:style w:type="paragraph" w:styleId="Header">
    <w:name w:val="header"/>
    <w:basedOn w:val="Normal"/>
    <w:link w:val="HeaderChar"/>
    <w:unhideWhenUsed/>
    <w:rsid w:val="008227C1"/>
    <w:pPr>
      <w:tabs>
        <w:tab w:val="center" w:pos="4513"/>
        <w:tab w:val="right" w:pos="9026"/>
      </w:tabs>
    </w:pPr>
  </w:style>
  <w:style w:type="character" w:customStyle="1" w:styleId="HeaderChar">
    <w:name w:val="Header Char"/>
    <w:basedOn w:val="DefaultParagraphFont"/>
    <w:link w:val="Header"/>
    <w:rsid w:val="008227C1"/>
    <w:rPr>
      <w:rFonts w:eastAsia="Times New Roman" w:cs="Times New Roman"/>
      <w:szCs w:val="20"/>
      <w:lang w:eastAsia="en-AU"/>
    </w:rPr>
  </w:style>
  <w:style w:type="paragraph" w:styleId="Footer">
    <w:name w:val="footer"/>
    <w:basedOn w:val="Normal"/>
    <w:link w:val="FooterChar"/>
    <w:uiPriority w:val="99"/>
    <w:unhideWhenUsed/>
    <w:rsid w:val="008227C1"/>
    <w:pPr>
      <w:tabs>
        <w:tab w:val="center" w:pos="4513"/>
        <w:tab w:val="right" w:pos="9026"/>
      </w:tabs>
    </w:pPr>
  </w:style>
  <w:style w:type="character" w:customStyle="1" w:styleId="FooterChar">
    <w:name w:val="Footer Char"/>
    <w:basedOn w:val="DefaultParagraphFont"/>
    <w:link w:val="Footer"/>
    <w:uiPriority w:val="99"/>
    <w:rsid w:val="008227C1"/>
    <w:rPr>
      <w:rFonts w:eastAsia="Times New Roman" w:cs="Times New Roman"/>
      <w:szCs w:val="20"/>
      <w:lang w:eastAsia="en-AU"/>
    </w:rPr>
  </w:style>
  <w:style w:type="paragraph" w:customStyle="1" w:styleId="Table">
    <w:name w:val="Table"/>
    <w:basedOn w:val="Normal"/>
    <w:link w:val="TableChar"/>
    <w:qFormat/>
    <w:rsid w:val="00C20B8A"/>
    <w:rPr>
      <w:rFonts w:ascii="Candara" w:eastAsiaTheme="majorEastAsia" w:hAnsi="Candara" w:cstheme="majorBidi"/>
      <w:sz w:val="20"/>
      <w:szCs w:val="22"/>
      <w:lang w:eastAsia="en-US" w:bidi="en-US"/>
    </w:rPr>
  </w:style>
  <w:style w:type="character" w:customStyle="1" w:styleId="TableChar">
    <w:name w:val="Table Char"/>
    <w:basedOn w:val="DefaultParagraphFont"/>
    <w:link w:val="Table"/>
    <w:locked/>
    <w:rsid w:val="00C20B8A"/>
    <w:rPr>
      <w:rFonts w:ascii="Candara" w:eastAsiaTheme="majorEastAsia" w:hAnsi="Candara" w:cstheme="majorBidi"/>
      <w:sz w:val="20"/>
      <w:lang w:bidi="en-US"/>
    </w:rPr>
  </w:style>
  <w:style w:type="paragraph" w:customStyle="1" w:styleId="TableCentre">
    <w:name w:val="Table Centre"/>
    <w:basedOn w:val="Table"/>
    <w:uiPriority w:val="99"/>
    <w:qFormat/>
    <w:rsid w:val="00C20B8A"/>
    <w:pPr>
      <w:jc w:val="center"/>
    </w:pPr>
  </w:style>
  <w:style w:type="table" w:styleId="TableGrid">
    <w:name w:val="Table Grid"/>
    <w:aliases w:val="Summary box,Table Gridbeth"/>
    <w:basedOn w:val="TableNormal"/>
    <w:rsid w:val="00C20B8A"/>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136969"/>
    <w:pPr>
      <w:spacing w:before="40" w:after="40"/>
    </w:pPr>
    <w:rPr>
      <w:rFonts w:ascii="Arial Narrow" w:hAnsi="Arial Narrow"/>
      <w:sz w:val="20"/>
      <w:szCs w:val="24"/>
      <w:lang w:eastAsia="en-US"/>
    </w:rPr>
  </w:style>
  <w:style w:type="paragraph" w:customStyle="1" w:styleId="Tabletextbold">
    <w:name w:val="Table text bold"/>
    <w:basedOn w:val="Normal"/>
    <w:link w:val="TabletextboldChar"/>
    <w:rsid w:val="00C20B8A"/>
    <w:pPr>
      <w:keepNext/>
      <w:jc w:val="center"/>
    </w:pPr>
    <w:rPr>
      <w:rFonts w:ascii="Arial Narrow" w:hAnsi="Arial Narrow" w:cs="Arial"/>
      <w:b/>
      <w:sz w:val="20"/>
      <w:lang w:eastAsia="en-US"/>
    </w:rPr>
  </w:style>
  <w:style w:type="character" w:customStyle="1" w:styleId="TabletextChar">
    <w:name w:val="Table text Char"/>
    <w:basedOn w:val="DefaultParagraphFont"/>
    <w:link w:val="Tabletext"/>
    <w:rsid w:val="00136969"/>
    <w:rPr>
      <w:rFonts w:ascii="Arial Narrow" w:eastAsia="Times New Roman" w:hAnsi="Arial Narrow" w:cs="Times New Roman"/>
      <w:sz w:val="20"/>
      <w:szCs w:val="24"/>
    </w:rPr>
  </w:style>
  <w:style w:type="character" w:customStyle="1" w:styleId="TabletextboldChar">
    <w:name w:val="Table text bold Char"/>
    <w:basedOn w:val="DefaultParagraphFont"/>
    <w:link w:val="Tabletextbold"/>
    <w:rsid w:val="00C20B8A"/>
    <w:rPr>
      <w:rFonts w:ascii="Arial Narrow" w:eastAsia="Times New Roman" w:hAnsi="Arial Narrow" w:cs="Arial"/>
      <w:b/>
      <w:sz w:val="20"/>
      <w:szCs w:val="20"/>
    </w:rPr>
  </w:style>
  <w:style w:type="paragraph" w:customStyle="1" w:styleId="ESHeading2">
    <w:name w:val="ES Heading 2"/>
    <w:basedOn w:val="Heading2"/>
    <w:link w:val="ESHeading2Char"/>
    <w:rsid w:val="00C20B8A"/>
    <w:pPr>
      <w:keepLines w:val="0"/>
      <w:ind w:left="576" w:hanging="576"/>
      <w:jc w:val="both"/>
    </w:pPr>
    <w:rPr>
      <w:rFonts w:ascii="Garamond" w:eastAsia="Times New Roman" w:hAnsi="Garamond" w:cs="Times New Roman"/>
      <w:iCs/>
      <w:szCs w:val="28"/>
    </w:rPr>
  </w:style>
  <w:style w:type="character" w:customStyle="1" w:styleId="ESHeading2Char">
    <w:name w:val="ES Heading 2 Char"/>
    <w:basedOn w:val="Heading2Char"/>
    <w:link w:val="ESHeading2"/>
    <w:rsid w:val="00C20B8A"/>
    <w:rPr>
      <w:rFonts w:ascii="Garamond" w:eastAsia="Times New Roman" w:hAnsi="Garamond" w:cs="Times New Roman"/>
      <w:b w:val="0"/>
      <w:bCs/>
      <w:i/>
      <w:iCs/>
      <w:color w:val="4F81BD" w:themeColor="accent1"/>
      <w:sz w:val="26"/>
      <w:szCs w:val="28"/>
      <w:lang w:eastAsia="en-AU"/>
    </w:rPr>
  </w:style>
  <w:style w:type="table" w:customStyle="1" w:styleId="Submissiontemplate2">
    <w:name w:val="Submission template2"/>
    <w:basedOn w:val="TableNormal"/>
    <w:uiPriority w:val="99"/>
    <w:rsid w:val="00C20B8A"/>
    <w:pPr>
      <w:spacing w:after="0" w:line="240" w:lineRule="auto"/>
    </w:pPr>
    <w:rPr>
      <w:rFonts w:ascii="Candara" w:eastAsiaTheme="majorEastAsia" w:hAnsi="Candara" w:cstheme="majorBidi"/>
      <w:sz w:val="20"/>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tblPr/>
      <w:tcPr>
        <w:shd w:val="clear" w:color="auto" w:fill="BFBFBF" w:themeFill="background1" w:themeFillShade="BF"/>
      </w:tcPr>
    </w:tblStylePr>
    <w:tblStylePr w:type="lastRow">
      <w:tblPr/>
      <w:tcPr>
        <w:shd w:val="clear" w:color="auto" w:fill="FFFFFF" w:themeFill="background1"/>
      </w:tcPr>
    </w:tblStylePr>
    <w:tblStylePr w:type="band1Horz">
      <w:tblPr/>
      <w:tcPr>
        <w:shd w:val="clear" w:color="auto" w:fill="FFFFFF" w:themeFill="background1"/>
      </w:tcPr>
    </w:tblStylePr>
  </w:style>
  <w:style w:type="character" w:customStyle="1" w:styleId="Heading2Char">
    <w:name w:val="Heading 2 Char"/>
    <w:basedOn w:val="DefaultParagraphFont"/>
    <w:link w:val="Heading2"/>
    <w:uiPriority w:val="9"/>
    <w:rsid w:val="00451310"/>
    <w:rPr>
      <w:rFonts w:eastAsiaTheme="majorEastAsia" w:cstheme="majorBidi"/>
      <w:bCs/>
      <w:i/>
      <w:szCs w:val="26"/>
      <w:lang w:eastAsia="en-AU"/>
    </w:rPr>
  </w:style>
  <w:style w:type="character" w:styleId="Emphasis">
    <w:name w:val="Emphasis"/>
    <w:uiPriority w:val="20"/>
    <w:qFormat/>
    <w:rsid w:val="00C84EFB"/>
    <w:rPr>
      <w:rFonts w:ascii="Garamond" w:eastAsia="Times New Roman" w:hAnsi="Garamond" w:cs="Times New Roman"/>
      <w:i/>
      <w:sz w:val="24"/>
      <w:szCs w:val="24"/>
    </w:rPr>
  </w:style>
  <w:style w:type="paragraph" w:customStyle="1" w:styleId="Tabletextboldleft">
    <w:name w:val="Table text bold left"/>
    <w:basedOn w:val="Tabletextbold"/>
    <w:link w:val="TabletextboldleftChar"/>
    <w:qFormat/>
    <w:rsid w:val="00C84EFB"/>
    <w:pPr>
      <w:jc w:val="left"/>
    </w:pPr>
  </w:style>
  <w:style w:type="character" w:customStyle="1" w:styleId="TabletextboldleftChar">
    <w:name w:val="Table text bold left Char"/>
    <w:basedOn w:val="TabletextboldChar"/>
    <w:link w:val="Tabletextboldleft"/>
    <w:rsid w:val="00C84EFB"/>
    <w:rPr>
      <w:rFonts w:ascii="Arial Narrow" w:eastAsia="Times New Roman" w:hAnsi="Arial Narrow" w:cs="Arial"/>
      <w:b/>
      <w:sz w:val="20"/>
      <w:szCs w:val="20"/>
    </w:rPr>
  </w:style>
  <w:style w:type="table" w:customStyle="1" w:styleId="Submissiontemplate7">
    <w:name w:val="Submission template7"/>
    <w:basedOn w:val="TableNormal"/>
    <w:uiPriority w:val="99"/>
    <w:rsid w:val="00C84EFB"/>
    <w:pPr>
      <w:spacing w:after="0" w:line="240" w:lineRule="auto"/>
    </w:pPr>
    <w:rPr>
      <w:rFonts w:ascii="Candara" w:eastAsiaTheme="majorEastAsia" w:hAnsi="Candara" w:cstheme="majorBidi"/>
      <w:sz w:val="20"/>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tblPr/>
      <w:tcPr>
        <w:shd w:val="clear" w:color="auto" w:fill="BFBFBF" w:themeFill="background1" w:themeFillShade="BF"/>
      </w:tcPr>
    </w:tblStylePr>
    <w:tblStylePr w:type="lastRow">
      <w:tblPr/>
      <w:tcPr>
        <w:shd w:val="clear" w:color="auto" w:fill="FFFFFF" w:themeFill="background1"/>
      </w:tcPr>
    </w:tblStylePr>
    <w:tblStylePr w:type="band1Horz">
      <w:tblPr/>
      <w:tcPr>
        <w:shd w:val="clear" w:color="auto" w:fill="FFFFFF" w:themeFill="background1"/>
      </w:tcPr>
    </w:tblStylePr>
  </w:style>
  <w:style w:type="paragraph" w:customStyle="1" w:styleId="Tablecaption">
    <w:name w:val="Table caption"/>
    <w:basedOn w:val="Normal"/>
    <w:link w:val="TablecaptionChar"/>
    <w:qFormat/>
    <w:rsid w:val="000E396B"/>
    <w:pPr>
      <w:keepNext/>
      <w:keepLines/>
      <w:jc w:val="both"/>
    </w:pPr>
    <w:rPr>
      <w:rFonts w:ascii="Arial Narrow" w:hAnsi="Arial Narrow" w:cs="Arial"/>
      <w:sz w:val="20"/>
      <w:lang w:eastAsia="en-US"/>
    </w:rPr>
  </w:style>
  <w:style w:type="character" w:customStyle="1" w:styleId="TablecaptionChar">
    <w:name w:val="Table caption Char"/>
    <w:basedOn w:val="DefaultParagraphFont"/>
    <w:link w:val="Tablecaption"/>
    <w:rsid w:val="000E396B"/>
    <w:rPr>
      <w:rFonts w:ascii="Arial Narrow" w:eastAsia="Times New Roman" w:hAnsi="Arial Narrow" w:cs="Arial"/>
      <w:sz w:val="20"/>
      <w:szCs w:val="20"/>
    </w:rPr>
  </w:style>
  <w:style w:type="paragraph" w:customStyle="1" w:styleId="Tabletextcentred">
    <w:name w:val="Table text centred"/>
    <w:basedOn w:val="Tabletext"/>
    <w:link w:val="TabletextcentredChar"/>
    <w:qFormat/>
    <w:rsid w:val="000E396B"/>
    <w:pPr>
      <w:jc w:val="center"/>
    </w:pPr>
  </w:style>
  <w:style w:type="character" w:customStyle="1" w:styleId="TabletextcentredChar">
    <w:name w:val="Table text centred Char"/>
    <w:basedOn w:val="TabletextChar"/>
    <w:link w:val="Tabletextcentred"/>
    <w:rsid w:val="000E396B"/>
    <w:rPr>
      <w:rFonts w:ascii="Arial Narrow" w:eastAsia="Times New Roman" w:hAnsi="Arial Narrow" w:cs="Times New Roman"/>
      <w:sz w:val="20"/>
      <w:szCs w:val="24"/>
    </w:rPr>
  </w:style>
  <w:style w:type="paragraph" w:styleId="Caption">
    <w:name w:val="caption"/>
    <w:aliases w:val="Bayer Caption,IB Caption,Medical Caption,CSR Caption,Table and Figure Name,Table and Figure name,Caption Char2 Char,Caption Char Char Char2,Caption Char1 Char Char Char1,Caption Char2 Char Char Char1 Char1"/>
    <w:basedOn w:val="Normal"/>
    <w:next w:val="Normal"/>
    <w:link w:val="CaptionChar"/>
    <w:unhideWhenUsed/>
    <w:qFormat/>
    <w:rsid w:val="00C67123"/>
    <w:pPr>
      <w:keepNext/>
      <w:spacing w:after="40"/>
      <w:jc w:val="both"/>
      <w:outlineLvl w:val="4"/>
    </w:pPr>
    <w:rPr>
      <w:rFonts w:ascii="Arial Narrow" w:hAnsi="Arial Narrow" w:cs="Arial"/>
      <w:b/>
      <w:bCs/>
      <w:iCs/>
      <w:sz w:val="20"/>
      <w:lang w:eastAsia="en-US"/>
    </w:rPr>
  </w:style>
  <w:style w:type="character" w:customStyle="1" w:styleId="TableBold">
    <w:name w:val="Table Bold"/>
    <w:uiPriority w:val="4"/>
    <w:qFormat/>
    <w:rsid w:val="005856E5"/>
    <w:rPr>
      <w:rFonts w:ascii="Calibri" w:hAnsi="Calibri" w:hint="default"/>
      <w:b/>
      <w:bCs w:val="0"/>
      <w:sz w:val="20"/>
      <w:lang w:val="en-AU"/>
    </w:rPr>
  </w:style>
  <w:style w:type="table" w:customStyle="1" w:styleId="TableGrid12">
    <w:name w:val="Table Grid12"/>
    <w:basedOn w:val="TableNormal"/>
    <w:next w:val="TableGrid"/>
    <w:uiPriority w:val="59"/>
    <w:rsid w:val="005856E5"/>
    <w:pPr>
      <w:spacing w:after="0" w:line="240" w:lineRule="auto"/>
    </w:pPr>
    <w:rPr>
      <w:rFonts w:ascii="Candara" w:eastAsia="Times New Roman" w:hAnsi="Candara" w:cstheme="majorBidi"/>
      <w:sz w:val="20"/>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blHeader/>
    </w:trPr>
  </w:style>
  <w:style w:type="paragraph" w:customStyle="1" w:styleId="Style2">
    <w:name w:val="Style2"/>
    <w:basedOn w:val="Normal"/>
    <w:link w:val="Style2Char"/>
    <w:qFormat/>
    <w:rsid w:val="00303414"/>
    <w:pPr>
      <w:tabs>
        <w:tab w:val="num" w:pos="360"/>
        <w:tab w:val="left" w:pos="720"/>
        <w:tab w:val="left" w:pos="1140"/>
      </w:tabs>
      <w:spacing w:before="120"/>
      <w:ind w:left="360" w:hanging="360"/>
    </w:pPr>
    <w:rPr>
      <w:rFonts w:ascii="Arial" w:hAnsi="Arial" w:cs="Arial"/>
      <w:color w:val="3366FF"/>
      <w:szCs w:val="24"/>
    </w:rPr>
  </w:style>
  <w:style w:type="character" w:customStyle="1" w:styleId="Style2Char">
    <w:name w:val="Style2 Char"/>
    <w:basedOn w:val="DefaultParagraphFont"/>
    <w:link w:val="Style2"/>
    <w:rsid w:val="00303414"/>
    <w:rPr>
      <w:rFonts w:ascii="Arial" w:eastAsia="Times New Roman" w:hAnsi="Arial" w:cs="Arial"/>
      <w:color w:val="3366FF"/>
      <w:szCs w:val="24"/>
      <w:lang w:eastAsia="en-AU"/>
    </w:rPr>
  </w:style>
  <w:style w:type="paragraph" w:styleId="NoSpacing">
    <w:name w:val="No Spacing"/>
    <w:uiPriority w:val="1"/>
    <w:qFormat/>
    <w:rsid w:val="00303414"/>
    <w:pPr>
      <w:spacing w:after="0" w:line="240" w:lineRule="auto"/>
    </w:pPr>
    <w:rPr>
      <w:rFonts w:asciiTheme="minorHAnsi" w:hAnsiTheme="minorHAnsi"/>
      <w:sz w:val="22"/>
    </w:rPr>
  </w:style>
  <w:style w:type="paragraph" w:customStyle="1" w:styleId="NormalBulletList">
    <w:name w:val="Normal Bullet List"/>
    <w:basedOn w:val="Normal"/>
    <w:uiPriority w:val="3"/>
    <w:qFormat/>
    <w:rsid w:val="00950C0C"/>
    <w:pPr>
      <w:numPr>
        <w:numId w:val="7"/>
      </w:numPr>
      <w:spacing w:after="240" w:line="276" w:lineRule="auto"/>
      <w:contextualSpacing/>
      <w:jc w:val="both"/>
    </w:pPr>
    <w:rPr>
      <w:rFonts w:ascii="Candara" w:eastAsiaTheme="majorEastAsia" w:hAnsi="Candara" w:cstheme="majorBidi"/>
      <w:szCs w:val="22"/>
      <w:lang w:eastAsia="en-US" w:bidi="en-US"/>
    </w:rPr>
  </w:style>
  <w:style w:type="paragraph" w:styleId="EndnoteText">
    <w:name w:val="endnote text"/>
    <w:basedOn w:val="Normal"/>
    <w:link w:val="EndnoteTextChar"/>
    <w:rsid w:val="00CD7AAF"/>
    <w:pPr>
      <w:widowControl w:val="0"/>
    </w:pPr>
    <w:rPr>
      <w:snapToGrid w:val="0"/>
      <w:sz w:val="20"/>
      <w:lang w:val="en-US" w:eastAsia="en-US"/>
    </w:rPr>
  </w:style>
  <w:style w:type="character" w:customStyle="1" w:styleId="EndnoteTextChar">
    <w:name w:val="Endnote Text Char"/>
    <w:basedOn w:val="DefaultParagraphFont"/>
    <w:link w:val="EndnoteText"/>
    <w:rsid w:val="00CD7AAF"/>
    <w:rPr>
      <w:rFonts w:eastAsia="Times New Roman" w:cs="Times New Roman"/>
      <w:snapToGrid w:val="0"/>
      <w:sz w:val="20"/>
      <w:szCs w:val="20"/>
      <w:lang w:val="en-US"/>
    </w:rPr>
  </w:style>
  <w:style w:type="character" w:styleId="EndnoteReference">
    <w:name w:val="endnote reference"/>
    <w:basedOn w:val="DefaultParagraphFont"/>
    <w:rsid w:val="00CD7AAF"/>
    <w:rPr>
      <w:vertAlign w:val="superscript"/>
    </w:rPr>
  </w:style>
  <w:style w:type="character" w:customStyle="1" w:styleId="CaptionChar">
    <w:name w:val="Caption Char"/>
    <w:aliases w:val="Bayer Caption Char,IB Caption Char,Medical Caption Char,CSR Caption Char,Table and Figure Name Char,Table and Figure name Char,Caption Char2 Char Char,Caption Char Char Char2 Char,Caption Char1 Char Char Char1 Char"/>
    <w:basedOn w:val="DefaultParagraphFont"/>
    <w:link w:val="Caption"/>
    <w:rsid w:val="00C67123"/>
    <w:rPr>
      <w:rFonts w:ascii="Arial Narrow" w:eastAsia="Times New Roman" w:hAnsi="Arial Narrow" w:cs="Arial"/>
      <w:b/>
      <w:bCs/>
      <w:iCs/>
      <w:sz w:val="20"/>
      <w:szCs w:val="20"/>
    </w:rPr>
  </w:style>
  <w:style w:type="character" w:customStyle="1" w:styleId="SmallBold">
    <w:name w:val="Small Bold"/>
    <w:basedOn w:val="DefaultParagraphFont"/>
    <w:uiPriority w:val="4"/>
    <w:qFormat/>
    <w:rsid w:val="00FB7083"/>
    <w:rPr>
      <w:rFonts w:ascii="Candara" w:hAnsi="Candara"/>
      <w:b/>
      <w:sz w:val="20"/>
      <w:lang w:val="en-AU"/>
    </w:rPr>
  </w:style>
  <w:style w:type="table" w:customStyle="1" w:styleId="Submissiontemplate">
    <w:name w:val="Submission template"/>
    <w:basedOn w:val="TableNormal"/>
    <w:uiPriority w:val="99"/>
    <w:rsid w:val="00FB7083"/>
    <w:pPr>
      <w:spacing w:after="0" w:line="240" w:lineRule="auto"/>
    </w:pPr>
    <w:rPr>
      <w:rFonts w:ascii="Candara" w:eastAsiaTheme="majorEastAsia" w:hAnsi="Candara" w:cstheme="majorBidi"/>
      <w:sz w:val="20"/>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left"/>
      </w:pPr>
      <w:tblPr/>
      <w:tcPr>
        <w:shd w:val="clear" w:color="auto" w:fill="BFBFBF" w:themeFill="background1" w:themeFillShade="BF"/>
      </w:tcPr>
    </w:tblStylePr>
    <w:tblStylePr w:type="lastRow">
      <w:tblPr/>
      <w:tcPr>
        <w:shd w:val="clear" w:color="auto" w:fill="FFFFFF" w:themeFill="background1"/>
      </w:tcPr>
    </w:tblStylePr>
    <w:tblStylePr w:type="band1Horz">
      <w:tblPr/>
      <w:tcPr>
        <w:shd w:val="clear" w:color="auto" w:fill="FFFFFF" w:themeFill="background1"/>
      </w:tcPr>
    </w:tblStylePr>
  </w:style>
  <w:style w:type="character" w:styleId="CommentReference">
    <w:name w:val="annotation reference"/>
    <w:basedOn w:val="DefaultParagraphFont"/>
    <w:uiPriority w:val="99"/>
    <w:semiHidden/>
    <w:unhideWhenUsed/>
    <w:rsid w:val="00C90EB4"/>
    <w:rPr>
      <w:sz w:val="16"/>
      <w:szCs w:val="16"/>
    </w:rPr>
  </w:style>
  <w:style w:type="paragraph" w:styleId="CommentText">
    <w:name w:val="annotation text"/>
    <w:basedOn w:val="Normal"/>
    <w:link w:val="CommentTextChar"/>
    <w:uiPriority w:val="99"/>
    <w:unhideWhenUsed/>
    <w:rsid w:val="00C90EB4"/>
    <w:rPr>
      <w:sz w:val="20"/>
    </w:rPr>
  </w:style>
  <w:style w:type="character" w:customStyle="1" w:styleId="CommentTextChar">
    <w:name w:val="Comment Text Char"/>
    <w:basedOn w:val="DefaultParagraphFont"/>
    <w:link w:val="CommentText"/>
    <w:uiPriority w:val="99"/>
    <w:rsid w:val="00C90EB4"/>
    <w:rPr>
      <w:rFonts w:eastAsia="Times New Roman"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C90EB4"/>
    <w:rPr>
      <w:b/>
      <w:bCs/>
    </w:rPr>
  </w:style>
  <w:style w:type="character" w:customStyle="1" w:styleId="CommentSubjectChar">
    <w:name w:val="Comment Subject Char"/>
    <w:basedOn w:val="CommentTextChar"/>
    <w:link w:val="CommentSubject"/>
    <w:uiPriority w:val="99"/>
    <w:semiHidden/>
    <w:rsid w:val="00C90EB4"/>
    <w:rPr>
      <w:rFonts w:eastAsia="Times New Roman" w:cs="Times New Roman"/>
      <w:b/>
      <w:bCs/>
      <w:sz w:val="20"/>
      <w:szCs w:val="20"/>
      <w:lang w:eastAsia="en-AU"/>
    </w:rPr>
  </w:style>
  <w:style w:type="paragraph" w:customStyle="1" w:styleId="TableHeading">
    <w:name w:val="TableHeading"/>
    <w:basedOn w:val="Normal"/>
    <w:link w:val="TableHeadingChar"/>
    <w:qFormat/>
    <w:rsid w:val="00054151"/>
    <w:pPr>
      <w:keepNext/>
      <w:spacing w:before="40" w:after="40"/>
      <w:ind w:left="1134" w:hanging="1134"/>
      <w:jc w:val="both"/>
    </w:pPr>
    <w:rPr>
      <w:rFonts w:ascii="Arial Narrow" w:hAnsi="Arial Narrow" w:cs="Tahoma"/>
      <w:b/>
      <w:noProof/>
      <w:sz w:val="20"/>
    </w:rPr>
  </w:style>
  <w:style w:type="character" w:customStyle="1" w:styleId="TableHeadingChar">
    <w:name w:val="TableHeading Char"/>
    <w:link w:val="TableHeading"/>
    <w:rsid w:val="00054151"/>
    <w:rPr>
      <w:rFonts w:ascii="Arial Narrow" w:eastAsia="Times New Roman" w:hAnsi="Arial Narrow" w:cs="Tahoma"/>
      <w:b/>
      <w:noProof/>
      <w:sz w:val="20"/>
      <w:szCs w:val="20"/>
      <w:lang w:eastAsia="en-AU"/>
    </w:rPr>
  </w:style>
  <w:style w:type="paragraph" w:customStyle="1" w:styleId="Tablenotes">
    <w:name w:val="Tablenotes"/>
    <w:basedOn w:val="Normal"/>
    <w:link w:val="TablenotesChar"/>
    <w:autoRedefine/>
    <w:qFormat/>
    <w:rsid w:val="009110E5"/>
    <w:pPr>
      <w:widowControl w:val="0"/>
      <w:spacing w:before="60" w:after="120"/>
      <w:contextualSpacing/>
    </w:pPr>
    <w:rPr>
      <w:rFonts w:ascii="Arial Narrow" w:hAnsi="Arial Narrow" w:cs="Arial"/>
      <w:snapToGrid w:val="0"/>
      <w:sz w:val="18"/>
      <w:lang w:eastAsia="en-US"/>
    </w:rPr>
  </w:style>
  <w:style w:type="character" w:customStyle="1" w:styleId="TablenotesChar">
    <w:name w:val="Tablenotes Char"/>
    <w:basedOn w:val="DefaultParagraphFont"/>
    <w:link w:val="Tablenotes"/>
    <w:rsid w:val="009110E5"/>
    <w:rPr>
      <w:rFonts w:ascii="Arial Narrow" w:eastAsia="Times New Roman" w:hAnsi="Arial Narrow" w:cs="Arial"/>
      <w:snapToGrid w:val="0"/>
      <w:sz w:val="18"/>
      <w:szCs w:val="20"/>
    </w:rPr>
  </w:style>
  <w:style w:type="character" w:customStyle="1" w:styleId="Heading4Char">
    <w:name w:val="Heading 4 Char"/>
    <w:basedOn w:val="DefaultParagraphFont"/>
    <w:link w:val="Heading4"/>
    <w:uiPriority w:val="9"/>
    <w:semiHidden/>
    <w:rsid w:val="007C2D6A"/>
    <w:rPr>
      <w:rFonts w:asciiTheme="majorHAnsi" w:eastAsiaTheme="majorEastAsia" w:hAnsiTheme="majorHAnsi" w:cstheme="majorBidi"/>
      <w:b/>
      <w:bCs/>
      <w:i/>
      <w:iCs/>
      <w:color w:val="4F81BD" w:themeColor="accent1"/>
      <w:szCs w:val="20"/>
      <w:lang w:eastAsia="en-AU"/>
    </w:rPr>
  </w:style>
  <w:style w:type="table" w:customStyle="1" w:styleId="TableGrid2">
    <w:name w:val="Table Grid2"/>
    <w:basedOn w:val="TableNormal"/>
    <w:next w:val="TableGrid"/>
    <w:rsid w:val="000E6588"/>
    <w:pPr>
      <w:spacing w:before="40" w:after="40" w:line="240" w:lineRule="auto"/>
    </w:pPr>
    <w:rPr>
      <w:rFonts w:ascii="Arial Narrow" w:eastAsia="Times New Roman" w:hAnsi="Arial Narrow"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Humanist 77 7 BT" w:hAnsi="Humanist 77 7 BT"/>
        <w:b w:val="0"/>
        <w:sz w:val="20"/>
      </w:rPr>
    </w:tblStylePr>
  </w:style>
  <w:style w:type="character" w:customStyle="1" w:styleId="Heading1Char">
    <w:name w:val="Heading 1 Char"/>
    <w:basedOn w:val="DefaultParagraphFont"/>
    <w:link w:val="Heading1"/>
    <w:uiPriority w:val="99"/>
    <w:rsid w:val="00AF64E7"/>
    <w:rPr>
      <w:rFonts w:eastAsiaTheme="majorEastAsia" w:cstheme="majorBidi"/>
      <w:b/>
      <w:bCs/>
      <w:szCs w:val="28"/>
      <w:lang w:eastAsia="en-AU"/>
    </w:rPr>
  </w:style>
  <w:style w:type="character" w:customStyle="1" w:styleId="Heading3Char">
    <w:name w:val="Heading 3 Char"/>
    <w:basedOn w:val="DefaultParagraphFont"/>
    <w:link w:val="Heading3"/>
    <w:uiPriority w:val="9"/>
    <w:rsid w:val="00301462"/>
    <w:rPr>
      <w:rFonts w:eastAsiaTheme="majorEastAsia" w:cstheme="majorBidi"/>
      <w:szCs w:val="24"/>
      <w:u w:val="single"/>
      <w:lang w:eastAsia="en-AU"/>
    </w:rPr>
  </w:style>
  <w:style w:type="character" w:customStyle="1" w:styleId="ListParagraphChar">
    <w:name w:val="List Paragraph Char"/>
    <w:aliases w:val="Styl moj Char,Akapit z listą1 Char,Akapit z listą11 Char"/>
    <w:link w:val="ListParagraph"/>
    <w:uiPriority w:val="34"/>
    <w:rsid w:val="00F51E0F"/>
    <w:rPr>
      <w:rFonts w:eastAsia="Times New Roman" w:cs="Times New Roman"/>
      <w:szCs w:val="20"/>
      <w:lang w:eastAsia="en-AU"/>
    </w:rPr>
  </w:style>
  <w:style w:type="paragraph" w:customStyle="1" w:styleId="Tablenotes1">
    <w:name w:val="Tablenotes 1"/>
    <w:basedOn w:val="Normal"/>
    <w:link w:val="Tablenotes1Char"/>
    <w:qFormat/>
    <w:rsid w:val="00206760"/>
    <w:pPr>
      <w:widowControl w:val="0"/>
      <w:spacing w:after="240"/>
      <w:contextualSpacing/>
    </w:pPr>
    <w:rPr>
      <w:rFonts w:ascii="Arial Narrow" w:hAnsi="Arial Narrow" w:cs="Arial"/>
      <w:snapToGrid w:val="0"/>
      <w:sz w:val="18"/>
      <w:lang w:eastAsia="en-US"/>
    </w:rPr>
  </w:style>
  <w:style w:type="character" w:customStyle="1" w:styleId="Tablenotes1Char">
    <w:name w:val="Tablenotes 1 Char"/>
    <w:basedOn w:val="DefaultParagraphFont"/>
    <w:link w:val="Tablenotes1"/>
    <w:rsid w:val="00206760"/>
    <w:rPr>
      <w:rFonts w:ascii="Arial Narrow" w:eastAsia="Times New Roman" w:hAnsi="Arial Narrow" w:cs="Arial"/>
      <w:snapToGrid w:val="0"/>
      <w:sz w:val="18"/>
      <w:szCs w:val="20"/>
    </w:rPr>
  </w:style>
  <w:style w:type="numbering" w:customStyle="1" w:styleId="Heading1a">
    <w:name w:val="Heading 1a"/>
    <w:basedOn w:val="NoList"/>
    <w:uiPriority w:val="99"/>
    <w:rsid w:val="00B0472C"/>
    <w:pPr>
      <w:numPr>
        <w:numId w:val="11"/>
      </w:numPr>
    </w:pPr>
  </w:style>
  <w:style w:type="paragraph" w:customStyle="1" w:styleId="Tabletext-left">
    <w:name w:val="Table text - left"/>
    <w:basedOn w:val="Normal"/>
    <w:link w:val="Tabletext-leftChar"/>
    <w:rsid w:val="00CB1778"/>
    <w:pPr>
      <w:keepNext/>
      <w:tabs>
        <w:tab w:val="left" w:pos="2835"/>
      </w:tabs>
      <w:spacing w:before="120" w:after="120" w:line="312" w:lineRule="auto"/>
      <w:jc w:val="both"/>
    </w:pPr>
    <w:rPr>
      <w:rFonts w:asciiTheme="minorHAnsi" w:hAnsiTheme="minorHAnsi" w:cs="Arial"/>
      <w:sz w:val="20"/>
      <w:lang w:eastAsia="en-US"/>
    </w:rPr>
  </w:style>
  <w:style w:type="character" w:customStyle="1" w:styleId="Tabletext-leftChar">
    <w:name w:val="Table text - left Char"/>
    <w:basedOn w:val="DefaultParagraphFont"/>
    <w:link w:val="Tabletext-left"/>
    <w:rsid w:val="00CB1778"/>
    <w:rPr>
      <w:rFonts w:asciiTheme="minorHAnsi" w:eastAsia="Times New Roman" w:hAnsiTheme="minorHAnsi" w:cs="Arial"/>
      <w:sz w:val="20"/>
      <w:szCs w:val="20"/>
    </w:rPr>
  </w:style>
  <w:style w:type="table" w:customStyle="1" w:styleId="TableGrid9">
    <w:name w:val="Table Grid9"/>
    <w:basedOn w:val="TableNormal"/>
    <w:next w:val="TableGrid"/>
    <w:uiPriority w:val="39"/>
    <w:rsid w:val="00136969"/>
    <w:pPr>
      <w:spacing w:after="0"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294511"/>
    <w:pPr>
      <w:spacing w:after="0" w:line="240" w:lineRule="auto"/>
    </w:pPr>
    <w:rPr>
      <w:rFonts w:eastAsia="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0">
    <w:name w:val="Table Text"/>
    <w:basedOn w:val="Normal"/>
    <w:link w:val="TableTextChar0"/>
    <w:qFormat/>
    <w:rsid w:val="00BE6936"/>
    <w:pPr>
      <w:spacing w:before="40" w:after="40"/>
    </w:pPr>
    <w:rPr>
      <w:rFonts w:ascii="Arial Narrow" w:hAnsi="Arial Narrow" w:cs="Tahoma"/>
      <w:sz w:val="20"/>
      <w:szCs w:val="22"/>
      <w:lang w:eastAsia="en-US"/>
    </w:rPr>
  </w:style>
  <w:style w:type="character" w:customStyle="1" w:styleId="TableTextChar0">
    <w:name w:val="Table Text Char"/>
    <w:link w:val="TableText0"/>
    <w:rsid w:val="00BE6936"/>
    <w:rPr>
      <w:rFonts w:ascii="Arial Narrow" w:eastAsia="Times New Roman" w:hAnsi="Arial Narrow" w:cs="Tahoma"/>
      <w:sz w:val="20"/>
    </w:rPr>
  </w:style>
  <w:style w:type="numbering" w:customStyle="1" w:styleId="ESSectionheading-numbered">
    <w:name w:val="ES. Section heading - numbered"/>
    <w:uiPriority w:val="99"/>
    <w:rsid w:val="00BE6936"/>
    <w:pPr>
      <w:numPr>
        <w:numId w:val="15"/>
      </w:numPr>
    </w:pPr>
  </w:style>
  <w:style w:type="table" w:customStyle="1" w:styleId="TableGrid3">
    <w:name w:val="Table Grid3"/>
    <w:basedOn w:val="TableNormal"/>
    <w:next w:val="TableGrid"/>
    <w:uiPriority w:val="39"/>
    <w:rsid w:val="008948CE"/>
    <w:pPr>
      <w:widowControl w:val="0"/>
      <w:spacing w:after="0" w:line="240" w:lineRule="auto"/>
    </w:pPr>
    <w:rPr>
      <w:rFonts w:ascii="Calibri" w:eastAsia="Calibri" w:hAnsi="Calibri" w:cs="Times New Roman"/>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963F86"/>
    <w:rPr>
      <w:rFonts w:asciiTheme="majorHAnsi" w:eastAsiaTheme="majorEastAsia" w:hAnsiTheme="majorHAnsi" w:cstheme="majorBidi"/>
      <w:color w:val="365F91" w:themeColor="accent1" w:themeShade="BF"/>
      <w:szCs w:val="20"/>
      <w:lang w:eastAsia="en-AU"/>
    </w:rPr>
  </w:style>
  <w:style w:type="character" w:customStyle="1" w:styleId="Heading6Char">
    <w:name w:val="Heading 6 Char"/>
    <w:basedOn w:val="DefaultParagraphFont"/>
    <w:link w:val="Heading6"/>
    <w:uiPriority w:val="9"/>
    <w:semiHidden/>
    <w:rsid w:val="00DE6837"/>
    <w:rPr>
      <w:rFonts w:asciiTheme="majorHAnsi" w:eastAsiaTheme="majorEastAsia" w:hAnsiTheme="majorHAnsi" w:cstheme="majorBidi"/>
      <w:color w:val="243F60" w:themeColor="accent1" w:themeShade="7F"/>
      <w:szCs w:val="20"/>
      <w:lang w:eastAsia="en-AU"/>
    </w:rPr>
  </w:style>
  <w:style w:type="table" w:customStyle="1" w:styleId="TableGrid8">
    <w:name w:val="Table Grid8"/>
    <w:basedOn w:val="TableNormal"/>
    <w:next w:val="TableGrid"/>
    <w:uiPriority w:val="39"/>
    <w:rsid w:val="00645C2D"/>
    <w:pPr>
      <w:spacing w:after="0" w:line="240" w:lineRule="auto"/>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tes0">
    <w:name w:val="Table notes"/>
    <w:basedOn w:val="Normal"/>
    <w:link w:val="TablenotesChar0"/>
    <w:qFormat/>
    <w:rsid w:val="00CD1217"/>
    <w:pPr>
      <w:jc w:val="both"/>
    </w:pPr>
    <w:rPr>
      <w:rFonts w:ascii="Arial" w:hAnsi="Arial"/>
      <w:sz w:val="16"/>
      <w:lang w:eastAsia="en-US"/>
    </w:rPr>
  </w:style>
  <w:style w:type="character" w:customStyle="1" w:styleId="TablenotesChar0">
    <w:name w:val="Table notes Char"/>
    <w:basedOn w:val="DefaultParagraphFont"/>
    <w:link w:val="Tablenotes0"/>
    <w:rsid w:val="00CD1217"/>
    <w:rPr>
      <w:rFonts w:ascii="Arial" w:eastAsia="Times New Roman" w:hAnsi="Arial" w:cs="Times New Roman"/>
      <w:sz w:val="16"/>
      <w:szCs w:val="20"/>
    </w:rPr>
  </w:style>
  <w:style w:type="paragraph" w:styleId="NormalWeb">
    <w:name w:val="Normal (Web)"/>
    <w:basedOn w:val="Normal"/>
    <w:uiPriority w:val="99"/>
    <w:unhideWhenUsed/>
    <w:rsid w:val="00474BAD"/>
    <w:pPr>
      <w:spacing w:before="100" w:beforeAutospacing="1" w:after="100" w:afterAutospacing="1"/>
    </w:pPr>
    <w:rPr>
      <w:szCs w:val="24"/>
    </w:rPr>
  </w:style>
  <w:style w:type="character" w:styleId="PageNumber">
    <w:name w:val="page number"/>
    <w:rsid w:val="000133DF"/>
    <w:rPr>
      <w:rFonts w:ascii="Tahoma" w:hAnsi="Tahoma"/>
      <w:b/>
      <w:sz w:val="18"/>
    </w:rPr>
  </w:style>
  <w:style w:type="paragraph" w:customStyle="1" w:styleId="BodyTextSTD">
    <w:name w:val="Body Text STD"/>
    <w:basedOn w:val="Normal"/>
    <w:link w:val="BodyTextSTDChar"/>
    <w:qFormat/>
    <w:rsid w:val="000133DF"/>
    <w:pPr>
      <w:spacing w:line="312" w:lineRule="auto"/>
      <w:jc w:val="both"/>
    </w:pPr>
    <w:rPr>
      <w:rFonts w:ascii="Calibri" w:hAnsi="Calibri" w:cs="Tahoma"/>
      <w:sz w:val="22"/>
      <w:szCs w:val="22"/>
    </w:rPr>
  </w:style>
  <w:style w:type="character" w:customStyle="1" w:styleId="BodyTextSTDChar">
    <w:name w:val="Body Text STD Char"/>
    <w:basedOn w:val="DefaultParagraphFont"/>
    <w:link w:val="BodyTextSTD"/>
    <w:rsid w:val="000133DF"/>
    <w:rPr>
      <w:rFonts w:ascii="Calibri" w:eastAsia="Times New Roman" w:hAnsi="Calibri" w:cs="Tahoma"/>
      <w:sz w:val="22"/>
      <w:lang w:eastAsia="en-AU"/>
    </w:rPr>
  </w:style>
  <w:style w:type="character" w:customStyle="1" w:styleId="UnresolvedMention1">
    <w:name w:val="Unresolved Mention1"/>
    <w:basedOn w:val="DefaultParagraphFont"/>
    <w:uiPriority w:val="99"/>
    <w:semiHidden/>
    <w:unhideWhenUsed/>
    <w:rsid w:val="00F06683"/>
    <w:rPr>
      <w:color w:val="605E5C"/>
      <w:shd w:val="clear" w:color="auto" w:fill="E1DFDD"/>
    </w:rPr>
  </w:style>
  <w:style w:type="paragraph" w:customStyle="1" w:styleId="TableText1">
    <w:name w:val="TableText"/>
    <w:basedOn w:val="Normal"/>
    <w:rsid w:val="00232DE6"/>
    <w:pPr>
      <w:keepNext/>
      <w:spacing w:before="60" w:after="60"/>
    </w:pPr>
    <w:rPr>
      <w:color w:val="000000"/>
      <w:sz w:val="21"/>
      <w:szCs w:val="21"/>
    </w:rPr>
  </w:style>
  <w:style w:type="paragraph" w:customStyle="1" w:styleId="TableName">
    <w:name w:val="TableName"/>
    <w:basedOn w:val="TableText1"/>
    <w:rsid w:val="00232DE6"/>
    <w:pPr>
      <w:tabs>
        <w:tab w:val="left" w:pos="1080"/>
      </w:tabs>
      <w:spacing w:before="120" w:after="120"/>
      <w:ind w:left="1080" w:hanging="1080"/>
    </w:pPr>
    <w:rPr>
      <w:b/>
      <w:bCs/>
      <w:sz w:val="22"/>
    </w:rPr>
  </w:style>
  <w:style w:type="paragraph" w:customStyle="1" w:styleId="BulletBeforeDash">
    <w:name w:val="BulletBeforeDash"/>
    <w:basedOn w:val="Normal"/>
    <w:rsid w:val="00232DE6"/>
    <w:pPr>
      <w:numPr>
        <w:numId w:val="29"/>
      </w:numPr>
      <w:ind w:left="720"/>
    </w:pPr>
    <w:rPr>
      <w:color w:val="000000"/>
    </w:rPr>
  </w:style>
  <w:style w:type="paragraph" w:customStyle="1" w:styleId="Bullet">
    <w:name w:val="Bullet"/>
    <w:basedOn w:val="BulletBeforeDash"/>
    <w:qFormat/>
    <w:rsid w:val="00232DE6"/>
    <w:pPr>
      <w:spacing w:after="120"/>
      <w:ind w:left="360"/>
    </w:pPr>
  </w:style>
  <w:style w:type="paragraph" w:customStyle="1" w:styleId="BulletLast">
    <w:name w:val="BulletLast"/>
    <w:basedOn w:val="Bullet"/>
    <w:qFormat/>
    <w:rsid w:val="00232DE6"/>
    <w:pPr>
      <w:spacing w:after="240"/>
    </w:pPr>
  </w:style>
  <w:style w:type="paragraph" w:customStyle="1" w:styleId="Dash">
    <w:name w:val="Dash"/>
    <w:basedOn w:val="Normal"/>
    <w:rsid w:val="00232DE6"/>
    <w:pPr>
      <w:numPr>
        <w:numId w:val="30"/>
      </w:numPr>
      <w:tabs>
        <w:tab w:val="clear" w:pos="216"/>
        <w:tab w:val="left" w:pos="720"/>
      </w:tabs>
      <w:ind w:left="1080" w:hanging="360"/>
    </w:pPr>
    <w:rPr>
      <w:color w:val="000000"/>
    </w:rPr>
  </w:style>
  <w:style w:type="paragraph" w:customStyle="1" w:styleId="DashLast">
    <w:name w:val="DashLast"/>
    <w:basedOn w:val="Dash"/>
    <w:rsid w:val="00232DE6"/>
    <w:pPr>
      <w:spacing w:after="120"/>
    </w:pPr>
  </w:style>
  <w:style w:type="paragraph" w:customStyle="1" w:styleId="NormalBeforeBullet">
    <w:name w:val="NormalBeforeBullet"/>
    <w:basedOn w:val="Normal"/>
    <w:qFormat/>
    <w:rsid w:val="00232DE6"/>
    <w:pPr>
      <w:keepNext/>
      <w:spacing w:after="120"/>
    </w:pPr>
    <w:rPr>
      <w:color w:val="000000"/>
    </w:rPr>
  </w:style>
  <w:style w:type="paragraph" w:styleId="Title">
    <w:name w:val="Title"/>
    <w:basedOn w:val="Normal"/>
    <w:next w:val="Normal"/>
    <w:link w:val="TitleChar"/>
    <w:qFormat/>
    <w:rsid w:val="00916592"/>
    <w:pPr>
      <w:spacing w:before="480" w:after="240"/>
      <w:jc w:val="center"/>
    </w:pPr>
    <w:rPr>
      <w:rFonts w:ascii="Arial" w:hAnsi="Arial" w:cs="Arial"/>
      <w:b/>
      <w:bCs/>
      <w:color w:val="000080"/>
      <w:sz w:val="36"/>
      <w:szCs w:val="36"/>
    </w:rPr>
  </w:style>
  <w:style w:type="character" w:customStyle="1" w:styleId="TitleChar">
    <w:name w:val="Title Char"/>
    <w:basedOn w:val="DefaultParagraphFont"/>
    <w:link w:val="Title"/>
    <w:rsid w:val="00916592"/>
    <w:rPr>
      <w:rFonts w:ascii="Arial" w:eastAsia="Times New Roman" w:hAnsi="Arial" w:cs="Arial"/>
      <w:b/>
      <w:bCs/>
      <w:color w:val="000080"/>
      <w:sz w:val="36"/>
      <w:szCs w:val="36"/>
      <w:lang w:eastAsia="en-AU"/>
    </w:rPr>
  </w:style>
  <w:style w:type="paragraph" w:styleId="Subtitle">
    <w:name w:val="Subtitle"/>
    <w:basedOn w:val="Normal"/>
    <w:next w:val="Normal"/>
    <w:link w:val="SubtitleChar"/>
    <w:qFormat/>
    <w:rsid w:val="00916592"/>
    <w:pPr>
      <w:spacing w:after="240"/>
      <w:jc w:val="center"/>
    </w:pPr>
    <w:rPr>
      <w:rFonts w:ascii="Arial" w:hAnsi="Arial" w:cs="Arial"/>
      <w:b/>
      <w:bCs/>
      <w:i/>
      <w:color w:val="000080"/>
      <w:sz w:val="28"/>
      <w:szCs w:val="28"/>
    </w:rPr>
  </w:style>
  <w:style w:type="character" w:customStyle="1" w:styleId="SubtitleChar">
    <w:name w:val="Subtitle Char"/>
    <w:basedOn w:val="DefaultParagraphFont"/>
    <w:link w:val="Subtitle"/>
    <w:rsid w:val="00916592"/>
    <w:rPr>
      <w:rFonts w:ascii="Arial" w:eastAsia="Times New Roman" w:hAnsi="Arial" w:cs="Arial"/>
      <w:b/>
      <w:bCs/>
      <w:i/>
      <w:color w:val="000080"/>
      <w:sz w:val="28"/>
      <w:szCs w:val="28"/>
      <w:lang w:eastAsia="en-AU"/>
    </w:rPr>
  </w:style>
  <w:style w:type="paragraph" w:customStyle="1" w:styleId="Default">
    <w:name w:val="Default"/>
    <w:rsid w:val="00916592"/>
    <w:pPr>
      <w:autoSpaceDE w:val="0"/>
      <w:autoSpaceDN w:val="0"/>
      <w:adjustRightInd w:val="0"/>
      <w:spacing w:after="0" w:line="240" w:lineRule="auto"/>
    </w:pPr>
    <w:rPr>
      <w:rFonts w:eastAsia="Calibri" w:cs="Times New Roman"/>
      <w:color w:val="000000"/>
      <w:szCs w:val="24"/>
    </w:rPr>
  </w:style>
  <w:style w:type="paragraph" w:customStyle="1" w:styleId="BoxText">
    <w:name w:val="BoxText"/>
    <w:basedOn w:val="Normal"/>
    <w:qFormat/>
    <w:rsid w:val="00D733C1"/>
    <w:pPr>
      <w:pBdr>
        <w:top w:val="single" w:sz="4" w:space="4" w:color="000000"/>
        <w:left w:val="single" w:sz="4" w:space="4" w:color="000000"/>
        <w:bottom w:val="single" w:sz="4" w:space="4" w:color="000000"/>
        <w:right w:val="single" w:sz="4" w:space="4" w:color="000000"/>
      </w:pBdr>
      <w:spacing w:after="120"/>
    </w:pPr>
    <w:rPr>
      <w:color w:val="000000"/>
    </w:rPr>
  </w:style>
  <w:style w:type="paragraph" w:customStyle="1" w:styleId="BoxName">
    <w:name w:val="BoxName"/>
    <w:basedOn w:val="BoxText"/>
    <w:rsid w:val="00D733C1"/>
    <w:pPr>
      <w:keepNext/>
      <w:spacing w:before="180"/>
      <w:ind w:left="1080" w:hanging="1080"/>
    </w:pPr>
    <w:rPr>
      <w:b/>
      <w:bCs/>
    </w:rPr>
  </w:style>
  <w:style w:type="paragraph" w:customStyle="1" w:styleId="BoxHeading">
    <w:name w:val="BoxHeading"/>
    <w:basedOn w:val="BoxText"/>
    <w:rsid w:val="00D733C1"/>
    <w:pPr>
      <w:keepNext/>
      <w:spacing w:before="120" w:after="60"/>
    </w:pPr>
    <w:rPr>
      <w:b/>
      <w:bCs/>
    </w:rPr>
  </w:style>
  <w:style w:type="table" w:styleId="TableGridLight">
    <w:name w:val="Grid Table Light"/>
    <w:basedOn w:val="TableNormal"/>
    <w:uiPriority w:val="40"/>
    <w:rsid w:val="009607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9880183">
      <w:bodyDiv w:val="1"/>
      <w:marLeft w:val="0"/>
      <w:marRight w:val="0"/>
      <w:marTop w:val="0"/>
      <w:marBottom w:val="0"/>
      <w:divBdr>
        <w:top w:val="none" w:sz="0" w:space="0" w:color="auto"/>
        <w:left w:val="none" w:sz="0" w:space="0" w:color="auto"/>
        <w:bottom w:val="none" w:sz="0" w:space="0" w:color="auto"/>
        <w:right w:val="none" w:sz="0" w:space="0" w:color="auto"/>
      </w:divBdr>
      <w:divsChild>
        <w:div w:id="2018075833">
          <w:marLeft w:val="288"/>
          <w:marRight w:val="0"/>
          <w:marTop w:val="115"/>
          <w:marBottom w:val="0"/>
          <w:divBdr>
            <w:top w:val="none" w:sz="0" w:space="0" w:color="auto"/>
            <w:left w:val="none" w:sz="0" w:space="0" w:color="auto"/>
            <w:bottom w:val="none" w:sz="0" w:space="0" w:color="auto"/>
            <w:right w:val="none" w:sz="0" w:space="0" w:color="auto"/>
          </w:divBdr>
        </w:div>
        <w:div w:id="1025593109">
          <w:marLeft w:val="288"/>
          <w:marRight w:val="0"/>
          <w:marTop w:val="115"/>
          <w:marBottom w:val="0"/>
          <w:divBdr>
            <w:top w:val="none" w:sz="0" w:space="0" w:color="auto"/>
            <w:left w:val="none" w:sz="0" w:space="0" w:color="auto"/>
            <w:bottom w:val="none" w:sz="0" w:space="0" w:color="auto"/>
            <w:right w:val="none" w:sz="0" w:space="0" w:color="auto"/>
          </w:divBdr>
        </w:div>
        <w:div w:id="849488156">
          <w:marLeft w:val="720"/>
          <w:marRight w:val="0"/>
          <w:marTop w:val="96"/>
          <w:marBottom w:val="0"/>
          <w:divBdr>
            <w:top w:val="none" w:sz="0" w:space="0" w:color="auto"/>
            <w:left w:val="none" w:sz="0" w:space="0" w:color="auto"/>
            <w:bottom w:val="none" w:sz="0" w:space="0" w:color="auto"/>
            <w:right w:val="none" w:sz="0" w:space="0" w:color="auto"/>
          </w:divBdr>
        </w:div>
        <w:div w:id="602231550">
          <w:marLeft w:val="720"/>
          <w:marRight w:val="0"/>
          <w:marTop w:val="96"/>
          <w:marBottom w:val="0"/>
          <w:divBdr>
            <w:top w:val="none" w:sz="0" w:space="0" w:color="auto"/>
            <w:left w:val="none" w:sz="0" w:space="0" w:color="auto"/>
            <w:bottom w:val="none" w:sz="0" w:space="0" w:color="auto"/>
            <w:right w:val="none" w:sz="0" w:space="0" w:color="auto"/>
          </w:divBdr>
        </w:div>
        <w:div w:id="1425762532">
          <w:marLeft w:val="720"/>
          <w:marRight w:val="0"/>
          <w:marTop w:val="96"/>
          <w:marBottom w:val="0"/>
          <w:divBdr>
            <w:top w:val="none" w:sz="0" w:space="0" w:color="auto"/>
            <w:left w:val="none" w:sz="0" w:space="0" w:color="auto"/>
            <w:bottom w:val="none" w:sz="0" w:space="0" w:color="auto"/>
            <w:right w:val="none" w:sz="0" w:space="0" w:color="auto"/>
          </w:divBdr>
        </w:div>
        <w:div w:id="2022856094">
          <w:marLeft w:val="720"/>
          <w:marRight w:val="0"/>
          <w:marTop w:val="96"/>
          <w:marBottom w:val="0"/>
          <w:divBdr>
            <w:top w:val="none" w:sz="0" w:space="0" w:color="auto"/>
            <w:left w:val="none" w:sz="0" w:space="0" w:color="auto"/>
            <w:bottom w:val="none" w:sz="0" w:space="0" w:color="auto"/>
            <w:right w:val="none" w:sz="0" w:space="0" w:color="auto"/>
          </w:divBdr>
        </w:div>
        <w:div w:id="1212351607">
          <w:marLeft w:val="720"/>
          <w:marRight w:val="0"/>
          <w:marTop w:val="96"/>
          <w:marBottom w:val="0"/>
          <w:divBdr>
            <w:top w:val="none" w:sz="0" w:space="0" w:color="auto"/>
            <w:left w:val="none" w:sz="0" w:space="0" w:color="auto"/>
            <w:bottom w:val="none" w:sz="0" w:space="0" w:color="auto"/>
            <w:right w:val="none" w:sz="0" w:space="0" w:color="auto"/>
          </w:divBdr>
        </w:div>
        <w:div w:id="1886022654">
          <w:marLeft w:val="288"/>
          <w:marRight w:val="0"/>
          <w:marTop w:val="115"/>
          <w:marBottom w:val="0"/>
          <w:divBdr>
            <w:top w:val="none" w:sz="0" w:space="0" w:color="auto"/>
            <w:left w:val="none" w:sz="0" w:space="0" w:color="auto"/>
            <w:bottom w:val="none" w:sz="0" w:space="0" w:color="auto"/>
            <w:right w:val="none" w:sz="0" w:space="0" w:color="auto"/>
          </w:divBdr>
        </w:div>
        <w:div w:id="767233440">
          <w:marLeft w:val="720"/>
          <w:marRight w:val="0"/>
          <w:marTop w:val="96"/>
          <w:marBottom w:val="0"/>
          <w:divBdr>
            <w:top w:val="none" w:sz="0" w:space="0" w:color="auto"/>
            <w:left w:val="none" w:sz="0" w:space="0" w:color="auto"/>
            <w:bottom w:val="none" w:sz="0" w:space="0" w:color="auto"/>
            <w:right w:val="none" w:sz="0" w:space="0" w:color="auto"/>
          </w:divBdr>
        </w:div>
        <w:div w:id="1368337606">
          <w:marLeft w:val="288"/>
          <w:marRight w:val="0"/>
          <w:marTop w:val="115"/>
          <w:marBottom w:val="0"/>
          <w:divBdr>
            <w:top w:val="none" w:sz="0" w:space="0" w:color="auto"/>
            <w:left w:val="none" w:sz="0" w:space="0" w:color="auto"/>
            <w:bottom w:val="none" w:sz="0" w:space="0" w:color="auto"/>
            <w:right w:val="none" w:sz="0" w:space="0" w:color="auto"/>
          </w:divBdr>
        </w:div>
        <w:div w:id="1661419370">
          <w:marLeft w:val="720"/>
          <w:marRight w:val="0"/>
          <w:marTop w:val="96"/>
          <w:marBottom w:val="0"/>
          <w:divBdr>
            <w:top w:val="none" w:sz="0" w:space="0" w:color="auto"/>
            <w:left w:val="none" w:sz="0" w:space="0" w:color="auto"/>
            <w:bottom w:val="none" w:sz="0" w:space="0" w:color="auto"/>
            <w:right w:val="none" w:sz="0" w:space="0" w:color="auto"/>
          </w:divBdr>
        </w:div>
        <w:div w:id="874275967">
          <w:marLeft w:val="720"/>
          <w:marRight w:val="0"/>
          <w:marTop w:val="96"/>
          <w:marBottom w:val="0"/>
          <w:divBdr>
            <w:top w:val="none" w:sz="0" w:space="0" w:color="auto"/>
            <w:left w:val="none" w:sz="0" w:space="0" w:color="auto"/>
            <w:bottom w:val="none" w:sz="0" w:space="0" w:color="auto"/>
            <w:right w:val="none" w:sz="0" w:space="0" w:color="auto"/>
          </w:divBdr>
        </w:div>
        <w:div w:id="629744127">
          <w:marLeft w:val="288"/>
          <w:marRight w:val="0"/>
          <w:marTop w:val="115"/>
          <w:marBottom w:val="0"/>
          <w:divBdr>
            <w:top w:val="none" w:sz="0" w:space="0" w:color="auto"/>
            <w:left w:val="none" w:sz="0" w:space="0" w:color="auto"/>
            <w:bottom w:val="none" w:sz="0" w:space="0" w:color="auto"/>
            <w:right w:val="none" w:sz="0" w:space="0" w:color="auto"/>
          </w:divBdr>
        </w:div>
        <w:div w:id="747309560">
          <w:marLeft w:val="720"/>
          <w:marRight w:val="0"/>
          <w:marTop w:val="96"/>
          <w:marBottom w:val="0"/>
          <w:divBdr>
            <w:top w:val="none" w:sz="0" w:space="0" w:color="auto"/>
            <w:left w:val="none" w:sz="0" w:space="0" w:color="auto"/>
            <w:bottom w:val="none" w:sz="0" w:space="0" w:color="auto"/>
            <w:right w:val="none" w:sz="0" w:space="0" w:color="auto"/>
          </w:divBdr>
        </w:div>
        <w:div w:id="1658532416">
          <w:marLeft w:val="720"/>
          <w:marRight w:val="0"/>
          <w:marTop w:val="96"/>
          <w:marBottom w:val="0"/>
          <w:divBdr>
            <w:top w:val="none" w:sz="0" w:space="0" w:color="auto"/>
            <w:left w:val="none" w:sz="0" w:space="0" w:color="auto"/>
            <w:bottom w:val="none" w:sz="0" w:space="0" w:color="auto"/>
            <w:right w:val="none" w:sz="0" w:space="0" w:color="auto"/>
          </w:divBdr>
        </w:div>
      </w:divsChild>
    </w:div>
    <w:div w:id="1280336031">
      <w:bodyDiv w:val="1"/>
      <w:marLeft w:val="0"/>
      <w:marRight w:val="0"/>
      <w:marTop w:val="0"/>
      <w:marBottom w:val="0"/>
      <w:divBdr>
        <w:top w:val="none" w:sz="0" w:space="0" w:color="auto"/>
        <w:left w:val="none" w:sz="0" w:space="0" w:color="auto"/>
        <w:bottom w:val="none" w:sz="0" w:space="0" w:color="auto"/>
        <w:right w:val="none" w:sz="0" w:space="0" w:color="auto"/>
      </w:divBdr>
    </w:div>
    <w:div w:id="1293513123">
      <w:bodyDiv w:val="1"/>
      <w:marLeft w:val="0"/>
      <w:marRight w:val="0"/>
      <w:marTop w:val="0"/>
      <w:marBottom w:val="0"/>
      <w:divBdr>
        <w:top w:val="none" w:sz="0" w:space="0" w:color="auto"/>
        <w:left w:val="none" w:sz="0" w:space="0" w:color="auto"/>
        <w:bottom w:val="none" w:sz="0" w:space="0" w:color="auto"/>
        <w:right w:val="none" w:sz="0" w:space="0" w:color="auto"/>
      </w:divBdr>
    </w:div>
    <w:div w:id="1330719682">
      <w:bodyDiv w:val="1"/>
      <w:marLeft w:val="0"/>
      <w:marRight w:val="0"/>
      <w:marTop w:val="0"/>
      <w:marBottom w:val="0"/>
      <w:divBdr>
        <w:top w:val="none" w:sz="0" w:space="0" w:color="auto"/>
        <w:left w:val="none" w:sz="0" w:space="0" w:color="auto"/>
        <w:bottom w:val="none" w:sz="0" w:space="0" w:color="auto"/>
        <w:right w:val="none" w:sz="0" w:space="0" w:color="auto"/>
      </w:divBdr>
    </w:div>
    <w:div w:id="2082940088">
      <w:bodyDiv w:val="1"/>
      <w:marLeft w:val="0"/>
      <w:marRight w:val="0"/>
      <w:marTop w:val="0"/>
      <w:marBottom w:val="0"/>
      <w:divBdr>
        <w:top w:val="none" w:sz="0" w:space="0" w:color="auto"/>
        <w:left w:val="none" w:sz="0" w:space="0" w:color="auto"/>
        <w:bottom w:val="none" w:sz="0" w:space="0" w:color="auto"/>
        <w:right w:val="none" w:sz="0" w:space="0" w:color="auto"/>
      </w:divBdr>
    </w:div>
    <w:div w:id="2086225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hyperlink" Target="http://www.msac.gov.au/"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msac.gov.au/internet/msac/publishing.nsf/Content/1530-public" TargetMode="External"/><Relationship Id="rId17"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www.msac.gov.au/internet/msac/publishing.nsf/Content/1530-public"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msac.gov.au/" TargetMode="External"/><Relationship Id="rId14"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https://www.nhmrc.gov.au/sites/default/files/documents/reports/direct-consumer-genetic-testing.pdf" TargetMode="External"/><Relationship Id="rId2" Type="http://schemas.openxmlformats.org/officeDocument/2006/relationships/hyperlink" Target="https://doi.org/10.1164/rccm.168.7.818" TargetMode="External"/><Relationship Id="rId1" Type="http://schemas.openxmlformats.org/officeDocument/2006/relationships/hyperlink" Target="http://www.mbsonline.gov.au/internet/mbsonline/publishing.nsf/Content/downloads" TargetMode="External"/><Relationship Id="rId5" Type="http://schemas.openxmlformats.org/officeDocument/2006/relationships/hyperlink" Target="https://www.labtestsonline.org.au/learning/test-index/alpha1-antitrypsin" TargetMode="External"/><Relationship Id="rId4" Type="http://schemas.openxmlformats.org/officeDocument/2006/relationships/hyperlink" Target="https://www.alpha1.org.au/doc/AAAbookle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317183-D1B9-4266-8AD9-8C0F366C93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14334</Words>
  <Characters>81706</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2021-12-02T03:19:00Z</dcterms:created>
  <dcterms:modified xsi:type="dcterms:W3CDTF">2022-02-10T02:59:00Z</dcterms:modified>
</cp:coreProperties>
</file>