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4C8A3"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0AA41CF8" wp14:editId="54F8005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9320C47"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500DCB52" w14:textId="77777777" w:rsidR="00BC1364" w:rsidRPr="00F715D1" w:rsidRDefault="00BC1364" w:rsidP="004B0406">
      <w:pPr>
        <w:pStyle w:val="Subtitle"/>
      </w:pPr>
      <w:r w:rsidRPr="00F715D1">
        <w:t xml:space="preserve">Application No. </w:t>
      </w:r>
      <w:r w:rsidR="00712B1D">
        <w:t>1</w:t>
      </w:r>
      <w:r w:rsidR="00D064A8">
        <w:t>60</w:t>
      </w:r>
      <w:r w:rsidR="00735C41">
        <w:t>5</w:t>
      </w:r>
      <w:r w:rsidR="00424791">
        <w:t xml:space="preserve"> –</w:t>
      </w:r>
      <w:r w:rsidR="004B0406">
        <w:t xml:space="preserve"> </w:t>
      </w:r>
      <w:r w:rsidR="00735C41">
        <w:t>Trans-radial delivery of a dual-filter cerebral embolic protection system during Transcatheter Aortic Valve Implantation (TAVI)</w:t>
      </w:r>
    </w:p>
    <w:p w14:paraId="3C3DE63A" w14:textId="77777777" w:rsidR="00BC1364" w:rsidRPr="00F715D1" w:rsidRDefault="00B35595" w:rsidP="00194A71">
      <w:pPr>
        <w:tabs>
          <w:tab w:val="left" w:pos="3686"/>
        </w:tabs>
        <w:spacing w:after="240"/>
        <w:ind w:left="1440" w:hanging="14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735C41">
        <w:rPr>
          <w:rFonts w:ascii="Arial" w:hAnsi="Arial" w:cs="Arial"/>
          <w:b/>
          <w:szCs w:val="24"/>
        </w:rPr>
        <w:t>Boston Scientific</w:t>
      </w:r>
    </w:p>
    <w:p w14:paraId="2DB605F4"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194A71">
        <w:rPr>
          <w:rFonts w:ascii="Arial" w:hAnsi="Arial" w:cs="Arial"/>
          <w:b/>
          <w:szCs w:val="24"/>
        </w:rPr>
        <w:t>80</w:t>
      </w:r>
      <w:r w:rsidR="00194A71" w:rsidRPr="00194A71">
        <w:rPr>
          <w:rFonts w:ascii="Arial" w:hAnsi="Arial" w:cs="Arial"/>
          <w:b/>
          <w:szCs w:val="24"/>
          <w:vertAlign w:val="superscript"/>
        </w:rPr>
        <w:t>th</w:t>
      </w:r>
      <w:r w:rsidR="00194A71">
        <w:rPr>
          <w:rFonts w:ascii="Arial" w:hAnsi="Arial" w:cs="Arial"/>
          <w:b/>
          <w:szCs w:val="24"/>
        </w:rPr>
        <w:t xml:space="preserve"> </w:t>
      </w:r>
      <w:r w:rsidRPr="00F715D1">
        <w:rPr>
          <w:rFonts w:ascii="Arial" w:hAnsi="Arial" w:cs="Arial"/>
          <w:b/>
          <w:szCs w:val="24"/>
        </w:rPr>
        <w:t xml:space="preserve">Meeting, </w:t>
      </w:r>
      <w:r w:rsidR="00194A71">
        <w:rPr>
          <w:rFonts w:ascii="Arial" w:hAnsi="Arial" w:cs="Arial"/>
          <w:b/>
          <w:szCs w:val="24"/>
        </w:rPr>
        <w:t>26-27 November 2020</w:t>
      </w:r>
    </w:p>
    <w:p w14:paraId="3B0F3509"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51727A7A" w14:textId="77777777" w:rsidR="003D7F29" w:rsidRPr="00F715D1" w:rsidRDefault="003D7F29" w:rsidP="00F715D1">
      <w:pPr>
        <w:pStyle w:val="Heading1"/>
      </w:pPr>
      <w:r w:rsidRPr="00F715D1">
        <w:t>Purpose of application</w:t>
      </w:r>
      <w:r w:rsidR="00822C7E" w:rsidRPr="00F715D1">
        <w:t xml:space="preserve"> </w:t>
      </w:r>
    </w:p>
    <w:p w14:paraId="2FD17CDA" w14:textId="77777777" w:rsidR="00807241" w:rsidRPr="00807241" w:rsidRDefault="00807241" w:rsidP="00DF489D">
      <w:pPr>
        <w:spacing w:after="240"/>
      </w:pPr>
      <w:r w:rsidRPr="00807241">
        <w:t>An application requesting Medicare Benefits Schedule (MBS) listing the transcatheter insertion of a dual-filter cerebral embolic protection (CEP) device, or more broadly a ‘multi-filter’ CEP device during transcatheter aortic valve implantation (TAVI) in patients with aortic stenosis was received from Boston Scientific by the Department of Health</w:t>
      </w:r>
      <w:r>
        <w:t>.</w:t>
      </w:r>
    </w:p>
    <w:p w14:paraId="12AF8B91" w14:textId="77777777" w:rsidR="00E977EE" w:rsidRPr="00F715D1" w:rsidRDefault="00E977EE" w:rsidP="00F715D1">
      <w:pPr>
        <w:pStyle w:val="Heading1"/>
      </w:pPr>
      <w:r w:rsidRPr="00F715D1">
        <w:t>MSAC’s advice to the Minister</w:t>
      </w:r>
    </w:p>
    <w:p w14:paraId="3258FA01" w14:textId="7E4D5A53" w:rsidR="0066726B" w:rsidRDefault="00107FDF">
      <w:r w:rsidRPr="001342D1">
        <w:t xml:space="preserve">After considering the strength of the available evidence in relation to comparative safety, </w:t>
      </w:r>
      <w:r>
        <w:t>clinical effectiveness and cost-</w:t>
      </w:r>
      <w:r w:rsidRPr="001342D1">
        <w:t xml:space="preserve">effectiveness, </w:t>
      </w:r>
      <w:r w:rsidRPr="00163BEC">
        <w:t xml:space="preserve">MSAC supported the creation of a new </w:t>
      </w:r>
      <w:r w:rsidRPr="00045629">
        <w:t>Medicare Benefits Schedule (</w:t>
      </w:r>
      <w:r w:rsidRPr="00163BEC">
        <w:t>MBS</w:t>
      </w:r>
      <w:r w:rsidRPr="00743511">
        <w:t>)</w:t>
      </w:r>
      <w:r w:rsidRPr="00163BEC">
        <w:t xml:space="preserve"> item for a dual-filter cerebral embolic protection (CEP) device, during transcatheter aortic valve implantation (TAVI) in patients with symptomatic severe aortic stenosis who meet MBS eligibility criteria for TAVI (high risk/inoperable and intermediate risk for surgery). MSAC accepted the evidence of non-inferior safety and superior effectiveness for CEP plus TAVI compared with TAVI alone, but recommended that the continued MBS listing would be subject to a rigorous review of the results from the large randomised controlled trial (PROTECTED TAVR) available in 2023. MSAC also considered that the best estimate of the incremental cost</w:t>
      </w:r>
      <w:r>
        <w:t>-</w:t>
      </w:r>
      <w:r w:rsidRPr="00163BEC">
        <w:t>effectiveness ratio (ICER) was informed by model inputs accepted by MSAC in other TAVI applications (MSAC application</w:t>
      </w:r>
      <w:r>
        <w:t>s</w:t>
      </w:r>
      <w:r w:rsidRPr="00163BEC">
        <w:t xml:space="preserve"> 1361.</w:t>
      </w:r>
      <w:r w:rsidR="000C52AE">
        <w:t>2</w:t>
      </w:r>
      <w:r w:rsidRPr="00163BEC">
        <w:t xml:space="preserve"> and 1603) and recommended to the Prostheses List Advisory Committee (PLAC) that a reduction in the proposed Prostheses List benefit for the device would be required for the cost-effectiveness of CEP to be considered acceptable.</w:t>
      </w:r>
      <w:r w:rsidR="0066726B">
        <w:br w:type="page"/>
      </w:r>
    </w:p>
    <w:tbl>
      <w:tblPr>
        <w:tblStyle w:val="TableGrid"/>
        <w:tblW w:w="0" w:type="auto"/>
        <w:tblLook w:val="0480" w:firstRow="0" w:lastRow="0" w:firstColumn="1" w:lastColumn="0" w:noHBand="0" w:noVBand="1"/>
        <w:tblCaption w:val="Consumer summary"/>
      </w:tblPr>
      <w:tblGrid>
        <w:gridCol w:w="9016"/>
      </w:tblGrid>
      <w:tr w:rsidR="00746789" w14:paraId="2D5CED3E" w14:textId="77777777" w:rsidTr="00DA6852">
        <w:trPr>
          <w:tblHeader/>
        </w:trPr>
        <w:tc>
          <w:tcPr>
            <w:tcW w:w="9016" w:type="dxa"/>
          </w:tcPr>
          <w:p w14:paraId="7420E778" w14:textId="78902D68" w:rsidR="00746789" w:rsidRPr="00C06B0B" w:rsidRDefault="00746789" w:rsidP="00107FDF">
            <w:pPr>
              <w:pStyle w:val="Default"/>
              <w:spacing w:before="120" w:after="120"/>
              <w:rPr>
                <w:b/>
                <w:color w:val="auto"/>
              </w:rPr>
            </w:pPr>
            <w:r w:rsidRPr="00C06B0B">
              <w:rPr>
                <w:b/>
                <w:color w:val="auto"/>
              </w:rPr>
              <w:lastRenderedPageBreak/>
              <w:t>Consumer summary</w:t>
            </w:r>
          </w:p>
        </w:tc>
      </w:tr>
      <w:tr w:rsidR="0001311B" w14:paraId="61780BD7" w14:textId="77777777" w:rsidTr="00DA6852">
        <w:tc>
          <w:tcPr>
            <w:tcW w:w="9016" w:type="dxa"/>
          </w:tcPr>
          <w:p w14:paraId="059A187C" w14:textId="77777777" w:rsidR="00107FDF" w:rsidRPr="00107FDF" w:rsidRDefault="00107FDF" w:rsidP="00107FDF">
            <w:pPr>
              <w:pStyle w:val="Default"/>
              <w:spacing w:before="120" w:after="240"/>
              <w:rPr>
                <w:color w:val="auto"/>
              </w:rPr>
            </w:pPr>
            <w:r w:rsidRPr="00107FDF">
              <w:rPr>
                <w:color w:val="auto"/>
              </w:rPr>
              <w:t>This application is from Boston Scientific and seeks to create a new Medicare Benefits Schedule (MBS) item for listing the transcatheter insertion of a dual-filter cerebral embolic protection (CEP) device.</w:t>
            </w:r>
          </w:p>
          <w:p w14:paraId="03A9F8A9" w14:textId="7CF1EDF1" w:rsidR="00107FDF" w:rsidRPr="00107FDF" w:rsidRDefault="00107FDF" w:rsidP="00107FDF">
            <w:pPr>
              <w:pStyle w:val="Default"/>
              <w:spacing w:before="120" w:after="240"/>
              <w:rPr>
                <w:color w:val="auto"/>
              </w:rPr>
            </w:pPr>
            <w:r w:rsidRPr="00107FDF">
              <w:rPr>
                <w:color w:val="auto"/>
              </w:rPr>
              <w:t xml:space="preserve">TAVI is a procedure that helps to improve a damaged aortic valve. During a TAVI procedure, a catheter is placed in the femoral artery (in the groin) and guided into the heart. The CEP system captures and removes </w:t>
            </w:r>
            <w:r w:rsidR="006B5983">
              <w:rPr>
                <w:color w:val="auto"/>
              </w:rPr>
              <w:t>material</w:t>
            </w:r>
            <w:r w:rsidR="006B5983" w:rsidRPr="00107FDF">
              <w:rPr>
                <w:color w:val="auto"/>
              </w:rPr>
              <w:t xml:space="preserve"> </w:t>
            </w:r>
            <w:r w:rsidRPr="00107FDF">
              <w:rPr>
                <w:color w:val="auto"/>
              </w:rPr>
              <w:t xml:space="preserve">(debris) that may enter </w:t>
            </w:r>
            <w:r w:rsidR="0041331A">
              <w:rPr>
                <w:color w:val="auto"/>
              </w:rPr>
              <w:t>the blood supply to the brain</w:t>
            </w:r>
            <w:r w:rsidRPr="00107FDF">
              <w:rPr>
                <w:color w:val="auto"/>
              </w:rPr>
              <w:t xml:space="preserve"> during the TAVI procedure</w:t>
            </w:r>
            <w:r w:rsidR="0041331A">
              <w:rPr>
                <w:color w:val="auto"/>
              </w:rPr>
              <w:t xml:space="preserve"> and cause a stroke</w:t>
            </w:r>
            <w:r w:rsidRPr="00107FDF">
              <w:rPr>
                <w:color w:val="auto"/>
              </w:rPr>
              <w:t>. This debris includes calcium that has been dislodged from the artery, tissue from the valve and artery, catheter coating material and other items.</w:t>
            </w:r>
          </w:p>
          <w:p w14:paraId="2AB513EF" w14:textId="77777777" w:rsidR="00107FDF" w:rsidRPr="00107FDF" w:rsidRDefault="00107FDF" w:rsidP="00107FDF">
            <w:pPr>
              <w:pStyle w:val="Default"/>
              <w:spacing w:before="120" w:after="240"/>
              <w:rPr>
                <w:color w:val="auto"/>
              </w:rPr>
            </w:pPr>
            <w:r w:rsidRPr="00107FDF">
              <w:rPr>
                <w:color w:val="auto"/>
              </w:rPr>
              <w:t>The CEP system consists of two different filters, with sizes suitable for the arteries that provide the main blood supply to the brain. At the end of the procedure, the filters and any captured debris are retrieved into the catheter and removed from the patient.</w:t>
            </w:r>
          </w:p>
          <w:p w14:paraId="22C1938F" w14:textId="7FCA7590" w:rsidR="00107FDF" w:rsidRPr="00107FDF" w:rsidRDefault="00107FDF" w:rsidP="00107FDF">
            <w:pPr>
              <w:pStyle w:val="Default"/>
              <w:spacing w:before="120" w:after="240"/>
              <w:rPr>
                <w:color w:val="auto"/>
              </w:rPr>
            </w:pPr>
            <w:r w:rsidRPr="00107FDF">
              <w:rPr>
                <w:color w:val="auto"/>
              </w:rPr>
              <w:t>MSAC accepted that CEP plus TAVI is safe and more effective than TAVI alone. However, MSAC considered that the price of the CEP device would need to be lower to make it acceptable for listing on the MBS.</w:t>
            </w:r>
          </w:p>
          <w:p w14:paraId="61A0C3A0" w14:textId="77777777" w:rsidR="0001311B" w:rsidRDefault="0001311B" w:rsidP="00107FDF">
            <w:pPr>
              <w:pStyle w:val="Default"/>
              <w:spacing w:after="120"/>
              <w:rPr>
                <w:b/>
                <w:color w:val="auto"/>
              </w:rPr>
            </w:pPr>
            <w:r w:rsidRPr="00C06B0B">
              <w:rPr>
                <w:b/>
                <w:color w:val="auto"/>
              </w:rPr>
              <w:t xml:space="preserve">MSAC’s </w:t>
            </w:r>
            <w:r w:rsidR="00C06B0B">
              <w:rPr>
                <w:b/>
                <w:color w:val="auto"/>
              </w:rPr>
              <w:t>advice</w:t>
            </w:r>
            <w:r w:rsidRPr="00C06B0B">
              <w:rPr>
                <w:b/>
                <w:color w:val="auto"/>
              </w:rPr>
              <w:t xml:space="preserve"> to the Commonwealth Minister</w:t>
            </w:r>
            <w:r w:rsidR="008C778E">
              <w:rPr>
                <w:b/>
                <w:color w:val="auto"/>
              </w:rPr>
              <w:t xml:space="preserve"> for</w:t>
            </w:r>
            <w:r w:rsidR="00C06B0B">
              <w:rPr>
                <w:b/>
                <w:color w:val="auto"/>
              </w:rPr>
              <w:t xml:space="preserve"> Health</w:t>
            </w:r>
          </w:p>
          <w:p w14:paraId="1E208AC3" w14:textId="5D9715C3" w:rsidR="00107FDF" w:rsidRPr="00107FDF" w:rsidRDefault="00107FDF" w:rsidP="00107FDF">
            <w:pPr>
              <w:pStyle w:val="Default"/>
              <w:spacing w:after="120"/>
              <w:rPr>
                <w:color w:val="auto"/>
              </w:rPr>
            </w:pPr>
            <w:r w:rsidRPr="00107FDF">
              <w:rPr>
                <w:color w:val="auto"/>
              </w:rPr>
              <w:t>MSAC considered the CEP device to be effective, safe and cost-effective, and supported the creation of a new MBS item for a dual-filter cerebral embolic protection (CEP) device that can be used during TAVI. However, MSAC recommended a rigorous review of new data that will be available in 2023 from a clinical trial that is currently underway.</w:t>
            </w:r>
          </w:p>
        </w:tc>
      </w:tr>
    </w:tbl>
    <w:p w14:paraId="556B2F5D" w14:textId="77777777" w:rsidR="00550354" w:rsidRPr="00F715D1" w:rsidRDefault="00550354" w:rsidP="00F715D1">
      <w:pPr>
        <w:pStyle w:val="Heading1"/>
      </w:pPr>
      <w:r w:rsidRPr="00F715D1">
        <w:t xml:space="preserve">Summary of consideration and rationale for MSAC’s advice </w:t>
      </w:r>
    </w:p>
    <w:p w14:paraId="2C1894A7" w14:textId="6EA2182D" w:rsidR="00107FDF" w:rsidRDefault="00107FDF" w:rsidP="00107FDF">
      <w:pPr>
        <w:spacing w:after="240"/>
        <w:rPr>
          <w:szCs w:val="24"/>
        </w:rPr>
      </w:pPr>
      <w:r w:rsidRPr="00107FDF">
        <w:rPr>
          <w:szCs w:val="24"/>
        </w:rPr>
        <w:t>MSAC noted that this application was for MBS listing of a dual-filter CEP device during TAVI in</w:t>
      </w:r>
      <w:r w:rsidR="00F87E08">
        <w:rPr>
          <w:szCs w:val="24"/>
        </w:rPr>
        <w:t xml:space="preserve"> patients with aortic stenosis.</w:t>
      </w:r>
    </w:p>
    <w:p w14:paraId="0D10E834" w14:textId="42B60613" w:rsidR="004040BC" w:rsidRDefault="00D0275E" w:rsidP="00107FDF">
      <w:pPr>
        <w:spacing w:after="240"/>
        <w:rPr>
          <w:szCs w:val="24"/>
        </w:rPr>
      </w:pPr>
      <w:r w:rsidRPr="00107FDF">
        <w:rPr>
          <w:szCs w:val="24"/>
        </w:rPr>
        <w:t xml:space="preserve">MSAC noted that the device is listed on the Prostheses List (BS364), with the </w:t>
      </w:r>
      <w:r w:rsidR="0041331A">
        <w:rPr>
          <w:szCs w:val="24"/>
        </w:rPr>
        <w:t xml:space="preserve">same </w:t>
      </w:r>
      <w:r w:rsidRPr="00107FDF">
        <w:rPr>
          <w:szCs w:val="24"/>
        </w:rPr>
        <w:t xml:space="preserve">benefit </w:t>
      </w:r>
      <w:r w:rsidR="0041331A">
        <w:rPr>
          <w:szCs w:val="24"/>
        </w:rPr>
        <w:t>as</w:t>
      </w:r>
      <w:r w:rsidRPr="00107FDF">
        <w:rPr>
          <w:szCs w:val="24"/>
        </w:rPr>
        <w:t xml:space="preserve"> single-filter CEPs being $1,955. Th</w:t>
      </w:r>
      <w:r w:rsidR="0041331A">
        <w:rPr>
          <w:szCs w:val="24"/>
        </w:rPr>
        <w:t xml:space="preserve">is application requested a </w:t>
      </w:r>
      <w:r w:rsidRPr="00107FDF">
        <w:rPr>
          <w:szCs w:val="24"/>
        </w:rPr>
        <w:t xml:space="preserve">proposed benefit for dual-filter CEP </w:t>
      </w:r>
      <w:r w:rsidR="0041331A">
        <w:rPr>
          <w:szCs w:val="24"/>
        </w:rPr>
        <w:t>of</w:t>
      </w:r>
      <w:r w:rsidR="00F87E08">
        <w:rPr>
          <w:szCs w:val="24"/>
        </w:rPr>
        <w:t xml:space="preserve"> </w:t>
      </w:r>
      <w:r w:rsidR="00F87E08" w:rsidRPr="00324DD5">
        <w:rPr>
          <w:szCs w:val="24"/>
        </w:rPr>
        <w:t>$</w:t>
      </w:r>
      <w:r w:rsidR="00076174" w:rsidRPr="00324DD5">
        <w:rPr>
          <w:b/>
          <w:szCs w:val="24"/>
        </w:rPr>
        <w:t>redacted</w:t>
      </w:r>
      <w:r w:rsidR="00076174" w:rsidRPr="00324DD5">
        <w:rPr>
          <w:szCs w:val="24"/>
        </w:rPr>
        <w:t>.</w:t>
      </w:r>
    </w:p>
    <w:p w14:paraId="77CBD9E3" w14:textId="75FD9260" w:rsidR="00D45282" w:rsidRPr="00107FDF" w:rsidRDefault="00DF5749" w:rsidP="00107FDF">
      <w:pPr>
        <w:spacing w:after="240"/>
        <w:rPr>
          <w:szCs w:val="24"/>
        </w:rPr>
      </w:pPr>
      <w:r>
        <w:rPr>
          <w:szCs w:val="24"/>
        </w:rPr>
        <w:t xml:space="preserve">MSAC noted that the CEP filter use during TAVI will be performed by accredited TAVI Practitioners in TAVI Hospitals. MSAC noted that training for the use of CEP consists of </w:t>
      </w:r>
      <w:r w:rsidRPr="00DF5749">
        <w:rPr>
          <w:szCs w:val="24"/>
        </w:rPr>
        <w:t>a 30-45 minute didactic session with demonstration</w:t>
      </w:r>
      <w:r>
        <w:rPr>
          <w:szCs w:val="24"/>
        </w:rPr>
        <w:t xml:space="preserve">. A TAVI Practitioner </w:t>
      </w:r>
      <w:r w:rsidRPr="00DF5749">
        <w:rPr>
          <w:szCs w:val="24"/>
        </w:rPr>
        <w:t xml:space="preserve">is deemed independent after performing </w:t>
      </w:r>
      <w:r>
        <w:rPr>
          <w:szCs w:val="24"/>
        </w:rPr>
        <w:t>10 cases with clinical support from a f</w:t>
      </w:r>
      <w:r w:rsidRPr="00DF5749">
        <w:rPr>
          <w:szCs w:val="24"/>
        </w:rPr>
        <w:t xml:space="preserve">ield </w:t>
      </w:r>
      <w:r>
        <w:rPr>
          <w:szCs w:val="24"/>
        </w:rPr>
        <w:t xml:space="preserve">specialist rather than </w:t>
      </w:r>
      <w:r w:rsidRPr="00DF5749">
        <w:rPr>
          <w:szCs w:val="24"/>
        </w:rPr>
        <w:t xml:space="preserve">a </w:t>
      </w:r>
      <w:r>
        <w:rPr>
          <w:szCs w:val="24"/>
        </w:rPr>
        <w:t>p</w:t>
      </w:r>
      <w:r w:rsidRPr="00DF5749">
        <w:rPr>
          <w:szCs w:val="24"/>
        </w:rPr>
        <w:t>roctor.</w:t>
      </w:r>
      <w:r w:rsidR="00B15C27">
        <w:rPr>
          <w:szCs w:val="24"/>
        </w:rPr>
        <w:t xml:space="preserve"> </w:t>
      </w:r>
      <w:r w:rsidR="00B15C27" w:rsidRPr="00107FDF">
        <w:rPr>
          <w:szCs w:val="24"/>
        </w:rPr>
        <w:t xml:space="preserve">MSAC agreed with the </w:t>
      </w:r>
      <w:r w:rsidR="00B15C27">
        <w:rPr>
          <w:szCs w:val="24"/>
        </w:rPr>
        <w:t xml:space="preserve">ESC and the </w:t>
      </w:r>
      <w:r w:rsidR="00B15C27" w:rsidRPr="00107FDF">
        <w:rPr>
          <w:szCs w:val="24"/>
        </w:rPr>
        <w:t xml:space="preserve">applicant’s </w:t>
      </w:r>
      <w:r w:rsidR="00B15C27">
        <w:rPr>
          <w:szCs w:val="24"/>
        </w:rPr>
        <w:t xml:space="preserve">pre-MSAC response </w:t>
      </w:r>
      <w:r w:rsidR="00B15C27" w:rsidRPr="00107FDF">
        <w:rPr>
          <w:szCs w:val="24"/>
        </w:rPr>
        <w:t>that TAVI practitioners should be required to gain accreditation</w:t>
      </w:r>
      <w:r w:rsidR="00B15C27">
        <w:rPr>
          <w:szCs w:val="24"/>
        </w:rPr>
        <w:t xml:space="preserve"> for CEP</w:t>
      </w:r>
      <w:r w:rsidR="00B15C27" w:rsidRPr="00107FDF">
        <w:rPr>
          <w:szCs w:val="24"/>
        </w:rPr>
        <w:t>, managed by th</w:t>
      </w:r>
      <w:r w:rsidR="00F87E08">
        <w:rPr>
          <w:szCs w:val="24"/>
        </w:rPr>
        <w:t>e TAVI Accreditation Committee.</w:t>
      </w:r>
    </w:p>
    <w:p w14:paraId="10E4D1B3" w14:textId="2DB1D093" w:rsidR="00B1343A" w:rsidRDefault="00107FDF" w:rsidP="00107FDF">
      <w:pPr>
        <w:spacing w:after="240"/>
        <w:rPr>
          <w:szCs w:val="24"/>
        </w:rPr>
      </w:pPr>
      <w:r w:rsidRPr="00107FDF">
        <w:rPr>
          <w:szCs w:val="24"/>
        </w:rPr>
        <w:t xml:space="preserve">MSAC acknowledged that there is a clinical need for this device, to reduce the risk of subclinical stroke in TAVI patients. </w:t>
      </w:r>
      <w:r w:rsidR="00766D0B">
        <w:rPr>
          <w:szCs w:val="24"/>
        </w:rPr>
        <w:t>MSAC considered there was re</w:t>
      </w:r>
      <w:r w:rsidR="001336CD">
        <w:rPr>
          <w:szCs w:val="24"/>
        </w:rPr>
        <w:t>a</w:t>
      </w:r>
      <w:r w:rsidR="00766D0B">
        <w:rPr>
          <w:szCs w:val="24"/>
        </w:rPr>
        <w:t xml:space="preserve">sonable biological plausibility that CEP would reduce stroke during TAVI and </w:t>
      </w:r>
      <w:r w:rsidR="00DF5749">
        <w:rPr>
          <w:szCs w:val="24"/>
        </w:rPr>
        <w:t xml:space="preserve">noted that the SENTINEL IDE trial reported significant collection of embolic material in the CEP filter with debris collected in </w:t>
      </w:r>
      <w:r w:rsidR="001336CD">
        <w:rPr>
          <w:szCs w:val="24"/>
        </w:rPr>
        <w:t>almost all</w:t>
      </w:r>
      <w:r w:rsidR="00DF5749">
        <w:rPr>
          <w:szCs w:val="24"/>
        </w:rPr>
        <w:t xml:space="preserve"> patient</w:t>
      </w:r>
      <w:r w:rsidR="001336CD">
        <w:rPr>
          <w:szCs w:val="24"/>
        </w:rPr>
        <w:t>s</w:t>
      </w:r>
      <w:r w:rsidR="00DF5749">
        <w:rPr>
          <w:szCs w:val="24"/>
        </w:rPr>
        <w:t xml:space="preserve"> undergoing TAVI. MSAC noted that episodes of silent cerebral ischemia and micro-infarcts are common</w:t>
      </w:r>
      <w:r w:rsidR="00B15C27">
        <w:rPr>
          <w:szCs w:val="24"/>
        </w:rPr>
        <w:t xml:space="preserve"> and have the potential to accelerate cognitive decline</w:t>
      </w:r>
      <w:r w:rsidR="00F87E08">
        <w:rPr>
          <w:szCs w:val="24"/>
        </w:rPr>
        <w:t>.</w:t>
      </w:r>
    </w:p>
    <w:p w14:paraId="603B5C54" w14:textId="42FC59D5" w:rsidR="009B5AC8" w:rsidRDefault="00107FDF" w:rsidP="00107FDF">
      <w:pPr>
        <w:spacing w:after="240"/>
        <w:rPr>
          <w:szCs w:val="24"/>
        </w:rPr>
      </w:pPr>
      <w:r w:rsidRPr="00107FDF">
        <w:rPr>
          <w:szCs w:val="24"/>
        </w:rPr>
        <w:t>MSAC accepted the claim of non-inferior safety on the basis of similar rates of major vascular complications, acute kidney injury (A</w:t>
      </w:r>
      <w:r w:rsidR="00F87E08">
        <w:rPr>
          <w:szCs w:val="24"/>
        </w:rPr>
        <w:t>KI) and adverse event profiles.</w:t>
      </w:r>
    </w:p>
    <w:p w14:paraId="2C6569E9" w14:textId="07195E2F" w:rsidR="00D45282" w:rsidRPr="00107FDF" w:rsidRDefault="009B5AC8" w:rsidP="00D45282">
      <w:pPr>
        <w:spacing w:after="240"/>
        <w:rPr>
          <w:szCs w:val="24"/>
        </w:rPr>
      </w:pPr>
      <w:r>
        <w:rPr>
          <w:szCs w:val="24"/>
        </w:rPr>
        <w:t>MSAC noted that the</w:t>
      </w:r>
      <w:r w:rsidR="00322CD4">
        <w:rPr>
          <w:szCs w:val="24"/>
        </w:rPr>
        <w:t xml:space="preserve"> individual</w:t>
      </w:r>
      <w:r>
        <w:rPr>
          <w:szCs w:val="24"/>
        </w:rPr>
        <w:t xml:space="preserve"> randomised clinical trials (RCTs)</w:t>
      </w:r>
      <w:r w:rsidR="00322CD4">
        <w:rPr>
          <w:szCs w:val="24"/>
        </w:rPr>
        <w:t xml:space="preserve"> and the meta-analysis of the RCTs</w:t>
      </w:r>
      <w:r>
        <w:rPr>
          <w:szCs w:val="24"/>
        </w:rPr>
        <w:t xml:space="preserve"> did not show a statistically significant reduction in stroke and that the RCTs were not statistically powered to show a reduction in stroke. However, the cohort studies presented demonstrated a reduction in stroke</w:t>
      </w:r>
      <w:r w:rsidR="00322CD4">
        <w:rPr>
          <w:szCs w:val="24"/>
        </w:rPr>
        <w:t xml:space="preserve"> as did the meta-analyses of the RCTs and cohort studies</w:t>
      </w:r>
      <w:r>
        <w:rPr>
          <w:szCs w:val="24"/>
        </w:rPr>
        <w:t xml:space="preserve">. </w:t>
      </w:r>
      <w:r w:rsidR="00B15C27">
        <w:rPr>
          <w:szCs w:val="24"/>
        </w:rPr>
        <w:t xml:space="preserve">MSAC noted that the point estimates from the RCTs </w:t>
      </w:r>
      <w:r w:rsidR="00766D0B">
        <w:rPr>
          <w:szCs w:val="24"/>
        </w:rPr>
        <w:t xml:space="preserve">generally reported </w:t>
      </w:r>
      <w:r w:rsidR="00B15C27">
        <w:rPr>
          <w:szCs w:val="24"/>
        </w:rPr>
        <w:t>a smal</w:t>
      </w:r>
      <w:r w:rsidR="00766D0B">
        <w:rPr>
          <w:szCs w:val="24"/>
        </w:rPr>
        <w:t xml:space="preserve">ler stroke reduction than the cohort studies. </w:t>
      </w:r>
      <w:r w:rsidR="00107FDF" w:rsidRPr="00107FDF">
        <w:rPr>
          <w:szCs w:val="24"/>
        </w:rPr>
        <w:t>MSAC also accepted the claim of superior clinical effectiveness and noted that the inclusion of cohort studies was justified on the basis of the individual RCTs not being powered to show differe</w:t>
      </w:r>
      <w:r w:rsidR="00F87E08">
        <w:rPr>
          <w:szCs w:val="24"/>
        </w:rPr>
        <w:t>nces in peri-procedural stroke.</w:t>
      </w:r>
    </w:p>
    <w:p w14:paraId="40EC0F4A" w14:textId="1C5C02E6" w:rsidR="00107FDF" w:rsidRDefault="00107FDF" w:rsidP="00107FDF">
      <w:pPr>
        <w:spacing w:after="240"/>
        <w:rPr>
          <w:szCs w:val="24"/>
        </w:rPr>
      </w:pPr>
      <w:r w:rsidRPr="00107FDF">
        <w:rPr>
          <w:szCs w:val="24"/>
        </w:rPr>
        <w:t xml:space="preserve">MSAC noted that caution should be used when interpreting and disseminating information about the number needed to treat, since there is still uncertainty with that figure due to </w:t>
      </w:r>
      <w:r w:rsidR="00D45282">
        <w:rPr>
          <w:szCs w:val="24"/>
        </w:rPr>
        <w:t xml:space="preserve">the low baseline of stroke and </w:t>
      </w:r>
      <w:r w:rsidRPr="00107FDF">
        <w:rPr>
          <w:szCs w:val="24"/>
        </w:rPr>
        <w:t xml:space="preserve">small </w:t>
      </w:r>
      <w:r w:rsidR="00D45282">
        <w:rPr>
          <w:szCs w:val="24"/>
        </w:rPr>
        <w:t>absolute risk reductions</w:t>
      </w:r>
      <w:r w:rsidRPr="00107FDF">
        <w:rPr>
          <w:szCs w:val="24"/>
        </w:rPr>
        <w:t>. MSAC noted that this uncertainty could be conveyed by including the confidence intervals.</w:t>
      </w:r>
      <w:r w:rsidR="001336CD">
        <w:rPr>
          <w:szCs w:val="24"/>
        </w:rPr>
        <w:t xml:space="preserve"> </w:t>
      </w:r>
      <w:r w:rsidRPr="00107FDF">
        <w:rPr>
          <w:szCs w:val="24"/>
        </w:rPr>
        <w:t>MSAC noted that, in terms of stroke rates, ESC ‘queried the relevance of [30-day stroke] as the CEP device is removed following the TAVI procedure’. In its pre-MSAC response, the applicant stated that the economic evaluation applied 30-day stroke rates in the model rather than earlier peri-procedural rates (within 7 days) because the timing of assessment was consistent across all studies, thereby reducing uncertainty in the estimate, while capturing the cumulative effect of TAVI+CEP within the peri-pr</w:t>
      </w:r>
      <w:r w:rsidR="00F87E08">
        <w:rPr>
          <w:szCs w:val="24"/>
        </w:rPr>
        <w:t>ocedural duration, 30 days.</w:t>
      </w:r>
    </w:p>
    <w:p w14:paraId="188AC6FA" w14:textId="093FFC13" w:rsidR="009729E6" w:rsidRDefault="00766D0B" w:rsidP="009729E6">
      <w:pPr>
        <w:spacing w:after="240"/>
        <w:rPr>
          <w:szCs w:val="24"/>
        </w:rPr>
      </w:pPr>
      <w:r>
        <w:rPr>
          <w:szCs w:val="24"/>
        </w:rPr>
        <w:t>MSAC noted the cost-utility analyses presented in the ADAR assessing the cost-effectiveness of CEP in the high surgical risk and intermediate surgical risk populations undergoing TAVI. MSAC noted that the base cases considered that CEP was cost-effective in both populations at the proposed Prosthes</w:t>
      </w:r>
      <w:r w:rsidR="00A964C9">
        <w:rPr>
          <w:szCs w:val="24"/>
        </w:rPr>
        <w:t>e</w:t>
      </w:r>
      <w:r>
        <w:rPr>
          <w:szCs w:val="24"/>
        </w:rPr>
        <w:t xml:space="preserve">s List benefit. However, MSAC </w:t>
      </w:r>
      <w:r w:rsidR="00C66281">
        <w:rPr>
          <w:szCs w:val="24"/>
        </w:rPr>
        <w:t>noted</w:t>
      </w:r>
      <w:r>
        <w:rPr>
          <w:szCs w:val="24"/>
        </w:rPr>
        <w:t xml:space="preserve"> </w:t>
      </w:r>
      <w:r w:rsidR="00A964C9">
        <w:rPr>
          <w:szCs w:val="24"/>
        </w:rPr>
        <w:t xml:space="preserve">the </w:t>
      </w:r>
      <w:r w:rsidR="00C66281">
        <w:rPr>
          <w:szCs w:val="24"/>
        </w:rPr>
        <w:t>economic models were sensitive to the time horizon. MSAC also considere</w:t>
      </w:r>
      <w:r w:rsidR="007842A6">
        <w:rPr>
          <w:szCs w:val="24"/>
        </w:rPr>
        <w:t xml:space="preserve">d </w:t>
      </w:r>
      <w:r w:rsidR="00A964C9">
        <w:rPr>
          <w:szCs w:val="24"/>
        </w:rPr>
        <w:t xml:space="preserve">the </w:t>
      </w:r>
      <w:r w:rsidR="007842A6">
        <w:rPr>
          <w:szCs w:val="24"/>
        </w:rPr>
        <w:t xml:space="preserve">magnitude of the increase in </w:t>
      </w:r>
      <w:r w:rsidR="00C66281">
        <w:rPr>
          <w:szCs w:val="24"/>
        </w:rPr>
        <w:t xml:space="preserve">long term mortality was uncertain but considered the assumption of </w:t>
      </w:r>
      <w:r w:rsidR="007842A6">
        <w:rPr>
          <w:szCs w:val="24"/>
        </w:rPr>
        <w:t>higher mortality after stroke was not unreasonable.</w:t>
      </w:r>
      <w:r w:rsidR="00C66281">
        <w:rPr>
          <w:szCs w:val="24"/>
        </w:rPr>
        <w:t xml:space="preserve"> MSAC considered the</w:t>
      </w:r>
      <w:r w:rsidR="007842A6">
        <w:rPr>
          <w:szCs w:val="24"/>
        </w:rPr>
        <w:t xml:space="preserve">se factors and uncertainty in the magnitude of the clinical benefit due to the use of cohort studies contributed to </w:t>
      </w:r>
      <w:r w:rsidR="00C66281">
        <w:rPr>
          <w:szCs w:val="24"/>
        </w:rPr>
        <w:t>the</w:t>
      </w:r>
      <w:r w:rsidR="007842A6">
        <w:rPr>
          <w:szCs w:val="24"/>
        </w:rPr>
        <w:t xml:space="preserve"> uncertainty in the incremental cost-effectiveness</w:t>
      </w:r>
      <w:r w:rsidR="00F87E08">
        <w:rPr>
          <w:szCs w:val="24"/>
        </w:rPr>
        <w:t xml:space="preserve"> ratio (ICER) in the base case.</w:t>
      </w:r>
    </w:p>
    <w:p w14:paraId="7BA34B44" w14:textId="4E56E63D" w:rsidR="00766D0B" w:rsidRPr="00107FDF" w:rsidRDefault="009729E6" w:rsidP="00107FDF">
      <w:pPr>
        <w:spacing w:after="240"/>
        <w:rPr>
          <w:szCs w:val="24"/>
        </w:rPr>
      </w:pPr>
      <w:r>
        <w:rPr>
          <w:szCs w:val="24"/>
        </w:rPr>
        <w:t xml:space="preserve">MSAC agreed with </w:t>
      </w:r>
      <w:r w:rsidRPr="009729E6">
        <w:rPr>
          <w:szCs w:val="24"/>
        </w:rPr>
        <w:t>PASC that the TAVI procedure (the comparator arm in this assessment) should closely replicate/be guided by that used in the original TAVI listing</w:t>
      </w:r>
      <w:r>
        <w:rPr>
          <w:szCs w:val="24"/>
        </w:rPr>
        <w:t xml:space="preserve"> to avoid overvaluing TAVI</w:t>
      </w:r>
      <w:r w:rsidRPr="009729E6">
        <w:rPr>
          <w:szCs w:val="24"/>
        </w:rPr>
        <w:t xml:space="preserve"> </w:t>
      </w:r>
      <w:r>
        <w:t>(</w:t>
      </w:r>
      <w:hyperlink r:id="rId10" w:history="1">
        <w:r w:rsidRPr="00DD5050">
          <w:rPr>
            <w:rStyle w:val="Hyperlink"/>
          </w:rPr>
          <w:t>1605 Ratified PICO</w:t>
        </w:r>
      </w:hyperlink>
      <w:r>
        <w:t>)</w:t>
      </w:r>
      <w:r w:rsidRPr="009729E6">
        <w:rPr>
          <w:szCs w:val="24"/>
        </w:rPr>
        <w:t xml:space="preserve">. </w:t>
      </w:r>
      <w:r w:rsidR="00CB4A41" w:rsidRPr="00CB4A41">
        <w:rPr>
          <w:szCs w:val="24"/>
        </w:rPr>
        <w:t xml:space="preserve">MSAC considered that the best estimate of the ICER was informed by model inputs accepted by MSAC in other TAVI applications (MSAC </w:t>
      </w:r>
      <w:hyperlink r:id="rId11" w:history="1">
        <w:r w:rsidR="000C52AE">
          <w:rPr>
            <w:rStyle w:val="Hyperlink"/>
            <w:szCs w:val="24"/>
          </w:rPr>
          <w:t>A</w:t>
        </w:r>
        <w:r w:rsidR="00D0275E" w:rsidRPr="009729E6">
          <w:rPr>
            <w:rStyle w:val="Hyperlink"/>
            <w:szCs w:val="24"/>
          </w:rPr>
          <w:t>pplication 1361.2</w:t>
        </w:r>
      </w:hyperlink>
      <w:r w:rsidR="00D0275E">
        <w:rPr>
          <w:szCs w:val="24"/>
        </w:rPr>
        <w:t xml:space="preserve"> </w:t>
      </w:r>
      <w:r w:rsidR="00CB4A41" w:rsidRPr="00CB4A41">
        <w:rPr>
          <w:szCs w:val="24"/>
        </w:rPr>
        <w:t xml:space="preserve">and </w:t>
      </w:r>
      <w:hyperlink r:id="rId12" w:history="1">
        <w:r w:rsidR="00D0275E" w:rsidRPr="009729E6">
          <w:rPr>
            <w:rStyle w:val="Hyperlink"/>
            <w:szCs w:val="24"/>
          </w:rPr>
          <w:t>1603</w:t>
        </w:r>
      </w:hyperlink>
      <w:r w:rsidR="00CB4A41" w:rsidRPr="00CB4A41">
        <w:rPr>
          <w:szCs w:val="24"/>
        </w:rPr>
        <w:t>)</w:t>
      </w:r>
      <w:r w:rsidR="00D0275E">
        <w:rPr>
          <w:szCs w:val="24"/>
        </w:rPr>
        <w:t xml:space="preserve"> that were presented in </w:t>
      </w:r>
      <w:r>
        <w:rPr>
          <w:szCs w:val="24"/>
        </w:rPr>
        <w:t>sensitivity analyses</w:t>
      </w:r>
      <w:r w:rsidR="00D0275E">
        <w:rPr>
          <w:szCs w:val="24"/>
        </w:rPr>
        <w:t xml:space="preserve">. </w:t>
      </w:r>
      <w:r>
        <w:rPr>
          <w:szCs w:val="24"/>
        </w:rPr>
        <w:t xml:space="preserve">These </w:t>
      </w:r>
      <w:r w:rsidR="007C1DA9">
        <w:rPr>
          <w:szCs w:val="24"/>
        </w:rPr>
        <w:t>analyses report</w:t>
      </w:r>
      <w:r>
        <w:rPr>
          <w:szCs w:val="24"/>
        </w:rPr>
        <w:t xml:space="preserve"> much higher ICERs, increasing </w:t>
      </w:r>
      <w:r w:rsidR="00540D06" w:rsidRPr="00540D06">
        <w:rPr>
          <w:b/>
          <w:szCs w:val="24"/>
        </w:rPr>
        <w:t>redacted</w:t>
      </w:r>
      <w:r w:rsidRPr="00540D06">
        <w:rPr>
          <w:b/>
          <w:szCs w:val="24"/>
        </w:rPr>
        <w:t>%</w:t>
      </w:r>
      <w:r w:rsidRPr="00540D06">
        <w:rPr>
          <w:szCs w:val="24"/>
        </w:rPr>
        <w:t xml:space="preserve"> </w:t>
      </w:r>
      <w:r>
        <w:rPr>
          <w:szCs w:val="24"/>
        </w:rPr>
        <w:t xml:space="preserve">and </w:t>
      </w:r>
      <w:r w:rsidR="00540D06" w:rsidRPr="00540D06">
        <w:rPr>
          <w:b/>
          <w:szCs w:val="24"/>
        </w:rPr>
        <w:t>redacted</w:t>
      </w:r>
      <w:r w:rsidRPr="00540D06">
        <w:rPr>
          <w:b/>
          <w:szCs w:val="24"/>
        </w:rPr>
        <w:t>%</w:t>
      </w:r>
      <w:r w:rsidRPr="00540D06">
        <w:rPr>
          <w:szCs w:val="24"/>
        </w:rPr>
        <w:t xml:space="preserve"> </w:t>
      </w:r>
      <w:r>
        <w:rPr>
          <w:szCs w:val="24"/>
        </w:rPr>
        <w:t xml:space="preserve">for the inoperable/high risk and intermediate risk populations, respectively. </w:t>
      </w:r>
      <w:r w:rsidR="00184EAB">
        <w:rPr>
          <w:szCs w:val="24"/>
        </w:rPr>
        <w:t xml:space="preserve">MSAC noted further analyses </w:t>
      </w:r>
      <w:r w:rsidR="00184EAB" w:rsidRPr="00184EAB">
        <w:rPr>
          <w:szCs w:val="24"/>
        </w:rPr>
        <w:t>investigat</w:t>
      </w:r>
      <w:r w:rsidR="00184EAB">
        <w:rPr>
          <w:szCs w:val="24"/>
        </w:rPr>
        <w:t>ing</w:t>
      </w:r>
      <w:r w:rsidR="00184EAB" w:rsidRPr="00184EAB">
        <w:rPr>
          <w:szCs w:val="24"/>
        </w:rPr>
        <w:t xml:space="preserve"> the weighted CEP benefit at various willingness-to-pay thresholds. </w:t>
      </w:r>
      <w:r w:rsidR="00D0275E">
        <w:rPr>
          <w:szCs w:val="24"/>
        </w:rPr>
        <w:t xml:space="preserve">MSAC </w:t>
      </w:r>
      <w:r w:rsidR="00CB4A41" w:rsidRPr="00CB4A41">
        <w:rPr>
          <w:szCs w:val="24"/>
        </w:rPr>
        <w:t>recommended to the Prostheses List Advisory Committee (PLAC) that a reduction in the proposed Prostheses List benefit for the device</w:t>
      </w:r>
      <w:r w:rsidR="00D0275E">
        <w:rPr>
          <w:szCs w:val="24"/>
        </w:rPr>
        <w:t xml:space="preserve"> to be approximately $</w:t>
      </w:r>
      <w:r w:rsidR="00076174" w:rsidRPr="00324DD5">
        <w:rPr>
          <w:b/>
          <w:szCs w:val="24"/>
        </w:rPr>
        <w:t>redacted</w:t>
      </w:r>
      <w:r w:rsidR="00076174">
        <w:rPr>
          <w:szCs w:val="24"/>
        </w:rPr>
        <w:t xml:space="preserve"> </w:t>
      </w:r>
      <w:r w:rsidR="00CB4A41" w:rsidRPr="00CB4A41">
        <w:rPr>
          <w:szCs w:val="24"/>
        </w:rPr>
        <w:t>would be required for the cost-effectiveness of CEP to be considered acceptable</w:t>
      </w:r>
      <w:r w:rsidR="00D0275E">
        <w:rPr>
          <w:szCs w:val="24"/>
        </w:rPr>
        <w:t xml:space="preserve"> at an ICER of $50,000 per quality-adjusted-life year</w:t>
      </w:r>
      <w:r w:rsidR="00184EAB">
        <w:rPr>
          <w:szCs w:val="24"/>
        </w:rPr>
        <w:t xml:space="preserve">, </w:t>
      </w:r>
      <w:r w:rsidR="00D0275E" w:rsidRPr="00107FDF">
        <w:rPr>
          <w:szCs w:val="24"/>
        </w:rPr>
        <w:t xml:space="preserve">which is considered to be an acceptable ICER for this level of high use and level of uncertainty around </w:t>
      </w:r>
      <w:r w:rsidR="00184EAB">
        <w:rPr>
          <w:szCs w:val="24"/>
        </w:rPr>
        <w:t xml:space="preserve">the clinical effectiveness and </w:t>
      </w:r>
      <w:r w:rsidR="00D0275E" w:rsidRPr="00107FDF">
        <w:rPr>
          <w:szCs w:val="24"/>
        </w:rPr>
        <w:t>utilisation.</w:t>
      </w:r>
    </w:p>
    <w:p w14:paraId="1BA4EB53" w14:textId="1B9C355F" w:rsidR="00932E30" w:rsidRDefault="00D56A81" w:rsidP="00D56A81">
      <w:pPr>
        <w:spacing w:after="240"/>
        <w:rPr>
          <w:szCs w:val="24"/>
        </w:rPr>
      </w:pPr>
      <w:r w:rsidRPr="00107FDF">
        <w:rPr>
          <w:szCs w:val="24"/>
        </w:rPr>
        <w:t>MSAC noted that there is uncertainty in the likely utilisation of CEP and the associated financial implications as the proportion of patients eligible for CEP and its likely uptake in</w:t>
      </w:r>
      <w:r w:rsidR="008E273C">
        <w:rPr>
          <w:szCs w:val="24"/>
        </w:rPr>
        <w:t xml:space="preserve"> Australian practice increases.</w:t>
      </w:r>
    </w:p>
    <w:p w14:paraId="41B65C5B" w14:textId="6CCACC74" w:rsidR="00FC149D" w:rsidRDefault="006B3487" w:rsidP="00D56A81">
      <w:pPr>
        <w:spacing w:after="240"/>
        <w:rPr>
          <w:szCs w:val="24"/>
        </w:rPr>
      </w:pPr>
      <w:r>
        <w:rPr>
          <w:szCs w:val="24"/>
        </w:rPr>
        <w:t xml:space="preserve">MSAC noted that investigation of cognitive outcomes following aortic valve replacement could be referred to the </w:t>
      </w:r>
      <w:r w:rsidRPr="006B3487">
        <w:rPr>
          <w:szCs w:val="24"/>
        </w:rPr>
        <w:t>Medical Research Future Fund (MRFF)</w:t>
      </w:r>
      <w:r w:rsidR="00F87E08">
        <w:rPr>
          <w:szCs w:val="24"/>
        </w:rPr>
        <w:t>.</w:t>
      </w:r>
    </w:p>
    <w:p w14:paraId="50C73A2F" w14:textId="19744D52" w:rsidR="00FC149D" w:rsidRDefault="00FC149D" w:rsidP="00D56A81">
      <w:pPr>
        <w:spacing w:after="240"/>
        <w:rPr>
          <w:szCs w:val="24"/>
        </w:rPr>
      </w:pPr>
      <w:r>
        <w:rPr>
          <w:szCs w:val="24"/>
        </w:rPr>
        <w:t>MSAC considered the item descriptor should be limited to dual-filter devices and should not be restricted to patients with a particular surgical risk.</w:t>
      </w:r>
      <w:r w:rsidR="0055082C">
        <w:rPr>
          <w:szCs w:val="24"/>
        </w:rPr>
        <w:t xml:space="preserve"> </w:t>
      </w:r>
      <w:r w:rsidR="0055082C" w:rsidRPr="00107FDF">
        <w:rPr>
          <w:szCs w:val="24"/>
        </w:rPr>
        <w:t>MSAC noted that</w:t>
      </w:r>
      <w:r w:rsidR="0055082C">
        <w:rPr>
          <w:szCs w:val="24"/>
        </w:rPr>
        <w:t xml:space="preserve"> a time-based approach, based on the </w:t>
      </w:r>
      <w:r w:rsidR="0055082C" w:rsidRPr="00107FDF">
        <w:rPr>
          <w:szCs w:val="24"/>
        </w:rPr>
        <w:t xml:space="preserve">current TAVI fee (MBS item </w:t>
      </w:r>
      <w:r w:rsidR="0055082C">
        <w:rPr>
          <w:szCs w:val="24"/>
        </w:rPr>
        <w:t xml:space="preserve">38495 = $1,455.10) </w:t>
      </w:r>
      <w:r w:rsidR="004040BC">
        <w:rPr>
          <w:szCs w:val="24"/>
        </w:rPr>
        <w:t xml:space="preserve">was </w:t>
      </w:r>
      <w:r w:rsidR="0055082C" w:rsidRPr="0055082C">
        <w:rPr>
          <w:szCs w:val="24"/>
        </w:rPr>
        <w:t>used to estimate an appropriate fee for the insertion and retraction of the dual-filter CEP d</w:t>
      </w:r>
      <w:r w:rsidR="004040BC">
        <w:rPr>
          <w:szCs w:val="24"/>
        </w:rPr>
        <w:t xml:space="preserve">evice during the TAVI procedure (Fee = </w:t>
      </w:r>
      <w:r w:rsidR="0055082C" w:rsidRPr="00107FDF">
        <w:rPr>
          <w:szCs w:val="24"/>
        </w:rPr>
        <w:t>$260.37, which is 17.9% of the current TAVI fee</w:t>
      </w:r>
      <w:r w:rsidR="004040BC">
        <w:rPr>
          <w:szCs w:val="24"/>
        </w:rPr>
        <w:t>)</w:t>
      </w:r>
      <w:r w:rsidR="0055082C" w:rsidRPr="00107FDF">
        <w:rPr>
          <w:szCs w:val="24"/>
        </w:rPr>
        <w:t>.</w:t>
      </w:r>
    </w:p>
    <w:p w14:paraId="1DC70C12" w14:textId="57296C82" w:rsidR="000C52AE" w:rsidRDefault="000C52AE" w:rsidP="00D56A81">
      <w:pPr>
        <w:spacing w:after="240"/>
        <w:rPr>
          <w:szCs w:val="24"/>
        </w:rPr>
      </w:pPr>
      <w:r>
        <w:rPr>
          <w:szCs w:val="24"/>
        </w:rPr>
        <w:t xml:space="preserve">MSAC noted the evidence presented was weak relative to </w:t>
      </w:r>
      <w:r w:rsidR="00A964C9">
        <w:rPr>
          <w:szCs w:val="24"/>
        </w:rPr>
        <w:t xml:space="preserve">the </w:t>
      </w:r>
      <w:r>
        <w:rPr>
          <w:szCs w:val="24"/>
        </w:rPr>
        <w:t xml:space="preserve">hierarchy of evidence which considers systematic reviews of RCTs to be the most convincing evidence to assess the effectiveness of clinical interventions. </w:t>
      </w:r>
      <w:r w:rsidRPr="00107FDF">
        <w:rPr>
          <w:szCs w:val="24"/>
        </w:rPr>
        <w:t xml:space="preserve">MSAC noted that the applicant referred to a pending RCT (PROTECTED TAVR) in its pre-MSAC response, which will look at TAVI + CEP </w:t>
      </w:r>
      <w:r w:rsidRPr="000C52AE">
        <w:rPr>
          <w:i/>
          <w:szCs w:val="24"/>
        </w:rPr>
        <w:t>vs.</w:t>
      </w:r>
      <w:r w:rsidRPr="00107FDF">
        <w:rPr>
          <w:szCs w:val="24"/>
        </w:rPr>
        <w:t xml:space="preserve"> TAVI alone measuring stroke rates at 72 hours (n = 3,000). </w:t>
      </w:r>
      <w:r>
        <w:rPr>
          <w:szCs w:val="24"/>
        </w:rPr>
        <w:t xml:space="preserve">Thus, </w:t>
      </w:r>
      <w:r w:rsidRPr="00107FDF">
        <w:rPr>
          <w:szCs w:val="24"/>
        </w:rPr>
        <w:t xml:space="preserve">MSAC </w:t>
      </w:r>
      <w:r>
        <w:rPr>
          <w:szCs w:val="24"/>
        </w:rPr>
        <w:t>recommended</w:t>
      </w:r>
      <w:r w:rsidRPr="00107FDF">
        <w:rPr>
          <w:szCs w:val="24"/>
        </w:rPr>
        <w:t xml:space="preserve"> that this MBS item should be </w:t>
      </w:r>
      <w:r>
        <w:rPr>
          <w:szCs w:val="24"/>
        </w:rPr>
        <w:t xml:space="preserve">rigorously </w:t>
      </w:r>
      <w:r w:rsidRPr="00107FDF">
        <w:rPr>
          <w:szCs w:val="24"/>
        </w:rPr>
        <w:t>reviewed after 3 years in light of the findings of this pending RCT</w:t>
      </w:r>
      <w:r>
        <w:rPr>
          <w:szCs w:val="24"/>
        </w:rPr>
        <w:t xml:space="preserve"> (available in 2023)</w:t>
      </w:r>
      <w:r w:rsidRPr="00107FDF">
        <w:rPr>
          <w:szCs w:val="24"/>
        </w:rPr>
        <w:t>.</w:t>
      </w:r>
    </w:p>
    <w:p w14:paraId="740F892D" w14:textId="2A8ACD1A" w:rsidR="00FC149D" w:rsidRPr="00FC149D" w:rsidRDefault="00FC149D" w:rsidP="000C52AE">
      <w:r>
        <w:t>MSAC supported the following item descriptor:</w:t>
      </w:r>
    </w:p>
    <w:p w14:paraId="79BE73BE" w14:textId="5C4C51F3" w:rsidR="00FC149D" w:rsidRPr="000C52AE" w:rsidRDefault="00FC149D" w:rsidP="00324DD5">
      <w:pPr>
        <w:spacing w:before="240" w:after="240"/>
        <w:rPr>
          <w:i/>
          <w:szCs w:val="24"/>
        </w:rPr>
      </w:pPr>
      <w:r w:rsidRPr="000C52AE">
        <w:rPr>
          <w:i/>
          <w:szCs w:val="24"/>
        </w:rPr>
        <w:t>Percutaneous transcatheter delivery of dual-filter cerebral embolic protection (CEP) system during transcatheter aortic valve implantation (TAVI), for the reduction of postoperative embolic ischaemic strokes</w:t>
      </w:r>
    </w:p>
    <w:p w14:paraId="5238BEDB" w14:textId="4BD57055" w:rsidR="00811B56" w:rsidRPr="000C52AE" w:rsidRDefault="00FC149D" w:rsidP="00107FDF">
      <w:pPr>
        <w:spacing w:after="240"/>
        <w:rPr>
          <w:i/>
          <w:szCs w:val="24"/>
        </w:rPr>
      </w:pPr>
      <w:r w:rsidRPr="000C52AE">
        <w:rPr>
          <w:i/>
          <w:szCs w:val="24"/>
        </w:rPr>
        <w:t>Fee: $260.37</w:t>
      </w:r>
      <w:r>
        <w:rPr>
          <w:i/>
          <w:szCs w:val="24"/>
        </w:rPr>
        <w:tab/>
      </w:r>
      <w:r>
        <w:rPr>
          <w:i/>
          <w:szCs w:val="24"/>
        </w:rPr>
        <w:tab/>
        <w:t>Benefit 75% = $195.28</w:t>
      </w:r>
      <w:r>
        <w:rPr>
          <w:i/>
          <w:szCs w:val="24"/>
        </w:rPr>
        <w:tab/>
        <w:t>Benefit 85% = 221.31</w:t>
      </w:r>
    </w:p>
    <w:p w14:paraId="5A96790F" w14:textId="23CA6F0A" w:rsidR="00BC1364" w:rsidRPr="00F715D1" w:rsidRDefault="00BC1364" w:rsidP="00F715D1">
      <w:pPr>
        <w:pStyle w:val="Heading1"/>
      </w:pPr>
      <w:r w:rsidRPr="00F715D1">
        <w:t>Background</w:t>
      </w:r>
    </w:p>
    <w:p w14:paraId="59AF0E96" w14:textId="011E4E3C" w:rsidR="00807241" w:rsidRPr="00807241" w:rsidRDefault="00807241" w:rsidP="00807241">
      <w:pPr>
        <w:spacing w:after="240"/>
        <w:rPr>
          <w:szCs w:val="24"/>
        </w:rPr>
      </w:pPr>
      <w:r w:rsidRPr="00807241">
        <w:rPr>
          <w:szCs w:val="24"/>
        </w:rPr>
        <w:t>MSAC has</w:t>
      </w:r>
      <w:r w:rsidR="00F87E08">
        <w:rPr>
          <w:szCs w:val="24"/>
        </w:rPr>
        <w:t xml:space="preserve"> not previously considered CEP.</w:t>
      </w:r>
    </w:p>
    <w:p w14:paraId="2BCF7E0A" w14:textId="22E05C28" w:rsidR="00807241" w:rsidRPr="00807241" w:rsidRDefault="00807241" w:rsidP="00807241">
      <w:pPr>
        <w:spacing w:after="240"/>
        <w:rPr>
          <w:szCs w:val="24"/>
        </w:rPr>
      </w:pPr>
      <w:r w:rsidRPr="00807241">
        <w:rPr>
          <w:szCs w:val="24"/>
        </w:rPr>
        <w:t>MSAC previously considered the MBS listing of TAVI for use in patients who are symptomatic severe AS at high risk (or inoperable) for SAVR or non-operable at its March</w:t>
      </w:r>
      <w:r w:rsidR="00A964C9">
        <w:rPr>
          <w:szCs w:val="24"/>
        </w:rPr>
        <w:t> </w:t>
      </w:r>
      <w:r w:rsidRPr="00807241">
        <w:rPr>
          <w:szCs w:val="24"/>
        </w:rPr>
        <w:t xml:space="preserve">2016, October 2015 (Stakeholder meeting) July 2015, and April 2015 meetings. At its March 2016 meeting, MSAC supported MBS listing of the TAVI procedure for the aforementioned patient population (Public Summary Document [PSD] Application No. 1361.2). TAVI was listed on the MBS (MBS item 38495, and case conference items 6080, 6081) for this population on 1 November 2017. Application 1603 requesting MBS listing of TAVI using a balloon-expandable valve (BEV) system for patients with symptomatic severe aortic stenosis (AS) at intermediate risk for surgery will also be considered at </w:t>
      </w:r>
      <w:r w:rsidR="003C63A3">
        <w:rPr>
          <w:szCs w:val="24"/>
        </w:rPr>
        <w:t>the November 2020 MSAC meeting.</w:t>
      </w:r>
    </w:p>
    <w:p w14:paraId="51F121D2" w14:textId="1813E388" w:rsidR="00B41AE2" w:rsidRDefault="00807241" w:rsidP="00807241">
      <w:pPr>
        <w:spacing w:after="240"/>
        <w:rPr>
          <w:szCs w:val="24"/>
        </w:rPr>
      </w:pPr>
      <w:r w:rsidRPr="00807241">
        <w:rPr>
          <w:szCs w:val="24"/>
        </w:rPr>
        <w:t>In the Ratified PICO (1605 Ratified PICO), PASC advised that the TAVI procedure (confirmed as the comparator arm in this assessment) should closely replicate/be guided by that used in the original TAVI listing. This will avoid overva</w:t>
      </w:r>
      <w:r w:rsidR="00F87E08">
        <w:rPr>
          <w:szCs w:val="24"/>
        </w:rPr>
        <w:t>luing TAVI.</w:t>
      </w:r>
    </w:p>
    <w:p w14:paraId="6C0CAF1A" w14:textId="3DD7079D" w:rsidR="00B41AE2" w:rsidRPr="00540D06" w:rsidRDefault="00512CE5" w:rsidP="00540D06">
      <w:pPr>
        <w:spacing w:after="240"/>
        <w:rPr>
          <w:szCs w:val="24"/>
        </w:rPr>
      </w:pPr>
      <w:r w:rsidRPr="00512CE5">
        <w:fldChar w:fldCharType="begin"/>
      </w:r>
      <w:r w:rsidRPr="00512CE5">
        <w:instrText xml:space="preserve"> REF _Ref52136040 \h </w:instrText>
      </w:r>
      <w:r>
        <w:instrText xml:space="preserve"> \* MERGEFORMAT </w:instrText>
      </w:r>
      <w:r w:rsidRPr="00512CE5">
        <w:fldChar w:fldCharType="separate"/>
      </w:r>
      <w:r w:rsidR="003E3A7D" w:rsidRPr="003E3A7D">
        <w:rPr>
          <w:lang w:eastAsia="en-US"/>
        </w:rPr>
        <w:t>Table 1</w:t>
      </w:r>
      <w:r w:rsidRPr="00512CE5">
        <w:fldChar w:fldCharType="end"/>
      </w:r>
      <w:r>
        <w:rPr>
          <w:szCs w:val="24"/>
        </w:rPr>
        <w:t xml:space="preserve"> </w:t>
      </w:r>
      <w:r w:rsidR="00807241" w:rsidRPr="00807241">
        <w:rPr>
          <w:szCs w:val="24"/>
        </w:rPr>
        <w:t>presents a comparison of the TAVI economic evaluations. The Department investigated the economic impact of TAVI+CEP using key modelling inputs from other TAVI applications (see Table 12). The Department also investigated the financial impact of TAVI+CEP using utilisation estimates from other TAVI applications (see Table 12).</w:t>
      </w:r>
    </w:p>
    <w:p w14:paraId="3FC21C97" w14:textId="16CDDC03" w:rsidR="00807241" w:rsidRPr="002D2859" w:rsidRDefault="00807241" w:rsidP="002D2859">
      <w:pPr>
        <w:rPr>
          <w:rFonts w:ascii="Arial Narrow" w:hAnsi="Arial Narrow"/>
          <w:b/>
          <w:sz w:val="20"/>
        </w:rPr>
      </w:pPr>
      <w:bookmarkStart w:id="0" w:name="_Ref52136040"/>
      <w:r w:rsidRPr="002D2859">
        <w:rPr>
          <w:rFonts w:ascii="Arial Narrow" w:hAnsi="Arial Narrow"/>
          <w:b/>
          <w:sz w:val="20"/>
        </w:rPr>
        <w:t xml:space="preserve">Table </w:t>
      </w:r>
      <w:r w:rsidRPr="002D2859">
        <w:rPr>
          <w:rFonts w:ascii="Arial Narrow" w:hAnsi="Arial Narrow"/>
          <w:b/>
          <w:sz w:val="20"/>
        </w:rPr>
        <w:fldChar w:fldCharType="begin"/>
      </w:r>
      <w:r w:rsidRPr="002D2859">
        <w:rPr>
          <w:rFonts w:ascii="Arial Narrow" w:hAnsi="Arial Narrow"/>
          <w:b/>
          <w:sz w:val="20"/>
        </w:rPr>
        <w:instrText xml:space="preserve"> SEQ Table \* ARABIC </w:instrText>
      </w:r>
      <w:r w:rsidRPr="002D2859">
        <w:rPr>
          <w:rFonts w:ascii="Arial Narrow" w:hAnsi="Arial Narrow"/>
          <w:b/>
          <w:sz w:val="20"/>
        </w:rPr>
        <w:fldChar w:fldCharType="separate"/>
      </w:r>
      <w:r w:rsidR="003E3A7D" w:rsidRPr="002D2859">
        <w:rPr>
          <w:rFonts w:ascii="Arial Narrow" w:hAnsi="Arial Narrow"/>
          <w:b/>
          <w:sz w:val="20"/>
        </w:rPr>
        <w:t>1</w:t>
      </w:r>
      <w:r w:rsidRPr="002D2859">
        <w:rPr>
          <w:rFonts w:ascii="Arial Narrow" w:hAnsi="Arial Narrow"/>
          <w:b/>
          <w:sz w:val="20"/>
        </w:rPr>
        <w:fldChar w:fldCharType="end"/>
      </w:r>
      <w:bookmarkEnd w:id="0"/>
      <w:r w:rsidRPr="002D2859">
        <w:rPr>
          <w:rFonts w:ascii="Arial Narrow" w:hAnsi="Arial Narrow"/>
          <w:b/>
          <w:sz w:val="20"/>
        </w:rPr>
        <w:t xml:space="preserve">: </w:t>
      </w:r>
      <w:r w:rsidR="00540D06" w:rsidRPr="002D2859">
        <w:rPr>
          <w:rFonts w:ascii="Arial Narrow" w:hAnsi="Arial Narrow"/>
          <w:b/>
          <w:sz w:val="20"/>
        </w:rPr>
        <w:t>Redacted</w:t>
      </w:r>
    </w:p>
    <w:p w14:paraId="1C3E620C" w14:textId="77777777" w:rsidR="00BC1364" w:rsidRPr="00F715D1" w:rsidRDefault="00BC1364" w:rsidP="00F715D1">
      <w:pPr>
        <w:pStyle w:val="Heading1"/>
      </w:pPr>
      <w:r w:rsidRPr="00F715D1">
        <w:t>Prerequisites to implementation of any funding advice</w:t>
      </w:r>
    </w:p>
    <w:p w14:paraId="2DBD0268" w14:textId="38F07D70" w:rsidR="00512CE5" w:rsidRPr="00324DD5" w:rsidRDefault="00512CE5" w:rsidP="00324DD5">
      <w:pPr>
        <w:spacing w:before="240"/>
      </w:pPr>
      <w:r>
        <w:rPr>
          <w:rFonts w:eastAsia="Calibri"/>
          <w:lang w:eastAsia="en-US"/>
        </w:rPr>
        <w:t>The Sentinel Cerebral Protection System is registered on the Australian Register of Therapeutic Goods (ARTG) as a Class III medical device. It has an intended use</w:t>
      </w:r>
      <w:r w:rsidRPr="008F45EC">
        <w:rPr>
          <w:rFonts w:eastAsia="Calibri"/>
          <w:lang w:eastAsia="en-US"/>
        </w:rPr>
        <w:t xml:space="preserve"> as an embolic protection device, to capture and remove embolic material (thrombus/debris) that may enter the cerebral vascular system during endovascular procedures</w:t>
      </w:r>
      <w:r>
        <w:rPr>
          <w:rFonts w:eastAsia="Calibri"/>
          <w:lang w:eastAsia="en-US"/>
        </w:rPr>
        <w:t xml:space="preserve"> (</w:t>
      </w:r>
      <w:r>
        <w:fldChar w:fldCharType="begin"/>
      </w:r>
      <w:r>
        <w:rPr>
          <w:rFonts w:eastAsia="Calibri"/>
          <w:lang w:eastAsia="en-US"/>
        </w:rPr>
        <w:instrText xml:space="preserve"> REF _Ref58331251 \h </w:instrText>
      </w:r>
      <w:r>
        <w:fldChar w:fldCharType="separate"/>
      </w:r>
      <w:r w:rsidR="003E3A7D">
        <w:t xml:space="preserve">Table </w:t>
      </w:r>
      <w:r w:rsidR="003E3A7D">
        <w:rPr>
          <w:noProof/>
        </w:rPr>
        <w:t>2</w:t>
      </w:r>
      <w:r>
        <w:fldChar w:fldCharType="end"/>
      </w:r>
      <w:r>
        <w:t>)</w:t>
      </w:r>
      <w:r w:rsidRPr="008F45EC">
        <w:t>.</w:t>
      </w:r>
      <w:r w:rsidR="0020714A">
        <w:t xml:space="preserve"> </w:t>
      </w:r>
      <w:r w:rsidR="0020714A" w:rsidRPr="0020714A">
        <w:t>The SENTINEL Cerebral Protection System is</w:t>
      </w:r>
      <w:r w:rsidR="0020714A">
        <w:t xml:space="preserve"> also listed on the Prosthes</w:t>
      </w:r>
      <w:r w:rsidR="00A964C9">
        <w:t>e</w:t>
      </w:r>
      <w:r w:rsidR="0020714A">
        <w:t>s List.</w:t>
      </w:r>
    </w:p>
    <w:p w14:paraId="0073F0D5" w14:textId="7892BB73" w:rsidR="00512CE5" w:rsidRPr="002D2859" w:rsidRDefault="00512CE5" w:rsidP="002D2859">
      <w:pPr>
        <w:spacing w:before="240"/>
        <w:rPr>
          <w:rFonts w:ascii="Arial Narrow" w:hAnsi="Arial Narrow"/>
          <w:b/>
          <w:sz w:val="20"/>
        </w:rPr>
      </w:pPr>
      <w:bookmarkStart w:id="1" w:name="_Ref58331251"/>
      <w:r w:rsidRPr="002D2859">
        <w:rPr>
          <w:rFonts w:ascii="Arial Narrow" w:hAnsi="Arial Narrow"/>
          <w:b/>
          <w:sz w:val="20"/>
        </w:rPr>
        <w:t xml:space="preserve">Table </w:t>
      </w:r>
      <w:r w:rsidR="00476AB2" w:rsidRPr="002D2859">
        <w:rPr>
          <w:rFonts w:ascii="Arial Narrow" w:hAnsi="Arial Narrow"/>
          <w:b/>
          <w:sz w:val="20"/>
        </w:rPr>
        <w:fldChar w:fldCharType="begin"/>
      </w:r>
      <w:r w:rsidR="00476AB2" w:rsidRPr="002D2859">
        <w:rPr>
          <w:rFonts w:ascii="Arial Narrow" w:hAnsi="Arial Narrow"/>
          <w:b/>
          <w:sz w:val="20"/>
        </w:rPr>
        <w:instrText xml:space="preserve"> SEQ Table \* ARABIC </w:instrText>
      </w:r>
      <w:r w:rsidR="00476AB2" w:rsidRPr="002D2859">
        <w:rPr>
          <w:rFonts w:ascii="Arial Narrow" w:hAnsi="Arial Narrow"/>
          <w:b/>
          <w:sz w:val="20"/>
        </w:rPr>
        <w:fldChar w:fldCharType="separate"/>
      </w:r>
      <w:r w:rsidR="003E3A7D" w:rsidRPr="002D2859">
        <w:rPr>
          <w:rFonts w:ascii="Arial Narrow" w:hAnsi="Arial Narrow"/>
          <w:b/>
          <w:sz w:val="20"/>
        </w:rPr>
        <w:t>2</w:t>
      </w:r>
      <w:r w:rsidR="00476AB2" w:rsidRPr="002D2859">
        <w:rPr>
          <w:rFonts w:ascii="Arial Narrow" w:hAnsi="Arial Narrow"/>
          <w:b/>
          <w:sz w:val="20"/>
        </w:rPr>
        <w:fldChar w:fldCharType="end"/>
      </w:r>
      <w:bookmarkEnd w:id="1"/>
      <w:r w:rsidRPr="002D2859">
        <w:rPr>
          <w:rFonts w:ascii="Arial Narrow" w:hAnsi="Arial Narrow"/>
          <w:b/>
          <w:sz w:val="20"/>
        </w:rPr>
        <w:tab/>
        <w:t>Dual-filter CEP system listed on ARTG</w:t>
      </w:r>
    </w:p>
    <w:tbl>
      <w:tblPr>
        <w:tblStyle w:val="OPTUMTableNormal"/>
        <w:tblW w:w="0" w:type="auto"/>
        <w:tblInd w:w="0" w:type="dxa"/>
        <w:tblLook w:val="04A0" w:firstRow="1" w:lastRow="0" w:firstColumn="1" w:lastColumn="0" w:noHBand="0" w:noVBand="1"/>
        <w:tblCaption w:val="Table 10 XXX listed on the Australian Register of Therapeutic Goods"/>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984"/>
        <w:gridCol w:w="1405"/>
        <w:gridCol w:w="3418"/>
        <w:gridCol w:w="2327"/>
        <w:gridCol w:w="882"/>
      </w:tblGrid>
      <w:tr w:rsidR="00512CE5" w:rsidRPr="008F45EC" w14:paraId="05DB8E2F" w14:textId="77777777" w:rsidTr="002D2859">
        <w:trPr>
          <w:cnfStyle w:val="100000000000" w:firstRow="1" w:lastRow="0" w:firstColumn="0" w:lastColumn="0" w:oddVBand="0" w:evenVBand="0" w:oddHBand="0" w:evenHBand="0" w:firstRowFirstColumn="0" w:firstRowLastColumn="0" w:lastRowFirstColumn="0" w:lastRowLastColumn="0"/>
          <w:tblHeader/>
        </w:trPr>
        <w:tc>
          <w:tcPr>
            <w:tcW w:w="984" w:type="dxa"/>
          </w:tcPr>
          <w:p w14:paraId="1F3825E9" w14:textId="77777777" w:rsidR="00512CE5" w:rsidRPr="008F45EC" w:rsidRDefault="00512CE5" w:rsidP="00487EE3">
            <w:pPr>
              <w:keepNext/>
              <w:spacing w:after="40"/>
              <w:rPr>
                <w:rFonts w:ascii="Arial Narrow" w:hAnsi="Arial Narrow" w:cs="Tahoma"/>
                <w:b/>
                <w:sz w:val="20"/>
              </w:rPr>
            </w:pPr>
            <w:r w:rsidRPr="008F45EC">
              <w:rPr>
                <w:rFonts w:ascii="Arial Narrow" w:hAnsi="Arial Narrow" w:cs="Tahoma"/>
                <w:b/>
                <w:sz w:val="20"/>
              </w:rPr>
              <w:t>ARTG no.</w:t>
            </w:r>
          </w:p>
        </w:tc>
        <w:tc>
          <w:tcPr>
            <w:tcW w:w="1405" w:type="dxa"/>
          </w:tcPr>
          <w:p w14:paraId="481317E3" w14:textId="77777777" w:rsidR="00512CE5" w:rsidRPr="008F45EC" w:rsidRDefault="00512CE5" w:rsidP="00487EE3">
            <w:pPr>
              <w:keepNext/>
              <w:spacing w:after="40"/>
              <w:rPr>
                <w:rFonts w:ascii="Arial Narrow" w:hAnsi="Arial Narrow" w:cs="Tahoma"/>
                <w:b/>
                <w:sz w:val="20"/>
              </w:rPr>
            </w:pPr>
            <w:r w:rsidRPr="008F45EC">
              <w:rPr>
                <w:rFonts w:ascii="Arial Narrow" w:hAnsi="Arial Narrow" w:cs="Tahoma"/>
                <w:b/>
                <w:sz w:val="20"/>
              </w:rPr>
              <w:t>Product no./ product category</w:t>
            </w:r>
          </w:p>
        </w:tc>
        <w:tc>
          <w:tcPr>
            <w:tcW w:w="3418" w:type="dxa"/>
          </w:tcPr>
          <w:p w14:paraId="1F883ACE" w14:textId="77777777" w:rsidR="00512CE5" w:rsidRPr="008F45EC" w:rsidRDefault="00512CE5" w:rsidP="00487EE3">
            <w:pPr>
              <w:keepNext/>
              <w:spacing w:after="40"/>
              <w:rPr>
                <w:rFonts w:ascii="Arial Narrow" w:hAnsi="Arial Narrow" w:cs="Tahoma"/>
                <w:b/>
                <w:sz w:val="20"/>
              </w:rPr>
            </w:pPr>
            <w:r w:rsidRPr="008F45EC">
              <w:rPr>
                <w:rFonts w:ascii="Arial Narrow" w:hAnsi="Arial Narrow" w:cs="Tahoma"/>
                <w:b/>
                <w:sz w:val="20"/>
              </w:rPr>
              <w:t>Product description</w:t>
            </w:r>
          </w:p>
        </w:tc>
        <w:tc>
          <w:tcPr>
            <w:tcW w:w="2327" w:type="dxa"/>
          </w:tcPr>
          <w:p w14:paraId="4844B46C" w14:textId="77777777" w:rsidR="00512CE5" w:rsidRPr="008F45EC" w:rsidRDefault="00512CE5" w:rsidP="00487EE3">
            <w:pPr>
              <w:keepNext/>
              <w:spacing w:after="40"/>
              <w:rPr>
                <w:rFonts w:ascii="Arial Narrow" w:hAnsi="Arial Narrow" w:cs="Tahoma"/>
                <w:b/>
                <w:sz w:val="20"/>
              </w:rPr>
            </w:pPr>
            <w:r w:rsidRPr="008F45EC">
              <w:rPr>
                <w:rFonts w:ascii="Arial Narrow" w:hAnsi="Arial Narrow" w:cs="Tahoma"/>
                <w:b/>
                <w:sz w:val="20"/>
              </w:rPr>
              <w:t>Intended use</w:t>
            </w:r>
          </w:p>
        </w:tc>
        <w:tc>
          <w:tcPr>
            <w:tcW w:w="882" w:type="dxa"/>
          </w:tcPr>
          <w:p w14:paraId="0ECA66EF" w14:textId="77777777" w:rsidR="00512CE5" w:rsidRPr="008F45EC" w:rsidRDefault="00512CE5" w:rsidP="00487EE3">
            <w:pPr>
              <w:keepNext/>
              <w:spacing w:after="40"/>
              <w:rPr>
                <w:rFonts w:ascii="Arial Narrow" w:hAnsi="Arial Narrow" w:cs="Tahoma"/>
                <w:b/>
                <w:sz w:val="20"/>
              </w:rPr>
            </w:pPr>
            <w:r w:rsidRPr="008F45EC">
              <w:rPr>
                <w:rFonts w:ascii="Arial Narrow" w:hAnsi="Arial Narrow" w:cs="Tahoma"/>
                <w:b/>
                <w:sz w:val="20"/>
              </w:rPr>
              <w:t>Sponsor</w:t>
            </w:r>
          </w:p>
        </w:tc>
      </w:tr>
      <w:tr w:rsidR="00512CE5" w:rsidRPr="008F45EC" w14:paraId="1369456F" w14:textId="77777777" w:rsidTr="002D2859">
        <w:tc>
          <w:tcPr>
            <w:tcW w:w="984" w:type="dxa"/>
          </w:tcPr>
          <w:p w14:paraId="52EA4CC2" w14:textId="77777777" w:rsidR="00512CE5" w:rsidRPr="008F45EC" w:rsidRDefault="00512CE5" w:rsidP="00487EE3">
            <w:pPr>
              <w:keepNext/>
              <w:spacing w:after="40"/>
              <w:rPr>
                <w:rFonts w:ascii="Arial Narrow" w:hAnsi="Arial Narrow" w:cs="Tahoma"/>
                <w:sz w:val="20"/>
                <w:szCs w:val="22"/>
                <w:lang w:eastAsia="en-US"/>
              </w:rPr>
            </w:pPr>
            <w:r w:rsidRPr="008F45EC">
              <w:rPr>
                <w:rFonts w:ascii="Arial Narrow" w:hAnsi="Arial Narrow" w:cs="Tahoma"/>
                <w:sz w:val="20"/>
                <w:szCs w:val="22"/>
                <w:lang w:eastAsia="en-US"/>
              </w:rPr>
              <w:t>319101</w:t>
            </w:r>
          </w:p>
        </w:tc>
        <w:tc>
          <w:tcPr>
            <w:tcW w:w="1405" w:type="dxa"/>
          </w:tcPr>
          <w:p w14:paraId="018F8459" w14:textId="77777777" w:rsidR="00512CE5" w:rsidRPr="008F45EC" w:rsidRDefault="00512CE5" w:rsidP="00487EE3">
            <w:pPr>
              <w:keepNext/>
              <w:spacing w:after="40"/>
              <w:rPr>
                <w:rFonts w:ascii="Arial Narrow" w:hAnsi="Arial Narrow" w:cs="Tahoma"/>
                <w:sz w:val="20"/>
                <w:szCs w:val="22"/>
                <w:lang w:eastAsia="en-US"/>
              </w:rPr>
            </w:pPr>
            <w:r w:rsidRPr="008F45EC">
              <w:rPr>
                <w:rFonts w:ascii="Arial Narrow" w:hAnsi="Arial Narrow" w:cs="Tahoma"/>
                <w:sz w:val="20"/>
                <w:szCs w:val="22"/>
                <w:lang w:eastAsia="en-US"/>
              </w:rPr>
              <w:t>44841 / Medical Device Class III</w:t>
            </w:r>
          </w:p>
        </w:tc>
        <w:tc>
          <w:tcPr>
            <w:tcW w:w="3418" w:type="dxa"/>
          </w:tcPr>
          <w:p w14:paraId="79D503F3" w14:textId="77777777" w:rsidR="00512CE5" w:rsidRPr="008F45EC" w:rsidRDefault="00512CE5" w:rsidP="00487EE3">
            <w:pPr>
              <w:keepNext/>
              <w:spacing w:after="40"/>
              <w:rPr>
                <w:rFonts w:ascii="Arial Narrow" w:hAnsi="Arial Narrow" w:cs="Tahoma"/>
                <w:sz w:val="20"/>
                <w:szCs w:val="22"/>
                <w:lang w:eastAsia="en-US"/>
              </w:rPr>
            </w:pPr>
            <w:r w:rsidRPr="008F45EC">
              <w:rPr>
                <w:rFonts w:ascii="Arial Narrow" w:hAnsi="Arial Narrow" w:cs="Tahoma"/>
                <w:sz w:val="20"/>
                <w:szCs w:val="22"/>
                <w:lang w:eastAsia="en-US"/>
              </w:rPr>
              <w:t>The SENTINEL Cerebral Protection System is a percutaneously delivered embolic protection device, designed to capture and remove debris dislodged during endovascular procedures. The device presents two independent deployable filters that act at the brachiocephalic and left common carotid arteries and presents a minimal profile in the aortic arch. At the completion of the procedure, the filters and debris are recaptured into the catheter and removed from the patient</w:t>
            </w:r>
          </w:p>
        </w:tc>
        <w:tc>
          <w:tcPr>
            <w:tcW w:w="2327" w:type="dxa"/>
          </w:tcPr>
          <w:p w14:paraId="7C057544" w14:textId="77777777" w:rsidR="00512CE5" w:rsidRPr="008F45EC" w:rsidRDefault="00512CE5" w:rsidP="00487EE3">
            <w:pPr>
              <w:keepNext/>
              <w:spacing w:after="40"/>
              <w:rPr>
                <w:rFonts w:ascii="Arial Narrow" w:hAnsi="Arial Narrow" w:cs="Tahoma"/>
                <w:sz w:val="20"/>
                <w:szCs w:val="22"/>
                <w:lang w:eastAsia="en-US"/>
              </w:rPr>
            </w:pPr>
            <w:r w:rsidRPr="008F45EC">
              <w:rPr>
                <w:rFonts w:ascii="Arial Narrow" w:hAnsi="Arial Narrow" w:cs="Tahoma"/>
                <w:sz w:val="20"/>
                <w:szCs w:val="22"/>
                <w:lang w:eastAsia="en-US"/>
              </w:rPr>
              <w:t>Indicated for use as an embolic protection device to capture and remove embolic material (thrombus/debris) that may enter the cerebral vascular system during endovascular procedures. The diameters of the arteries at the sites of filter placement should be measured and the filters sized to the proximal and distal target vessels</w:t>
            </w:r>
          </w:p>
        </w:tc>
        <w:tc>
          <w:tcPr>
            <w:tcW w:w="882" w:type="dxa"/>
          </w:tcPr>
          <w:p w14:paraId="78709DF9" w14:textId="77777777" w:rsidR="00512CE5" w:rsidRPr="008F45EC" w:rsidRDefault="00512CE5" w:rsidP="00487EE3">
            <w:pPr>
              <w:keepNext/>
              <w:spacing w:after="40"/>
              <w:rPr>
                <w:rFonts w:ascii="Arial Narrow" w:hAnsi="Arial Narrow" w:cs="Tahoma"/>
                <w:sz w:val="20"/>
                <w:szCs w:val="22"/>
                <w:lang w:eastAsia="en-US"/>
              </w:rPr>
            </w:pPr>
            <w:r w:rsidRPr="008F45EC">
              <w:rPr>
                <w:rFonts w:ascii="Arial Narrow" w:hAnsi="Arial Narrow" w:cs="Tahoma"/>
                <w:sz w:val="20"/>
                <w:szCs w:val="22"/>
                <w:lang w:eastAsia="en-US"/>
              </w:rPr>
              <w:t>Boston Scientific Pty Ltd</w:t>
            </w:r>
          </w:p>
        </w:tc>
      </w:tr>
    </w:tbl>
    <w:p w14:paraId="48995D0F" w14:textId="77777777" w:rsidR="00512CE5" w:rsidRDefault="00512CE5" w:rsidP="00512CE5">
      <w:pPr>
        <w:pStyle w:val="Tablecaption"/>
        <w:rPr>
          <w:rFonts w:eastAsia="Calibri"/>
          <w:snapToGrid w:val="0"/>
          <w:color w:val="0000FF"/>
          <w:u w:val="single"/>
        </w:rPr>
      </w:pPr>
      <w:r w:rsidRPr="008F45EC">
        <w:rPr>
          <w:rFonts w:eastAsia="Calibri"/>
          <w:snapToGrid w:val="0"/>
        </w:rPr>
        <w:t xml:space="preserve">Source: Therapeutic Goods Administration, accessed 1 July 2020 </w:t>
      </w:r>
      <w:hyperlink r:id="rId13" w:history="1">
        <w:r w:rsidRPr="008F45EC">
          <w:rPr>
            <w:rFonts w:eastAsia="Calibri"/>
            <w:snapToGrid w:val="0"/>
            <w:color w:val="0000FF"/>
            <w:u w:val="single"/>
          </w:rPr>
          <w:t>Link to TGA.gov.au</w:t>
        </w:r>
      </w:hyperlink>
    </w:p>
    <w:p w14:paraId="3E93E8F5" w14:textId="77777777" w:rsidR="00512CE5" w:rsidRDefault="00512CE5" w:rsidP="00512CE5">
      <w:pPr>
        <w:pStyle w:val="Tablecaption"/>
        <w:rPr>
          <w:rFonts w:eastAsia="Calibri"/>
        </w:rPr>
      </w:pPr>
      <w:r>
        <w:rPr>
          <w:rFonts w:eastAsia="Calibri"/>
        </w:rPr>
        <w:t>ARTG = Australian Register of Therapeutic Goods; CEP = cerebral embolic protection</w:t>
      </w:r>
    </w:p>
    <w:p w14:paraId="6FAB77E5" w14:textId="77777777" w:rsidR="00BC1364" w:rsidRPr="00F715D1" w:rsidRDefault="00BC1364" w:rsidP="00F715D1">
      <w:pPr>
        <w:pStyle w:val="Heading1"/>
      </w:pPr>
      <w:r w:rsidRPr="00F715D1">
        <w:t>Proposal for public funding</w:t>
      </w:r>
    </w:p>
    <w:p w14:paraId="0FD40C97" w14:textId="71C17FF3" w:rsidR="00072FC5" w:rsidRPr="00324DD5" w:rsidRDefault="0020714A">
      <w:r w:rsidRPr="000F1B5B">
        <w:t xml:space="preserve">The proposed MBS item descriptor is summarised in </w:t>
      </w:r>
      <w:r>
        <w:t>Table 3.</w:t>
      </w:r>
      <w:bookmarkStart w:id="2" w:name="_Ref315801840"/>
      <w:bookmarkStart w:id="3" w:name="_Ref308709232"/>
      <w:bookmarkStart w:id="4" w:name="_Hlk44498316"/>
    </w:p>
    <w:p w14:paraId="38723C7E" w14:textId="34BE9E84" w:rsidR="0020714A" w:rsidRPr="002D2859" w:rsidRDefault="0020714A" w:rsidP="002D2859">
      <w:pPr>
        <w:spacing w:before="240"/>
        <w:rPr>
          <w:rFonts w:ascii="Arial Narrow" w:hAnsi="Arial Narrow"/>
          <w:b/>
          <w:sz w:val="20"/>
        </w:rPr>
      </w:pPr>
      <w:r w:rsidRPr="002D2859">
        <w:rPr>
          <w:rFonts w:ascii="Arial Narrow" w:hAnsi="Arial Narrow"/>
          <w:b/>
          <w:sz w:val="20"/>
        </w:rPr>
        <w:t xml:space="preserve">Table </w:t>
      </w:r>
      <w:bookmarkEnd w:id="2"/>
      <w:bookmarkEnd w:id="3"/>
      <w:r w:rsidRPr="002D2859">
        <w:rPr>
          <w:rFonts w:ascii="Arial Narrow" w:hAnsi="Arial Narrow"/>
          <w:b/>
          <w:sz w:val="20"/>
        </w:rPr>
        <w:t>3</w:t>
      </w:r>
      <w:r w:rsidRPr="002D2859">
        <w:rPr>
          <w:rFonts w:ascii="Arial Narrow" w:hAnsi="Arial Narrow"/>
          <w:b/>
          <w:sz w:val="20"/>
        </w:rPr>
        <w:tab/>
        <w:t>Proposed MBS item descriptor</w:t>
      </w:r>
    </w:p>
    <w:tbl>
      <w:tblPr>
        <w:tblStyle w:val="OPTUMTableNormal"/>
        <w:tblW w:w="4981" w:type="pct"/>
        <w:tblInd w:w="-5" w:type="dxa"/>
        <w:tblLook w:val="04A0" w:firstRow="1" w:lastRow="0" w:firstColumn="1" w:lastColumn="0" w:noHBand="0" w:noVBand="1"/>
        <w:tblDescription w:val="Proposed MBS item descriptor"/>
      </w:tblPr>
      <w:tblGrid>
        <w:gridCol w:w="8982"/>
      </w:tblGrid>
      <w:tr w:rsidR="0020714A" w:rsidRPr="000F1B5B" w14:paraId="15707A79" w14:textId="77777777" w:rsidTr="002D2859">
        <w:trPr>
          <w:cnfStyle w:val="100000000000" w:firstRow="1" w:lastRow="0" w:firstColumn="0" w:lastColumn="0" w:oddVBand="0" w:evenVBand="0" w:oddHBand="0" w:evenHBand="0" w:firstRowFirstColumn="0" w:firstRowLastColumn="0" w:lastRowFirstColumn="0" w:lastRowLastColumn="0"/>
          <w:tblHeader/>
        </w:trPr>
        <w:tc>
          <w:tcPr>
            <w:tcW w:w="5000" w:type="pct"/>
          </w:tcPr>
          <w:bookmarkEnd w:id="4"/>
          <w:p w14:paraId="11877A6E" w14:textId="77777777" w:rsidR="0020714A" w:rsidRPr="000F1B5B" w:rsidRDefault="0020714A" w:rsidP="00487EE3">
            <w:pPr>
              <w:keepNext/>
              <w:rPr>
                <w:rFonts w:ascii="Arial Narrow" w:hAnsi="Arial Narrow" w:cs="Arial"/>
                <w:b/>
                <w:bCs/>
                <w:lang w:eastAsia="en-US"/>
              </w:rPr>
            </w:pPr>
            <w:r w:rsidRPr="000F1B5B">
              <w:rPr>
                <w:rFonts w:ascii="Arial Narrow" w:hAnsi="Arial Narrow" w:cs="Arial"/>
                <w:b/>
                <w:bCs/>
                <w:sz w:val="20"/>
                <w:lang w:eastAsia="en-US"/>
              </w:rPr>
              <w:t>Category 3 – Therapeutic procedures</w:t>
            </w:r>
            <w:r w:rsidRPr="000F1B5B" w:rsidDel="00B07EFE">
              <w:rPr>
                <w:rFonts w:ascii="Arial Narrow" w:hAnsi="Arial Narrow" w:cs="Arial"/>
                <w:b/>
                <w:bCs/>
                <w:sz w:val="20"/>
                <w:lang w:eastAsia="en-US"/>
              </w:rPr>
              <w:t xml:space="preserve"> </w:t>
            </w:r>
          </w:p>
        </w:tc>
      </w:tr>
      <w:tr w:rsidR="0020714A" w:rsidRPr="000F1B5B" w14:paraId="63161FEE" w14:textId="77777777" w:rsidTr="002D2859">
        <w:tc>
          <w:tcPr>
            <w:tcW w:w="5000" w:type="pct"/>
          </w:tcPr>
          <w:p w14:paraId="17172364" w14:textId="77777777" w:rsidR="0020714A" w:rsidRPr="000F1B5B" w:rsidRDefault="0020714A" w:rsidP="00487EE3">
            <w:pPr>
              <w:spacing w:after="40"/>
              <w:ind w:left="176"/>
              <w:rPr>
                <w:rFonts w:ascii="Arial Narrow" w:hAnsi="Arial Narrow" w:cs="Tahoma"/>
                <w:snapToGrid w:val="0"/>
                <w:sz w:val="20"/>
              </w:rPr>
            </w:pPr>
            <w:r w:rsidRPr="000F1B5B">
              <w:rPr>
                <w:rFonts w:ascii="Arial Narrow" w:hAnsi="Arial Narrow" w:cs="Tahoma"/>
                <w:snapToGrid w:val="0"/>
                <w:sz w:val="20"/>
              </w:rPr>
              <w:t>MBS item ####</w:t>
            </w:r>
          </w:p>
          <w:p w14:paraId="6DB565FA" w14:textId="77777777" w:rsidR="0020714A" w:rsidRPr="000F1B5B" w:rsidRDefault="0020714A" w:rsidP="00487EE3">
            <w:pPr>
              <w:spacing w:after="40"/>
              <w:ind w:left="176"/>
              <w:rPr>
                <w:rFonts w:ascii="Arial Narrow" w:hAnsi="Arial Narrow" w:cs="Tahoma"/>
                <w:snapToGrid w:val="0"/>
              </w:rPr>
            </w:pPr>
            <w:r w:rsidRPr="000F1B5B">
              <w:rPr>
                <w:rFonts w:ascii="Arial Narrow" w:hAnsi="Arial Narrow" w:cs="Tahoma"/>
                <w:snapToGrid w:val="0"/>
                <w:sz w:val="20"/>
              </w:rPr>
              <w:t>Percutaneous transcatheter delivery of dual-filter cerebral embolic protection (CEP) system during transcatheter aortic valve implantation (TAVI), for the reduction of postoperative embolic ischaemic strokes</w:t>
            </w:r>
          </w:p>
        </w:tc>
      </w:tr>
      <w:tr w:rsidR="0020714A" w:rsidRPr="000F1B5B" w14:paraId="728E9B43" w14:textId="77777777" w:rsidTr="002D2859">
        <w:tc>
          <w:tcPr>
            <w:tcW w:w="5000" w:type="pct"/>
          </w:tcPr>
          <w:p w14:paraId="62D3CDE4" w14:textId="77777777" w:rsidR="0020714A" w:rsidRPr="000F1B5B" w:rsidRDefault="0020714A" w:rsidP="00487EE3">
            <w:pPr>
              <w:spacing w:after="40"/>
              <w:ind w:left="176"/>
              <w:rPr>
                <w:rFonts w:ascii="Arial Narrow" w:hAnsi="Arial Narrow" w:cs="Tahoma"/>
              </w:rPr>
            </w:pPr>
            <w:r w:rsidRPr="000F1B5B">
              <w:rPr>
                <w:rFonts w:ascii="Arial Narrow" w:hAnsi="Arial Narrow" w:cs="Tahoma"/>
                <w:sz w:val="20"/>
              </w:rPr>
              <w:t>Fee: $260.37*</w:t>
            </w:r>
          </w:p>
        </w:tc>
      </w:tr>
    </w:tbl>
    <w:p w14:paraId="63E747B5" w14:textId="77777777" w:rsidR="0020714A" w:rsidRPr="000F1B5B" w:rsidRDefault="0020714A" w:rsidP="0020714A">
      <w:pPr>
        <w:widowControl w:val="0"/>
        <w:rPr>
          <w:rFonts w:ascii="Arial Narrow" w:hAnsi="Arial Narrow" w:cs="Arial"/>
          <w:iCs/>
          <w:snapToGrid w:val="0"/>
          <w:sz w:val="18"/>
          <w:lang w:eastAsia="en-US"/>
        </w:rPr>
      </w:pPr>
      <w:r w:rsidRPr="000F1B5B">
        <w:rPr>
          <w:rFonts w:ascii="Arial Narrow" w:hAnsi="Arial Narrow" w:cs="Arial"/>
          <w:iCs/>
          <w:snapToGrid w:val="0"/>
          <w:sz w:val="18"/>
          <w:lang w:eastAsia="en-US"/>
        </w:rPr>
        <w:t>Source: Table 11, p8 of the ADAR</w:t>
      </w:r>
    </w:p>
    <w:p w14:paraId="13D6E7E8" w14:textId="2C60A7E0" w:rsidR="0020714A" w:rsidRPr="00324DD5" w:rsidRDefault="0020714A" w:rsidP="00324DD5">
      <w:pPr>
        <w:widowControl w:val="0"/>
        <w:rPr>
          <w:rFonts w:ascii="Arial Narrow" w:hAnsi="Arial Narrow" w:cs="Arial"/>
          <w:i/>
          <w:snapToGrid w:val="0"/>
          <w:sz w:val="18"/>
          <w:lang w:eastAsia="en-US"/>
        </w:rPr>
      </w:pPr>
      <w:r w:rsidRPr="000F1B5B">
        <w:rPr>
          <w:rFonts w:ascii="Arial Narrow" w:hAnsi="Arial Narrow" w:cs="Arial"/>
          <w:i/>
          <w:snapToGrid w:val="0"/>
          <w:sz w:val="18"/>
          <w:lang w:eastAsia="en-US"/>
        </w:rPr>
        <w:t>*Note: The fee presented in the ratified PICO for application 1605 was $277.92 which is 19.1% of the current TAVI fee (MBS item 38495 = $1,455.10). The MBS fee presented above ($260.37) is 17.9% of the current TAVI fee. The derivation of this fee is presented in Section D.5 of the ADAR and the assessment of the ADAR’s fee justification is presented on Section D.4 under ‘Medical service costs’ in the second paragraph of this assessment report critique.</w:t>
      </w:r>
    </w:p>
    <w:p w14:paraId="368B6CF3" w14:textId="704BB126" w:rsidR="0020714A" w:rsidRDefault="0020714A" w:rsidP="00324DD5">
      <w:pPr>
        <w:spacing w:before="240"/>
        <w:rPr>
          <w:rFonts w:eastAsia="Calibri"/>
          <w:i/>
          <w:iCs/>
          <w:lang w:eastAsia="en-US"/>
        </w:rPr>
      </w:pPr>
      <w:r w:rsidRPr="000F1B5B">
        <w:t xml:space="preserve">The ADAR </w:t>
      </w:r>
      <w:r>
        <w:t>proposed that</w:t>
      </w:r>
      <w:r w:rsidRPr="000F1B5B">
        <w:t xml:space="preserve"> MSAC may consider ‘future proofing’ this MBS item, by altering the item descriptor to include ‘multi-filter’ CEP systems during TAVI.</w:t>
      </w:r>
      <w:r>
        <w:t xml:space="preserve"> C</w:t>
      </w:r>
      <w:r w:rsidRPr="000F1B5B">
        <w:t>urrently there are no multi-filter CEP systems available in Australia, however, these are expected to enter the market in the future. T</w:t>
      </w:r>
      <w:r>
        <w:t xml:space="preserve">he </w:t>
      </w:r>
      <w:r w:rsidR="00A964C9">
        <w:t>C</w:t>
      </w:r>
      <w:r>
        <w:t xml:space="preserve">ommentary considered that </w:t>
      </w:r>
      <w:r w:rsidRPr="000F1B5B">
        <w:t>t</w:t>
      </w:r>
      <w:r w:rsidRPr="000F1B5B">
        <w:rPr>
          <w:rFonts w:eastAsia="Calibri"/>
          <w:iCs/>
          <w:lang w:eastAsia="en-US"/>
        </w:rPr>
        <w:t>his was considered appropriate.</w:t>
      </w:r>
    </w:p>
    <w:p w14:paraId="1F549254" w14:textId="284BC440" w:rsidR="0020714A" w:rsidRPr="00DF136C" w:rsidRDefault="0020714A" w:rsidP="00324DD5">
      <w:pPr>
        <w:spacing w:before="240"/>
      </w:pPr>
      <w:r>
        <w:rPr>
          <w:rFonts w:eastAsia="Calibri"/>
          <w:lang w:eastAsia="en-US"/>
        </w:rPr>
        <w:t>The ADAR used a time-based approach to estimate the proposed fee for the insertion and removal of the CEP device. The SENTINEL IDE trial that compared TAVI with and without CEP reported an average procedure duration of 74.2 minutes for the TAVI arm and 87.5 minutes for the two CEP arms. Therefore</w:t>
      </w:r>
      <w:r w:rsidR="00A5442C">
        <w:rPr>
          <w:rFonts w:eastAsia="Calibri"/>
          <w:lang w:eastAsia="en-US"/>
        </w:rPr>
        <w:t>,</w:t>
      </w:r>
      <w:r>
        <w:rPr>
          <w:rFonts w:eastAsia="Calibri"/>
          <w:lang w:eastAsia="en-US"/>
        </w:rPr>
        <w:t xml:space="preserve"> the ADAR concluded CEP required an additional 13.3 minutes – equating to 17.9% of the TAVI procedure time. This resulted in a proposed fee of $260.37. This was </w:t>
      </w:r>
      <w:r w:rsidRPr="000D614B">
        <w:rPr>
          <w:rFonts w:eastAsia="Calibri"/>
          <w:lang w:eastAsia="en-US"/>
        </w:rPr>
        <w:t>lower</w:t>
      </w:r>
      <w:r>
        <w:rPr>
          <w:rFonts w:eastAsia="Calibri"/>
          <w:lang w:eastAsia="en-US"/>
        </w:rPr>
        <w:t xml:space="preserve"> than the fee in the ratified PICO </w:t>
      </w:r>
      <w:r w:rsidRPr="004A2A0B">
        <w:rPr>
          <w:rFonts w:eastAsia="Calibri"/>
        </w:rPr>
        <w:t xml:space="preserve">(refer to </w:t>
      </w:r>
      <w:r w:rsidRPr="004A2A0B">
        <w:rPr>
          <w:rFonts w:eastAsia="Calibri"/>
        </w:rPr>
        <w:fldChar w:fldCharType="begin"/>
      </w:r>
      <w:r w:rsidRPr="004A2A0B">
        <w:rPr>
          <w:rFonts w:eastAsia="Calibri"/>
        </w:rPr>
        <w:instrText xml:space="preserve"> REF _Ref315801840 \h </w:instrText>
      </w:r>
      <w:r>
        <w:rPr>
          <w:rFonts w:eastAsia="Calibri"/>
        </w:rPr>
        <w:instrText xml:space="preserve"> \* MERGEFORMAT </w:instrText>
      </w:r>
      <w:r w:rsidRPr="004A2A0B">
        <w:rPr>
          <w:rFonts w:eastAsia="Calibri"/>
        </w:rPr>
      </w:r>
      <w:r w:rsidRPr="004A2A0B">
        <w:rPr>
          <w:rFonts w:eastAsia="Calibri"/>
        </w:rPr>
        <w:fldChar w:fldCharType="separate"/>
      </w:r>
      <w:r w:rsidR="003E3A7D" w:rsidRPr="000F1B5B">
        <w:t xml:space="preserve">Table </w:t>
      </w:r>
      <w:r w:rsidRPr="004A2A0B">
        <w:rPr>
          <w:rFonts w:eastAsia="Calibri"/>
        </w:rPr>
        <w:fldChar w:fldCharType="end"/>
      </w:r>
      <w:r w:rsidR="00A964C9">
        <w:rPr>
          <w:rFonts w:eastAsia="Calibri"/>
        </w:rPr>
        <w:t>3</w:t>
      </w:r>
      <w:r w:rsidRPr="004A2A0B">
        <w:rPr>
          <w:rFonts w:eastAsia="Calibri"/>
        </w:rPr>
        <w:t>)</w:t>
      </w:r>
      <w:r>
        <w:rPr>
          <w:rFonts w:eastAsia="Calibri"/>
        </w:rPr>
        <w:t>.</w:t>
      </w:r>
    </w:p>
    <w:p w14:paraId="111C65E3" w14:textId="2BB33759" w:rsidR="0020714A" w:rsidRPr="00324DD5" w:rsidRDefault="0020714A" w:rsidP="00324DD5">
      <w:pPr>
        <w:spacing w:before="240"/>
        <w:rPr>
          <w:iCs/>
        </w:rPr>
      </w:pPr>
      <w:r w:rsidRPr="000F1B5B">
        <w:rPr>
          <w:iCs/>
        </w:rPr>
        <w:t>As noted by PASC (</w:t>
      </w:r>
      <w:hyperlink r:id="rId14" w:history="1">
        <w:r w:rsidRPr="00DD5050">
          <w:rPr>
            <w:rStyle w:val="Hyperlink"/>
            <w:iCs/>
          </w:rPr>
          <w:t>1605 Ratified PICO</w:t>
        </w:r>
      </w:hyperlink>
      <w:r>
        <w:rPr>
          <w:iCs/>
        </w:rPr>
        <w:t xml:space="preserve">, </w:t>
      </w:r>
      <w:r w:rsidRPr="000F1B5B">
        <w:rPr>
          <w:iCs/>
        </w:rPr>
        <w:t>p4), TAVI+CEP will have the same accreditation requirements for operators and institutions as applied for TAVI procedure which is the by PASC confirmed comparator [p9 Ratified PICO]).</w:t>
      </w:r>
      <w:r w:rsidRPr="000F1B5B">
        <w:t xml:space="preserve"> </w:t>
      </w:r>
      <w:r w:rsidRPr="000F1B5B">
        <w:rPr>
          <w:iCs/>
        </w:rPr>
        <w:t>The PASC confirmed that the procedure is subject to the multiple operation rule, which reduces the fee payable by 50%.</w:t>
      </w:r>
    </w:p>
    <w:p w14:paraId="097D6233" w14:textId="77777777" w:rsidR="0020714A" w:rsidRPr="002D2859" w:rsidRDefault="0020714A" w:rsidP="002D2859">
      <w:pPr>
        <w:keepNext/>
        <w:keepLines/>
        <w:rPr>
          <w:i/>
          <w:u w:val="single"/>
        </w:rPr>
      </w:pPr>
      <w:r w:rsidRPr="002D2859">
        <w:rPr>
          <w:i/>
          <w:u w:val="single"/>
        </w:rPr>
        <w:t>Prosthesis</w:t>
      </w:r>
    </w:p>
    <w:p w14:paraId="1BD3A4F0" w14:textId="5E98EB61" w:rsidR="0020714A" w:rsidRPr="00324DD5" w:rsidRDefault="0020714A" w:rsidP="002D2859">
      <w:pPr>
        <w:keepNext/>
        <w:keepLines/>
      </w:pPr>
      <w:r>
        <w:t xml:space="preserve">The ADAR proposed a higher prosthesis </w:t>
      </w:r>
      <w:r w:rsidRPr="00324DD5">
        <w:t>benefit of $</w:t>
      </w:r>
      <w:r w:rsidR="00076174" w:rsidRPr="00324DD5">
        <w:rPr>
          <w:b/>
        </w:rPr>
        <w:t>redacted</w:t>
      </w:r>
      <w:r w:rsidR="00076174" w:rsidRPr="00324DD5">
        <w:t xml:space="preserve"> </w:t>
      </w:r>
      <w:r w:rsidRPr="00324DD5">
        <w:t>for the dual-filter CEP than the July 2020 Prosthes</w:t>
      </w:r>
      <w:r w:rsidR="00A964C9" w:rsidRPr="00324DD5">
        <w:t>e</w:t>
      </w:r>
      <w:r w:rsidRPr="00324DD5">
        <w:t>s List benefit of $1,895. This is a benefit equivalent to single-filter devices. However, the single-filter devices are not used in the proposed pop</w:t>
      </w:r>
      <w:r w:rsidR="00F87E08" w:rsidRPr="00324DD5">
        <w:t>ulation.</w:t>
      </w:r>
    </w:p>
    <w:p w14:paraId="216B5E0F" w14:textId="4BBDB831" w:rsidR="0020714A" w:rsidRPr="00B02E35" w:rsidRDefault="0020714A" w:rsidP="00324DD5">
      <w:pPr>
        <w:spacing w:before="240"/>
      </w:pPr>
      <w:r w:rsidRPr="00324DD5">
        <w:t>The ADAR stated that $</w:t>
      </w:r>
      <w:r w:rsidR="00076174" w:rsidRPr="00324DD5">
        <w:rPr>
          <w:b/>
        </w:rPr>
        <w:t>redacted</w:t>
      </w:r>
      <w:r w:rsidR="00F708EF" w:rsidRPr="00324DD5">
        <w:t xml:space="preserve"> </w:t>
      </w:r>
      <w:r w:rsidRPr="00324DD5">
        <w:t>reflects the current sales price of the dual-filter CEP device. Currently, hospitals and patients are</w:t>
      </w:r>
      <w:r>
        <w:t xml:space="preserve"> paying the difference between reimbursement and the price of the CEP device, resulting in inequity in access to the CEP device. An increase in the level of benefit of the dual-filter CEP device on the Prosthes</w:t>
      </w:r>
      <w:r w:rsidR="00A964C9">
        <w:t>e</w:t>
      </w:r>
      <w:r>
        <w:t>s List will provide adequate funding for the device. This would also provide equity of access for the proposed patient population in Australia. The ADAR considered the higher proposed benefit was supported by the cost-effectivene</w:t>
      </w:r>
      <w:r w:rsidR="00F87E08">
        <w:t>ss of the TAVI + CEP procedure.</w:t>
      </w:r>
    </w:p>
    <w:p w14:paraId="2E98BDC2"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68300407" w14:textId="77777777" w:rsidR="0020714A" w:rsidRPr="0020714A" w:rsidRDefault="0020714A" w:rsidP="00F715D1">
      <w:pPr>
        <w:spacing w:after="240"/>
        <w:rPr>
          <w:szCs w:val="24"/>
        </w:rPr>
      </w:pPr>
      <w:r w:rsidRPr="0020714A">
        <w:rPr>
          <w:szCs w:val="24"/>
        </w:rPr>
        <w:t>No consumer feedback/consumer comments were received for this application.</w:t>
      </w:r>
    </w:p>
    <w:p w14:paraId="675EE105" w14:textId="77777777" w:rsidR="00BC1364" w:rsidRPr="00F715D1" w:rsidRDefault="00BC1364" w:rsidP="00F715D1">
      <w:pPr>
        <w:pStyle w:val="Heading1"/>
      </w:pPr>
      <w:r w:rsidRPr="00F715D1">
        <w:t>Proposed intervention’s place in clinical management</w:t>
      </w:r>
    </w:p>
    <w:p w14:paraId="3DEB6E1C" w14:textId="2329C262" w:rsidR="00CF4E81" w:rsidRDefault="00CF4E81" w:rsidP="00F715D1">
      <w:pPr>
        <w:spacing w:after="240"/>
        <w:rPr>
          <w:b/>
          <w:szCs w:val="24"/>
        </w:rPr>
      </w:pPr>
      <w:r w:rsidRPr="00CF4E81">
        <w:rPr>
          <w:b/>
          <w:szCs w:val="24"/>
        </w:rPr>
        <w:t>Description of Proposed Intervention</w:t>
      </w:r>
    </w:p>
    <w:p w14:paraId="1412FCB3" w14:textId="7CDFCB4D" w:rsidR="0020714A" w:rsidRPr="00A964C9" w:rsidRDefault="0020714A" w:rsidP="00A964C9">
      <w:pPr>
        <w:spacing w:after="240"/>
      </w:pPr>
      <w:r w:rsidRPr="0020714A">
        <w:t>Percutaneous transcatheter delivery of a dual-filter CEP system, is intended to capture and remove debris that may enter the cerebral vascular system during the transcatheter aortic valve implantation procedure. The CEP system is comprised of two independent deployable filters, with sizes suitable for the arteries that provide the main blood supply to the brain. The CEP system is inserted via the radial artery, delivering an intra-luminal filter in the common trunk of the branchiocephalic artery (proximal filter), with a second filter delivered in the proximal section of the left common carotid artery (distal filter), filtering approximately 90% of the blood flow to the brain. At completion of the procedure, the filters and any captured debris are retrieved into the catheter and removed from the patient.</w:t>
      </w:r>
    </w:p>
    <w:p w14:paraId="0BEBF43A" w14:textId="77777777" w:rsidR="00CF4E81" w:rsidRPr="00CF4E81" w:rsidRDefault="00CF4E81" w:rsidP="00CF4E81">
      <w:pPr>
        <w:autoSpaceDE w:val="0"/>
        <w:autoSpaceDN w:val="0"/>
        <w:adjustRightInd w:val="0"/>
        <w:rPr>
          <w:b/>
        </w:rPr>
      </w:pPr>
      <w:r w:rsidRPr="00CF4E81">
        <w:rPr>
          <w:b/>
        </w:rPr>
        <w:t>Description of Medical Condition(s)</w:t>
      </w:r>
    </w:p>
    <w:p w14:paraId="68BEB09A" w14:textId="27FCE9F1" w:rsidR="0020714A" w:rsidRPr="0020714A" w:rsidRDefault="0020714A" w:rsidP="00324DD5">
      <w:pPr>
        <w:autoSpaceDE w:val="0"/>
        <w:autoSpaceDN w:val="0"/>
        <w:adjustRightInd w:val="0"/>
        <w:spacing w:before="240"/>
      </w:pPr>
      <w:r w:rsidRPr="0020714A">
        <w:t>Embolic ischaemic strokes can occur in patients undergoing endovascular procedures such as TAVI. The origin of these embolic cerebrovascular events is variable and can include dislodged calcium particles, atherosclerotic plaque material, thrombus, valve and arterial wall tissue, and sheared interventional catheter coating material. Thrombus/debris lodges in an artery and blocks the flow of blood, this leads to a type of ischaemic stroke. This can lead to serious debilitation or death.</w:t>
      </w:r>
    </w:p>
    <w:p w14:paraId="3C3F3C59" w14:textId="163BF3B9" w:rsidR="00CF4E81" w:rsidRDefault="0020714A" w:rsidP="00324DD5">
      <w:pPr>
        <w:autoSpaceDE w:val="0"/>
        <w:autoSpaceDN w:val="0"/>
        <w:adjustRightInd w:val="0"/>
        <w:spacing w:before="240"/>
      </w:pPr>
      <w:r w:rsidRPr="0020714A">
        <w:t>Many endovascular procedures associated with structural interventions are known to be cardioembolic, including transcatheter aortic valve implantation/replacement, mitral valve repair/replacement, left atrial appendage closure, valve in valve, and thoracic endovascular aortic repair. Given that the largest body of clinical evidence is from studies conducted in patients with severe, symptomatic aortic stenosis undergoing TAVI, this application focuses on the use of the percutaneous trans-radial delivery of a dual-filter CEP system as an adjunctive therapy for TAVI.</w:t>
      </w:r>
    </w:p>
    <w:p w14:paraId="3A007924" w14:textId="6CC43AEB" w:rsidR="0020714A" w:rsidRPr="0020714A" w:rsidRDefault="0020714A" w:rsidP="00324DD5">
      <w:pPr>
        <w:spacing w:before="240"/>
      </w:pPr>
      <w:r w:rsidRPr="0020714A">
        <w:t>The current and proposed clinical management algorithms of patients with symptomatic severe aortic stenosis undergoing TAVI is provided in Figure 1. The only proposed change to the current clinical management algorithm is the use of the dual-filter CEP system adjunct to the TAVI procedure in all patients.</w:t>
      </w:r>
    </w:p>
    <w:p w14:paraId="1A0B2B46" w14:textId="77777777" w:rsidR="0020714A" w:rsidRDefault="0020714A" w:rsidP="0020714A">
      <w:pPr>
        <w:keepNext/>
        <w:keepLines/>
        <w:widowControl w:val="0"/>
        <w:spacing w:after="240" w:line="312" w:lineRule="auto"/>
        <w:jc w:val="both"/>
      </w:pPr>
      <w:r w:rsidRPr="0020714A">
        <w:rPr>
          <w:rFonts w:ascii="Calibri" w:hAnsi="Calibri" w:cs="Tahoma"/>
          <w:noProof/>
          <w:sz w:val="22"/>
          <w:szCs w:val="22"/>
        </w:rPr>
        <w:drawing>
          <wp:inline distT="0" distB="0" distL="0" distR="0" wp14:anchorId="63AB56BC" wp14:editId="172CCCEF">
            <wp:extent cx="6133465" cy="3454400"/>
            <wp:effectExtent l="0" t="0" r="635" b="0"/>
            <wp:docPr id="37" name="Picture 3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athway.png"/>
                    <pic:cNvPicPr/>
                  </pic:nvPicPr>
                  <pic:blipFill>
                    <a:blip r:embed="rId15">
                      <a:extLst>
                        <a:ext uri="{28A0092B-C50C-407E-A947-70E740481C1C}">
                          <a14:useLocalDpi xmlns:a14="http://schemas.microsoft.com/office/drawing/2010/main" val="0"/>
                        </a:ext>
                      </a:extLst>
                    </a:blip>
                    <a:stretch>
                      <a:fillRect/>
                    </a:stretch>
                  </pic:blipFill>
                  <pic:spPr>
                    <a:xfrm>
                      <a:off x="0" y="0"/>
                      <a:ext cx="6145134" cy="3460972"/>
                    </a:xfrm>
                    <a:prstGeom prst="rect">
                      <a:avLst/>
                    </a:prstGeom>
                  </pic:spPr>
                </pic:pic>
              </a:graphicData>
            </a:graphic>
          </wp:inline>
        </w:drawing>
      </w:r>
    </w:p>
    <w:p w14:paraId="3F343019" w14:textId="23A3CE87" w:rsidR="0020714A" w:rsidRPr="002D2859" w:rsidRDefault="0020714A" w:rsidP="002D2859">
      <w:pPr>
        <w:rPr>
          <w:rFonts w:ascii="Arial Narrow" w:hAnsi="Arial Narrow"/>
          <w:b/>
          <w:sz w:val="20"/>
        </w:rPr>
      </w:pPr>
      <w:r w:rsidRPr="002D2859">
        <w:rPr>
          <w:rFonts w:ascii="Arial Narrow" w:hAnsi="Arial Narrow"/>
          <w:b/>
          <w:sz w:val="20"/>
        </w:rPr>
        <w:t xml:space="preserve">Figure </w:t>
      </w:r>
      <w:r w:rsidR="00476AB2" w:rsidRPr="002D2859">
        <w:rPr>
          <w:rFonts w:ascii="Arial Narrow" w:hAnsi="Arial Narrow"/>
          <w:b/>
          <w:sz w:val="20"/>
        </w:rPr>
        <w:fldChar w:fldCharType="begin"/>
      </w:r>
      <w:r w:rsidR="00476AB2" w:rsidRPr="002D2859">
        <w:rPr>
          <w:rFonts w:ascii="Arial Narrow" w:hAnsi="Arial Narrow"/>
          <w:b/>
          <w:sz w:val="20"/>
        </w:rPr>
        <w:instrText xml:space="preserve"> SEQ Figure \* ARABIC </w:instrText>
      </w:r>
      <w:r w:rsidR="00476AB2" w:rsidRPr="002D2859">
        <w:rPr>
          <w:rFonts w:ascii="Arial Narrow" w:hAnsi="Arial Narrow"/>
          <w:b/>
          <w:sz w:val="20"/>
        </w:rPr>
        <w:fldChar w:fldCharType="separate"/>
      </w:r>
      <w:r w:rsidR="003E3A7D" w:rsidRPr="002D2859">
        <w:rPr>
          <w:rFonts w:ascii="Arial Narrow" w:hAnsi="Arial Narrow"/>
          <w:b/>
          <w:sz w:val="20"/>
        </w:rPr>
        <w:t>1</w:t>
      </w:r>
      <w:r w:rsidR="00476AB2" w:rsidRPr="002D2859">
        <w:rPr>
          <w:rFonts w:ascii="Arial Narrow" w:hAnsi="Arial Narrow"/>
          <w:b/>
          <w:sz w:val="20"/>
        </w:rPr>
        <w:fldChar w:fldCharType="end"/>
      </w:r>
      <w:r w:rsidRPr="002D2859">
        <w:rPr>
          <w:rFonts w:ascii="Arial Narrow" w:hAnsi="Arial Narrow"/>
          <w:b/>
          <w:sz w:val="20"/>
        </w:rPr>
        <w:tab/>
        <w:t>Current and proposed clinical management algorithms with introduction of dual-filter CEP</w:t>
      </w:r>
    </w:p>
    <w:p w14:paraId="5B73B6F6" w14:textId="77777777" w:rsidR="0020714A" w:rsidRPr="0020714A" w:rsidRDefault="0020714A" w:rsidP="0020714A">
      <w:pPr>
        <w:widowControl w:val="0"/>
        <w:spacing w:after="120"/>
        <w:contextualSpacing/>
        <w:jc w:val="both"/>
        <w:rPr>
          <w:rFonts w:ascii="Arial Narrow" w:eastAsia="Calibri" w:hAnsi="Arial Narrow" w:cs="Arial"/>
          <w:snapToGrid w:val="0"/>
          <w:sz w:val="18"/>
          <w:lang w:eastAsia="en-US"/>
        </w:rPr>
      </w:pPr>
      <w:r w:rsidRPr="0020714A">
        <w:rPr>
          <w:rFonts w:ascii="Arial Narrow" w:eastAsia="Calibri" w:hAnsi="Arial Narrow" w:cs="Arial"/>
          <w:snapToGrid w:val="0"/>
          <w:sz w:val="18"/>
          <w:lang w:eastAsia="en-US"/>
        </w:rPr>
        <w:t>Source: Figure 5, p12 of the Commentary</w:t>
      </w:r>
    </w:p>
    <w:p w14:paraId="57CAC8BA" w14:textId="49BCD6CF" w:rsidR="0020714A" w:rsidRPr="00466733" w:rsidRDefault="0020714A" w:rsidP="00466733">
      <w:pPr>
        <w:widowControl w:val="0"/>
        <w:spacing w:after="120"/>
        <w:contextualSpacing/>
        <w:jc w:val="both"/>
        <w:rPr>
          <w:rFonts w:ascii="Arial Narrow" w:eastAsia="Calibri" w:hAnsi="Arial Narrow" w:cs="Arial"/>
          <w:snapToGrid w:val="0"/>
          <w:sz w:val="18"/>
          <w:lang w:eastAsia="en-US"/>
        </w:rPr>
      </w:pPr>
      <w:r w:rsidRPr="0020714A">
        <w:rPr>
          <w:rFonts w:ascii="Arial Narrow" w:eastAsia="Calibri" w:hAnsi="Arial Narrow" w:cs="Arial"/>
          <w:snapToGrid w:val="0"/>
          <w:sz w:val="18"/>
          <w:lang w:eastAsia="en-US"/>
        </w:rPr>
        <w:t>CEP = cerebral embolic protection; CT = computed tomography; MRI = magnetic resonance imaging; TAVI = transcatheter aortic valve implantation</w:t>
      </w:r>
    </w:p>
    <w:p w14:paraId="60FAF86C" w14:textId="77777777" w:rsidR="00BC1364" w:rsidRPr="00F715D1" w:rsidRDefault="00BC1364" w:rsidP="00F715D1">
      <w:pPr>
        <w:pStyle w:val="Heading1"/>
      </w:pPr>
      <w:r w:rsidRPr="00F715D1">
        <w:t xml:space="preserve">Comparator </w:t>
      </w:r>
    </w:p>
    <w:p w14:paraId="31C5AAA9" w14:textId="02884934" w:rsidR="00466733" w:rsidRPr="00466733" w:rsidRDefault="00466733" w:rsidP="00466733">
      <w:pPr>
        <w:tabs>
          <w:tab w:val="num" w:pos="426"/>
        </w:tabs>
        <w:spacing w:after="240"/>
      </w:pPr>
      <w:r w:rsidRPr="00466733">
        <w:t>The nominated comparator was the TAVI procedure without the use of a dual-filter CEP system (i.e. standard of care [SoC]). This was con</w:t>
      </w:r>
      <w:r w:rsidR="00F87E08">
        <w:t xml:space="preserve">sistent with the </w:t>
      </w:r>
      <w:r w:rsidR="00193469">
        <w:t>r</w:t>
      </w:r>
      <w:r w:rsidR="00F87E08">
        <w:t>atified PICO.</w:t>
      </w:r>
    </w:p>
    <w:p w14:paraId="77ECC9C8" w14:textId="77777777" w:rsidR="00466733" w:rsidRPr="00466733" w:rsidRDefault="00466733" w:rsidP="00466733">
      <w:pPr>
        <w:tabs>
          <w:tab w:val="num" w:pos="426"/>
        </w:tabs>
        <w:spacing w:after="240"/>
      </w:pPr>
      <w:r w:rsidRPr="00466733">
        <w:t>The ADAR considered that single-filter CEP systems are not comparable to the dual-filter CEP as they only have a single-filter and are sized for the internal carotid artery (i.e. are sized too small to be used in either the left common carotid, or the brachiocephalic artery, or present a double-occlusion balloon system for use in small diameter carotid arteries).</w:t>
      </w:r>
    </w:p>
    <w:p w14:paraId="250FAD2A" w14:textId="48DD8A35" w:rsidR="00466733" w:rsidRPr="00466733" w:rsidRDefault="00466733" w:rsidP="00466733">
      <w:pPr>
        <w:tabs>
          <w:tab w:val="num" w:pos="426"/>
        </w:tabs>
        <w:spacing w:after="240"/>
      </w:pPr>
      <w:r w:rsidRPr="00466733">
        <w:t>The ADAR considered embolic deflection devices were not appropriate comparators as no embolic deflection devices are registered on the ARTG and deflection devices do not capture and remove embolic material, which can lead to this material causing potential harm elsewhere downstream in the circulatory system.</w:t>
      </w:r>
    </w:p>
    <w:p w14:paraId="3E2458E3" w14:textId="77777777" w:rsidR="00BC1364" w:rsidRPr="00F715D1" w:rsidRDefault="00BC1364" w:rsidP="00F715D1">
      <w:pPr>
        <w:pStyle w:val="Heading1"/>
      </w:pPr>
      <w:r w:rsidRPr="00F715D1">
        <w:t>Comparative safety</w:t>
      </w:r>
    </w:p>
    <w:p w14:paraId="5DF978F5" w14:textId="398449C0" w:rsidR="00466733" w:rsidRPr="00466733" w:rsidRDefault="00466733" w:rsidP="00466733">
      <w:pPr>
        <w:tabs>
          <w:tab w:val="left" w:pos="720"/>
          <w:tab w:val="left" w:pos="1140"/>
        </w:tabs>
        <w:rPr>
          <w:iCs/>
          <w:color w:val="000000"/>
          <w:shd w:val="clear" w:color="auto" w:fill="FFFFFF"/>
        </w:rPr>
      </w:pPr>
      <w:r w:rsidRPr="00466733">
        <w:rPr>
          <w:iCs/>
          <w:color w:val="000000"/>
          <w:shd w:val="clear" w:color="auto" w:fill="FFFFFF"/>
        </w:rPr>
        <w:t xml:space="preserve">The ADAR presented three randomised controlled trials (RCTs) and three observational studies to support its clinical claim </w:t>
      </w:r>
      <w:r w:rsidRPr="00466733">
        <w:t>(</w:t>
      </w:r>
      <w:r w:rsidR="00C65234" w:rsidRPr="00F87E08">
        <w:fldChar w:fldCharType="begin"/>
      </w:r>
      <w:r w:rsidR="00C65234" w:rsidRPr="00F87E08">
        <w:instrText xml:space="preserve"> REF _Ref50309209 \h </w:instrText>
      </w:r>
      <w:r w:rsidR="00F87E08">
        <w:instrText xml:space="preserve"> \* MERGEFORMAT </w:instrText>
      </w:r>
      <w:r w:rsidR="00C65234" w:rsidRPr="00F87E08">
        <w:fldChar w:fldCharType="separate"/>
      </w:r>
      <w:r w:rsidR="003E3A7D" w:rsidRPr="003E3A7D">
        <w:t>Table 3</w:t>
      </w:r>
      <w:r w:rsidR="00C65234" w:rsidRPr="00F87E08">
        <w:fldChar w:fldCharType="end"/>
      </w:r>
      <w:r w:rsidRPr="00F87E08">
        <w:t>).</w:t>
      </w:r>
      <w:r w:rsidRPr="00466733">
        <w:rPr>
          <w:iCs/>
          <w:color w:val="000000"/>
          <w:shd w:val="clear" w:color="auto" w:fill="FFFFFF"/>
        </w:rPr>
        <w:t xml:space="preserve"> The ADAR presented three RCTs (SENTINEL IDE</w:t>
      </w:r>
      <w:r w:rsidRPr="00466733">
        <w:rPr>
          <w:iCs/>
          <w:color w:val="000000"/>
          <w:shd w:val="clear" w:color="auto" w:fill="FFFFFF"/>
          <w:vertAlign w:val="superscript"/>
        </w:rPr>
        <w:footnoteReference w:id="1"/>
      </w:r>
      <w:r w:rsidRPr="00466733">
        <w:rPr>
          <w:iCs/>
          <w:color w:val="000000"/>
          <w:shd w:val="clear" w:color="auto" w:fill="FFFFFF"/>
        </w:rPr>
        <w:t>, CLEAN TAVI</w:t>
      </w:r>
      <w:r w:rsidRPr="00466733">
        <w:rPr>
          <w:iCs/>
          <w:color w:val="000000"/>
          <w:shd w:val="clear" w:color="auto" w:fill="FFFFFF"/>
          <w:vertAlign w:val="superscript"/>
        </w:rPr>
        <w:footnoteReference w:id="2"/>
      </w:r>
      <w:r w:rsidRPr="00466733">
        <w:rPr>
          <w:iCs/>
          <w:color w:val="000000"/>
          <w:shd w:val="clear" w:color="auto" w:fill="FFFFFF"/>
        </w:rPr>
        <w:t>, and MISTRAL-C</w:t>
      </w:r>
      <w:r w:rsidRPr="00466733">
        <w:rPr>
          <w:iCs/>
          <w:color w:val="000000"/>
          <w:shd w:val="clear" w:color="auto" w:fill="FFFFFF"/>
          <w:vertAlign w:val="superscript"/>
        </w:rPr>
        <w:footnoteReference w:id="3"/>
      </w:r>
      <w:r w:rsidRPr="00466733">
        <w:rPr>
          <w:iCs/>
          <w:color w:val="000000"/>
          <w:shd w:val="clear" w:color="auto" w:fill="FFFFFF"/>
        </w:rPr>
        <w:t xml:space="preserve">) that compared TAVI + CEP with TAVI alone. The primary efficacy outcomes were magnetic resonance imaging (MRI) outcomes:  </w:t>
      </w:r>
    </w:p>
    <w:p w14:paraId="46A23D60" w14:textId="5D907F3C" w:rsidR="00466733" w:rsidRPr="00466733" w:rsidRDefault="00466733" w:rsidP="00466733">
      <w:pPr>
        <w:numPr>
          <w:ilvl w:val="0"/>
          <w:numId w:val="32"/>
        </w:numPr>
        <w:tabs>
          <w:tab w:val="left" w:pos="720"/>
          <w:tab w:val="left" w:pos="1140"/>
        </w:tabs>
        <w:contextualSpacing/>
        <w:rPr>
          <w:iCs/>
          <w:color w:val="000000"/>
          <w:shd w:val="clear" w:color="auto" w:fill="FFFFFF"/>
        </w:rPr>
      </w:pPr>
      <w:r w:rsidRPr="00466733">
        <w:rPr>
          <w:iCs/>
          <w:color w:val="000000"/>
          <w:shd w:val="clear" w:color="auto" w:fill="FFFFFF"/>
        </w:rPr>
        <w:t>SENTINEL IDE measured the reduction in median total new lesion volume in protected territories between the Imaging Cohort Arms (Test and Control) as assessed by diffusion-weighted</w:t>
      </w:r>
      <w:r w:rsidR="00F87E08">
        <w:rPr>
          <w:iCs/>
          <w:color w:val="000000"/>
          <w:shd w:val="clear" w:color="auto" w:fill="FFFFFF"/>
        </w:rPr>
        <w:t xml:space="preserve"> (DW)-MRI at Day 2-7 post-TAVI;</w:t>
      </w:r>
    </w:p>
    <w:p w14:paraId="5919602B" w14:textId="77777777" w:rsidR="00466733" w:rsidRPr="00466733" w:rsidRDefault="00466733" w:rsidP="00466733">
      <w:pPr>
        <w:numPr>
          <w:ilvl w:val="0"/>
          <w:numId w:val="32"/>
        </w:numPr>
        <w:tabs>
          <w:tab w:val="left" w:pos="720"/>
          <w:tab w:val="left" w:pos="1140"/>
        </w:tabs>
        <w:contextualSpacing/>
        <w:rPr>
          <w:iCs/>
          <w:color w:val="000000"/>
          <w:shd w:val="clear" w:color="auto" w:fill="FFFFFF"/>
        </w:rPr>
      </w:pPr>
      <w:r w:rsidRPr="00466733">
        <w:rPr>
          <w:iCs/>
          <w:color w:val="000000"/>
          <w:shd w:val="clear" w:color="auto" w:fill="FFFFFF"/>
        </w:rPr>
        <w:t>CLEAN-TAVI measured numerical difference in new positive DW-MRI brain lesions at 2 days after TAVI; and</w:t>
      </w:r>
    </w:p>
    <w:p w14:paraId="210BE8A7" w14:textId="6E86EACC" w:rsidR="00466733" w:rsidRPr="00324DD5" w:rsidRDefault="00466733" w:rsidP="00466733">
      <w:pPr>
        <w:numPr>
          <w:ilvl w:val="0"/>
          <w:numId w:val="32"/>
        </w:numPr>
        <w:tabs>
          <w:tab w:val="left" w:pos="720"/>
          <w:tab w:val="left" w:pos="1140"/>
        </w:tabs>
        <w:contextualSpacing/>
        <w:rPr>
          <w:iCs/>
          <w:color w:val="000000"/>
          <w:shd w:val="clear" w:color="auto" w:fill="FFFFFF"/>
        </w:rPr>
      </w:pPr>
      <w:r w:rsidRPr="00466733">
        <w:rPr>
          <w:iCs/>
          <w:color w:val="000000"/>
          <w:shd w:val="clear" w:color="auto" w:fill="FFFFFF"/>
        </w:rPr>
        <w:t>MISTRAL-C measured new cerebral lesions by brain DW-MRI 5-7 days after TAVI.</w:t>
      </w:r>
    </w:p>
    <w:p w14:paraId="60E9012B" w14:textId="630A4295" w:rsidR="00466733" w:rsidRPr="00466733" w:rsidRDefault="00466733" w:rsidP="00324DD5">
      <w:pPr>
        <w:tabs>
          <w:tab w:val="left" w:pos="720"/>
          <w:tab w:val="left" w:pos="1140"/>
        </w:tabs>
        <w:spacing w:before="240"/>
        <w:rPr>
          <w:iCs/>
          <w:color w:val="000000"/>
          <w:shd w:val="clear" w:color="auto" w:fill="FFFFFF"/>
        </w:rPr>
      </w:pPr>
      <w:r w:rsidRPr="00466733">
        <w:rPr>
          <w:iCs/>
          <w:color w:val="000000"/>
          <w:shd w:val="clear" w:color="auto" w:fill="FFFFFF"/>
        </w:rPr>
        <w:t>The ADAR also presented three non-randomised studies (SENTINEL-Ulm</w:t>
      </w:r>
      <w:r w:rsidRPr="00466733">
        <w:rPr>
          <w:iCs/>
          <w:color w:val="000000"/>
          <w:shd w:val="clear" w:color="auto" w:fill="FFFFFF"/>
          <w:vertAlign w:val="superscript"/>
        </w:rPr>
        <w:footnoteReference w:id="4"/>
      </w:r>
      <w:r w:rsidRPr="00466733">
        <w:rPr>
          <w:iCs/>
          <w:color w:val="000000"/>
          <w:shd w:val="clear" w:color="auto" w:fill="FFFFFF"/>
        </w:rPr>
        <w:t>, Kroon 2009</w:t>
      </w:r>
      <w:r w:rsidRPr="00466733">
        <w:rPr>
          <w:iCs/>
          <w:color w:val="000000"/>
          <w:shd w:val="clear" w:color="auto" w:fill="FFFFFF"/>
          <w:vertAlign w:val="superscript"/>
        </w:rPr>
        <w:footnoteReference w:id="5"/>
      </w:r>
      <w:r w:rsidRPr="00466733">
        <w:rPr>
          <w:iCs/>
          <w:color w:val="000000"/>
          <w:shd w:val="clear" w:color="auto" w:fill="FFFFFF"/>
        </w:rPr>
        <w:t>, and Seeger 2019</w:t>
      </w:r>
      <w:r w:rsidRPr="00466733">
        <w:rPr>
          <w:iCs/>
          <w:color w:val="000000"/>
          <w:shd w:val="clear" w:color="auto" w:fill="FFFFFF"/>
          <w:vertAlign w:val="superscript"/>
        </w:rPr>
        <w:footnoteReference w:id="6"/>
      </w:r>
      <w:r w:rsidRPr="00466733">
        <w:rPr>
          <w:iCs/>
          <w:color w:val="000000"/>
          <w:shd w:val="clear" w:color="auto" w:fill="FFFFFF"/>
        </w:rPr>
        <w:t>). Seeger 2019 was a pooled propensity score matched analysis of patients from SENTINEL IDE trial, CLEAN TAVI trial a</w:t>
      </w:r>
      <w:r w:rsidR="00F87E08">
        <w:rPr>
          <w:iCs/>
          <w:color w:val="000000"/>
          <w:shd w:val="clear" w:color="auto" w:fill="FFFFFF"/>
        </w:rPr>
        <w:t>nd SENTINEL-Ulm study.</w:t>
      </w:r>
    </w:p>
    <w:p w14:paraId="045EB830" w14:textId="40369C1F" w:rsidR="00005471" w:rsidRPr="00324DD5" w:rsidRDefault="00466733" w:rsidP="00324DD5">
      <w:pPr>
        <w:tabs>
          <w:tab w:val="left" w:pos="720"/>
          <w:tab w:val="left" w:pos="1140"/>
        </w:tabs>
        <w:spacing w:before="240"/>
        <w:rPr>
          <w:iCs/>
          <w:color w:val="000000"/>
          <w:shd w:val="clear" w:color="auto" w:fill="FFFFFF"/>
        </w:rPr>
      </w:pPr>
      <w:r w:rsidRPr="00466733">
        <w:rPr>
          <w:iCs/>
          <w:color w:val="000000"/>
          <w:shd w:val="clear" w:color="auto" w:fill="FFFFFF"/>
        </w:rPr>
        <w:t>The ADAR noted that there is an ongoing RCT, PROTECTED TAVR</w:t>
      </w:r>
      <w:r w:rsidRPr="00466733">
        <w:rPr>
          <w:iCs/>
          <w:color w:val="000000"/>
          <w:shd w:val="clear" w:color="auto" w:fill="FFFFFF"/>
          <w:vertAlign w:val="superscript"/>
        </w:rPr>
        <w:footnoteReference w:id="7"/>
      </w:r>
      <w:r w:rsidRPr="00466733">
        <w:rPr>
          <w:iCs/>
          <w:color w:val="000000"/>
          <w:shd w:val="clear" w:color="auto" w:fill="FFFFFF"/>
        </w:rPr>
        <w:t xml:space="preserve">, comparing TAVI+CEP and TAVI alone in patients with aortic stenosis, with an estimated sample size of 3,000 patients. The primary endpoint in this study is stroke at 72 hours. The PROTECTED TAVR RCT is currently recruiting hence no data is available. The estimated completion date, noted as July 2022, is expected to be significantly delayed given the COVID-19 pandemic. </w:t>
      </w:r>
      <w:r w:rsidR="00487EE3">
        <w:rPr>
          <w:iCs/>
          <w:color w:val="000000"/>
          <w:shd w:val="clear" w:color="auto" w:fill="FFFFFF"/>
        </w:rPr>
        <w:t xml:space="preserve"> The </w:t>
      </w:r>
      <w:r w:rsidR="00193469">
        <w:rPr>
          <w:iCs/>
          <w:color w:val="000000"/>
          <w:shd w:val="clear" w:color="auto" w:fill="FFFFFF"/>
        </w:rPr>
        <w:t>p</w:t>
      </w:r>
      <w:r w:rsidR="00487EE3">
        <w:rPr>
          <w:iCs/>
          <w:color w:val="000000"/>
          <w:shd w:val="clear" w:color="auto" w:fill="FFFFFF"/>
        </w:rPr>
        <w:t>re-MSAC response stated that results are not expected to be available until late 2022</w:t>
      </w:r>
      <w:r w:rsidR="00F87E08">
        <w:rPr>
          <w:iCs/>
          <w:color w:val="000000"/>
          <w:shd w:val="clear" w:color="auto" w:fill="FFFFFF"/>
        </w:rPr>
        <w:t xml:space="preserve"> at earliest.</w:t>
      </w:r>
      <w:bookmarkStart w:id="5" w:name="_Ref50309209"/>
      <w:r w:rsidR="00005471">
        <w:rPr>
          <w:rFonts w:ascii="Arial Narrow" w:hAnsi="Arial Narrow" w:cs="Tahoma"/>
          <w:b/>
          <w:bCs/>
          <w:iCs/>
          <w:sz w:val="20"/>
          <w:szCs w:val="22"/>
          <w:lang w:eastAsia="en-US"/>
        </w:rPr>
        <w:br w:type="page"/>
      </w:r>
    </w:p>
    <w:p w14:paraId="7761021B" w14:textId="602847FE" w:rsidR="00466733" w:rsidRPr="002D2859" w:rsidRDefault="00466733" w:rsidP="002D2859">
      <w:pPr>
        <w:rPr>
          <w:rFonts w:ascii="Arial Narrow" w:hAnsi="Arial Narrow"/>
          <w:b/>
          <w:sz w:val="20"/>
        </w:rPr>
      </w:pPr>
      <w:r w:rsidRPr="002D2859">
        <w:rPr>
          <w:rFonts w:ascii="Arial Narrow" w:hAnsi="Arial Narrow"/>
          <w:b/>
          <w:sz w:val="20"/>
        </w:rPr>
        <w:t xml:space="preserve">Table </w:t>
      </w:r>
      <w:r w:rsidRPr="002D2859">
        <w:rPr>
          <w:rFonts w:ascii="Arial Narrow" w:hAnsi="Arial Narrow"/>
          <w:b/>
          <w:sz w:val="20"/>
        </w:rPr>
        <w:fldChar w:fldCharType="begin"/>
      </w:r>
      <w:r w:rsidRPr="002D2859">
        <w:rPr>
          <w:rFonts w:ascii="Arial Narrow" w:hAnsi="Arial Narrow"/>
          <w:b/>
          <w:sz w:val="20"/>
        </w:rPr>
        <w:instrText xml:space="preserve"> SEQ Table \* ARABIC </w:instrText>
      </w:r>
      <w:r w:rsidRPr="002D2859">
        <w:rPr>
          <w:rFonts w:ascii="Arial Narrow" w:hAnsi="Arial Narrow"/>
          <w:b/>
          <w:sz w:val="20"/>
        </w:rPr>
        <w:fldChar w:fldCharType="separate"/>
      </w:r>
      <w:r w:rsidR="003E3A7D" w:rsidRPr="002D2859">
        <w:rPr>
          <w:rFonts w:ascii="Arial Narrow" w:hAnsi="Arial Narrow"/>
          <w:b/>
          <w:sz w:val="20"/>
        </w:rPr>
        <w:t>3</w:t>
      </w:r>
      <w:r w:rsidRPr="002D2859">
        <w:rPr>
          <w:rFonts w:ascii="Arial Narrow" w:hAnsi="Arial Narrow"/>
          <w:b/>
          <w:sz w:val="20"/>
        </w:rPr>
        <w:fldChar w:fldCharType="end"/>
      </w:r>
      <w:bookmarkEnd w:id="5"/>
      <w:r w:rsidRPr="002D2859">
        <w:rPr>
          <w:rFonts w:ascii="Arial Narrow" w:hAnsi="Arial Narrow"/>
          <w:b/>
          <w:sz w:val="20"/>
        </w:rPr>
        <w:t xml:space="preserve"> Summary of study characteristics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271"/>
        <w:gridCol w:w="1290"/>
        <w:gridCol w:w="978"/>
        <w:gridCol w:w="851"/>
        <w:gridCol w:w="1701"/>
        <w:gridCol w:w="1854"/>
        <w:gridCol w:w="1073"/>
      </w:tblGrid>
      <w:tr w:rsidR="00466733" w:rsidRPr="00466733" w14:paraId="0A73ED99" w14:textId="77777777" w:rsidTr="00005471">
        <w:trPr>
          <w:cantSplit/>
          <w:tblHeader/>
        </w:trPr>
        <w:tc>
          <w:tcPr>
            <w:tcW w:w="705" w:type="pct"/>
            <w:tcBorders>
              <w:bottom w:val="single" w:sz="4" w:space="0" w:color="auto"/>
            </w:tcBorders>
            <w:shd w:val="clear" w:color="auto" w:fill="auto"/>
            <w:vAlign w:val="center"/>
          </w:tcPr>
          <w:p w14:paraId="5F9AB779" w14:textId="77777777" w:rsidR="00466733" w:rsidRPr="00466733" w:rsidRDefault="00466733" w:rsidP="00193469">
            <w:pPr>
              <w:keepNext/>
              <w:rPr>
                <w:rFonts w:ascii="Arial Narrow" w:hAnsi="Arial Narrow" w:cs="Tahoma"/>
                <w:b/>
                <w:snapToGrid w:val="0"/>
                <w:sz w:val="20"/>
                <w:lang w:eastAsia="en-US"/>
              </w:rPr>
            </w:pPr>
            <w:r w:rsidRPr="00466733">
              <w:rPr>
                <w:rFonts w:ascii="Arial Narrow" w:hAnsi="Arial Narrow" w:cs="Tahoma"/>
                <w:b/>
                <w:snapToGrid w:val="0"/>
                <w:sz w:val="20"/>
                <w:lang w:eastAsia="en-US"/>
              </w:rPr>
              <w:t>Trial/Study</w:t>
            </w:r>
          </w:p>
        </w:tc>
        <w:tc>
          <w:tcPr>
            <w:tcW w:w="715" w:type="pct"/>
            <w:tcBorders>
              <w:bottom w:val="single" w:sz="4" w:space="0" w:color="auto"/>
            </w:tcBorders>
            <w:shd w:val="clear" w:color="auto" w:fill="auto"/>
            <w:vAlign w:val="center"/>
          </w:tcPr>
          <w:p w14:paraId="4D7D8BED" w14:textId="77777777" w:rsidR="00466733" w:rsidRPr="00466733" w:rsidRDefault="00466733" w:rsidP="00193469">
            <w:pPr>
              <w:keepNext/>
              <w:rPr>
                <w:rFonts w:ascii="Arial Narrow" w:hAnsi="Arial Narrow" w:cs="Tahoma"/>
                <w:b/>
                <w:snapToGrid w:val="0"/>
                <w:sz w:val="20"/>
                <w:lang w:eastAsia="en-US"/>
              </w:rPr>
            </w:pPr>
            <w:r w:rsidRPr="00466733">
              <w:rPr>
                <w:rFonts w:ascii="Arial Narrow" w:hAnsi="Arial Narrow" w:cs="Tahoma"/>
                <w:b/>
                <w:snapToGrid w:val="0"/>
                <w:sz w:val="20"/>
                <w:lang w:eastAsia="en-US"/>
              </w:rPr>
              <w:t xml:space="preserve"> N; TAVI device</w:t>
            </w:r>
          </w:p>
        </w:tc>
        <w:tc>
          <w:tcPr>
            <w:tcW w:w="542" w:type="pct"/>
            <w:tcBorders>
              <w:bottom w:val="single" w:sz="4" w:space="0" w:color="auto"/>
            </w:tcBorders>
            <w:shd w:val="clear" w:color="auto" w:fill="auto"/>
            <w:vAlign w:val="center"/>
          </w:tcPr>
          <w:p w14:paraId="646DDD4F" w14:textId="77777777" w:rsidR="00466733" w:rsidRPr="00466733" w:rsidRDefault="00466733" w:rsidP="00193469">
            <w:pPr>
              <w:keepNext/>
              <w:rPr>
                <w:rFonts w:ascii="Arial Narrow" w:hAnsi="Arial Narrow" w:cs="Tahoma"/>
                <w:b/>
                <w:snapToGrid w:val="0"/>
                <w:sz w:val="20"/>
                <w:lang w:eastAsia="en-US"/>
              </w:rPr>
            </w:pPr>
            <w:r w:rsidRPr="00466733">
              <w:rPr>
                <w:rFonts w:ascii="Arial Narrow" w:hAnsi="Arial Narrow" w:cs="Tahoma"/>
                <w:b/>
                <w:snapToGrid w:val="0"/>
                <w:sz w:val="20"/>
                <w:lang w:eastAsia="en-US"/>
              </w:rPr>
              <w:t>Design/ duration/ follow up</w:t>
            </w:r>
          </w:p>
        </w:tc>
        <w:tc>
          <w:tcPr>
            <w:tcW w:w="472" w:type="pct"/>
            <w:tcBorders>
              <w:bottom w:val="single" w:sz="4" w:space="0" w:color="auto"/>
            </w:tcBorders>
            <w:shd w:val="clear" w:color="auto" w:fill="auto"/>
            <w:vAlign w:val="center"/>
          </w:tcPr>
          <w:p w14:paraId="65D01436" w14:textId="77777777" w:rsidR="00466733" w:rsidRPr="00466733" w:rsidRDefault="00466733" w:rsidP="00193469">
            <w:pPr>
              <w:keepNext/>
              <w:rPr>
                <w:rFonts w:ascii="Arial Narrow" w:hAnsi="Arial Narrow" w:cs="Tahoma"/>
                <w:b/>
                <w:snapToGrid w:val="0"/>
                <w:sz w:val="20"/>
                <w:lang w:eastAsia="en-US"/>
              </w:rPr>
            </w:pPr>
            <w:r w:rsidRPr="00466733">
              <w:rPr>
                <w:rFonts w:ascii="Arial Narrow" w:hAnsi="Arial Narrow" w:cs="Tahoma"/>
                <w:b/>
                <w:snapToGrid w:val="0"/>
                <w:sz w:val="20"/>
                <w:lang w:eastAsia="en-US"/>
              </w:rPr>
              <w:t>Risk of bias</w:t>
            </w:r>
          </w:p>
        </w:tc>
        <w:tc>
          <w:tcPr>
            <w:tcW w:w="943" w:type="pct"/>
            <w:tcBorders>
              <w:bottom w:val="single" w:sz="4" w:space="0" w:color="auto"/>
            </w:tcBorders>
            <w:shd w:val="clear" w:color="auto" w:fill="auto"/>
            <w:vAlign w:val="center"/>
          </w:tcPr>
          <w:p w14:paraId="7AA446C3" w14:textId="77777777" w:rsidR="00466733" w:rsidRPr="00466733" w:rsidRDefault="00466733" w:rsidP="00193469">
            <w:pPr>
              <w:keepNext/>
              <w:rPr>
                <w:rFonts w:ascii="Arial Narrow" w:hAnsi="Arial Narrow" w:cs="Tahoma"/>
                <w:b/>
                <w:snapToGrid w:val="0"/>
                <w:sz w:val="20"/>
                <w:lang w:eastAsia="en-US"/>
              </w:rPr>
            </w:pPr>
            <w:r w:rsidRPr="00466733">
              <w:rPr>
                <w:rFonts w:ascii="Arial Narrow" w:hAnsi="Arial Narrow" w:cs="Tahoma"/>
                <w:b/>
                <w:snapToGrid w:val="0"/>
                <w:sz w:val="20"/>
                <w:lang w:eastAsia="en-US"/>
              </w:rPr>
              <w:t>Patient population</w:t>
            </w:r>
          </w:p>
        </w:tc>
        <w:tc>
          <w:tcPr>
            <w:tcW w:w="1028" w:type="pct"/>
            <w:tcBorders>
              <w:bottom w:val="single" w:sz="4" w:space="0" w:color="auto"/>
            </w:tcBorders>
            <w:shd w:val="clear" w:color="auto" w:fill="auto"/>
            <w:vAlign w:val="center"/>
          </w:tcPr>
          <w:p w14:paraId="0B3B9D4E" w14:textId="77777777" w:rsidR="00466733" w:rsidRPr="00466733" w:rsidRDefault="00466733" w:rsidP="00193469">
            <w:pPr>
              <w:keepNext/>
              <w:rPr>
                <w:rFonts w:ascii="Arial Narrow" w:hAnsi="Arial Narrow" w:cs="Tahoma"/>
                <w:b/>
                <w:snapToGrid w:val="0"/>
                <w:sz w:val="20"/>
                <w:lang w:eastAsia="en-US"/>
              </w:rPr>
            </w:pPr>
            <w:r w:rsidRPr="00466733">
              <w:rPr>
                <w:rFonts w:ascii="Arial Narrow" w:hAnsi="Arial Narrow" w:cs="Tahoma"/>
                <w:b/>
                <w:snapToGrid w:val="0"/>
                <w:sz w:val="20"/>
                <w:lang w:eastAsia="en-US"/>
              </w:rPr>
              <w:t>Key outcome(s)</w:t>
            </w:r>
          </w:p>
        </w:tc>
        <w:tc>
          <w:tcPr>
            <w:tcW w:w="595" w:type="pct"/>
            <w:tcBorders>
              <w:bottom w:val="single" w:sz="4" w:space="0" w:color="auto"/>
            </w:tcBorders>
            <w:shd w:val="clear" w:color="auto" w:fill="auto"/>
            <w:vAlign w:val="center"/>
          </w:tcPr>
          <w:p w14:paraId="090E738F" w14:textId="77777777" w:rsidR="00466733" w:rsidRPr="00466733" w:rsidRDefault="00466733" w:rsidP="00193469">
            <w:pPr>
              <w:keepNext/>
              <w:rPr>
                <w:rFonts w:ascii="Arial Narrow" w:hAnsi="Arial Narrow" w:cs="Tahoma"/>
                <w:b/>
                <w:snapToGrid w:val="0"/>
                <w:sz w:val="20"/>
                <w:lang w:eastAsia="en-US"/>
              </w:rPr>
            </w:pPr>
            <w:r w:rsidRPr="00466733">
              <w:rPr>
                <w:rFonts w:ascii="Arial Narrow" w:hAnsi="Arial Narrow" w:cs="Tahoma"/>
                <w:b/>
                <w:snapToGrid w:val="0"/>
                <w:sz w:val="20"/>
                <w:lang w:eastAsia="en-US"/>
              </w:rPr>
              <w:t>Result used in economic model</w:t>
            </w:r>
          </w:p>
        </w:tc>
      </w:tr>
      <w:tr w:rsidR="00466733" w:rsidRPr="00466733" w14:paraId="5EFAD906" w14:textId="77777777" w:rsidTr="00005471">
        <w:trPr>
          <w:cantSplit/>
        </w:trPr>
        <w:tc>
          <w:tcPr>
            <w:tcW w:w="705" w:type="pct"/>
            <w:tcBorders>
              <w:right w:val="nil"/>
            </w:tcBorders>
            <w:shd w:val="clear" w:color="auto" w:fill="auto"/>
          </w:tcPr>
          <w:p w14:paraId="1C6EC659" w14:textId="77777777" w:rsidR="00466733" w:rsidRPr="00466733" w:rsidRDefault="00466733" w:rsidP="00193469">
            <w:pPr>
              <w:widowControl w:val="0"/>
              <w:rPr>
                <w:rFonts w:ascii="Arial Narrow" w:hAnsi="Arial Narrow" w:cs="Tahoma"/>
                <w:b/>
                <w:snapToGrid w:val="0"/>
                <w:sz w:val="20"/>
                <w:lang w:eastAsia="en-US"/>
              </w:rPr>
            </w:pPr>
            <w:r w:rsidRPr="00466733">
              <w:rPr>
                <w:rFonts w:ascii="Arial Narrow" w:hAnsi="Arial Narrow" w:cs="Tahoma"/>
                <w:b/>
                <w:snapToGrid w:val="0"/>
                <w:sz w:val="20"/>
                <w:lang w:eastAsia="en-US"/>
              </w:rPr>
              <w:t>RCTs</w:t>
            </w:r>
          </w:p>
        </w:tc>
        <w:tc>
          <w:tcPr>
            <w:tcW w:w="715" w:type="pct"/>
            <w:tcBorders>
              <w:left w:val="nil"/>
              <w:right w:val="nil"/>
            </w:tcBorders>
            <w:shd w:val="clear" w:color="auto" w:fill="auto"/>
          </w:tcPr>
          <w:p w14:paraId="60BC0DE9" w14:textId="77777777" w:rsidR="00466733" w:rsidRPr="00466733" w:rsidRDefault="00466733" w:rsidP="00193469">
            <w:pPr>
              <w:widowControl w:val="0"/>
              <w:rPr>
                <w:rFonts w:ascii="Arial Narrow" w:hAnsi="Arial Narrow" w:cs="Tahoma"/>
                <w:bCs/>
                <w:snapToGrid w:val="0"/>
                <w:sz w:val="20"/>
                <w:lang w:eastAsia="en-US"/>
              </w:rPr>
            </w:pPr>
          </w:p>
        </w:tc>
        <w:tc>
          <w:tcPr>
            <w:tcW w:w="542" w:type="pct"/>
            <w:tcBorders>
              <w:left w:val="nil"/>
              <w:right w:val="nil"/>
            </w:tcBorders>
            <w:shd w:val="clear" w:color="auto" w:fill="auto"/>
          </w:tcPr>
          <w:p w14:paraId="296E8BB9" w14:textId="77777777" w:rsidR="00466733" w:rsidRPr="00466733" w:rsidRDefault="00466733" w:rsidP="00193469">
            <w:pPr>
              <w:widowControl w:val="0"/>
              <w:rPr>
                <w:rFonts w:ascii="Arial Narrow" w:hAnsi="Arial Narrow" w:cs="Tahoma"/>
                <w:bCs/>
                <w:snapToGrid w:val="0"/>
                <w:sz w:val="20"/>
                <w:lang w:eastAsia="en-US"/>
              </w:rPr>
            </w:pPr>
          </w:p>
        </w:tc>
        <w:tc>
          <w:tcPr>
            <w:tcW w:w="472" w:type="pct"/>
            <w:tcBorders>
              <w:left w:val="nil"/>
              <w:right w:val="nil"/>
            </w:tcBorders>
            <w:shd w:val="clear" w:color="auto" w:fill="auto"/>
          </w:tcPr>
          <w:p w14:paraId="10F2F726" w14:textId="77777777" w:rsidR="00466733" w:rsidRPr="00466733" w:rsidRDefault="00466733" w:rsidP="00193469">
            <w:pPr>
              <w:widowControl w:val="0"/>
              <w:rPr>
                <w:rFonts w:ascii="Arial Narrow" w:hAnsi="Arial Narrow" w:cs="Tahoma"/>
                <w:bCs/>
                <w:snapToGrid w:val="0"/>
                <w:sz w:val="20"/>
                <w:lang w:eastAsia="en-US"/>
              </w:rPr>
            </w:pPr>
          </w:p>
        </w:tc>
        <w:tc>
          <w:tcPr>
            <w:tcW w:w="943" w:type="pct"/>
            <w:tcBorders>
              <w:left w:val="nil"/>
              <w:right w:val="nil"/>
            </w:tcBorders>
            <w:shd w:val="clear" w:color="auto" w:fill="auto"/>
          </w:tcPr>
          <w:p w14:paraId="54003675" w14:textId="77777777" w:rsidR="00466733" w:rsidRPr="00466733" w:rsidRDefault="00466733" w:rsidP="00193469">
            <w:pPr>
              <w:widowControl w:val="0"/>
              <w:rPr>
                <w:rFonts w:ascii="Arial Narrow" w:hAnsi="Arial Narrow" w:cs="Tahoma"/>
                <w:bCs/>
                <w:snapToGrid w:val="0"/>
                <w:sz w:val="20"/>
                <w:lang w:eastAsia="en-US"/>
              </w:rPr>
            </w:pPr>
          </w:p>
        </w:tc>
        <w:tc>
          <w:tcPr>
            <w:tcW w:w="1028" w:type="pct"/>
            <w:tcBorders>
              <w:left w:val="nil"/>
              <w:right w:val="nil"/>
            </w:tcBorders>
            <w:shd w:val="clear" w:color="auto" w:fill="auto"/>
          </w:tcPr>
          <w:p w14:paraId="2736158D" w14:textId="77777777" w:rsidR="00466733" w:rsidRPr="00466733" w:rsidRDefault="00466733" w:rsidP="00193469">
            <w:pPr>
              <w:widowControl w:val="0"/>
              <w:rPr>
                <w:rFonts w:ascii="Arial Narrow" w:hAnsi="Arial Narrow" w:cs="Tahoma"/>
                <w:bCs/>
                <w:snapToGrid w:val="0"/>
                <w:sz w:val="20"/>
                <w:lang w:eastAsia="en-US"/>
              </w:rPr>
            </w:pPr>
          </w:p>
        </w:tc>
        <w:tc>
          <w:tcPr>
            <w:tcW w:w="595" w:type="pct"/>
            <w:tcBorders>
              <w:left w:val="nil"/>
            </w:tcBorders>
            <w:shd w:val="clear" w:color="auto" w:fill="auto"/>
          </w:tcPr>
          <w:p w14:paraId="60E57D0A" w14:textId="77777777" w:rsidR="00466733" w:rsidRPr="00466733" w:rsidRDefault="00466733" w:rsidP="00193469">
            <w:pPr>
              <w:widowControl w:val="0"/>
              <w:rPr>
                <w:rFonts w:ascii="Arial Narrow" w:hAnsi="Arial Narrow" w:cs="Tahoma"/>
                <w:bCs/>
                <w:snapToGrid w:val="0"/>
                <w:sz w:val="20"/>
                <w:lang w:eastAsia="en-US"/>
              </w:rPr>
            </w:pPr>
          </w:p>
        </w:tc>
      </w:tr>
      <w:tr w:rsidR="00466733" w:rsidRPr="00466733" w14:paraId="5A66A49D" w14:textId="77777777" w:rsidTr="00005471">
        <w:trPr>
          <w:cantSplit/>
        </w:trPr>
        <w:tc>
          <w:tcPr>
            <w:tcW w:w="705" w:type="pct"/>
            <w:shd w:val="clear" w:color="auto" w:fill="auto"/>
          </w:tcPr>
          <w:p w14:paraId="5864A6B3"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SENTINEL IDE (Kapadia 2017, NCT02214277)</w:t>
            </w:r>
          </w:p>
        </w:tc>
        <w:tc>
          <w:tcPr>
            <w:tcW w:w="715" w:type="pct"/>
            <w:shd w:val="clear" w:color="auto" w:fill="auto"/>
          </w:tcPr>
          <w:p w14:paraId="285C13F8"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TAVI+CEP= 121</w:t>
            </w:r>
          </w:p>
          <w:p w14:paraId="6F76DCFE"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 alone= 123</w:t>
            </w:r>
          </w:p>
          <w:p w14:paraId="3E08FC8D" w14:textId="77777777" w:rsidR="00466733" w:rsidRPr="00466733" w:rsidRDefault="00466733" w:rsidP="00193469">
            <w:pPr>
              <w:widowControl w:val="0"/>
              <w:rPr>
                <w:rFonts w:ascii="Arial Narrow" w:hAnsi="Arial Narrow" w:cs="Tahoma"/>
                <w:snapToGrid w:val="0"/>
                <w:sz w:val="20"/>
                <w:lang w:eastAsia="en-US"/>
              </w:rPr>
            </w:pPr>
          </w:p>
          <w:p w14:paraId="79CD85DC"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 next gen: 78.3%</w:t>
            </w:r>
          </w:p>
          <w:p w14:paraId="5C95448D" w14:textId="77777777" w:rsidR="00466733" w:rsidRPr="00466733" w:rsidRDefault="00466733" w:rsidP="00193469">
            <w:pPr>
              <w:widowControl w:val="0"/>
              <w:rPr>
                <w:rFonts w:ascii="Arial Narrow" w:hAnsi="Arial Narrow" w:cs="Tahoma"/>
                <w:snapToGrid w:val="0"/>
                <w:sz w:val="20"/>
                <w:lang w:eastAsia="en-US"/>
              </w:rPr>
            </w:pPr>
          </w:p>
        </w:tc>
        <w:tc>
          <w:tcPr>
            <w:tcW w:w="542" w:type="pct"/>
            <w:shd w:val="clear" w:color="auto" w:fill="auto"/>
          </w:tcPr>
          <w:p w14:paraId="6573CA55"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z w:val="20"/>
                <w:lang w:eastAsia="en-US"/>
              </w:rPr>
              <w:t xml:space="preserve">RCT, PG, SB, MC; </w:t>
            </w:r>
            <w:r w:rsidRPr="00466733">
              <w:rPr>
                <w:rFonts w:ascii="Arial Narrow" w:hAnsi="Arial Narrow" w:cs="Tahoma"/>
                <w:sz w:val="20"/>
                <w:lang w:eastAsia="en-US"/>
              </w:rPr>
              <w:br/>
              <w:t>U.S. and Germany</w:t>
            </w:r>
            <w:r w:rsidRPr="00466733">
              <w:rPr>
                <w:rFonts w:ascii="Arial Narrow" w:hAnsi="Arial Narrow" w:cs="Tahoma"/>
                <w:sz w:val="20"/>
                <w:lang w:eastAsia="en-US"/>
              </w:rPr>
              <w:br/>
            </w:r>
            <w:r w:rsidRPr="00466733">
              <w:rPr>
                <w:rFonts w:ascii="Arial Narrow" w:hAnsi="Arial Narrow" w:cs="Tahoma"/>
                <w:snapToGrid w:val="0"/>
                <w:sz w:val="20"/>
                <w:lang w:eastAsia="en-US"/>
              </w:rPr>
              <w:t>90 days</w:t>
            </w:r>
          </w:p>
        </w:tc>
        <w:tc>
          <w:tcPr>
            <w:tcW w:w="472" w:type="pct"/>
            <w:shd w:val="clear" w:color="auto" w:fill="auto"/>
          </w:tcPr>
          <w:p w14:paraId="26261B69"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Low</w:t>
            </w:r>
          </w:p>
        </w:tc>
        <w:tc>
          <w:tcPr>
            <w:tcW w:w="943" w:type="pct"/>
            <w:shd w:val="clear" w:color="auto" w:fill="auto"/>
          </w:tcPr>
          <w:p w14:paraId="1EF660A4"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 xml:space="preserve">Severe AS, </w:t>
            </w:r>
            <w:r w:rsidRPr="00466733">
              <w:rPr>
                <w:rFonts w:ascii="Arial Narrow" w:hAnsi="Arial Narrow" w:cs="Tahoma"/>
                <w:sz w:val="20"/>
                <w:u w:val="single"/>
                <w:lang w:eastAsia="en-US"/>
              </w:rPr>
              <w:t>high risk</w:t>
            </w:r>
            <w:r w:rsidRPr="00466733">
              <w:rPr>
                <w:rFonts w:ascii="Arial Narrow" w:hAnsi="Arial Narrow" w:cs="Tahoma"/>
                <w:sz w:val="20"/>
                <w:lang w:eastAsia="en-US"/>
              </w:rPr>
              <w:t xml:space="preserve"> SAVR as per HT</w:t>
            </w:r>
          </w:p>
          <w:p w14:paraId="6CE630B8" w14:textId="77777777" w:rsidR="00466733" w:rsidRPr="00466733" w:rsidRDefault="00466733" w:rsidP="00193469">
            <w:pPr>
              <w:widowControl w:val="0"/>
              <w:numPr>
                <w:ilvl w:val="0"/>
                <w:numId w:val="26"/>
              </w:numPr>
              <w:spacing w:line="312" w:lineRule="auto"/>
              <w:ind w:left="113" w:hanging="113"/>
              <w:rPr>
                <w:rFonts w:ascii="Arial Narrow" w:hAnsi="Arial Narrow" w:cs="Tahoma"/>
                <w:snapToGrid w:val="0"/>
                <w:sz w:val="20"/>
                <w:lang w:eastAsia="en-US"/>
              </w:rPr>
            </w:pPr>
            <w:r w:rsidRPr="00466733">
              <w:rPr>
                <w:rFonts w:ascii="Arial Narrow" w:hAnsi="Arial Narrow" w:cs="Tahoma"/>
                <w:sz w:val="20"/>
                <w:lang w:eastAsia="en-US"/>
              </w:rPr>
              <w:t>82.3±8.3 yrs</w:t>
            </w:r>
          </w:p>
          <w:p w14:paraId="55E7E513" w14:textId="77777777" w:rsidR="00466733" w:rsidRPr="00466733" w:rsidRDefault="00466733" w:rsidP="00193469">
            <w:pPr>
              <w:widowControl w:val="0"/>
              <w:numPr>
                <w:ilvl w:val="0"/>
                <w:numId w:val="26"/>
              </w:numPr>
              <w:spacing w:line="312" w:lineRule="auto"/>
              <w:ind w:left="113" w:hanging="113"/>
              <w:rPr>
                <w:rFonts w:ascii="Arial Narrow" w:hAnsi="Arial Narrow" w:cs="Tahoma"/>
                <w:snapToGrid w:val="0"/>
                <w:sz w:val="20"/>
                <w:lang w:eastAsia="en-US"/>
              </w:rPr>
            </w:pPr>
            <w:r w:rsidRPr="00466733">
              <w:rPr>
                <w:rFonts w:ascii="Arial Narrow" w:hAnsi="Arial Narrow" w:cs="Tahoma"/>
                <w:sz w:val="20"/>
                <w:lang w:eastAsia="en-US"/>
              </w:rPr>
              <w:t>STS score^ 6.7±3.79</w:t>
            </w:r>
          </w:p>
          <w:p w14:paraId="3C4BE8D6" w14:textId="77777777" w:rsidR="00466733" w:rsidRPr="00466733" w:rsidRDefault="00466733" w:rsidP="00193469">
            <w:pPr>
              <w:widowControl w:val="0"/>
              <w:ind w:left="113"/>
              <w:rPr>
                <w:rFonts w:ascii="Arial Narrow" w:hAnsi="Arial Narrow" w:cs="Tahoma"/>
                <w:i/>
                <w:sz w:val="20"/>
                <w:vertAlign w:val="superscript"/>
                <w:lang w:eastAsia="en-US"/>
              </w:rPr>
            </w:pPr>
            <w:r w:rsidRPr="00466733">
              <w:rPr>
                <w:rFonts w:ascii="Arial Narrow" w:hAnsi="Arial Narrow" w:cs="Tahoma"/>
                <w:i/>
                <w:sz w:val="20"/>
                <w:lang w:eastAsia="en-US"/>
              </w:rPr>
              <w:t>Low &lt;4%: 14%</w:t>
            </w:r>
            <w:r w:rsidRPr="00466733">
              <w:rPr>
                <w:rFonts w:ascii="Arial Narrow" w:hAnsi="Arial Narrow" w:cs="Tahoma"/>
                <w:i/>
                <w:sz w:val="20"/>
                <w:vertAlign w:val="superscript"/>
                <w:lang w:eastAsia="en-US"/>
              </w:rPr>
              <w:t>a</w:t>
            </w:r>
          </w:p>
          <w:p w14:paraId="473038E7" w14:textId="77777777" w:rsidR="00466733" w:rsidRPr="00466733" w:rsidRDefault="00466733" w:rsidP="00193469">
            <w:pPr>
              <w:widowControl w:val="0"/>
              <w:ind w:left="113"/>
              <w:rPr>
                <w:rFonts w:ascii="Arial Narrow" w:hAnsi="Arial Narrow" w:cs="Tahoma"/>
                <w:sz w:val="20"/>
                <w:lang w:eastAsia="en-US"/>
              </w:rPr>
            </w:pPr>
            <w:r w:rsidRPr="00466733">
              <w:rPr>
                <w:rFonts w:ascii="Arial Narrow" w:hAnsi="Arial Narrow" w:cs="Tahoma"/>
                <w:sz w:val="20"/>
                <w:lang w:eastAsia="en-US"/>
              </w:rPr>
              <w:t>Int. 4-7% ~55%</w:t>
            </w:r>
          </w:p>
          <w:p w14:paraId="2003C39F" w14:textId="77777777" w:rsidR="00466733" w:rsidRPr="00466733" w:rsidRDefault="00466733" w:rsidP="00193469">
            <w:pPr>
              <w:widowControl w:val="0"/>
              <w:ind w:left="113"/>
              <w:rPr>
                <w:rFonts w:ascii="Arial Narrow" w:hAnsi="Arial Narrow" w:cs="Tahoma"/>
                <w:snapToGrid w:val="0"/>
                <w:sz w:val="20"/>
                <w:lang w:eastAsia="en-US"/>
              </w:rPr>
            </w:pPr>
            <w:r w:rsidRPr="00466733">
              <w:rPr>
                <w:rFonts w:ascii="Arial Narrow" w:hAnsi="Arial Narrow" w:cs="Tahoma"/>
                <w:sz w:val="20"/>
                <w:lang w:eastAsia="en-US"/>
              </w:rPr>
              <w:t>High &gt;7% 30%</w:t>
            </w:r>
          </w:p>
          <w:p w14:paraId="4B746C19" w14:textId="77777777" w:rsidR="00466733" w:rsidRPr="00466733" w:rsidRDefault="00466733" w:rsidP="00193469">
            <w:pPr>
              <w:widowControl w:val="0"/>
              <w:numPr>
                <w:ilvl w:val="0"/>
                <w:numId w:val="26"/>
              </w:numPr>
              <w:spacing w:line="312" w:lineRule="auto"/>
              <w:ind w:left="113" w:hanging="113"/>
              <w:rPr>
                <w:rFonts w:ascii="Arial Narrow" w:hAnsi="Arial Narrow" w:cs="Tahoma"/>
                <w:snapToGrid w:val="0"/>
                <w:sz w:val="20"/>
                <w:lang w:eastAsia="en-US"/>
              </w:rPr>
            </w:pPr>
            <w:r w:rsidRPr="00466733">
              <w:rPr>
                <w:rFonts w:ascii="Arial Narrow" w:hAnsi="Arial Narrow" w:cs="Tahoma"/>
                <w:sz w:val="20"/>
                <w:lang w:eastAsia="en-US"/>
              </w:rPr>
              <w:t>Previous AF 31.7%</w:t>
            </w:r>
          </w:p>
          <w:p w14:paraId="4C63E3E8" w14:textId="77777777" w:rsidR="00466733" w:rsidRPr="00466733" w:rsidRDefault="00466733" w:rsidP="00193469">
            <w:pPr>
              <w:widowControl w:val="0"/>
              <w:numPr>
                <w:ilvl w:val="0"/>
                <w:numId w:val="26"/>
              </w:numPr>
              <w:spacing w:line="312" w:lineRule="auto"/>
              <w:ind w:left="113" w:hanging="113"/>
              <w:rPr>
                <w:rFonts w:ascii="Arial Narrow" w:hAnsi="Arial Narrow" w:cs="Tahoma"/>
                <w:snapToGrid w:val="0"/>
                <w:sz w:val="20"/>
                <w:lang w:eastAsia="en-US"/>
              </w:rPr>
            </w:pPr>
            <w:r w:rsidRPr="00466733">
              <w:rPr>
                <w:rFonts w:ascii="Arial Narrow" w:hAnsi="Arial Narrow" w:cs="Tahoma"/>
                <w:sz w:val="20"/>
                <w:lang w:eastAsia="en-US"/>
              </w:rPr>
              <w:t>Previous stroke 5.8%</w:t>
            </w:r>
          </w:p>
        </w:tc>
        <w:tc>
          <w:tcPr>
            <w:tcW w:w="1028" w:type="pct"/>
            <w:shd w:val="clear" w:color="auto" w:fill="auto"/>
          </w:tcPr>
          <w:p w14:paraId="2F2B198B"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u w:val="single"/>
                <w:lang w:eastAsia="en-US"/>
              </w:rPr>
              <w:t>Primary endpoint:</w:t>
            </w:r>
            <w:r w:rsidRPr="00466733">
              <w:rPr>
                <w:rFonts w:ascii="Arial Narrow" w:hAnsi="Arial Narrow" w:cs="Tahoma"/>
                <w:sz w:val="20"/>
                <w:lang w:eastAsia="en-US"/>
              </w:rPr>
              <w:t xml:space="preserve"> MRI outcomes.</w:t>
            </w:r>
          </w:p>
          <w:p w14:paraId="237FB04E"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 xml:space="preserve">Procedural complications: AKI, vascular </w:t>
            </w:r>
          </w:p>
          <w:p w14:paraId="749B6CC3"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Mortality</w:t>
            </w:r>
          </w:p>
          <w:p w14:paraId="09A8592C"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Reduction in stroke</w:t>
            </w:r>
          </w:p>
          <w:p w14:paraId="1A71A8DB"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Neurocognitive dysfunction post-procedure</w:t>
            </w:r>
          </w:p>
          <w:p w14:paraId="1567920F"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z w:val="20"/>
                <w:lang w:eastAsia="en-US"/>
              </w:rPr>
              <w:t>HRQoL</w:t>
            </w:r>
          </w:p>
        </w:tc>
        <w:tc>
          <w:tcPr>
            <w:tcW w:w="595" w:type="pct"/>
            <w:shd w:val="clear" w:color="auto" w:fill="auto"/>
          </w:tcPr>
          <w:p w14:paraId="415AFB47"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 xml:space="preserve">Yes – in meta-analysis </w:t>
            </w:r>
            <w:r w:rsidRPr="00466733">
              <w:rPr>
                <w:rFonts w:ascii="Arial Narrow" w:hAnsi="Arial Narrow" w:cs="Tahoma"/>
                <w:i/>
                <w:snapToGrid w:val="0"/>
                <w:sz w:val="20"/>
                <w:lang w:eastAsia="en-US"/>
              </w:rPr>
              <w:t>(see bottom row in Table)</w:t>
            </w:r>
          </w:p>
        </w:tc>
      </w:tr>
      <w:tr w:rsidR="00466733" w:rsidRPr="00466733" w14:paraId="6F02EA8C" w14:textId="77777777" w:rsidTr="00005471">
        <w:trPr>
          <w:cantSplit/>
        </w:trPr>
        <w:tc>
          <w:tcPr>
            <w:tcW w:w="705" w:type="pct"/>
            <w:shd w:val="clear" w:color="auto" w:fill="auto"/>
          </w:tcPr>
          <w:p w14:paraId="2EC6025D"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CLEAN TAVI (Haussig 2016, NCT01833052)</w:t>
            </w:r>
          </w:p>
        </w:tc>
        <w:tc>
          <w:tcPr>
            <w:tcW w:w="715" w:type="pct"/>
            <w:shd w:val="clear" w:color="auto" w:fill="auto"/>
          </w:tcPr>
          <w:p w14:paraId="7D556FC4"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TAVI+CEP= 50</w:t>
            </w:r>
          </w:p>
          <w:p w14:paraId="51ADA511"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 alone= 50</w:t>
            </w:r>
          </w:p>
          <w:p w14:paraId="0DA2688D" w14:textId="77777777" w:rsidR="00466733" w:rsidRPr="00466733" w:rsidRDefault="00466733" w:rsidP="00193469">
            <w:pPr>
              <w:widowControl w:val="0"/>
              <w:rPr>
                <w:rFonts w:ascii="Arial Narrow" w:hAnsi="Arial Narrow" w:cs="Tahoma"/>
                <w:snapToGrid w:val="0"/>
                <w:sz w:val="20"/>
                <w:lang w:eastAsia="en-US"/>
              </w:rPr>
            </w:pPr>
          </w:p>
          <w:p w14:paraId="2A91A7DD"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 1</w:t>
            </w:r>
            <w:r w:rsidRPr="00466733">
              <w:rPr>
                <w:rFonts w:ascii="Arial Narrow" w:hAnsi="Arial Narrow" w:cs="Tahoma"/>
                <w:snapToGrid w:val="0"/>
                <w:sz w:val="20"/>
                <w:vertAlign w:val="superscript"/>
                <w:lang w:eastAsia="en-US"/>
              </w:rPr>
              <w:t>st</w:t>
            </w:r>
            <w:r w:rsidRPr="00466733">
              <w:rPr>
                <w:rFonts w:ascii="Arial Narrow" w:hAnsi="Arial Narrow" w:cs="Tahoma"/>
                <w:snapToGrid w:val="0"/>
                <w:sz w:val="20"/>
                <w:lang w:eastAsia="en-US"/>
              </w:rPr>
              <w:t xml:space="preserve"> gen: 100%</w:t>
            </w:r>
          </w:p>
        </w:tc>
        <w:tc>
          <w:tcPr>
            <w:tcW w:w="542" w:type="pct"/>
            <w:shd w:val="clear" w:color="auto" w:fill="auto"/>
          </w:tcPr>
          <w:p w14:paraId="30E19D6E"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RCT, SC, SB</w:t>
            </w:r>
          </w:p>
          <w:p w14:paraId="5A615E20"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z w:val="20"/>
                <w:lang w:eastAsia="en-US"/>
              </w:rPr>
              <w:t>Germany;</w:t>
            </w:r>
            <w:r w:rsidRPr="00466733">
              <w:rPr>
                <w:rFonts w:ascii="Arial Narrow" w:hAnsi="Arial Narrow" w:cs="Tahoma"/>
                <w:sz w:val="20"/>
                <w:lang w:eastAsia="en-US"/>
              </w:rPr>
              <w:br/>
              <w:t xml:space="preserve">1 month </w:t>
            </w:r>
          </w:p>
        </w:tc>
        <w:tc>
          <w:tcPr>
            <w:tcW w:w="472" w:type="pct"/>
            <w:shd w:val="clear" w:color="auto" w:fill="auto"/>
          </w:tcPr>
          <w:p w14:paraId="6464D14E"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Low</w:t>
            </w:r>
          </w:p>
        </w:tc>
        <w:tc>
          <w:tcPr>
            <w:tcW w:w="943" w:type="pct"/>
            <w:shd w:val="clear" w:color="auto" w:fill="auto"/>
          </w:tcPr>
          <w:p w14:paraId="0ABE9BD2"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Symptomatic severe AS increased risk for SAVR as per HT. Baseline:</w:t>
            </w:r>
          </w:p>
          <w:p w14:paraId="4D6C6BC7" w14:textId="77777777" w:rsidR="00466733" w:rsidRPr="00466733" w:rsidRDefault="00466733" w:rsidP="00193469">
            <w:pPr>
              <w:widowControl w:val="0"/>
              <w:numPr>
                <w:ilvl w:val="0"/>
                <w:numId w:val="27"/>
              </w:numPr>
              <w:spacing w:line="312" w:lineRule="auto"/>
              <w:ind w:left="113" w:hanging="113"/>
              <w:rPr>
                <w:rFonts w:ascii="Arial Narrow" w:hAnsi="Arial Narrow" w:cs="Tahoma"/>
                <w:sz w:val="20"/>
                <w:lang w:eastAsia="en-US"/>
              </w:rPr>
            </w:pPr>
            <w:r w:rsidRPr="00466733">
              <w:rPr>
                <w:rFonts w:ascii="Arial Narrow" w:hAnsi="Arial Narrow" w:cs="Tahoma"/>
                <w:snapToGrid w:val="0"/>
                <w:sz w:val="20"/>
                <w:lang w:eastAsia="en-US"/>
              </w:rPr>
              <w:t>80 yrs</w:t>
            </w:r>
          </w:p>
          <w:p w14:paraId="536F9CBD" w14:textId="77777777" w:rsidR="00466733" w:rsidRPr="00466733" w:rsidRDefault="00466733" w:rsidP="00193469">
            <w:pPr>
              <w:widowControl w:val="0"/>
              <w:numPr>
                <w:ilvl w:val="0"/>
                <w:numId w:val="27"/>
              </w:numPr>
              <w:spacing w:line="312" w:lineRule="auto"/>
              <w:ind w:left="113" w:hanging="113"/>
              <w:rPr>
                <w:rFonts w:ascii="Arial Narrow" w:hAnsi="Arial Narrow" w:cs="Tahoma"/>
                <w:sz w:val="20"/>
                <w:lang w:eastAsia="en-US"/>
              </w:rPr>
            </w:pPr>
            <w:r w:rsidRPr="00466733">
              <w:rPr>
                <w:rFonts w:ascii="Arial Narrow" w:hAnsi="Arial Narrow" w:cs="Tahoma"/>
                <w:snapToGrid w:val="0"/>
                <w:sz w:val="20"/>
                <w:lang w:eastAsia="en-US"/>
              </w:rPr>
              <w:t>STS score^ 5.5</w:t>
            </w:r>
          </w:p>
          <w:p w14:paraId="7BDCEAA1" w14:textId="77777777" w:rsidR="00466733" w:rsidRPr="00466733" w:rsidRDefault="00466733" w:rsidP="00193469">
            <w:pPr>
              <w:widowControl w:val="0"/>
              <w:ind w:left="113"/>
              <w:rPr>
                <w:rFonts w:ascii="Arial Narrow" w:hAnsi="Arial Narrow" w:cs="Tahoma"/>
                <w:i/>
                <w:sz w:val="20"/>
                <w:vertAlign w:val="superscript"/>
                <w:lang w:eastAsia="en-US"/>
              </w:rPr>
            </w:pPr>
            <w:r w:rsidRPr="00466733">
              <w:rPr>
                <w:rFonts w:ascii="Arial Narrow" w:hAnsi="Arial Narrow" w:cs="Tahoma"/>
                <w:i/>
                <w:sz w:val="20"/>
                <w:lang w:eastAsia="en-US"/>
              </w:rPr>
              <w:t>Low &lt;4%: 40%</w:t>
            </w:r>
            <w:r w:rsidRPr="00466733">
              <w:rPr>
                <w:rFonts w:ascii="Arial Narrow" w:hAnsi="Arial Narrow" w:cs="Tahoma"/>
                <w:i/>
                <w:sz w:val="20"/>
                <w:vertAlign w:val="superscript"/>
                <w:lang w:eastAsia="en-US"/>
              </w:rPr>
              <w:t>a</w:t>
            </w:r>
          </w:p>
          <w:p w14:paraId="652218DF" w14:textId="77777777" w:rsidR="00466733" w:rsidRPr="00466733" w:rsidRDefault="00466733" w:rsidP="00193469">
            <w:pPr>
              <w:widowControl w:val="0"/>
              <w:ind w:left="113"/>
              <w:rPr>
                <w:rFonts w:ascii="Arial Narrow" w:hAnsi="Arial Narrow" w:cs="Tahoma"/>
                <w:sz w:val="20"/>
                <w:lang w:eastAsia="en-US"/>
              </w:rPr>
            </w:pPr>
            <w:r w:rsidRPr="00466733">
              <w:rPr>
                <w:rFonts w:ascii="Arial Narrow" w:hAnsi="Arial Narrow" w:cs="Tahoma"/>
                <w:sz w:val="20"/>
                <w:lang w:eastAsia="en-US"/>
              </w:rPr>
              <w:t>Int. 4-7% ~50%</w:t>
            </w:r>
          </w:p>
          <w:p w14:paraId="682122EA" w14:textId="77777777" w:rsidR="00466733" w:rsidRPr="00466733" w:rsidRDefault="00466733" w:rsidP="00193469">
            <w:pPr>
              <w:widowControl w:val="0"/>
              <w:ind w:left="113"/>
              <w:rPr>
                <w:rFonts w:ascii="Arial Narrow" w:hAnsi="Arial Narrow" w:cs="Tahoma"/>
                <w:sz w:val="20"/>
                <w:lang w:eastAsia="en-US"/>
              </w:rPr>
            </w:pPr>
            <w:r w:rsidRPr="00466733">
              <w:rPr>
                <w:rFonts w:ascii="Arial Narrow" w:hAnsi="Arial Narrow" w:cs="Tahoma"/>
                <w:sz w:val="20"/>
                <w:lang w:eastAsia="en-US"/>
              </w:rPr>
              <w:t>High &gt;7% ~10%</w:t>
            </w:r>
          </w:p>
          <w:p w14:paraId="5A45472B" w14:textId="77777777" w:rsidR="00466733" w:rsidRPr="00466733" w:rsidRDefault="00466733" w:rsidP="00193469">
            <w:pPr>
              <w:widowControl w:val="0"/>
              <w:numPr>
                <w:ilvl w:val="0"/>
                <w:numId w:val="27"/>
              </w:numPr>
              <w:spacing w:line="312" w:lineRule="auto"/>
              <w:ind w:left="113" w:hanging="113"/>
              <w:rPr>
                <w:rFonts w:ascii="Arial Narrow" w:hAnsi="Arial Narrow" w:cs="Tahoma"/>
                <w:snapToGrid w:val="0"/>
                <w:sz w:val="20"/>
                <w:lang w:eastAsia="en-US"/>
              </w:rPr>
            </w:pPr>
            <w:r w:rsidRPr="00466733">
              <w:rPr>
                <w:rFonts w:ascii="Arial Narrow" w:hAnsi="Arial Narrow" w:cs="Tahoma"/>
                <w:snapToGrid w:val="0"/>
                <w:sz w:val="20"/>
                <w:lang w:eastAsia="en-US"/>
              </w:rPr>
              <w:t>Previous AF 34%</w:t>
            </w:r>
          </w:p>
          <w:p w14:paraId="2EC8267F" w14:textId="77777777" w:rsidR="00466733" w:rsidRPr="00466733" w:rsidRDefault="00466733" w:rsidP="00193469">
            <w:pPr>
              <w:widowControl w:val="0"/>
              <w:numPr>
                <w:ilvl w:val="0"/>
                <w:numId w:val="27"/>
              </w:numPr>
              <w:spacing w:line="312" w:lineRule="auto"/>
              <w:ind w:left="113" w:hanging="113"/>
              <w:rPr>
                <w:rFonts w:ascii="Arial Narrow" w:hAnsi="Arial Narrow" w:cs="Tahoma"/>
                <w:snapToGrid w:val="0"/>
                <w:sz w:val="20"/>
                <w:lang w:eastAsia="en-US"/>
              </w:rPr>
            </w:pPr>
            <w:r w:rsidRPr="00466733">
              <w:rPr>
                <w:rFonts w:ascii="Arial Narrow" w:hAnsi="Arial Narrow" w:cs="Tahoma"/>
                <w:snapToGrid w:val="0"/>
                <w:sz w:val="20"/>
                <w:lang w:eastAsia="en-US"/>
              </w:rPr>
              <w:t>Previous stroke ~ 4%.</w:t>
            </w:r>
          </w:p>
        </w:tc>
        <w:tc>
          <w:tcPr>
            <w:tcW w:w="1028" w:type="pct"/>
            <w:shd w:val="clear" w:color="auto" w:fill="auto"/>
          </w:tcPr>
          <w:p w14:paraId="4F79A2DD"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u w:val="single"/>
                <w:lang w:eastAsia="en-US"/>
              </w:rPr>
              <w:t>Primary endpoint:</w:t>
            </w:r>
            <w:r w:rsidRPr="00466733">
              <w:rPr>
                <w:rFonts w:ascii="Arial Narrow" w:hAnsi="Arial Narrow" w:cs="Tahoma"/>
                <w:sz w:val="20"/>
                <w:lang w:eastAsia="en-US"/>
              </w:rPr>
              <w:t xml:space="preserve"> MRI outcomes.</w:t>
            </w:r>
          </w:p>
          <w:p w14:paraId="0869D221"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 xml:space="preserve">Procedural complications: AKI, vascular </w:t>
            </w:r>
          </w:p>
          <w:p w14:paraId="5EAEE74C"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Mortality</w:t>
            </w:r>
          </w:p>
          <w:p w14:paraId="76EC27FF"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Reduction in stroke</w:t>
            </w:r>
          </w:p>
          <w:p w14:paraId="5CC75639"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Reduction in TIA</w:t>
            </w:r>
          </w:p>
          <w:p w14:paraId="6643BAD2"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Neurocognitive dysfunction post-procedure</w:t>
            </w:r>
          </w:p>
          <w:p w14:paraId="4F62FCA1"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z w:val="20"/>
                <w:lang w:eastAsia="en-US"/>
              </w:rPr>
              <w:t>HRQoL (no results)</w:t>
            </w:r>
          </w:p>
        </w:tc>
        <w:tc>
          <w:tcPr>
            <w:tcW w:w="595" w:type="pct"/>
            <w:shd w:val="clear" w:color="auto" w:fill="auto"/>
          </w:tcPr>
          <w:p w14:paraId="23828D5F"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Yes – in meta-analysis</w:t>
            </w:r>
          </w:p>
          <w:p w14:paraId="62764A07" w14:textId="77777777" w:rsidR="00466733" w:rsidRPr="00466733" w:rsidRDefault="00466733" w:rsidP="00193469">
            <w:pPr>
              <w:widowControl w:val="0"/>
              <w:rPr>
                <w:rFonts w:ascii="Arial Narrow" w:hAnsi="Arial Narrow" w:cs="Tahoma"/>
                <w:i/>
                <w:snapToGrid w:val="0"/>
                <w:sz w:val="20"/>
                <w:lang w:eastAsia="en-US"/>
              </w:rPr>
            </w:pPr>
            <w:r w:rsidRPr="00466733">
              <w:rPr>
                <w:rFonts w:ascii="Arial Narrow" w:hAnsi="Arial Narrow" w:cs="Tahoma"/>
                <w:i/>
                <w:snapToGrid w:val="0"/>
                <w:sz w:val="20"/>
                <w:lang w:eastAsia="en-US"/>
              </w:rPr>
              <w:t>(see bottom row in Table)</w:t>
            </w:r>
          </w:p>
        </w:tc>
      </w:tr>
      <w:tr w:rsidR="00466733" w:rsidRPr="00466733" w14:paraId="203BACCF" w14:textId="77777777" w:rsidTr="00005471">
        <w:trPr>
          <w:cantSplit/>
        </w:trPr>
        <w:tc>
          <w:tcPr>
            <w:tcW w:w="705" w:type="pct"/>
            <w:tcBorders>
              <w:bottom w:val="single" w:sz="4" w:space="0" w:color="auto"/>
            </w:tcBorders>
            <w:shd w:val="clear" w:color="auto" w:fill="auto"/>
          </w:tcPr>
          <w:p w14:paraId="5DECEE4D"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MISTRAL-C (Van Mieghem 2016)</w:t>
            </w:r>
          </w:p>
        </w:tc>
        <w:tc>
          <w:tcPr>
            <w:tcW w:w="715" w:type="pct"/>
            <w:tcBorders>
              <w:bottom w:val="single" w:sz="4" w:space="0" w:color="auto"/>
            </w:tcBorders>
            <w:shd w:val="clear" w:color="auto" w:fill="auto"/>
          </w:tcPr>
          <w:p w14:paraId="657EDA1C"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TAVI+CEP= 32</w:t>
            </w:r>
          </w:p>
          <w:p w14:paraId="4E8251B7"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 alone= 33</w:t>
            </w:r>
          </w:p>
          <w:p w14:paraId="7885C8BF" w14:textId="77777777" w:rsidR="00466733" w:rsidRPr="00466733" w:rsidRDefault="00466733" w:rsidP="00193469">
            <w:pPr>
              <w:widowControl w:val="0"/>
              <w:rPr>
                <w:rFonts w:ascii="Arial Narrow" w:hAnsi="Arial Narrow" w:cs="Tahoma"/>
                <w:snapToGrid w:val="0"/>
                <w:sz w:val="20"/>
                <w:lang w:eastAsia="en-US"/>
              </w:rPr>
            </w:pPr>
          </w:p>
          <w:p w14:paraId="3F733D79"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 xml:space="preserve">TAVI next gen: </w:t>
            </w:r>
            <w:r w:rsidRPr="00466733">
              <w:rPr>
                <w:rFonts w:ascii="Arial Narrow" w:hAnsi="Arial Narrow" w:cs="Tahoma"/>
                <w:sz w:val="20"/>
              </w:rPr>
              <w:t>55%</w:t>
            </w:r>
          </w:p>
          <w:p w14:paraId="430A2EFD" w14:textId="77777777" w:rsidR="00466733" w:rsidRPr="00466733" w:rsidRDefault="00466733" w:rsidP="00193469">
            <w:pPr>
              <w:widowControl w:val="0"/>
              <w:rPr>
                <w:rFonts w:ascii="Arial Narrow" w:hAnsi="Arial Narrow" w:cs="Tahoma"/>
                <w:snapToGrid w:val="0"/>
                <w:sz w:val="20"/>
                <w:lang w:eastAsia="en-US"/>
              </w:rPr>
            </w:pPr>
          </w:p>
        </w:tc>
        <w:tc>
          <w:tcPr>
            <w:tcW w:w="542" w:type="pct"/>
            <w:tcBorders>
              <w:bottom w:val="single" w:sz="4" w:space="0" w:color="auto"/>
            </w:tcBorders>
            <w:shd w:val="clear" w:color="auto" w:fill="auto"/>
          </w:tcPr>
          <w:p w14:paraId="78B96631"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RCT, MC, SB;</w:t>
            </w:r>
          </w:p>
          <w:p w14:paraId="7B924E2C"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z w:val="20"/>
                <w:lang w:eastAsia="en-US"/>
              </w:rPr>
              <w:t>Netherlands</w:t>
            </w:r>
            <w:r w:rsidRPr="00466733">
              <w:rPr>
                <w:rFonts w:ascii="Arial Narrow" w:hAnsi="Arial Narrow" w:cs="Tahoma"/>
                <w:sz w:val="20"/>
                <w:lang w:eastAsia="en-US"/>
              </w:rPr>
              <w:br/>
            </w:r>
            <w:r w:rsidRPr="00466733">
              <w:rPr>
                <w:rFonts w:ascii="Arial Narrow" w:hAnsi="Arial Narrow" w:cs="Tahoma"/>
                <w:snapToGrid w:val="0"/>
                <w:sz w:val="20"/>
                <w:lang w:eastAsia="en-US"/>
              </w:rPr>
              <w:t>6-months</w:t>
            </w:r>
          </w:p>
        </w:tc>
        <w:tc>
          <w:tcPr>
            <w:tcW w:w="472" w:type="pct"/>
            <w:tcBorders>
              <w:bottom w:val="single" w:sz="4" w:space="0" w:color="auto"/>
            </w:tcBorders>
            <w:shd w:val="clear" w:color="auto" w:fill="auto"/>
          </w:tcPr>
          <w:p w14:paraId="36CDEF3D" w14:textId="51D505E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 xml:space="preserve">Low </w:t>
            </w:r>
            <w:r w:rsidR="000C52AE">
              <w:rPr>
                <w:rFonts w:ascii="Arial Narrow" w:hAnsi="Arial Narrow" w:cs="Tahoma"/>
                <w:snapToGrid w:val="0"/>
                <w:sz w:val="20"/>
                <w:lang w:eastAsia="en-US"/>
              </w:rPr>
              <w:t>(</w:t>
            </w:r>
            <w:r w:rsidRPr="00466733">
              <w:rPr>
                <w:rFonts w:ascii="Arial Narrow" w:hAnsi="Arial Narrow" w:cs="Tahoma"/>
                <w:snapToGrid w:val="0"/>
                <w:sz w:val="20"/>
                <w:lang w:eastAsia="en-US"/>
              </w:rPr>
              <w:t>clinical</w:t>
            </w:r>
            <w:r w:rsidR="000C52AE">
              <w:rPr>
                <w:rFonts w:ascii="Arial Narrow" w:hAnsi="Arial Narrow" w:cs="Tahoma"/>
                <w:snapToGrid w:val="0"/>
                <w:sz w:val="20"/>
                <w:lang w:eastAsia="en-US"/>
              </w:rPr>
              <w:t>)</w:t>
            </w:r>
            <w:r w:rsidRPr="00466733">
              <w:rPr>
                <w:rFonts w:ascii="Arial Narrow" w:hAnsi="Arial Narrow" w:cs="Tahoma"/>
                <w:snapToGrid w:val="0"/>
                <w:sz w:val="20"/>
                <w:lang w:eastAsia="en-US"/>
              </w:rPr>
              <w:t xml:space="preserve"> </w:t>
            </w:r>
            <w:r w:rsidR="000C52AE">
              <w:rPr>
                <w:rFonts w:ascii="Arial Narrow" w:hAnsi="Arial Narrow" w:cs="Tahoma"/>
                <w:snapToGrid w:val="0"/>
                <w:sz w:val="20"/>
                <w:lang w:eastAsia="en-US"/>
              </w:rPr>
              <w:t>=</w:t>
            </w:r>
            <w:r w:rsidRPr="00466733">
              <w:rPr>
                <w:rFonts w:ascii="Arial Narrow" w:hAnsi="Arial Narrow" w:cs="Tahoma"/>
                <w:snapToGrid w:val="0"/>
                <w:sz w:val="20"/>
                <w:lang w:eastAsia="en-US"/>
              </w:rPr>
              <w:t xml:space="preserve">; high </w:t>
            </w:r>
            <w:r w:rsidR="000C52AE">
              <w:rPr>
                <w:rFonts w:ascii="Arial Narrow" w:hAnsi="Arial Narrow" w:cs="Tahoma"/>
                <w:snapToGrid w:val="0"/>
                <w:sz w:val="20"/>
                <w:lang w:eastAsia="en-US"/>
              </w:rPr>
              <w:t>(</w:t>
            </w:r>
            <w:r w:rsidRPr="00466733">
              <w:rPr>
                <w:rFonts w:ascii="Arial Narrow" w:hAnsi="Arial Narrow" w:cs="Tahoma"/>
                <w:snapToGrid w:val="0"/>
                <w:sz w:val="20"/>
                <w:lang w:eastAsia="en-US"/>
              </w:rPr>
              <w:t>MRI outcomes</w:t>
            </w:r>
            <w:r w:rsidRPr="00466733">
              <w:rPr>
                <w:rFonts w:ascii="Arial" w:hAnsi="Arial" w:cs="Arial"/>
                <w:snapToGrid w:val="0"/>
                <w:sz w:val="20"/>
                <w:vertAlign w:val="superscript"/>
                <w:lang w:eastAsia="en-US"/>
              </w:rPr>
              <w:t>ǂ</w:t>
            </w:r>
          </w:p>
        </w:tc>
        <w:tc>
          <w:tcPr>
            <w:tcW w:w="943" w:type="pct"/>
            <w:tcBorders>
              <w:bottom w:val="single" w:sz="4" w:space="0" w:color="auto"/>
            </w:tcBorders>
            <w:shd w:val="clear" w:color="auto" w:fill="auto"/>
          </w:tcPr>
          <w:p w14:paraId="155FB760"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z w:val="20"/>
                <w:lang w:eastAsia="en-US"/>
              </w:rPr>
              <w:t>High risk for SAVR as per HT.</w:t>
            </w:r>
            <w:r w:rsidRPr="00466733">
              <w:rPr>
                <w:rFonts w:ascii="Arial Narrow" w:hAnsi="Arial Narrow" w:cs="Tahoma"/>
                <w:snapToGrid w:val="0"/>
                <w:sz w:val="20"/>
                <w:lang w:eastAsia="en-US"/>
              </w:rPr>
              <w:t xml:space="preserve"> Baseline:</w:t>
            </w:r>
            <w:r w:rsidRPr="00466733">
              <w:rPr>
                <w:rFonts w:ascii="Arial Narrow" w:hAnsi="Arial Narrow" w:cs="Tahoma"/>
                <w:snapToGrid w:val="0"/>
                <w:sz w:val="20"/>
                <w:vertAlign w:val="superscript"/>
                <w:lang w:eastAsia="en-US"/>
              </w:rPr>
              <w:t>b</w:t>
            </w:r>
            <w:r w:rsidRPr="00466733">
              <w:rPr>
                <w:rFonts w:ascii="Arial Narrow" w:hAnsi="Arial Narrow" w:cs="Tahoma"/>
                <w:snapToGrid w:val="0"/>
                <w:sz w:val="20"/>
                <w:lang w:eastAsia="en-US"/>
              </w:rPr>
              <w:t xml:space="preserve"> </w:t>
            </w:r>
          </w:p>
          <w:p w14:paraId="140AAAE7" w14:textId="77777777" w:rsidR="00466733" w:rsidRPr="00466733" w:rsidRDefault="00466733" w:rsidP="00193469">
            <w:pPr>
              <w:widowControl w:val="0"/>
              <w:numPr>
                <w:ilvl w:val="0"/>
                <w:numId w:val="28"/>
              </w:numPr>
              <w:spacing w:line="312" w:lineRule="auto"/>
              <w:ind w:left="113" w:hanging="113"/>
              <w:rPr>
                <w:rFonts w:ascii="Arial Narrow" w:hAnsi="Arial Narrow" w:cs="Tahoma"/>
                <w:sz w:val="20"/>
                <w:lang w:eastAsia="en-US"/>
              </w:rPr>
            </w:pPr>
            <w:r w:rsidRPr="00466733">
              <w:rPr>
                <w:rFonts w:ascii="Arial Narrow" w:hAnsi="Arial Narrow" w:cs="Tahoma"/>
                <w:snapToGrid w:val="0"/>
                <w:sz w:val="20"/>
                <w:lang w:eastAsia="en-US"/>
              </w:rPr>
              <w:t>81 yrs</w:t>
            </w:r>
          </w:p>
          <w:p w14:paraId="784B2F44" w14:textId="77777777" w:rsidR="00466733" w:rsidRPr="00466733" w:rsidRDefault="00466733" w:rsidP="00193469">
            <w:pPr>
              <w:widowControl w:val="0"/>
              <w:numPr>
                <w:ilvl w:val="0"/>
                <w:numId w:val="28"/>
              </w:numPr>
              <w:spacing w:line="312" w:lineRule="auto"/>
              <w:ind w:left="113" w:hanging="113"/>
              <w:rPr>
                <w:rFonts w:ascii="Arial Narrow" w:hAnsi="Arial Narrow" w:cs="Tahoma"/>
                <w:sz w:val="20"/>
                <w:lang w:eastAsia="en-US"/>
              </w:rPr>
            </w:pPr>
            <w:r w:rsidRPr="00466733">
              <w:rPr>
                <w:rFonts w:ascii="Arial Narrow" w:hAnsi="Arial Narrow" w:cs="Tahoma"/>
                <w:snapToGrid w:val="0"/>
                <w:sz w:val="20"/>
                <w:lang w:eastAsia="en-US"/>
              </w:rPr>
              <w:t xml:space="preserve">STS score^ 4.8; </w:t>
            </w:r>
          </w:p>
          <w:p w14:paraId="77612B40" w14:textId="77777777" w:rsidR="00466733" w:rsidRPr="00466733" w:rsidRDefault="00466733" w:rsidP="00193469">
            <w:pPr>
              <w:widowControl w:val="0"/>
              <w:numPr>
                <w:ilvl w:val="0"/>
                <w:numId w:val="28"/>
              </w:numPr>
              <w:spacing w:line="312" w:lineRule="auto"/>
              <w:ind w:left="113" w:hanging="113"/>
              <w:rPr>
                <w:rFonts w:ascii="Arial Narrow" w:hAnsi="Arial Narrow" w:cs="Tahoma"/>
                <w:sz w:val="20"/>
                <w:lang w:eastAsia="en-US"/>
              </w:rPr>
            </w:pPr>
            <w:r w:rsidRPr="00466733">
              <w:rPr>
                <w:rFonts w:ascii="Arial Narrow" w:hAnsi="Arial Narrow" w:cs="Tahoma"/>
                <w:snapToGrid w:val="0"/>
                <w:sz w:val="20"/>
                <w:lang w:eastAsia="en-US"/>
              </w:rPr>
              <w:t>Previous AF 28%</w:t>
            </w:r>
          </w:p>
          <w:p w14:paraId="65C537A6" w14:textId="77777777" w:rsidR="00466733" w:rsidRPr="00466733" w:rsidRDefault="00466733" w:rsidP="00193469">
            <w:pPr>
              <w:widowControl w:val="0"/>
              <w:numPr>
                <w:ilvl w:val="0"/>
                <w:numId w:val="28"/>
              </w:numPr>
              <w:spacing w:line="312" w:lineRule="auto"/>
              <w:ind w:left="113" w:hanging="113"/>
              <w:rPr>
                <w:rFonts w:ascii="Arial Narrow" w:hAnsi="Arial Narrow" w:cs="Tahoma"/>
                <w:sz w:val="20"/>
                <w:lang w:eastAsia="en-US"/>
              </w:rPr>
            </w:pPr>
            <w:r w:rsidRPr="00466733">
              <w:rPr>
                <w:rFonts w:ascii="Arial Narrow" w:hAnsi="Arial Narrow" w:cs="Tahoma"/>
                <w:snapToGrid w:val="0"/>
                <w:sz w:val="20"/>
                <w:lang w:eastAsia="en-US"/>
              </w:rPr>
              <w:t>Previous stroke 19%.</w:t>
            </w:r>
          </w:p>
        </w:tc>
        <w:tc>
          <w:tcPr>
            <w:tcW w:w="1028" w:type="pct"/>
            <w:tcBorders>
              <w:bottom w:val="single" w:sz="4" w:space="0" w:color="auto"/>
            </w:tcBorders>
            <w:shd w:val="clear" w:color="auto" w:fill="auto"/>
          </w:tcPr>
          <w:p w14:paraId="59F4CFD1"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u w:val="single"/>
                <w:lang w:eastAsia="en-US"/>
              </w:rPr>
              <w:t>Primary endpoint:</w:t>
            </w:r>
            <w:r w:rsidRPr="00466733">
              <w:rPr>
                <w:rFonts w:ascii="Arial Narrow" w:hAnsi="Arial Narrow" w:cs="Tahoma"/>
                <w:sz w:val="20"/>
                <w:lang w:eastAsia="en-US"/>
              </w:rPr>
              <w:t xml:space="preserve"> MRI outcomes.</w:t>
            </w:r>
          </w:p>
          <w:p w14:paraId="1FD57013"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Procedural complications, AKI, vascular</w:t>
            </w:r>
          </w:p>
          <w:p w14:paraId="5A395900"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Mortality</w:t>
            </w:r>
          </w:p>
          <w:p w14:paraId="65183581"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Reduction in stroke</w:t>
            </w:r>
          </w:p>
          <w:p w14:paraId="6CC99444"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Neurocognitive dysfunction post-procedure</w:t>
            </w:r>
          </w:p>
        </w:tc>
        <w:tc>
          <w:tcPr>
            <w:tcW w:w="595" w:type="pct"/>
            <w:tcBorders>
              <w:bottom w:val="single" w:sz="4" w:space="0" w:color="auto"/>
            </w:tcBorders>
            <w:shd w:val="clear" w:color="auto" w:fill="auto"/>
          </w:tcPr>
          <w:p w14:paraId="0C49DEF4"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Yes – in meta-analysis</w:t>
            </w:r>
          </w:p>
          <w:p w14:paraId="08FB0000"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i/>
                <w:snapToGrid w:val="0"/>
                <w:sz w:val="20"/>
                <w:lang w:eastAsia="en-US"/>
              </w:rPr>
              <w:t>(see bottom row in Table</w:t>
            </w:r>
            <w:r w:rsidRPr="00466733">
              <w:rPr>
                <w:rFonts w:ascii="Arial Narrow" w:hAnsi="Arial Narrow" w:cs="Tahoma"/>
                <w:snapToGrid w:val="0"/>
                <w:sz w:val="20"/>
                <w:lang w:eastAsia="en-US"/>
              </w:rPr>
              <w:t>)</w:t>
            </w:r>
          </w:p>
        </w:tc>
      </w:tr>
      <w:tr w:rsidR="00466733" w:rsidRPr="00466733" w14:paraId="19C56E43" w14:textId="77777777" w:rsidTr="00005471">
        <w:trPr>
          <w:cantSplit/>
        </w:trPr>
        <w:tc>
          <w:tcPr>
            <w:tcW w:w="1419" w:type="pct"/>
            <w:gridSpan w:val="2"/>
            <w:tcBorders>
              <w:right w:val="nil"/>
            </w:tcBorders>
            <w:shd w:val="clear" w:color="auto" w:fill="auto"/>
          </w:tcPr>
          <w:p w14:paraId="2C614C81"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b/>
                <w:bCs/>
                <w:snapToGrid w:val="0"/>
                <w:sz w:val="20"/>
                <w:lang w:eastAsia="en-US"/>
              </w:rPr>
              <w:t>Non-randomised</w:t>
            </w:r>
          </w:p>
        </w:tc>
        <w:tc>
          <w:tcPr>
            <w:tcW w:w="542" w:type="pct"/>
            <w:tcBorders>
              <w:left w:val="nil"/>
              <w:right w:val="nil"/>
            </w:tcBorders>
            <w:shd w:val="clear" w:color="auto" w:fill="auto"/>
          </w:tcPr>
          <w:p w14:paraId="2BC0B965" w14:textId="77777777" w:rsidR="00466733" w:rsidRPr="00466733" w:rsidRDefault="00466733" w:rsidP="00193469">
            <w:pPr>
              <w:widowControl w:val="0"/>
              <w:rPr>
                <w:rFonts w:ascii="Arial Narrow" w:hAnsi="Arial Narrow" w:cs="Tahoma"/>
                <w:sz w:val="20"/>
                <w:lang w:eastAsia="en-US"/>
              </w:rPr>
            </w:pPr>
          </w:p>
        </w:tc>
        <w:tc>
          <w:tcPr>
            <w:tcW w:w="472" w:type="pct"/>
            <w:tcBorders>
              <w:left w:val="nil"/>
              <w:right w:val="nil"/>
            </w:tcBorders>
            <w:shd w:val="clear" w:color="auto" w:fill="auto"/>
          </w:tcPr>
          <w:p w14:paraId="1B952AF0" w14:textId="77777777" w:rsidR="00466733" w:rsidRPr="00466733" w:rsidRDefault="00466733" w:rsidP="00193469">
            <w:pPr>
              <w:widowControl w:val="0"/>
              <w:rPr>
                <w:rFonts w:ascii="Arial Narrow" w:hAnsi="Arial Narrow" w:cs="Tahoma"/>
                <w:snapToGrid w:val="0"/>
                <w:sz w:val="20"/>
                <w:lang w:eastAsia="en-US"/>
              </w:rPr>
            </w:pPr>
          </w:p>
        </w:tc>
        <w:tc>
          <w:tcPr>
            <w:tcW w:w="943" w:type="pct"/>
            <w:tcBorders>
              <w:left w:val="nil"/>
              <w:right w:val="nil"/>
            </w:tcBorders>
            <w:shd w:val="clear" w:color="auto" w:fill="auto"/>
          </w:tcPr>
          <w:p w14:paraId="449D0B75" w14:textId="77777777" w:rsidR="00466733" w:rsidRPr="00466733" w:rsidRDefault="00466733" w:rsidP="00193469">
            <w:pPr>
              <w:widowControl w:val="0"/>
              <w:rPr>
                <w:rFonts w:ascii="Arial Narrow" w:hAnsi="Arial Narrow" w:cs="Tahoma"/>
                <w:sz w:val="20"/>
                <w:lang w:eastAsia="en-US"/>
              </w:rPr>
            </w:pPr>
          </w:p>
        </w:tc>
        <w:tc>
          <w:tcPr>
            <w:tcW w:w="1028" w:type="pct"/>
            <w:tcBorders>
              <w:left w:val="nil"/>
              <w:right w:val="nil"/>
            </w:tcBorders>
            <w:shd w:val="clear" w:color="auto" w:fill="auto"/>
          </w:tcPr>
          <w:p w14:paraId="57CD7247" w14:textId="77777777" w:rsidR="00466733" w:rsidRPr="00466733" w:rsidRDefault="00466733" w:rsidP="00193469">
            <w:pPr>
              <w:widowControl w:val="0"/>
              <w:rPr>
                <w:rFonts w:ascii="Arial Narrow" w:hAnsi="Arial Narrow" w:cs="Tahoma"/>
                <w:sz w:val="20"/>
                <w:lang w:eastAsia="en-US"/>
              </w:rPr>
            </w:pPr>
          </w:p>
        </w:tc>
        <w:tc>
          <w:tcPr>
            <w:tcW w:w="595" w:type="pct"/>
            <w:tcBorders>
              <w:left w:val="nil"/>
            </w:tcBorders>
            <w:shd w:val="clear" w:color="auto" w:fill="auto"/>
          </w:tcPr>
          <w:p w14:paraId="7FA5E169" w14:textId="77777777" w:rsidR="00466733" w:rsidRPr="00466733" w:rsidRDefault="00466733" w:rsidP="00193469">
            <w:pPr>
              <w:widowControl w:val="0"/>
              <w:rPr>
                <w:rFonts w:ascii="Arial Narrow" w:hAnsi="Arial Narrow" w:cs="Tahoma"/>
                <w:snapToGrid w:val="0"/>
                <w:sz w:val="20"/>
                <w:lang w:eastAsia="en-US"/>
              </w:rPr>
            </w:pPr>
          </w:p>
        </w:tc>
      </w:tr>
      <w:tr w:rsidR="00466733" w:rsidRPr="00466733" w14:paraId="7FC1480E" w14:textId="77777777" w:rsidTr="00005471">
        <w:trPr>
          <w:cantSplit/>
        </w:trPr>
        <w:tc>
          <w:tcPr>
            <w:tcW w:w="705" w:type="pct"/>
            <w:shd w:val="clear" w:color="auto" w:fill="auto"/>
          </w:tcPr>
          <w:p w14:paraId="4623B038"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SENTINEL-Ulm (Seeger 2017a, Seeger 2017b, Seeger 2017c)</w:t>
            </w:r>
          </w:p>
        </w:tc>
        <w:tc>
          <w:tcPr>
            <w:tcW w:w="715" w:type="pct"/>
            <w:shd w:val="clear" w:color="auto" w:fill="auto"/>
          </w:tcPr>
          <w:p w14:paraId="622C30CE"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TAVI+CEP= 280</w:t>
            </w:r>
          </w:p>
          <w:p w14:paraId="54592E38"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 alone= 280</w:t>
            </w:r>
            <w:r w:rsidRPr="00466733">
              <w:rPr>
                <w:rFonts w:ascii="Arial Narrow" w:hAnsi="Arial Narrow" w:cs="Tahoma"/>
                <w:snapToGrid w:val="0"/>
                <w:sz w:val="20"/>
                <w:lang w:eastAsia="en-US"/>
              </w:rPr>
              <w:br/>
              <w:t>(PSM cohort)</w:t>
            </w:r>
          </w:p>
          <w:p w14:paraId="7C4EFCF2" w14:textId="77777777" w:rsidR="00466733" w:rsidRPr="00466733" w:rsidRDefault="00466733" w:rsidP="00193469">
            <w:pPr>
              <w:widowControl w:val="0"/>
              <w:rPr>
                <w:rFonts w:ascii="Arial Narrow" w:hAnsi="Arial Narrow" w:cs="Tahoma"/>
                <w:snapToGrid w:val="0"/>
                <w:sz w:val="20"/>
                <w:lang w:eastAsia="en-US"/>
              </w:rPr>
            </w:pPr>
          </w:p>
          <w:p w14:paraId="7D4AD19D"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 xml:space="preserve">TAVI next gen: </w:t>
            </w:r>
            <w:r w:rsidRPr="00466733">
              <w:rPr>
                <w:rFonts w:ascii="Arial Narrow" w:hAnsi="Arial Narrow" w:cs="Arial"/>
                <w:sz w:val="20"/>
              </w:rPr>
              <w:t>100</w:t>
            </w:r>
            <w:r w:rsidRPr="00466733">
              <w:rPr>
                <w:rFonts w:ascii="Arial Narrow" w:hAnsi="Arial Narrow" w:cs="Tahoma"/>
                <w:snapToGrid w:val="0"/>
                <w:sz w:val="20"/>
                <w:lang w:eastAsia="en-US"/>
              </w:rPr>
              <w:t>%</w:t>
            </w:r>
          </w:p>
          <w:p w14:paraId="3A585E0F" w14:textId="77777777" w:rsidR="00466733" w:rsidRPr="00466733" w:rsidRDefault="00466733" w:rsidP="00193469">
            <w:pPr>
              <w:widowControl w:val="0"/>
              <w:rPr>
                <w:rFonts w:ascii="Arial Narrow" w:hAnsi="Arial Narrow" w:cs="Tahoma"/>
                <w:snapToGrid w:val="0"/>
                <w:sz w:val="20"/>
                <w:lang w:eastAsia="en-US"/>
              </w:rPr>
            </w:pPr>
          </w:p>
        </w:tc>
        <w:tc>
          <w:tcPr>
            <w:tcW w:w="542" w:type="pct"/>
            <w:shd w:val="clear" w:color="auto" w:fill="auto"/>
          </w:tcPr>
          <w:p w14:paraId="6B1D402F"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SC, pro.</w:t>
            </w:r>
            <w:r w:rsidRPr="00466733">
              <w:rPr>
                <w:rFonts w:ascii="Arial Narrow" w:hAnsi="Arial Narrow" w:cs="Tahoma"/>
                <w:snapToGrid w:val="0"/>
                <w:sz w:val="20"/>
                <w:lang w:eastAsia="en-US"/>
              </w:rPr>
              <w:br/>
              <w:t>Germany;</w:t>
            </w:r>
            <w:r w:rsidRPr="00466733">
              <w:rPr>
                <w:rFonts w:ascii="Arial Narrow" w:hAnsi="Arial Narrow" w:cs="Tahoma"/>
                <w:snapToGrid w:val="0"/>
                <w:sz w:val="20"/>
                <w:lang w:eastAsia="en-US"/>
              </w:rPr>
              <w:br/>
            </w:r>
            <w:r w:rsidRPr="00466733">
              <w:rPr>
                <w:rFonts w:ascii="Arial Narrow" w:hAnsi="Arial Narrow" w:cs="Tahoma"/>
                <w:sz w:val="20"/>
                <w:lang w:eastAsia="en-US"/>
              </w:rPr>
              <w:t>1-month</w:t>
            </w:r>
          </w:p>
        </w:tc>
        <w:tc>
          <w:tcPr>
            <w:tcW w:w="472" w:type="pct"/>
            <w:shd w:val="clear" w:color="auto" w:fill="auto"/>
          </w:tcPr>
          <w:p w14:paraId="5C344A00"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Low</w:t>
            </w:r>
          </w:p>
        </w:tc>
        <w:tc>
          <w:tcPr>
            <w:tcW w:w="943" w:type="pct"/>
            <w:shd w:val="clear" w:color="auto" w:fill="auto"/>
          </w:tcPr>
          <w:p w14:paraId="5D07D6D0"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i/>
                <w:sz w:val="20"/>
                <w:lang w:eastAsia="en-US"/>
              </w:rPr>
              <w:t>All-comers TAVI population</w:t>
            </w:r>
            <w:r w:rsidRPr="00466733">
              <w:rPr>
                <w:rFonts w:ascii="Arial Narrow" w:hAnsi="Arial Narrow" w:cs="Tahoma"/>
                <w:sz w:val="20"/>
                <w:lang w:eastAsia="en-US"/>
              </w:rPr>
              <w:t>. HT assessed</w:t>
            </w:r>
          </w:p>
          <w:p w14:paraId="10C8CA39"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Baseline:</w:t>
            </w:r>
          </w:p>
          <w:p w14:paraId="0202AC53" w14:textId="77777777" w:rsidR="00466733" w:rsidRPr="00466733" w:rsidRDefault="00466733" w:rsidP="00193469">
            <w:pPr>
              <w:widowControl w:val="0"/>
              <w:numPr>
                <w:ilvl w:val="0"/>
                <w:numId w:val="29"/>
              </w:numPr>
              <w:spacing w:line="312" w:lineRule="auto"/>
              <w:ind w:left="113" w:hanging="113"/>
              <w:rPr>
                <w:rFonts w:ascii="Arial Narrow" w:hAnsi="Arial Narrow" w:cs="Tahoma"/>
                <w:sz w:val="20"/>
                <w:lang w:eastAsia="en-US"/>
              </w:rPr>
            </w:pPr>
            <w:r w:rsidRPr="00466733">
              <w:rPr>
                <w:rFonts w:ascii="Arial Narrow" w:hAnsi="Arial Narrow" w:cs="Tahoma"/>
                <w:sz w:val="20"/>
                <w:lang w:eastAsia="en-US"/>
              </w:rPr>
              <w:t>80 yrs</w:t>
            </w:r>
          </w:p>
          <w:p w14:paraId="3B99A7CC" w14:textId="77777777" w:rsidR="00466733" w:rsidRPr="00466733" w:rsidRDefault="00466733" w:rsidP="00193469">
            <w:pPr>
              <w:widowControl w:val="0"/>
              <w:numPr>
                <w:ilvl w:val="0"/>
                <w:numId w:val="29"/>
              </w:numPr>
              <w:spacing w:line="312" w:lineRule="auto"/>
              <w:ind w:left="113" w:hanging="113"/>
              <w:rPr>
                <w:rFonts w:ascii="Arial Narrow" w:hAnsi="Arial Narrow" w:cs="Tahoma"/>
                <w:sz w:val="20"/>
                <w:lang w:eastAsia="en-US"/>
              </w:rPr>
            </w:pPr>
            <w:r w:rsidRPr="00466733">
              <w:rPr>
                <w:rFonts w:ascii="Arial Narrow" w:hAnsi="Arial Narrow" w:cs="Tahoma"/>
                <w:sz w:val="20"/>
                <w:lang w:eastAsia="en-US"/>
              </w:rPr>
              <w:t>STS score^ ~6.5%</w:t>
            </w:r>
          </w:p>
          <w:p w14:paraId="10C70712" w14:textId="77777777" w:rsidR="00466733" w:rsidRPr="00466733" w:rsidRDefault="00466733" w:rsidP="00193469">
            <w:pPr>
              <w:widowControl w:val="0"/>
              <w:numPr>
                <w:ilvl w:val="0"/>
                <w:numId w:val="29"/>
              </w:numPr>
              <w:spacing w:line="312" w:lineRule="auto"/>
              <w:ind w:left="113" w:hanging="113"/>
              <w:rPr>
                <w:rFonts w:ascii="Arial Narrow" w:hAnsi="Arial Narrow" w:cs="Tahoma"/>
                <w:sz w:val="20"/>
                <w:lang w:eastAsia="en-US"/>
              </w:rPr>
            </w:pPr>
            <w:r w:rsidRPr="00466733">
              <w:rPr>
                <w:rFonts w:ascii="Arial Narrow" w:hAnsi="Arial Narrow" w:cs="Tahoma"/>
                <w:sz w:val="20"/>
                <w:lang w:eastAsia="en-US"/>
              </w:rPr>
              <w:t>Previous AF 35%</w:t>
            </w:r>
          </w:p>
          <w:p w14:paraId="3E66EC5F" w14:textId="77777777" w:rsidR="00466733" w:rsidRPr="00466733" w:rsidRDefault="00466733" w:rsidP="00193469">
            <w:pPr>
              <w:widowControl w:val="0"/>
              <w:numPr>
                <w:ilvl w:val="0"/>
                <w:numId w:val="29"/>
              </w:numPr>
              <w:spacing w:line="312" w:lineRule="auto"/>
              <w:ind w:left="113" w:hanging="113"/>
              <w:rPr>
                <w:rFonts w:ascii="Arial Narrow" w:hAnsi="Arial Narrow" w:cs="Tahoma"/>
                <w:sz w:val="20"/>
                <w:lang w:eastAsia="en-US"/>
              </w:rPr>
            </w:pPr>
            <w:r w:rsidRPr="00466733">
              <w:rPr>
                <w:rFonts w:ascii="Arial Narrow" w:hAnsi="Arial Narrow" w:cs="Tahoma"/>
                <w:sz w:val="20"/>
                <w:lang w:eastAsia="en-US"/>
              </w:rPr>
              <w:t>Previous stroke ~10%.</w:t>
            </w:r>
          </w:p>
        </w:tc>
        <w:tc>
          <w:tcPr>
            <w:tcW w:w="1028" w:type="pct"/>
            <w:shd w:val="clear" w:color="auto" w:fill="auto"/>
          </w:tcPr>
          <w:p w14:paraId="0D86C026"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Procedural complications, AKI, vascular</w:t>
            </w:r>
          </w:p>
          <w:p w14:paraId="058617CC"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Mortality</w:t>
            </w:r>
          </w:p>
          <w:p w14:paraId="044BA41C"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 xml:space="preserve">Reduction in stroke </w:t>
            </w:r>
          </w:p>
        </w:tc>
        <w:tc>
          <w:tcPr>
            <w:tcW w:w="595" w:type="pct"/>
            <w:shd w:val="clear" w:color="auto" w:fill="auto"/>
          </w:tcPr>
          <w:p w14:paraId="64E38615"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Yes, in sensitivity analysis.</w:t>
            </w:r>
          </w:p>
          <w:p w14:paraId="079BD183"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 xml:space="preserve">No data available at 30 days, hence not included in base-case. </w:t>
            </w:r>
          </w:p>
        </w:tc>
      </w:tr>
      <w:tr w:rsidR="00466733" w:rsidRPr="00466733" w14:paraId="4F450F3B" w14:textId="77777777" w:rsidTr="00005471">
        <w:trPr>
          <w:cantSplit/>
        </w:trPr>
        <w:tc>
          <w:tcPr>
            <w:tcW w:w="705" w:type="pct"/>
            <w:tcBorders>
              <w:bottom w:val="single" w:sz="4" w:space="0" w:color="auto"/>
            </w:tcBorders>
            <w:shd w:val="clear" w:color="auto" w:fill="auto"/>
          </w:tcPr>
          <w:p w14:paraId="34F64D81"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Kroon 2019</w:t>
            </w:r>
          </w:p>
        </w:tc>
        <w:tc>
          <w:tcPr>
            <w:tcW w:w="715" w:type="pct"/>
            <w:tcBorders>
              <w:bottom w:val="single" w:sz="4" w:space="0" w:color="auto"/>
            </w:tcBorders>
            <w:shd w:val="clear" w:color="auto" w:fill="auto"/>
          </w:tcPr>
          <w:p w14:paraId="6808109F"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 +CEP= 333</w:t>
            </w:r>
          </w:p>
          <w:p w14:paraId="18729DE6"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 alone= 333</w:t>
            </w:r>
          </w:p>
          <w:p w14:paraId="002036E2" w14:textId="77777777" w:rsidR="00466733" w:rsidRPr="00466733" w:rsidRDefault="00466733" w:rsidP="00193469">
            <w:pPr>
              <w:widowControl w:val="0"/>
              <w:rPr>
                <w:rFonts w:ascii="Arial Narrow" w:hAnsi="Arial Narrow" w:cs="Tahoma"/>
                <w:snapToGrid w:val="0"/>
                <w:sz w:val="20"/>
                <w:lang w:eastAsia="en-US"/>
              </w:rPr>
            </w:pPr>
          </w:p>
          <w:p w14:paraId="6EE623A9"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(PSM cohort</w:t>
            </w:r>
            <w:r w:rsidRPr="00466733">
              <w:rPr>
                <w:rFonts w:ascii="Arial Narrow" w:hAnsi="Arial Narrow" w:cs="Tahoma"/>
                <w:sz w:val="20"/>
                <w:vertAlign w:val="superscript"/>
              </w:rPr>
              <w:t>d</w:t>
            </w:r>
            <w:r w:rsidRPr="00466733">
              <w:rPr>
                <w:rFonts w:ascii="Arial Narrow" w:hAnsi="Arial Narrow" w:cs="Tahoma"/>
                <w:sz w:val="20"/>
              </w:rPr>
              <w:t xml:space="preserve"> resulted in 333 pairs, out of a total of 831 consecutive patients</w:t>
            </w:r>
            <w:r w:rsidRPr="00466733">
              <w:rPr>
                <w:rFonts w:ascii="Arial Narrow" w:hAnsi="Arial Narrow" w:cs="Tahoma"/>
                <w:snapToGrid w:val="0"/>
                <w:sz w:val="20"/>
                <w:lang w:eastAsia="en-US"/>
              </w:rPr>
              <w:t>)</w:t>
            </w:r>
          </w:p>
          <w:p w14:paraId="0DF30701" w14:textId="77777777" w:rsidR="00466733" w:rsidRPr="00466733" w:rsidRDefault="00466733" w:rsidP="00193469">
            <w:pPr>
              <w:widowControl w:val="0"/>
              <w:rPr>
                <w:rFonts w:ascii="Arial Narrow" w:hAnsi="Arial Narrow" w:cs="Tahoma"/>
                <w:snapToGrid w:val="0"/>
                <w:sz w:val="20"/>
                <w:lang w:eastAsia="en-US"/>
              </w:rPr>
            </w:pPr>
          </w:p>
          <w:p w14:paraId="3F6075EC"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 next gen: estimated 50.5%</w:t>
            </w:r>
          </w:p>
        </w:tc>
        <w:tc>
          <w:tcPr>
            <w:tcW w:w="542" w:type="pct"/>
            <w:tcBorders>
              <w:bottom w:val="single" w:sz="4" w:space="0" w:color="auto"/>
            </w:tcBorders>
            <w:shd w:val="clear" w:color="auto" w:fill="auto"/>
          </w:tcPr>
          <w:p w14:paraId="7298C04A"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MC retro., Netherlands</w:t>
            </w:r>
            <w:r w:rsidRPr="00466733">
              <w:rPr>
                <w:rFonts w:ascii="Arial Narrow" w:hAnsi="Arial Narrow" w:cs="Tahoma"/>
                <w:sz w:val="20"/>
                <w:lang w:eastAsia="en-US"/>
              </w:rPr>
              <w:br/>
              <w:t>1-month</w:t>
            </w:r>
          </w:p>
          <w:p w14:paraId="6915C3C0"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2006-2017</w:t>
            </w:r>
          </w:p>
        </w:tc>
        <w:tc>
          <w:tcPr>
            <w:tcW w:w="472" w:type="pct"/>
            <w:tcBorders>
              <w:bottom w:val="single" w:sz="4" w:space="0" w:color="auto"/>
            </w:tcBorders>
            <w:shd w:val="clear" w:color="auto" w:fill="auto"/>
          </w:tcPr>
          <w:p w14:paraId="03039A1C"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Low</w:t>
            </w:r>
          </w:p>
        </w:tc>
        <w:tc>
          <w:tcPr>
            <w:tcW w:w="943" w:type="pct"/>
            <w:tcBorders>
              <w:bottom w:val="single" w:sz="4" w:space="0" w:color="auto"/>
            </w:tcBorders>
            <w:shd w:val="clear" w:color="auto" w:fill="auto"/>
          </w:tcPr>
          <w:p w14:paraId="3C3BD33A"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Severe AS assessed by HT. Baseline: 50%:</w:t>
            </w:r>
          </w:p>
          <w:p w14:paraId="5E23349C" w14:textId="77777777" w:rsidR="00466733" w:rsidRPr="00466733" w:rsidRDefault="00466733" w:rsidP="00193469">
            <w:pPr>
              <w:widowControl w:val="0"/>
              <w:numPr>
                <w:ilvl w:val="0"/>
                <w:numId w:val="30"/>
              </w:numPr>
              <w:spacing w:line="312" w:lineRule="auto"/>
              <w:ind w:left="113" w:hanging="113"/>
              <w:rPr>
                <w:rFonts w:ascii="Arial Narrow" w:hAnsi="Arial Narrow" w:cs="Tahoma"/>
                <w:sz w:val="20"/>
                <w:lang w:eastAsia="en-US"/>
              </w:rPr>
            </w:pPr>
            <w:r w:rsidRPr="00466733">
              <w:rPr>
                <w:rFonts w:ascii="Arial Narrow" w:hAnsi="Arial Narrow" w:cs="Tahoma"/>
                <w:sz w:val="20"/>
                <w:lang w:eastAsia="en-US"/>
              </w:rPr>
              <w:t>median 81 yrs,</w:t>
            </w:r>
          </w:p>
          <w:p w14:paraId="07A61BAB" w14:textId="77777777" w:rsidR="00466733" w:rsidRPr="00466733" w:rsidRDefault="00466733" w:rsidP="00193469">
            <w:pPr>
              <w:widowControl w:val="0"/>
              <w:numPr>
                <w:ilvl w:val="0"/>
                <w:numId w:val="30"/>
              </w:numPr>
              <w:spacing w:line="312" w:lineRule="auto"/>
              <w:ind w:left="113" w:hanging="113"/>
              <w:rPr>
                <w:rFonts w:ascii="Arial Narrow" w:hAnsi="Arial Narrow" w:cs="Tahoma"/>
                <w:sz w:val="20"/>
                <w:lang w:eastAsia="en-US"/>
              </w:rPr>
            </w:pPr>
            <w:r w:rsidRPr="00466733">
              <w:rPr>
                <w:rFonts w:ascii="Arial Narrow" w:hAnsi="Arial Narrow" w:cs="Tahoma"/>
                <w:sz w:val="20"/>
                <w:lang w:eastAsia="en-US"/>
              </w:rPr>
              <w:t>STS score^ 4.3% (3.1%–6.6%).</w:t>
            </w:r>
          </w:p>
        </w:tc>
        <w:tc>
          <w:tcPr>
            <w:tcW w:w="1028" w:type="pct"/>
            <w:tcBorders>
              <w:bottom w:val="single" w:sz="4" w:space="0" w:color="auto"/>
            </w:tcBorders>
            <w:shd w:val="clear" w:color="auto" w:fill="auto"/>
          </w:tcPr>
          <w:p w14:paraId="0A801E2E"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Procedural complications, AKI, vascular</w:t>
            </w:r>
          </w:p>
          <w:p w14:paraId="701280E2"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Mortality</w:t>
            </w:r>
          </w:p>
          <w:p w14:paraId="10E74475"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Reduction in stroke</w:t>
            </w:r>
          </w:p>
          <w:p w14:paraId="1339F4C7"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Reduction in TIA</w:t>
            </w:r>
          </w:p>
          <w:p w14:paraId="31703994" w14:textId="77777777" w:rsidR="00466733" w:rsidRPr="00466733" w:rsidRDefault="00466733" w:rsidP="00193469">
            <w:pPr>
              <w:widowControl w:val="0"/>
              <w:rPr>
                <w:rFonts w:ascii="Arial Narrow" w:hAnsi="Arial Narrow" w:cs="Tahoma"/>
                <w:sz w:val="20"/>
                <w:lang w:eastAsia="en-US"/>
              </w:rPr>
            </w:pPr>
          </w:p>
        </w:tc>
        <w:tc>
          <w:tcPr>
            <w:tcW w:w="595" w:type="pct"/>
            <w:tcBorders>
              <w:bottom w:val="single" w:sz="4" w:space="0" w:color="auto"/>
            </w:tcBorders>
            <w:shd w:val="clear" w:color="auto" w:fill="auto"/>
          </w:tcPr>
          <w:p w14:paraId="395DC0F4"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Yes - in meta-analysis</w:t>
            </w:r>
          </w:p>
          <w:p w14:paraId="5CC0107A"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i/>
                <w:snapToGrid w:val="0"/>
                <w:sz w:val="20"/>
                <w:lang w:eastAsia="en-US"/>
              </w:rPr>
              <w:t>(see bottom row in Table</w:t>
            </w:r>
            <w:r w:rsidRPr="00466733">
              <w:rPr>
                <w:rFonts w:ascii="Arial Narrow" w:hAnsi="Arial Narrow" w:cs="Tahoma"/>
                <w:snapToGrid w:val="0"/>
                <w:sz w:val="20"/>
                <w:lang w:eastAsia="en-US"/>
              </w:rPr>
              <w:t>)</w:t>
            </w:r>
          </w:p>
        </w:tc>
      </w:tr>
      <w:tr w:rsidR="00466733" w:rsidRPr="00466733" w14:paraId="0A94C7F0" w14:textId="77777777" w:rsidTr="00005471">
        <w:trPr>
          <w:cantSplit/>
        </w:trPr>
        <w:tc>
          <w:tcPr>
            <w:tcW w:w="1419" w:type="pct"/>
            <w:gridSpan w:val="2"/>
            <w:tcBorders>
              <w:right w:val="nil"/>
            </w:tcBorders>
            <w:shd w:val="clear" w:color="auto" w:fill="auto"/>
          </w:tcPr>
          <w:p w14:paraId="27662E64"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b/>
                <w:bCs/>
                <w:snapToGrid w:val="0"/>
                <w:sz w:val="20"/>
                <w:lang w:eastAsia="en-US"/>
              </w:rPr>
              <w:t>Pooled PSMA</w:t>
            </w:r>
          </w:p>
        </w:tc>
        <w:tc>
          <w:tcPr>
            <w:tcW w:w="542" w:type="pct"/>
            <w:tcBorders>
              <w:left w:val="nil"/>
              <w:right w:val="nil"/>
            </w:tcBorders>
            <w:shd w:val="clear" w:color="auto" w:fill="auto"/>
          </w:tcPr>
          <w:p w14:paraId="160E71A5" w14:textId="77777777" w:rsidR="00466733" w:rsidRPr="00466733" w:rsidRDefault="00466733" w:rsidP="00193469">
            <w:pPr>
              <w:widowControl w:val="0"/>
              <w:rPr>
                <w:rFonts w:ascii="Arial Narrow" w:hAnsi="Arial Narrow" w:cs="Tahoma"/>
                <w:sz w:val="20"/>
                <w:lang w:eastAsia="en-US"/>
              </w:rPr>
            </w:pPr>
          </w:p>
        </w:tc>
        <w:tc>
          <w:tcPr>
            <w:tcW w:w="472" w:type="pct"/>
            <w:tcBorders>
              <w:left w:val="nil"/>
              <w:right w:val="nil"/>
            </w:tcBorders>
            <w:shd w:val="clear" w:color="auto" w:fill="auto"/>
          </w:tcPr>
          <w:p w14:paraId="432A8D13" w14:textId="77777777" w:rsidR="00466733" w:rsidRPr="00466733" w:rsidRDefault="00466733" w:rsidP="00193469">
            <w:pPr>
              <w:widowControl w:val="0"/>
              <w:rPr>
                <w:rFonts w:ascii="Arial Narrow" w:hAnsi="Arial Narrow" w:cs="Tahoma"/>
                <w:snapToGrid w:val="0"/>
                <w:sz w:val="20"/>
                <w:lang w:eastAsia="en-US"/>
              </w:rPr>
            </w:pPr>
          </w:p>
        </w:tc>
        <w:tc>
          <w:tcPr>
            <w:tcW w:w="943" w:type="pct"/>
            <w:tcBorders>
              <w:left w:val="nil"/>
              <w:right w:val="nil"/>
            </w:tcBorders>
            <w:shd w:val="clear" w:color="auto" w:fill="auto"/>
          </w:tcPr>
          <w:p w14:paraId="5272EC57" w14:textId="77777777" w:rsidR="00466733" w:rsidRPr="00466733" w:rsidRDefault="00466733" w:rsidP="00193469">
            <w:pPr>
              <w:widowControl w:val="0"/>
              <w:rPr>
                <w:rFonts w:ascii="Arial Narrow" w:hAnsi="Arial Narrow" w:cs="Tahoma"/>
                <w:sz w:val="20"/>
                <w:lang w:eastAsia="en-US"/>
              </w:rPr>
            </w:pPr>
          </w:p>
        </w:tc>
        <w:tc>
          <w:tcPr>
            <w:tcW w:w="1028" w:type="pct"/>
            <w:tcBorders>
              <w:left w:val="nil"/>
              <w:right w:val="nil"/>
            </w:tcBorders>
            <w:shd w:val="clear" w:color="auto" w:fill="auto"/>
          </w:tcPr>
          <w:p w14:paraId="1DE1A8AA" w14:textId="77777777" w:rsidR="00466733" w:rsidRPr="00466733" w:rsidRDefault="00466733" w:rsidP="00193469">
            <w:pPr>
              <w:widowControl w:val="0"/>
              <w:rPr>
                <w:rFonts w:ascii="Arial Narrow" w:hAnsi="Arial Narrow" w:cs="Tahoma"/>
                <w:sz w:val="20"/>
                <w:lang w:eastAsia="en-US"/>
              </w:rPr>
            </w:pPr>
          </w:p>
        </w:tc>
        <w:tc>
          <w:tcPr>
            <w:tcW w:w="595" w:type="pct"/>
            <w:tcBorders>
              <w:left w:val="nil"/>
            </w:tcBorders>
            <w:shd w:val="clear" w:color="auto" w:fill="auto"/>
          </w:tcPr>
          <w:p w14:paraId="75103A2D" w14:textId="77777777" w:rsidR="00466733" w:rsidRPr="00466733" w:rsidRDefault="00466733" w:rsidP="00193469">
            <w:pPr>
              <w:widowControl w:val="0"/>
              <w:rPr>
                <w:rFonts w:ascii="Arial Narrow" w:hAnsi="Arial Narrow" w:cs="Tahoma"/>
                <w:snapToGrid w:val="0"/>
                <w:sz w:val="20"/>
                <w:lang w:eastAsia="en-US"/>
              </w:rPr>
            </w:pPr>
          </w:p>
        </w:tc>
      </w:tr>
      <w:tr w:rsidR="00466733" w:rsidRPr="00466733" w14:paraId="7D05E74A" w14:textId="77777777" w:rsidTr="00005471">
        <w:trPr>
          <w:cantSplit/>
        </w:trPr>
        <w:tc>
          <w:tcPr>
            <w:tcW w:w="705" w:type="pct"/>
            <w:tcBorders>
              <w:bottom w:val="single" w:sz="4" w:space="0" w:color="auto"/>
            </w:tcBorders>
            <w:shd w:val="clear" w:color="auto" w:fill="auto"/>
          </w:tcPr>
          <w:p w14:paraId="08C6F1C5"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 xml:space="preserve">Seeger 2019 </w:t>
            </w:r>
          </w:p>
        </w:tc>
        <w:tc>
          <w:tcPr>
            <w:tcW w:w="715" w:type="pct"/>
            <w:tcBorders>
              <w:bottom w:val="single" w:sz="4" w:space="0" w:color="auto"/>
            </w:tcBorders>
            <w:shd w:val="clear" w:color="auto" w:fill="auto"/>
          </w:tcPr>
          <w:p w14:paraId="5335D327"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 +CEP= 533</w:t>
            </w:r>
          </w:p>
          <w:p w14:paraId="52F26F09"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 alone= 533</w:t>
            </w:r>
          </w:p>
          <w:p w14:paraId="399A8D61" w14:textId="77777777" w:rsidR="00466733" w:rsidRPr="00466733" w:rsidRDefault="00466733" w:rsidP="00193469">
            <w:pPr>
              <w:widowControl w:val="0"/>
              <w:rPr>
                <w:rFonts w:ascii="Arial Narrow" w:hAnsi="Arial Narrow" w:cs="Tahoma"/>
                <w:sz w:val="20"/>
              </w:rPr>
            </w:pPr>
            <w:r w:rsidRPr="00466733">
              <w:rPr>
                <w:rFonts w:ascii="Arial Narrow" w:hAnsi="Arial Narrow" w:cs="Tahoma"/>
                <w:snapToGrid w:val="0"/>
                <w:sz w:val="20"/>
                <w:lang w:eastAsia="en-US"/>
              </w:rPr>
              <w:t xml:space="preserve">(PSM cohort; </w:t>
            </w:r>
            <w:r w:rsidRPr="00466733">
              <w:rPr>
                <w:rFonts w:ascii="Arial Narrow" w:hAnsi="Arial Narrow" w:cs="Tahoma"/>
                <w:sz w:val="20"/>
              </w:rPr>
              <w:t>was performed to adjust for possible confounders and resulted in 533 matched pairs (N=1066).</w:t>
            </w:r>
          </w:p>
          <w:p w14:paraId="792E854C" w14:textId="77777777" w:rsidR="00466733" w:rsidRPr="00466733" w:rsidRDefault="00466733" w:rsidP="00193469">
            <w:pPr>
              <w:widowControl w:val="0"/>
              <w:rPr>
                <w:rFonts w:ascii="Arial Narrow" w:hAnsi="Arial Narrow" w:cs="Tahoma"/>
                <w:snapToGrid w:val="0"/>
                <w:sz w:val="20"/>
                <w:lang w:eastAsia="en-US"/>
              </w:rPr>
            </w:pPr>
          </w:p>
          <w:p w14:paraId="08BCA442"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TAVI next gen: &gt;50%*</w:t>
            </w:r>
          </w:p>
          <w:p w14:paraId="47F61DF7" w14:textId="77777777" w:rsidR="00466733" w:rsidRPr="00466733" w:rsidRDefault="00466733" w:rsidP="00193469">
            <w:pPr>
              <w:widowControl w:val="0"/>
              <w:rPr>
                <w:rFonts w:ascii="Arial Narrow" w:hAnsi="Arial Narrow" w:cs="Tahoma"/>
                <w:snapToGrid w:val="0"/>
                <w:sz w:val="20"/>
                <w:lang w:eastAsia="en-US"/>
              </w:rPr>
            </w:pPr>
          </w:p>
        </w:tc>
        <w:tc>
          <w:tcPr>
            <w:tcW w:w="542" w:type="pct"/>
            <w:tcBorders>
              <w:bottom w:val="single" w:sz="4" w:space="0" w:color="auto"/>
            </w:tcBorders>
            <w:shd w:val="clear" w:color="auto" w:fill="auto"/>
          </w:tcPr>
          <w:p w14:paraId="47E86A17"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Propensity score analysis (optimal matching)</w:t>
            </w:r>
          </w:p>
        </w:tc>
        <w:tc>
          <w:tcPr>
            <w:tcW w:w="472" w:type="pct"/>
            <w:tcBorders>
              <w:bottom w:val="single" w:sz="4" w:space="0" w:color="auto"/>
            </w:tcBorders>
            <w:shd w:val="clear" w:color="auto" w:fill="auto"/>
          </w:tcPr>
          <w:p w14:paraId="3A3ADAA2"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Low</w:t>
            </w:r>
          </w:p>
        </w:tc>
        <w:tc>
          <w:tcPr>
            <w:tcW w:w="943" w:type="pct"/>
            <w:tcBorders>
              <w:bottom w:val="single" w:sz="4" w:space="0" w:color="auto"/>
            </w:tcBorders>
            <w:shd w:val="clear" w:color="auto" w:fill="auto"/>
          </w:tcPr>
          <w:p w14:paraId="7EE2505D"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Patients from the SENTINEL IDE trial, CLEAN TAVI trial and SENTINEL-Ulm observational study in a patient level pooled PSM analysis (N= 1306). Baseline</w:t>
            </w:r>
            <w:r w:rsidRPr="00466733">
              <w:rPr>
                <w:rFonts w:ascii="Arial Narrow" w:hAnsi="Arial Narrow" w:cs="Tahoma"/>
                <w:sz w:val="20"/>
                <w:vertAlign w:val="superscript"/>
                <w:lang w:eastAsia="en-US"/>
              </w:rPr>
              <w:t>e</w:t>
            </w:r>
            <w:r w:rsidRPr="00466733">
              <w:rPr>
                <w:rFonts w:ascii="Arial Narrow" w:hAnsi="Arial Narrow" w:cs="Tahoma"/>
                <w:sz w:val="20"/>
                <w:lang w:eastAsia="en-US"/>
              </w:rPr>
              <w:t>: 50%</w:t>
            </w:r>
          </w:p>
          <w:p w14:paraId="4B3205FB" w14:textId="77777777" w:rsidR="00466733" w:rsidRPr="00466733" w:rsidRDefault="00466733" w:rsidP="00193469">
            <w:pPr>
              <w:widowControl w:val="0"/>
              <w:numPr>
                <w:ilvl w:val="0"/>
                <w:numId w:val="31"/>
              </w:numPr>
              <w:spacing w:line="312" w:lineRule="auto"/>
              <w:ind w:left="113" w:hanging="113"/>
              <w:rPr>
                <w:rFonts w:ascii="Arial Narrow" w:hAnsi="Arial Narrow" w:cs="Tahoma"/>
                <w:sz w:val="20"/>
                <w:lang w:eastAsia="en-US"/>
              </w:rPr>
            </w:pPr>
            <w:r w:rsidRPr="00466733">
              <w:rPr>
                <w:rFonts w:ascii="Arial Narrow" w:hAnsi="Arial Narrow" w:cs="Tahoma"/>
                <w:sz w:val="20"/>
                <w:lang w:eastAsia="en-US"/>
              </w:rPr>
              <w:t>Men, mean age 81 yrs</w:t>
            </w:r>
          </w:p>
          <w:p w14:paraId="591C544F" w14:textId="77777777" w:rsidR="00466733" w:rsidRPr="00466733" w:rsidRDefault="00466733" w:rsidP="00193469">
            <w:pPr>
              <w:widowControl w:val="0"/>
              <w:numPr>
                <w:ilvl w:val="0"/>
                <w:numId w:val="31"/>
              </w:numPr>
              <w:spacing w:line="312" w:lineRule="auto"/>
              <w:ind w:left="113" w:hanging="113"/>
              <w:rPr>
                <w:rFonts w:ascii="Arial Narrow" w:hAnsi="Arial Narrow" w:cs="Tahoma"/>
                <w:sz w:val="20"/>
                <w:lang w:eastAsia="en-US"/>
              </w:rPr>
            </w:pPr>
            <w:r w:rsidRPr="00466733">
              <w:rPr>
                <w:rFonts w:ascii="Arial Narrow" w:hAnsi="Arial Narrow" w:cs="Tahoma"/>
                <w:sz w:val="20"/>
                <w:lang w:eastAsia="en-US"/>
              </w:rPr>
              <w:t>STS score^ of ~ 6.6%.</w:t>
            </w:r>
          </w:p>
        </w:tc>
        <w:tc>
          <w:tcPr>
            <w:tcW w:w="1028" w:type="pct"/>
            <w:tcBorders>
              <w:bottom w:val="single" w:sz="4" w:space="0" w:color="auto"/>
            </w:tcBorders>
            <w:shd w:val="clear" w:color="auto" w:fill="auto"/>
          </w:tcPr>
          <w:p w14:paraId="2EDB4AA5"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Mortality at 72 hours</w:t>
            </w:r>
          </w:p>
          <w:p w14:paraId="2DCB5DA8"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Reduction in clinical stroke at 72 hours</w:t>
            </w:r>
          </w:p>
          <w:p w14:paraId="6DD4B4F8" w14:textId="77777777" w:rsidR="00466733" w:rsidRPr="00466733" w:rsidRDefault="00466733" w:rsidP="00193469">
            <w:pPr>
              <w:widowControl w:val="0"/>
              <w:rPr>
                <w:rFonts w:ascii="Arial Narrow" w:hAnsi="Arial Narrow" w:cs="Tahoma"/>
                <w:sz w:val="20"/>
                <w:lang w:eastAsia="en-US"/>
              </w:rPr>
            </w:pPr>
          </w:p>
        </w:tc>
        <w:tc>
          <w:tcPr>
            <w:tcW w:w="595" w:type="pct"/>
            <w:tcBorders>
              <w:bottom w:val="single" w:sz="4" w:space="0" w:color="auto"/>
            </w:tcBorders>
            <w:shd w:val="clear" w:color="auto" w:fill="auto"/>
          </w:tcPr>
          <w:p w14:paraId="142F7E1D"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Yes, in sensitivity analysis.</w:t>
            </w:r>
          </w:p>
        </w:tc>
      </w:tr>
      <w:tr w:rsidR="00466733" w:rsidRPr="00466733" w14:paraId="5529CF34" w14:textId="77777777" w:rsidTr="00005471">
        <w:trPr>
          <w:cantSplit/>
        </w:trPr>
        <w:tc>
          <w:tcPr>
            <w:tcW w:w="705" w:type="pct"/>
            <w:tcBorders>
              <w:bottom w:val="single" w:sz="4" w:space="0" w:color="auto"/>
              <w:right w:val="nil"/>
            </w:tcBorders>
            <w:shd w:val="clear" w:color="auto" w:fill="auto"/>
          </w:tcPr>
          <w:p w14:paraId="6686EA08" w14:textId="77777777" w:rsidR="00466733" w:rsidRPr="00466733" w:rsidRDefault="00466733" w:rsidP="00193469">
            <w:pPr>
              <w:widowControl w:val="0"/>
              <w:rPr>
                <w:rFonts w:ascii="Arial Narrow" w:hAnsi="Arial Narrow" w:cs="Tahoma"/>
                <w:b/>
                <w:snapToGrid w:val="0"/>
                <w:sz w:val="20"/>
                <w:lang w:eastAsia="en-US"/>
              </w:rPr>
            </w:pPr>
            <w:r w:rsidRPr="00466733">
              <w:rPr>
                <w:rFonts w:ascii="Arial Narrow" w:hAnsi="Arial Narrow" w:cs="Tahoma"/>
                <w:b/>
                <w:snapToGrid w:val="0"/>
                <w:sz w:val="20"/>
                <w:lang w:eastAsia="en-US"/>
              </w:rPr>
              <w:t>Meta-analysis</w:t>
            </w:r>
          </w:p>
        </w:tc>
        <w:tc>
          <w:tcPr>
            <w:tcW w:w="715" w:type="pct"/>
            <w:tcBorders>
              <w:left w:val="nil"/>
              <w:bottom w:val="single" w:sz="4" w:space="0" w:color="auto"/>
              <w:right w:val="nil"/>
            </w:tcBorders>
            <w:shd w:val="clear" w:color="auto" w:fill="auto"/>
          </w:tcPr>
          <w:p w14:paraId="60CD2153" w14:textId="77777777" w:rsidR="00466733" w:rsidRPr="00466733" w:rsidRDefault="00466733" w:rsidP="00193469">
            <w:pPr>
              <w:widowControl w:val="0"/>
              <w:rPr>
                <w:rFonts w:ascii="Arial Narrow" w:hAnsi="Arial Narrow" w:cs="Tahoma"/>
                <w:b/>
                <w:snapToGrid w:val="0"/>
                <w:sz w:val="20"/>
                <w:lang w:eastAsia="en-US"/>
              </w:rPr>
            </w:pPr>
          </w:p>
        </w:tc>
        <w:tc>
          <w:tcPr>
            <w:tcW w:w="542" w:type="pct"/>
            <w:tcBorders>
              <w:left w:val="nil"/>
              <w:bottom w:val="single" w:sz="4" w:space="0" w:color="auto"/>
              <w:right w:val="nil"/>
            </w:tcBorders>
            <w:shd w:val="clear" w:color="auto" w:fill="auto"/>
          </w:tcPr>
          <w:p w14:paraId="388466FD" w14:textId="77777777" w:rsidR="00466733" w:rsidRPr="00466733" w:rsidRDefault="00466733" w:rsidP="00193469">
            <w:pPr>
              <w:widowControl w:val="0"/>
              <w:rPr>
                <w:rFonts w:ascii="Arial Narrow" w:hAnsi="Arial Narrow" w:cs="Tahoma"/>
                <w:sz w:val="20"/>
                <w:lang w:eastAsia="en-US"/>
              </w:rPr>
            </w:pPr>
          </w:p>
        </w:tc>
        <w:tc>
          <w:tcPr>
            <w:tcW w:w="472" w:type="pct"/>
            <w:tcBorders>
              <w:left w:val="nil"/>
              <w:bottom w:val="single" w:sz="4" w:space="0" w:color="auto"/>
              <w:right w:val="nil"/>
            </w:tcBorders>
            <w:shd w:val="clear" w:color="auto" w:fill="auto"/>
          </w:tcPr>
          <w:p w14:paraId="4A6FB8B9" w14:textId="77777777" w:rsidR="00466733" w:rsidRPr="00466733" w:rsidRDefault="00466733" w:rsidP="00193469">
            <w:pPr>
              <w:widowControl w:val="0"/>
              <w:rPr>
                <w:rFonts w:ascii="Arial Narrow" w:hAnsi="Arial Narrow" w:cs="Tahoma"/>
                <w:snapToGrid w:val="0"/>
                <w:sz w:val="20"/>
                <w:lang w:eastAsia="en-US"/>
              </w:rPr>
            </w:pPr>
          </w:p>
        </w:tc>
        <w:tc>
          <w:tcPr>
            <w:tcW w:w="943" w:type="pct"/>
            <w:tcBorders>
              <w:left w:val="nil"/>
              <w:bottom w:val="single" w:sz="4" w:space="0" w:color="auto"/>
              <w:right w:val="nil"/>
            </w:tcBorders>
            <w:shd w:val="clear" w:color="auto" w:fill="auto"/>
          </w:tcPr>
          <w:p w14:paraId="3B0E6F9E" w14:textId="77777777" w:rsidR="00466733" w:rsidRPr="00466733" w:rsidRDefault="00466733" w:rsidP="00193469">
            <w:pPr>
              <w:widowControl w:val="0"/>
              <w:rPr>
                <w:rFonts w:ascii="Arial Narrow" w:hAnsi="Arial Narrow" w:cs="Tahoma"/>
                <w:sz w:val="20"/>
                <w:lang w:eastAsia="en-US"/>
              </w:rPr>
            </w:pPr>
          </w:p>
        </w:tc>
        <w:tc>
          <w:tcPr>
            <w:tcW w:w="1028" w:type="pct"/>
            <w:tcBorders>
              <w:left w:val="nil"/>
              <w:bottom w:val="single" w:sz="4" w:space="0" w:color="auto"/>
              <w:right w:val="nil"/>
            </w:tcBorders>
            <w:shd w:val="clear" w:color="auto" w:fill="auto"/>
          </w:tcPr>
          <w:p w14:paraId="33DCD525" w14:textId="77777777" w:rsidR="00466733" w:rsidRPr="00466733" w:rsidRDefault="00466733" w:rsidP="00193469">
            <w:pPr>
              <w:widowControl w:val="0"/>
              <w:rPr>
                <w:rFonts w:ascii="Arial Narrow" w:hAnsi="Arial Narrow" w:cs="Tahoma"/>
                <w:sz w:val="20"/>
                <w:lang w:eastAsia="en-US"/>
              </w:rPr>
            </w:pPr>
          </w:p>
        </w:tc>
        <w:tc>
          <w:tcPr>
            <w:tcW w:w="595" w:type="pct"/>
            <w:tcBorders>
              <w:left w:val="nil"/>
              <w:bottom w:val="single" w:sz="4" w:space="0" w:color="auto"/>
            </w:tcBorders>
            <w:shd w:val="clear" w:color="auto" w:fill="auto"/>
          </w:tcPr>
          <w:p w14:paraId="39E9B0A0" w14:textId="77777777" w:rsidR="00466733" w:rsidRPr="00466733" w:rsidRDefault="00466733" w:rsidP="00193469">
            <w:pPr>
              <w:widowControl w:val="0"/>
              <w:rPr>
                <w:rFonts w:ascii="Arial Narrow" w:hAnsi="Arial Narrow" w:cs="Tahoma"/>
                <w:snapToGrid w:val="0"/>
                <w:sz w:val="20"/>
                <w:lang w:eastAsia="en-US"/>
              </w:rPr>
            </w:pPr>
          </w:p>
        </w:tc>
      </w:tr>
      <w:tr w:rsidR="00466733" w:rsidRPr="00466733" w14:paraId="616130B7" w14:textId="77777777" w:rsidTr="00005471">
        <w:trPr>
          <w:cantSplit/>
        </w:trPr>
        <w:tc>
          <w:tcPr>
            <w:tcW w:w="705" w:type="pct"/>
            <w:tcBorders>
              <w:bottom w:val="single" w:sz="4" w:space="0" w:color="auto"/>
            </w:tcBorders>
            <w:shd w:val="clear" w:color="auto" w:fill="auto"/>
          </w:tcPr>
          <w:p w14:paraId="3FFED901"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Meta-analysis</w:t>
            </w:r>
          </w:p>
          <w:p w14:paraId="2ED7D069"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 xml:space="preserve">SENTINEL IDE, CLEAN TAVI, Kroon (2019) and MISTRAL-C </w:t>
            </w:r>
          </w:p>
        </w:tc>
        <w:tc>
          <w:tcPr>
            <w:tcW w:w="715" w:type="pct"/>
            <w:tcBorders>
              <w:bottom w:val="single" w:sz="4" w:space="0" w:color="auto"/>
            </w:tcBorders>
            <w:shd w:val="clear" w:color="auto" w:fill="auto"/>
          </w:tcPr>
          <w:p w14:paraId="286305D7"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As above</w:t>
            </w:r>
          </w:p>
        </w:tc>
        <w:tc>
          <w:tcPr>
            <w:tcW w:w="542" w:type="pct"/>
            <w:tcBorders>
              <w:bottom w:val="single" w:sz="4" w:space="0" w:color="auto"/>
            </w:tcBorders>
            <w:shd w:val="clear" w:color="auto" w:fill="auto"/>
          </w:tcPr>
          <w:p w14:paraId="79E3DDB2"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RCTs + cohort studies</w:t>
            </w:r>
          </w:p>
        </w:tc>
        <w:tc>
          <w:tcPr>
            <w:tcW w:w="472" w:type="pct"/>
            <w:tcBorders>
              <w:bottom w:val="single" w:sz="4" w:space="0" w:color="auto"/>
            </w:tcBorders>
            <w:shd w:val="clear" w:color="auto" w:fill="auto"/>
          </w:tcPr>
          <w:p w14:paraId="35BCF8A4"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As above</w:t>
            </w:r>
          </w:p>
        </w:tc>
        <w:tc>
          <w:tcPr>
            <w:tcW w:w="943" w:type="pct"/>
            <w:tcBorders>
              <w:bottom w:val="single" w:sz="4" w:space="0" w:color="auto"/>
            </w:tcBorders>
            <w:shd w:val="clear" w:color="auto" w:fill="auto"/>
          </w:tcPr>
          <w:p w14:paraId="2D9B7289"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As above</w:t>
            </w:r>
          </w:p>
        </w:tc>
        <w:tc>
          <w:tcPr>
            <w:tcW w:w="1028" w:type="pct"/>
            <w:tcBorders>
              <w:bottom w:val="single" w:sz="4" w:space="0" w:color="auto"/>
            </w:tcBorders>
            <w:shd w:val="clear" w:color="auto" w:fill="auto"/>
          </w:tcPr>
          <w:p w14:paraId="3F85CC22"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30-day outcomes:</w:t>
            </w:r>
          </w:p>
          <w:p w14:paraId="0AF51071"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 xml:space="preserve">Non-disabling stroke, Disabling stroke, </w:t>
            </w:r>
          </w:p>
          <w:p w14:paraId="76847B97" w14:textId="77777777" w:rsidR="00466733" w:rsidRPr="00466733" w:rsidRDefault="00466733" w:rsidP="00193469">
            <w:pPr>
              <w:widowControl w:val="0"/>
              <w:rPr>
                <w:rFonts w:ascii="Arial Narrow" w:hAnsi="Arial Narrow" w:cs="Tahoma"/>
                <w:sz w:val="20"/>
                <w:lang w:eastAsia="en-US"/>
              </w:rPr>
            </w:pPr>
            <w:r w:rsidRPr="00466733">
              <w:rPr>
                <w:rFonts w:ascii="Arial Narrow" w:hAnsi="Arial Narrow" w:cs="Tahoma"/>
                <w:sz w:val="20"/>
                <w:lang w:eastAsia="en-US"/>
              </w:rPr>
              <w:t>Death</w:t>
            </w:r>
          </w:p>
        </w:tc>
        <w:tc>
          <w:tcPr>
            <w:tcW w:w="595" w:type="pct"/>
            <w:tcBorders>
              <w:bottom w:val="single" w:sz="4" w:space="0" w:color="auto"/>
            </w:tcBorders>
            <w:shd w:val="clear" w:color="auto" w:fill="auto"/>
          </w:tcPr>
          <w:p w14:paraId="53864711" w14:textId="77777777" w:rsidR="00466733" w:rsidRPr="00466733" w:rsidRDefault="00466733" w:rsidP="00193469">
            <w:pPr>
              <w:widowControl w:val="0"/>
              <w:rPr>
                <w:rFonts w:ascii="Arial Narrow" w:hAnsi="Arial Narrow" w:cs="Tahoma"/>
                <w:snapToGrid w:val="0"/>
                <w:sz w:val="20"/>
                <w:lang w:eastAsia="en-US"/>
              </w:rPr>
            </w:pPr>
            <w:r w:rsidRPr="00466733">
              <w:rPr>
                <w:rFonts w:ascii="Arial Narrow" w:hAnsi="Arial Narrow" w:cs="Tahoma"/>
                <w:snapToGrid w:val="0"/>
                <w:sz w:val="20"/>
                <w:lang w:eastAsia="en-US"/>
              </w:rPr>
              <w:t>Yes – base case</w:t>
            </w:r>
          </w:p>
        </w:tc>
      </w:tr>
    </w:tbl>
    <w:p w14:paraId="6896B8A4" w14:textId="77777777" w:rsidR="00466733" w:rsidRPr="00466733" w:rsidRDefault="00466733" w:rsidP="00466733">
      <w:pPr>
        <w:widowControl w:val="0"/>
        <w:jc w:val="both"/>
        <w:rPr>
          <w:rFonts w:ascii="Arial Narrow" w:hAnsi="Arial Narrow" w:cs="Arial"/>
          <w:snapToGrid w:val="0"/>
          <w:sz w:val="18"/>
          <w:lang w:eastAsia="en-US"/>
        </w:rPr>
      </w:pPr>
      <w:r w:rsidRPr="00466733">
        <w:rPr>
          <w:rFonts w:ascii="Arial Narrow" w:hAnsi="Arial Narrow" w:cs="Arial"/>
          <w:snapToGrid w:val="0"/>
          <w:sz w:val="18"/>
          <w:lang w:eastAsia="en-US"/>
        </w:rPr>
        <w:t>Source: Table 3, pxii-xiv of the Commentary</w:t>
      </w:r>
    </w:p>
    <w:p w14:paraId="79365573" w14:textId="77777777" w:rsidR="00466733" w:rsidRPr="00466733" w:rsidRDefault="00466733" w:rsidP="00466733">
      <w:pPr>
        <w:keepNext/>
        <w:keepLines/>
        <w:rPr>
          <w:rFonts w:ascii="Arial Narrow" w:hAnsi="Arial Narrow"/>
          <w:color w:val="000000"/>
          <w:sz w:val="18"/>
          <w:szCs w:val="18"/>
        </w:rPr>
      </w:pPr>
      <w:r w:rsidRPr="00466733">
        <w:rPr>
          <w:rFonts w:ascii="Arial Narrow" w:hAnsi="Arial Narrow"/>
          <w:color w:val="000000"/>
          <w:sz w:val="18"/>
          <w:szCs w:val="18"/>
        </w:rPr>
        <w:t>AS = Aortic stenosis; AKI = acute kidney injury; HRQ0L = health –related quality of life; HT = Heart Team; MC = multicentre; MRI = magnetic resonance imaging; PSMA = propensity score matching; SC = single centre; STS= Society of Thoracic Surgeons; TAVI= Transcatheter aortic valve implantation; TIA = transient ischaemic attack; pro = prospective; retro. = retrospective yrs = years</w:t>
      </w:r>
    </w:p>
    <w:p w14:paraId="34790FDE" w14:textId="77777777" w:rsidR="00466733" w:rsidRPr="00466733" w:rsidRDefault="00466733" w:rsidP="00466733">
      <w:pPr>
        <w:keepNext/>
        <w:keepLines/>
        <w:rPr>
          <w:rFonts w:ascii="Arial Narrow" w:hAnsi="Arial Narrow"/>
          <w:i/>
          <w:color w:val="000000"/>
          <w:sz w:val="18"/>
          <w:szCs w:val="18"/>
        </w:rPr>
      </w:pPr>
      <w:r w:rsidRPr="00466733">
        <w:rPr>
          <w:rFonts w:ascii="Arial Narrow" w:hAnsi="Arial Narrow"/>
          <w:i/>
          <w:color w:val="000000"/>
          <w:sz w:val="18"/>
          <w:szCs w:val="18"/>
        </w:rPr>
        <w:t>^ STS scores reflect total (all groups)</w:t>
      </w:r>
    </w:p>
    <w:p w14:paraId="2362917D" w14:textId="77777777" w:rsidR="00466733" w:rsidRPr="00466733" w:rsidRDefault="00466733" w:rsidP="00466733">
      <w:pPr>
        <w:keepNext/>
        <w:keepLines/>
        <w:rPr>
          <w:rFonts w:ascii="Arial Narrow" w:hAnsi="Arial Narrow"/>
          <w:color w:val="000000"/>
          <w:sz w:val="18"/>
          <w:szCs w:val="18"/>
        </w:rPr>
      </w:pPr>
      <w:r w:rsidRPr="00466733">
        <w:rPr>
          <w:rFonts w:ascii="Arial Narrow" w:hAnsi="Arial Narrow"/>
          <w:i/>
          <w:color w:val="000000"/>
          <w:sz w:val="18"/>
          <w:szCs w:val="18"/>
        </w:rPr>
        <w:t xml:space="preserve">* </w:t>
      </w:r>
      <w:r w:rsidRPr="00466733">
        <w:rPr>
          <w:rFonts w:ascii="Arial Narrow" w:hAnsi="Arial Narrow"/>
          <w:color w:val="000000"/>
          <w:sz w:val="18"/>
          <w:szCs w:val="18"/>
        </w:rPr>
        <w:t>The pooled PSMA be Seeger (2019) did not report individual devices used, however reported that 63% were balloon-expandable, 21% were self-expandable and 16% were mechanical-expandable. Given the distribution of TAVI devices in the source studies for this PSMA, it can be expected that the majority of patients received a next generation device.</w:t>
      </w:r>
    </w:p>
    <w:p w14:paraId="17743A16" w14:textId="77777777" w:rsidR="00466733" w:rsidRPr="00466733" w:rsidRDefault="00466733" w:rsidP="00466733">
      <w:pPr>
        <w:keepNext/>
        <w:keepLines/>
        <w:rPr>
          <w:rFonts w:ascii="Arial Narrow" w:hAnsi="Arial Narrow"/>
          <w:i/>
          <w:color w:val="000000"/>
          <w:sz w:val="18"/>
          <w:szCs w:val="18"/>
        </w:rPr>
      </w:pPr>
      <w:r w:rsidRPr="00466733">
        <w:rPr>
          <w:rFonts w:ascii="Arial" w:hAnsi="Arial" w:cs="Arial"/>
          <w:color w:val="000000"/>
          <w:sz w:val="18"/>
          <w:szCs w:val="18"/>
          <w:vertAlign w:val="superscript"/>
        </w:rPr>
        <w:t>ǂ</w:t>
      </w:r>
      <w:r w:rsidRPr="00466733">
        <w:rPr>
          <w:rFonts w:ascii="Arial" w:hAnsi="Arial" w:cs="Arial"/>
          <w:color w:val="000000"/>
          <w:sz w:val="18"/>
          <w:szCs w:val="18"/>
        </w:rPr>
        <w:t xml:space="preserve"> I</w:t>
      </w:r>
      <w:r w:rsidRPr="00466733">
        <w:rPr>
          <w:rFonts w:ascii="Arial Narrow" w:hAnsi="Arial Narrow" w:cs="Calibri"/>
          <w:color w:val="000000"/>
          <w:sz w:val="18"/>
          <w:szCs w:val="18"/>
        </w:rPr>
        <w:t>n terms of clinical outcomes, 100% of patients were included in the assessment</w:t>
      </w:r>
    </w:p>
    <w:p w14:paraId="60E51104" w14:textId="77777777" w:rsidR="00466733" w:rsidRPr="00466733" w:rsidRDefault="00466733" w:rsidP="00466733">
      <w:pPr>
        <w:keepNext/>
        <w:keepLines/>
        <w:rPr>
          <w:rFonts w:ascii="Arial Narrow" w:hAnsi="Arial Narrow"/>
          <w:i/>
          <w:color w:val="000000"/>
          <w:sz w:val="18"/>
          <w:szCs w:val="18"/>
        </w:rPr>
      </w:pPr>
      <w:r w:rsidRPr="00466733">
        <w:rPr>
          <w:rFonts w:ascii="Arial Narrow" w:hAnsi="Arial Narrow"/>
          <w:i/>
          <w:color w:val="000000"/>
          <w:sz w:val="18"/>
          <w:szCs w:val="18"/>
          <w:vertAlign w:val="superscript"/>
        </w:rPr>
        <w:t xml:space="preserve">a </w:t>
      </w:r>
      <w:r w:rsidRPr="00466733">
        <w:rPr>
          <w:rFonts w:ascii="Arial Narrow" w:hAnsi="Arial Narrow"/>
          <w:i/>
          <w:color w:val="000000"/>
          <w:sz w:val="18"/>
          <w:szCs w:val="18"/>
        </w:rPr>
        <w:t>Low risk is not relevant to this current application</w:t>
      </w:r>
    </w:p>
    <w:p w14:paraId="4ECABB0A" w14:textId="77777777" w:rsidR="00466733" w:rsidRPr="00466733" w:rsidRDefault="00466733" w:rsidP="00466733">
      <w:pPr>
        <w:keepNext/>
        <w:keepLines/>
        <w:rPr>
          <w:rFonts w:ascii="Arial Narrow" w:hAnsi="Arial Narrow"/>
          <w:color w:val="000000"/>
          <w:sz w:val="18"/>
          <w:szCs w:val="18"/>
        </w:rPr>
      </w:pPr>
      <w:r w:rsidRPr="00466733">
        <w:rPr>
          <w:rFonts w:ascii="Arial Narrow" w:hAnsi="Arial Narrow"/>
          <w:color w:val="000000"/>
          <w:sz w:val="18"/>
          <w:szCs w:val="18"/>
          <w:vertAlign w:val="superscript"/>
        </w:rPr>
        <w:t xml:space="preserve">b </w:t>
      </w:r>
      <w:r w:rsidRPr="00466733">
        <w:rPr>
          <w:rFonts w:ascii="Arial Narrow" w:hAnsi="Arial Narrow"/>
          <w:color w:val="000000"/>
          <w:sz w:val="18"/>
          <w:szCs w:val="18"/>
        </w:rPr>
        <w:t>Key exclusion criteria were the presence of a permanent pacemaker or automated internal cardiac defibrillator at baseline, a history of prior stroke with sequelae and dementia</w:t>
      </w:r>
    </w:p>
    <w:p w14:paraId="527660BF" w14:textId="77777777" w:rsidR="00466733" w:rsidRPr="00466733" w:rsidRDefault="00466733" w:rsidP="00466733">
      <w:pPr>
        <w:keepNext/>
        <w:keepLines/>
        <w:rPr>
          <w:rFonts w:ascii="Arial Narrow" w:hAnsi="Arial Narrow"/>
          <w:color w:val="000000"/>
          <w:sz w:val="18"/>
          <w:szCs w:val="18"/>
        </w:rPr>
      </w:pPr>
      <w:r w:rsidRPr="00466733">
        <w:rPr>
          <w:rFonts w:ascii="Arial Narrow" w:hAnsi="Arial Narrow"/>
          <w:color w:val="000000"/>
          <w:sz w:val="18"/>
          <w:szCs w:val="18"/>
          <w:vertAlign w:val="superscript"/>
        </w:rPr>
        <w:t xml:space="preserve">c </w:t>
      </w:r>
      <w:r w:rsidRPr="00466733">
        <w:rPr>
          <w:rFonts w:ascii="Arial Narrow" w:hAnsi="Arial Narrow"/>
          <w:color w:val="000000"/>
          <w:sz w:val="18"/>
          <w:szCs w:val="18"/>
        </w:rPr>
        <w:t>Patients with valve-in-valve procedures were excluded</w:t>
      </w:r>
    </w:p>
    <w:p w14:paraId="226A71BB" w14:textId="77777777" w:rsidR="00466733" w:rsidRPr="00466733" w:rsidRDefault="00466733" w:rsidP="00466733">
      <w:pPr>
        <w:keepNext/>
        <w:keepLines/>
        <w:rPr>
          <w:rFonts w:ascii="Arial Narrow" w:hAnsi="Arial Narrow"/>
          <w:color w:val="000000"/>
          <w:sz w:val="18"/>
          <w:szCs w:val="18"/>
        </w:rPr>
      </w:pPr>
      <w:r w:rsidRPr="00466733">
        <w:rPr>
          <w:rFonts w:ascii="Arial Narrow" w:hAnsi="Arial Narrow"/>
          <w:color w:val="000000"/>
          <w:sz w:val="18"/>
          <w:szCs w:val="18"/>
          <w:vertAlign w:val="superscript"/>
        </w:rPr>
        <w:t xml:space="preserve">d </w:t>
      </w:r>
      <w:r w:rsidRPr="00466733">
        <w:rPr>
          <w:rFonts w:ascii="Arial Narrow" w:hAnsi="Arial Narrow"/>
          <w:color w:val="000000"/>
          <w:sz w:val="18"/>
          <w:szCs w:val="18"/>
        </w:rPr>
        <w:t>(n=168 excluded as treated before 2011 when CEP was not introduced in the practice, yet, n=1 excluded because of missing baseline data)</w:t>
      </w:r>
    </w:p>
    <w:p w14:paraId="6899CD73" w14:textId="77777777" w:rsidR="00466733" w:rsidRPr="00466733" w:rsidRDefault="00466733" w:rsidP="00466733">
      <w:pPr>
        <w:keepNext/>
        <w:keepLines/>
        <w:rPr>
          <w:rFonts w:ascii="Arial Narrow" w:hAnsi="Arial Narrow"/>
          <w:color w:val="000000"/>
          <w:sz w:val="18"/>
          <w:szCs w:val="18"/>
        </w:rPr>
      </w:pPr>
      <w:r w:rsidRPr="00466733">
        <w:rPr>
          <w:rFonts w:ascii="Arial Narrow" w:hAnsi="Arial Narrow"/>
          <w:color w:val="000000"/>
          <w:sz w:val="18"/>
          <w:szCs w:val="18"/>
          <w:vertAlign w:val="superscript"/>
        </w:rPr>
        <w:t xml:space="preserve">e </w:t>
      </w:r>
      <w:r w:rsidRPr="00466733">
        <w:rPr>
          <w:rFonts w:ascii="Arial Narrow" w:hAnsi="Arial Narrow"/>
          <w:color w:val="000000"/>
          <w:sz w:val="18"/>
          <w:szCs w:val="18"/>
        </w:rPr>
        <w:t>In total, 717 patients underwent TAVI+CEP and 589 patients were treated with TAVI alone</w:t>
      </w:r>
    </w:p>
    <w:p w14:paraId="3B8E2352" w14:textId="68C56140" w:rsidR="00193469" w:rsidRPr="00193469" w:rsidRDefault="00466733" w:rsidP="00193469">
      <w:pPr>
        <w:widowControl w:val="0"/>
        <w:spacing w:after="240"/>
        <w:contextualSpacing/>
        <w:rPr>
          <w:rFonts w:ascii="Arial Narrow" w:hAnsi="Arial Narrow" w:cs="Arial"/>
          <w:snapToGrid w:val="0"/>
          <w:color w:val="000000"/>
          <w:sz w:val="18"/>
          <w:szCs w:val="18"/>
          <w:lang w:eastAsia="en-US"/>
        </w:rPr>
      </w:pPr>
      <w:r w:rsidRPr="00466733">
        <w:rPr>
          <w:rFonts w:ascii="Calibri" w:hAnsi="Calibri" w:cs="Calibri"/>
          <w:snapToGrid w:val="0"/>
          <w:sz w:val="18"/>
          <w:vertAlign w:val="superscript"/>
          <w:lang w:eastAsia="en-US"/>
        </w:rPr>
        <w:t>ǂ</w:t>
      </w:r>
      <w:r w:rsidRPr="00466733">
        <w:rPr>
          <w:rFonts w:ascii="Arial Narrow" w:hAnsi="Arial Narrow" w:cs="Arial"/>
          <w:snapToGrid w:val="0"/>
          <w:sz w:val="18"/>
          <w:vertAlign w:val="superscript"/>
          <w:lang w:eastAsia="en-US"/>
        </w:rPr>
        <w:t xml:space="preserve"> </w:t>
      </w:r>
      <w:r w:rsidRPr="00466733">
        <w:rPr>
          <w:rFonts w:ascii="Arial Narrow" w:hAnsi="Arial Narrow" w:cs="Arial"/>
          <w:snapToGrid w:val="0"/>
          <w:sz w:val="18"/>
          <w:lang w:eastAsia="en-US"/>
        </w:rPr>
        <w:t>given missing data</w:t>
      </w:r>
      <w:r w:rsidR="00193469">
        <w:rPr>
          <w:iCs/>
          <w:color w:val="000000"/>
          <w:shd w:val="clear" w:color="auto" w:fill="FFFFFF"/>
        </w:rPr>
        <w:br w:type="page"/>
      </w:r>
    </w:p>
    <w:p w14:paraId="113EBC0A" w14:textId="0C5F3558" w:rsidR="00466733" w:rsidRPr="00466733" w:rsidRDefault="00466733" w:rsidP="00466733">
      <w:pPr>
        <w:rPr>
          <w:iCs/>
          <w:color w:val="000000"/>
          <w:shd w:val="clear" w:color="auto" w:fill="FFFFFF"/>
        </w:rPr>
      </w:pPr>
      <w:r w:rsidRPr="00466733">
        <w:rPr>
          <w:iCs/>
          <w:color w:val="000000"/>
          <w:shd w:val="clear" w:color="auto" w:fill="FFFFFF"/>
        </w:rPr>
        <w:t>The SENTINEL IDE RCT did not report any statistically significant differences in the primary safety outcome, the incidence of major adverse cardiac and cerebrovascular events (MACCE) during the peri-procedural period or at 30-days. The SENTINEL-Ulm cohort study, and the meta-analysis of peri-procedural MACCE reported a significant reduction in peri-procedural MACCE.</w:t>
      </w:r>
    </w:p>
    <w:p w14:paraId="2D657DFA" w14:textId="412880C8" w:rsidR="00466733" w:rsidRPr="00466733" w:rsidRDefault="00466733" w:rsidP="00324DD5">
      <w:pPr>
        <w:spacing w:before="240"/>
        <w:rPr>
          <w:iCs/>
          <w:color w:val="000000"/>
          <w:shd w:val="clear" w:color="auto" w:fill="FFFFFF"/>
        </w:rPr>
      </w:pPr>
      <w:r w:rsidRPr="00466733">
        <w:rPr>
          <w:iCs/>
          <w:color w:val="000000"/>
          <w:shd w:val="clear" w:color="auto" w:fill="FFFFFF"/>
        </w:rPr>
        <w:t>There was no statistically significant difference in major vascular complications (excluding MACCE) at the peri-procedural or 30</w:t>
      </w:r>
      <w:r w:rsidR="00A5442C">
        <w:rPr>
          <w:iCs/>
          <w:color w:val="000000"/>
          <w:shd w:val="clear" w:color="auto" w:fill="FFFFFF"/>
        </w:rPr>
        <w:t>-</w:t>
      </w:r>
      <w:r w:rsidRPr="00466733">
        <w:rPr>
          <w:iCs/>
          <w:color w:val="000000"/>
          <w:shd w:val="clear" w:color="auto" w:fill="FFFFFF"/>
        </w:rPr>
        <w:t xml:space="preserve">day stage. The ADAR presented a second meta-analysis excluding the results of the MISTRAL-C trial as its results were contrary to the other trials. The commentary considered this analysis was most robust as it reduced the statistical heterogeneity of the meta-analysis. SENTINEL IDE reported that none of the vascular complications in the TAVI+CEP treatment arm </w:t>
      </w:r>
      <w:r w:rsidR="00A5442C" w:rsidRPr="00466733">
        <w:rPr>
          <w:iCs/>
          <w:color w:val="000000"/>
          <w:shd w:val="clear" w:color="auto" w:fill="FFFFFF"/>
        </w:rPr>
        <w:t>was</w:t>
      </w:r>
      <w:r w:rsidRPr="00466733">
        <w:rPr>
          <w:iCs/>
          <w:color w:val="000000"/>
          <w:shd w:val="clear" w:color="auto" w:fill="FFFFFF"/>
        </w:rPr>
        <w:t xml:space="preserve"> in the radial artery and only one brachial event was reported within </w:t>
      </w:r>
      <w:r w:rsidR="00F87E08">
        <w:rPr>
          <w:iCs/>
          <w:color w:val="000000"/>
          <w:shd w:val="clear" w:color="auto" w:fill="FFFFFF"/>
        </w:rPr>
        <w:t>30 days of the index procedure.</w:t>
      </w:r>
    </w:p>
    <w:p w14:paraId="49849739" w14:textId="3D8EEBD1" w:rsidR="00466733" w:rsidRPr="00466733" w:rsidRDefault="00466733" w:rsidP="00324DD5">
      <w:pPr>
        <w:spacing w:before="240"/>
      </w:pPr>
      <w:r w:rsidRPr="00466733">
        <w:t>The studies presented in the ADAR did not find statistically significant differences in acute kidney injury at 30-days (</w:t>
      </w:r>
      <w:r w:rsidR="007637F7">
        <w:fldChar w:fldCharType="begin"/>
      </w:r>
      <w:r w:rsidR="007637F7">
        <w:instrText xml:space="preserve"> REF _Ref58332281 \h </w:instrText>
      </w:r>
      <w:r w:rsidR="007637F7">
        <w:fldChar w:fldCharType="separate"/>
      </w:r>
      <w:r w:rsidR="003E3A7D">
        <w:t xml:space="preserve">Table </w:t>
      </w:r>
      <w:r w:rsidR="003E3A7D">
        <w:rPr>
          <w:noProof/>
        </w:rPr>
        <w:t>4</w:t>
      </w:r>
      <w:r w:rsidR="007637F7">
        <w:fldChar w:fldCharType="end"/>
      </w:r>
      <w:r w:rsidR="00F87E08">
        <w:t>) or peri-procedurally.</w:t>
      </w:r>
    </w:p>
    <w:p w14:paraId="7C8EB9E2" w14:textId="64BDE3B9" w:rsidR="007637F7" w:rsidRPr="00324DD5" w:rsidRDefault="007637F7" w:rsidP="00324DD5">
      <w:pPr>
        <w:spacing w:before="240"/>
        <w:rPr>
          <w:rFonts w:ascii="Arial Narrow" w:hAnsi="Arial Narrow"/>
          <w:b/>
          <w:sz w:val="20"/>
          <w:lang w:eastAsia="en-US"/>
        </w:rPr>
      </w:pPr>
      <w:bookmarkStart w:id="6" w:name="_Ref58332281"/>
      <w:r w:rsidRPr="00324DD5">
        <w:rPr>
          <w:rFonts w:ascii="Arial Narrow" w:hAnsi="Arial Narrow"/>
          <w:b/>
          <w:sz w:val="20"/>
        </w:rPr>
        <w:t xml:space="preserve">Table </w:t>
      </w:r>
      <w:r w:rsidR="00476AB2" w:rsidRPr="00324DD5">
        <w:rPr>
          <w:rFonts w:ascii="Arial Narrow" w:hAnsi="Arial Narrow"/>
          <w:b/>
          <w:sz w:val="20"/>
        </w:rPr>
        <w:fldChar w:fldCharType="begin"/>
      </w:r>
      <w:r w:rsidR="00476AB2" w:rsidRPr="00324DD5">
        <w:rPr>
          <w:rFonts w:ascii="Arial Narrow" w:hAnsi="Arial Narrow"/>
          <w:b/>
          <w:sz w:val="20"/>
        </w:rPr>
        <w:instrText xml:space="preserve"> SEQ Table \* ARABIC </w:instrText>
      </w:r>
      <w:r w:rsidR="00476AB2" w:rsidRPr="00324DD5">
        <w:rPr>
          <w:rFonts w:ascii="Arial Narrow" w:hAnsi="Arial Narrow"/>
          <w:b/>
          <w:sz w:val="20"/>
        </w:rPr>
        <w:fldChar w:fldCharType="separate"/>
      </w:r>
      <w:r w:rsidR="003E3A7D" w:rsidRPr="00324DD5">
        <w:rPr>
          <w:rFonts w:ascii="Arial Narrow" w:hAnsi="Arial Narrow"/>
          <w:b/>
          <w:noProof/>
          <w:sz w:val="20"/>
        </w:rPr>
        <w:t>4</w:t>
      </w:r>
      <w:r w:rsidR="00476AB2" w:rsidRPr="00324DD5">
        <w:rPr>
          <w:rFonts w:ascii="Arial Narrow" w:hAnsi="Arial Narrow"/>
          <w:b/>
          <w:noProof/>
          <w:sz w:val="20"/>
        </w:rPr>
        <w:fldChar w:fldCharType="end"/>
      </w:r>
      <w:bookmarkEnd w:id="6"/>
      <w:r w:rsidRPr="00324DD5">
        <w:rPr>
          <w:rFonts w:ascii="Arial Narrow" w:hAnsi="Arial Narrow"/>
          <w:b/>
          <w:sz w:val="20"/>
        </w:rPr>
        <w:t xml:space="preserve"> </w:t>
      </w:r>
      <w:r w:rsidRPr="00324DD5">
        <w:rPr>
          <w:rFonts w:ascii="Arial Narrow" w:hAnsi="Arial Narrow"/>
          <w:b/>
          <w:sz w:val="20"/>
        </w:rPr>
        <w:tab/>
        <w:t>Key safety outcomes</w:t>
      </w:r>
    </w:p>
    <w:tbl>
      <w:tblPr>
        <w:tblW w:w="49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6 Results of the key patient-relevant outcome across the studies"/>
        <w:tblDescription w:val="This table provides a summary of the findings in each study for the key patient-relevant outcome. Results for the intervention and comparator arms of each study are provided, along with an indication of the absolute difference and relative difference in results between the study arms. If the results across studies are meta-analysed, the results are also given."/>
      </w:tblPr>
      <w:tblGrid>
        <w:gridCol w:w="2093"/>
        <w:gridCol w:w="709"/>
        <w:gridCol w:w="707"/>
        <w:gridCol w:w="1135"/>
        <w:gridCol w:w="1133"/>
        <w:gridCol w:w="1560"/>
        <w:gridCol w:w="1499"/>
      </w:tblGrid>
      <w:tr w:rsidR="00466733" w:rsidRPr="00466733" w14:paraId="04A8C015" w14:textId="77777777" w:rsidTr="007637F7">
        <w:trPr>
          <w:tblHeader/>
        </w:trPr>
        <w:tc>
          <w:tcPr>
            <w:tcW w:w="1184" w:type="pct"/>
            <w:tcBorders>
              <w:top w:val="single" w:sz="4" w:space="0" w:color="auto"/>
              <w:left w:val="single" w:sz="4" w:space="0" w:color="auto"/>
              <w:bottom w:val="single" w:sz="4" w:space="0" w:color="auto"/>
              <w:right w:val="single" w:sz="4" w:space="0" w:color="auto"/>
            </w:tcBorders>
            <w:hideMark/>
          </w:tcPr>
          <w:p w14:paraId="6B0F62F0" w14:textId="77777777" w:rsidR="00466733" w:rsidRPr="00466733" w:rsidRDefault="00466733" w:rsidP="00466733">
            <w:pPr>
              <w:keepNext/>
              <w:spacing w:before="40" w:after="40"/>
              <w:rPr>
                <w:rFonts w:ascii="Arial Narrow" w:hAnsi="Arial Narrow" w:cs="Tahoma"/>
                <w:b/>
                <w:snapToGrid w:val="0"/>
                <w:sz w:val="20"/>
              </w:rPr>
            </w:pPr>
            <w:r w:rsidRPr="00466733">
              <w:rPr>
                <w:rFonts w:ascii="Arial Narrow" w:hAnsi="Arial Narrow" w:cs="Tahoma"/>
                <w:b/>
                <w:snapToGrid w:val="0"/>
                <w:sz w:val="20"/>
              </w:rPr>
              <w:t>Study ID (type)</w:t>
            </w:r>
          </w:p>
        </w:tc>
        <w:tc>
          <w:tcPr>
            <w:tcW w:w="401" w:type="pct"/>
            <w:tcBorders>
              <w:top w:val="single" w:sz="4" w:space="0" w:color="auto"/>
              <w:left w:val="single" w:sz="4" w:space="0" w:color="auto"/>
              <w:bottom w:val="single" w:sz="4" w:space="0" w:color="auto"/>
              <w:right w:val="single" w:sz="4" w:space="0" w:color="auto"/>
            </w:tcBorders>
            <w:hideMark/>
          </w:tcPr>
          <w:p w14:paraId="48537225" w14:textId="77777777" w:rsidR="00466733" w:rsidRPr="00466733" w:rsidRDefault="00466733" w:rsidP="00466733">
            <w:pPr>
              <w:keepNext/>
              <w:spacing w:before="40" w:after="40"/>
              <w:rPr>
                <w:rFonts w:ascii="Arial Narrow" w:hAnsi="Arial Narrow" w:cs="Tahoma"/>
                <w:b/>
                <w:snapToGrid w:val="0"/>
                <w:sz w:val="20"/>
              </w:rPr>
            </w:pPr>
            <w:r w:rsidRPr="00466733">
              <w:rPr>
                <w:rFonts w:ascii="Arial Narrow" w:hAnsi="Arial Narrow" w:cs="Tahoma"/>
                <w:b/>
                <w:snapToGrid w:val="0"/>
                <w:sz w:val="20"/>
              </w:rPr>
              <w:t>Risk of bias</w:t>
            </w:r>
          </w:p>
        </w:tc>
        <w:tc>
          <w:tcPr>
            <w:tcW w:w="400" w:type="pct"/>
            <w:tcBorders>
              <w:top w:val="single" w:sz="4" w:space="0" w:color="auto"/>
              <w:left w:val="single" w:sz="4" w:space="0" w:color="auto"/>
              <w:bottom w:val="single" w:sz="4" w:space="0" w:color="auto"/>
              <w:right w:val="single" w:sz="4" w:space="0" w:color="auto"/>
            </w:tcBorders>
            <w:hideMark/>
          </w:tcPr>
          <w:p w14:paraId="444ED114" w14:textId="77777777" w:rsidR="00466733" w:rsidRPr="00466733" w:rsidRDefault="00466733" w:rsidP="00466733">
            <w:pPr>
              <w:keepNext/>
              <w:spacing w:before="40" w:after="40"/>
              <w:rPr>
                <w:rFonts w:ascii="Arial Narrow" w:hAnsi="Arial Narrow" w:cs="Tahoma"/>
                <w:b/>
                <w:snapToGrid w:val="0"/>
                <w:sz w:val="20"/>
              </w:rPr>
            </w:pPr>
            <w:r w:rsidRPr="00466733">
              <w:rPr>
                <w:rFonts w:ascii="Arial Narrow" w:hAnsi="Arial Narrow" w:cs="Tahoma"/>
                <w:b/>
                <w:snapToGrid w:val="0"/>
                <w:sz w:val="20"/>
              </w:rPr>
              <w:t>Timing</w:t>
            </w:r>
          </w:p>
        </w:tc>
        <w:tc>
          <w:tcPr>
            <w:tcW w:w="642" w:type="pct"/>
            <w:tcBorders>
              <w:top w:val="single" w:sz="4" w:space="0" w:color="auto"/>
              <w:left w:val="single" w:sz="4" w:space="0" w:color="auto"/>
              <w:bottom w:val="single" w:sz="4" w:space="0" w:color="auto"/>
              <w:right w:val="single" w:sz="4" w:space="0" w:color="auto"/>
            </w:tcBorders>
            <w:vAlign w:val="center"/>
            <w:hideMark/>
          </w:tcPr>
          <w:p w14:paraId="1EB7CBBA" w14:textId="77777777" w:rsidR="00466733" w:rsidRPr="00466733" w:rsidRDefault="00466733" w:rsidP="00C65234">
            <w:pPr>
              <w:keepNext/>
              <w:spacing w:before="40" w:after="40"/>
              <w:jc w:val="center"/>
              <w:rPr>
                <w:rFonts w:ascii="Arial Narrow" w:hAnsi="Arial Narrow" w:cs="Tahoma"/>
                <w:b/>
                <w:snapToGrid w:val="0"/>
                <w:sz w:val="20"/>
              </w:rPr>
            </w:pPr>
            <w:r w:rsidRPr="00466733">
              <w:rPr>
                <w:rFonts w:ascii="Arial Narrow" w:hAnsi="Arial Narrow" w:cs="Tahoma"/>
                <w:b/>
                <w:snapToGrid w:val="0"/>
                <w:sz w:val="20"/>
              </w:rPr>
              <w:t>TAVI+CEP</w:t>
            </w:r>
          </w:p>
          <w:p w14:paraId="0C0F61C9" w14:textId="77777777" w:rsidR="00466733" w:rsidRPr="00466733" w:rsidRDefault="00466733" w:rsidP="00C65234">
            <w:pPr>
              <w:keepNext/>
              <w:spacing w:before="40" w:after="40"/>
              <w:jc w:val="center"/>
              <w:rPr>
                <w:rFonts w:ascii="Arial Narrow" w:hAnsi="Arial Narrow" w:cs="Tahoma"/>
                <w:b/>
                <w:snapToGrid w:val="0"/>
                <w:sz w:val="20"/>
              </w:rPr>
            </w:pPr>
            <w:r w:rsidRPr="00466733">
              <w:rPr>
                <w:rFonts w:ascii="Arial Narrow" w:hAnsi="Arial Narrow" w:cs="Tahoma"/>
                <w:b/>
                <w:snapToGrid w:val="0"/>
                <w:sz w:val="20"/>
              </w:rPr>
              <w:t>n/N (%)</w:t>
            </w:r>
          </w:p>
        </w:tc>
        <w:tc>
          <w:tcPr>
            <w:tcW w:w="641" w:type="pct"/>
            <w:tcBorders>
              <w:top w:val="single" w:sz="4" w:space="0" w:color="auto"/>
              <w:left w:val="single" w:sz="4" w:space="0" w:color="auto"/>
              <w:bottom w:val="single" w:sz="4" w:space="0" w:color="auto"/>
              <w:right w:val="single" w:sz="4" w:space="0" w:color="auto"/>
            </w:tcBorders>
            <w:vAlign w:val="center"/>
            <w:hideMark/>
          </w:tcPr>
          <w:p w14:paraId="45270CDF" w14:textId="77777777" w:rsidR="00466733" w:rsidRPr="00466733" w:rsidRDefault="00466733" w:rsidP="00C65234">
            <w:pPr>
              <w:keepNext/>
              <w:spacing w:before="40" w:after="40"/>
              <w:jc w:val="center"/>
              <w:rPr>
                <w:rFonts w:ascii="Arial Narrow" w:hAnsi="Arial Narrow" w:cs="Tahoma"/>
                <w:b/>
                <w:snapToGrid w:val="0"/>
                <w:sz w:val="20"/>
              </w:rPr>
            </w:pPr>
            <w:r w:rsidRPr="00466733">
              <w:rPr>
                <w:rFonts w:ascii="Arial Narrow" w:hAnsi="Arial Narrow" w:cs="Tahoma"/>
                <w:b/>
                <w:snapToGrid w:val="0"/>
                <w:sz w:val="20"/>
              </w:rPr>
              <w:t>TAVI alone</w:t>
            </w:r>
          </w:p>
          <w:p w14:paraId="0625B157" w14:textId="77777777" w:rsidR="00466733" w:rsidRPr="00466733" w:rsidRDefault="00466733" w:rsidP="00C65234">
            <w:pPr>
              <w:keepNext/>
              <w:spacing w:before="40" w:after="40"/>
              <w:jc w:val="center"/>
              <w:rPr>
                <w:rFonts w:ascii="Arial Narrow" w:hAnsi="Arial Narrow" w:cs="Tahoma"/>
                <w:b/>
                <w:snapToGrid w:val="0"/>
                <w:sz w:val="20"/>
              </w:rPr>
            </w:pPr>
            <w:r w:rsidRPr="00466733">
              <w:rPr>
                <w:rFonts w:ascii="Arial Narrow" w:hAnsi="Arial Narrow" w:cs="Tahoma"/>
                <w:b/>
                <w:snapToGrid w:val="0"/>
                <w:sz w:val="20"/>
              </w:rPr>
              <w:t>n/N (%)</w:t>
            </w:r>
          </w:p>
        </w:tc>
        <w:tc>
          <w:tcPr>
            <w:tcW w:w="883" w:type="pct"/>
            <w:tcBorders>
              <w:top w:val="single" w:sz="4" w:space="0" w:color="auto"/>
              <w:left w:val="single" w:sz="4" w:space="0" w:color="auto"/>
              <w:bottom w:val="single" w:sz="4" w:space="0" w:color="auto"/>
              <w:right w:val="single" w:sz="4" w:space="0" w:color="auto"/>
            </w:tcBorders>
            <w:vAlign w:val="center"/>
            <w:hideMark/>
          </w:tcPr>
          <w:p w14:paraId="7A49C9FB" w14:textId="3AD218D2" w:rsidR="00466733" w:rsidRPr="00466733" w:rsidRDefault="00466733" w:rsidP="007637F7">
            <w:pPr>
              <w:keepNext/>
              <w:spacing w:before="40" w:after="40"/>
              <w:jc w:val="center"/>
              <w:rPr>
                <w:rFonts w:ascii="Arial Narrow" w:hAnsi="Arial Narrow" w:cs="Tahoma"/>
                <w:b/>
                <w:snapToGrid w:val="0"/>
                <w:sz w:val="20"/>
                <w:vertAlign w:val="superscript"/>
              </w:rPr>
            </w:pPr>
            <w:r w:rsidRPr="00466733">
              <w:rPr>
                <w:rFonts w:ascii="Arial Narrow" w:hAnsi="Arial Narrow" w:cs="Tahoma"/>
                <w:b/>
                <w:snapToGrid w:val="0"/>
                <w:sz w:val="20"/>
              </w:rPr>
              <w:t>RD (95% CI)</w:t>
            </w:r>
          </w:p>
        </w:tc>
        <w:tc>
          <w:tcPr>
            <w:tcW w:w="848" w:type="pct"/>
            <w:tcBorders>
              <w:top w:val="single" w:sz="4" w:space="0" w:color="auto"/>
              <w:left w:val="single" w:sz="4" w:space="0" w:color="auto"/>
              <w:bottom w:val="single" w:sz="4" w:space="0" w:color="auto"/>
              <w:right w:val="single" w:sz="4" w:space="0" w:color="auto"/>
            </w:tcBorders>
            <w:vAlign w:val="center"/>
            <w:hideMark/>
          </w:tcPr>
          <w:p w14:paraId="73404BCC" w14:textId="0A5886E0" w:rsidR="00466733" w:rsidRPr="00466733" w:rsidRDefault="00466733" w:rsidP="007637F7">
            <w:pPr>
              <w:keepNext/>
              <w:spacing w:before="40" w:after="40"/>
              <w:jc w:val="center"/>
              <w:rPr>
                <w:rFonts w:ascii="Arial Narrow" w:hAnsi="Arial Narrow" w:cs="Tahoma"/>
                <w:b/>
                <w:snapToGrid w:val="0"/>
                <w:sz w:val="20"/>
                <w:vertAlign w:val="superscript"/>
              </w:rPr>
            </w:pPr>
            <w:r w:rsidRPr="00466733">
              <w:rPr>
                <w:rFonts w:ascii="Arial Narrow" w:hAnsi="Arial Narrow" w:cs="Tahoma"/>
                <w:b/>
                <w:snapToGrid w:val="0"/>
                <w:sz w:val="20"/>
              </w:rPr>
              <w:t>OR (95% CI)</w:t>
            </w:r>
          </w:p>
        </w:tc>
      </w:tr>
      <w:tr w:rsidR="00466733" w:rsidRPr="00466733" w14:paraId="293B1F3C" w14:textId="77777777" w:rsidTr="007637F7">
        <w:tc>
          <w:tcPr>
            <w:tcW w:w="1184" w:type="pct"/>
            <w:tcBorders>
              <w:top w:val="single" w:sz="4" w:space="0" w:color="auto"/>
              <w:left w:val="single" w:sz="4" w:space="0" w:color="auto"/>
              <w:bottom w:val="single" w:sz="4" w:space="0" w:color="auto"/>
              <w:right w:val="nil"/>
            </w:tcBorders>
          </w:tcPr>
          <w:p w14:paraId="58DD998E" w14:textId="77777777" w:rsidR="00466733" w:rsidRPr="00466733" w:rsidRDefault="00466733" w:rsidP="00466733">
            <w:pPr>
              <w:keepNext/>
              <w:spacing w:before="40" w:after="40"/>
              <w:rPr>
                <w:rFonts w:ascii="Arial Narrow" w:hAnsi="Arial Narrow" w:cs="Tahoma"/>
                <w:b/>
                <w:sz w:val="20"/>
                <w:szCs w:val="22"/>
                <w:lang w:eastAsia="en-US"/>
              </w:rPr>
            </w:pPr>
            <w:r w:rsidRPr="00466733">
              <w:rPr>
                <w:rFonts w:ascii="Arial Narrow" w:hAnsi="Arial Narrow" w:cs="Tahoma"/>
                <w:b/>
                <w:sz w:val="20"/>
                <w:szCs w:val="22"/>
                <w:lang w:eastAsia="en-US"/>
              </w:rPr>
              <w:t>MACCE (peri-procedural)</w:t>
            </w:r>
          </w:p>
        </w:tc>
        <w:tc>
          <w:tcPr>
            <w:tcW w:w="401" w:type="pct"/>
            <w:tcBorders>
              <w:top w:val="single" w:sz="4" w:space="0" w:color="auto"/>
              <w:left w:val="nil"/>
              <w:bottom w:val="single" w:sz="4" w:space="0" w:color="auto"/>
              <w:right w:val="nil"/>
            </w:tcBorders>
          </w:tcPr>
          <w:p w14:paraId="4858B1B4" w14:textId="77777777" w:rsidR="00466733" w:rsidRPr="00466733" w:rsidRDefault="00466733" w:rsidP="00466733">
            <w:pPr>
              <w:keepNext/>
              <w:spacing w:before="40" w:after="40"/>
              <w:rPr>
                <w:rFonts w:ascii="Arial Narrow" w:hAnsi="Arial Narrow" w:cs="Tahoma"/>
                <w:snapToGrid w:val="0"/>
                <w:sz w:val="20"/>
                <w:szCs w:val="22"/>
                <w:lang w:eastAsia="en-US"/>
              </w:rPr>
            </w:pPr>
          </w:p>
        </w:tc>
        <w:tc>
          <w:tcPr>
            <w:tcW w:w="400" w:type="pct"/>
            <w:tcBorders>
              <w:top w:val="single" w:sz="4" w:space="0" w:color="auto"/>
              <w:left w:val="nil"/>
              <w:bottom w:val="single" w:sz="4" w:space="0" w:color="auto"/>
              <w:right w:val="nil"/>
            </w:tcBorders>
          </w:tcPr>
          <w:p w14:paraId="0DA62D6C" w14:textId="77777777" w:rsidR="00466733" w:rsidRPr="00466733" w:rsidRDefault="00466733" w:rsidP="00466733">
            <w:pPr>
              <w:keepNext/>
              <w:spacing w:before="40" w:after="40"/>
              <w:rPr>
                <w:rFonts w:ascii="Arial Narrow" w:hAnsi="Arial Narrow" w:cs="Tahoma"/>
                <w:snapToGrid w:val="0"/>
                <w:sz w:val="20"/>
                <w:szCs w:val="22"/>
                <w:lang w:eastAsia="en-US"/>
              </w:rPr>
            </w:pPr>
          </w:p>
        </w:tc>
        <w:tc>
          <w:tcPr>
            <w:tcW w:w="642" w:type="pct"/>
            <w:tcBorders>
              <w:top w:val="single" w:sz="4" w:space="0" w:color="auto"/>
              <w:left w:val="nil"/>
              <w:bottom w:val="single" w:sz="4" w:space="0" w:color="auto"/>
              <w:right w:val="nil"/>
            </w:tcBorders>
            <w:vAlign w:val="center"/>
          </w:tcPr>
          <w:p w14:paraId="3B293258" w14:textId="77777777" w:rsidR="00466733" w:rsidRPr="00466733" w:rsidRDefault="00466733" w:rsidP="00466733">
            <w:pPr>
              <w:keepNext/>
              <w:spacing w:before="40" w:after="40"/>
              <w:rPr>
                <w:rFonts w:ascii="Arial Narrow" w:hAnsi="Arial Narrow" w:cs="Tahoma"/>
                <w:snapToGrid w:val="0"/>
                <w:sz w:val="20"/>
                <w:szCs w:val="22"/>
                <w:lang w:eastAsia="en-US"/>
              </w:rPr>
            </w:pPr>
          </w:p>
        </w:tc>
        <w:tc>
          <w:tcPr>
            <w:tcW w:w="641" w:type="pct"/>
            <w:tcBorders>
              <w:top w:val="single" w:sz="4" w:space="0" w:color="auto"/>
              <w:left w:val="nil"/>
              <w:bottom w:val="single" w:sz="4" w:space="0" w:color="auto"/>
              <w:right w:val="nil"/>
            </w:tcBorders>
            <w:vAlign w:val="center"/>
          </w:tcPr>
          <w:p w14:paraId="367D36F5" w14:textId="77777777" w:rsidR="00466733" w:rsidRPr="00466733" w:rsidRDefault="00466733" w:rsidP="00466733">
            <w:pPr>
              <w:keepNext/>
              <w:spacing w:before="40" w:after="40"/>
              <w:rPr>
                <w:rFonts w:ascii="Arial Narrow" w:hAnsi="Arial Narrow" w:cs="Tahoma"/>
                <w:snapToGrid w:val="0"/>
                <w:sz w:val="20"/>
                <w:szCs w:val="22"/>
                <w:lang w:eastAsia="en-US"/>
              </w:rPr>
            </w:pPr>
          </w:p>
        </w:tc>
        <w:tc>
          <w:tcPr>
            <w:tcW w:w="883" w:type="pct"/>
            <w:tcBorders>
              <w:top w:val="single" w:sz="4" w:space="0" w:color="auto"/>
              <w:left w:val="nil"/>
              <w:bottom w:val="single" w:sz="4" w:space="0" w:color="auto"/>
              <w:right w:val="nil"/>
            </w:tcBorders>
            <w:vAlign w:val="center"/>
          </w:tcPr>
          <w:p w14:paraId="7CB21870" w14:textId="77777777" w:rsidR="00466733" w:rsidRPr="00466733" w:rsidRDefault="00466733" w:rsidP="00466733">
            <w:pPr>
              <w:keepNext/>
              <w:spacing w:before="40" w:after="40"/>
              <w:rPr>
                <w:rFonts w:ascii="Arial Narrow" w:hAnsi="Arial Narrow" w:cs="Tahoma"/>
                <w:snapToGrid w:val="0"/>
                <w:sz w:val="20"/>
                <w:szCs w:val="22"/>
                <w:lang w:eastAsia="en-US"/>
              </w:rPr>
            </w:pPr>
          </w:p>
        </w:tc>
        <w:tc>
          <w:tcPr>
            <w:tcW w:w="848" w:type="pct"/>
            <w:tcBorders>
              <w:top w:val="single" w:sz="4" w:space="0" w:color="auto"/>
              <w:left w:val="nil"/>
              <w:bottom w:val="single" w:sz="4" w:space="0" w:color="auto"/>
              <w:right w:val="single" w:sz="4" w:space="0" w:color="auto"/>
            </w:tcBorders>
            <w:vAlign w:val="center"/>
          </w:tcPr>
          <w:p w14:paraId="57606CCF" w14:textId="77777777" w:rsidR="00466733" w:rsidRPr="00466733" w:rsidRDefault="00466733" w:rsidP="00466733">
            <w:pPr>
              <w:keepNext/>
              <w:spacing w:before="40" w:after="40"/>
              <w:rPr>
                <w:rFonts w:ascii="Arial Narrow" w:hAnsi="Arial Narrow" w:cs="Tahoma"/>
                <w:snapToGrid w:val="0"/>
                <w:sz w:val="20"/>
                <w:szCs w:val="22"/>
                <w:lang w:eastAsia="en-US"/>
              </w:rPr>
            </w:pPr>
          </w:p>
        </w:tc>
      </w:tr>
      <w:tr w:rsidR="00466733" w:rsidRPr="00466733" w14:paraId="2BD37A65" w14:textId="77777777" w:rsidTr="007637F7">
        <w:tc>
          <w:tcPr>
            <w:tcW w:w="1184" w:type="pct"/>
            <w:tcBorders>
              <w:top w:val="single" w:sz="4" w:space="0" w:color="auto"/>
              <w:left w:val="single" w:sz="4" w:space="0" w:color="auto"/>
              <w:bottom w:val="single" w:sz="4" w:space="0" w:color="auto"/>
              <w:right w:val="single" w:sz="4" w:space="0" w:color="auto"/>
            </w:tcBorders>
            <w:hideMark/>
          </w:tcPr>
          <w:p w14:paraId="5C2A1910" w14:textId="77777777" w:rsidR="00466733" w:rsidRPr="00466733" w:rsidRDefault="00466733" w:rsidP="00466733">
            <w:pPr>
              <w:keepNext/>
              <w:spacing w:before="40" w:after="40"/>
              <w:rPr>
                <w:rFonts w:ascii="Arial Narrow" w:hAnsi="Arial Narrow" w:cs="Tahoma"/>
                <w:sz w:val="20"/>
                <w:szCs w:val="22"/>
                <w:lang w:eastAsia="en-US"/>
              </w:rPr>
            </w:pPr>
            <w:r w:rsidRPr="00466733">
              <w:rPr>
                <w:rFonts w:ascii="Arial Narrow" w:hAnsi="Arial Narrow" w:cs="Tahoma"/>
                <w:sz w:val="20"/>
                <w:szCs w:val="22"/>
                <w:lang w:eastAsia="en-US"/>
              </w:rPr>
              <w:t>SENTINEL IDE (RCT)</w:t>
            </w:r>
          </w:p>
        </w:tc>
        <w:tc>
          <w:tcPr>
            <w:tcW w:w="401" w:type="pct"/>
            <w:tcBorders>
              <w:top w:val="single" w:sz="4" w:space="0" w:color="auto"/>
              <w:left w:val="single" w:sz="4" w:space="0" w:color="auto"/>
              <w:bottom w:val="single" w:sz="4" w:space="0" w:color="auto"/>
              <w:right w:val="single" w:sz="4" w:space="0" w:color="auto"/>
            </w:tcBorders>
            <w:hideMark/>
          </w:tcPr>
          <w:p w14:paraId="5610539A"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Low</w:t>
            </w:r>
          </w:p>
        </w:tc>
        <w:tc>
          <w:tcPr>
            <w:tcW w:w="400" w:type="pct"/>
            <w:tcBorders>
              <w:top w:val="single" w:sz="4" w:space="0" w:color="auto"/>
              <w:left w:val="single" w:sz="4" w:space="0" w:color="auto"/>
              <w:bottom w:val="single" w:sz="4" w:space="0" w:color="auto"/>
              <w:right w:val="single" w:sz="4" w:space="0" w:color="auto"/>
            </w:tcBorders>
            <w:hideMark/>
          </w:tcPr>
          <w:p w14:paraId="4B641E26"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In-hospital</w:t>
            </w:r>
          </w:p>
        </w:tc>
        <w:tc>
          <w:tcPr>
            <w:tcW w:w="642" w:type="pct"/>
            <w:tcBorders>
              <w:top w:val="single" w:sz="4" w:space="0" w:color="auto"/>
              <w:left w:val="single" w:sz="4" w:space="0" w:color="auto"/>
              <w:bottom w:val="single" w:sz="4" w:space="0" w:color="auto"/>
              <w:right w:val="single" w:sz="4" w:space="0" w:color="auto"/>
            </w:tcBorders>
            <w:vAlign w:val="center"/>
            <w:hideMark/>
          </w:tcPr>
          <w:p w14:paraId="5AE58486"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14/244 (5.7)</w:t>
            </w:r>
          </w:p>
        </w:tc>
        <w:tc>
          <w:tcPr>
            <w:tcW w:w="641" w:type="pct"/>
            <w:tcBorders>
              <w:top w:val="single" w:sz="4" w:space="0" w:color="auto"/>
              <w:left w:val="single" w:sz="4" w:space="0" w:color="auto"/>
              <w:bottom w:val="single" w:sz="4" w:space="0" w:color="auto"/>
              <w:right w:val="single" w:sz="4" w:space="0" w:color="auto"/>
            </w:tcBorders>
            <w:vAlign w:val="center"/>
            <w:hideMark/>
          </w:tcPr>
          <w:p w14:paraId="3219F806"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10/119 (8.4)</w:t>
            </w:r>
          </w:p>
        </w:tc>
        <w:tc>
          <w:tcPr>
            <w:tcW w:w="883" w:type="pct"/>
            <w:tcBorders>
              <w:top w:val="single" w:sz="4" w:space="0" w:color="auto"/>
              <w:left w:val="single" w:sz="4" w:space="0" w:color="auto"/>
              <w:bottom w:val="single" w:sz="4" w:space="0" w:color="auto"/>
              <w:right w:val="single" w:sz="4" w:space="0" w:color="auto"/>
            </w:tcBorders>
            <w:vAlign w:val="center"/>
            <w:hideMark/>
          </w:tcPr>
          <w:p w14:paraId="294CD4E0"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-0.03 [-0.08, 0.03]</w:t>
            </w:r>
          </w:p>
        </w:tc>
        <w:tc>
          <w:tcPr>
            <w:tcW w:w="848" w:type="pct"/>
            <w:tcBorders>
              <w:top w:val="single" w:sz="4" w:space="0" w:color="auto"/>
              <w:left w:val="single" w:sz="4" w:space="0" w:color="auto"/>
              <w:bottom w:val="single" w:sz="4" w:space="0" w:color="auto"/>
              <w:right w:val="single" w:sz="4" w:space="0" w:color="auto"/>
            </w:tcBorders>
            <w:vAlign w:val="center"/>
            <w:hideMark/>
          </w:tcPr>
          <w:p w14:paraId="038F4EED"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0.66 [0.29, 1.54]</w:t>
            </w:r>
          </w:p>
        </w:tc>
      </w:tr>
      <w:tr w:rsidR="00466733" w:rsidRPr="00466733" w14:paraId="6E264C9C" w14:textId="77777777" w:rsidTr="007637F7">
        <w:tc>
          <w:tcPr>
            <w:tcW w:w="1184" w:type="pct"/>
            <w:tcBorders>
              <w:top w:val="single" w:sz="4" w:space="0" w:color="auto"/>
              <w:left w:val="single" w:sz="4" w:space="0" w:color="auto"/>
              <w:bottom w:val="single" w:sz="4" w:space="0" w:color="auto"/>
              <w:right w:val="single" w:sz="4" w:space="0" w:color="auto"/>
            </w:tcBorders>
          </w:tcPr>
          <w:p w14:paraId="6B0B332E" w14:textId="77777777" w:rsidR="00466733" w:rsidRPr="00466733" w:rsidRDefault="00466733" w:rsidP="00466733">
            <w:pPr>
              <w:keepNext/>
              <w:spacing w:before="40" w:after="40"/>
              <w:rPr>
                <w:rFonts w:ascii="Arial Narrow" w:hAnsi="Arial Narrow" w:cs="Tahoma"/>
                <w:sz w:val="20"/>
                <w:szCs w:val="22"/>
                <w:lang w:eastAsia="en-US"/>
              </w:rPr>
            </w:pPr>
            <w:r w:rsidRPr="00466733">
              <w:rPr>
                <w:rFonts w:ascii="Arial Narrow" w:hAnsi="Arial Narrow" w:cs="Tahoma"/>
                <w:sz w:val="20"/>
                <w:szCs w:val="22"/>
                <w:lang w:eastAsia="en-US"/>
              </w:rPr>
              <w:t xml:space="preserve">SENTINEL-Ulm </w:t>
            </w:r>
            <w:r w:rsidRPr="00466733">
              <w:rPr>
                <w:rFonts w:ascii="Arial Narrow" w:hAnsi="Arial Narrow" w:cs="Tahoma"/>
                <w:sz w:val="20"/>
                <w:szCs w:val="22"/>
                <w:vertAlign w:val="superscript"/>
                <w:lang w:eastAsia="en-US"/>
              </w:rPr>
              <w:t xml:space="preserve">a </w:t>
            </w:r>
            <w:r w:rsidRPr="00466733">
              <w:rPr>
                <w:rFonts w:ascii="Arial Narrow" w:hAnsi="Arial Narrow" w:cs="Tahoma"/>
                <w:sz w:val="20"/>
                <w:szCs w:val="22"/>
                <w:lang w:eastAsia="en-US"/>
              </w:rPr>
              <w:t>(cohort)</w:t>
            </w:r>
          </w:p>
        </w:tc>
        <w:tc>
          <w:tcPr>
            <w:tcW w:w="401" w:type="pct"/>
            <w:tcBorders>
              <w:top w:val="single" w:sz="4" w:space="0" w:color="auto"/>
              <w:left w:val="single" w:sz="4" w:space="0" w:color="auto"/>
              <w:bottom w:val="single" w:sz="4" w:space="0" w:color="auto"/>
              <w:right w:val="single" w:sz="4" w:space="0" w:color="auto"/>
            </w:tcBorders>
          </w:tcPr>
          <w:p w14:paraId="27B75849"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Low</w:t>
            </w:r>
          </w:p>
        </w:tc>
        <w:tc>
          <w:tcPr>
            <w:tcW w:w="400" w:type="pct"/>
            <w:tcBorders>
              <w:top w:val="single" w:sz="4" w:space="0" w:color="auto"/>
              <w:left w:val="single" w:sz="4" w:space="0" w:color="auto"/>
              <w:bottom w:val="single" w:sz="4" w:space="0" w:color="auto"/>
              <w:right w:val="single" w:sz="4" w:space="0" w:color="auto"/>
            </w:tcBorders>
          </w:tcPr>
          <w:p w14:paraId="3FC2A3A3"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7 days</w:t>
            </w:r>
          </w:p>
        </w:tc>
        <w:tc>
          <w:tcPr>
            <w:tcW w:w="642" w:type="pct"/>
            <w:tcBorders>
              <w:top w:val="single" w:sz="4" w:space="0" w:color="auto"/>
              <w:left w:val="single" w:sz="4" w:space="0" w:color="auto"/>
              <w:bottom w:val="single" w:sz="4" w:space="0" w:color="auto"/>
              <w:right w:val="single" w:sz="4" w:space="0" w:color="auto"/>
            </w:tcBorders>
            <w:vAlign w:val="center"/>
          </w:tcPr>
          <w:p w14:paraId="290C8A1E"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7/280 (2.5)</w:t>
            </w:r>
          </w:p>
        </w:tc>
        <w:tc>
          <w:tcPr>
            <w:tcW w:w="641" w:type="pct"/>
            <w:tcBorders>
              <w:top w:val="single" w:sz="4" w:space="0" w:color="auto"/>
              <w:left w:val="single" w:sz="4" w:space="0" w:color="auto"/>
              <w:bottom w:val="single" w:sz="4" w:space="0" w:color="auto"/>
              <w:right w:val="single" w:sz="4" w:space="0" w:color="auto"/>
            </w:tcBorders>
            <w:vAlign w:val="center"/>
          </w:tcPr>
          <w:p w14:paraId="611B7BEF"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22/280 (7.9)</w:t>
            </w:r>
          </w:p>
        </w:tc>
        <w:tc>
          <w:tcPr>
            <w:tcW w:w="883" w:type="pct"/>
            <w:tcBorders>
              <w:top w:val="single" w:sz="4" w:space="0" w:color="auto"/>
              <w:left w:val="single" w:sz="4" w:space="0" w:color="auto"/>
              <w:bottom w:val="single" w:sz="4" w:space="0" w:color="auto"/>
              <w:right w:val="single" w:sz="4" w:space="0" w:color="auto"/>
            </w:tcBorders>
            <w:vAlign w:val="center"/>
          </w:tcPr>
          <w:p w14:paraId="766E7443" w14:textId="77777777" w:rsidR="00466733" w:rsidRPr="00466733" w:rsidRDefault="00466733" w:rsidP="00466733">
            <w:pPr>
              <w:keepNext/>
              <w:spacing w:before="40" w:after="40"/>
              <w:rPr>
                <w:rFonts w:ascii="Arial Narrow" w:hAnsi="Arial Narrow" w:cs="Tahoma"/>
                <w:b/>
                <w:snapToGrid w:val="0"/>
                <w:sz w:val="20"/>
                <w:szCs w:val="22"/>
                <w:lang w:eastAsia="en-US"/>
              </w:rPr>
            </w:pPr>
            <w:r w:rsidRPr="00466733">
              <w:rPr>
                <w:rFonts w:ascii="Arial Narrow" w:hAnsi="Arial Narrow" w:cs="Tahoma"/>
                <w:b/>
                <w:snapToGrid w:val="0"/>
                <w:sz w:val="20"/>
                <w:szCs w:val="22"/>
                <w:lang w:eastAsia="en-US"/>
              </w:rPr>
              <w:t>-0.05 [-0.09, -0.02]</w:t>
            </w:r>
          </w:p>
        </w:tc>
        <w:tc>
          <w:tcPr>
            <w:tcW w:w="848" w:type="pct"/>
            <w:tcBorders>
              <w:top w:val="single" w:sz="4" w:space="0" w:color="auto"/>
              <w:left w:val="single" w:sz="4" w:space="0" w:color="auto"/>
              <w:bottom w:val="single" w:sz="4" w:space="0" w:color="auto"/>
              <w:right w:val="single" w:sz="4" w:space="0" w:color="auto"/>
            </w:tcBorders>
            <w:vAlign w:val="center"/>
          </w:tcPr>
          <w:p w14:paraId="066F1286" w14:textId="77777777" w:rsidR="00466733" w:rsidRPr="00466733" w:rsidRDefault="00466733" w:rsidP="00466733">
            <w:pPr>
              <w:keepNext/>
              <w:spacing w:before="40" w:after="40"/>
              <w:rPr>
                <w:rFonts w:ascii="Arial Narrow" w:hAnsi="Arial Narrow" w:cs="Tahoma"/>
                <w:b/>
                <w:snapToGrid w:val="0"/>
                <w:sz w:val="20"/>
                <w:szCs w:val="22"/>
                <w:lang w:eastAsia="en-US"/>
              </w:rPr>
            </w:pPr>
            <w:r w:rsidRPr="00466733">
              <w:rPr>
                <w:rFonts w:ascii="Arial Narrow" w:hAnsi="Arial Narrow" w:cs="Tahoma"/>
                <w:b/>
                <w:snapToGrid w:val="0"/>
                <w:sz w:val="20"/>
                <w:szCs w:val="22"/>
                <w:lang w:eastAsia="en-US"/>
              </w:rPr>
              <w:t>0.30 [0.13, 0.72]</w:t>
            </w:r>
          </w:p>
        </w:tc>
      </w:tr>
      <w:tr w:rsidR="00466733" w:rsidRPr="00466733" w14:paraId="67CB1719" w14:textId="77777777" w:rsidTr="007637F7">
        <w:trPr>
          <w:trHeight w:val="297"/>
        </w:trPr>
        <w:tc>
          <w:tcPr>
            <w:tcW w:w="1184" w:type="pct"/>
            <w:tcBorders>
              <w:top w:val="single" w:sz="4" w:space="0" w:color="auto"/>
              <w:left w:val="single" w:sz="4" w:space="0" w:color="auto"/>
              <w:bottom w:val="single" w:sz="4" w:space="0" w:color="auto"/>
              <w:right w:val="single" w:sz="4" w:space="0" w:color="auto"/>
            </w:tcBorders>
          </w:tcPr>
          <w:p w14:paraId="4E55E3C6" w14:textId="77777777" w:rsidR="00466733" w:rsidRPr="00466733" w:rsidRDefault="00466733" w:rsidP="00466733">
            <w:pPr>
              <w:keepNext/>
              <w:spacing w:before="40" w:after="40"/>
              <w:rPr>
                <w:rFonts w:ascii="Arial Narrow" w:hAnsi="Arial Narrow" w:cs="Tahoma"/>
                <w:sz w:val="20"/>
                <w:szCs w:val="22"/>
                <w:lang w:eastAsia="en-US"/>
              </w:rPr>
            </w:pPr>
            <w:r w:rsidRPr="00466733">
              <w:rPr>
                <w:rFonts w:ascii="Arial Narrow" w:hAnsi="Arial Narrow" w:cs="Tahoma"/>
                <w:sz w:val="20"/>
                <w:szCs w:val="22"/>
                <w:lang w:eastAsia="en-US"/>
              </w:rPr>
              <w:t xml:space="preserve">Meta-analysis </w:t>
            </w:r>
          </w:p>
          <w:p w14:paraId="500FFA5F" w14:textId="77777777" w:rsidR="00466733" w:rsidRPr="00466733" w:rsidRDefault="00466733" w:rsidP="00466733">
            <w:pPr>
              <w:keepNext/>
              <w:spacing w:before="40" w:after="40"/>
              <w:rPr>
                <w:rFonts w:ascii="Arial Narrow" w:hAnsi="Arial Narrow" w:cs="Tahoma"/>
                <w:sz w:val="20"/>
                <w:szCs w:val="22"/>
                <w:lang w:eastAsia="en-US"/>
              </w:rPr>
            </w:pPr>
            <w:r w:rsidRPr="00466733">
              <w:rPr>
                <w:rFonts w:ascii="Arial Narrow" w:hAnsi="Arial Narrow" w:cs="Tahoma"/>
                <w:sz w:val="20"/>
                <w:szCs w:val="22"/>
                <w:lang w:eastAsia="en-US"/>
              </w:rPr>
              <w:t>Heterogeneity (I2); p-value</w:t>
            </w:r>
          </w:p>
        </w:tc>
        <w:tc>
          <w:tcPr>
            <w:tcW w:w="401" w:type="pct"/>
            <w:tcBorders>
              <w:top w:val="single" w:sz="4" w:space="0" w:color="auto"/>
              <w:left w:val="single" w:sz="4" w:space="0" w:color="auto"/>
              <w:bottom w:val="single" w:sz="4" w:space="0" w:color="auto"/>
              <w:right w:val="single" w:sz="4" w:space="0" w:color="auto"/>
            </w:tcBorders>
          </w:tcPr>
          <w:p w14:paraId="1004E761"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w:t>
            </w:r>
          </w:p>
        </w:tc>
        <w:tc>
          <w:tcPr>
            <w:tcW w:w="400" w:type="pct"/>
            <w:tcBorders>
              <w:top w:val="single" w:sz="4" w:space="0" w:color="auto"/>
              <w:left w:val="single" w:sz="4" w:space="0" w:color="auto"/>
              <w:bottom w:val="single" w:sz="4" w:space="0" w:color="auto"/>
              <w:right w:val="single" w:sz="4" w:space="0" w:color="auto"/>
            </w:tcBorders>
          </w:tcPr>
          <w:p w14:paraId="272D380D"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w:t>
            </w:r>
          </w:p>
        </w:tc>
        <w:tc>
          <w:tcPr>
            <w:tcW w:w="642" w:type="pct"/>
            <w:tcBorders>
              <w:top w:val="single" w:sz="4" w:space="0" w:color="auto"/>
              <w:left w:val="single" w:sz="4" w:space="0" w:color="auto"/>
              <w:bottom w:val="single" w:sz="4" w:space="0" w:color="auto"/>
              <w:right w:val="single" w:sz="4" w:space="0" w:color="auto"/>
            </w:tcBorders>
          </w:tcPr>
          <w:p w14:paraId="0CCC0CF6"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21/524 (4.01)</w:t>
            </w:r>
          </w:p>
        </w:tc>
        <w:tc>
          <w:tcPr>
            <w:tcW w:w="641" w:type="pct"/>
            <w:tcBorders>
              <w:top w:val="single" w:sz="4" w:space="0" w:color="auto"/>
              <w:left w:val="single" w:sz="4" w:space="0" w:color="auto"/>
              <w:bottom w:val="single" w:sz="4" w:space="0" w:color="auto"/>
              <w:right w:val="single" w:sz="4" w:space="0" w:color="auto"/>
            </w:tcBorders>
          </w:tcPr>
          <w:p w14:paraId="0B1A02BA"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32/399 (8.02)</w:t>
            </w:r>
          </w:p>
        </w:tc>
        <w:tc>
          <w:tcPr>
            <w:tcW w:w="883" w:type="pct"/>
            <w:tcBorders>
              <w:top w:val="single" w:sz="4" w:space="0" w:color="auto"/>
              <w:left w:val="single" w:sz="4" w:space="0" w:color="auto"/>
              <w:bottom w:val="single" w:sz="4" w:space="0" w:color="auto"/>
              <w:right w:val="single" w:sz="4" w:space="0" w:color="auto"/>
            </w:tcBorders>
          </w:tcPr>
          <w:p w14:paraId="7FE74660" w14:textId="77777777" w:rsidR="00466733" w:rsidRPr="00466733" w:rsidRDefault="00466733" w:rsidP="00466733">
            <w:pPr>
              <w:spacing w:before="40" w:after="40"/>
              <w:rPr>
                <w:rFonts w:ascii="Arial Narrow" w:hAnsi="Arial Narrow" w:cs="Tahoma"/>
                <w:b/>
                <w:snapToGrid w:val="0"/>
                <w:sz w:val="20"/>
                <w:szCs w:val="22"/>
                <w:lang w:eastAsia="en-US"/>
              </w:rPr>
            </w:pPr>
            <w:r w:rsidRPr="00466733">
              <w:rPr>
                <w:rFonts w:ascii="Arial Narrow" w:hAnsi="Arial Narrow"/>
                <w:b/>
                <w:sz w:val="20"/>
                <w:szCs w:val="24"/>
                <w:lang w:eastAsia="en-US"/>
              </w:rPr>
              <w:t>-0.05 [-0.08, -0.02]</w:t>
            </w:r>
            <w:r w:rsidRPr="00466733">
              <w:rPr>
                <w:rFonts w:ascii="Arial Narrow" w:hAnsi="Arial Narrow" w:cs="Tahoma"/>
                <w:i/>
                <w:iCs/>
                <w:snapToGrid w:val="0"/>
                <w:sz w:val="20"/>
                <w:szCs w:val="22"/>
                <w:lang w:eastAsia="en-US"/>
              </w:rPr>
              <w:t xml:space="preserve"> </w:t>
            </w:r>
            <w:r w:rsidRPr="00466733">
              <w:rPr>
                <w:rFonts w:ascii="Arial Narrow" w:hAnsi="Arial Narrow" w:cs="Tahoma"/>
                <w:iCs/>
                <w:snapToGrid w:val="0"/>
                <w:sz w:val="20"/>
                <w:szCs w:val="22"/>
                <w:lang w:eastAsia="en-US"/>
              </w:rPr>
              <w:t>0%; p=0.43</w:t>
            </w:r>
          </w:p>
        </w:tc>
        <w:tc>
          <w:tcPr>
            <w:tcW w:w="848" w:type="pct"/>
            <w:tcBorders>
              <w:top w:val="single" w:sz="4" w:space="0" w:color="auto"/>
              <w:left w:val="single" w:sz="4" w:space="0" w:color="auto"/>
              <w:bottom w:val="single" w:sz="4" w:space="0" w:color="auto"/>
              <w:right w:val="single" w:sz="4" w:space="0" w:color="auto"/>
            </w:tcBorders>
          </w:tcPr>
          <w:p w14:paraId="6683C28A" w14:textId="77777777" w:rsidR="00466733" w:rsidRPr="00466733" w:rsidRDefault="00466733" w:rsidP="00466733">
            <w:pPr>
              <w:spacing w:before="40" w:after="40"/>
              <w:rPr>
                <w:rFonts w:ascii="Arial Narrow" w:hAnsi="Arial Narrow" w:cs="Tahoma"/>
                <w:b/>
                <w:snapToGrid w:val="0"/>
                <w:sz w:val="20"/>
                <w:szCs w:val="22"/>
                <w:lang w:eastAsia="en-US"/>
              </w:rPr>
            </w:pPr>
            <w:r w:rsidRPr="00466733">
              <w:rPr>
                <w:rFonts w:ascii="Arial Narrow" w:hAnsi="Arial Narrow"/>
                <w:b/>
                <w:sz w:val="20"/>
                <w:szCs w:val="24"/>
                <w:lang w:eastAsia="en-US"/>
              </w:rPr>
              <w:t>0.45 [0.21, 0.98]</w:t>
            </w:r>
            <w:r w:rsidRPr="00466733">
              <w:rPr>
                <w:rFonts w:ascii="Arial Narrow" w:hAnsi="Arial Narrow" w:cs="Tahoma"/>
                <w:i/>
                <w:iCs/>
                <w:snapToGrid w:val="0"/>
                <w:sz w:val="20"/>
                <w:szCs w:val="22"/>
                <w:lang w:eastAsia="en-US"/>
              </w:rPr>
              <w:t xml:space="preserve"> </w:t>
            </w:r>
            <w:r w:rsidRPr="00466733">
              <w:rPr>
                <w:rFonts w:ascii="Arial Narrow" w:hAnsi="Arial Narrow" w:cs="Tahoma"/>
                <w:iCs/>
                <w:snapToGrid w:val="0"/>
                <w:sz w:val="20"/>
                <w:szCs w:val="22"/>
                <w:lang w:eastAsia="en-US"/>
              </w:rPr>
              <w:t>40%; p=0.20</w:t>
            </w:r>
          </w:p>
        </w:tc>
      </w:tr>
      <w:tr w:rsidR="00466733" w:rsidRPr="00466733" w14:paraId="61F3E9CE" w14:textId="77777777" w:rsidTr="007637F7">
        <w:trPr>
          <w:trHeight w:val="243"/>
        </w:trPr>
        <w:tc>
          <w:tcPr>
            <w:tcW w:w="1184" w:type="pct"/>
            <w:tcBorders>
              <w:top w:val="single" w:sz="4" w:space="0" w:color="auto"/>
              <w:left w:val="single" w:sz="4" w:space="0" w:color="auto"/>
              <w:bottom w:val="single" w:sz="4" w:space="0" w:color="auto"/>
              <w:right w:val="nil"/>
            </w:tcBorders>
          </w:tcPr>
          <w:p w14:paraId="75421AA8" w14:textId="77777777" w:rsidR="00466733" w:rsidRPr="00466733" w:rsidRDefault="00466733" w:rsidP="00466733">
            <w:pPr>
              <w:spacing w:before="40" w:after="40"/>
              <w:rPr>
                <w:rFonts w:ascii="Arial Narrow" w:hAnsi="Arial Narrow"/>
                <w:sz w:val="20"/>
                <w:szCs w:val="24"/>
                <w:lang w:eastAsia="en-US"/>
              </w:rPr>
            </w:pPr>
            <w:r w:rsidRPr="00466733">
              <w:rPr>
                <w:rFonts w:ascii="Arial Narrow" w:hAnsi="Arial Narrow" w:cs="Tahoma"/>
                <w:b/>
                <w:sz w:val="20"/>
                <w:szCs w:val="22"/>
                <w:lang w:eastAsia="en-US"/>
              </w:rPr>
              <w:t>MACCE (30-days)</w:t>
            </w:r>
          </w:p>
        </w:tc>
        <w:tc>
          <w:tcPr>
            <w:tcW w:w="401" w:type="pct"/>
            <w:tcBorders>
              <w:top w:val="single" w:sz="4" w:space="0" w:color="auto"/>
              <w:left w:val="nil"/>
              <w:bottom w:val="single" w:sz="4" w:space="0" w:color="auto"/>
              <w:right w:val="nil"/>
            </w:tcBorders>
            <w:vAlign w:val="center"/>
          </w:tcPr>
          <w:p w14:paraId="0405938C" w14:textId="77777777" w:rsidR="00466733" w:rsidRPr="00466733" w:rsidRDefault="00466733" w:rsidP="00466733">
            <w:pPr>
              <w:spacing w:before="40" w:after="40"/>
              <w:rPr>
                <w:rFonts w:ascii="Arial Narrow" w:hAnsi="Arial Narrow"/>
                <w:snapToGrid w:val="0"/>
                <w:sz w:val="20"/>
                <w:szCs w:val="24"/>
                <w:lang w:eastAsia="en-US"/>
              </w:rPr>
            </w:pPr>
          </w:p>
        </w:tc>
        <w:tc>
          <w:tcPr>
            <w:tcW w:w="400" w:type="pct"/>
            <w:tcBorders>
              <w:top w:val="single" w:sz="4" w:space="0" w:color="auto"/>
              <w:left w:val="nil"/>
              <w:bottom w:val="single" w:sz="4" w:space="0" w:color="auto"/>
              <w:right w:val="nil"/>
            </w:tcBorders>
            <w:vAlign w:val="center"/>
          </w:tcPr>
          <w:p w14:paraId="64FA26B7" w14:textId="77777777" w:rsidR="00466733" w:rsidRPr="00466733" w:rsidRDefault="00466733" w:rsidP="00466733">
            <w:pPr>
              <w:spacing w:before="40" w:after="40"/>
              <w:rPr>
                <w:rFonts w:ascii="Arial Narrow" w:hAnsi="Arial Narrow"/>
                <w:snapToGrid w:val="0"/>
                <w:sz w:val="20"/>
                <w:szCs w:val="24"/>
                <w:lang w:eastAsia="en-US"/>
              </w:rPr>
            </w:pPr>
          </w:p>
        </w:tc>
        <w:tc>
          <w:tcPr>
            <w:tcW w:w="642" w:type="pct"/>
            <w:tcBorders>
              <w:top w:val="single" w:sz="4" w:space="0" w:color="auto"/>
              <w:left w:val="nil"/>
              <w:bottom w:val="single" w:sz="4" w:space="0" w:color="auto"/>
              <w:right w:val="nil"/>
            </w:tcBorders>
            <w:vAlign w:val="center"/>
          </w:tcPr>
          <w:p w14:paraId="6BAC37E8" w14:textId="77777777" w:rsidR="00466733" w:rsidRPr="00466733" w:rsidRDefault="00466733" w:rsidP="00466733">
            <w:pPr>
              <w:spacing w:before="40" w:after="40"/>
              <w:rPr>
                <w:rFonts w:ascii="Arial Narrow" w:hAnsi="Arial Narrow"/>
                <w:snapToGrid w:val="0"/>
                <w:sz w:val="20"/>
                <w:szCs w:val="24"/>
                <w:lang w:eastAsia="en-US"/>
              </w:rPr>
            </w:pPr>
          </w:p>
        </w:tc>
        <w:tc>
          <w:tcPr>
            <w:tcW w:w="641" w:type="pct"/>
            <w:tcBorders>
              <w:top w:val="single" w:sz="4" w:space="0" w:color="auto"/>
              <w:left w:val="nil"/>
              <w:bottom w:val="single" w:sz="4" w:space="0" w:color="auto"/>
              <w:right w:val="nil"/>
            </w:tcBorders>
            <w:vAlign w:val="center"/>
          </w:tcPr>
          <w:p w14:paraId="48E9C208" w14:textId="77777777" w:rsidR="00466733" w:rsidRPr="00466733" w:rsidRDefault="00466733" w:rsidP="00466733">
            <w:pPr>
              <w:spacing w:before="40" w:after="40"/>
              <w:rPr>
                <w:rFonts w:ascii="Arial Narrow" w:hAnsi="Arial Narrow"/>
                <w:snapToGrid w:val="0"/>
                <w:sz w:val="20"/>
                <w:szCs w:val="24"/>
                <w:lang w:eastAsia="en-US"/>
              </w:rPr>
            </w:pPr>
          </w:p>
        </w:tc>
        <w:tc>
          <w:tcPr>
            <w:tcW w:w="883" w:type="pct"/>
            <w:tcBorders>
              <w:top w:val="single" w:sz="4" w:space="0" w:color="auto"/>
              <w:left w:val="nil"/>
              <w:bottom w:val="single" w:sz="4" w:space="0" w:color="auto"/>
              <w:right w:val="nil"/>
            </w:tcBorders>
            <w:vAlign w:val="center"/>
          </w:tcPr>
          <w:p w14:paraId="4AC58565" w14:textId="77777777" w:rsidR="00466733" w:rsidRPr="00466733" w:rsidRDefault="00466733" w:rsidP="00466733">
            <w:pPr>
              <w:spacing w:before="40" w:after="40"/>
              <w:rPr>
                <w:rFonts w:ascii="Arial Narrow" w:hAnsi="Arial Narrow"/>
                <w:snapToGrid w:val="0"/>
                <w:sz w:val="20"/>
                <w:szCs w:val="24"/>
                <w:lang w:eastAsia="en-US"/>
              </w:rPr>
            </w:pPr>
          </w:p>
        </w:tc>
        <w:tc>
          <w:tcPr>
            <w:tcW w:w="848" w:type="pct"/>
            <w:tcBorders>
              <w:top w:val="single" w:sz="4" w:space="0" w:color="auto"/>
              <w:left w:val="nil"/>
              <w:bottom w:val="single" w:sz="4" w:space="0" w:color="auto"/>
              <w:right w:val="single" w:sz="4" w:space="0" w:color="auto"/>
            </w:tcBorders>
            <w:vAlign w:val="center"/>
          </w:tcPr>
          <w:p w14:paraId="169B6164" w14:textId="77777777" w:rsidR="00466733" w:rsidRPr="00466733" w:rsidRDefault="00466733" w:rsidP="00466733">
            <w:pPr>
              <w:spacing w:before="40" w:after="40"/>
              <w:rPr>
                <w:rFonts w:ascii="Arial Narrow" w:hAnsi="Arial Narrow"/>
                <w:snapToGrid w:val="0"/>
                <w:sz w:val="20"/>
                <w:szCs w:val="24"/>
                <w:lang w:eastAsia="en-US"/>
              </w:rPr>
            </w:pPr>
          </w:p>
        </w:tc>
      </w:tr>
      <w:tr w:rsidR="00466733" w:rsidRPr="00466733" w14:paraId="4F5A9A11" w14:textId="77777777" w:rsidTr="007637F7">
        <w:trPr>
          <w:trHeight w:val="473"/>
        </w:trPr>
        <w:tc>
          <w:tcPr>
            <w:tcW w:w="1184" w:type="pct"/>
            <w:tcBorders>
              <w:top w:val="single" w:sz="4" w:space="0" w:color="auto"/>
              <w:left w:val="single" w:sz="4" w:space="0" w:color="auto"/>
              <w:bottom w:val="single" w:sz="4" w:space="0" w:color="auto"/>
              <w:right w:val="single" w:sz="4" w:space="0" w:color="auto"/>
            </w:tcBorders>
            <w:vAlign w:val="center"/>
          </w:tcPr>
          <w:p w14:paraId="655D71AE" w14:textId="77777777" w:rsidR="00466733" w:rsidRPr="00466733" w:rsidRDefault="00466733" w:rsidP="00466733">
            <w:pPr>
              <w:spacing w:before="40" w:after="40"/>
              <w:rPr>
                <w:rFonts w:ascii="Arial Narrow" w:hAnsi="Arial Narrow" w:cs="Tahoma"/>
                <w:sz w:val="20"/>
                <w:szCs w:val="22"/>
                <w:lang w:eastAsia="en-US"/>
              </w:rPr>
            </w:pPr>
            <w:r w:rsidRPr="00466733">
              <w:rPr>
                <w:rFonts w:ascii="Arial Narrow" w:hAnsi="Arial Narrow"/>
                <w:sz w:val="20"/>
                <w:szCs w:val="24"/>
                <w:lang w:eastAsia="en-US"/>
              </w:rPr>
              <w:t>SENTINEL IDE (RCT)</w:t>
            </w:r>
          </w:p>
        </w:tc>
        <w:tc>
          <w:tcPr>
            <w:tcW w:w="401" w:type="pct"/>
            <w:tcBorders>
              <w:top w:val="single" w:sz="4" w:space="0" w:color="auto"/>
              <w:left w:val="single" w:sz="4" w:space="0" w:color="auto"/>
              <w:bottom w:val="single" w:sz="4" w:space="0" w:color="auto"/>
              <w:right w:val="single" w:sz="4" w:space="0" w:color="auto"/>
            </w:tcBorders>
            <w:vAlign w:val="center"/>
          </w:tcPr>
          <w:p w14:paraId="4CDF04FD"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napToGrid w:val="0"/>
                <w:sz w:val="20"/>
                <w:szCs w:val="24"/>
                <w:lang w:eastAsia="en-US"/>
              </w:rPr>
              <w:t>Low</w:t>
            </w:r>
          </w:p>
        </w:tc>
        <w:tc>
          <w:tcPr>
            <w:tcW w:w="400" w:type="pct"/>
            <w:tcBorders>
              <w:top w:val="single" w:sz="4" w:space="0" w:color="auto"/>
              <w:left w:val="single" w:sz="4" w:space="0" w:color="auto"/>
              <w:bottom w:val="single" w:sz="4" w:space="0" w:color="auto"/>
              <w:right w:val="single" w:sz="4" w:space="0" w:color="auto"/>
            </w:tcBorders>
            <w:vAlign w:val="center"/>
          </w:tcPr>
          <w:p w14:paraId="22CF4384"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napToGrid w:val="0"/>
                <w:sz w:val="20"/>
                <w:szCs w:val="24"/>
                <w:lang w:eastAsia="en-US"/>
              </w:rPr>
              <w:t>30 days</w:t>
            </w:r>
          </w:p>
        </w:tc>
        <w:tc>
          <w:tcPr>
            <w:tcW w:w="642" w:type="pct"/>
            <w:tcBorders>
              <w:top w:val="single" w:sz="4" w:space="0" w:color="auto"/>
              <w:left w:val="single" w:sz="4" w:space="0" w:color="auto"/>
              <w:bottom w:val="single" w:sz="4" w:space="0" w:color="auto"/>
              <w:right w:val="single" w:sz="4" w:space="0" w:color="auto"/>
            </w:tcBorders>
            <w:vAlign w:val="center"/>
          </w:tcPr>
          <w:p w14:paraId="045DDE1F" w14:textId="77777777" w:rsidR="00466733" w:rsidRPr="00466733" w:rsidRDefault="00466733" w:rsidP="00466733">
            <w:pPr>
              <w:spacing w:before="40" w:after="40"/>
              <w:rPr>
                <w:rFonts w:ascii="Arial Narrow" w:hAnsi="Arial Narrow"/>
                <w:sz w:val="20"/>
                <w:szCs w:val="24"/>
                <w:lang w:eastAsia="en-US"/>
              </w:rPr>
            </w:pPr>
            <w:r w:rsidRPr="00466733">
              <w:rPr>
                <w:rFonts w:ascii="Arial Narrow" w:hAnsi="Arial Narrow"/>
                <w:snapToGrid w:val="0"/>
                <w:sz w:val="20"/>
                <w:szCs w:val="24"/>
                <w:lang w:eastAsia="en-US"/>
              </w:rPr>
              <w:t>7/117 (6.0%)</w:t>
            </w:r>
          </w:p>
        </w:tc>
        <w:tc>
          <w:tcPr>
            <w:tcW w:w="641" w:type="pct"/>
            <w:tcBorders>
              <w:top w:val="single" w:sz="4" w:space="0" w:color="auto"/>
              <w:left w:val="single" w:sz="4" w:space="0" w:color="auto"/>
              <w:bottom w:val="single" w:sz="4" w:space="0" w:color="auto"/>
              <w:right w:val="single" w:sz="4" w:space="0" w:color="auto"/>
            </w:tcBorders>
            <w:vAlign w:val="center"/>
          </w:tcPr>
          <w:p w14:paraId="201F0376" w14:textId="77777777" w:rsidR="00466733" w:rsidRPr="00466733" w:rsidRDefault="00466733" w:rsidP="00466733">
            <w:pPr>
              <w:spacing w:before="40" w:after="40"/>
              <w:rPr>
                <w:rFonts w:ascii="Arial Narrow" w:hAnsi="Arial Narrow"/>
                <w:sz w:val="20"/>
                <w:szCs w:val="24"/>
                <w:lang w:eastAsia="en-US"/>
              </w:rPr>
            </w:pPr>
            <w:r w:rsidRPr="00466733">
              <w:rPr>
                <w:rFonts w:ascii="Arial Narrow" w:hAnsi="Arial Narrow"/>
                <w:snapToGrid w:val="0"/>
                <w:sz w:val="20"/>
                <w:szCs w:val="24"/>
                <w:lang w:eastAsia="en-US"/>
              </w:rPr>
              <w:t>11/119 (9.2%)</w:t>
            </w:r>
          </w:p>
        </w:tc>
        <w:tc>
          <w:tcPr>
            <w:tcW w:w="883" w:type="pct"/>
            <w:tcBorders>
              <w:top w:val="single" w:sz="4" w:space="0" w:color="auto"/>
              <w:left w:val="single" w:sz="4" w:space="0" w:color="auto"/>
              <w:bottom w:val="single" w:sz="4" w:space="0" w:color="auto"/>
              <w:right w:val="single" w:sz="4" w:space="0" w:color="auto"/>
            </w:tcBorders>
            <w:vAlign w:val="center"/>
          </w:tcPr>
          <w:p w14:paraId="60D4822F" w14:textId="77777777" w:rsidR="00466733" w:rsidRPr="00466733" w:rsidRDefault="00466733" w:rsidP="00466733">
            <w:pPr>
              <w:spacing w:before="40" w:after="40"/>
              <w:rPr>
                <w:rFonts w:ascii="Arial Narrow" w:hAnsi="Arial Narrow" w:cs="Tahoma"/>
                <w:i/>
                <w:iCs/>
                <w:snapToGrid w:val="0"/>
                <w:sz w:val="20"/>
                <w:szCs w:val="22"/>
                <w:lang w:eastAsia="en-US"/>
              </w:rPr>
            </w:pPr>
            <w:r w:rsidRPr="00466733">
              <w:rPr>
                <w:rFonts w:ascii="Arial Narrow" w:hAnsi="Arial Narrow"/>
                <w:snapToGrid w:val="0"/>
                <w:sz w:val="20"/>
                <w:szCs w:val="24"/>
                <w:lang w:eastAsia="en-US"/>
              </w:rPr>
              <w:t>-0.03 [-0.10, 0.03]</w:t>
            </w:r>
          </w:p>
        </w:tc>
        <w:tc>
          <w:tcPr>
            <w:tcW w:w="848" w:type="pct"/>
            <w:tcBorders>
              <w:top w:val="single" w:sz="4" w:space="0" w:color="auto"/>
              <w:left w:val="single" w:sz="4" w:space="0" w:color="auto"/>
              <w:bottom w:val="single" w:sz="4" w:space="0" w:color="auto"/>
              <w:right w:val="single" w:sz="4" w:space="0" w:color="auto"/>
            </w:tcBorders>
            <w:vAlign w:val="center"/>
          </w:tcPr>
          <w:p w14:paraId="53932761" w14:textId="77777777" w:rsidR="00466733" w:rsidRPr="00466733" w:rsidRDefault="00466733" w:rsidP="00466733">
            <w:pPr>
              <w:spacing w:before="40" w:after="40"/>
              <w:rPr>
                <w:rFonts w:ascii="Arial Narrow" w:hAnsi="Arial Narrow" w:cs="Tahoma"/>
                <w:i/>
                <w:iCs/>
                <w:snapToGrid w:val="0"/>
                <w:sz w:val="20"/>
                <w:szCs w:val="22"/>
                <w:lang w:eastAsia="en-US"/>
              </w:rPr>
            </w:pPr>
            <w:r w:rsidRPr="00466733">
              <w:rPr>
                <w:rFonts w:ascii="Arial Narrow" w:hAnsi="Arial Narrow"/>
                <w:snapToGrid w:val="0"/>
                <w:sz w:val="20"/>
                <w:szCs w:val="24"/>
                <w:lang w:eastAsia="en-US"/>
              </w:rPr>
              <w:t>0.62 [0.23, 1.67]</w:t>
            </w:r>
          </w:p>
        </w:tc>
      </w:tr>
      <w:tr w:rsidR="00466733" w:rsidRPr="00466733" w14:paraId="48E29EA8" w14:textId="77777777" w:rsidTr="007637F7">
        <w:trPr>
          <w:trHeight w:val="85"/>
        </w:trPr>
        <w:tc>
          <w:tcPr>
            <w:tcW w:w="1184" w:type="pct"/>
            <w:tcBorders>
              <w:top w:val="single" w:sz="4" w:space="0" w:color="auto"/>
              <w:left w:val="single" w:sz="4" w:space="0" w:color="auto"/>
              <w:bottom w:val="single" w:sz="4" w:space="0" w:color="auto"/>
              <w:right w:val="nil"/>
            </w:tcBorders>
            <w:shd w:val="clear" w:color="auto" w:fill="auto"/>
            <w:hideMark/>
          </w:tcPr>
          <w:p w14:paraId="61D5523E" w14:textId="77777777" w:rsidR="00466733" w:rsidRPr="00466733" w:rsidRDefault="00466733" w:rsidP="00466733">
            <w:pPr>
              <w:keepNext/>
              <w:spacing w:before="40" w:after="40"/>
              <w:rPr>
                <w:rFonts w:ascii="Arial Narrow" w:hAnsi="Arial Narrow" w:cs="Tahoma"/>
                <w:b/>
                <w:bCs/>
                <w:snapToGrid w:val="0"/>
                <w:sz w:val="20"/>
                <w:szCs w:val="22"/>
                <w:lang w:eastAsia="en-US"/>
              </w:rPr>
            </w:pPr>
            <w:r w:rsidRPr="00466733">
              <w:rPr>
                <w:rFonts w:ascii="Arial Narrow" w:hAnsi="Arial Narrow" w:cs="Tahoma"/>
                <w:b/>
                <w:bCs/>
                <w:snapToGrid w:val="0"/>
                <w:sz w:val="20"/>
                <w:szCs w:val="22"/>
                <w:lang w:eastAsia="en-US"/>
              </w:rPr>
              <w:t>Major vascular complications</w:t>
            </w:r>
          </w:p>
        </w:tc>
        <w:tc>
          <w:tcPr>
            <w:tcW w:w="401" w:type="pct"/>
            <w:tcBorders>
              <w:top w:val="single" w:sz="4" w:space="0" w:color="auto"/>
              <w:left w:val="nil"/>
              <w:bottom w:val="single" w:sz="4" w:space="0" w:color="auto"/>
              <w:right w:val="nil"/>
            </w:tcBorders>
            <w:shd w:val="clear" w:color="auto" w:fill="auto"/>
          </w:tcPr>
          <w:p w14:paraId="4FC10D15" w14:textId="77777777" w:rsidR="00466733" w:rsidRPr="00466733" w:rsidRDefault="00466733" w:rsidP="00466733">
            <w:pPr>
              <w:keepNext/>
              <w:spacing w:before="40" w:after="40"/>
              <w:rPr>
                <w:rFonts w:ascii="Arial Narrow" w:hAnsi="Arial Narrow" w:cs="Tahoma"/>
                <w:snapToGrid w:val="0"/>
                <w:sz w:val="20"/>
                <w:szCs w:val="22"/>
                <w:lang w:eastAsia="en-US"/>
              </w:rPr>
            </w:pPr>
          </w:p>
        </w:tc>
        <w:tc>
          <w:tcPr>
            <w:tcW w:w="400" w:type="pct"/>
            <w:tcBorders>
              <w:top w:val="single" w:sz="4" w:space="0" w:color="auto"/>
              <w:left w:val="nil"/>
              <w:bottom w:val="single" w:sz="4" w:space="0" w:color="auto"/>
              <w:right w:val="nil"/>
            </w:tcBorders>
            <w:shd w:val="clear" w:color="auto" w:fill="auto"/>
          </w:tcPr>
          <w:p w14:paraId="3C1FC26F" w14:textId="77777777" w:rsidR="00466733" w:rsidRPr="00466733" w:rsidRDefault="00466733" w:rsidP="00466733">
            <w:pPr>
              <w:keepNext/>
              <w:spacing w:before="40" w:after="40"/>
              <w:rPr>
                <w:rFonts w:ascii="Arial Narrow" w:hAnsi="Arial Narrow" w:cs="Tahoma"/>
                <w:snapToGrid w:val="0"/>
                <w:sz w:val="20"/>
                <w:szCs w:val="22"/>
                <w:lang w:eastAsia="en-US"/>
              </w:rPr>
            </w:pPr>
          </w:p>
        </w:tc>
        <w:tc>
          <w:tcPr>
            <w:tcW w:w="642" w:type="pct"/>
            <w:tcBorders>
              <w:top w:val="single" w:sz="4" w:space="0" w:color="auto"/>
              <w:left w:val="nil"/>
              <w:bottom w:val="single" w:sz="4" w:space="0" w:color="auto"/>
              <w:right w:val="nil"/>
            </w:tcBorders>
            <w:shd w:val="clear" w:color="auto" w:fill="auto"/>
            <w:vAlign w:val="center"/>
          </w:tcPr>
          <w:p w14:paraId="2972F411" w14:textId="77777777" w:rsidR="00466733" w:rsidRPr="00466733" w:rsidRDefault="00466733" w:rsidP="00466733">
            <w:pPr>
              <w:keepNext/>
              <w:spacing w:before="40" w:after="40"/>
              <w:rPr>
                <w:rFonts w:ascii="Arial Narrow" w:hAnsi="Arial Narrow" w:cs="Tahoma"/>
                <w:snapToGrid w:val="0"/>
                <w:sz w:val="20"/>
                <w:szCs w:val="22"/>
                <w:lang w:eastAsia="en-US"/>
              </w:rPr>
            </w:pPr>
          </w:p>
        </w:tc>
        <w:tc>
          <w:tcPr>
            <w:tcW w:w="641" w:type="pct"/>
            <w:tcBorders>
              <w:top w:val="single" w:sz="4" w:space="0" w:color="auto"/>
              <w:left w:val="nil"/>
              <w:bottom w:val="single" w:sz="4" w:space="0" w:color="auto"/>
              <w:right w:val="nil"/>
            </w:tcBorders>
            <w:shd w:val="clear" w:color="auto" w:fill="auto"/>
            <w:vAlign w:val="center"/>
          </w:tcPr>
          <w:p w14:paraId="3A09FE8D" w14:textId="77777777" w:rsidR="00466733" w:rsidRPr="00466733" w:rsidRDefault="00466733" w:rsidP="00466733">
            <w:pPr>
              <w:keepNext/>
              <w:spacing w:before="40" w:after="40"/>
              <w:rPr>
                <w:rFonts w:ascii="Arial Narrow" w:hAnsi="Arial Narrow" w:cs="Tahoma"/>
                <w:snapToGrid w:val="0"/>
                <w:sz w:val="20"/>
                <w:szCs w:val="22"/>
                <w:lang w:eastAsia="en-US"/>
              </w:rPr>
            </w:pPr>
          </w:p>
        </w:tc>
        <w:tc>
          <w:tcPr>
            <w:tcW w:w="883" w:type="pct"/>
            <w:tcBorders>
              <w:top w:val="single" w:sz="4" w:space="0" w:color="auto"/>
              <w:left w:val="nil"/>
              <w:bottom w:val="single" w:sz="4" w:space="0" w:color="auto"/>
              <w:right w:val="nil"/>
            </w:tcBorders>
            <w:shd w:val="clear" w:color="auto" w:fill="auto"/>
            <w:vAlign w:val="center"/>
          </w:tcPr>
          <w:p w14:paraId="2C7740EA" w14:textId="77777777" w:rsidR="00466733" w:rsidRPr="00466733" w:rsidRDefault="00466733" w:rsidP="00466733">
            <w:pPr>
              <w:keepNext/>
              <w:spacing w:before="40" w:after="40"/>
              <w:rPr>
                <w:rFonts w:ascii="Arial Narrow" w:hAnsi="Arial Narrow" w:cs="Tahoma"/>
                <w:snapToGrid w:val="0"/>
                <w:sz w:val="20"/>
                <w:szCs w:val="22"/>
                <w:lang w:eastAsia="en-US"/>
              </w:rPr>
            </w:pPr>
          </w:p>
        </w:tc>
        <w:tc>
          <w:tcPr>
            <w:tcW w:w="848" w:type="pct"/>
            <w:tcBorders>
              <w:top w:val="single" w:sz="4" w:space="0" w:color="auto"/>
              <w:left w:val="nil"/>
              <w:bottom w:val="single" w:sz="4" w:space="0" w:color="auto"/>
              <w:right w:val="single" w:sz="4" w:space="0" w:color="auto"/>
            </w:tcBorders>
            <w:shd w:val="clear" w:color="auto" w:fill="auto"/>
            <w:vAlign w:val="center"/>
          </w:tcPr>
          <w:p w14:paraId="760214BD" w14:textId="77777777" w:rsidR="00466733" w:rsidRPr="00466733" w:rsidRDefault="00466733" w:rsidP="00466733">
            <w:pPr>
              <w:keepNext/>
              <w:spacing w:before="40" w:after="40"/>
              <w:rPr>
                <w:rFonts w:ascii="Arial Narrow" w:hAnsi="Arial Narrow" w:cs="Tahoma"/>
                <w:snapToGrid w:val="0"/>
                <w:sz w:val="20"/>
                <w:szCs w:val="22"/>
                <w:lang w:eastAsia="en-US"/>
              </w:rPr>
            </w:pPr>
          </w:p>
        </w:tc>
      </w:tr>
      <w:tr w:rsidR="00466733" w:rsidRPr="00466733" w14:paraId="5DEA9D9B" w14:textId="77777777" w:rsidTr="007637F7">
        <w:tc>
          <w:tcPr>
            <w:tcW w:w="1184" w:type="pct"/>
            <w:tcBorders>
              <w:top w:val="single" w:sz="4" w:space="0" w:color="auto"/>
              <w:left w:val="single" w:sz="4" w:space="0" w:color="auto"/>
              <w:bottom w:val="single" w:sz="4" w:space="0" w:color="auto"/>
              <w:right w:val="single" w:sz="4" w:space="0" w:color="auto"/>
            </w:tcBorders>
          </w:tcPr>
          <w:p w14:paraId="38ED6095" w14:textId="77777777" w:rsidR="00466733" w:rsidRPr="00466733" w:rsidRDefault="00466733" w:rsidP="00466733">
            <w:pPr>
              <w:spacing w:before="40" w:after="40"/>
              <w:rPr>
                <w:rFonts w:ascii="Arial Narrow" w:hAnsi="Arial Narrow" w:cs="Tahoma"/>
                <w:snapToGrid w:val="0"/>
                <w:sz w:val="20"/>
                <w:szCs w:val="22"/>
                <w:vertAlign w:val="superscript"/>
                <w:lang w:eastAsia="en-US"/>
              </w:rPr>
            </w:pPr>
            <w:r w:rsidRPr="00466733">
              <w:rPr>
                <w:rFonts w:ascii="Arial Narrow" w:hAnsi="Arial Narrow"/>
                <w:sz w:val="20"/>
                <w:szCs w:val="24"/>
                <w:lang w:eastAsia="en-US"/>
              </w:rPr>
              <w:t>SENTINEL IDE (RCT)</w:t>
            </w:r>
          </w:p>
        </w:tc>
        <w:tc>
          <w:tcPr>
            <w:tcW w:w="401" w:type="pct"/>
            <w:tcBorders>
              <w:top w:val="single" w:sz="4" w:space="0" w:color="auto"/>
              <w:left w:val="single" w:sz="4" w:space="0" w:color="auto"/>
              <w:bottom w:val="single" w:sz="4" w:space="0" w:color="auto"/>
              <w:right w:val="single" w:sz="4" w:space="0" w:color="auto"/>
            </w:tcBorders>
          </w:tcPr>
          <w:p w14:paraId="059F0DE6"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napToGrid w:val="0"/>
                <w:sz w:val="20"/>
                <w:szCs w:val="24"/>
                <w:lang w:eastAsia="en-US"/>
              </w:rPr>
              <w:t>Low</w:t>
            </w:r>
          </w:p>
        </w:tc>
        <w:tc>
          <w:tcPr>
            <w:tcW w:w="400" w:type="pct"/>
            <w:tcBorders>
              <w:top w:val="single" w:sz="4" w:space="0" w:color="auto"/>
              <w:left w:val="single" w:sz="4" w:space="0" w:color="auto"/>
              <w:bottom w:val="single" w:sz="4" w:space="0" w:color="auto"/>
              <w:right w:val="single" w:sz="4" w:space="0" w:color="auto"/>
            </w:tcBorders>
          </w:tcPr>
          <w:p w14:paraId="41E4D4E5"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30 day</w:t>
            </w:r>
          </w:p>
        </w:tc>
        <w:tc>
          <w:tcPr>
            <w:tcW w:w="642" w:type="pct"/>
            <w:tcBorders>
              <w:top w:val="single" w:sz="4" w:space="0" w:color="auto"/>
              <w:left w:val="single" w:sz="4" w:space="0" w:color="auto"/>
              <w:bottom w:val="single" w:sz="4" w:space="0" w:color="auto"/>
              <w:right w:val="single" w:sz="4" w:space="0" w:color="auto"/>
            </w:tcBorders>
            <w:vAlign w:val="center"/>
          </w:tcPr>
          <w:p w14:paraId="02C832B5"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21/244 (8.6)</w:t>
            </w:r>
          </w:p>
        </w:tc>
        <w:tc>
          <w:tcPr>
            <w:tcW w:w="641" w:type="pct"/>
            <w:tcBorders>
              <w:top w:val="single" w:sz="4" w:space="0" w:color="auto"/>
              <w:left w:val="single" w:sz="4" w:space="0" w:color="auto"/>
              <w:bottom w:val="single" w:sz="4" w:space="0" w:color="auto"/>
              <w:right w:val="single" w:sz="4" w:space="0" w:color="auto"/>
            </w:tcBorders>
            <w:vAlign w:val="center"/>
          </w:tcPr>
          <w:p w14:paraId="554DF13D"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7/119 (5.9)</w:t>
            </w:r>
          </w:p>
        </w:tc>
        <w:tc>
          <w:tcPr>
            <w:tcW w:w="883" w:type="pct"/>
            <w:tcBorders>
              <w:top w:val="single" w:sz="4" w:space="0" w:color="auto"/>
              <w:left w:val="single" w:sz="4" w:space="0" w:color="auto"/>
              <w:bottom w:val="single" w:sz="4" w:space="0" w:color="auto"/>
              <w:right w:val="single" w:sz="4" w:space="0" w:color="auto"/>
            </w:tcBorders>
            <w:vAlign w:val="center"/>
          </w:tcPr>
          <w:p w14:paraId="2A2CA6CD"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0.03 [-0.03, 0.08]</w:t>
            </w:r>
          </w:p>
        </w:tc>
        <w:tc>
          <w:tcPr>
            <w:tcW w:w="848" w:type="pct"/>
            <w:tcBorders>
              <w:top w:val="single" w:sz="4" w:space="0" w:color="auto"/>
              <w:left w:val="single" w:sz="4" w:space="0" w:color="auto"/>
              <w:bottom w:val="single" w:sz="4" w:space="0" w:color="auto"/>
              <w:right w:val="single" w:sz="4" w:space="0" w:color="auto"/>
            </w:tcBorders>
            <w:vAlign w:val="center"/>
          </w:tcPr>
          <w:p w14:paraId="0E07D7B3"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1.51 [0.62, 3.65]</w:t>
            </w:r>
          </w:p>
        </w:tc>
      </w:tr>
      <w:tr w:rsidR="00466733" w:rsidRPr="00466733" w14:paraId="4C2B9103" w14:textId="77777777" w:rsidTr="007637F7">
        <w:tc>
          <w:tcPr>
            <w:tcW w:w="1184" w:type="pct"/>
            <w:tcBorders>
              <w:top w:val="single" w:sz="4" w:space="0" w:color="auto"/>
              <w:left w:val="single" w:sz="4" w:space="0" w:color="auto"/>
              <w:bottom w:val="single" w:sz="4" w:space="0" w:color="auto"/>
              <w:right w:val="single" w:sz="4" w:space="0" w:color="auto"/>
            </w:tcBorders>
          </w:tcPr>
          <w:p w14:paraId="0CAD2A43" w14:textId="77777777" w:rsidR="00466733" w:rsidRPr="00466733" w:rsidRDefault="00466733" w:rsidP="00466733">
            <w:pPr>
              <w:spacing w:before="40" w:after="40"/>
              <w:rPr>
                <w:rFonts w:ascii="Arial Narrow" w:hAnsi="Arial Narrow" w:cs="Tahoma"/>
                <w:snapToGrid w:val="0"/>
                <w:sz w:val="20"/>
                <w:szCs w:val="22"/>
                <w:vertAlign w:val="superscript"/>
                <w:lang w:eastAsia="en-US"/>
              </w:rPr>
            </w:pPr>
            <w:r w:rsidRPr="00466733">
              <w:rPr>
                <w:rFonts w:ascii="Arial Narrow" w:hAnsi="Arial Narrow"/>
                <w:sz w:val="20"/>
                <w:szCs w:val="24"/>
                <w:lang w:eastAsia="en-US"/>
              </w:rPr>
              <w:t>MISTRAL-C (RCT)</w:t>
            </w:r>
          </w:p>
        </w:tc>
        <w:tc>
          <w:tcPr>
            <w:tcW w:w="401" w:type="pct"/>
            <w:tcBorders>
              <w:top w:val="single" w:sz="4" w:space="0" w:color="auto"/>
              <w:left w:val="single" w:sz="4" w:space="0" w:color="auto"/>
              <w:bottom w:val="single" w:sz="4" w:space="0" w:color="auto"/>
              <w:right w:val="single" w:sz="4" w:space="0" w:color="auto"/>
            </w:tcBorders>
          </w:tcPr>
          <w:p w14:paraId="6A3B15D8"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napToGrid w:val="0"/>
                <w:sz w:val="20"/>
                <w:szCs w:val="24"/>
                <w:lang w:eastAsia="en-US"/>
              </w:rPr>
              <w:t>Low</w:t>
            </w:r>
          </w:p>
        </w:tc>
        <w:tc>
          <w:tcPr>
            <w:tcW w:w="400" w:type="pct"/>
            <w:tcBorders>
              <w:top w:val="single" w:sz="4" w:space="0" w:color="auto"/>
              <w:left w:val="single" w:sz="4" w:space="0" w:color="auto"/>
              <w:bottom w:val="single" w:sz="4" w:space="0" w:color="auto"/>
              <w:right w:val="single" w:sz="4" w:space="0" w:color="auto"/>
            </w:tcBorders>
          </w:tcPr>
          <w:p w14:paraId="77C1E093"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30 day</w:t>
            </w:r>
          </w:p>
        </w:tc>
        <w:tc>
          <w:tcPr>
            <w:tcW w:w="642" w:type="pct"/>
            <w:tcBorders>
              <w:top w:val="single" w:sz="4" w:space="0" w:color="auto"/>
              <w:left w:val="single" w:sz="4" w:space="0" w:color="auto"/>
              <w:bottom w:val="single" w:sz="4" w:space="0" w:color="auto"/>
              <w:right w:val="single" w:sz="4" w:space="0" w:color="auto"/>
            </w:tcBorders>
            <w:vAlign w:val="center"/>
          </w:tcPr>
          <w:p w14:paraId="63D150D3"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0/32 (0.0)</w:t>
            </w:r>
          </w:p>
        </w:tc>
        <w:tc>
          <w:tcPr>
            <w:tcW w:w="641" w:type="pct"/>
            <w:tcBorders>
              <w:top w:val="single" w:sz="4" w:space="0" w:color="auto"/>
              <w:left w:val="single" w:sz="4" w:space="0" w:color="auto"/>
              <w:bottom w:val="single" w:sz="4" w:space="0" w:color="auto"/>
              <w:right w:val="single" w:sz="4" w:space="0" w:color="auto"/>
            </w:tcBorders>
            <w:vAlign w:val="center"/>
          </w:tcPr>
          <w:p w14:paraId="70169E5E"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6/33 (18.2)</w:t>
            </w:r>
          </w:p>
        </w:tc>
        <w:tc>
          <w:tcPr>
            <w:tcW w:w="883" w:type="pct"/>
            <w:tcBorders>
              <w:top w:val="single" w:sz="4" w:space="0" w:color="auto"/>
              <w:left w:val="single" w:sz="4" w:space="0" w:color="auto"/>
              <w:bottom w:val="single" w:sz="4" w:space="0" w:color="auto"/>
              <w:right w:val="single" w:sz="4" w:space="0" w:color="auto"/>
            </w:tcBorders>
            <w:vAlign w:val="center"/>
          </w:tcPr>
          <w:p w14:paraId="2EC675AF"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-0.18 [-0.32, -0.04]</w:t>
            </w:r>
          </w:p>
        </w:tc>
        <w:tc>
          <w:tcPr>
            <w:tcW w:w="848" w:type="pct"/>
            <w:tcBorders>
              <w:top w:val="single" w:sz="4" w:space="0" w:color="auto"/>
              <w:left w:val="single" w:sz="4" w:space="0" w:color="auto"/>
              <w:bottom w:val="single" w:sz="4" w:space="0" w:color="auto"/>
              <w:right w:val="single" w:sz="4" w:space="0" w:color="auto"/>
            </w:tcBorders>
            <w:vAlign w:val="center"/>
          </w:tcPr>
          <w:p w14:paraId="0E9D8608"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0.07 [0.00, 1.21]</w:t>
            </w:r>
          </w:p>
        </w:tc>
      </w:tr>
      <w:tr w:rsidR="00466733" w:rsidRPr="00466733" w14:paraId="46636128" w14:textId="77777777" w:rsidTr="007637F7">
        <w:tc>
          <w:tcPr>
            <w:tcW w:w="1184" w:type="pct"/>
            <w:tcBorders>
              <w:top w:val="single" w:sz="4" w:space="0" w:color="auto"/>
              <w:left w:val="single" w:sz="4" w:space="0" w:color="auto"/>
              <w:bottom w:val="single" w:sz="4" w:space="0" w:color="auto"/>
              <w:right w:val="single" w:sz="4" w:space="0" w:color="auto"/>
            </w:tcBorders>
          </w:tcPr>
          <w:p w14:paraId="3E66EB18" w14:textId="77777777" w:rsidR="00466733" w:rsidRPr="00466733" w:rsidRDefault="00466733" w:rsidP="00466733">
            <w:pPr>
              <w:spacing w:before="40" w:after="40"/>
              <w:rPr>
                <w:rFonts w:ascii="Arial Narrow" w:hAnsi="Arial Narrow" w:cs="Tahoma"/>
                <w:snapToGrid w:val="0"/>
                <w:sz w:val="20"/>
                <w:szCs w:val="22"/>
                <w:vertAlign w:val="superscript"/>
                <w:lang w:eastAsia="en-US"/>
              </w:rPr>
            </w:pPr>
            <w:r w:rsidRPr="00466733">
              <w:rPr>
                <w:rFonts w:ascii="Arial Narrow" w:hAnsi="Arial Narrow"/>
                <w:sz w:val="20"/>
                <w:szCs w:val="24"/>
                <w:lang w:eastAsia="en-US"/>
              </w:rPr>
              <w:t>CLEAN TAVI (RCT)</w:t>
            </w:r>
          </w:p>
        </w:tc>
        <w:tc>
          <w:tcPr>
            <w:tcW w:w="401" w:type="pct"/>
            <w:tcBorders>
              <w:top w:val="single" w:sz="4" w:space="0" w:color="auto"/>
              <w:left w:val="single" w:sz="4" w:space="0" w:color="auto"/>
              <w:bottom w:val="single" w:sz="4" w:space="0" w:color="auto"/>
              <w:right w:val="single" w:sz="4" w:space="0" w:color="auto"/>
            </w:tcBorders>
          </w:tcPr>
          <w:p w14:paraId="0D55CABE"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napToGrid w:val="0"/>
                <w:sz w:val="20"/>
                <w:szCs w:val="24"/>
                <w:lang w:eastAsia="en-US"/>
              </w:rPr>
              <w:t>Low</w:t>
            </w:r>
          </w:p>
        </w:tc>
        <w:tc>
          <w:tcPr>
            <w:tcW w:w="400" w:type="pct"/>
            <w:tcBorders>
              <w:top w:val="single" w:sz="4" w:space="0" w:color="auto"/>
              <w:left w:val="single" w:sz="4" w:space="0" w:color="auto"/>
              <w:bottom w:val="single" w:sz="4" w:space="0" w:color="auto"/>
              <w:right w:val="single" w:sz="4" w:space="0" w:color="auto"/>
            </w:tcBorders>
          </w:tcPr>
          <w:p w14:paraId="2F4F9864"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30 day</w:t>
            </w:r>
          </w:p>
        </w:tc>
        <w:tc>
          <w:tcPr>
            <w:tcW w:w="642" w:type="pct"/>
            <w:tcBorders>
              <w:top w:val="single" w:sz="4" w:space="0" w:color="auto"/>
              <w:left w:val="single" w:sz="4" w:space="0" w:color="auto"/>
              <w:bottom w:val="single" w:sz="4" w:space="0" w:color="auto"/>
              <w:right w:val="single" w:sz="4" w:space="0" w:color="auto"/>
            </w:tcBorders>
            <w:vAlign w:val="center"/>
          </w:tcPr>
          <w:p w14:paraId="1B96051A"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5/50 (10.0)</w:t>
            </w:r>
          </w:p>
        </w:tc>
        <w:tc>
          <w:tcPr>
            <w:tcW w:w="641" w:type="pct"/>
            <w:tcBorders>
              <w:top w:val="single" w:sz="4" w:space="0" w:color="auto"/>
              <w:left w:val="single" w:sz="4" w:space="0" w:color="auto"/>
              <w:bottom w:val="single" w:sz="4" w:space="0" w:color="auto"/>
              <w:right w:val="single" w:sz="4" w:space="0" w:color="auto"/>
            </w:tcBorders>
            <w:vAlign w:val="center"/>
          </w:tcPr>
          <w:p w14:paraId="654E88F0"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6/50 (12.0)</w:t>
            </w:r>
          </w:p>
        </w:tc>
        <w:tc>
          <w:tcPr>
            <w:tcW w:w="883" w:type="pct"/>
            <w:tcBorders>
              <w:top w:val="single" w:sz="4" w:space="0" w:color="auto"/>
              <w:left w:val="single" w:sz="4" w:space="0" w:color="auto"/>
              <w:bottom w:val="single" w:sz="4" w:space="0" w:color="auto"/>
              <w:right w:val="single" w:sz="4" w:space="0" w:color="auto"/>
            </w:tcBorders>
            <w:vAlign w:val="center"/>
          </w:tcPr>
          <w:p w14:paraId="10E85EDE"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-0.02 [-0.14, 0.10]</w:t>
            </w:r>
          </w:p>
        </w:tc>
        <w:tc>
          <w:tcPr>
            <w:tcW w:w="848" w:type="pct"/>
            <w:tcBorders>
              <w:top w:val="single" w:sz="4" w:space="0" w:color="auto"/>
              <w:left w:val="single" w:sz="4" w:space="0" w:color="auto"/>
              <w:bottom w:val="single" w:sz="4" w:space="0" w:color="auto"/>
              <w:right w:val="single" w:sz="4" w:space="0" w:color="auto"/>
            </w:tcBorders>
            <w:vAlign w:val="center"/>
          </w:tcPr>
          <w:p w14:paraId="3D8C31E8"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0.81 [0.23, 2.87]</w:t>
            </w:r>
          </w:p>
        </w:tc>
      </w:tr>
      <w:tr w:rsidR="00466733" w:rsidRPr="00466733" w14:paraId="27A657D3" w14:textId="77777777" w:rsidTr="007637F7">
        <w:tc>
          <w:tcPr>
            <w:tcW w:w="1184" w:type="pct"/>
            <w:tcBorders>
              <w:top w:val="single" w:sz="4" w:space="0" w:color="auto"/>
              <w:left w:val="single" w:sz="4" w:space="0" w:color="auto"/>
              <w:bottom w:val="single" w:sz="4" w:space="0" w:color="auto"/>
              <w:right w:val="single" w:sz="4" w:space="0" w:color="auto"/>
            </w:tcBorders>
          </w:tcPr>
          <w:p w14:paraId="6D930722" w14:textId="77777777" w:rsidR="00466733" w:rsidRPr="00466733" w:rsidRDefault="00466733" w:rsidP="00466733">
            <w:pPr>
              <w:spacing w:before="40" w:after="40"/>
              <w:rPr>
                <w:rFonts w:ascii="Arial Narrow" w:hAnsi="Arial Narrow"/>
                <w:snapToGrid w:val="0"/>
                <w:sz w:val="20"/>
                <w:szCs w:val="24"/>
                <w:lang w:eastAsia="en-US"/>
              </w:rPr>
            </w:pPr>
            <w:r w:rsidRPr="00466733">
              <w:rPr>
                <w:rFonts w:ascii="Arial Narrow" w:hAnsi="Arial Narrow"/>
                <w:snapToGrid w:val="0"/>
                <w:sz w:val="20"/>
                <w:szCs w:val="24"/>
                <w:lang w:eastAsia="en-US"/>
              </w:rPr>
              <w:t>Meta-analysis (all RCTs)</w:t>
            </w:r>
          </w:p>
          <w:p w14:paraId="3C8587C2" w14:textId="77777777" w:rsidR="00466733" w:rsidRPr="00466733" w:rsidRDefault="00466733" w:rsidP="00466733">
            <w:pPr>
              <w:spacing w:before="40" w:after="40"/>
              <w:rPr>
                <w:rFonts w:ascii="Arial Narrow" w:hAnsi="Arial Narrow"/>
                <w:snapToGrid w:val="0"/>
                <w:sz w:val="20"/>
                <w:szCs w:val="24"/>
                <w:lang w:eastAsia="en-US"/>
              </w:rPr>
            </w:pPr>
            <w:r w:rsidRPr="00466733">
              <w:rPr>
                <w:rFonts w:ascii="Arial Narrow" w:hAnsi="Arial Narrow"/>
                <w:iCs/>
                <w:sz w:val="20"/>
                <w:szCs w:val="24"/>
                <w:lang w:eastAsia="en-US"/>
              </w:rPr>
              <w:t>Heterogeneity (I2); p-value</w:t>
            </w:r>
          </w:p>
        </w:tc>
        <w:tc>
          <w:tcPr>
            <w:tcW w:w="401" w:type="pct"/>
            <w:tcBorders>
              <w:top w:val="single" w:sz="4" w:space="0" w:color="auto"/>
              <w:left w:val="single" w:sz="4" w:space="0" w:color="auto"/>
              <w:bottom w:val="single" w:sz="4" w:space="0" w:color="auto"/>
              <w:right w:val="single" w:sz="4" w:space="0" w:color="auto"/>
            </w:tcBorders>
          </w:tcPr>
          <w:p w14:paraId="69B5E03C"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w:t>
            </w:r>
          </w:p>
        </w:tc>
        <w:tc>
          <w:tcPr>
            <w:tcW w:w="400" w:type="pct"/>
            <w:tcBorders>
              <w:top w:val="single" w:sz="4" w:space="0" w:color="auto"/>
              <w:left w:val="single" w:sz="4" w:space="0" w:color="auto"/>
              <w:bottom w:val="single" w:sz="4" w:space="0" w:color="auto"/>
              <w:right w:val="single" w:sz="4" w:space="0" w:color="auto"/>
            </w:tcBorders>
          </w:tcPr>
          <w:p w14:paraId="016857EF"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w:t>
            </w:r>
          </w:p>
        </w:tc>
        <w:tc>
          <w:tcPr>
            <w:tcW w:w="642" w:type="pct"/>
            <w:tcBorders>
              <w:top w:val="single" w:sz="4" w:space="0" w:color="auto"/>
              <w:left w:val="single" w:sz="4" w:space="0" w:color="auto"/>
              <w:bottom w:val="single" w:sz="4" w:space="0" w:color="auto"/>
              <w:right w:val="single" w:sz="4" w:space="0" w:color="auto"/>
            </w:tcBorders>
          </w:tcPr>
          <w:p w14:paraId="1B022226"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z w:val="20"/>
                <w:szCs w:val="24"/>
                <w:lang w:eastAsia="en-US"/>
              </w:rPr>
              <w:t>26/326 (7.98)</w:t>
            </w:r>
          </w:p>
        </w:tc>
        <w:tc>
          <w:tcPr>
            <w:tcW w:w="641" w:type="pct"/>
            <w:tcBorders>
              <w:top w:val="single" w:sz="4" w:space="0" w:color="auto"/>
              <w:left w:val="single" w:sz="4" w:space="0" w:color="auto"/>
              <w:bottom w:val="single" w:sz="4" w:space="0" w:color="auto"/>
              <w:right w:val="single" w:sz="4" w:space="0" w:color="auto"/>
            </w:tcBorders>
          </w:tcPr>
          <w:p w14:paraId="3BE4D9BB"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z w:val="20"/>
                <w:szCs w:val="24"/>
                <w:lang w:eastAsia="en-US"/>
              </w:rPr>
              <w:t>19/202 (9.41)</w:t>
            </w:r>
          </w:p>
        </w:tc>
        <w:tc>
          <w:tcPr>
            <w:tcW w:w="883" w:type="pct"/>
            <w:tcBorders>
              <w:top w:val="single" w:sz="4" w:space="0" w:color="auto"/>
              <w:left w:val="single" w:sz="4" w:space="0" w:color="auto"/>
              <w:bottom w:val="single" w:sz="4" w:space="0" w:color="auto"/>
              <w:right w:val="single" w:sz="4" w:space="0" w:color="auto"/>
            </w:tcBorders>
          </w:tcPr>
          <w:p w14:paraId="5581BCAD" w14:textId="77777777" w:rsidR="00466733" w:rsidRPr="00466733" w:rsidRDefault="00466733" w:rsidP="00466733">
            <w:pPr>
              <w:spacing w:before="40" w:after="40"/>
              <w:rPr>
                <w:rFonts w:ascii="Arial Narrow" w:hAnsi="Arial Narrow"/>
                <w:sz w:val="20"/>
                <w:szCs w:val="24"/>
                <w:lang w:eastAsia="en-US"/>
              </w:rPr>
            </w:pPr>
            <w:r w:rsidRPr="00466733">
              <w:rPr>
                <w:rFonts w:ascii="Arial Narrow" w:hAnsi="Arial Narrow"/>
                <w:sz w:val="20"/>
                <w:szCs w:val="24"/>
                <w:lang w:eastAsia="en-US"/>
              </w:rPr>
              <w:t>-0.05 [-0.16, 0.07]</w:t>
            </w:r>
          </w:p>
          <w:p w14:paraId="6D3023FE"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iCs/>
                <w:snapToGrid w:val="0"/>
                <w:sz w:val="20"/>
                <w:szCs w:val="24"/>
                <w:lang w:eastAsia="en-US"/>
              </w:rPr>
              <w:t>74%; p=0.02</w:t>
            </w:r>
          </w:p>
        </w:tc>
        <w:tc>
          <w:tcPr>
            <w:tcW w:w="848" w:type="pct"/>
            <w:tcBorders>
              <w:top w:val="single" w:sz="4" w:space="0" w:color="auto"/>
              <w:left w:val="single" w:sz="4" w:space="0" w:color="auto"/>
              <w:bottom w:val="single" w:sz="4" w:space="0" w:color="auto"/>
              <w:right w:val="single" w:sz="4" w:space="0" w:color="auto"/>
            </w:tcBorders>
          </w:tcPr>
          <w:p w14:paraId="6AE1BDBC" w14:textId="77777777" w:rsidR="00466733" w:rsidRPr="00466733" w:rsidRDefault="00466733" w:rsidP="00466733">
            <w:pPr>
              <w:spacing w:before="40" w:after="40"/>
              <w:rPr>
                <w:rFonts w:ascii="Arial Narrow" w:hAnsi="Arial Narrow"/>
                <w:sz w:val="20"/>
                <w:szCs w:val="24"/>
                <w:lang w:eastAsia="en-US"/>
              </w:rPr>
            </w:pPr>
            <w:r w:rsidRPr="00466733">
              <w:rPr>
                <w:rFonts w:ascii="Arial Narrow" w:hAnsi="Arial Narrow"/>
                <w:sz w:val="20"/>
                <w:szCs w:val="24"/>
                <w:lang w:eastAsia="en-US"/>
              </w:rPr>
              <w:t>0.77 [0.22, 2.65]</w:t>
            </w:r>
          </w:p>
          <w:p w14:paraId="7138B5E0"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56%; p=0.11</w:t>
            </w:r>
          </w:p>
        </w:tc>
      </w:tr>
      <w:tr w:rsidR="00466733" w:rsidRPr="00466733" w14:paraId="0DC04E0E" w14:textId="77777777" w:rsidTr="007637F7">
        <w:tc>
          <w:tcPr>
            <w:tcW w:w="1184" w:type="pct"/>
            <w:tcBorders>
              <w:top w:val="single" w:sz="4" w:space="0" w:color="auto"/>
              <w:left w:val="single" w:sz="4" w:space="0" w:color="auto"/>
              <w:bottom w:val="single" w:sz="4" w:space="0" w:color="auto"/>
              <w:right w:val="single" w:sz="4" w:space="0" w:color="auto"/>
            </w:tcBorders>
          </w:tcPr>
          <w:p w14:paraId="33840076" w14:textId="77777777" w:rsidR="00466733" w:rsidRPr="00466733" w:rsidRDefault="00466733" w:rsidP="00466733">
            <w:pPr>
              <w:spacing w:before="40" w:after="40"/>
              <w:rPr>
                <w:rFonts w:ascii="Arial Narrow" w:hAnsi="Arial Narrow"/>
                <w:snapToGrid w:val="0"/>
                <w:sz w:val="20"/>
                <w:szCs w:val="24"/>
                <w:lang w:eastAsia="en-US"/>
              </w:rPr>
            </w:pPr>
            <w:r w:rsidRPr="00466733">
              <w:rPr>
                <w:rFonts w:ascii="Arial Narrow" w:hAnsi="Arial Narrow"/>
                <w:snapToGrid w:val="0"/>
                <w:sz w:val="20"/>
                <w:szCs w:val="24"/>
                <w:lang w:eastAsia="en-US"/>
              </w:rPr>
              <w:t xml:space="preserve">Meta-analysis </w:t>
            </w:r>
          </w:p>
          <w:p w14:paraId="6A127B4B" w14:textId="77777777" w:rsidR="00466733" w:rsidRPr="00466733" w:rsidRDefault="00466733" w:rsidP="00466733">
            <w:pPr>
              <w:spacing w:before="40" w:after="40"/>
              <w:rPr>
                <w:rFonts w:ascii="Arial Narrow" w:hAnsi="Arial Narrow"/>
                <w:snapToGrid w:val="0"/>
                <w:sz w:val="20"/>
                <w:szCs w:val="24"/>
                <w:lang w:eastAsia="en-US"/>
              </w:rPr>
            </w:pPr>
            <w:r w:rsidRPr="00466733">
              <w:rPr>
                <w:rFonts w:ascii="Arial Narrow" w:hAnsi="Arial Narrow"/>
                <w:snapToGrid w:val="0"/>
                <w:sz w:val="20"/>
                <w:szCs w:val="24"/>
                <w:lang w:eastAsia="en-US"/>
              </w:rPr>
              <w:t>(excluding MISTRAL-C)</w:t>
            </w:r>
          </w:p>
          <w:p w14:paraId="6210D093"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iCs/>
                <w:sz w:val="20"/>
                <w:szCs w:val="24"/>
                <w:lang w:eastAsia="en-US"/>
              </w:rPr>
              <w:t>Heterogeneity (I2); p-value</w:t>
            </w:r>
          </w:p>
        </w:tc>
        <w:tc>
          <w:tcPr>
            <w:tcW w:w="401" w:type="pct"/>
            <w:tcBorders>
              <w:top w:val="single" w:sz="4" w:space="0" w:color="auto"/>
              <w:left w:val="single" w:sz="4" w:space="0" w:color="auto"/>
              <w:bottom w:val="single" w:sz="4" w:space="0" w:color="auto"/>
              <w:right w:val="single" w:sz="4" w:space="0" w:color="auto"/>
            </w:tcBorders>
          </w:tcPr>
          <w:p w14:paraId="3A1E798F"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w:t>
            </w:r>
          </w:p>
        </w:tc>
        <w:tc>
          <w:tcPr>
            <w:tcW w:w="400" w:type="pct"/>
            <w:tcBorders>
              <w:top w:val="single" w:sz="4" w:space="0" w:color="auto"/>
              <w:left w:val="single" w:sz="4" w:space="0" w:color="auto"/>
              <w:bottom w:val="single" w:sz="4" w:space="0" w:color="auto"/>
              <w:right w:val="single" w:sz="4" w:space="0" w:color="auto"/>
            </w:tcBorders>
          </w:tcPr>
          <w:p w14:paraId="3E2A3AD7"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w:t>
            </w:r>
          </w:p>
        </w:tc>
        <w:tc>
          <w:tcPr>
            <w:tcW w:w="642" w:type="pct"/>
            <w:tcBorders>
              <w:top w:val="single" w:sz="4" w:space="0" w:color="auto"/>
              <w:left w:val="single" w:sz="4" w:space="0" w:color="auto"/>
              <w:bottom w:val="single" w:sz="4" w:space="0" w:color="auto"/>
              <w:right w:val="single" w:sz="4" w:space="0" w:color="auto"/>
            </w:tcBorders>
            <w:vAlign w:val="center"/>
          </w:tcPr>
          <w:p w14:paraId="7520266A"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26/294 (8.84)</w:t>
            </w:r>
          </w:p>
        </w:tc>
        <w:tc>
          <w:tcPr>
            <w:tcW w:w="641" w:type="pct"/>
            <w:tcBorders>
              <w:top w:val="single" w:sz="4" w:space="0" w:color="auto"/>
              <w:left w:val="single" w:sz="4" w:space="0" w:color="auto"/>
              <w:bottom w:val="single" w:sz="4" w:space="0" w:color="auto"/>
              <w:right w:val="single" w:sz="4" w:space="0" w:color="auto"/>
            </w:tcBorders>
            <w:vAlign w:val="center"/>
          </w:tcPr>
          <w:p w14:paraId="6D6EA851"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13/169 (7.69)</w:t>
            </w:r>
          </w:p>
        </w:tc>
        <w:tc>
          <w:tcPr>
            <w:tcW w:w="883" w:type="pct"/>
            <w:tcBorders>
              <w:top w:val="single" w:sz="4" w:space="0" w:color="auto"/>
              <w:left w:val="single" w:sz="4" w:space="0" w:color="auto"/>
              <w:bottom w:val="single" w:sz="4" w:space="0" w:color="auto"/>
              <w:right w:val="single" w:sz="4" w:space="0" w:color="auto"/>
            </w:tcBorders>
            <w:vAlign w:val="center"/>
          </w:tcPr>
          <w:p w14:paraId="493C1659"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napToGrid w:val="0"/>
                <w:sz w:val="20"/>
                <w:szCs w:val="24"/>
                <w:lang w:eastAsia="en-US"/>
              </w:rPr>
              <w:t>0.02 [-0.03, 0.07]</w:t>
            </w:r>
            <w:r w:rsidRPr="00466733">
              <w:rPr>
                <w:rFonts w:ascii="Arial Narrow" w:hAnsi="Arial Narrow"/>
                <w:sz w:val="20"/>
                <w:szCs w:val="24"/>
                <w:lang w:eastAsia="en-US"/>
              </w:rPr>
              <w:t xml:space="preserve"> </w:t>
            </w:r>
            <w:r w:rsidRPr="00466733">
              <w:rPr>
                <w:rFonts w:ascii="Arial Narrow" w:hAnsi="Arial Narrow"/>
                <w:snapToGrid w:val="0"/>
                <w:sz w:val="20"/>
                <w:szCs w:val="24"/>
                <w:lang w:eastAsia="en-US"/>
              </w:rPr>
              <w:t xml:space="preserve">0%; p=0.48 </w:t>
            </w:r>
          </w:p>
        </w:tc>
        <w:tc>
          <w:tcPr>
            <w:tcW w:w="848" w:type="pct"/>
            <w:tcBorders>
              <w:top w:val="single" w:sz="4" w:space="0" w:color="auto"/>
              <w:left w:val="single" w:sz="4" w:space="0" w:color="auto"/>
              <w:bottom w:val="single" w:sz="4" w:space="0" w:color="auto"/>
              <w:right w:val="single" w:sz="4" w:space="0" w:color="auto"/>
            </w:tcBorders>
            <w:vAlign w:val="center"/>
          </w:tcPr>
          <w:p w14:paraId="213235F7" w14:textId="77777777" w:rsidR="00466733" w:rsidRPr="00466733" w:rsidRDefault="00466733" w:rsidP="00466733">
            <w:pPr>
              <w:spacing w:before="40" w:after="40"/>
              <w:rPr>
                <w:rFonts w:ascii="Arial Narrow" w:hAnsi="Arial Narrow"/>
                <w:snapToGrid w:val="0"/>
                <w:sz w:val="20"/>
                <w:szCs w:val="24"/>
                <w:lang w:eastAsia="en-US"/>
              </w:rPr>
            </w:pPr>
            <w:r w:rsidRPr="00466733">
              <w:rPr>
                <w:rFonts w:ascii="Arial Narrow" w:hAnsi="Arial Narrow"/>
                <w:snapToGrid w:val="0"/>
                <w:sz w:val="20"/>
                <w:szCs w:val="24"/>
                <w:lang w:eastAsia="en-US"/>
              </w:rPr>
              <w:t>1.23 [0.60, 2.53]</w:t>
            </w:r>
          </w:p>
          <w:p w14:paraId="1E4D1235"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0%; p=0.43</w:t>
            </w:r>
          </w:p>
        </w:tc>
      </w:tr>
      <w:tr w:rsidR="00466733" w:rsidRPr="00466733" w14:paraId="3EE6CC73" w14:textId="77777777" w:rsidTr="007637F7">
        <w:trPr>
          <w:trHeight w:val="169"/>
        </w:trPr>
        <w:tc>
          <w:tcPr>
            <w:tcW w:w="1184" w:type="pct"/>
            <w:tcBorders>
              <w:top w:val="single" w:sz="4" w:space="0" w:color="auto"/>
              <w:left w:val="single" w:sz="4" w:space="0" w:color="auto"/>
              <w:bottom w:val="single" w:sz="4" w:space="0" w:color="auto"/>
              <w:right w:val="nil"/>
            </w:tcBorders>
          </w:tcPr>
          <w:p w14:paraId="257F178D" w14:textId="77777777" w:rsidR="00466733" w:rsidRPr="00466733" w:rsidRDefault="00466733" w:rsidP="00466733">
            <w:pPr>
              <w:keepNext/>
              <w:spacing w:before="40" w:after="40"/>
              <w:rPr>
                <w:rFonts w:ascii="Arial Narrow" w:hAnsi="Arial Narrow" w:cs="Tahoma"/>
                <w:b/>
                <w:snapToGrid w:val="0"/>
                <w:sz w:val="20"/>
                <w:szCs w:val="22"/>
                <w:lang w:eastAsia="en-US"/>
              </w:rPr>
            </w:pPr>
            <w:r w:rsidRPr="00466733">
              <w:rPr>
                <w:rFonts w:ascii="Arial Narrow" w:hAnsi="Arial Narrow" w:cs="Tahoma"/>
                <w:b/>
                <w:snapToGrid w:val="0"/>
                <w:sz w:val="20"/>
                <w:szCs w:val="22"/>
                <w:lang w:eastAsia="en-US"/>
              </w:rPr>
              <w:t xml:space="preserve">Acute kidney injury </w:t>
            </w:r>
          </w:p>
          <w:p w14:paraId="17B732FF" w14:textId="77777777" w:rsidR="00466733" w:rsidRPr="00466733" w:rsidRDefault="00466733" w:rsidP="00466733">
            <w:pPr>
              <w:keepNext/>
              <w:spacing w:before="40" w:after="40"/>
              <w:rPr>
                <w:rFonts w:ascii="Arial Narrow" w:hAnsi="Arial Narrow" w:cs="Tahoma"/>
                <w:b/>
                <w:snapToGrid w:val="0"/>
                <w:sz w:val="20"/>
                <w:szCs w:val="22"/>
                <w:lang w:eastAsia="en-US"/>
              </w:rPr>
            </w:pPr>
            <w:r w:rsidRPr="00466733">
              <w:rPr>
                <w:rFonts w:ascii="Arial Narrow" w:hAnsi="Arial Narrow" w:cs="Tahoma"/>
                <w:b/>
                <w:snapToGrid w:val="0"/>
                <w:sz w:val="20"/>
                <w:szCs w:val="22"/>
                <w:lang w:eastAsia="en-US"/>
              </w:rPr>
              <w:t>(30 days)</w:t>
            </w:r>
          </w:p>
        </w:tc>
        <w:tc>
          <w:tcPr>
            <w:tcW w:w="401" w:type="pct"/>
            <w:tcBorders>
              <w:top w:val="single" w:sz="4" w:space="0" w:color="auto"/>
              <w:left w:val="nil"/>
              <w:bottom w:val="single" w:sz="4" w:space="0" w:color="auto"/>
              <w:right w:val="nil"/>
            </w:tcBorders>
          </w:tcPr>
          <w:p w14:paraId="6A2C3202" w14:textId="77777777" w:rsidR="00466733" w:rsidRPr="00466733" w:rsidRDefault="00466733" w:rsidP="00466733">
            <w:pPr>
              <w:keepNext/>
              <w:spacing w:before="40" w:after="40"/>
              <w:rPr>
                <w:rFonts w:ascii="Arial Narrow" w:hAnsi="Arial Narrow" w:cs="Tahoma"/>
                <w:snapToGrid w:val="0"/>
                <w:sz w:val="20"/>
                <w:szCs w:val="22"/>
                <w:lang w:eastAsia="en-US"/>
              </w:rPr>
            </w:pPr>
          </w:p>
        </w:tc>
        <w:tc>
          <w:tcPr>
            <w:tcW w:w="400" w:type="pct"/>
            <w:tcBorders>
              <w:top w:val="single" w:sz="4" w:space="0" w:color="auto"/>
              <w:left w:val="nil"/>
              <w:bottom w:val="single" w:sz="4" w:space="0" w:color="auto"/>
              <w:right w:val="nil"/>
            </w:tcBorders>
          </w:tcPr>
          <w:p w14:paraId="3C875A9B" w14:textId="77777777" w:rsidR="00466733" w:rsidRPr="00466733" w:rsidRDefault="00466733" w:rsidP="00466733">
            <w:pPr>
              <w:keepNext/>
              <w:spacing w:before="40" w:after="40"/>
              <w:rPr>
                <w:rFonts w:ascii="Arial Narrow" w:hAnsi="Arial Narrow" w:cs="Tahoma"/>
                <w:snapToGrid w:val="0"/>
                <w:sz w:val="20"/>
                <w:szCs w:val="22"/>
                <w:lang w:eastAsia="en-US"/>
              </w:rPr>
            </w:pPr>
          </w:p>
        </w:tc>
        <w:tc>
          <w:tcPr>
            <w:tcW w:w="642" w:type="pct"/>
            <w:tcBorders>
              <w:top w:val="single" w:sz="4" w:space="0" w:color="auto"/>
              <w:left w:val="nil"/>
              <w:bottom w:val="single" w:sz="4" w:space="0" w:color="auto"/>
              <w:right w:val="nil"/>
            </w:tcBorders>
            <w:vAlign w:val="center"/>
          </w:tcPr>
          <w:p w14:paraId="2FABCB05" w14:textId="77777777" w:rsidR="00466733" w:rsidRPr="00466733" w:rsidRDefault="00466733" w:rsidP="00466733">
            <w:pPr>
              <w:keepNext/>
              <w:spacing w:before="40" w:after="40"/>
              <w:rPr>
                <w:rFonts w:ascii="Arial Narrow" w:hAnsi="Arial Narrow" w:cs="Tahoma"/>
                <w:snapToGrid w:val="0"/>
                <w:sz w:val="20"/>
                <w:szCs w:val="22"/>
                <w:lang w:eastAsia="en-US"/>
              </w:rPr>
            </w:pPr>
          </w:p>
        </w:tc>
        <w:tc>
          <w:tcPr>
            <w:tcW w:w="641" w:type="pct"/>
            <w:tcBorders>
              <w:top w:val="single" w:sz="4" w:space="0" w:color="auto"/>
              <w:left w:val="nil"/>
              <w:bottom w:val="single" w:sz="4" w:space="0" w:color="auto"/>
              <w:right w:val="nil"/>
            </w:tcBorders>
            <w:vAlign w:val="center"/>
          </w:tcPr>
          <w:p w14:paraId="6C984911" w14:textId="77777777" w:rsidR="00466733" w:rsidRPr="00466733" w:rsidRDefault="00466733" w:rsidP="00466733">
            <w:pPr>
              <w:keepNext/>
              <w:spacing w:before="40" w:after="40"/>
              <w:rPr>
                <w:rFonts w:ascii="Arial Narrow" w:hAnsi="Arial Narrow" w:cs="Tahoma"/>
                <w:snapToGrid w:val="0"/>
                <w:sz w:val="20"/>
                <w:szCs w:val="22"/>
                <w:lang w:eastAsia="en-US"/>
              </w:rPr>
            </w:pPr>
          </w:p>
        </w:tc>
        <w:tc>
          <w:tcPr>
            <w:tcW w:w="883" w:type="pct"/>
            <w:tcBorders>
              <w:top w:val="single" w:sz="4" w:space="0" w:color="auto"/>
              <w:left w:val="nil"/>
              <w:bottom w:val="single" w:sz="4" w:space="0" w:color="auto"/>
              <w:right w:val="nil"/>
            </w:tcBorders>
            <w:vAlign w:val="center"/>
          </w:tcPr>
          <w:p w14:paraId="2938119B" w14:textId="77777777" w:rsidR="00466733" w:rsidRPr="00466733" w:rsidRDefault="00466733" w:rsidP="00466733">
            <w:pPr>
              <w:keepNext/>
              <w:spacing w:before="40" w:after="40"/>
              <w:rPr>
                <w:rFonts w:ascii="Arial Narrow" w:hAnsi="Arial Narrow" w:cs="Tahoma"/>
                <w:snapToGrid w:val="0"/>
                <w:sz w:val="20"/>
                <w:szCs w:val="22"/>
                <w:lang w:eastAsia="en-US"/>
              </w:rPr>
            </w:pPr>
          </w:p>
        </w:tc>
        <w:tc>
          <w:tcPr>
            <w:tcW w:w="848" w:type="pct"/>
            <w:tcBorders>
              <w:top w:val="single" w:sz="4" w:space="0" w:color="auto"/>
              <w:left w:val="nil"/>
              <w:bottom w:val="single" w:sz="4" w:space="0" w:color="auto"/>
              <w:right w:val="single" w:sz="4" w:space="0" w:color="auto"/>
            </w:tcBorders>
            <w:vAlign w:val="center"/>
          </w:tcPr>
          <w:p w14:paraId="670827AC" w14:textId="77777777" w:rsidR="00466733" w:rsidRPr="00466733" w:rsidRDefault="00466733" w:rsidP="00466733">
            <w:pPr>
              <w:keepNext/>
              <w:spacing w:before="40" w:after="40"/>
              <w:rPr>
                <w:rFonts w:ascii="Arial Narrow" w:hAnsi="Arial Narrow" w:cs="Tahoma"/>
                <w:snapToGrid w:val="0"/>
                <w:sz w:val="20"/>
                <w:szCs w:val="22"/>
                <w:lang w:eastAsia="en-US"/>
              </w:rPr>
            </w:pPr>
          </w:p>
        </w:tc>
      </w:tr>
      <w:tr w:rsidR="00466733" w:rsidRPr="00466733" w14:paraId="630B2297" w14:textId="77777777" w:rsidTr="007637F7">
        <w:tc>
          <w:tcPr>
            <w:tcW w:w="1184" w:type="pct"/>
            <w:tcBorders>
              <w:top w:val="single" w:sz="4" w:space="0" w:color="auto"/>
              <w:left w:val="single" w:sz="4" w:space="0" w:color="auto"/>
              <w:bottom w:val="single" w:sz="4" w:space="0" w:color="auto"/>
              <w:right w:val="single" w:sz="4" w:space="0" w:color="auto"/>
            </w:tcBorders>
          </w:tcPr>
          <w:p w14:paraId="373E1EE3"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SENTINEL IDE (RCT)</w:t>
            </w:r>
          </w:p>
        </w:tc>
        <w:tc>
          <w:tcPr>
            <w:tcW w:w="401" w:type="pct"/>
            <w:tcBorders>
              <w:top w:val="single" w:sz="4" w:space="0" w:color="auto"/>
              <w:left w:val="single" w:sz="4" w:space="0" w:color="auto"/>
              <w:bottom w:val="single" w:sz="4" w:space="0" w:color="auto"/>
              <w:right w:val="single" w:sz="4" w:space="0" w:color="auto"/>
            </w:tcBorders>
          </w:tcPr>
          <w:p w14:paraId="6533AC66"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napToGrid w:val="0"/>
                <w:sz w:val="20"/>
                <w:szCs w:val="24"/>
                <w:lang w:eastAsia="en-US"/>
              </w:rPr>
              <w:t>Low</w:t>
            </w:r>
          </w:p>
        </w:tc>
        <w:tc>
          <w:tcPr>
            <w:tcW w:w="400" w:type="pct"/>
            <w:tcBorders>
              <w:top w:val="single" w:sz="4" w:space="0" w:color="auto"/>
              <w:left w:val="single" w:sz="4" w:space="0" w:color="auto"/>
              <w:bottom w:val="single" w:sz="4" w:space="0" w:color="auto"/>
              <w:right w:val="single" w:sz="4" w:space="0" w:color="auto"/>
            </w:tcBorders>
          </w:tcPr>
          <w:p w14:paraId="0A69BF44"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30 day</w:t>
            </w:r>
          </w:p>
        </w:tc>
        <w:tc>
          <w:tcPr>
            <w:tcW w:w="642" w:type="pct"/>
            <w:tcBorders>
              <w:top w:val="single" w:sz="4" w:space="0" w:color="auto"/>
              <w:left w:val="single" w:sz="4" w:space="0" w:color="auto"/>
              <w:bottom w:val="single" w:sz="4" w:space="0" w:color="auto"/>
              <w:right w:val="single" w:sz="4" w:space="0" w:color="auto"/>
            </w:tcBorders>
            <w:vAlign w:val="center"/>
          </w:tcPr>
          <w:p w14:paraId="15DB50FF"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1/116 (0.9)</w:t>
            </w:r>
          </w:p>
        </w:tc>
        <w:tc>
          <w:tcPr>
            <w:tcW w:w="641" w:type="pct"/>
            <w:tcBorders>
              <w:top w:val="single" w:sz="4" w:space="0" w:color="auto"/>
              <w:left w:val="single" w:sz="4" w:space="0" w:color="auto"/>
              <w:bottom w:val="single" w:sz="4" w:space="0" w:color="auto"/>
              <w:right w:val="single" w:sz="4" w:space="0" w:color="auto"/>
            </w:tcBorders>
            <w:vAlign w:val="center"/>
          </w:tcPr>
          <w:p w14:paraId="19BF1072"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0/110 (0.0)</w:t>
            </w:r>
          </w:p>
        </w:tc>
        <w:tc>
          <w:tcPr>
            <w:tcW w:w="883" w:type="pct"/>
            <w:tcBorders>
              <w:top w:val="single" w:sz="4" w:space="0" w:color="auto"/>
              <w:left w:val="single" w:sz="4" w:space="0" w:color="auto"/>
              <w:bottom w:val="single" w:sz="4" w:space="0" w:color="auto"/>
              <w:right w:val="single" w:sz="4" w:space="0" w:color="auto"/>
            </w:tcBorders>
            <w:vAlign w:val="center"/>
          </w:tcPr>
          <w:p w14:paraId="51E695AB"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0.01 [-0.02, 0.03]</w:t>
            </w:r>
          </w:p>
        </w:tc>
        <w:tc>
          <w:tcPr>
            <w:tcW w:w="848" w:type="pct"/>
            <w:tcBorders>
              <w:top w:val="single" w:sz="4" w:space="0" w:color="auto"/>
              <w:left w:val="single" w:sz="4" w:space="0" w:color="auto"/>
              <w:bottom w:val="single" w:sz="4" w:space="0" w:color="auto"/>
              <w:right w:val="single" w:sz="4" w:space="0" w:color="auto"/>
            </w:tcBorders>
            <w:vAlign w:val="center"/>
          </w:tcPr>
          <w:p w14:paraId="16089A10"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2.87 [0.12, 71.21]</w:t>
            </w:r>
          </w:p>
        </w:tc>
      </w:tr>
      <w:tr w:rsidR="00466733" w:rsidRPr="00466733" w14:paraId="735EE2FA" w14:textId="77777777" w:rsidTr="007637F7">
        <w:tc>
          <w:tcPr>
            <w:tcW w:w="1184" w:type="pct"/>
            <w:tcBorders>
              <w:top w:val="single" w:sz="4" w:space="0" w:color="auto"/>
              <w:left w:val="single" w:sz="4" w:space="0" w:color="auto"/>
              <w:bottom w:val="single" w:sz="4" w:space="0" w:color="auto"/>
              <w:right w:val="single" w:sz="4" w:space="0" w:color="auto"/>
            </w:tcBorders>
          </w:tcPr>
          <w:p w14:paraId="3D3ADF56"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MISTRAL-C (RCT)</w:t>
            </w:r>
          </w:p>
        </w:tc>
        <w:tc>
          <w:tcPr>
            <w:tcW w:w="401" w:type="pct"/>
            <w:tcBorders>
              <w:top w:val="single" w:sz="4" w:space="0" w:color="auto"/>
              <w:left w:val="single" w:sz="4" w:space="0" w:color="auto"/>
              <w:bottom w:val="single" w:sz="4" w:space="0" w:color="auto"/>
              <w:right w:val="single" w:sz="4" w:space="0" w:color="auto"/>
            </w:tcBorders>
          </w:tcPr>
          <w:p w14:paraId="1696AFF9"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napToGrid w:val="0"/>
                <w:sz w:val="20"/>
                <w:szCs w:val="24"/>
                <w:lang w:eastAsia="en-US"/>
              </w:rPr>
              <w:t>Low</w:t>
            </w:r>
          </w:p>
        </w:tc>
        <w:tc>
          <w:tcPr>
            <w:tcW w:w="400" w:type="pct"/>
            <w:tcBorders>
              <w:top w:val="single" w:sz="4" w:space="0" w:color="auto"/>
              <w:left w:val="single" w:sz="4" w:space="0" w:color="auto"/>
              <w:bottom w:val="single" w:sz="4" w:space="0" w:color="auto"/>
              <w:right w:val="single" w:sz="4" w:space="0" w:color="auto"/>
            </w:tcBorders>
          </w:tcPr>
          <w:p w14:paraId="2DE9B31B"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30 day</w:t>
            </w:r>
          </w:p>
        </w:tc>
        <w:tc>
          <w:tcPr>
            <w:tcW w:w="642" w:type="pct"/>
            <w:tcBorders>
              <w:top w:val="single" w:sz="4" w:space="0" w:color="auto"/>
              <w:left w:val="single" w:sz="4" w:space="0" w:color="auto"/>
              <w:bottom w:val="single" w:sz="4" w:space="0" w:color="auto"/>
              <w:right w:val="single" w:sz="4" w:space="0" w:color="auto"/>
            </w:tcBorders>
            <w:vAlign w:val="center"/>
          </w:tcPr>
          <w:p w14:paraId="7988EFDE"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0/32 (0.0)</w:t>
            </w:r>
          </w:p>
        </w:tc>
        <w:tc>
          <w:tcPr>
            <w:tcW w:w="641" w:type="pct"/>
            <w:tcBorders>
              <w:top w:val="single" w:sz="4" w:space="0" w:color="auto"/>
              <w:left w:val="single" w:sz="4" w:space="0" w:color="auto"/>
              <w:bottom w:val="single" w:sz="4" w:space="0" w:color="auto"/>
              <w:right w:val="single" w:sz="4" w:space="0" w:color="auto"/>
            </w:tcBorders>
            <w:vAlign w:val="center"/>
          </w:tcPr>
          <w:p w14:paraId="1567086B"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1/33 (3.0)</w:t>
            </w:r>
          </w:p>
        </w:tc>
        <w:tc>
          <w:tcPr>
            <w:tcW w:w="883" w:type="pct"/>
            <w:tcBorders>
              <w:top w:val="single" w:sz="4" w:space="0" w:color="auto"/>
              <w:left w:val="single" w:sz="4" w:space="0" w:color="auto"/>
              <w:bottom w:val="single" w:sz="4" w:space="0" w:color="auto"/>
              <w:right w:val="single" w:sz="4" w:space="0" w:color="auto"/>
            </w:tcBorders>
            <w:vAlign w:val="center"/>
          </w:tcPr>
          <w:p w14:paraId="2CBAB296"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-0.03 [-0.11, 0.05]</w:t>
            </w:r>
          </w:p>
        </w:tc>
        <w:tc>
          <w:tcPr>
            <w:tcW w:w="848" w:type="pct"/>
            <w:tcBorders>
              <w:top w:val="single" w:sz="4" w:space="0" w:color="auto"/>
              <w:left w:val="single" w:sz="4" w:space="0" w:color="auto"/>
              <w:bottom w:val="single" w:sz="4" w:space="0" w:color="auto"/>
              <w:right w:val="single" w:sz="4" w:space="0" w:color="auto"/>
            </w:tcBorders>
            <w:vAlign w:val="center"/>
          </w:tcPr>
          <w:p w14:paraId="1161E36F"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0.33 [0.01, 8.49]</w:t>
            </w:r>
          </w:p>
        </w:tc>
      </w:tr>
      <w:tr w:rsidR="00466733" w:rsidRPr="00466733" w14:paraId="214EBDD2" w14:textId="77777777" w:rsidTr="007637F7">
        <w:tc>
          <w:tcPr>
            <w:tcW w:w="1184" w:type="pct"/>
            <w:tcBorders>
              <w:top w:val="single" w:sz="4" w:space="0" w:color="auto"/>
              <w:left w:val="single" w:sz="4" w:space="0" w:color="auto"/>
              <w:bottom w:val="single" w:sz="4" w:space="0" w:color="auto"/>
              <w:right w:val="single" w:sz="4" w:space="0" w:color="auto"/>
            </w:tcBorders>
          </w:tcPr>
          <w:p w14:paraId="1A367FDE"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CLEAN TAVI (RCT)</w:t>
            </w:r>
          </w:p>
        </w:tc>
        <w:tc>
          <w:tcPr>
            <w:tcW w:w="401" w:type="pct"/>
            <w:tcBorders>
              <w:top w:val="single" w:sz="4" w:space="0" w:color="auto"/>
              <w:left w:val="single" w:sz="4" w:space="0" w:color="auto"/>
              <w:bottom w:val="single" w:sz="4" w:space="0" w:color="auto"/>
              <w:right w:val="single" w:sz="4" w:space="0" w:color="auto"/>
            </w:tcBorders>
          </w:tcPr>
          <w:p w14:paraId="37D4229E"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napToGrid w:val="0"/>
                <w:sz w:val="20"/>
                <w:szCs w:val="24"/>
                <w:lang w:eastAsia="en-US"/>
              </w:rPr>
              <w:t>Low</w:t>
            </w:r>
          </w:p>
        </w:tc>
        <w:tc>
          <w:tcPr>
            <w:tcW w:w="400" w:type="pct"/>
            <w:tcBorders>
              <w:top w:val="single" w:sz="4" w:space="0" w:color="auto"/>
              <w:left w:val="single" w:sz="4" w:space="0" w:color="auto"/>
              <w:bottom w:val="single" w:sz="4" w:space="0" w:color="auto"/>
              <w:right w:val="single" w:sz="4" w:space="0" w:color="auto"/>
            </w:tcBorders>
          </w:tcPr>
          <w:p w14:paraId="6040DF5D"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30 day</w:t>
            </w:r>
          </w:p>
        </w:tc>
        <w:tc>
          <w:tcPr>
            <w:tcW w:w="642" w:type="pct"/>
            <w:tcBorders>
              <w:top w:val="single" w:sz="4" w:space="0" w:color="auto"/>
              <w:left w:val="single" w:sz="4" w:space="0" w:color="auto"/>
              <w:bottom w:val="single" w:sz="4" w:space="0" w:color="auto"/>
              <w:right w:val="single" w:sz="4" w:space="0" w:color="auto"/>
            </w:tcBorders>
            <w:vAlign w:val="center"/>
          </w:tcPr>
          <w:p w14:paraId="33C5D611"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1/50 (2.0)</w:t>
            </w:r>
          </w:p>
        </w:tc>
        <w:tc>
          <w:tcPr>
            <w:tcW w:w="641" w:type="pct"/>
            <w:tcBorders>
              <w:top w:val="single" w:sz="4" w:space="0" w:color="auto"/>
              <w:left w:val="single" w:sz="4" w:space="0" w:color="auto"/>
              <w:bottom w:val="single" w:sz="4" w:space="0" w:color="auto"/>
              <w:right w:val="single" w:sz="4" w:space="0" w:color="auto"/>
            </w:tcBorders>
            <w:vAlign w:val="center"/>
          </w:tcPr>
          <w:p w14:paraId="47B21780"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5/50 (10.0)</w:t>
            </w:r>
          </w:p>
        </w:tc>
        <w:tc>
          <w:tcPr>
            <w:tcW w:w="883" w:type="pct"/>
            <w:tcBorders>
              <w:top w:val="single" w:sz="4" w:space="0" w:color="auto"/>
              <w:left w:val="single" w:sz="4" w:space="0" w:color="auto"/>
              <w:bottom w:val="single" w:sz="4" w:space="0" w:color="auto"/>
              <w:right w:val="single" w:sz="4" w:space="0" w:color="auto"/>
            </w:tcBorders>
            <w:vAlign w:val="center"/>
          </w:tcPr>
          <w:p w14:paraId="163C74BA"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-0.08 [-0.17, 0.01]</w:t>
            </w:r>
          </w:p>
        </w:tc>
        <w:tc>
          <w:tcPr>
            <w:tcW w:w="848" w:type="pct"/>
            <w:tcBorders>
              <w:top w:val="single" w:sz="4" w:space="0" w:color="auto"/>
              <w:left w:val="single" w:sz="4" w:space="0" w:color="auto"/>
              <w:bottom w:val="single" w:sz="4" w:space="0" w:color="auto"/>
              <w:right w:val="single" w:sz="4" w:space="0" w:color="auto"/>
            </w:tcBorders>
            <w:vAlign w:val="center"/>
          </w:tcPr>
          <w:p w14:paraId="2856B447"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sz w:val="20"/>
                <w:szCs w:val="24"/>
                <w:lang w:eastAsia="en-US"/>
              </w:rPr>
              <w:t>0.18 [0.02, 1.63]</w:t>
            </w:r>
          </w:p>
        </w:tc>
      </w:tr>
      <w:tr w:rsidR="00466733" w:rsidRPr="00466733" w14:paraId="4C15E2F1" w14:textId="77777777" w:rsidTr="007637F7">
        <w:tc>
          <w:tcPr>
            <w:tcW w:w="1184" w:type="pct"/>
            <w:tcBorders>
              <w:top w:val="single" w:sz="4" w:space="0" w:color="auto"/>
              <w:left w:val="single" w:sz="4" w:space="0" w:color="auto"/>
              <w:bottom w:val="single" w:sz="4" w:space="0" w:color="auto"/>
              <w:right w:val="single" w:sz="4" w:space="0" w:color="auto"/>
            </w:tcBorders>
          </w:tcPr>
          <w:p w14:paraId="64D4D357"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Meta-analysis (all RCTs)</w:t>
            </w:r>
          </w:p>
          <w:p w14:paraId="53BC9755"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Heterogeneity (I2); p-value</w:t>
            </w:r>
          </w:p>
        </w:tc>
        <w:tc>
          <w:tcPr>
            <w:tcW w:w="401" w:type="pct"/>
            <w:tcBorders>
              <w:top w:val="single" w:sz="4" w:space="0" w:color="auto"/>
              <w:left w:val="single" w:sz="4" w:space="0" w:color="auto"/>
              <w:bottom w:val="single" w:sz="4" w:space="0" w:color="auto"/>
              <w:right w:val="single" w:sz="4" w:space="0" w:color="auto"/>
            </w:tcBorders>
          </w:tcPr>
          <w:p w14:paraId="050672D9"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w:t>
            </w:r>
          </w:p>
        </w:tc>
        <w:tc>
          <w:tcPr>
            <w:tcW w:w="400" w:type="pct"/>
            <w:tcBorders>
              <w:top w:val="single" w:sz="4" w:space="0" w:color="auto"/>
              <w:left w:val="single" w:sz="4" w:space="0" w:color="auto"/>
              <w:bottom w:val="single" w:sz="4" w:space="0" w:color="auto"/>
              <w:right w:val="single" w:sz="4" w:space="0" w:color="auto"/>
            </w:tcBorders>
          </w:tcPr>
          <w:p w14:paraId="63708F93" w14:textId="77777777" w:rsidR="00466733" w:rsidRPr="00466733" w:rsidRDefault="00466733" w:rsidP="00466733">
            <w:pPr>
              <w:keepNext/>
              <w:spacing w:before="40" w:after="40"/>
              <w:rPr>
                <w:rFonts w:ascii="Arial Narrow" w:hAnsi="Arial Narrow" w:cs="Tahoma"/>
                <w:snapToGrid w:val="0"/>
                <w:sz w:val="20"/>
                <w:szCs w:val="22"/>
                <w:lang w:eastAsia="en-US"/>
              </w:rPr>
            </w:pPr>
            <w:r w:rsidRPr="00466733">
              <w:rPr>
                <w:rFonts w:ascii="Arial Narrow" w:hAnsi="Arial Narrow" w:cs="Tahoma"/>
                <w:snapToGrid w:val="0"/>
                <w:sz w:val="20"/>
                <w:szCs w:val="22"/>
                <w:lang w:eastAsia="en-US"/>
              </w:rPr>
              <w:t>-</w:t>
            </w:r>
          </w:p>
        </w:tc>
        <w:tc>
          <w:tcPr>
            <w:tcW w:w="642" w:type="pct"/>
            <w:tcBorders>
              <w:top w:val="single" w:sz="4" w:space="0" w:color="auto"/>
              <w:left w:val="single" w:sz="4" w:space="0" w:color="auto"/>
              <w:bottom w:val="single" w:sz="4" w:space="0" w:color="auto"/>
              <w:right w:val="single" w:sz="4" w:space="0" w:color="auto"/>
            </w:tcBorders>
            <w:vAlign w:val="center"/>
          </w:tcPr>
          <w:p w14:paraId="7040E2B3"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2/198 (1.01)</w:t>
            </w:r>
          </w:p>
        </w:tc>
        <w:tc>
          <w:tcPr>
            <w:tcW w:w="641" w:type="pct"/>
            <w:tcBorders>
              <w:top w:val="single" w:sz="4" w:space="0" w:color="auto"/>
              <w:left w:val="single" w:sz="4" w:space="0" w:color="auto"/>
              <w:bottom w:val="single" w:sz="4" w:space="0" w:color="auto"/>
              <w:right w:val="single" w:sz="4" w:space="0" w:color="auto"/>
            </w:tcBorders>
            <w:vAlign w:val="center"/>
          </w:tcPr>
          <w:p w14:paraId="0445E73D" w14:textId="77777777" w:rsidR="00466733" w:rsidRPr="00466733" w:rsidRDefault="00466733" w:rsidP="00466733">
            <w:pPr>
              <w:spacing w:before="40" w:after="40"/>
              <w:jc w:val="center"/>
              <w:rPr>
                <w:rFonts w:ascii="Arial Narrow" w:hAnsi="Arial Narrow" w:cs="Tahoma"/>
                <w:snapToGrid w:val="0"/>
                <w:sz w:val="20"/>
                <w:szCs w:val="22"/>
                <w:lang w:eastAsia="en-US"/>
              </w:rPr>
            </w:pPr>
            <w:r w:rsidRPr="00466733">
              <w:rPr>
                <w:rFonts w:ascii="Arial Narrow" w:hAnsi="Arial Narrow"/>
                <w:snapToGrid w:val="0"/>
                <w:sz w:val="20"/>
                <w:szCs w:val="24"/>
                <w:lang w:eastAsia="en-US"/>
              </w:rPr>
              <w:t>6/193 (3.11)</w:t>
            </w:r>
          </w:p>
        </w:tc>
        <w:tc>
          <w:tcPr>
            <w:tcW w:w="883" w:type="pct"/>
            <w:tcBorders>
              <w:top w:val="single" w:sz="4" w:space="0" w:color="auto"/>
              <w:left w:val="single" w:sz="4" w:space="0" w:color="auto"/>
              <w:bottom w:val="single" w:sz="4" w:space="0" w:color="auto"/>
              <w:right w:val="single" w:sz="4" w:space="0" w:color="auto"/>
            </w:tcBorders>
            <w:vAlign w:val="center"/>
          </w:tcPr>
          <w:p w14:paraId="08C4CC88" w14:textId="77777777" w:rsidR="00466733" w:rsidRPr="00466733" w:rsidRDefault="00466733" w:rsidP="00466733">
            <w:pPr>
              <w:spacing w:before="40" w:after="40"/>
              <w:rPr>
                <w:rFonts w:ascii="Arial Narrow" w:hAnsi="Arial Narrow"/>
                <w:snapToGrid w:val="0"/>
                <w:sz w:val="20"/>
                <w:szCs w:val="24"/>
                <w:lang w:eastAsia="en-US"/>
              </w:rPr>
            </w:pPr>
            <w:r w:rsidRPr="00466733">
              <w:rPr>
                <w:rFonts w:ascii="Arial Narrow" w:hAnsi="Arial Narrow"/>
                <w:snapToGrid w:val="0"/>
                <w:sz w:val="20"/>
                <w:szCs w:val="24"/>
                <w:lang w:eastAsia="en-US"/>
              </w:rPr>
              <w:t xml:space="preserve">-0.03 [-0.10, 0.05] </w:t>
            </w:r>
          </w:p>
          <w:p w14:paraId="00E727D2"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iCs/>
                <w:snapToGrid w:val="0"/>
                <w:sz w:val="20"/>
                <w:szCs w:val="24"/>
                <w:lang w:eastAsia="en-US"/>
              </w:rPr>
              <w:t>73%; p=0.02</w:t>
            </w:r>
          </w:p>
        </w:tc>
        <w:tc>
          <w:tcPr>
            <w:tcW w:w="848" w:type="pct"/>
            <w:tcBorders>
              <w:top w:val="single" w:sz="4" w:space="0" w:color="auto"/>
              <w:left w:val="single" w:sz="4" w:space="0" w:color="auto"/>
              <w:bottom w:val="single" w:sz="4" w:space="0" w:color="auto"/>
              <w:right w:val="single" w:sz="4" w:space="0" w:color="auto"/>
            </w:tcBorders>
            <w:vAlign w:val="center"/>
          </w:tcPr>
          <w:p w14:paraId="3EEF4F6C" w14:textId="77777777" w:rsidR="00466733" w:rsidRPr="00466733" w:rsidRDefault="00466733" w:rsidP="00466733">
            <w:pPr>
              <w:spacing w:before="40" w:after="40"/>
              <w:rPr>
                <w:rFonts w:ascii="Arial Narrow" w:hAnsi="Arial Narrow"/>
                <w:snapToGrid w:val="0"/>
                <w:sz w:val="20"/>
                <w:szCs w:val="24"/>
                <w:lang w:eastAsia="en-US"/>
              </w:rPr>
            </w:pPr>
            <w:r w:rsidRPr="00466733">
              <w:rPr>
                <w:rFonts w:ascii="Arial Narrow" w:hAnsi="Arial Narrow"/>
                <w:snapToGrid w:val="0"/>
                <w:sz w:val="20"/>
                <w:szCs w:val="24"/>
                <w:lang w:eastAsia="en-US"/>
              </w:rPr>
              <w:t>0.41 [0.08, 1.99]</w:t>
            </w:r>
          </w:p>
          <w:p w14:paraId="7DC6BB8C" w14:textId="77777777" w:rsidR="00466733" w:rsidRPr="00466733" w:rsidRDefault="00466733" w:rsidP="00466733">
            <w:pPr>
              <w:spacing w:before="40" w:after="40"/>
              <w:rPr>
                <w:rFonts w:ascii="Arial Narrow" w:hAnsi="Arial Narrow" w:cs="Tahoma"/>
                <w:snapToGrid w:val="0"/>
                <w:sz w:val="20"/>
                <w:szCs w:val="22"/>
                <w:lang w:eastAsia="en-US"/>
              </w:rPr>
            </w:pPr>
            <w:r w:rsidRPr="00466733">
              <w:rPr>
                <w:rFonts w:ascii="Arial Narrow" w:hAnsi="Arial Narrow"/>
                <w:iCs/>
                <w:snapToGrid w:val="0"/>
                <w:sz w:val="20"/>
                <w:szCs w:val="24"/>
                <w:lang w:eastAsia="en-US"/>
              </w:rPr>
              <w:t>0%; p=0.38</w:t>
            </w:r>
          </w:p>
        </w:tc>
      </w:tr>
    </w:tbl>
    <w:p w14:paraId="7EB025C4" w14:textId="77777777" w:rsidR="00466733" w:rsidRPr="00466733" w:rsidRDefault="00466733" w:rsidP="00466733">
      <w:pPr>
        <w:widowControl w:val="0"/>
        <w:rPr>
          <w:rFonts w:ascii="Arial Narrow" w:hAnsi="Arial Narrow" w:cs="Arial"/>
          <w:snapToGrid w:val="0"/>
          <w:sz w:val="18"/>
          <w:lang w:eastAsia="en-US"/>
        </w:rPr>
      </w:pPr>
      <w:r w:rsidRPr="00466733">
        <w:rPr>
          <w:rFonts w:ascii="Arial Narrow" w:hAnsi="Arial Narrow" w:cs="Arial"/>
          <w:snapToGrid w:val="0"/>
          <w:sz w:val="18"/>
          <w:lang w:eastAsia="en-US"/>
        </w:rPr>
        <w:t>Source: Table 28, p52; Table 29, p53; Table 31, p55l and Table 34, p56 of the Commentary</w:t>
      </w:r>
    </w:p>
    <w:p w14:paraId="46A5D7D3" w14:textId="77777777" w:rsidR="00466733" w:rsidRPr="00466733" w:rsidRDefault="00466733" w:rsidP="00466733">
      <w:pPr>
        <w:widowControl w:val="0"/>
        <w:rPr>
          <w:rFonts w:ascii="Arial Narrow" w:hAnsi="Arial Narrow" w:cs="Arial"/>
          <w:snapToGrid w:val="0"/>
          <w:sz w:val="18"/>
          <w:lang w:eastAsia="en-US"/>
        </w:rPr>
      </w:pPr>
      <w:r w:rsidRPr="00466733">
        <w:rPr>
          <w:rFonts w:ascii="Arial Narrow" w:hAnsi="Arial Narrow" w:cs="Arial"/>
          <w:snapToGrid w:val="0"/>
          <w:sz w:val="18"/>
          <w:lang w:eastAsia="en-US"/>
        </w:rPr>
        <w:t>Abbreviations: CEP, cerebral protection device; CI, confidence interval; MACCE = Major adverse cardiac and cerebrovascular events; RD, risk difference; OR, odds ratio; TAVI, during transcatheter aortic valve implantation</w:t>
      </w:r>
    </w:p>
    <w:p w14:paraId="63558ACC" w14:textId="77777777" w:rsidR="00466733" w:rsidRPr="00466733" w:rsidRDefault="00466733" w:rsidP="00466733">
      <w:pPr>
        <w:widowControl w:val="0"/>
        <w:rPr>
          <w:rFonts w:ascii="Arial Narrow" w:hAnsi="Arial Narrow" w:cs="Arial"/>
          <w:snapToGrid w:val="0"/>
          <w:sz w:val="18"/>
          <w:lang w:eastAsia="en-US"/>
        </w:rPr>
      </w:pPr>
      <w:r w:rsidRPr="00466733">
        <w:rPr>
          <w:rFonts w:ascii="Arial Narrow" w:hAnsi="Arial Narrow" w:cs="Arial"/>
          <w:b/>
          <w:snapToGrid w:val="0"/>
          <w:sz w:val="18"/>
          <w:lang w:eastAsia="en-US"/>
        </w:rPr>
        <w:t>Bold</w:t>
      </w:r>
      <w:r w:rsidRPr="00466733">
        <w:rPr>
          <w:rFonts w:ascii="Arial Narrow" w:hAnsi="Arial Narrow" w:cs="Arial"/>
          <w:snapToGrid w:val="0"/>
          <w:sz w:val="18"/>
          <w:lang w:eastAsia="en-US"/>
        </w:rPr>
        <w:t xml:space="preserve"> = statistically significant</w:t>
      </w:r>
    </w:p>
    <w:p w14:paraId="0E5A9F3A" w14:textId="440CC234" w:rsidR="00466733" w:rsidRPr="00C65234" w:rsidRDefault="00466733" w:rsidP="00C65234">
      <w:pPr>
        <w:widowControl w:val="0"/>
        <w:rPr>
          <w:rFonts w:ascii="Arial Narrow" w:hAnsi="Arial Narrow" w:cs="Arial"/>
          <w:snapToGrid w:val="0"/>
          <w:sz w:val="18"/>
          <w:lang w:eastAsia="en-US"/>
        </w:rPr>
      </w:pPr>
      <w:r w:rsidRPr="00466733">
        <w:rPr>
          <w:rFonts w:ascii="Arial Narrow" w:hAnsi="Arial Narrow" w:cs="Arial"/>
          <w:snapToGrid w:val="0"/>
          <w:sz w:val="18"/>
          <w:vertAlign w:val="superscript"/>
          <w:lang w:eastAsia="en-US"/>
        </w:rPr>
        <w:t>a</w:t>
      </w:r>
      <w:r w:rsidRPr="00466733">
        <w:rPr>
          <w:rFonts w:ascii="Arial Narrow" w:hAnsi="Arial Narrow" w:cs="Arial"/>
          <w:snapToGrid w:val="0"/>
          <w:sz w:val="18"/>
          <w:lang w:eastAsia="en-US"/>
        </w:rPr>
        <w:t xml:space="preserve"> Combination of all-cause mortality, all stroke, and acute kidney injury stage 3</w:t>
      </w:r>
    </w:p>
    <w:p w14:paraId="1A07E0D2" w14:textId="77777777" w:rsidR="00BC1364" w:rsidRPr="00F715D1" w:rsidRDefault="00BC1364" w:rsidP="00F715D1">
      <w:pPr>
        <w:pStyle w:val="Heading1"/>
      </w:pPr>
      <w:r w:rsidRPr="00F715D1">
        <w:t>Comparative effectiveness</w:t>
      </w:r>
    </w:p>
    <w:p w14:paraId="0A258F08" w14:textId="477532A4" w:rsidR="00C65234" w:rsidRPr="00C65234" w:rsidRDefault="007637F7" w:rsidP="00C65234">
      <w:pPr>
        <w:rPr>
          <w:szCs w:val="24"/>
        </w:rPr>
      </w:pPr>
      <w:r>
        <w:rPr>
          <w:szCs w:val="24"/>
        </w:rPr>
        <w:fldChar w:fldCharType="begin"/>
      </w:r>
      <w:r>
        <w:rPr>
          <w:szCs w:val="24"/>
        </w:rPr>
        <w:instrText xml:space="preserve"> REF _Ref58332343 \h </w:instrText>
      </w:r>
      <w:r>
        <w:rPr>
          <w:szCs w:val="24"/>
        </w:rPr>
      </w:r>
      <w:r>
        <w:rPr>
          <w:szCs w:val="24"/>
        </w:rPr>
        <w:fldChar w:fldCharType="separate"/>
      </w:r>
      <w:r w:rsidR="003E3A7D">
        <w:t xml:space="preserve">Table </w:t>
      </w:r>
      <w:r w:rsidR="003E3A7D">
        <w:rPr>
          <w:noProof/>
        </w:rPr>
        <w:t>5</w:t>
      </w:r>
      <w:r>
        <w:rPr>
          <w:szCs w:val="24"/>
        </w:rPr>
        <w:fldChar w:fldCharType="end"/>
      </w:r>
      <w:r w:rsidR="00C65234" w:rsidRPr="00C65234">
        <w:rPr>
          <w:szCs w:val="24"/>
        </w:rPr>
        <w:t xml:space="preserve"> presents the key stroke outcomes from the RCTs and observational studies. The ADAR presented several analyses: meta-analysis of RCTs alone, the propensity score matched analysis of two RCTs and two cohort studies (Seeger 2019), and meta-ana</w:t>
      </w:r>
      <w:r w:rsidR="00F87E08">
        <w:rPr>
          <w:szCs w:val="24"/>
        </w:rPr>
        <w:t>lysis of all available studies.</w:t>
      </w:r>
    </w:p>
    <w:p w14:paraId="61F7BACC" w14:textId="62727622" w:rsidR="00C65234" w:rsidRPr="00C65234" w:rsidRDefault="00C65234" w:rsidP="00324DD5">
      <w:pPr>
        <w:spacing w:before="240"/>
        <w:rPr>
          <w:szCs w:val="24"/>
        </w:rPr>
      </w:pPr>
      <w:r w:rsidRPr="00C65234">
        <w:rPr>
          <w:szCs w:val="24"/>
        </w:rPr>
        <w:t>The meta-analyses of RCTs alone did not find any statistically significant differences for the reported stroke outcomes. The Commentary noted the trials were not powered to detect a difference in stroke. The point estimates from the meta-analysis of RCTs generally favoured CEP (with the exception of no difference report</w:t>
      </w:r>
      <w:r w:rsidR="00F87E08">
        <w:rPr>
          <w:szCs w:val="24"/>
        </w:rPr>
        <w:t>ed for early disabling stroke).</w:t>
      </w:r>
    </w:p>
    <w:p w14:paraId="05F9136C" w14:textId="4AD16E87" w:rsidR="00C65234" w:rsidRPr="00C65234" w:rsidRDefault="00C65234" w:rsidP="00324DD5">
      <w:pPr>
        <w:spacing w:before="240"/>
        <w:rPr>
          <w:szCs w:val="24"/>
        </w:rPr>
      </w:pPr>
      <w:r w:rsidRPr="00C65234">
        <w:rPr>
          <w:szCs w:val="24"/>
        </w:rPr>
        <w:t>The ADAR considered that the propensity score matched analysis (Seeger 2019) demonstrated that use of a CEP results in a reduction in early peri-procedural strokes (all strokes and disabling strokes). Seeger 2019 used an optimal matching attempt that matched patients on several factors but not on history of stroke or transient ischaemic attack (TIA). In the matched cohorts 11.3% (60/533) of patients who had TAVI alone and 10.9% (58/533) of patients with CEP had a history of stroke or TIA. The Commentary considered that the outcomes from Seeger (2019) provided the best estimates for the peri-procedural stroke outcomes. The ADAR considered that the meta-analysis of all RCTs and cohort studies supported this conclusion. Observational studies and meta-analyses combining RCTs and observational studies may not produce reliable estimates of stroke reduction as observational studies may be affected by unobserved confounders. This had flow on effects to th</w:t>
      </w:r>
      <w:r w:rsidR="00F87E08">
        <w:rPr>
          <w:szCs w:val="24"/>
        </w:rPr>
        <w:t>e economic evaluation.</w:t>
      </w:r>
    </w:p>
    <w:p w14:paraId="7DE8E6DF" w14:textId="3EDBAEDC" w:rsidR="00C65234" w:rsidRPr="00C65234" w:rsidRDefault="00C65234" w:rsidP="00324DD5">
      <w:pPr>
        <w:spacing w:before="240"/>
        <w:rPr>
          <w:szCs w:val="24"/>
        </w:rPr>
      </w:pPr>
      <w:r w:rsidRPr="00C65234">
        <w:rPr>
          <w:szCs w:val="24"/>
        </w:rPr>
        <w:t xml:space="preserve">The </w:t>
      </w:r>
      <w:r w:rsidR="00193469">
        <w:rPr>
          <w:szCs w:val="24"/>
        </w:rPr>
        <w:t>p</w:t>
      </w:r>
      <w:r w:rsidRPr="00C65234">
        <w:rPr>
          <w:szCs w:val="24"/>
        </w:rPr>
        <w:t xml:space="preserve">re-ESC </w:t>
      </w:r>
      <w:r w:rsidR="00193469">
        <w:rPr>
          <w:szCs w:val="24"/>
        </w:rPr>
        <w:t>r</w:t>
      </w:r>
      <w:r w:rsidRPr="00C65234">
        <w:rPr>
          <w:szCs w:val="24"/>
        </w:rPr>
        <w:t>esponse considered the lack of power to detect a difference in peri</w:t>
      </w:r>
      <w:r w:rsidR="007637F7">
        <w:rPr>
          <w:szCs w:val="24"/>
        </w:rPr>
        <w:noBreakHyphen/>
      </w:r>
      <w:r w:rsidRPr="00C65234">
        <w:rPr>
          <w:szCs w:val="24"/>
        </w:rPr>
        <w:t>procedural stroke in the RCTs is overcome by meta-analysing the totality of comparative data, by increasing the total sample size and thus reducing uncertainty.</w:t>
      </w:r>
      <w:r w:rsidRPr="00C65234">
        <w:t xml:space="preserve"> It highlighted that </w:t>
      </w:r>
      <w:r w:rsidRPr="00C65234">
        <w:rPr>
          <w:szCs w:val="24"/>
        </w:rPr>
        <w:t>both cohort studies were propensity score matched, meaning patients were well balanced on important patient characteristics, thus mitigating the risk of confounding. Given the patient populations were well matched across RCTs and cohort studies, the device utilisation across trials was comparable and applicable, and outcomes were defined the same way across both sets of data further supports the meta-analysis of the included RCTs and cohort studies. The exchangeability was further supported by lack of heterogeneity consistently across outcomes when meta-analysing the totality of the evidence.</w:t>
      </w:r>
    </w:p>
    <w:p w14:paraId="489AEC6A" w14:textId="382EF3C8" w:rsidR="00C65234" w:rsidRPr="00C65234" w:rsidRDefault="00C65234" w:rsidP="00324DD5">
      <w:pPr>
        <w:spacing w:before="240"/>
        <w:rPr>
          <w:szCs w:val="24"/>
        </w:rPr>
      </w:pPr>
      <w:r w:rsidRPr="00C65234">
        <w:rPr>
          <w:szCs w:val="24"/>
        </w:rPr>
        <w:t>The meta-analysis of all studies (RCT and observational) demonstrated CEP resulted in a statistically significant reduction in all strokes and disabling strokes at 30 days. The ADAR considered these results support those from the early peri-procedural analyses, demonstrating superiority of the CEP device used adjunct to TAVI compared with TAVI alone.</w:t>
      </w:r>
      <w:r w:rsidRPr="00C65234">
        <w:t xml:space="preserve"> The Commentary noted that </w:t>
      </w:r>
      <w:r w:rsidRPr="00C65234">
        <w:rPr>
          <w:szCs w:val="24"/>
        </w:rPr>
        <w:t>for non-disabling stroke at 30 days, the meta-analysis of the three RCTs and one cohort study found no significant difference between TAVI+CEP and TAVI alone, with the risk differences of the individual studies and the meta-analysis being zero or close to zero. The 30-day meta-analyses results for disabling and non-disabling stroke were used in the economic model.</w:t>
      </w:r>
    </w:p>
    <w:p w14:paraId="65F2C936" w14:textId="3004A80F" w:rsidR="00C65234" w:rsidRPr="00324DD5" w:rsidRDefault="00C65234" w:rsidP="00324DD5">
      <w:pPr>
        <w:spacing w:before="240"/>
        <w:rPr>
          <w:szCs w:val="24"/>
        </w:rPr>
      </w:pPr>
      <w:r w:rsidRPr="00C65234">
        <w:rPr>
          <w:szCs w:val="24"/>
        </w:rPr>
        <w:t xml:space="preserve">The ADAR considered that the reduction in stroke was clinically meaningful as any reduction in stroke is </w:t>
      </w:r>
      <w:r w:rsidR="00F87E08">
        <w:rPr>
          <w:szCs w:val="24"/>
        </w:rPr>
        <w:t>considered clinically relevant.</w:t>
      </w:r>
    </w:p>
    <w:p w14:paraId="11CA5D4C" w14:textId="2B709A72" w:rsidR="007637F7" w:rsidRPr="002D2859" w:rsidRDefault="007637F7" w:rsidP="002D2859">
      <w:pPr>
        <w:keepNext/>
        <w:keepLines/>
        <w:spacing w:before="240"/>
        <w:rPr>
          <w:rFonts w:ascii="Arial Narrow" w:hAnsi="Arial Narrow"/>
          <w:b/>
          <w:sz w:val="20"/>
        </w:rPr>
      </w:pPr>
      <w:bookmarkStart w:id="7" w:name="_Ref58332343"/>
      <w:r w:rsidRPr="002D2859">
        <w:rPr>
          <w:rFonts w:ascii="Arial Narrow" w:hAnsi="Arial Narrow"/>
          <w:b/>
          <w:sz w:val="20"/>
        </w:rPr>
        <w:t xml:space="preserve">Table </w:t>
      </w:r>
      <w:r w:rsidR="00476AB2" w:rsidRPr="002D2859">
        <w:rPr>
          <w:rFonts w:ascii="Arial Narrow" w:hAnsi="Arial Narrow"/>
          <w:b/>
          <w:sz w:val="20"/>
        </w:rPr>
        <w:fldChar w:fldCharType="begin"/>
      </w:r>
      <w:r w:rsidR="00476AB2" w:rsidRPr="002D2859">
        <w:rPr>
          <w:rFonts w:ascii="Arial Narrow" w:hAnsi="Arial Narrow"/>
          <w:b/>
          <w:sz w:val="20"/>
        </w:rPr>
        <w:instrText xml:space="preserve"> SEQ Table \* ARABIC </w:instrText>
      </w:r>
      <w:r w:rsidR="00476AB2" w:rsidRPr="002D2859">
        <w:rPr>
          <w:rFonts w:ascii="Arial Narrow" w:hAnsi="Arial Narrow"/>
          <w:b/>
          <w:sz w:val="20"/>
        </w:rPr>
        <w:fldChar w:fldCharType="separate"/>
      </w:r>
      <w:r w:rsidR="003E3A7D" w:rsidRPr="002D2859">
        <w:rPr>
          <w:rFonts w:ascii="Arial Narrow" w:hAnsi="Arial Narrow"/>
          <w:b/>
          <w:sz w:val="20"/>
        </w:rPr>
        <w:t>5</w:t>
      </w:r>
      <w:r w:rsidR="00476AB2" w:rsidRPr="002D2859">
        <w:rPr>
          <w:rFonts w:ascii="Arial Narrow" w:hAnsi="Arial Narrow"/>
          <w:b/>
          <w:sz w:val="20"/>
        </w:rPr>
        <w:fldChar w:fldCharType="end"/>
      </w:r>
      <w:bookmarkEnd w:id="7"/>
      <w:r w:rsidRPr="002D2859">
        <w:rPr>
          <w:rFonts w:ascii="Arial Narrow" w:hAnsi="Arial Narrow"/>
          <w:b/>
          <w:sz w:val="20"/>
        </w:rPr>
        <w:tab/>
        <w:t>Summary of key outcomes</w:t>
      </w:r>
    </w:p>
    <w:tbl>
      <w:tblPr>
        <w:tblW w:w="9067" w:type="dxa"/>
        <w:tblLook w:val="04A0" w:firstRow="1" w:lastRow="0" w:firstColumn="1" w:lastColumn="0" w:noHBand="0" w:noVBand="1"/>
        <w:tblDescription w:val="Summary of findings table"/>
      </w:tblPr>
      <w:tblGrid>
        <w:gridCol w:w="1413"/>
        <w:gridCol w:w="1276"/>
        <w:gridCol w:w="1146"/>
        <w:gridCol w:w="1122"/>
        <w:gridCol w:w="1134"/>
        <w:gridCol w:w="1134"/>
        <w:gridCol w:w="1842"/>
      </w:tblGrid>
      <w:tr w:rsidR="00C65234" w:rsidRPr="00C65234" w14:paraId="3703E39B" w14:textId="77777777" w:rsidTr="000C52AE">
        <w:trPr>
          <w:cantSplit/>
          <w:tblHeader/>
        </w:trPr>
        <w:tc>
          <w:tcPr>
            <w:tcW w:w="1413" w:type="dxa"/>
            <w:tcBorders>
              <w:top w:val="single" w:sz="4" w:space="0" w:color="auto"/>
              <w:left w:val="single" w:sz="4" w:space="0" w:color="auto"/>
              <w:bottom w:val="single" w:sz="4" w:space="0" w:color="auto"/>
              <w:right w:val="single" w:sz="4" w:space="0" w:color="auto"/>
            </w:tcBorders>
            <w:hideMark/>
          </w:tcPr>
          <w:p w14:paraId="53F119B6" w14:textId="77777777" w:rsidR="00C65234" w:rsidRPr="00C65234" w:rsidRDefault="00C65234" w:rsidP="002D2859">
            <w:pPr>
              <w:keepNext/>
              <w:keepLines/>
              <w:spacing w:before="40" w:after="40"/>
              <w:rPr>
                <w:rFonts w:ascii="Arial Narrow" w:hAnsi="Arial Narrow" w:cs="Tahoma"/>
                <w:b/>
                <w:sz w:val="20"/>
              </w:rPr>
            </w:pPr>
            <w:r w:rsidRPr="00C65234">
              <w:rPr>
                <w:rFonts w:ascii="Arial Narrow" w:hAnsi="Arial Narrow" w:cs="Tahoma"/>
                <w:b/>
                <w:sz w:val="20"/>
              </w:rPr>
              <w:t xml:space="preserve">Outcomes </w:t>
            </w:r>
          </w:p>
          <w:p w14:paraId="637438ED" w14:textId="77777777" w:rsidR="00C65234" w:rsidRPr="00C65234" w:rsidRDefault="00C65234" w:rsidP="002D2859">
            <w:pPr>
              <w:keepNext/>
              <w:keepLines/>
              <w:spacing w:before="40" w:after="40"/>
              <w:rPr>
                <w:rFonts w:ascii="Arial Narrow" w:hAnsi="Arial Narrow" w:cs="Tahoma"/>
                <w:b/>
                <w:sz w:val="20"/>
              </w:rPr>
            </w:pPr>
          </w:p>
        </w:tc>
        <w:tc>
          <w:tcPr>
            <w:tcW w:w="1276" w:type="dxa"/>
            <w:tcBorders>
              <w:top w:val="single" w:sz="4" w:space="0" w:color="auto"/>
              <w:left w:val="single" w:sz="4" w:space="0" w:color="auto"/>
              <w:bottom w:val="single" w:sz="4" w:space="0" w:color="auto"/>
              <w:right w:val="single" w:sz="4" w:space="0" w:color="auto"/>
            </w:tcBorders>
          </w:tcPr>
          <w:p w14:paraId="7CB8C5D1" w14:textId="77777777" w:rsidR="00C65234" w:rsidRPr="00C65234" w:rsidRDefault="00C65234" w:rsidP="002D2859">
            <w:pPr>
              <w:keepNext/>
              <w:keepLines/>
              <w:spacing w:before="40" w:after="40"/>
              <w:rPr>
                <w:rFonts w:ascii="Arial Narrow" w:hAnsi="Arial Narrow" w:cs="Tahoma"/>
                <w:b/>
                <w:sz w:val="20"/>
              </w:rPr>
            </w:pPr>
            <w:r w:rsidRPr="00C65234">
              <w:rPr>
                <w:rFonts w:ascii="Arial Narrow" w:hAnsi="Arial Narrow" w:cs="Tahoma"/>
                <w:b/>
                <w:sz w:val="20"/>
              </w:rPr>
              <w:t>Participants (studies)</w:t>
            </w:r>
          </w:p>
          <w:p w14:paraId="5789EE71" w14:textId="77777777" w:rsidR="00C65234" w:rsidRPr="00C65234" w:rsidRDefault="00C65234" w:rsidP="002D2859">
            <w:pPr>
              <w:keepNext/>
              <w:keepLines/>
              <w:spacing w:before="40" w:after="40"/>
              <w:rPr>
                <w:rFonts w:ascii="Arial Narrow" w:hAnsi="Arial Narrow" w:cs="Tahoma"/>
                <w:b/>
                <w:sz w:val="20"/>
              </w:rPr>
            </w:pPr>
          </w:p>
        </w:tc>
        <w:tc>
          <w:tcPr>
            <w:tcW w:w="1146" w:type="dxa"/>
            <w:tcBorders>
              <w:top w:val="single" w:sz="4" w:space="0" w:color="auto"/>
              <w:left w:val="single" w:sz="4" w:space="0" w:color="auto"/>
              <w:bottom w:val="single" w:sz="4" w:space="0" w:color="auto"/>
              <w:right w:val="single" w:sz="4" w:space="0" w:color="auto"/>
            </w:tcBorders>
            <w:hideMark/>
          </w:tcPr>
          <w:p w14:paraId="618D4748" w14:textId="77777777" w:rsidR="00C65234" w:rsidRPr="00C65234" w:rsidRDefault="00C65234" w:rsidP="002D2859">
            <w:pPr>
              <w:keepNext/>
              <w:keepLines/>
              <w:spacing w:before="40" w:after="40"/>
              <w:rPr>
                <w:rFonts w:ascii="Arial Narrow" w:hAnsi="Arial Narrow" w:cs="Tahoma"/>
                <w:b/>
                <w:sz w:val="20"/>
              </w:rPr>
            </w:pPr>
            <w:r w:rsidRPr="00C65234">
              <w:rPr>
                <w:rFonts w:ascii="Arial Narrow" w:hAnsi="Arial Narrow" w:cs="Tahoma"/>
                <w:b/>
                <w:sz w:val="20"/>
              </w:rPr>
              <w:t xml:space="preserve">Quality of evidence (GRADE) </w:t>
            </w:r>
            <w:r w:rsidRPr="00C65234">
              <w:rPr>
                <w:rFonts w:ascii="Arial Narrow" w:hAnsi="Arial Narrow" w:cs="Tahoma"/>
                <w:b/>
                <w:sz w:val="20"/>
                <w:vertAlign w:val="superscript"/>
              </w:rPr>
              <w:t>a</w:t>
            </w:r>
          </w:p>
        </w:tc>
        <w:tc>
          <w:tcPr>
            <w:tcW w:w="1122" w:type="dxa"/>
            <w:tcBorders>
              <w:top w:val="single" w:sz="4" w:space="0" w:color="auto"/>
              <w:left w:val="single" w:sz="4" w:space="0" w:color="auto"/>
              <w:bottom w:val="single" w:sz="4" w:space="0" w:color="auto"/>
              <w:right w:val="single" w:sz="4" w:space="0" w:color="auto"/>
            </w:tcBorders>
          </w:tcPr>
          <w:p w14:paraId="03F47405" w14:textId="77777777" w:rsidR="00C65234" w:rsidRPr="00C65234" w:rsidRDefault="00C65234" w:rsidP="002D2859">
            <w:pPr>
              <w:keepNext/>
              <w:keepLines/>
              <w:spacing w:before="40" w:after="40"/>
              <w:rPr>
                <w:rFonts w:ascii="Arial Narrow" w:hAnsi="Arial Narrow" w:cs="Tahoma"/>
                <w:b/>
                <w:sz w:val="20"/>
              </w:rPr>
            </w:pPr>
            <w:r w:rsidRPr="00C65234">
              <w:rPr>
                <w:rFonts w:ascii="Arial Narrow" w:hAnsi="Arial Narrow" w:cs="Tahoma"/>
                <w:b/>
                <w:sz w:val="20"/>
              </w:rPr>
              <w:t>TAVI+CEP n/N (%)</w:t>
            </w:r>
          </w:p>
        </w:tc>
        <w:tc>
          <w:tcPr>
            <w:tcW w:w="1134" w:type="dxa"/>
            <w:tcBorders>
              <w:top w:val="single" w:sz="4" w:space="0" w:color="auto"/>
              <w:left w:val="single" w:sz="4" w:space="0" w:color="auto"/>
              <w:bottom w:val="single" w:sz="4" w:space="0" w:color="auto"/>
              <w:right w:val="single" w:sz="4" w:space="0" w:color="auto"/>
            </w:tcBorders>
          </w:tcPr>
          <w:p w14:paraId="541395A5" w14:textId="77777777" w:rsidR="00C65234" w:rsidRPr="00C65234" w:rsidRDefault="00C65234" w:rsidP="002D2859">
            <w:pPr>
              <w:keepNext/>
              <w:keepLines/>
              <w:spacing w:before="40" w:after="40"/>
              <w:rPr>
                <w:rFonts w:ascii="Arial Narrow" w:hAnsi="Arial Narrow" w:cs="Tahoma"/>
                <w:b/>
                <w:sz w:val="20"/>
              </w:rPr>
            </w:pPr>
            <w:r w:rsidRPr="00C65234">
              <w:rPr>
                <w:rFonts w:ascii="Arial Narrow" w:hAnsi="Arial Narrow" w:cs="Tahoma"/>
                <w:b/>
                <w:sz w:val="20"/>
              </w:rPr>
              <w:t>TAVI alone n/N (%)</w:t>
            </w:r>
          </w:p>
        </w:tc>
        <w:tc>
          <w:tcPr>
            <w:tcW w:w="1134" w:type="dxa"/>
            <w:tcBorders>
              <w:top w:val="single" w:sz="4" w:space="0" w:color="auto"/>
              <w:left w:val="single" w:sz="4" w:space="0" w:color="auto"/>
              <w:bottom w:val="single" w:sz="4" w:space="0" w:color="auto"/>
              <w:right w:val="single" w:sz="4" w:space="0" w:color="auto"/>
            </w:tcBorders>
            <w:hideMark/>
          </w:tcPr>
          <w:p w14:paraId="0E60ACC4" w14:textId="77777777" w:rsidR="00C65234" w:rsidRPr="00C65234" w:rsidRDefault="00C65234" w:rsidP="002D2859">
            <w:pPr>
              <w:keepNext/>
              <w:keepLines/>
              <w:spacing w:before="40" w:after="40"/>
              <w:rPr>
                <w:rFonts w:ascii="Arial Narrow" w:hAnsi="Arial Narrow" w:cs="Tahoma"/>
                <w:b/>
                <w:sz w:val="20"/>
              </w:rPr>
            </w:pPr>
            <w:r w:rsidRPr="00C65234">
              <w:rPr>
                <w:rFonts w:ascii="Arial Narrow" w:hAnsi="Arial Narrow" w:cs="Tahoma"/>
                <w:b/>
                <w:sz w:val="20"/>
              </w:rPr>
              <w:t>OR (95%CI)</w:t>
            </w:r>
          </w:p>
        </w:tc>
        <w:tc>
          <w:tcPr>
            <w:tcW w:w="1842" w:type="dxa"/>
            <w:tcBorders>
              <w:top w:val="single" w:sz="4" w:space="0" w:color="auto"/>
              <w:left w:val="single" w:sz="4" w:space="0" w:color="auto"/>
              <w:bottom w:val="single" w:sz="4" w:space="0" w:color="auto"/>
              <w:right w:val="single" w:sz="4" w:space="0" w:color="auto"/>
            </w:tcBorders>
            <w:hideMark/>
          </w:tcPr>
          <w:p w14:paraId="1A50A30B" w14:textId="77777777" w:rsidR="00C65234" w:rsidRDefault="00C65234" w:rsidP="002D2859">
            <w:pPr>
              <w:keepNext/>
              <w:keepLines/>
              <w:spacing w:before="40" w:after="40"/>
              <w:rPr>
                <w:rFonts w:ascii="Arial Narrow" w:hAnsi="Arial Narrow" w:cs="Tahoma"/>
                <w:b/>
                <w:sz w:val="20"/>
              </w:rPr>
            </w:pPr>
            <w:r w:rsidRPr="00C65234">
              <w:rPr>
                <w:rFonts w:ascii="Arial Narrow" w:hAnsi="Arial Narrow" w:cs="Tahoma"/>
                <w:b/>
                <w:sz w:val="20"/>
              </w:rPr>
              <w:t>RD (95% CI)</w:t>
            </w:r>
          </w:p>
          <w:p w14:paraId="2DD09C2B" w14:textId="50EBF975" w:rsidR="0041331A" w:rsidRPr="000C52AE" w:rsidRDefault="0041331A" w:rsidP="002D2859">
            <w:pPr>
              <w:keepNext/>
              <w:keepLines/>
              <w:spacing w:before="40" w:after="40"/>
              <w:rPr>
                <w:rFonts w:ascii="Arial Narrow" w:hAnsi="Arial Narrow" w:cs="Tahoma"/>
                <w:b/>
                <w:sz w:val="20"/>
                <w:vertAlign w:val="superscript"/>
              </w:rPr>
            </w:pPr>
            <w:r>
              <w:rPr>
                <w:rFonts w:ascii="Arial Narrow" w:hAnsi="Arial Narrow" w:cs="Tahoma"/>
                <w:b/>
                <w:sz w:val="20"/>
              </w:rPr>
              <w:t>NNT (95% CI)</w:t>
            </w:r>
            <w:r w:rsidR="00034DF1">
              <w:rPr>
                <w:rFonts w:ascii="Arial Narrow" w:hAnsi="Arial Narrow" w:cs="Tahoma"/>
                <w:b/>
                <w:sz w:val="20"/>
              </w:rPr>
              <w:t xml:space="preserve"> </w:t>
            </w:r>
            <w:r w:rsidR="00034DF1">
              <w:rPr>
                <w:rFonts w:ascii="Arial Narrow" w:hAnsi="Arial Narrow" w:cs="Tahoma"/>
                <w:b/>
                <w:sz w:val="20"/>
                <w:vertAlign w:val="superscript"/>
              </w:rPr>
              <w:t>a</w:t>
            </w:r>
          </w:p>
        </w:tc>
      </w:tr>
      <w:tr w:rsidR="00C65234" w:rsidRPr="00C65234" w14:paraId="7C58FC74" w14:textId="77777777" w:rsidTr="000C52AE">
        <w:trPr>
          <w:trHeight w:val="85"/>
        </w:trPr>
        <w:tc>
          <w:tcPr>
            <w:tcW w:w="1413" w:type="dxa"/>
            <w:tcBorders>
              <w:top w:val="single" w:sz="4" w:space="0" w:color="auto"/>
              <w:left w:val="single" w:sz="4" w:space="0" w:color="auto"/>
              <w:bottom w:val="single" w:sz="4" w:space="0" w:color="auto"/>
            </w:tcBorders>
          </w:tcPr>
          <w:p w14:paraId="2B3F7DD0"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b/>
                <w:bCs/>
                <w:sz w:val="20"/>
              </w:rPr>
              <w:t>Stroke - any</w:t>
            </w:r>
          </w:p>
        </w:tc>
        <w:tc>
          <w:tcPr>
            <w:tcW w:w="1276" w:type="dxa"/>
            <w:tcBorders>
              <w:top w:val="single" w:sz="4" w:space="0" w:color="auto"/>
              <w:bottom w:val="single" w:sz="4" w:space="0" w:color="auto"/>
            </w:tcBorders>
          </w:tcPr>
          <w:p w14:paraId="3DCA597F" w14:textId="77777777" w:rsidR="00C65234" w:rsidRPr="00C65234" w:rsidRDefault="00C65234" w:rsidP="00C65234">
            <w:pPr>
              <w:spacing w:before="40" w:after="40"/>
              <w:rPr>
                <w:rFonts w:ascii="Arial Narrow" w:hAnsi="Arial Narrow" w:cs="Tahoma"/>
                <w:sz w:val="20"/>
              </w:rPr>
            </w:pPr>
          </w:p>
        </w:tc>
        <w:tc>
          <w:tcPr>
            <w:tcW w:w="1146" w:type="dxa"/>
            <w:tcBorders>
              <w:top w:val="single" w:sz="4" w:space="0" w:color="auto"/>
              <w:bottom w:val="single" w:sz="4" w:space="0" w:color="auto"/>
            </w:tcBorders>
          </w:tcPr>
          <w:p w14:paraId="16D83B2D" w14:textId="77777777" w:rsidR="00C65234" w:rsidRPr="00C65234" w:rsidRDefault="00C65234" w:rsidP="00C65234">
            <w:pPr>
              <w:spacing w:before="40" w:after="40"/>
              <w:ind w:left="176"/>
              <w:rPr>
                <w:rFonts w:ascii="Arial Narrow" w:hAnsi="Arial Narrow" w:cs="Cambria Math"/>
                <w:color w:val="00B050"/>
                <w:sz w:val="20"/>
              </w:rPr>
            </w:pPr>
          </w:p>
        </w:tc>
        <w:tc>
          <w:tcPr>
            <w:tcW w:w="1122" w:type="dxa"/>
            <w:tcBorders>
              <w:top w:val="single" w:sz="4" w:space="0" w:color="auto"/>
              <w:bottom w:val="single" w:sz="4" w:space="0" w:color="auto"/>
            </w:tcBorders>
          </w:tcPr>
          <w:p w14:paraId="0062DF41" w14:textId="77777777" w:rsidR="00C65234" w:rsidRPr="00C65234" w:rsidRDefault="00C65234" w:rsidP="00C65234">
            <w:pPr>
              <w:spacing w:before="40" w:after="40"/>
              <w:rPr>
                <w:rFonts w:ascii="Arial Narrow" w:hAnsi="Arial Narrow" w:cs="Tahoma"/>
                <w:b/>
                <w:bCs/>
                <w:i/>
                <w:snapToGrid w:val="0"/>
                <w:sz w:val="20"/>
                <w:lang w:eastAsia="en-US"/>
              </w:rPr>
            </w:pPr>
          </w:p>
        </w:tc>
        <w:tc>
          <w:tcPr>
            <w:tcW w:w="1134" w:type="dxa"/>
            <w:tcBorders>
              <w:top w:val="single" w:sz="4" w:space="0" w:color="auto"/>
              <w:bottom w:val="single" w:sz="4" w:space="0" w:color="auto"/>
            </w:tcBorders>
          </w:tcPr>
          <w:p w14:paraId="6C1B730A" w14:textId="77777777" w:rsidR="00C65234" w:rsidRPr="00C65234" w:rsidRDefault="00C65234" w:rsidP="00C65234">
            <w:pPr>
              <w:spacing w:before="40" w:after="40"/>
              <w:rPr>
                <w:rFonts w:ascii="Arial Narrow" w:hAnsi="Arial Narrow" w:cs="Tahoma"/>
                <w:b/>
                <w:bCs/>
                <w:i/>
                <w:snapToGrid w:val="0"/>
                <w:sz w:val="20"/>
                <w:lang w:eastAsia="en-US"/>
              </w:rPr>
            </w:pPr>
          </w:p>
        </w:tc>
        <w:tc>
          <w:tcPr>
            <w:tcW w:w="1134" w:type="dxa"/>
            <w:tcBorders>
              <w:top w:val="single" w:sz="4" w:space="0" w:color="auto"/>
              <w:bottom w:val="single" w:sz="4" w:space="0" w:color="auto"/>
            </w:tcBorders>
          </w:tcPr>
          <w:p w14:paraId="741929D6" w14:textId="77777777" w:rsidR="00C65234" w:rsidRPr="00C65234" w:rsidRDefault="00C65234" w:rsidP="00C65234">
            <w:pPr>
              <w:spacing w:before="40" w:after="40"/>
              <w:rPr>
                <w:rFonts w:ascii="Arial Narrow" w:hAnsi="Arial Narrow" w:cs="Tahoma"/>
                <w:b/>
                <w:bCs/>
                <w:i/>
                <w:snapToGrid w:val="0"/>
                <w:sz w:val="20"/>
                <w:lang w:eastAsia="en-US"/>
              </w:rPr>
            </w:pPr>
          </w:p>
        </w:tc>
        <w:tc>
          <w:tcPr>
            <w:tcW w:w="1842" w:type="dxa"/>
            <w:tcBorders>
              <w:top w:val="single" w:sz="4" w:space="0" w:color="auto"/>
              <w:bottom w:val="single" w:sz="4" w:space="0" w:color="auto"/>
            </w:tcBorders>
          </w:tcPr>
          <w:p w14:paraId="0466F1DA" w14:textId="77777777" w:rsidR="00C65234" w:rsidRPr="00C65234" w:rsidRDefault="00C65234" w:rsidP="00C65234">
            <w:pPr>
              <w:spacing w:before="40" w:after="40"/>
              <w:rPr>
                <w:rFonts w:ascii="Arial Narrow" w:hAnsi="Arial Narrow" w:cs="Arial"/>
                <w:sz w:val="20"/>
              </w:rPr>
            </w:pPr>
          </w:p>
        </w:tc>
      </w:tr>
      <w:tr w:rsidR="00C65234" w:rsidRPr="00C65234" w14:paraId="6C5F2F64" w14:textId="77777777" w:rsidTr="000C52AE">
        <w:trPr>
          <w:trHeight w:val="25"/>
        </w:trPr>
        <w:tc>
          <w:tcPr>
            <w:tcW w:w="1413" w:type="dxa"/>
            <w:tcBorders>
              <w:top w:val="single" w:sz="4" w:space="0" w:color="auto"/>
              <w:left w:val="single" w:sz="4" w:space="0" w:color="auto"/>
              <w:bottom w:val="single" w:sz="4" w:space="0" w:color="auto"/>
              <w:right w:val="single" w:sz="4" w:space="0" w:color="auto"/>
            </w:tcBorders>
            <w:hideMark/>
          </w:tcPr>
          <w:p w14:paraId="7CD9DA2F" w14:textId="15339A48"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Early </w:t>
            </w:r>
            <w:r w:rsidR="00190C8D">
              <w:rPr>
                <w:rFonts w:ascii="Arial Narrow" w:hAnsi="Arial Narrow" w:cs="Arial"/>
                <w:sz w:val="20"/>
              </w:rPr>
              <w:br/>
            </w:r>
            <w:r w:rsidRPr="00C65234">
              <w:rPr>
                <w:rFonts w:ascii="Arial Narrow" w:hAnsi="Arial Narrow" w:cs="Arial"/>
                <w:sz w:val="20"/>
              </w:rPr>
              <w:t xml:space="preserve">peri-procedural: </w:t>
            </w:r>
          </w:p>
          <w:p w14:paraId="4C943A94"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72 hours</w:t>
            </w:r>
          </w:p>
        </w:tc>
        <w:tc>
          <w:tcPr>
            <w:tcW w:w="1276" w:type="dxa"/>
            <w:tcBorders>
              <w:top w:val="single" w:sz="4" w:space="0" w:color="auto"/>
              <w:left w:val="single" w:sz="4" w:space="0" w:color="auto"/>
              <w:bottom w:val="single" w:sz="4" w:space="0" w:color="auto"/>
              <w:right w:val="single" w:sz="4" w:space="0" w:color="auto"/>
            </w:tcBorders>
            <w:hideMark/>
          </w:tcPr>
          <w:p w14:paraId="6D982331" w14:textId="77777777" w:rsidR="00C65234" w:rsidRPr="00C65234" w:rsidRDefault="00C65234" w:rsidP="00C65234">
            <w:pPr>
              <w:spacing w:before="40" w:after="40"/>
              <w:rPr>
                <w:rFonts w:ascii="Arial Narrow" w:hAnsi="Arial Narrow" w:cs="Tahoma"/>
                <w:sz w:val="20"/>
              </w:rPr>
            </w:pPr>
            <w:r w:rsidRPr="00C65234">
              <w:rPr>
                <w:rFonts w:ascii="Arial Narrow" w:hAnsi="Arial Narrow" w:cs="Tahoma"/>
                <w:sz w:val="20"/>
              </w:rPr>
              <w:t>Seeger 2019</w:t>
            </w:r>
          </w:p>
          <w:p w14:paraId="008B106E" w14:textId="77777777" w:rsidR="00C65234" w:rsidRPr="00C65234" w:rsidRDefault="00C65234" w:rsidP="00C65234">
            <w:pPr>
              <w:spacing w:before="40" w:after="40"/>
              <w:rPr>
                <w:rFonts w:ascii="Arial Narrow" w:hAnsi="Arial Narrow" w:cs="Tahoma"/>
                <w:sz w:val="20"/>
              </w:rPr>
            </w:pPr>
            <w:r w:rsidRPr="00C65234">
              <w:rPr>
                <w:rFonts w:ascii="Arial Narrow" w:hAnsi="Arial Narrow" w:cs="Tahoma"/>
                <w:sz w:val="20"/>
              </w:rPr>
              <w:t xml:space="preserve">k=3 </w:t>
            </w:r>
          </w:p>
          <w:p w14:paraId="720208BA" w14:textId="77777777" w:rsidR="00C65234" w:rsidRPr="00C65234" w:rsidRDefault="00C65234" w:rsidP="00C65234">
            <w:pPr>
              <w:spacing w:before="40" w:after="40"/>
              <w:rPr>
                <w:rFonts w:ascii="Arial Narrow" w:hAnsi="Arial Narrow" w:cs="Arial"/>
                <w:sz w:val="20"/>
              </w:rPr>
            </w:pPr>
            <w:r w:rsidRPr="00C65234">
              <w:rPr>
                <w:rFonts w:ascii="Arial Narrow" w:hAnsi="Arial Narrow" w:cs="Tahoma"/>
                <w:sz w:val="20"/>
              </w:rPr>
              <w:t xml:space="preserve">(2 RCTs, 1 cohort); </w:t>
            </w:r>
            <w:r w:rsidRPr="00C65234">
              <w:rPr>
                <w:rFonts w:ascii="Arial Narrow" w:hAnsi="Arial Narrow" w:cs="Tahoma"/>
                <w:sz w:val="20"/>
              </w:rPr>
              <w:br/>
              <w:t>N=1,066</w:t>
            </w:r>
          </w:p>
        </w:tc>
        <w:tc>
          <w:tcPr>
            <w:tcW w:w="1146" w:type="dxa"/>
            <w:tcBorders>
              <w:top w:val="single" w:sz="4" w:space="0" w:color="auto"/>
              <w:left w:val="single" w:sz="4" w:space="0" w:color="auto"/>
              <w:bottom w:val="single" w:sz="4" w:space="0" w:color="auto"/>
              <w:right w:val="single" w:sz="4" w:space="0" w:color="auto"/>
            </w:tcBorders>
            <w:hideMark/>
          </w:tcPr>
          <w:p w14:paraId="5315AD53" w14:textId="77777777" w:rsidR="00C65234" w:rsidRPr="00C65234" w:rsidRDefault="00C65234" w:rsidP="00C65234">
            <w:pPr>
              <w:spacing w:before="40" w:after="40"/>
              <w:rPr>
                <w:rFonts w:ascii="Arial Narrow" w:hAnsi="Arial Narrow" w:cs="Cambria Math"/>
                <w:color w:val="C00000"/>
                <w:sz w:val="20"/>
              </w:rPr>
            </w:pPr>
            <w:r w:rsidRPr="00C65234">
              <w:rPr>
                <w:rFonts w:ascii="Cambria Math" w:hAnsi="Cambria Math" w:cs="Cambria Math"/>
                <w:color w:val="00B050"/>
                <w:sz w:val="20"/>
              </w:rPr>
              <w:t>⨁⨁</w:t>
            </w:r>
            <w:r w:rsidRPr="00C65234">
              <w:rPr>
                <w:rFonts w:ascii="Cambria Math" w:hAnsi="Cambria Math" w:cs="Cambria Math"/>
                <w:color w:val="C00000"/>
                <w:sz w:val="20"/>
              </w:rPr>
              <w:t>⨀⨀</w:t>
            </w:r>
          </w:p>
          <w:p w14:paraId="01A721CC"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LOW</w:t>
            </w:r>
          </w:p>
        </w:tc>
        <w:tc>
          <w:tcPr>
            <w:tcW w:w="1122" w:type="dxa"/>
            <w:tcBorders>
              <w:top w:val="single" w:sz="4" w:space="0" w:color="auto"/>
              <w:left w:val="single" w:sz="4" w:space="0" w:color="auto"/>
              <w:bottom w:val="single" w:sz="4" w:space="0" w:color="auto"/>
              <w:right w:val="single" w:sz="4" w:space="0" w:color="auto"/>
            </w:tcBorders>
          </w:tcPr>
          <w:p w14:paraId="03C83E05"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TAVI+CEP: 10/533 (1.88)</w:t>
            </w:r>
          </w:p>
          <w:p w14:paraId="33FFEE0E" w14:textId="77777777" w:rsidR="00C65234" w:rsidRPr="00C65234" w:rsidRDefault="00C65234" w:rsidP="00C65234">
            <w:pPr>
              <w:spacing w:before="40" w:after="40"/>
              <w:rPr>
                <w:rFonts w:ascii="Arial Narrow" w:hAnsi="Arial Narrow" w:cs="Tahoma"/>
                <w:b/>
                <w:bCs/>
                <w:i/>
                <w:snapToGrid w:val="0"/>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C5C62CF" w14:textId="77777777" w:rsidR="00C65234" w:rsidRPr="00C65234" w:rsidRDefault="00C65234" w:rsidP="00C65234">
            <w:pPr>
              <w:spacing w:before="40" w:after="40"/>
              <w:rPr>
                <w:rFonts w:ascii="Arial Narrow" w:hAnsi="Arial Narrow" w:cs="Tahoma"/>
                <w:b/>
                <w:bCs/>
                <w:i/>
                <w:snapToGrid w:val="0"/>
                <w:sz w:val="20"/>
                <w:lang w:eastAsia="en-US"/>
              </w:rPr>
            </w:pPr>
            <w:r w:rsidRPr="00C65234">
              <w:rPr>
                <w:rFonts w:ascii="Arial Narrow" w:hAnsi="Arial Narrow" w:cs="Arial"/>
                <w:sz w:val="20"/>
              </w:rPr>
              <w:t>TAVI alone: 29/533 (5.44)</w:t>
            </w:r>
          </w:p>
        </w:tc>
        <w:tc>
          <w:tcPr>
            <w:tcW w:w="1134" w:type="dxa"/>
            <w:tcBorders>
              <w:top w:val="single" w:sz="4" w:space="0" w:color="auto"/>
              <w:left w:val="single" w:sz="4" w:space="0" w:color="auto"/>
              <w:bottom w:val="single" w:sz="4" w:space="0" w:color="auto"/>
              <w:right w:val="single" w:sz="4" w:space="0" w:color="auto"/>
            </w:tcBorders>
            <w:hideMark/>
          </w:tcPr>
          <w:p w14:paraId="7F47AA4D" w14:textId="77777777" w:rsidR="00C65234" w:rsidRPr="00C65234" w:rsidRDefault="00C65234" w:rsidP="00C65234">
            <w:pPr>
              <w:spacing w:before="40" w:after="40"/>
              <w:rPr>
                <w:rFonts w:ascii="Arial Narrow" w:hAnsi="Arial Narrow" w:cs="Tahoma"/>
                <w:b/>
                <w:bCs/>
                <w:snapToGrid w:val="0"/>
                <w:sz w:val="20"/>
                <w:lang w:eastAsia="en-US"/>
              </w:rPr>
            </w:pPr>
            <w:r w:rsidRPr="00C65234">
              <w:rPr>
                <w:rFonts w:ascii="Arial Narrow" w:hAnsi="Arial Narrow" w:cs="Tahoma"/>
                <w:b/>
                <w:bCs/>
                <w:snapToGrid w:val="0"/>
                <w:sz w:val="20"/>
                <w:lang w:eastAsia="en-US"/>
              </w:rPr>
              <w:t>0.33</w:t>
            </w:r>
          </w:p>
          <w:p w14:paraId="7B5D4162" w14:textId="77777777" w:rsidR="00C65234" w:rsidRPr="00C65234" w:rsidRDefault="00C65234" w:rsidP="00C65234">
            <w:pPr>
              <w:spacing w:before="40" w:after="40"/>
              <w:rPr>
                <w:rFonts w:ascii="Arial Narrow" w:hAnsi="Arial Narrow" w:cs="Tahoma"/>
                <w:b/>
                <w:bCs/>
                <w:snapToGrid w:val="0"/>
                <w:sz w:val="20"/>
                <w:lang w:eastAsia="en-US"/>
              </w:rPr>
            </w:pPr>
            <w:r w:rsidRPr="00C65234">
              <w:rPr>
                <w:rFonts w:ascii="Arial Narrow" w:hAnsi="Arial Narrow" w:cs="Tahoma"/>
                <w:b/>
                <w:bCs/>
                <w:snapToGrid w:val="0"/>
                <w:sz w:val="20"/>
                <w:lang w:eastAsia="en-US"/>
              </w:rPr>
              <w:t>[0.16, 0.69]</w:t>
            </w:r>
          </w:p>
          <w:p w14:paraId="43A23EB8" w14:textId="77777777" w:rsidR="00C65234" w:rsidRPr="00C65234" w:rsidRDefault="00C65234" w:rsidP="00C65234">
            <w:pPr>
              <w:spacing w:before="40" w:after="40"/>
              <w:rPr>
                <w:rFonts w:ascii="Arial Narrow" w:hAnsi="Arial Narrow" w:cs="Arial"/>
                <w:sz w:val="20"/>
              </w:rPr>
            </w:pPr>
          </w:p>
        </w:tc>
        <w:tc>
          <w:tcPr>
            <w:tcW w:w="1842" w:type="dxa"/>
            <w:tcBorders>
              <w:top w:val="single" w:sz="4" w:space="0" w:color="auto"/>
              <w:left w:val="single" w:sz="4" w:space="0" w:color="auto"/>
              <w:bottom w:val="single" w:sz="4" w:space="0" w:color="auto"/>
              <w:right w:val="single" w:sz="4" w:space="0" w:color="auto"/>
            </w:tcBorders>
            <w:hideMark/>
          </w:tcPr>
          <w:p w14:paraId="424CE4E5" w14:textId="77777777" w:rsidR="00C65234" w:rsidRPr="00C65234" w:rsidRDefault="00C65234" w:rsidP="00C65234">
            <w:pPr>
              <w:spacing w:before="40" w:after="40"/>
              <w:rPr>
                <w:rFonts w:ascii="Arial Narrow" w:hAnsi="Arial Narrow" w:cs="Arial"/>
                <w:b/>
                <w:sz w:val="20"/>
              </w:rPr>
            </w:pPr>
            <w:r w:rsidRPr="00C65234">
              <w:rPr>
                <w:rFonts w:ascii="Arial Narrow" w:hAnsi="Arial Narrow" w:cs="Arial"/>
                <w:b/>
                <w:sz w:val="20"/>
              </w:rPr>
              <w:t xml:space="preserve">-0.04 </w:t>
            </w:r>
          </w:p>
          <w:p w14:paraId="02843B11" w14:textId="77777777" w:rsidR="00C65234" w:rsidRDefault="00C65234" w:rsidP="00C65234">
            <w:pPr>
              <w:spacing w:before="40" w:after="40"/>
              <w:rPr>
                <w:rFonts w:ascii="Arial Narrow" w:hAnsi="Arial Narrow" w:cs="Arial"/>
                <w:b/>
                <w:sz w:val="20"/>
              </w:rPr>
            </w:pPr>
            <w:r w:rsidRPr="00C65234">
              <w:rPr>
                <w:rFonts w:ascii="Arial Narrow" w:hAnsi="Arial Narrow" w:cs="Arial"/>
                <w:b/>
                <w:sz w:val="20"/>
              </w:rPr>
              <w:t>[-0.06, -0.01]</w:t>
            </w:r>
          </w:p>
          <w:p w14:paraId="1AF60D0B" w14:textId="071B0CC0" w:rsidR="00E864D1" w:rsidRPr="000C52AE" w:rsidRDefault="00E864D1" w:rsidP="00C65234">
            <w:pPr>
              <w:spacing w:before="40" w:after="40"/>
              <w:rPr>
                <w:rFonts w:ascii="Arial Narrow" w:hAnsi="Arial Narrow" w:cs="Arial"/>
                <w:b/>
                <w:sz w:val="20"/>
              </w:rPr>
            </w:pPr>
            <w:r w:rsidRPr="000C52AE">
              <w:rPr>
                <w:rFonts w:ascii="Arial Narrow" w:hAnsi="Arial Narrow" w:cs="Arial"/>
                <w:b/>
                <w:sz w:val="20"/>
              </w:rPr>
              <w:t>NNT: 25 [17, 100]</w:t>
            </w:r>
          </w:p>
        </w:tc>
      </w:tr>
      <w:tr w:rsidR="00C65234" w:rsidRPr="00C65234" w14:paraId="5B773EA0" w14:textId="77777777" w:rsidTr="000C52AE">
        <w:tc>
          <w:tcPr>
            <w:tcW w:w="1413" w:type="dxa"/>
            <w:tcBorders>
              <w:top w:val="single" w:sz="4" w:space="0" w:color="auto"/>
              <w:left w:val="single" w:sz="4" w:space="0" w:color="auto"/>
              <w:bottom w:val="single" w:sz="4" w:space="0" w:color="auto"/>
              <w:right w:val="single" w:sz="4" w:space="0" w:color="auto"/>
            </w:tcBorders>
            <w:hideMark/>
          </w:tcPr>
          <w:p w14:paraId="1AAA0BB6" w14:textId="69E82EB3"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Early </w:t>
            </w:r>
            <w:r w:rsidR="00190C8D">
              <w:rPr>
                <w:rFonts w:ascii="Arial Narrow" w:hAnsi="Arial Narrow" w:cs="Arial"/>
                <w:sz w:val="20"/>
              </w:rPr>
              <w:br/>
            </w:r>
            <w:r w:rsidRPr="00C65234">
              <w:rPr>
                <w:rFonts w:ascii="Arial Narrow" w:hAnsi="Arial Narrow" w:cs="Arial"/>
                <w:sz w:val="20"/>
              </w:rPr>
              <w:t xml:space="preserve">peri-procedural </w:t>
            </w:r>
          </w:p>
          <w:p w14:paraId="08900CAD"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(24h - 7 days)</w:t>
            </w:r>
          </w:p>
        </w:tc>
        <w:tc>
          <w:tcPr>
            <w:tcW w:w="1276" w:type="dxa"/>
            <w:tcBorders>
              <w:top w:val="single" w:sz="4" w:space="0" w:color="auto"/>
              <w:left w:val="single" w:sz="4" w:space="0" w:color="auto"/>
              <w:bottom w:val="single" w:sz="4" w:space="0" w:color="auto"/>
              <w:right w:val="single" w:sz="4" w:space="0" w:color="auto"/>
            </w:tcBorders>
            <w:hideMark/>
          </w:tcPr>
          <w:p w14:paraId="19430E3C" w14:textId="77777777" w:rsidR="00C65234" w:rsidRPr="00C65234" w:rsidRDefault="00C65234" w:rsidP="00C65234">
            <w:pPr>
              <w:spacing w:before="40" w:after="40"/>
              <w:rPr>
                <w:rFonts w:ascii="Arial Narrow" w:hAnsi="Arial Narrow" w:cs="Tahoma"/>
                <w:sz w:val="20"/>
              </w:rPr>
            </w:pPr>
            <w:r w:rsidRPr="00C65234">
              <w:rPr>
                <w:rFonts w:ascii="Arial Narrow" w:hAnsi="Arial Narrow" w:cs="Tahoma"/>
                <w:sz w:val="20"/>
              </w:rPr>
              <w:t xml:space="preserve">k=2 RCT; k=2 cohort; </w:t>
            </w:r>
            <w:r w:rsidRPr="00C65234">
              <w:rPr>
                <w:rFonts w:ascii="Arial Narrow" w:hAnsi="Arial Narrow" w:cs="Tahoma"/>
                <w:sz w:val="20"/>
              </w:rPr>
              <w:br/>
              <w:t>N=1,689</w:t>
            </w:r>
          </w:p>
          <w:p w14:paraId="3C85CEEA" w14:textId="77777777" w:rsidR="00C65234" w:rsidRPr="00C65234" w:rsidRDefault="00C65234" w:rsidP="00C65234">
            <w:pPr>
              <w:spacing w:before="40" w:after="40"/>
              <w:rPr>
                <w:rFonts w:ascii="Arial Narrow" w:hAnsi="Arial Narrow" w:cs="Arial"/>
                <w:sz w:val="20"/>
              </w:rPr>
            </w:pPr>
            <w:r w:rsidRPr="00C65234">
              <w:rPr>
                <w:rFonts w:ascii="Arial Narrow" w:hAnsi="Arial Narrow" w:cs="Tahoma"/>
                <w:sz w:val="20"/>
              </w:rPr>
              <w:t>(all studies)</w:t>
            </w:r>
          </w:p>
        </w:tc>
        <w:tc>
          <w:tcPr>
            <w:tcW w:w="1146" w:type="dxa"/>
            <w:tcBorders>
              <w:top w:val="single" w:sz="4" w:space="0" w:color="auto"/>
              <w:left w:val="single" w:sz="4" w:space="0" w:color="auto"/>
              <w:bottom w:val="single" w:sz="4" w:space="0" w:color="auto"/>
              <w:right w:val="single" w:sz="4" w:space="0" w:color="auto"/>
            </w:tcBorders>
            <w:hideMark/>
          </w:tcPr>
          <w:p w14:paraId="745FCCE8" w14:textId="77777777" w:rsidR="00C65234" w:rsidRPr="00C65234" w:rsidRDefault="00C65234" w:rsidP="00C65234">
            <w:pPr>
              <w:spacing w:before="40" w:after="40"/>
              <w:rPr>
                <w:rFonts w:ascii="Arial Narrow" w:hAnsi="Arial Narrow" w:cs="Cambria Math"/>
                <w:color w:val="C00000"/>
                <w:sz w:val="20"/>
              </w:rPr>
            </w:pPr>
            <w:r w:rsidRPr="00C65234">
              <w:rPr>
                <w:rFonts w:ascii="Cambria Math" w:hAnsi="Cambria Math" w:cs="Cambria Math"/>
                <w:color w:val="00B050"/>
                <w:sz w:val="20"/>
              </w:rPr>
              <w:t>⨁⨁</w:t>
            </w:r>
            <w:r w:rsidRPr="00C65234">
              <w:rPr>
                <w:rFonts w:ascii="Cambria Math" w:hAnsi="Cambria Math" w:cs="Cambria Math"/>
                <w:color w:val="C00000"/>
                <w:sz w:val="20"/>
              </w:rPr>
              <w:t>⨀⨀</w:t>
            </w:r>
          </w:p>
          <w:p w14:paraId="1A44E1AF"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LOW</w:t>
            </w:r>
          </w:p>
        </w:tc>
        <w:tc>
          <w:tcPr>
            <w:tcW w:w="1122" w:type="dxa"/>
            <w:tcBorders>
              <w:top w:val="single" w:sz="4" w:space="0" w:color="auto"/>
              <w:left w:val="single" w:sz="4" w:space="0" w:color="auto"/>
              <w:bottom w:val="single" w:sz="4" w:space="0" w:color="auto"/>
              <w:right w:val="single" w:sz="4" w:space="0" w:color="auto"/>
            </w:tcBorders>
          </w:tcPr>
          <w:p w14:paraId="5F92C4B9"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TAVI+CEP: 24/907 (2.7)</w:t>
            </w:r>
          </w:p>
          <w:p w14:paraId="1C91D85B" w14:textId="77777777" w:rsidR="00C65234" w:rsidRPr="00C65234" w:rsidRDefault="00C65234" w:rsidP="00C65234">
            <w:pPr>
              <w:spacing w:before="40" w:after="40"/>
              <w:rPr>
                <w:rFonts w:ascii="Arial Narrow" w:hAnsi="Arial Narrow" w:cs="Arial"/>
                <w:b/>
                <w:sz w:val="20"/>
              </w:rPr>
            </w:pPr>
          </w:p>
        </w:tc>
        <w:tc>
          <w:tcPr>
            <w:tcW w:w="1134" w:type="dxa"/>
            <w:tcBorders>
              <w:top w:val="single" w:sz="4" w:space="0" w:color="auto"/>
              <w:left w:val="single" w:sz="4" w:space="0" w:color="auto"/>
              <w:bottom w:val="single" w:sz="4" w:space="0" w:color="auto"/>
              <w:right w:val="single" w:sz="4" w:space="0" w:color="auto"/>
            </w:tcBorders>
          </w:tcPr>
          <w:p w14:paraId="2225EB29" w14:textId="77777777" w:rsidR="00C65234" w:rsidRPr="00C65234" w:rsidRDefault="00C65234" w:rsidP="00C65234">
            <w:pPr>
              <w:spacing w:before="40" w:after="40"/>
              <w:rPr>
                <w:rFonts w:ascii="Arial Narrow" w:hAnsi="Arial Narrow" w:cs="Arial"/>
                <w:b/>
                <w:sz w:val="20"/>
              </w:rPr>
            </w:pPr>
            <w:r w:rsidRPr="00C65234">
              <w:rPr>
                <w:rFonts w:ascii="Arial Narrow" w:hAnsi="Arial Narrow" w:cs="Arial"/>
                <w:sz w:val="20"/>
              </w:rPr>
              <w:t>TAVI alone: 37/782 (4.7)</w:t>
            </w:r>
          </w:p>
        </w:tc>
        <w:tc>
          <w:tcPr>
            <w:tcW w:w="1134" w:type="dxa"/>
            <w:tcBorders>
              <w:top w:val="single" w:sz="4" w:space="0" w:color="auto"/>
              <w:left w:val="single" w:sz="4" w:space="0" w:color="auto"/>
              <w:bottom w:val="single" w:sz="4" w:space="0" w:color="auto"/>
              <w:right w:val="single" w:sz="4" w:space="0" w:color="auto"/>
            </w:tcBorders>
            <w:hideMark/>
          </w:tcPr>
          <w:p w14:paraId="23BB3E0A" w14:textId="77777777" w:rsidR="00C65234" w:rsidRPr="00C65234" w:rsidRDefault="00C65234" w:rsidP="00C65234">
            <w:pPr>
              <w:spacing w:before="40" w:after="40"/>
              <w:rPr>
                <w:rFonts w:ascii="Arial Narrow" w:hAnsi="Arial Narrow" w:cs="Arial"/>
                <w:b/>
                <w:sz w:val="20"/>
              </w:rPr>
            </w:pPr>
            <w:r w:rsidRPr="00C65234">
              <w:rPr>
                <w:rFonts w:ascii="Arial Narrow" w:hAnsi="Arial Narrow" w:cs="Arial"/>
                <w:b/>
                <w:sz w:val="20"/>
              </w:rPr>
              <w:t>0.49</w:t>
            </w:r>
          </w:p>
          <w:p w14:paraId="6147DDAC"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b/>
                <w:sz w:val="20"/>
              </w:rPr>
              <w:t>[0.28, 0.85]</w:t>
            </w:r>
          </w:p>
        </w:tc>
        <w:tc>
          <w:tcPr>
            <w:tcW w:w="1842" w:type="dxa"/>
            <w:tcBorders>
              <w:top w:val="single" w:sz="4" w:space="0" w:color="auto"/>
              <w:left w:val="single" w:sz="4" w:space="0" w:color="auto"/>
              <w:bottom w:val="single" w:sz="4" w:space="0" w:color="auto"/>
              <w:right w:val="single" w:sz="4" w:space="0" w:color="auto"/>
            </w:tcBorders>
          </w:tcPr>
          <w:p w14:paraId="1D0FF9BC" w14:textId="77777777" w:rsidR="00C65234" w:rsidRPr="00C65234" w:rsidRDefault="00C65234" w:rsidP="00C65234">
            <w:pPr>
              <w:spacing w:before="40" w:after="40"/>
              <w:rPr>
                <w:rFonts w:ascii="Arial Narrow" w:hAnsi="Arial Narrow" w:cs="Arial"/>
                <w:b/>
                <w:sz w:val="20"/>
              </w:rPr>
            </w:pPr>
            <w:r w:rsidRPr="00C65234">
              <w:rPr>
                <w:rFonts w:ascii="Arial Narrow" w:hAnsi="Arial Narrow" w:cs="Arial"/>
                <w:b/>
                <w:sz w:val="20"/>
              </w:rPr>
              <w:t xml:space="preserve">-0.02 </w:t>
            </w:r>
          </w:p>
          <w:p w14:paraId="08EC6A81" w14:textId="4CBE7C60" w:rsidR="00C65234" w:rsidRDefault="00C65234" w:rsidP="00C65234">
            <w:pPr>
              <w:spacing w:before="40" w:after="40"/>
              <w:rPr>
                <w:rFonts w:ascii="Arial Narrow" w:hAnsi="Arial Narrow" w:cs="Arial"/>
                <w:sz w:val="20"/>
              </w:rPr>
            </w:pPr>
            <w:r w:rsidRPr="00C65234">
              <w:rPr>
                <w:rFonts w:ascii="Arial Narrow" w:hAnsi="Arial Narrow" w:cs="Arial"/>
                <w:b/>
                <w:sz w:val="20"/>
              </w:rPr>
              <w:t>[-0.04, -0.01]</w:t>
            </w:r>
            <w:r w:rsidRPr="00C65234">
              <w:rPr>
                <w:rFonts w:ascii="Arial Narrow" w:hAnsi="Arial Narrow" w:cs="Arial"/>
                <w:sz w:val="20"/>
              </w:rPr>
              <w:t xml:space="preserve"> </w:t>
            </w:r>
          </w:p>
          <w:p w14:paraId="42B65574" w14:textId="7F2C6102" w:rsidR="00E864D1" w:rsidRPr="000C52AE" w:rsidRDefault="00E864D1" w:rsidP="00C65234">
            <w:pPr>
              <w:spacing w:before="40" w:after="40"/>
              <w:rPr>
                <w:rFonts w:ascii="Arial Narrow" w:hAnsi="Arial Narrow" w:cs="Arial"/>
                <w:b/>
                <w:bCs/>
                <w:iCs/>
                <w:sz w:val="20"/>
              </w:rPr>
            </w:pPr>
            <w:r w:rsidRPr="000C52AE">
              <w:rPr>
                <w:rFonts w:ascii="Arial Narrow" w:hAnsi="Arial Narrow" w:cs="Arial"/>
                <w:b/>
                <w:bCs/>
                <w:iCs/>
                <w:sz w:val="20"/>
              </w:rPr>
              <w:t>NNT: 50 [25, 100]</w:t>
            </w:r>
          </w:p>
          <w:p w14:paraId="70BE9C18" w14:textId="77777777" w:rsidR="00C65234" w:rsidRPr="00C65234" w:rsidRDefault="00C65234" w:rsidP="00C65234">
            <w:pPr>
              <w:spacing w:before="40" w:after="40"/>
              <w:rPr>
                <w:rFonts w:ascii="Arial Narrow" w:hAnsi="Arial Narrow" w:cs="Arial"/>
                <w:sz w:val="20"/>
              </w:rPr>
            </w:pPr>
          </w:p>
        </w:tc>
      </w:tr>
      <w:tr w:rsidR="00C65234" w:rsidRPr="00C65234" w14:paraId="319068BE" w14:textId="77777777" w:rsidTr="000C52AE">
        <w:tc>
          <w:tcPr>
            <w:tcW w:w="1413" w:type="dxa"/>
            <w:tcBorders>
              <w:top w:val="single" w:sz="4" w:space="0" w:color="auto"/>
              <w:left w:val="single" w:sz="4" w:space="0" w:color="auto"/>
              <w:bottom w:val="single" w:sz="4" w:space="0" w:color="auto"/>
              <w:right w:val="single" w:sz="4" w:space="0" w:color="auto"/>
            </w:tcBorders>
          </w:tcPr>
          <w:p w14:paraId="08AA6E59" w14:textId="02DFE4EE"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Early </w:t>
            </w:r>
            <w:r w:rsidR="00190C8D">
              <w:rPr>
                <w:rFonts w:ascii="Arial Narrow" w:hAnsi="Arial Narrow" w:cs="Arial"/>
                <w:sz w:val="20"/>
              </w:rPr>
              <w:br/>
            </w:r>
            <w:r w:rsidRPr="00C65234">
              <w:rPr>
                <w:rFonts w:ascii="Arial Narrow" w:hAnsi="Arial Narrow" w:cs="Arial"/>
                <w:sz w:val="20"/>
              </w:rPr>
              <w:t xml:space="preserve">peri-procedural </w:t>
            </w:r>
          </w:p>
          <w:p w14:paraId="0D58073B"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(24h - 7 days)</w:t>
            </w:r>
          </w:p>
          <w:p w14:paraId="051A0D12"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RCTs only</w:t>
            </w:r>
          </w:p>
        </w:tc>
        <w:tc>
          <w:tcPr>
            <w:tcW w:w="1276" w:type="dxa"/>
            <w:tcBorders>
              <w:top w:val="single" w:sz="4" w:space="0" w:color="auto"/>
              <w:left w:val="single" w:sz="4" w:space="0" w:color="auto"/>
              <w:bottom w:val="single" w:sz="4" w:space="0" w:color="auto"/>
              <w:right w:val="single" w:sz="4" w:space="0" w:color="auto"/>
            </w:tcBorders>
          </w:tcPr>
          <w:p w14:paraId="53742C93" w14:textId="77777777" w:rsidR="00C65234" w:rsidRPr="00C65234" w:rsidRDefault="00C65234" w:rsidP="00C65234">
            <w:pPr>
              <w:spacing w:before="40" w:after="40"/>
              <w:rPr>
                <w:rFonts w:ascii="Arial Narrow" w:hAnsi="Arial Narrow" w:cs="Tahoma"/>
                <w:sz w:val="20"/>
              </w:rPr>
            </w:pPr>
            <w:r w:rsidRPr="00C65234">
              <w:rPr>
                <w:rFonts w:ascii="Arial Narrow" w:hAnsi="Arial Narrow" w:cs="Tahoma"/>
                <w:sz w:val="20"/>
              </w:rPr>
              <w:t>k=2</w:t>
            </w:r>
          </w:p>
          <w:p w14:paraId="2ADEF6B8" w14:textId="77777777" w:rsidR="00C65234" w:rsidRPr="00C65234" w:rsidRDefault="00C65234" w:rsidP="00C65234">
            <w:pPr>
              <w:spacing w:before="40" w:after="40"/>
              <w:rPr>
                <w:rFonts w:ascii="Arial Narrow" w:hAnsi="Arial Narrow" w:cs="Tahoma"/>
                <w:sz w:val="20"/>
              </w:rPr>
            </w:pPr>
            <w:r w:rsidRPr="00C65234">
              <w:rPr>
                <w:rFonts w:ascii="Arial Narrow" w:hAnsi="Arial Narrow" w:cs="Tahoma"/>
                <w:sz w:val="20"/>
              </w:rPr>
              <w:t>N=463</w:t>
            </w:r>
          </w:p>
        </w:tc>
        <w:tc>
          <w:tcPr>
            <w:tcW w:w="1146" w:type="dxa"/>
            <w:tcBorders>
              <w:top w:val="single" w:sz="4" w:space="0" w:color="auto"/>
              <w:left w:val="single" w:sz="4" w:space="0" w:color="auto"/>
              <w:bottom w:val="single" w:sz="4" w:space="0" w:color="auto"/>
              <w:right w:val="single" w:sz="4" w:space="0" w:color="auto"/>
            </w:tcBorders>
          </w:tcPr>
          <w:p w14:paraId="46ABB939" w14:textId="77777777" w:rsidR="00C65234" w:rsidRPr="00C65234" w:rsidRDefault="00C65234" w:rsidP="00C65234">
            <w:pPr>
              <w:spacing w:before="40" w:after="40"/>
              <w:rPr>
                <w:rFonts w:ascii="Arial Narrow" w:hAnsi="Arial Narrow" w:cs="Cambria Math"/>
                <w:color w:val="C00000"/>
                <w:sz w:val="20"/>
              </w:rPr>
            </w:pPr>
            <w:r w:rsidRPr="00C65234">
              <w:rPr>
                <w:rFonts w:ascii="Cambria Math" w:hAnsi="Cambria Math" w:cs="Cambria Math"/>
                <w:color w:val="00B050"/>
                <w:sz w:val="20"/>
              </w:rPr>
              <w:t>⨁⨁</w:t>
            </w:r>
            <w:r w:rsidRPr="00C65234">
              <w:rPr>
                <w:rFonts w:ascii="Cambria Math" w:hAnsi="Cambria Math" w:cs="Cambria Math"/>
                <w:color w:val="C00000"/>
                <w:sz w:val="20"/>
              </w:rPr>
              <w:t>⨀⨀</w:t>
            </w:r>
          </w:p>
          <w:p w14:paraId="44EDAB61" w14:textId="77777777" w:rsidR="00C65234" w:rsidRPr="00C65234" w:rsidRDefault="00C65234" w:rsidP="00C65234">
            <w:pPr>
              <w:spacing w:before="40" w:after="40"/>
              <w:rPr>
                <w:rFonts w:ascii="Arial Narrow" w:hAnsi="Arial Narrow" w:cs="Cambria Math"/>
                <w:color w:val="00B050"/>
                <w:sz w:val="20"/>
              </w:rPr>
            </w:pPr>
            <w:r w:rsidRPr="00C65234">
              <w:rPr>
                <w:rFonts w:ascii="Arial Narrow" w:hAnsi="Arial Narrow" w:cs="Arial"/>
                <w:sz w:val="20"/>
              </w:rPr>
              <w:t>LOW</w:t>
            </w:r>
          </w:p>
        </w:tc>
        <w:tc>
          <w:tcPr>
            <w:tcW w:w="1122" w:type="dxa"/>
            <w:tcBorders>
              <w:top w:val="single" w:sz="4" w:space="0" w:color="auto"/>
              <w:left w:val="single" w:sz="4" w:space="0" w:color="auto"/>
              <w:bottom w:val="single" w:sz="4" w:space="0" w:color="auto"/>
              <w:right w:val="single" w:sz="4" w:space="0" w:color="auto"/>
            </w:tcBorders>
          </w:tcPr>
          <w:p w14:paraId="6CD482C0" w14:textId="77777777" w:rsidR="00C65234" w:rsidRPr="00C65234" w:rsidRDefault="00C65234" w:rsidP="00C65234">
            <w:pPr>
              <w:spacing w:before="40" w:after="40"/>
              <w:rPr>
                <w:rFonts w:ascii="Arial Narrow" w:hAnsi="Arial Narrow" w:cs="Arial"/>
                <w:sz w:val="20"/>
                <w:lang w:eastAsia="en-US"/>
              </w:rPr>
            </w:pPr>
            <w:r w:rsidRPr="00C65234">
              <w:rPr>
                <w:rFonts w:ascii="Arial Narrow" w:hAnsi="Arial Narrow"/>
                <w:snapToGrid w:val="0"/>
                <w:sz w:val="20"/>
                <w:lang w:eastAsia="en-US"/>
              </w:rPr>
              <w:t>17/294 (5.8)</w:t>
            </w:r>
          </w:p>
        </w:tc>
        <w:tc>
          <w:tcPr>
            <w:tcW w:w="1134" w:type="dxa"/>
            <w:tcBorders>
              <w:top w:val="single" w:sz="4" w:space="0" w:color="auto"/>
              <w:left w:val="single" w:sz="4" w:space="0" w:color="auto"/>
              <w:bottom w:val="single" w:sz="4" w:space="0" w:color="auto"/>
              <w:right w:val="single" w:sz="4" w:space="0" w:color="auto"/>
            </w:tcBorders>
          </w:tcPr>
          <w:p w14:paraId="2FA8E9C6" w14:textId="77777777" w:rsidR="00C65234" w:rsidRPr="00C65234" w:rsidRDefault="00C65234" w:rsidP="00C65234">
            <w:pPr>
              <w:spacing w:before="40" w:after="40"/>
              <w:rPr>
                <w:rFonts w:ascii="Arial Narrow" w:hAnsi="Arial Narrow" w:cs="Arial"/>
                <w:sz w:val="20"/>
                <w:lang w:eastAsia="en-US"/>
              </w:rPr>
            </w:pPr>
            <w:r w:rsidRPr="00C65234">
              <w:rPr>
                <w:rFonts w:ascii="Arial Narrow" w:hAnsi="Arial Narrow"/>
                <w:snapToGrid w:val="0"/>
                <w:sz w:val="20"/>
                <w:lang w:eastAsia="en-US"/>
              </w:rPr>
              <w:t>15/169 (8.9)</w:t>
            </w:r>
          </w:p>
        </w:tc>
        <w:tc>
          <w:tcPr>
            <w:tcW w:w="1134" w:type="dxa"/>
            <w:tcBorders>
              <w:top w:val="single" w:sz="4" w:space="0" w:color="auto"/>
              <w:left w:val="single" w:sz="4" w:space="0" w:color="auto"/>
              <w:bottom w:val="single" w:sz="4" w:space="0" w:color="auto"/>
              <w:right w:val="single" w:sz="4" w:space="0" w:color="auto"/>
            </w:tcBorders>
          </w:tcPr>
          <w:p w14:paraId="7E1D2BAA" w14:textId="77777777" w:rsidR="00C65234" w:rsidRPr="00C65234" w:rsidRDefault="00C65234" w:rsidP="00C65234">
            <w:pPr>
              <w:spacing w:before="40" w:after="40"/>
              <w:rPr>
                <w:rFonts w:ascii="Arial Narrow" w:hAnsi="Arial Narrow" w:cs="Arial"/>
                <w:b/>
                <w:sz w:val="20"/>
              </w:rPr>
            </w:pPr>
            <w:r w:rsidRPr="00C65234">
              <w:rPr>
                <w:rFonts w:ascii="Arial Narrow" w:hAnsi="Arial Narrow" w:cs="Arial"/>
                <w:b/>
                <w:sz w:val="20"/>
              </w:rPr>
              <w:t xml:space="preserve">0.67 </w:t>
            </w:r>
          </w:p>
          <w:p w14:paraId="402117B0" w14:textId="77777777" w:rsidR="00C65234" w:rsidRPr="00C65234" w:rsidRDefault="00C65234" w:rsidP="00C65234">
            <w:pPr>
              <w:spacing w:before="40" w:after="40"/>
              <w:rPr>
                <w:rFonts w:ascii="Arial Narrow" w:hAnsi="Arial Narrow" w:cs="Arial"/>
                <w:b/>
                <w:sz w:val="20"/>
              </w:rPr>
            </w:pPr>
            <w:r w:rsidRPr="00C65234">
              <w:rPr>
                <w:rFonts w:ascii="Arial Narrow" w:hAnsi="Arial Narrow" w:cs="Arial"/>
                <w:b/>
                <w:sz w:val="20"/>
              </w:rPr>
              <w:t>[0.33, 1.39]</w:t>
            </w:r>
          </w:p>
        </w:tc>
        <w:tc>
          <w:tcPr>
            <w:tcW w:w="1842" w:type="dxa"/>
            <w:tcBorders>
              <w:top w:val="single" w:sz="4" w:space="0" w:color="auto"/>
              <w:left w:val="single" w:sz="4" w:space="0" w:color="auto"/>
              <w:bottom w:val="single" w:sz="4" w:space="0" w:color="auto"/>
              <w:right w:val="single" w:sz="4" w:space="0" w:color="auto"/>
            </w:tcBorders>
          </w:tcPr>
          <w:p w14:paraId="50968963" w14:textId="77777777" w:rsidR="00C65234" w:rsidRPr="000C52AE" w:rsidRDefault="00C65234" w:rsidP="00C65234">
            <w:pPr>
              <w:spacing w:before="40" w:after="40"/>
              <w:rPr>
                <w:rFonts w:ascii="Arial Narrow" w:hAnsi="Arial Narrow" w:cs="Arial"/>
                <w:sz w:val="20"/>
              </w:rPr>
            </w:pPr>
            <w:r w:rsidRPr="000C52AE">
              <w:rPr>
                <w:rFonts w:ascii="Arial Narrow" w:hAnsi="Arial Narrow" w:cs="Arial"/>
                <w:sz w:val="20"/>
              </w:rPr>
              <w:t xml:space="preserve">-0.03 </w:t>
            </w:r>
          </w:p>
          <w:p w14:paraId="137E57A8" w14:textId="77777777" w:rsidR="00C65234" w:rsidRPr="000C52AE" w:rsidRDefault="00C65234" w:rsidP="00C65234">
            <w:pPr>
              <w:spacing w:before="40" w:after="40"/>
              <w:rPr>
                <w:rFonts w:ascii="Arial Narrow" w:hAnsi="Arial Narrow" w:cs="Arial"/>
                <w:sz w:val="20"/>
              </w:rPr>
            </w:pPr>
            <w:r w:rsidRPr="000C52AE">
              <w:rPr>
                <w:rFonts w:ascii="Arial Narrow" w:hAnsi="Arial Narrow" w:cs="Arial"/>
                <w:sz w:val="20"/>
              </w:rPr>
              <w:t>[-0.08, 0.02]</w:t>
            </w:r>
          </w:p>
          <w:p w14:paraId="3A217B9F" w14:textId="1ACE22DD" w:rsidR="00E864D1" w:rsidRPr="00E864D1" w:rsidRDefault="00E864D1" w:rsidP="00C65234">
            <w:pPr>
              <w:spacing w:before="40" w:after="40"/>
              <w:rPr>
                <w:rFonts w:ascii="Arial Narrow" w:hAnsi="Arial Narrow" w:cs="Arial"/>
                <w:b/>
                <w:sz w:val="20"/>
              </w:rPr>
            </w:pPr>
            <w:r w:rsidRPr="000C52AE">
              <w:rPr>
                <w:rFonts w:ascii="Arial Narrow" w:hAnsi="Arial Narrow" w:cs="Arial"/>
                <w:sz w:val="20"/>
              </w:rPr>
              <w:t>NNT: 33 [13, -50]</w:t>
            </w:r>
          </w:p>
        </w:tc>
      </w:tr>
      <w:tr w:rsidR="00C65234" w:rsidRPr="00C65234" w14:paraId="7924F0A3" w14:textId="77777777" w:rsidTr="000C52AE">
        <w:tc>
          <w:tcPr>
            <w:tcW w:w="1413" w:type="dxa"/>
            <w:tcBorders>
              <w:top w:val="single" w:sz="4" w:space="0" w:color="auto"/>
              <w:left w:val="single" w:sz="4" w:space="0" w:color="auto"/>
              <w:bottom w:val="single" w:sz="4" w:space="0" w:color="auto"/>
              <w:right w:val="single" w:sz="4" w:space="0" w:color="auto"/>
            </w:tcBorders>
            <w:hideMark/>
          </w:tcPr>
          <w:p w14:paraId="0C0EFCAB"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30 day</w:t>
            </w:r>
          </w:p>
        </w:tc>
        <w:tc>
          <w:tcPr>
            <w:tcW w:w="1276" w:type="dxa"/>
            <w:tcBorders>
              <w:top w:val="single" w:sz="4" w:space="0" w:color="auto"/>
              <w:left w:val="single" w:sz="4" w:space="0" w:color="auto"/>
              <w:bottom w:val="single" w:sz="4" w:space="0" w:color="auto"/>
              <w:right w:val="single" w:sz="4" w:space="0" w:color="auto"/>
            </w:tcBorders>
            <w:hideMark/>
          </w:tcPr>
          <w:p w14:paraId="35FFF614" w14:textId="77777777" w:rsidR="00C65234" w:rsidRPr="00C65234" w:rsidRDefault="00C65234" w:rsidP="00C65234">
            <w:pPr>
              <w:spacing w:before="40" w:after="40"/>
              <w:rPr>
                <w:rFonts w:ascii="Arial Narrow" w:hAnsi="Arial Narrow" w:cs="Arial"/>
                <w:sz w:val="20"/>
              </w:rPr>
            </w:pPr>
            <w:r w:rsidRPr="00C65234">
              <w:rPr>
                <w:rFonts w:ascii="Arial Narrow" w:hAnsi="Arial Narrow" w:cs="Tahoma"/>
                <w:sz w:val="20"/>
              </w:rPr>
              <w:t>k=4 (RCT; k=3 cohort k=1); N=1,056</w:t>
            </w:r>
          </w:p>
        </w:tc>
        <w:tc>
          <w:tcPr>
            <w:tcW w:w="1146" w:type="dxa"/>
            <w:tcBorders>
              <w:top w:val="single" w:sz="4" w:space="0" w:color="auto"/>
              <w:left w:val="single" w:sz="4" w:space="0" w:color="auto"/>
              <w:bottom w:val="single" w:sz="4" w:space="0" w:color="auto"/>
              <w:right w:val="single" w:sz="4" w:space="0" w:color="auto"/>
            </w:tcBorders>
            <w:hideMark/>
          </w:tcPr>
          <w:p w14:paraId="37901B75" w14:textId="77777777" w:rsidR="00C65234" w:rsidRPr="00C65234" w:rsidRDefault="00C65234" w:rsidP="00C65234">
            <w:pPr>
              <w:spacing w:before="40" w:after="40"/>
              <w:rPr>
                <w:rFonts w:ascii="Arial Narrow" w:hAnsi="Arial Narrow" w:cs="Cambria Math"/>
                <w:color w:val="C00000"/>
                <w:sz w:val="20"/>
              </w:rPr>
            </w:pPr>
            <w:r w:rsidRPr="00C65234">
              <w:rPr>
                <w:rFonts w:ascii="Cambria Math" w:hAnsi="Cambria Math" w:cs="Cambria Math"/>
                <w:color w:val="00B050"/>
                <w:sz w:val="20"/>
              </w:rPr>
              <w:t>⨁⨁⨁</w:t>
            </w:r>
            <w:r w:rsidRPr="00C65234">
              <w:rPr>
                <w:rFonts w:ascii="Cambria Math" w:hAnsi="Cambria Math" w:cs="Cambria Math"/>
                <w:color w:val="C00000"/>
                <w:sz w:val="20"/>
              </w:rPr>
              <w:t>⨀</w:t>
            </w:r>
          </w:p>
          <w:p w14:paraId="2E7A2834"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MODERATE</w:t>
            </w:r>
          </w:p>
        </w:tc>
        <w:tc>
          <w:tcPr>
            <w:tcW w:w="1122" w:type="dxa"/>
            <w:tcBorders>
              <w:top w:val="single" w:sz="4" w:space="0" w:color="auto"/>
              <w:left w:val="single" w:sz="4" w:space="0" w:color="auto"/>
              <w:bottom w:val="single" w:sz="4" w:space="0" w:color="auto"/>
              <w:right w:val="single" w:sz="4" w:space="0" w:color="auto"/>
            </w:tcBorders>
          </w:tcPr>
          <w:p w14:paraId="1F651E6C"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TAVI+CEP: 15/531 (2.8)</w:t>
            </w:r>
          </w:p>
          <w:p w14:paraId="054CCC50" w14:textId="77777777" w:rsidR="00C65234" w:rsidRPr="00C65234" w:rsidRDefault="00C65234" w:rsidP="00C65234">
            <w:pPr>
              <w:spacing w:before="40" w:after="40"/>
              <w:rPr>
                <w:rFonts w:ascii="Arial Narrow" w:hAnsi="Arial Narrow" w:cs="Arial"/>
                <w:b/>
                <w:sz w:val="20"/>
              </w:rPr>
            </w:pPr>
          </w:p>
        </w:tc>
        <w:tc>
          <w:tcPr>
            <w:tcW w:w="1134" w:type="dxa"/>
            <w:tcBorders>
              <w:top w:val="single" w:sz="4" w:space="0" w:color="auto"/>
              <w:left w:val="single" w:sz="4" w:space="0" w:color="auto"/>
              <w:bottom w:val="single" w:sz="4" w:space="0" w:color="auto"/>
              <w:right w:val="single" w:sz="4" w:space="0" w:color="auto"/>
            </w:tcBorders>
          </w:tcPr>
          <w:p w14:paraId="6E46B994" w14:textId="77777777" w:rsidR="00C65234" w:rsidRPr="00C65234" w:rsidRDefault="00C65234" w:rsidP="00C65234">
            <w:pPr>
              <w:spacing w:before="40" w:after="40"/>
              <w:rPr>
                <w:rFonts w:ascii="Arial Narrow" w:hAnsi="Arial Narrow" w:cs="Arial"/>
                <w:b/>
                <w:sz w:val="20"/>
              </w:rPr>
            </w:pPr>
            <w:r w:rsidRPr="00C65234">
              <w:rPr>
                <w:rFonts w:ascii="Arial Narrow" w:hAnsi="Arial Narrow" w:cs="Arial"/>
                <w:sz w:val="20"/>
              </w:rPr>
              <w:t>TAVI alone: 33/526 (6.3)</w:t>
            </w:r>
          </w:p>
        </w:tc>
        <w:tc>
          <w:tcPr>
            <w:tcW w:w="1134" w:type="dxa"/>
            <w:tcBorders>
              <w:top w:val="single" w:sz="4" w:space="0" w:color="auto"/>
              <w:left w:val="single" w:sz="4" w:space="0" w:color="auto"/>
              <w:bottom w:val="single" w:sz="4" w:space="0" w:color="auto"/>
              <w:right w:val="single" w:sz="4" w:space="0" w:color="auto"/>
            </w:tcBorders>
            <w:hideMark/>
          </w:tcPr>
          <w:p w14:paraId="2A4A5C87" w14:textId="77777777" w:rsidR="00C65234" w:rsidRPr="00C65234" w:rsidRDefault="00C65234" w:rsidP="00C65234">
            <w:pPr>
              <w:spacing w:before="40" w:after="40"/>
              <w:rPr>
                <w:rFonts w:ascii="Arial Narrow" w:hAnsi="Arial Narrow" w:cs="Arial"/>
                <w:b/>
                <w:sz w:val="20"/>
              </w:rPr>
            </w:pPr>
            <w:r w:rsidRPr="00C65234">
              <w:rPr>
                <w:rFonts w:ascii="Arial Narrow" w:hAnsi="Arial Narrow" w:cs="Arial"/>
                <w:b/>
                <w:sz w:val="20"/>
              </w:rPr>
              <w:t xml:space="preserve">0.45 </w:t>
            </w:r>
          </w:p>
          <w:p w14:paraId="01CC60F7"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b/>
                <w:sz w:val="20"/>
              </w:rPr>
              <w:t>[0.24, 0.84]</w:t>
            </w:r>
          </w:p>
        </w:tc>
        <w:tc>
          <w:tcPr>
            <w:tcW w:w="1842" w:type="dxa"/>
            <w:tcBorders>
              <w:top w:val="single" w:sz="4" w:space="0" w:color="auto"/>
              <w:left w:val="single" w:sz="4" w:space="0" w:color="auto"/>
              <w:bottom w:val="single" w:sz="4" w:space="0" w:color="auto"/>
              <w:right w:val="single" w:sz="4" w:space="0" w:color="auto"/>
            </w:tcBorders>
            <w:hideMark/>
          </w:tcPr>
          <w:p w14:paraId="18B0A6DE" w14:textId="77777777" w:rsidR="00C65234" w:rsidRPr="00C65234" w:rsidRDefault="00C65234" w:rsidP="00C65234">
            <w:pPr>
              <w:spacing w:before="40" w:after="40"/>
              <w:rPr>
                <w:rFonts w:ascii="Arial Narrow" w:hAnsi="Arial Narrow" w:cs="Arial"/>
                <w:b/>
                <w:sz w:val="20"/>
              </w:rPr>
            </w:pPr>
            <w:r w:rsidRPr="00C65234">
              <w:rPr>
                <w:rFonts w:ascii="Arial Narrow" w:hAnsi="Arial Narrow" w:cs="Arial"/>
                <w:b/>
                <w:sz w:val="20"/>
              </w:rPr>
              <w:t>-0.04</w:t>
            </w:r>
          </w:p>
          <w:p w14:paraId="226A143D" w14:textId="77777777" w:rsidR="00C65234" w:rsidRDefault="00C65234" w:rsidP="00C65234">
            <w:pPr>
              <w:spacing w:before="40" w:after="40"/>
              <w:rPr>
                <w:rFonts w:ascii="Arial Narrow" w:hAnsi="Arial Narrow" w:cs="Arial"/>
                <w:b/>
                <w:sz w:val="20"/>
              </w:rPr>
            </w:pPr>
            <w:r w:rsidRPr="00C65234">
              <w:rPr>
                <w:rFonts w:ascii="Arial Narrow" w:hAnsi="Arial Narrow" w:cs="Arial"/>
                <w:b/>
                <w:sz w:val="20"/>
              </w:rPr>
              <w:t>[-0.06, -0.01]</w:t>
            </w:r>
          </w:p>
          <w:p w14:paraId="4BFE62E6" w14:textId="0D2AAAAF" w:rsidR="00E864D1" w:rsidRPr="000C52AE" w:rsidRDefault="00E864D1" w:rsidP="00C65234">
            <w:pPr>
              <w:spacing w:before="40" w:after="40"/>
              <w:rPr>
                <w:rFonts w:ascii="Arial Narrow" w:hAnsi="Arial Narrow" w:cs="Arial"/>
                <w:b/>
                <w:sz w:val="20"/>
              </w:rPr>
            </w:pPr>
            <w:r w:rsidRPr="000C52AE">
              <w:rPr>
                <w:rFonts w:ascii="Arial Narrow" w:hAnsi="Arial Narrow" w:cs="Arial"/>
                <w:b/>
                <w:sz w:val="20"/>
              </w:rPr>
              <w:t>NNT: 25 [17, 100]</w:t>
            </w:r>
          </w:p>
        </w:tc>
      </w:tr>
      <w:tr w:rsidR="00C65234" w:rsidRPr="00C65234" w14:paraId="6A7B708D" w14:textId="77777777" w:rsidTr="000C52AE">
        <w:tc>
          <w:tcPr>
            <w:tcW w:w="1413" w:type="dxa"/>
            <w:tcBorders>
              <w:top w:val="single" w:sz="4" w:space="0" w:color="auto"/>
              <w:left w:val="single" w:sz="4" w:space="0" w:color="auto"/>
              <w:bottom w:val="single" w:sz="4" w:space="0" w:color="auto"/>
              <w:right w:val="single" w:sz="4" w:space="0" w:color="auto"/>
            </w:tcBorders>
          </w:tcPr>
          <w:p w14:paraId="19308A50"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30 day</w:t>
            </w:r>
          </w:p>
          <w:p w14:paraId="7636E485"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RCTs only</w:t>
            </w:r>
          </w:p>
        </w:tc>
        <w:tc>
          <w:tcPr>
            <w:tcW w:w="1276" w:type="dxa"/>
            <w:tcBorders>
              <w:top w:val="single" w:sz="4" w:space="0" w:color="auto"/>
              <w:left w:val="single" w:sz="4" w:space="0" w:color="auto"/>
              <w:bottom w:val="single" w:sz="4" w:space="0" w:color="auto"/>
              <w:right w:val="single" w:sz="4" w:space="0" w:color="auto"/>
            </w:tcBorders>
          </w:tcPr>
          <w:p w14:paraId="32E9AAC5" w14:textId="77777777" w:rsidR="00C65234" w:rsidRPr="00C65234" w:rsidRDefault="00C65234" w:rsidP="00C65234">
            <w:pPr>
              <w:spacing w:before="40" w:after="40"/>
              <w:rPr>
                <w:rFonts w:ascii="Arial Narrow" w:hAnsi="Arial Narrow" w:cs="Tahoma"/>
                <w:sz w:val="20"/>
              </w:rPr>
            </w:pPr>
            <w:r w:rsidRPr="00C65234">
              <w:rPr>
                <w:rFonts w:ascii="Arial Narrow" w:hAnsi="Arial Narrow" w:cs="Tahoma"/>
                <w:sz w:val="20"/>
              </w:rPr>
              <w:t xml:space="preserve">k=3 </w:t>
            </w:r>
          </w:p>
          <w:p w14:paraId="49490322" w14:textId="77777777" w:rsidR="00C65234" w:rsidRPr="00C65234" w:rsidRDefault="00C65234" w:rsidP="00C65234">
            <w:pPr>
              <w:spacing w:before="40" w:after="40"/>
              <w:rPr>
                <w:rFonts w:ascii="Arial Narrow" w:hAnsi="Arial Narrow" w:cs="Tahoma"/>
                <w:sz w:val="20"/>
              </w:rPr>
            </w:pPr>
            <w:r w:rsidRPr="00C65234">
              <w:rPr>
                <w:rFonts w:ascii="Arial Narrow" w:hAnsi="Arial Narrow" w:cs="Tahoma"/>
                <w:sz w:val="20"/>
              </w:rPr>
              <w:t>N= 391</w:t>
            </w:r>
          </w:p>
        </w:tc>
        <w:tc>
          <w:tcPr>
            <w:tcW w:w="1146" w:type="dxa"/>
            <w:tcBorders>
              <w:top w:val="single" w:sz="4" w:space="0" w:color="auto"/>
              <w:left w:val="single" w:sz="4" w:space="0" w:color="auto"/>
              <w:bottom w:val="single" w:sz="4" w:space="0" w:color="auto"/>
              <w:right w:val="single" w:sz="4" w:space="0" w:color="auto"/>
            </w:tcBorders>
          </w:tcPr>
          <w:p w14:paraId="110A18B4" w14:textId="77777777" w:rsidR="00C65234" w:rsidRPr="00C65234" w:rsidRDefault="00C65234" w:rsidP="00C65234">
            <w:pPr>
              <w:spacing w:before="40" w:after="40"/>
              <w:rPr>
                <w:rFonts w:ascii="Arial Narrow" w:hAnsi="Arial Narrow" w:cs="Cambria Math"/>
                <w:color w:val="C00000"/>
                <w:sz w:val="20"/>
              </w:rPr>
            </w:pPr>
            <w:r w:rsidRPr="00C65234">
              <w:rPr>
                <w:rFonts w:ascii="Cambria Math" w:hAnsi="Cambria Math" w:cs="Cambria Math"/>
                <w:color w:val="00B050"/>
                <w:sz w:val="20"/>
              </w:rPr>
              <w:t>⨁⨁⨁⨁</w:t>
            </w:r>
          </w:p>
          <w:p w14:paraId="4B6273B4" w14:textId="77777777" w:rsidR="00C65234" w:rsidRPr="00C65234" w:rsidRDefault="00C65234" w:rsidP="00C65234">
            <w:pPr>
              <w:widowControl w:val="0"/>
              <w:spacing w:before="40" w:after="40"/>
              <w:ind w:left="22"/>
              <w:rPr>
                <w:rFonts w:ascii="Arial Narrow" w:hAnsi="Arial Narrow" w:cs="Cambria Math"/>
                <w:sz w:val="20"/>
                <w:lang w:eastAsia="en-US"/>
              </w:rPr>
            </w:pPr>
            <w:r w:rsidRPr="00C65234">
              <w:rPr>
                <w:rFonts w:ascii="Arial Narrow" w:hAnsi="Arial Narrow" w:cs="Cambria Math"/>
                <w:sz w:val="20"/>
                <w:lang w:eastAsia="en-US"/>
              </w:rPr>
              <w:t>HIGH</w:t>
            </w:r>
          </w:p>
          <w:p w14:paraId="1AFD90B7" w14:textId="77777777" w:rsidR="00C65234" w:rsidRPr="00C65234" w:rsidRDefault="00C65234" w:rsidP="00C65234">
            <w:pPr>
              <w:spacing w:before="40" w:after="40"/>
              <w:ind w:left="176"/>
              <w:rPr>
                <w:rFonts w:ascii="Arial Narrow" w:hAnsi="Arial Narrow" w:cs="Cambria Math"/>
                <w:color w:val="00B050"/>
                <w:sz w:val="20"/>
              </w:rPr>
            </w:pPr>
          </w:p>
        </w:tc>
        <w:tc>
          <w:tcPr>
            <w:tcW w:w="1122" w:type="dxa"/>
            <w:tcBorders>
              <w:top w:val="single" w:sz="4" w:space="0" w:color="auto"/>
              <w:left w:val="single" w:sz="4" w:space="0" w:color="auto"/>
              <w:bottom w:val="single" w:sz="4" w:space="0" w:color="auto"/>
              <w:right w:val="single" w:sz="4" w:space="0" w:color="auto"/>
            </w:tcBorders>
          </w:tcPr>
          <w:p w14:paraId="0CA58B89"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TAVI+CEP</w:t>
            </w:r>
          </w:p>
          <w:p w14:paraId="45E6AC15"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9/198 (4.6)</w:t>
            </w:r>
          </w:p>
          <w:p w14:paraId="3D648D00" w14:textId="77777777" w:rsidR="00C65234" w:rsidRPr="00C65234" w:rsidRDefault="00C65234" w:rsidP="00C65234">
            <w:pPr>
              <w:spacing w:before="40" w:after="40"/>
              <w:rPr>
                <w:rFonts w:ascii="Arial Narrow" w:hAnsi="Arial Narrow" w:cs="Arial"/>
                <w:sz w:val="20"/>
              </w:rPr>
            </w:pPr>
          </w:p>
        </w:tc>
        <w:tc>
          <w:tcPr>
            <w:tcW w:w="1134" w:type="dxa"/>
            <w:tcBorders>
              <w:top w:val="single" w:sz="4" w:space="0" w:color="auto"/>
              <w:left w:val="single" w:sz="4" w:space="0" w:color="auto"/>
              <w:bottom w:val="single" w:sz="4" w:space="0" w:color="auto"/>
              <w:right w:val="single" w:sz="4" w:space="0" w:color="auto"/>
            </w:tcBorders>
          </w:tcPr>
          <w:p w14:paraId="55821E01"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 alone:</w:t>
            </w:r>
          </w:p>
          <w:p w14:paraId="7BC5E081"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16/193 (8.3)</w:t>
            </w:r>
          </w:p>
        </w:tc>
        <w:tc>
          <w:tcPr>
            <w:tcW w:w="1134" w:type="dxa"/>
            <w:tcBorders>
              <w:top w:val="single" w:sz="4" w:space="0" w:color="auto"/>
              <w:left w:val="single" w:sz="4" w:space="0" w:color="auto"/>
              <w:bottom w:val="single" w:sz="4" w:space="0" w:color="auto"/>
              <w:right w:val="single" w:sz="4" w:space="0" w:color="auto"/>
            </w:tcBorders>
          </w:tcPr>
          <w:p w14:paraId="7142B463"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0.56 </w:t>
            </w:r>
          </w:p>
          <w:p w14:paraId="270F402A"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[0.24, 1.29]</w:t>
            </w:r>
          </w:p>
        </w:tc>
        <w:tc>
          <w:tcPr>
            <w:tcW w:w="1842" w:type="dxa"/>
            <w:tcBorders>
              <w:top w:val="single" w:sz="4" w:space="0" w:color="auto"/>
              <w:left w:val="single" w:sz="4" w:space="0" w:color="auto"/>
              <w:bottom w:val="single" w:sz="4" w:space="0" w:color="auto"/>
              <w:right w:val="single" w:sz="4" w:space="0" w:color="auto"/>
            </w:tcBorders>
          </w:tcPr>
          <w:p w14:paraId="0F1D4B06"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-0.04 </w:t>
            </w:r>
          </w:p>
          <w:p w14:paraId="09DB1C6C" w14:textId="77777777" w:rsidR="00C65234" w:rsidRDefault="00C65234" w:rsidP="00C65234">
            <w:pPr>
              <w:spacing w:before="40" w:after="40"/>
              <w:rPr>
                <w:rFonts w:ascii="Arial Narrow" w:hAnsi="Arial Narrow" w:cs="Arial"/>
                <w:sz w:val="20"/>
              </w:rPr>
            </w:pPr>
            <w:r w:rsidRPr="00C65234">
              <w:rPr>
                <w:rFonts w:ascii="Arial Narrow" w:hAnsi="Arial Narrow" w:cs="Arial"/>
                <w:sz w:val="20"/>
              </w:rPr>
              <w:t xml:space="preserve">[-0.09, 0.01] </w:t>
            </w:r>
          </w:p>
          <w:p w14:paraId="71D3EEC2" w14:textId="03E9E07C" w:rsidR="00E864D1" w:rsidRPr="00C65234" w:rsidRDefault="00E864D1" w:rsidP="00E864D1">
            <w:pPr>
              <w:spacing w:before="40" w:after="40"/>
              <w:rPr>
                <w:rFonts w:ascii="Arial Narrow" w:hAnsi="Arial Narrow" w:cs="Arial"/>
                <w:sz w:val="20"/>
              </w:rPr>
            </w:pPr>
            <w:r w:rsidRPr="00E864D1">
              <w:rPr>
                <w:rFonts w:ascii="Arial Narrow" w:hAnsi="Arial Narrow" w:cs="Arial"/>
                <w:sz w:val="20"/>
              </w:rPr>
              <w:t>NNT: 25 [11, -100]</w:t>
            </w:r>
          </w:p>
        </w:tc>
      </w:tr>
      <w:tr w:rsidR="00C65234" w:rsidRPr="00C65234" w14:paraId="5DC32BE0" w14:textId="77777777" w:rsidTr="000C52AE">
        <w:tc>
          <w:tcPr>
            <w:tcW w:w="1413" w:type="dxa"/>
            <w:tcBorders>
              <w:top w:val="single" w:sz="4" w:space="0" w:color="auto"/>
              <w:left w:val="single" w:sz="4" w:space="0" w:color="auto"/>
              <w:bottom w:val="single" w:sz="4" w:space="0" w:color="auto"/>
            </w:tcBorders>
          </w:tcPr>
          <w:p w14:paraId="1C99B69A"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b/>
                <w:bCs/>
                <w:sz w:val="20"/>
              </w:rPr>
              <w:t>Stroke - disabling</w:t>
            </w:r>
          </w:p>
        </w:tc>
        <w:tc>
          <w:tcPr>
            <w:tcW w:w="1276" w:type="dxa"/>
            <w:tcBorders>
              <w:top w:val="single" w:sz="4" w:space="0" w:color="auto"/>
              <w:bottom w:val="single" w:sz="4" w:space="0" w:color="auto"/>
            </w:tcBorders>
          </w:tcPr>
          <w:p w14:paraId="4FFF0291" w14:textId="77777777" w:rsidR="00C65234" w:rsidRPr="00C65234" w:rsidRDefault="00C65234" w:rsidP="00C65234">
            <w:pPr>
              <w:spacing w:before="40" w:after="40"/>
              <w:rPr>
                <w:rFonts w:ascii="Arial Narrow" w:hAnsi="Arial Narrow" w:cs="Tahoma"/>
                <w:sz w:val="20"/>
              </w:rPr>
            </w:pPr>
          </w:p>
        </w:tc>
        <w:tc>
          <w:tcPr>
            <w:tcW w:w="1146" w:type="dxa"/>
            <w:tcBorders>
              <w:top w:val="single" w:sz="4" w:space="0" w:color="auto"/>
              <w:bottom w:val="single" w:sz="4" w:space="0" w:color="auto"/>
            </w:tcBorders>
          </w:tcPr>
          <w:p w14:paraId="05125F9A" w14:textId="77777777" w:rsidR="00C65234" w:rsidRPr="00C65234" w:rsidRDefault="00C65234" w:rsidP="00C65234">
            <w:pPr>
              <w:spacing w:before="40" w:after="40"/>
              <w:ind w:left="176"/>
              <w:rPr>
                <w:rFonts w:ascii="Arial Narrow" w:hAnsi="Arial Narrow" w:cs="Cambria Math"/>
                <w:color w:val="00B050"/>
                <w:sz w:val="20"/>
              </w:rPr>
            </w:pPr>
          </w:p>
        </w:tc>
        <w:tc>
          <w:tcPr>
            <w:tcW w:w="1122" w:type="dxa"/>
            <w:tcBorders>
              <w:top w:val="single" w:sz="4" w:space="0" w:color="auto"/>
              <w:bottom w:val="single" w:sz="4" w:space="0" w:color="auto"/>
            </w:tcBorders>
          </w:tcPr>
          <w:p w14:paraId="2CEA5224" w14:textId="77777777" w:rsidR="00C65234" w:rsidRPr="00C65234" w:rsidRDefault="00C65234" w:rsidP="00C65234">
            <w:pPr>
              <w:keepNext/>
              <w:spacing w:before="40" w:after="40"/>
              <w:rPr>
                <w:rFonts w:ascii="Arial Narrow" w:hAnsi="Arial Narrow" w:cs="Tahoma"/>
                <w:b/>
                <w:bCs/>
                <w:i/>
                <w:iCs/>
                <w:snapToGrid w:val="0"/>
                <w:sz w:val="20"/>
                <w:lang w:eastAsia="en-US"/>
              </w:rPr>
            </w:pPr>
          </w:p>
        </w:tc>
        <w:tc>
          <w:tcPr>
            <w:tcW w:w="1134" w:type="dxa"/>
            <w:tcBorders>
              <w:top w:val="single" w:sz="4" w:space="0" w:color="auto"/>
              <w:bottom w:val="single" w:sz="4" w:space="0" w:color="auto"/>
            </w:tcBorders>
          </w:tcPr>
          <w:p w14:paraId="345DF596" w14:textId="77777777" w:rsidR="00C65234" w:rsidRPr="00C65234" w:rsidRDefault="00C65234" w:rsidP="00C65234">
            <w:pPr>
              <w:keepNext/>
              <w:spacing w:before="40" w:after="40"/>
              <w:rPr>
                <w:rFonts w:ascii="Arial Narrow" w:hAnsi="Arial Narrow" w:cs="Tahoma"/>
                <w:b/>
                <w:bCs/>
                <w:i/>
                <w:iCs/>
                <w:snapToGrid w:val="0"/>
                <w:sz w:val="20"/>
                <w:lang w:eastAsia="en-US"/>
              </w:rPr>
            </w:pPr>
          </w:p>
        </w:tc>
        <w:tc>
          <w:tcPr>
            <w:tcW w:w="1134" w:type="dxa"/>
            <w:tcBorders>
              <w:top w:val="single" w:sz="4" w:space="0" w:color="auto"/>
              <w:bottom w:val="single" w:sz="4" w:space="0" w:color="auto"/>
            </w:tcBorders>
          </w:tcPr>
          <w:p w14:paraId="13A35269" w14:textId="77777777" w:rsidR="00C65234" w:rsidRPr="00C65234" w:rsidRDefault="00C65234" w:rsidP="00C65234">
            <w:pPr>
              <w:keepNext/>
              <w:spacing w:before="40" w:after="40"/>
              <w:rPr>
                <w:rFonts w:ascii="Arial Narrow" w:hAnsi="Arial Narrow" w:cs="Tahoma"/>
                <w:b/>
                <w:bCs/>
                <w:i/>
                <w:iCs/>
                <w:snapToGrid w:val="0"/>
                <w:sz w:val="20"/>
                <w:lang w:eastAsia="en-US"/>
              </w:rPr>
            </w:pPr>
          </w:p>
        </w:tc>
        <w:tc>
          <w:tcPr>
            <w:tcW w:w="1842" w:type="dxa"/>
            <w:tcBorders>
              <w:top w:val="single" w:sz="4" w:space="0" w:color="auto"/>
              <w:bottom w:val="single" w:sz="4" w:space="0" w:color="auto"/>
            </w:tcBorders>
          </w:tcPr>
          <w:p w14:paraId="7B9D5497" w14:textId="77777777" w:rsidR="00C65234" w:rsidRPr="00C65234" w:rsidRDefault="00C65234" w:rsidP="00C65234">
            <w:pPr>
              <w:spacing w:before="40" w:after="40"/>
              <w:rPr>
                <w:rFonts w:ascii="Arial Narrow" w:hAnsi="Arial Narrow" w:cs="Arial"/>
                <w:sz w:val="20"/>
              </w:rPr>
            </w:pPr>
          </w:p>
        </w:tc>
      </w:tr>
      <w:tr w:rsidR="00C65234" w:rsidRPr="00C65234" w14:paraId="7ACC5032" w14:textId="77777777" w:rsidTr="000C52AE">
        <w:tc>
          <w:tcPr>
            <w:tcW w:w="1413" w:type="dxa"/>
            <w:tcBorders>
              <w:top w:val="single" w:sz="4" w:space="0" w:color="auto"/>
              <w:left w:val="single" w:sz="4" w:space="0" w:color="auto"/>
              <w:bottom w:val="single" w:sz="4" w:space="0" w:color="auto"/>
              <w:right w:val="single" w:sz="4" w:space="0" w:color="auto"/>
            </w:tcBorders>
            <w:hideMark/>
          </w:tcPr>
          <w:p w14:paraId="23771681" w14:textId="618ABDFC"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Early </w:t>
            </w:r>
            <w:r w:rsidR="00190C8D">
              <w:rPr>
                <w:rFonts w:ascii="Arial Narrow" w:hAnsi="Arial Narrow" w:cs="Arial"/>
                <w:sz w:val="20"/>
              </w:rPr>
              <w:br/>
            </w:r>
            <w:r w:rsidRPr="00C65234">
              <w:rPr>
                <w:rFonts w:ascii="Arial Narrow" w:hAnsi="Arial Narrow" w:cs="Arial"/>
                <w:sz w:val="20"/>
              </w:rPr>
              <w:t>peri-procedural:</w:t>
            </w:r>
          </w:p>
          <w:p w14:paraId="2AA71C72"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72 hours</w:t>
            </w:r>
          </w:p>
        </w:tc>
        <w:tc>
          <w:tcPr>
            <w:tcW w:w="1276" w:type="dxa"/>
            <w:tcBorders>
              <w:top w:val="single" w:sz="4" w:space="0" w:color="auto"/>
              <w:left w:val="single" w:sz="4" w:space="0" w:color="auto"/>
              <w:bottom w:val="single" w:sz="4" w:space="0" w:color="auto"/>
              <w:right w:val="single" w:sz="4" w:space="0" w:color="auto"/>
            </w:tcBorders>
            <w:hideMark/>
          </w:tcPr>
          <w:p w14:paraId="67FB0320" w14:textId="77777777" w:rsidR="00C65234" w:rsidRPr="00C65234" w:rsidRDefault="00C65234" w:rsidP="00C65234">
            <w:pPr>
              <w:spacing w:before="40" w:after="40"/>
              <w:rPr>
                <w:rFonts w:ascii="Arial Narrow" w:hAnsi="Arial Narrow" w:cs="Tahoma"/>
                <w:sz w:val="20"/>
              </w:rPr>
            </w:pPr>
            <w:r w:rsidRPr="00C65234">
              <w:rPr>
                <w:rFonts w:ascii="Arial Narrow" w:hAnsi="Arial Narrow" w:cs="Tahoma"/>
                <w:sz w:val="20"/>
              </w:rPr>
              <w:t xml:space="preserve">PSMA of k=3 </w:t>
            </w:r>
          </w:p>
          <w:p w14:paraId="23B3C7EE" w14:textId="77777777" w:rsidR="00C65234" w:rsidRPr="00C65234" w:rsidRDefault="00C65234" w:rsidP="00C65234">
            <w:pPr>
              <w:spacing w:before="40" w:after="40"/>
              <w:rPr>
                <w:rFonts w:ascii="Arial Narrow" w:hAnsi="Arial Narrow" w:cs="Arial"/>
                <w:sz w:val="20"/>
              </w:rPr>
            </w:pPr>
            <w:r w:rsidRPr="00C65234">
              <w:rPr>
                <w:rFonts w:ascii="Arial Narrow" w:hAnsi="Arial Narrow" w:cs="Tahoma"/>
                <w:sz w:val="20"/>
              </w:rPr>
              <w:t xml:space="preserve">(2 RCTs, 1 cohort); </w:t>
            </w:r>
            <w:r w:rsidRPr="00C65234">
              <w:rPr>
                <w:rFonts w:ascii="Arial Narrow" w:hAnsi="Arial Narrow" w:cs="Tahoma"/>
                <w:sz w:val="20"/>
              </w:rPr>
              <w:br/>
              <w:t>N=1066</w:t>
            </w:r>
          </w:p>
        </w:tc>
        <w:tc>
          <w:tcPr>
            <w:tcW w:w="1146" w:type="dxa"/>
            <w:tcBorders>
              <w:top w:val="single" w:sz="4" w:space="0" w:color="auto"/>
              <w:left w:val="single" w:sz="4" w:space="0" w:color="auto"/>
              <w:bottom w:val="single" w:sz="4" w:space="0" w:color="auto"/>
              <w:right w:val="single" w:sz="4" w:space="0" w:color="auto"/>
            </w:tcBorders>
            <w:hideMark/>
          </w:tcPr>
          <w:p w14:paraId="4309BF1E" w14:textId="77777777" w:rsidR="00C65234" w:rsidRPr="00C65234" w:rsidRDefault="00C65234" w:rsidP="00C65234">
            <w:pPr>
              <w:spacing w:before="40" w:after="40"/>
              <w:rPr>
                <w:rFonts w:ascii="Arial Narrow" w:hAnsi="Arial Narrow" w:cs="Cambria Math"/>
                <w:color w:val="C00000"/>
                <w:sz w:val="20"/>
              </w:rPr>
            </w:pPr>
            <w:r w:rsidRPr="00C65234">
              <w:rPr>
                <w:rFonts w:ascii="Cambria Math" w:hAnsi="Cambria Math" w:cs="Cambria Math"/>
                <w:color w:val="00B050"/>
                <w:sz w:val="20"/>
              </w:rPr>
              <w:t>⨁⨁</w:t>
            </w:r>
            <w:r w:rsidRPr="00C65234">
              <w:rPr>
                <w:rFonts w:ascii="Cambria Math" w:hAnsi="Cambria Math" w:cs="Cambria Math"/>
                <w:color w:val="C00000"/>
                <w:sz w:val="20"/>
              </w:rPr>
              <w:t>⨀⨀</w:t>
            </w:r>
          </w:p>
          <w:p w14:paraId="67F5AA94"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LOW</w:t>
            </w:r>
          </w:p>
        </w:tc>
        <w:tc>
          <w:tcPr>
            <w:tcW w:w="1122" w:type="dxa"/>
            <w:tcBorders>
              <w:top w:val="single" w:sz="4" w:space="0" w:color="auto"/>
              <w:left w:val="single" w:sz="4" w:space="0" w:color="auto"/>
              <w:bottom w:val="single" w:sz="4" w:space="0" w:color="auto"/>
              <w:right w:val="single" w:sz="4" w:space="0" w:color="auto"/>
            </w:tcBorders>
          </w:tcPr>
          <w:p w14:paraId="569DD0F2"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TAVI+CEP: 2/533 (0.38)</w:t>
            </w:r>
          </w:p>
          <w:p w14:paraId="7F65C44E" w14:textId="77777777" w:rsidR="00C65234" w:rsidRPr="00C65234" w:rsidRDefault="00C65234" w:rsidP="00C65234">
            <w:pPr>
              <w:keepNext/>
              <w:spacing w:before="40" w:after="40"/>
              <w:rPr>
                <w:rFonts w:ascii="Arial Narrow" w:hAnsi="Arial Narrow" w:cs="Tahoma"/>
                <w:b/>
                <w:bCs/>
                <w:i/>
                <w:iCs/>
                <w:snapToGrid w:val="0"/>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E28CFDB" w14:textId="77777777" w:rsidR="00C65234" w:rsidRPr="00C65234" w:rsidRDefault="00C65234" w:rsidP="00C65234">
            <w:pPr>
              <w:keepNext/>
              <w:spacing w:before="40" w:after="40"/>
              <w:rPr>
                <w:rFonts w:ascii="Arial Narrow" w:hAnsi="Arial Narrow" w:cs="Tahoma"/>
                <w:b/>
                <w:bCs/>
                <w:i/>
                <w:iCs/>
                <w:snapToGrid w:val="0"/>
                <w:sz w:val="20"/>
                <w:lang w:eastAsia="en-US"/>
              </w:rPr>
            </w:pPr>
            <w:r w:rsidRPr="00C65234">
              <w:rPr>
                <w:rFonts w:ascii="Arial Narrow" w:hAnsi="Arial Narrow" w:cs="Arial"/>
                <w:sz w:val="20"/>
              </w:rPr>
              <w:t>TAVI alone: 29/533 (5.44)</w:t>
            </w:r>
          </w:p>
        </w:tc>
        <w:tc>
          <w:tcPr>
            <w:tcW w:w="1134" w:type="dxa"/>
            <w:tcBorders>
              <w:top w:val="single" w:sz="4" w:space="0" w:color="auto"/>
              <w:left w:val="single" w:sz="4" w:space="0" w:color="auto"/>
              <w:bottom w:val="single" w:sz="4" w:space="0" w:color="auto"/>
              <w:right w:val="single" w:sz="4" w:space="0" w:color="auto"/>
            </w:tcBorders>
            <w:hideMark/>
          </w:tcPr>
          <w:p w14:paraId="7EBAF792" w14:textId="77777777" w:rsidR="00C65234" w:rsidRPr="00C65234" w:rsidRDefault="00C65234" w:rsidP="00C65234">
            <w:pPr>
              <w:keepNext/>
              <w:spacing w:before="40" w:after="40"/>
              <w:rPr>
                <w:rFonts w:ascii="Arial Narrow" w:hAnsi="Arial Narrow" w:cs="Tahoma"/>
                <w:b/>
                <w:bCs/>
                <w:i/>
                <w:iCs/>
                <w:snapToGrid w:val="0"/>
                <w:sz w:val="20"/>
                <w:lang w:eastAsia="en-US"/>
              </w:rPr>
            </w:pPr>
            <w:r w:rsidRPr="00C65234">
              <w:rPr>
                <w:rFonts w:ascii="Arial Narrow" w:hAnsi="Arial Narrow" w:cs="Tahoma"/>
                <w:b/>
                <w:bCs/>
                <w:i/>
                <w:iCs/>
                <w:snapToGrid w:val="0"/>
                <w:sz w:val="20"/>
                <w:lang w:eastAsia="en-US"/>
              </w:rPr>
              <w:t xml:space="preserve">0.15 </w:t>
            </w:r>
          </w:p>
          <w:p w14:paraId="65B89559" w14:textId="77777777" w:rsidR="00C65234" w:rsidRPr="00C65234" w:rsidRDefault="00C65234" w:rsidP="00C65234">
            <w:pPr>
              <w:keepNext/>
              <w:spacing w:before="40" w:after="40"/>
              <w:rPr>
                <w:rFonts w:ascii="Arial Narrow" w:hAnsi="Arial Narrow" w:cs="Tahoma"/>
                <w:b/>
                <w:bCs/>
                <w:i/>
                <w:iCs/>
                <w:snapToGrid w:val="0"/>
                <w:sz w:val="20"/>
                <w:lang w:eastAsia="en-US"/>
              </w:rPr>
            </w:pPr>
            <w:r w:rsidRPr="00C65234">
              <w:rPr>
                <w:rFonts w:ascii="Arial Narrow" w:hAnsi="Arial Narrow" w:cs="Tahoma"/>
                <w:b/>
                <w:bCs/>
                <w:i/>
                <w:iCs/>
                <w:snapToGrid w:val="0"/>
                <w:sz w:val="20"/>
                <w:lang w:eastAsia="en-US"/>
              </w:rPr>
              <w:t>[0.03, 0.67]</w:t>
            </w:r>
          </w:p>
        </w:tc>
        <w:tc>
          <w:tcPr>
            <w:tcW w:w="1842" w:type="dxa"/>
            <w:tcBorders>
              <w:top w:val="single" w:sz="4" w:space="0" w:color="auto"/>
              <w:left w:val="single" w:sz="4" w:space="0" w:color="auto"/>
              <w:bottom w:val="single" w:sz="4" w:space="0" w:color="auto"/>
              <w:right w:val="single" w:sz="4" w:space="0" w:color="auto"/>
            </w:tcBorders>
            <w:hideMark/>
          </w:tcPr>
          <w:p w14:paraId="7546542A"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-0.02 </w:t>
            </w:r>
          </w:p>
          <w:p w14:paraId="6448B1F1" w14:textId="77777777" w:rsidR="00C65234" w:rsidRDefault="00C65234" w:rsidP="00C65234">
            <w:pPr>
              <w:spacing w:before="40" w:after="40"/>
              <w:rPr>
                <w:rFonts w:ascii="Arial Narrow" w:hAnsi="Arial Narrow" w:cs="Arial"/>
                <w:sz w:val="20"/>
              </w:rPr>
            </w:pPr>
            <w:r w:rsidRPr="00C65234">
              <w:rPr>
                <w:rFonts w:ascii="Arial Narrow" w:hAnsi="Arial Narrow" w:cs="Arial"/>
                <w:sz w:val="20"/>
              </w:rPr>
              <w:t>[-0.03, -0.01]</w:t>
            </w:r>
          </w:p>
          <w:p w14:paraId="2617D17C" w14:textId="3BEDF67E" w:rsidR="00E864D1" w:rsidRPr="00C65234" w:rsidRDefault="00E864D1" w:rsidP="00C65234">
            <w:pPr>
              <w:spacing w:before="40" w:after="40"/>
              <w:rPr>
                <w:rFonts w:ascii="Arial Narrow" w:hAnsi="Arial Narrow" w:cs="Arial"/>
                <w:sz w:val="20"/>
              </w:rPr>
            </w:pPr>
            <w:r w:rsidRPr="00E864D1">
              <w:rPr>
                <w:rFonts w:ascii="Arial Narrow" w:hAnsi="Arial Narrow" w:cs="Arial"/>
                <w:sz w:val="20"/>
              </w:rPr>
              <w:t>NNT: 50 [33, 100]</w:t>
            </w:r>
          </w:p>
        </w:tc>
      </w:tr>
      <w:tr w:rsidR="00C65234" w:rsidRPr="00C65234" w14:paraId="04105822" w14:textId="77777777" w:rsidTr="000C52AE">
        <w:tc>
          <w:tcPr>
            <w:tcW w:w="1413" w:type="dxa"/>
            <w:tcBorders>
              <w:top w:val="single" w:sz="4" w:space="0" w:color="auto"/>
              <w:left w:val="single" w:sz="4" w:space="0" w:color="auto"/>
              <w:bottom w:val="single" w:sz="4" w:space="0" w:color="auto"/>
              <w:right w:val="single" w:sz="4" w:space="0" w:color="auto"/>
            </w:tcBorders>
            <w:hideMark/>
          </w:tcPr>
          <w:p w14:paraId="0B2D7951" w14:textId="17BB6A56"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Early</w:t>
            </w:r>
            <w:r w:rsidR="00190C8D">
              <w:rPr>
                <w:rFonts w:ascii="Arial Narrow" w:hAnsi="Arial Narrow" w:cs="Arial"/>
                <w:sz w:val="20"/>
              </w:rPr>
              <w:br/>
            </w:r>
            <w:r w:rsidRPr="00C65234">
              <w:rPr>
                <w:rFonts w:ascii="Arial Narrow" w:hAnsi="Arial Narrow" w:cs="Arial"/>
                <w:sz w:val="20"/>
              </w:rPr>
              <w:t xml:space="preserve"> peri-procedural </w:t>
            </w:r>
          </w:p>
          <w:p w14:paraId="6A93C24F"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(24h - 7 days)</w:t>
            </w:r>
          </w:p>
        </w:tc>
        <w:tc>
          <w:tcPr>
            <w:tcW w:w="1276" w:type="dxa"/>
            <w:tcBorders>
              <w:top w:val="single" w:sz="4" w:space="0" w:color="auto"/>
              <w:left w:val="single" w:sz="4" w:space="0" w:color="auto"/>
              <w:bottom w:val="single" w:sz="4" w:space="0" w:color="auto"/>
              <w:right w:val="single" w:sz="4" w:space="0" w:color="auto"/>
            </w:tcBorders>
            <w:hideMark/>
          </w:tcPr>
          <w:p w14:paraId="41923F25" w14:textId="77777777" w:rsidR="00C65234" w:rsidRPr="00C65234" w:rsidRDefault="00C65234" w:rsidP="00C65234">
            <w:pPr>
              <w:spacing w:before="40" w:after="40"/>
              <w:rPr>
                <w:rFonts w:ascii="Arial Narrow" w:hAnsi="Arial Narrow" w:cs="Tahoma"/>
                <w:sz w:val="20"/>
              </w:rPr>
            </w:pPr>
            <w:r w:rsidRPr="00C65234">
              <w:rPr>
                <w:rFonts w:ascii="Arial Narrow" w:hAnsi="Arial Narrow" w:cs="Tahoma"/>
                <w:sz w:val="20"/>
              </w:rPr>
              <w:t xml:space="preserve">k=2 RCT; k=2 cohort; </w:t>
            </w:r>
            <w:r w:rsidRPr="00C65234">
              <w:rPr>
                <w:rFonts w:ascii="Arial Narrow" w:hAnsi="Arial Narrow" w:cs="Tahoma"/>
                <w:sz w:val="20"/>
              </w:rPr>
              <w:br/>
              <w:t>N=1689</w:t>
            </w:r>
          </w:p>
        </w:tc>
        <w:tc>
          <w:tcPr>
            <w:tcW w:w="1146" w:type="dxa"/>
            <w:tcBorders>
              <w:top w:val="single" w:sz="4" w:space="0" w:color="auto"/>
              <w:left w:val="single" w:sz="4" w:space="0" w:color="auto"/>
              <w:bottom w:val="single" w:sz="4" w:space="0" w:color="auto"/>
              <w:right w:val="single" w:sz="4" w:space="0" w:color="auto"/>
            </w:tcBorders>
            <w:hideMark/>
          </w:tcPr>
          <w:p w14:paraId="228D3E3E" w14:textId="77777777" w:rsidR="00C65234" w:rsidRPr="00C65234" w:rsidRDefault="00C65234" w:rsidP="00C65234">
            <w:pPr>
              <w:spacing w:before="40" w:after="40"/>
              <w:rPr>
                <w:rFonts w:ascii="Arial Narrow" w:hAnsi="Arial Narrow" w:cs="Cambria Math"/>
                <w:color w:val="C00000"/>
                <w:sz w:val="20"/>
              </w:rPr>
            </w:pPr>
            <w:r w:rsidRPr="00C65234">
              <w:rPr>
                <w:rFonts w:ascii="Cambria Math" w:hAnsi="Cambria Math" w:cs="Cambria Math"/>
                <w:color w:val="00B050"/>
                <w:sz w:val="20"/>
              </w:rPr>
              <w:t>⨁⨁</w:t>
            </w:r>
            <w:r w:rsidRPr="00C65234">
              <w:rPr>
                <w:rFonts w:ascii="Cambria Math" w:hAnsi="Cambria Math" w:cs="Cambria Math"/>
                <w:color w:val="C00000"/>
                <w:sz w:val="20"/>
              </w:rPr>
              <w:t>⨀⨀</w:t>
            </w:r>
          </w:p>
          <w:p w14:paraId="1F999529"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LOW</w:t>
            </w:r>
          </w:p>
        </w:tc>
        <w:tc>
          <w:tcPr>
            <w:tcW w:w="1122" w:type="dxa"/>
            <w:tcBorders>
              <w:top w:val="single" w:sz="4" w:space="0" w:color="auto"/>
              <w:left w:val="single" w:sz="4" w:space="0" w:color="auto"/>
              <w:bottom w:val="single" w:sz="4" w:space="0" w:color="auto"/>
              <w:right w:val="single" w:sz="4" w:space="0" w:color="auto"/>
            </w:tcBorders>
          </w:tcPr>
          <w:p w14:paraId="61FC080E"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TAVI+CEP: 5/907 (0.55)</w:t>
            </w:r>
          </w:p>
          <w:p w14:paraId="1CCDE9D7" w14:textId="77777777" w:rsidR="00C65234" w:rsidRPr="00C65234" w:rsidRDefault="00C65234" w:rsidP="00C65234">
            <w:pPr>
              <w:spacing w:before="40" w:after="40"/>
              <w:rPr>
                <w:rFonts w:ascii="Arial Narrow" w:hAnsi="Arial Narrow" w:cs="Arial"/>
                <w:b/>
                <w:sz w:val="20"/>
              </w:rPr>
            </w:pPr>
          </w:p>
        </w:tc>
        <w:tc>
          <w:tcPr>
            <w:tcW w:w="1134" w:type="dxa"/>
            <w:tcBorders>
              <w:top w:val="single" w:sz="4" w:space="0" w:color="auto"/>
              <w:left w:val="single" w:sz="4" w:space="0" w:color="auto"/>
              <w:bottom w:val="single" w:sz="4" w:space="0" w:color="auto"/>
              <w:right w:val="single" w:sz="4" w:space="0" w:color="auto"/>
            </w:tcBorders>
          </w:tcPr>
          <w:p w14:paraId="22908E09" w14:textId="77777777" w:rsidR="00C65234" w:rsidRPr="00C65234" w:rsidRDefault="00C65234" w:rsidP="00C65234">
            <w:pPr>
              <w:spacing w:before="40" w:after="40"/>
              <w:rPr>
                <w:rFonts w:ascii="Arial Narrow" w:hAnsi="Arial Narrow" w:cs="Arial"/>
                <w:b/>
                <w:sz w:val="20"/>
              </w:rPr>
            </w:pPr>
            <w:r w:rsidRPr="00C65234">
              <w:rPr>
                <w:rFonts w:ascii="Arial Narrow" w:hAnsi="Arial Narrow" w:cs="Arial"/>
                <w:sz w:val="20"/>
              </w:rPr>
              <w:t>TAVI alone: 16/782 (2.05)</w:t>
            </w:r>
          </w:p>
        </w:tc>
        <w:tc>
          <w:tcPr>
            <w:tcW w:w="1134" w:type="dxa"/>
            <w:tcBorders>
              <w:top w:val="single" w:sz="4" w:space="0" w:color="auto"/>
              <w:left w:val="single" w:sz="4" w:space="0" w:color="auto"/>
              <w:bottom w:val="single" w:sz="4" w:space="0" w:color="auto"/>
              <w:right w:val="single" w:sz="4" w:space="0" w:color="auto"/>
            </w:tcBorders>
            <w:hideMark/>
          </w:tcPr>
          <w:p w14:paraId="1EA5BA33" w14:textId="77777777" w:rsidR="00C65234" w:rsidRPr="00C65234" w:rsidRDefault="00C65234" w:rsidP="00C65234">
            <w:pPr>
              <w:spacing w:before="40" w:after="40"/>
              <w:rPr>
                <w:rFonts w:ascii="Arial Narrow" w:hAnsi="Arial Narrow" w:cs="Arial"/>
                <w:b/>
                <w:sz w:val="20"/>
              </w:rPr>
            </w:pPr>
            <w:r w:rsidRPr="00C65234">
              <w:rPr>
                <w:rFonts w:ascii="Arial Narrow" w:hAnsi="Arial Narrow" w:cs="Arial"/>
                <w:b/>
                <w:sz w:val="20"/>
              </w:rPr>
              <w:t xml:space="preserve">0.30 </w:t>
            </w:r>
          </w:p>
          <w:p w14:paraId="56E50294" w14:textId="77777777" w:rsidR="00C65234" w:rsidRPr="00C65234" w:rsidRDefault="00C65234" w:rsidP="00C65234">
            <w:pPr>
              <w:spacing w:before="40" w:after="40"/>
              <w:rPr>
                <w:rFonts w:ascii="Arial Narrow" w:hAnsi="Arial Narrow" w:cs="Tahoma"/>
                <w:sz w:val="20"/>
              </w:rPr>
            </w:pPr>
            <w:r w:rsidRPr="00C65234">
              <w:rPr>
                <w:rFonts w:ascii="Arial Narrow" w:hAnsi="Arial Narrow" w:cs="Arial"/>
                <w:b/>
                <w:sz w:val="20"/>
              </w:rPr>
              <w:t>[0.10, 0.92]</w:t>
            </w:r>
            <w:r w:rsidRPr="00C65234">
              <w:rPr>
                <w:rFonts w:ascii="Arial Narrow" w:hAnsi="Arial Narrow" w:cs="Tahoma"/>
                <w:sz w:val="20"/>
              </w:rPr>
              <w:t xml:space="preserve"> </w:t>
            </w:r>
          </w:p>
        </w:tc>
        <w:tc>
          <w:tcPr>
            <w:tcW w:w="1842" w:type="dxa"/>
            <w:tcBorders>
              <w:top w:val="single" w:sz="4" w:space="0" w:color="auto"/>
              <w:left w:val="single" w:sz="4" w:space="0" w:color="auto"/>
              <w:bottom w:val="single" w:sz="4" w:space="0" w:color="auto"/>
              <w:right w:val="single" w:sz="4" w:space="0" w:color="auto"/>
            </w:tcBorders>
          </w:tcPr>
          <w:p w14:paraId="2AA0CF9E"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-0.01 </w:t>
            </w:r>
          </w:p>
          <w:p w14:paraId="203CF891" w14:textId="77777777" w:rsidR="00C65234" w:rsidRDefault="00C65234" w:rsidP="00C65234">
            <w:pPr>
              <w:spacing w:before="40" w:after="40"/>
              <w:rPr>
                <w:rFonts w:ascii="Arial Narrow" w:hAnsi="Arial Narrow" w:cs="Arial"/>
                <w:sz w:val="20"/>
              </w:rPr>
            </w:pPr>
            <w:r w:rsidRPr="00C65234">
              <w:rPr>
                <w:rFonts w:ascii="Arial Narrow" w:hAnsi="Arial Narrow" w:cs="Arial"/>
                <w:sz w:val="20"/>
              </w:rPr>
              <w:t>[-0.02, 0.00]</w:t>
            </w:r>
          </w:p>
          <w:p w14:paraId="7649B0CB" w14:textId="285B9C84" w:rsidR="00E864D1" w:rsidRPr="00C65234" w:rsidRDefault="00E864D1" w:rsidP="000C52AE">
            <w:pPr>
              <w:spacing w:before="40" w:after="40"/>
              <w:rPr>
                <w:rFonts w:ascii="Arial Narrow" w:hAnsi="Arial Narrow" w:cs="Arial"/>
                <w:sz w:val="20"/>
              </w:rPr>
            </w:pPr>
            <w:r w:rsidRPr="00E864D1">
              <w:rPr>
                <w:rFonts w:ascii="Arial Narrow" w:hAnsi="Arial Narrow" w:cs="Arial"/>
                <w:sz w:val="20"/>
              </w:rPr>
              <w:t xml:space="preserve">NNT: </w:t>
            </w:r>
            <w:r>
              <w:rPr>
                <w:rFonts w:ascii="Arial Narrow" w:hAnsi="Arial Narrow" w:cs="Arial"/>
                <w:sz w:val="20"/>
              </w:rPr>
              <w:t xml:space="preserve">100 </w:t>
            </w:r>
            <w:r w:rsidRPr="00E864D1">
              <w:rPr>
                <w:rFonts w:ascii="Arial Narrow" w:hAnsi="Arial Narrow" w:cs="Arial"/>
                <w:sz w:val="20"/>
              </w:rPr>
              <w:t>[</w:t>
            </w:r>
            <w:r>
              <w:rPr>
                <w:rFonts w:ascii="Arial Narrow" w:hAnsi="Arial Narrow" w:cs="Arial"/>
                <w:sz w:val="20"/>
              </w:rPr>
              <w:t>50</w:t>
            </w:r>
            <w:r w:rsidRPr="00E864D1">
              <w:rPr>
                <w:rFonts w:ascii="Arial Narrow" w:hAnsi="Arial Narrow" w:cs="Arial"/>
                <w:sz w:val="20"/>
              </w:rPr>
              <w:t xml:space="preserve">, </w:t>
            </w:r>
            <w:r>
              <w:rPr>
                <w:rFonts w:ascii="Arial Narrow" w:hAnsi="Arial Narrow" w:cs="Arial"/>
                <w:sz w:val="20"/>
              </w:rPr>
              <w:t>NC</w:t>
            </w:r>
            <w:r w:rsidRPr="00E864D1">
              <w:rPr>
                <w:rFonts w:ascii="Arial Narrow" w:hAnsi="Arial Narrow" w:cs="Arial"/>
                <w:sz w:val="20"/>
              </w:rPr>
              <w:t>]</w:t>
            </w:r>
          </w:p>
        </w:tc>
      </w:tr>
      <w:tr w:rsidR="00C65234" w:rsidRPr="00C65234" w14:paraId="31C3C4B7" w14:textId="77777777" w:rsidTr="000C52AE">
        <w:tc>
          <w:tcPr>
            <w:tcW w:w="1413" w:type="dxa"/>
            <w:tcBorders>
              <w:top w:val="single" w:sz="4" w:space="0" w:color="auto"/>
              <w:left w:val="single" w:sz="4" w:space="0" w:color="auto"/>
              <w:bottom w:val="single" w:sz="4" w:space="0" w:color="auto"/>
              <w:right w:val="single" w:sz="4" w:space="0" w:color="auto"/>
            </w:tcBorders>
          </w:tcPr>
          <w:p w14:paraId="0211B18D" w14:textId="4F6FA146"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Early </w:t>
            </w:r>
            <w:r w:rsidR="00190C8D">
              <w:rPr>
                <w:rFonts w:ascii="Arial Narrow" w:hAnsi="Arial Narrow" w:cs="Arial"/>
                <w:sz w:val="20"/>
              </w:rPr>
              <w:br/>
            </w:r>
            <w:r w:rsidRPr="00C65234">
              <w:rPr>
                <w:rFonts w:ascii="Arial Narrow" w:hAnsi="Arial Narrow" w:cs="Arial"/>
                <w:sz w:val="20"/>
              </w:rPr>
              <w:t xml:space="preserve">peri-procedural </w:t>
            </w:r>
          </w:p>
          <w:p w14:paraId="7BD50D3D"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(24h - 7 days)</w:t>
            </w:r>
          </w:p>
          <w:p w14:paraId="3769E502"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RCTs only</w:t>
            </w:r>
          </w:p>
        </w:tc>
        <w:tc>
          <w:tcPr>
            <w:tcW w:w="1276" w:type="dxa"/>
            <w:tcBorders>
              <w:top w:val="single" w:sz="4" w:space="0" w:color="auto"/>
              <w:left w:val="single" w:sz="4" w:space="0" w:color="auto"/>
              <w:bottom w:val="single" w:sz="4" w:space="0" w:color="auto"/>
              <w:right w:val="single" w:sz="4" w:space="0" w:color="auto"/>
            </w:tcBorders>
          </w:tcPr>
          <w:p w14:paraId="74835444" w14:textId="77777777" w:rsidR="00C65234" w:rsidRPr="00C65234" w:rsidRDefault="00C65234" w:rsidP="00C65234">
            <w:pPr>
              <w:spacing w:before="40" w:after="40"/>
              <w:rPr>
                <w:rFonts w:ascii="Arial Narrow" w:hAnsi="Arial Narrow" w:cs="Tahoma"/>
                <w:sz w:val="20"/>
              </w:rPr>
            </w:pPr>
            <w:r w:rsidRPr="00C65234">
              <w:rPr>
                <w:rFonts w:ascii="Arial Narrow" w:hAnsi="Arial Narrow" w:cs="Tahoma"/>
                <w:sz w:val="20"/>
              </w:rPr>
              <w:t>k=2</w:t>
            </w:r>
          </w:p>
          <w:p w14:paraId="6D44AD09" w14:textId="77777777" w:rsidR="00C65234" w:rsidRPr="00C65234" w:rsidRDefault="00C65234" w:rsidP="00C65234">
            <w:pPr>
              <w:spacing w:before="40" w:after="40"/>
              <w:rPr>
                <w:rFonts w:ascii="Arial Narrow" w:hAnsi="Arial Narrow" w:cs="Tahoma"/>
                <w:sz w:val="20"/>
              </w:rPr>
            </w:pPr>
            <w:r w:rsidRPr="00C65234">
              <w:rPr>
                <w:rFonts w:ascii="Arial Narrow" w:hAnsi="Arial Narrow" w:cs="Tahoma"/>
                <w:sz w:val="20"/>
              </w:rPr>
              <w:t>N=463</w:t>
            </w:r>
          </w:p>
        </w:tc>
        <w:tc>
          <w:tcPr>
            <w:tcW w:w="1146" w:type="dxa"/>
            <w:tcBorders>
              <w:top w:val="single" w:sz="4" w:space="0" w:color="auto"/>
              <w:left w:val="single" w:sz="4" w:space="0" w:color="auto"/>
              <w:bottom w:val="single" w:sz="4" w:space="0" w:color="auto"/>
              <w:right w:val="single" w:sz="4" w:space="0" w:color="auto"/>
            </w:tcBorders>
          </w:tcPr>
          <w:p w14:paraId="7EAF27AE" w14:textId="77777777" w:rsidR="00C65234" w:rsidRPr="00C65234" w:rsidRDefault="00C65234" w:rsidP="00C65234">
            <w:pPr>
              <w:spacing w:before="40" w:after="40"/>
              <w:rPr>
                <w:rFonts w:ascii="Arial Narrow" w:hAnsi="Arial Narrow" w:cs="Cambria Math"/>
                <w:color w:val="C00000"/>
                <w:sz w:val="20"/>
              </w:rPr>
            </w:pPr>
            <w:r w:rsidRPr="00C65234">
              <w:rPr>
                <w:rFonts w:ascii="Cambria Math" w:hAnsi="Cambria Math" w:cs="Cambria Math"/>
                <w:color w:val="00B050"/>
                <w:sz w:val="20"/>
              </w:rPr>
              <w:t>⨁⨁</w:t>
            </w:r>
            <w:r w:rsidRPr="00C65234">
              <w:rPr>
                <w:rFonts w:ascii="Cambria Math" w:hAnsi="Cambria Math" w:cs="Cambria Math"/>
                <w:color w:val="C00000"/>
                <w:sz w:val="20"/>
              </w:rPr>
              <w:t>⨀⨀</w:t>
            </w:r>
          </w:p>
          <w:p w14:paraId="20923054" w14:textId="77777777" w:rsidR="00C65234" w:rsidRPr="00C65234" w:rsidRDefault="00C65234" w:rsidP="00C65234">
            <w:pPr>
              <w:spacing w:before="40" w:after="40"/>
              <w:rPr>
                <w:rFonts w:ascii="Cambria Math" w:hAnsi="Cambria Math" w:cs="Cambria Math"/>
                <w:color w:val="00B050"/>
                <w:sz w:val="20"/>
              </w:rPr>
            </w:pPr>
            <w:r w:rsidRPr="00C65234">
              <w:rPr>
                <w:rFonts w:ascii="Arial Narrow" w:hAnsi="Arial Narrow" w:cs="Arial"/>
                <w:sz w:val="20"/>
              </w:rPr>
              <w:t>LOW</w:t>
            </w:r>
          </w:p>
        </w:tc>
        <w:tc>
          <w:tcPr>
            <w:tcW w:w="1122" w:type="dxa"/>
            <w:tcBorders>
              <w:top w:val="single" w:sz="4" w:space="0" w:color="auto"/>
              <w:left w:val="single" w:sz="4" w:space="0" w:color="auto"/>
              <w:bottom w:val="single" w:sz="4" w:space="0" w:color="auto"/>
              <w:right w:val="single" w:sz="4" w:space="0" w:color="auto"/>
            </w:tcBorders>
          </w:tcPr>
          <w:p w14:paraId="2354D292" w14:textId="77777777" w:rsidR="00C65234" w:rsidRPr="00C65234" w:rsidRDefault="00C65234" w:rsidP="00C65234">
            <w:pPr>
              <w:spacing w:before="40" w:after="40"/>
              <w:rPr>
                <w:rFonts w:ascii="Arial Narrow" w:hAnsi="Arial Narrow" w:cs="Arial"/>
                <w:sz w:val="20"/>
              </w:rPr>
            </w:pPr>
            <w:r w:rsidRPr="00C65234">
              <w:rPr>
                <w:rFonts w:ascii="Arial Narrow" w:hAnsi="Arial Narrow"/>
                <w:snapToGrid w:val="0"/>
                <w:sz w:val="20"/>
              </w:rPr>
              <w:t>2/294 (0.68)</w:t>
            </w:r>
          </w:p>
        </w:tc>
        <w:tc>
          <w:tcPr>
            <w:tcW w:w="1134" w:type="dxa"/>
            <w:tcBorders>
              <w:top w:val="single" w:sz="4" w:space="0" w:color="auto"/>
              <w:left w:val="single" w:sz="4" w:space="0" w:color="auto"/>
              <w:bottom w:val="single" w:sz="4" w:space="0" w:color="auto"/>
              <w:right w:val="single" w:sz="4" w:space="0" w:color="auto"/>
            </w:tcBorders>
          </w:tcPr>
          <w:p w14:paraId="081EEC88" w14:textId="77777777" w:rsidR="00C65234" w:rsidRPr="00C65234" w:rsidRDefault="00C65234" w:rsidP="00C65234">
            <w:pPr>
              <w:spacing w:before="40" w:after="40"/>
              <w:rPr>
                <w:rFonts w:ascii="Arial Narrow" w:hAnsi="Arial Narrow" w:cs="Arial"/>
                <w:sz w:val="20"/>
              </w:rPr>
            </w:pPr>
            <w:r w:rsidRPr="00C65234">
              <w:rPr>
                <w:rFonts w:ascii="Arial Narrow" w:hAnsi="Arial Narrow"/>
                <w:snapToGrid w:val="0"/>
                <w:sz w:val="20"/>
              </w:rPr>
              <w:t>1/169 (0.59)</w:t>
            </w:r>
          </w:p>
        </w:tc>
        <w:tc>
          <w:tcPr>
            <w:tcW w:w="1134" w:type="dxa"/>
            <w:tcBorders>
              <w:top w:val="single" w:sz="4" w:space="0" w:color="auto"/>
              <w:left w:val="single" w:sz="4" w:space="0" w:color="auto"/>
              <w:bottom w:val="single" w:sz="4" w:space="0" w:color="auto"/>
              <w:right w:val="single" w:sz="4" w:space="0" w:color="auto"/>
            </w:tcBorders>
          </w:tcPr>
          <w:p w14:paraId="2564C771" w14:textId="77777777" w:rsidR="00C65234" w:rsidRPr="00C65234" w:rsidRDefault="00C65234" w:rsidP="00C65234">
            <w:pPr>
              <w:keepNext/>
              <w:rPr>
                <w:rFonts w:ascii="Arial Narrow" w:hAnsi="Arial Narrow" w:cs="Arial"/>
                <w:sz w:val="20"/>
                <w:lang w:eastAsia="en-US"/>
              </w:rPr>
            </w:pPr>
            <w:r w:rsidRPr="00C65234">
              <w:rPr>
                <w:rFonts w:ascii="Arial Narrow" w:hAnsi="Arial Narrow" w:cs="Arial"/>
                <w:sz w:val="20"/>
                <w:lang w:eastAsia="en-US"/>
              </w:rPr>
              <w:t xml:space="preserve">0.98 </w:t>
            </w:r>
          </w:p>
          <w:p w14:paraId="26441012" w14:textId="77777777" w:rsidR="00C65234" w:rsidRPr="00C65234" w:rsidRDefault="00C65234" w:rsidP="00C65234">
            <w:pPr>
              <w:keepNext/>
              <w:rPr>
                <w:rFonts w:ascii="Arial Narrow" w:hAnsi="Arial Narrow" w:cs="Arial"/>
                <w:sz w:val="20"/>
                <w:lang w:eastAsia="en-US"/>
              </w:rPr>
            </w:pPr>
            <w:r w:rsidRPr="00C65234">
              <w:rPr>
                <w:rFonts w:ascii="Arial Narrow" w:hAnsi="Arial Narrow" w:cs="Arial"/>
                <w:sz w:val="20"/>
                <w:lang w:eastAsia="en-US"/>
              </w:rPr>
              <w:t>[0.09, 10.86]</w:t>
            </w:r>
          </w:p>
        </w:tc>
        <w:tc>
          <w:tcPr>
            <w:tcW w:w="1842" w:type="dxa"/>
            <w:tcBorders>
              <w:top w:val="single" w:sz="4" w:space="0" w:color="auto"/>
              <w:left w:val="single" w:sz="4" w:space="0" w:color="auto"/>
              <w:bottom w:val="single" w:sz="4" w:space="0" w:color="auto"/>
              <w:right w:val="single" w:sz="4" w:space="0" w:color="auto"/>
            </w:tcBorders>
          </w:tcPr>
          <w:p w14:paraId="1C294A19" w14:textId="77777777" w:rsidR="00C65234" w:rsidRPr="00C65234" w:rsidRDefault="00C65234" w:rsidP="00C65234">
            <w:pPr>
              <w:keepNext/>
              <w:rPr>
                <w:rFonts w:ascii="Arial Narrow" w:hAnsi="Arial Narrow" w:cs="Arial"/>
                <w:snapToGrid w:val="0"/>
                <w:sz w:val="20"/>
                <w:lang w:eastAsia="en-US"/>
              </w:rPr>
            </w:pPr>
            <w:r w:rsidRPr="00C65234">
              <w:rPr>
                <w:rFonts w:ascii="Arial Narrow" w:hAnsi="Arial Narrow" w:cs="Arial"/>
                <w:snapToGrid w:val="0"/>
                <w:sz w:val="20"/>
                <w:lang w:eastAsia="en-US"/>
              </w:rPr>
              <w:t xml:space="preserve">-0.00 </w:t>
            </w:r>
          </w:p>
          <w:p w14:paraId="7399AB4E" w14:textId="341C6D98" w:rsidR="00C65234" w:rsidRDefault="00C65234" w:rsidP="00C65234">
            <w:pPr>
              <w:keepNext/>
              <w:rPr>
                <w:rFonts w:ascii="Arial Narrow" w:hAnsi="Arial Narrow" w:cs="Arial"/>
                <w:snapToGrid w:val="0"/>
                <w:sz w:val="20"/>
                <w:lang w:eastAsia="en-US"/>
              </w:rPr>
            </w:pPr>
            <w:r w:rsidRPr="00C65234">
              <w:rPr>
                <w:rFonts w:ascii="Arial Narrow" w:hAnsi="Arial Narrow" w:cs="Arial"/>
                <w:snapToGrid w:val="0"/>
                <w:sz w:val="20"/>
                <w:lang w:eastAsia="en-US"/>
              </w:rPr>
              <w:t>[-0.02, 0.02]</w:t>
            </w:r>
          </w:p>
          <w:p w14:paraId="41A52E38" w14:textId="72455BAC" w:rsidR="00E864D1" w:rsidRDefault="00E864D1" w:rsidP="00C65234">
            <w:pPr>
              <w:keepNext/>
              <w:rPr>
                <w:rFonts w:ascii="Arial Narrow" w:hAnsi="Arial Narrow" w:cs="Arial"/>
                <w:snapToGrid w:val="0"/>
                <w:sz w:val="20"/>
                <w:lang w:eastAsia="en-US"/>
              </w:rPr>
            </w:pPr>
            <w:r w:rsidRPr="00E864D1">
              <w:rPr>
                <w:rFonts w:ascii="Arial Narrow" w:hAnsi="Arial Narrow" w:cs="Arial"/>
                <w:sz w:val="20"/>
              </w:rPr>
              <w:t xml:space="preserve">NNT: </w:t>
            </w:r>
            <w:r>
              <w:rPr>
                <w:rFonts w:ascii="Arial Narrow" w:hAnsi="Arial Narrow" w:cs="Arial"/>
                <w:sz w:val="20"/>
              </w:rPr>
              <w:t>NC</w:t>
            </w:r>
            <w:r w:rsidRPr="00E864D1">
              <w:rPr>
                <w:rFonts w:ascii="Arial Narrow" w:hAnsi="Arial Narrow" w:cs="Arial"/>
                <w:sz w:val="20"/>
              </w:rPr>
              <w:t xml:space="preserve"> [</w:t>
            </w:r>
            <w:r>
              <w:rPr>
                <w:rFonts w:ascii="Arial Narrow" w:hAnsi="Arial Narrow" w:cs="Arial"/>
                <w:sz w:val="20"/>
              </w:rPr>
              <w:t>50</w:t>
            </w:r>
            <w:r w:rsidRPr="00E864D1">
              <w:rPr>
                <w:rFonts w:ascii="Arial Narrow" w:hAnsi="Arial Narrow" w:cs="Arial"/>
                <w:sz w:val="20"/>
              </w:rPr>
              <w:t xml:space="preserve">, </w:t>
            </w:r>
            <w:r w:rsidR="00BF6916">
              <w:rPr>
                <w:rFonts w:ascii="Arial Narrow" w:hAnsi="Arial Narrow" w:cs="Arial"/>
                <w:sz w:val="20"/>
              </w:rPr>
              <w:t>-</w:t>
            </w:r>
            <w:r w:rsidR="00034DF1">
              <w:rPr>
                <w:rFonts w:ascii="Arial Narrow" w:hAnsi="Arial Narrow" w:cs="Arial"/>
                <w:sz w:val="20"/>
              </w:rPr>
              <w:t>50</w:t>
            </w:r>
            <w:r w:rsidRPr="00E864D1">
              <w:rPr>
                <w:rFonts w:ascii="Arial Narrow" w:hAnsi="Arial Narrow" w:cs="Arial"/>
                <w:sz w:val="20"/>
              </w:rPr>
              <w:t>]</w:t>
            </w:r>
          </w:p>
          <w:p w14:paraId="770C6676" w14:textId="46DBA6C5" w:rsidR="00E864D1" w:rsidRPr="00C65234" w:rsidRDefault="00E864D1" w:rsidP="00C65234">
            <w:pPr>
              <w:keepNext/>
              <w:rPr>
                <w:rFonts w:ascii="Arial Narrow" w:hAnsi="Arial Narrow" w:cs="Arial"/>
                <w:sz w:val="20"/>
                <w:lang w:eastAsia="en-US"/>
              </w:rPr>
            </w:pPr>
          </w:p>
        </w:tc>
      </w:tr>
      <w:tr w:rsidR="00C65234" w:rsidRPr="00C65234" w14:paraId="6749A186" w14:textId="77777777" w:rsidTr="000C52AE">
        <w:tc>
          <w:tcPr>
            <w:tcW w:w="1413" w:type="dxa"/>
            <w:tcBorders>
              <w:top w:val="single" w:sz="4" w:space="0" w:color="auto"/>
              <w:left w:val="single" w:sz="4" w:space="0" w:color="auto"/>
              <w:bottom w:val="single" w:sz="4" w:space="0" w:color="auto"/>
              <w:right w:val="single" w:sz="4" w:space="0" w:color="auto"/>
            </w:tcBorders>
            <w:hideMark/>
          </w:tcPr>
          <w:p w14:paraId="3E5E6018"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30 days</w:t>
            </w:r>
          </w:p>
        </w:tc>
        <w:tc>
          <w:tcPr>
            <w:tcW w:w="1276" w:type="dxa"/>
            <w:tcBorders>
              <w:top w:val="single" w:sz="4" w:space="0" w:color="auto"/>
              <w:left w:val="single" w:sz="4" w:space="0" w:color="auto"/>
              <w:bottom w:val="single" w:sz="4" w:space="0" w:color="auto"/>
              <w:right w:val="single" w:sz="4" w:space="0" w:color="auto"/>
            </w:tcBorders>
            <w:hideMark/>
          </w:tcPr>
          <w:p w14:paraId="45995ABA" w14:textId="77777777" w:rsidR="00C65234" w:rsidRPr="00C65234" w:rsidRDefault="00C65234" w:rsidP="00C65234">
            <w:pPr>
              <w:spacing w:before="40" w:after="40"/>
              <w:rPr>
                <w:rFonts w:ascii="Arial Narrow" w:hAnsi="Arial Narrow" w:cs="Tahoma"/>
                <w:sz w:val="20"/>
              </w:rPr>
            </w:pPr>
            <w:r w:rsidRPr="00C65234">
              <w:rPr>
                <w:rFonts w:ascii="Arial Narrow" w:hAnsi="Arial Narrow" w:cs="Tahoma"/>
                <w:sz w:val="20"/>
              </w:rPr>
              <w:t>k=4 (RCT; k=3 cohort k=1); N=1056</w:t>
            </w:r>
          </w:p>
        </w:tc>
        <w:tc>
          <w:tcPr>
            <w:tcW w:w="1146" w:type="dxa"/>
            <w:tcBorders>
              <w:top w:val="single" w:sz="4" w:space="0" w:color="auto"/>
              <w:left w:val="single" w:sz="4" w:space="0" w:color="auto"/>
              <w:bottom w:val="single" w:sz="4" w:space="0" w:color="auto"/>
              <w:right w:val="single" w:sz="4" w:space="0" w:color="auto"/>
            </w:tcBorders>
            <w:hideMark/>
          </w:tcPr>
          <w:p w14:paraId="273A5B87" w14:textId="77777777" w:rsidR="00C65234" w:rsidRPr="00C65234" w:rsidRDefault="00C65234" w:rsidP="00C65234">
            <w:pPr>
              <w:spacing w:before="40" w:after="40"/>
              <w:rPr>
                <w:rFonts w:ascii="Arial Narrow" w:hAnsi="Arial Narrow" w:cs="Cambria Math"/>
                <w:color w:val="C00000"/>
                <w:sz w:val="20"/>
              </w:rPr>
            </w:pPr>
            <w:r w:rsidRPr="00C65234">
              <w:rPr>
                <w:rFonts w:ascii="Cambria Math" w:hAnsi="Cambria Math" w:cs="Cambria Math"/>
                <w:color w:val="00B050"/>
                <w:sz w:val="20"/>
              </w:rPr>
              <w:t>⨁⨁⨁</w:t>
            </w:r>
            <w:r w:rsidRPr="00C65234">
              <w:rPr>
                <w:rFonts w:ascii="Cambria Math" w:hAnsi="Cambria Math" w:cs="Cambria Math"/>
                <w:color w:val="C00000"/>
                <w:sz w:val="20"/>
              </w:rPr>
              <w:t>⨀</w:t>
            </w:r>
          </w:p>
          <w:p w14:paraId="04D6083D"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MODERATE</w:t>
            </w:r>
          </w:p>
        </w:tc>
        <w:tc>
          <w:tcPr>
            <w:tcW w:w="1122" w:type="dxa"/>
            <w:tcBorders>
              <w:top w:val="single" w:sz="4" w:space="0" w:color="auto"/>
              <w:left w:val="single" w:sz="4" w:space="0" w:color="auto"/>
              <w:bottom w:val="single" w:sz="4" w:space="0" w:color="auto"/>
              <w:right w:val="single" w:sz="4" w:space="0" w:color="auto"/>
            </w:tcBorders>
          </w:tcPr>
          <w:p w14:paraId="2206B67F"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TAVI+CEP: 3/531 (0.56)</w:t>
            </w:r>
          </w:p>
          <w:p w14:paraId="7693F1A9" w14:textId="77777777" w:rsidR="00C65234" w:rsidRPr="00C65234" w:rsidRDefault="00C65234" w:rsidP="00C65234">
            <w:pPr>
              <w:spacing w:before="40" w:after="40"/>
              <w:rPr>
                <w:rFonts w:ascii="Arial Narrow" w:hAnsi="Arial Narrow" w:cs="Arial"/>
                <w:b/>
                <w:sz w:val="20"/>
              </w:rPr>
            </w:pPr>
          </w:p>
        </w:tc>
        <w:tc>
          <w:tcPr>
            <w:tcW w:w="1134" w:type="dxa"/>
            <w:tcBorders>
              <w:top w:val="single" w:sz="4" w:space="0" w:color="auto"/>
              <w:left w:val="single" w:sz="4" w:space="0" w:color="auto"/>
              <w:bottom w:val="single" w:sz="4" w:space="0" w:color="auto"/>
              <w:right w:val="single" w:sz="4" w:space="0" w:color="auto"/>
            </w:tcBorders>
          </w:tcPr>
          <w:p w14:paraId="24AAE432" w14:textId="77777777" w:rsidR="00C65234" w:rsidRPr="00C65234" w:rsidRDefault="00C65234" w:rsidP="00C65234">
            <w:pPr>
              <w:spacing w:before="40" w:after="40"/>
              <w:rPr>
                <w:rFonts w:ascii="Arial Narrow" w:hAnsi="Arial Narrow" w:cs="Arial"/>
                <w:b/>
                <w:sz w:val="20"/>
              </w:rPr>
            </w:pPr>
            <w:r w:rsidRPr="00C65234">
              <w:rPr>
                <w:rFonts w:ascii="Arial Narrow" w:hAnsi="Arial Narrow" w:cs="Arial"/>
                <w:sz w:val="20"/>
              </w:rPr>
              <w:t>TAVI alone: 17/525 (3.24)</w:t>
            </w:r>
          </w:p>
        </w:tc>
        <w:tc>
          <w:tcPr>
            <w:tcW w:w="1134" w:type="dxa"/>
            <w:tcBorders>
              <w:top w:val="single" w:sz="4" w:space="0" w:color="auto"/>
              <w:left w:val="single" w:sz="4" w:space="0" w:color="auto"/>
              <w:bottom w:val="single" w:sz="4" w:space="0" w:color="auto"/>
              <w:right w:val="single" w:sz="4" w:space="0" w:color="auto"/>
            </w:tcBorders>
            <w:hideMark/>
          </w:tcPr>
          <w:p w14:paraId="4B01191F" w14:textId="77777777" w:rsidR="00C65234" w:rsidRPr="00C65234" w:rsidRDefault="00C65234" w:rsidP="00C65234">
            <w:pPr>
              <w:spacing w:before="40" w:after="40"/>
              <w:rPr>
                <w:rFonts w:ascii="Arial Narrow" w:hAnsi="Arial Narrow" w:cs="Arial"/>
                <w:b/>
                <w:sz w:val="20"/>
              </w:rPr>
            </w:pPr>
            <w:r w:rsidRPr="00C65234">
              <w:rPr>
                <w:rFonts w:ascii="Arial Narrow" w:hAnsi="Arial Narrow" w:cs="Arial"/>
                <w:b/>
                <w:sz w:val="20"/>
              </w:rPr>
              <w:t xml:space="preserve">0.22 </w:t>
            </w:r>
          </w:p>
          <w:p w14:paraId="042D94A1"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b/>
                <w:sz w:val="20"/>
              </w:rPr>
              <w:t>[0.07, 0.64]</w:t>
            </w:r>
          </w:p>
        </w:tc>
        <w:tc>
          <w:tcPr>
            <w:tcW w:w="1842" w:type="dxa"/>
            <w:tcBorders>
              <w:top w:val="single" w:sz="4" w:space="0" w:color="auto"/>
              <w:left w:val="single" w:sz="4" w:space="0" w:color="auto"/>
              <w:bottom w:val="single" w:sz="4" w:space="0" w:color="auto"/>
              <w:right w:val="single" w:sz="4" w:space="0" w:color="auto"/>
            </w:tcBorders>
            <w:hideMark/>
          </w:tcPr>
          <w:p w14:paraId="63AB9A36"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-0.02 </w:t>
            </w:r>
          </w:p>
          <w:p w14:paraId="3343DC9D" w14:textId="77777777" w:rsidR="00C65234" w:rsidRDefault="00C65234" w:rsidP="00C65234">
            <w:pPr>
              <w:spacing w:before="40" w:after="40"/>
              <w:rPr>
                <w:rFonts w:ascii="Arial Narrow" w:hAnsi="Arial Narrow" w:cs="Arial"/>
                <w:sz w:val="20"/>
              </w:rPr>
            </w:pPr>
            <w:r w:rsidRPr="00C65234">
              <w:rPr>
                <w:rFonts w:ascii="Arial Narrow" w:hAnsi="Arial Narrow" w:cs="Arial"/>
                <w:sz w:val="20"/>
              </w:rPr>
              <w:t>[-0.04, 0.00]</w:t>
            </w:r>
          </w:p>
          <w:p w14:paraId="4947EC86" w14:textId="0247B253" w:rsidR="00034DF1" w:rsidRPr="00C65234" w:rsidRDefault="00034DF1" w:rsidP="00034DF1">
            <w:pPr>
              <w:spacing w:before="40" w:after="40"/>
              <w:rPr>
                <w:rFonts w:ascii="Arial Narrow" w:hAnsi="Arial Narrow" w:cs="Arial"/>
                <w:sz w:val="20"/>
              </w:rPr>
            </w:pPr>
            <w:r w:rsidRPr="00E864D1">
              <w:rPr>
                <w:rFonts w:ascii="Arial Narrow" w:hAnsi="Arial Narrow" w:cs="Arial"/>
                <w:sz w:val="20"/>
              </w:rPr>
              <w:t>NNT: 50 [</w:t>
            </w:r>
            <w:r>
              <w:rPr>
                <w:rFonts w:ascii="Arial Narrow" w:hAnsi="Arial Narrow" w:cs="Arial"/>
                <w:sz w:val="20"/>
              </w:rPr>
              <w:t>25</w:t>
            </w:r>
            <w:r w:rsidRPr="00E864D1">
              <w:rPr>
                <w:rFonts w:ascii="Arial Narrow" w:hAnsi="Arial Narrow" w:cs="Arial"/>
                <w:sz w:val="20"/>
              </w:rPr>
              <w:t xml:space="preserve">, </w:t>
            </w:r>
            <w:r>
              <w:rPr>
                <w:rFonts w:ascii="Arial Narrow" w:hAnsi="Arial Narrow" w:cs="Arial"/>
                <w:sz w:val="20"/>
              </w:rPr>
              <w:t>NC</w:t>
            </w:r>
            <w:r w:rsidRPr="00E864D1">
              <w:rPr>
                <w:rFonts w:ascii="Arial Narrow" w:hAnsi="Arial Narrow" w:cs="Arial"/>
                <w:sz w:val="20"/>
              </w:rPr>
              <w:t>]</w:t>
            </w:r>
          </w:p>
        </w:tc>
      </w:tr>
      <w:tr w:rsidR="00C65234" w:rsidRPr="00C65234" w14:paraId="0F5C38AD" w14:textId="77777777" w:rsidTr="000C52AE">
        <w:trPr>
          <w:cantSplit/>
        </w:trPr>
        <w:tc>
          <w:tcPr>
            <w:tcW w:w="1413" w:type="dxa"/>
            <w:tcBorders>
              <w:top w:val="single" w:sz="4" w:space="0" w:color="auto"/>
              <w:left w:val="single" w:sz="4" w:space="0" w:color="auto"/>
              <w:bottom w:val="single" w:sz="4" w:space="0" w:color="auto"/>
              <w:right w:val="single" w:sz="4" w:space="0" w:color="auto"/>
            </w:tcBorders>
          </w:tcPr>
          <w:p w14:paraId="0EC69183"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30 day</w:t>
            </w:r>
          </w:p>
          <w:p w14:paraId="72C8FD6B"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RCTs only</w:t>
            </w:r>
          </w:p>
        </w:tc>
        <w:tc>
          <w:tcPr>
            <w:tcW w:w="1276" w:type="dxa"/>
            <w:tcBorders>
              <w:top w:val="single" w:sz="4" w:space="0" w:color="auto"/>
              <w:left w:val="single" w:sz="4" w:space="0" w:color="auto"/>
              <w:bottom w:val="single" w:sz="4" w:space="0" w:color="auto"/>
              <w:right w:val="single" w:sz="4" w:space="0" w:color="auto"/>
            </w:tcBorders>
          </w:tcPr>
          <w:p w14:paraId="23AEDFDE" w14:textId="77777777" w:rsidR="00C65234" w:rsidRPr="00C65234" w:rsidRDefault="00C65234" w:rsidP="00C65234">
            <w:pPr>
              <w:spacing w:before="40" w:after="40"/>
              <w:rPr>
                <w:rFonts w:ascii="Arial Narrow" w:hAnsi="Arial Narrow" w:cs="Tahoma"/>
                <w:sz w:val="20"/>
              </w:rPr>
            </w:pPr>
            <w:r w:rsidRPr="00C65234">
              <w:rPr>
                <w:rFonts w:ascii="Arial Narrow" w:hAnsi="Arial Narrow" w:cs="Tahoma"/>
                <w:sz w:val="20"/>
              </w:rPr>
              <w:t xml:space="preserve">k=3 </w:t>
            </w:r>
          </w:p>
          <w:p w14:paraId="06CF1401" w14:textId="77777777" w:rsidR="00C65234" w:rsidRPr="00C65234" w:rsidRDefault="00C65234" w:rsidP="00C65234">
            <w:pPr>
              <w:spacing w:before="40" w:after="40"/>
              <w:rPr>
                <w:rFonts w:ascii="Arial Narrow" w:hAnsi="Arial Narrow" w:cs="Tahoma"/>
                <w:sz w:val="20"/>
              </w:rPr>
            </w:pPr>
            <w:r w:rsidRPr="00C65234">
              <w:rPr>
                <w:rFonts w:ascii="Arial Narrow" w:hAnsi="Arial Narrow" w:cs="Tahoma"/>
                <w:sz w:val="20"/>
              </w:rPr>
              <w:t>N= 390</w:t>
            </w:r>
          </w:p>
        </w:tc>
        <w:tc>
          <w:tcPr>
            <w:tcW w:w="1146" w:type="dxa"/>
            <w:tcBorders>
              <w:top w:val="single" w:sz="4" w:space="0" w:color="auto"/>
              <w:left w:val="single" w:sz="4" w:space="0" w:color="auto"/>
              <w:bottom w:val="single" w:sz="4" w:space="0" w:color="auto"/>
              <w:right w:val="single" w:sz="4" w:space="0" w:color="auto"/>
            </w:tcBorders>
          </w:tcPr>
          <w:p w14:paraId="513F215C" w14:textId="77777777" w:rsidR="00C65234" w:rsidRPr="00C65234" w:rsidRDefault="00C65234" w:rsidP="00C65234">
            <w:pPr>
              <w:spacing w:before="40" w:after="40"/>
              <w:rPr>
                <w:rFonts w:ascii="Arial Narrow" w:hAnsi="Arial Narrow" w:cs="Cambria Math"/>
                <w:color w:val="C00000"/>
                <w:sz w:val="20"/>
              </w:rPr>
            </w:pPr>
            <w:r w:rsidRPr="00C65234">
              <w:rPr>
                <w:rFonts w:ascii="Cambria Math" w:hAnsi="Cambria Math" w:cs="Cambria Math"/>
                <w:color w:val="00B050"/>
                <w:sz w:val="20"/>
              </w:rPr>
              <w:t>⨁⨁⨁⨁</w:t>
            </w:r>
          </w:p>
          <w:p w14:paraId="7DEFACB2" w14:textId="77777777" w:rsidR="00C65234" w:rsidRPr="00C65234" w:rsidRDefault="00C65234" w:rsidP="00C65234">
            <w:pPr>
              <w:widowControl w:val="0"/>
              <w:spacing w:before="40" w:after="40"/>
              <w:ind w:left="22"/>
              <w:rPr>
                <w:rFonts w:ascii="Arial Narrow" w:hAnsi="Arial Narrow" w:cs="Cambria Math"/>
                <w:sz w:val="20"/>
                <w:lang w:eastAsia="en-US"/>
              </w:rPr>
            </w:pPr>
            <w:r w:rsidRPr="00C65234">
              <w:rPr>
                <w:rFonts w:ascii="Arial Narrow" w:hAnsi="Arial Narrow" w:cs="Cambria Math"/>
                <w:sz w:val="20"/>
                <w:lang w:eastAsia="en-US"/>
              </w:rPr>
              <w:t>HIGH</w:t>
            </w:r>
          </w:p>
          <w:p w14:paraId="6EC1268B" w14:textId="77777777" w:rsidR="00C65234" w:rsidRPr="00C65234" w:rsidRDefault="00C65234" w:rsidP="00C65234">
            <w:pPr>
              <w:spacing w:before="40" w:after="40"/>
              <w:ind w:left="176"/>
              <w:rPr>
                <w:rFonts w:ascii="Arial Narrow" w:hAnsi="Arial Narrow" w:cs="Cambria Math"/>
                <w:color w:val="00B050"/>
                <w:sz w:val="20"/>
              </w:rPr>
            </w:pPr>
          </w:p>
        </w:tc>
        <w:tc>
          <w:tcPr>
            <w:tcW w:w="1122" w:type="dxa"/>
            <w:tcBorders>
              <w:top w:val="single" w:sz="4" w:space="0" w:color="auto"/>
              <w:left w:val="single" w:sz="4" w:space="0" w:color="auto"/>
              <w:bottom w:val="single" w:sz="4" w:space="0" w:color="auto"/>
              <w:right w:val="single" w:sz="4" w:space="0" w:color="auto"/>
            </w:tcBorders>
          </w:tcPr>
          <w:p w14:paraId="02F08255"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TAVI+CEP</w:t>
            </w:r>
          </w:p>
          <w:p w14:paraId="5FC4B6A4"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0/198 (0)</w:t>
            </w:r>
          </w:p>
          <w:p w14:paraId="189FA187" w14:textId="77777777" w:rsidR="00C65234" w:rsidRPr="00C65234" w:rsidRDefault="00C65234" w:rsidP="00C65234">
            <w:pPr>
              <w:spacing w:before="40" w:after="40"/>
              <w:rPr>
                <w:rFonts w:ascii="Arial Narrow" w:hAnsi="Arial Narrow" w:cs="Arial"/>
                <w:sz w:val="20"/>
              </w:rPr>
            </w:pPr>
          </w:p>
        </w:tc>
        <w:tc>
          <w:tcPr>
            <w:tcW w:w="1134" w:type="dxa"/>
            <w:tcBorders>
              <w:top w:val="single" w:sz="4" w:space="0" w:color="auto"/>
              <w:left w:val="single" w:sz="4" w:space="0" w:color="auto"/>
              <w:bottom w:val="single" w:sz="4" w:space="0" w:color="auto"/>
              <w:right w:val="single" w:sz="4" w:space="0" w:color="auto"/>
            </w:tcBorders>
          </w:tcPr>
          <w:p w14:paraId="3F046A65"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 alone:</w:t>
            </w:r>
          </w:p>
          <w:p w14:paraId="277280EE"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3/192 (1.56)</w:t>
            </w:r>
          </w:p>
        </w:tc>
        <w:tc>
          <w:tcPr>
            <w:tcW w:w="1134" w:type="dxa"/>
            <w:tcBorders>
              <w:top w:val="single" w:sz="4" w:space="0" w:color="auto"/>
              <w:left w:val="single" w:sz="4" w:space="0" w:color="auto"/>
              <w:bottom w:val="single" w:sz="4" w:space="0" w:color="auto"/>
              <w:right w:val="single" w:sz="4" w:space="0" w:color="auto"/>
            </w:tcBorders>
          </w:tcPr>
          <w:p w14:paraId="6EC8F4F0"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0.24 </w:t>
            </w:r>
          </w:p>
          <w:p w14:paraId="2E698A28"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[0.03, 2.24]; </w:t>
            </w:r>
          </w:p>
          <w:p w14:paraId="21E5FAD2" w14:textId="77777777" w:rsidR="00C65234" w:rsidRPr="00C65234" w:rsidRDefault="00C65234" w:rsidP="00C65234">
            <w:pPr>
              <w:spacing w:before="40" w:after="40"/>
              <w:rPr>
                <w:rFonts w:ascii="Arial Narrow" w:hAnsi="Arial Narrow" w:cs="Arial"/>
                <w:sz w:val="20"/>
              </w:rPr>
            </w:pPr>
          </w:p>
        </w:tc>
        <w:tc>
          <w:tcPr>
            <w:tcW w:w="1842" w:type="dxa"/>
            <w:tcBorders>
              <w:top w:val="single" w:sz="4" w:space="0" w:color="auto"/>
              <w:left w:val="single" w:sz="4" w:space="0" w:color="auto"/>
              <w:bottom w:val="single" w:sz="4" w:space="0" w:color="auto"/>
              <w:right w:val="single" w:sz="4" w:space="0" w:color="auto"/>
            </w:tcBorders>
          </w:tcPr>
          <w:p w14:paraId="0ED41F69"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-0.01 </w:t>
            </w:r>
          </w:p>
          <w:p w14:paraId="78BA98D8" w14:textId="77777777" w:rsidR="00C65234" w:rsidRDefault="00C65234" w:rsidP="00C65234">
            <w:pPr>
              <w:spacing w:before="40" w:after="40"/>
              <w:rPr>
                <w:rFonts w:ascii="Arial Narrow" w:hAnsi="Arial Narrow" w:cs="Arial"/>
                <w:sz w:val="20"/>
              </w:rPr>
            </w:pPr>
            <w:r w:rsidRPr="00C65234">
              <w:rPr>
                <w:rFonts w:ascii="Arial Narrow" w:hAnsi="Arial Narrow" w:cs="Arial"/>
                <w:sz w:val="20"/>
              </w:rPr>
              <w:t>[-0.03, 0.01]</w:t>
            </w:r>
          </w:p>
          <w:p w14:paraId="7AC5BFCE" w14:textId="6FABA2CF" w:rsidR="00034DF1" w:rsidRPr="00C65234" w:rsidRDefault="00034DF1" w:rsidP="00C65234">
            <w:pPr>
              <w:spacing w:before="40" w:after="40"/>
              <w:rPr>
                <w:rFonts w:ascii="Arial Narrow" w:hAnsi="Arial Narrow" w:cs="Arial"/>
                <w:sz w:val="20"/>
              </w:rPr>
            </w:pPr>
            <w:r w:rsidRPr="00034DF1">
              <w:rPr>
                <w:rFonts w:ascii="Arial Narrow" w:hAnsi="Arial Narrow" w:cs="Arial"/>
                <w:sz w:val="20"/>
              </w:rPr>
              <w:t>NNT: 100 [33, -100]</w:t>
            </w:r>
          </w:p>
        </w:tc>
      </w:tr>
      <w:tr w:rsidR="00C65234" w:rsidRPr="00C65234" w14:paraId="4B0BA192" w14:textId="77777777" w:rsidTr="000C52AE">
        <w:trPr>
          <w:cantSplit/>
        </w:trPr>
        <w:tc>
          <w:tcPr>
            <w:tcW w:w="1413" w:type="dxa"/>
            <w:tcBorders>
              <w:top w:val="single" w:sz="4" w:space="0" w:color="auto"/>
              <w:left w:val="single" w:sz="4" w:space="0" w:color="auto"/>
              <w:bottom w:val="single" w:sz="4" w:space="0" w:color="auto"/>
            </w:tcBorders>
          </w:tcPr>
          <w:p w14:paraId="5FF6FB9E" w14:textId="77777777" w:rsidR="00C65234" w:rsidRPr="00C65234" w:rsidRDefault="00C65234" w:rsidP="00C65234">
            <w:pPr>
              <w:spacing w:before="40" w:after="40"/>
              <w:rPr>
                <w:rFonts w:ascii="Arial Narrow" w:hAnsi="Arial Narrow" w:cs="Arial"/>
                <w:b/>
                <w:sz w:val="20"/>
              </w:rPr>
            </w:pPr>
            <w:r w:rsidRPr="00C65234">
              <w:rPr>
                <w:rFonts w:ascii="Arial Narrow" w:hAnsi="Arial Narrow" w:cs="Arial"/>
                <w:b/>
                <w:sz w:val="20"/>
              </w:rPr>
              <w:t>Mortality</w:t>
            </w:r>
          </w:p>
        </w:tc>
        <w:tc>
          <w:tcPr>
            <w:tcW w:w="1276" w:type="dxa"/>
            <w:tcBorders>
              <w:top w:val="single" w:sz="4" w:space="0" w:color="auto"/>
              <w:bottom w:val="single" w:sz="4" w:space="0" w:color="auto"/>
            </w:tcBorders>
          </w:tcPr>
          <w:p w14:paraId="211FD423" w14:textId="77777777" w:rsidR="00C65234" w:rsidRPr="00C65234" w:rsidRDefault="00C65234" w:rsidP="00C65234">
            <w:pPr>
              <w:spacing w:before="40" w:after="40"/>
              <w:rPr>
                <w:rFonts w:ascii="Arial Narrow" w:hAnsi="Arial Narrow" w:cs="Tahoma"/>
                <w:sz w:val="20"/>
              </w:rPr>
            </w:pPr>
          </w:p>
        </w:tc>
        <w:tc>
          <w:tcPr>
            <w:tcW w:w="1146" w:type="dxa"/>
            <w:tcBorders>
              <w:top w:val="single" w:sz="4" w:space="0" w:color="auto"/>
              <w:bottom w:val="single" w:sz="4" w:space="0" w:color="auto"/>
            </w:tcBorders>
          </w:tcPr>
          <w:p w14:paraId="5D1A003B" w14:textId="77777777" w:rsidR="00C65234" w:rsidRPr="00C65234" w:rsidRDefault="00C65234" w:rsidP="00C65234">
            <w:pPr>
              <w:spacing w:before="40" w:after="40"/>
              <w:rPr>
                <w:rFonts w:ascii="Cambria Math" w:hAnsi="Cambria Math" w:cs="Cambria Math"/>
                <w:color w:val="00B050"/>
                <w:sz w:val="20"/>
              </w:rPr>
            </w:pPr>
          </w:p>
        </w:tc>
        <w:tc>
          <w:tcPr>
            <w:tcW w:w="1122" w:type="dxa"/>
            <w:tcBorders>
              <w:top w:val="single" w:sz="4" w:space="0" w:color="auto"/>
              <w:bottom w:val="single" w:sz="4" w:space="0" w:color="auto"/>
            </w:tcBorders>
          </w:tcPr>
          <w:p w14:paraId="4987B625" w14:textId="77777777" w:rsidR="00C65234" w:rsidRPr="00C65234" w:rsidRDefault="00C65234" w:rsidP="00C65234">
            <w:pPr>
              <w:spacing w:before="40" w:after="40"/>
              <w:rPr>
                <w:rFonts w:ascii="Arial Narrow" w:hAnsi="Arial Narrow" w:cs="Arial"/>
                <w:sz w:val="20"/>
              </w:rPr>
            </w:pPr>
          </w:p>
        </w:tc>
        <w:tc>
          <w:tcPr>
            <w:tcW w:w="1134" w:type="dxa"/>
            <w:tcBorders>
              <w:top w:val="single" w:sz="4" w:space="0" w:color="auto"/>
              <w:bottom w:val="single" w:sz="4" w:space="0" w:color="auto"/>
            </w:tcBorders>
          </w:tcPr>
          <w:p w14:paraId="766373B1" w14:textId="77777777" w:rsidR="00C65234" w:rsidRPr="00C65234" w:rsidRDefault="00C65234" w:rsidP="00C65234">
            <w:pPr>
              <w:spacing w:before="40" w:after="40"/>
              <w:rPr>
                <w:rFonts w:ascii="Arial Narrow" w:hAnsi="Arial Narrow" w:cs="Arial"/>
                <w:sz w:val="20"/>
              </w:rPr>
            </w:pPr>
          </w:p>
        </w:tc>
        <w:tc>
          <w:tcPr>
            <w:tcW w:w="1134" w:type="dxa"/>
            <w:tcBorders>
              <w:top w:val="single" w:sz="4" w:space="0" w:color="auto"/>
              <w:bottom w:val="single" w:sz="4" w:space="0" w:color="auto"/>
            </w:tcBorders>
          </w:tcPr>
          <w:p w14:paraId="605A4DBA" w14:textId="77777777" w:rsidR="00C65234" w:rsidRPr="00C65234" w:rsidRDefault="00C65234" w:rsidP="00C65234">
            <w:pPr>
              <w:spacing w:before="40" w:after="40"/>
              <w:rPr>
                <w:rFonts w:ascii="Arial Narrow" w:hAnsi="Arial Narrow" w:cs="Arial"/>
                <w:sz w:val="20"/>
              </w:rPr>
            </w:pPr>
          </w:p>
        </w:tc>
        <w:tc>
          <w:tcPr>
            <w:tcW w:w="1842" w:type="dxa"/>
            <w:tcBorders>
              <w:top w:val="single" w:sz="4" w:space="0" w:color="auto"/>
              <w:bottom w:val="single" w:sz="4" w:space="0" w:color="auto"/>
              <w:right w:val="single" w:sz="4" w:space="0" w:color="auto"/>
            </w:tcBorders>
          </w:tcPr>
          <w:p w14:paraId="0364BF4D" w14:textId="77777777" w:rsidR="00C65234" w:rsidRPr="00C65234" w:rsidRDefault="00C65234" w:rsidP="00C65234">
            <w:pPr>
              <w:spacing w:before="40" w:after="40"/>
              <w:rPr>
                <w:rFonts w:ascii="Arial Narrow" w:hAnsi="Arial Narrow" w:cs="Arial"/>
                <w:sz w:val="20"/>
              </w:rPr>
            </w:pPr>
          </w:p>
        </w:tc>
      </w:tr>
      <w:tr w:rsidR="00C65234" w:rsidRPr="00C65234" w14:paraId="17DDF364" w14:textId="77777777" w:rsidTr="000C52AE">
        <w:trPr>
          <w:cantSplit/>
        </w:trPr>
        <w:tc>
          <w:tcPr>
            <w:tcW w:w="1413" w:type="dxa"/>
            <w:tcBorders>
              <w:top w:val="single" w:sz="4" w:space="0" w:color="auto"/>
              <w:left w:val="single" w:sz="4" w:space="0" w:color="auto"/>
              <w:bottom w:val="single" w:sz="4" w:space="0" w:color="auto"/>
              <w:right w:val="single" w:sz="4" w:space="0" w:color="auto"/>
            </w:tcBorders>
          </w:tcPr>
          <w:p w14:paraId="18424B83" w14:textId="3F1B3A79"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Early </w:t>
            </w:r>
            <w:r w:rsidR="00190C8D">
              <w:rPr>
                <w:rFonts w:ascii="Arial Narrow" w:hAnsi="Arial Narrow" w:cs="Arial"/>
                <w:sz w:val="20"/>
              </w:rPr>
              <w:br/>
            </w:r>
            <w:r w:rsidRPr="00C65234">
              <w:rPr>
                <w:rFonts w:ascii="Arial Narrow" w:hAnsi="Arial Narrow" w:cs="Arial"/>
                <w:sz w:val="20"/>
              </w:rPr>
              <w:t xml:space="preserve">peri-procedural </w:t>
            </w:r>
          </w:p>
          <w:p w14:paraId="4257A287" w14:textId="7532FF19" w:rsidR="00C65234" w:rsidRPr="00C65234" w:rsidRDefault="00C65234" w:rsidP="00E864D1">
            <w:pPr>
              <w:spacing w:before="40" w:after="40"/>
              <w:rPr>
                <w:rFonts w:ascii="Arial Narrow" w:hAnsi="Arial Narrow" w:cs="Arial"/>
                <w:sz w:val="20"/>
              </w:rPr>
            </w:pPr>
            <w:r w:rsidRPr="00C65234">
              <w:rPr>
                <w:rFonts w:ascii="Arial Narrow" w:hAnsi="Arial Narrow" w:cs="Arial"/>
                <w:sz w:val="20"/>
              </w:rPr>
              <w:t>(1-7 days)</w:t>
            </w:r>
          </w:p>
        </w:tc>
        <w:tc>
          <w:tcPr>
            <w:tcW w:w="1276" w:type="dxa"/>
            <w:tcBorders>
              <w:top w:val="single" w:sz="4" w:space="0" w:color="auto"/>
              <w:left w:val="single" w:sz="4" w:space="0" w:color="auto"/>
              <w:bottom w:val="single" w:sz="4" w:space="0" w:color="auto"/>
              <w:right w:val="single" w:sz="4" w:space="0" w:color="auto"/>
            </w:tcBorders>
          </w:tcPr>
          <w:p w14:paraId="3702E8E3" w14:textId="77777777" w:rsidR="00C65234" w:rsidRPr="00C65234" w:rsidRDefault="00C65234" w:rsidP="00C65234">
            <w:pPr>
              <w:spacing w:before="40" w:after="40"/>
              <w:rPr>
                <w:rFonts w:ascii="Arial Narrow" w:hAnsi="Arial Narrow"/>
                <w:sz w:val="20"/>
              </w:rPr>
            </w:pPr>
            <w:r w:rsidRPr="00C65234">
              <w:rPr>
                <w:rFonts w:ascii="Arial Narrow" w:hAnsi="Arial Narrow"/>
                <w:sz w:val="20"/>
              </w:rPr>
              <w:t xml:space="preserve">K=4 </w:t>
            </w:r>
          </w:p>
          <w:p w14:paraId="05AD3020" w14:textId="77777777" w:rsidR="00C65234" w:rsidRPr="00C65234" w:rsidRDefault="00C65234" w:rsidP="00C65234">
            <w:pPr>
              <w:spacing w:before="40" w:after="40"/>
              <w:rPr>
                <w:rFonts w:ascii="Arial Narrow" w:hAnsi="Arial Narrow" w:cs="Tahoma"/>
                <w:sz w:val="20"/>
              </w:rPr>
            </w:pPr>
            <w:r w:rsidRPr="00C65234">
              <w:rPr>
                <w:rFonts w:ascii="Arial Narrow" w:hAnsi="Arial Narrow"/>
                <w:sz w:val="20"/>
              </w:rPr>
              <w:t>(RCT k=2, cohort k=2); N=1,654</w:t>
            </w:r>
          </w:p>
        </w:tc>
        <w:tc>
          <w:tcPr>
            <w:tcW w:w="1146" w:type="dxa"/>
            <w:tcBorders>
              <w:top w:val="single" w:sz="4" w:space="0" w:color="auto"/>
              <w:left w:val="single" w:sz="4" w:space="0" w:color="auto"/>
              <w:bottom w:val="single" w:sz="4" w:space="0" w:color="auto"/>
              <w:right w:val="single" w:sz="4" w:space="0" w:color="auto"/>
            </w:tcBorders>
          </w:tcPr>
          <w:p w14:paraId="601BDF11" w14:textId="77777777" w:rsidR="00C65234" w:rsidRPr="00C65234" w:rsidRDefault="00C65234" w:rsidP="00C65234">
            <w:pPr>
              <w:spacing w:before="40" w:after="40"/>
              <w:rPr>
                <w:rFonts w:ascii="Arial Narrow" w:hAnsi="Arial Narrow" w:cs="Cambria Math"/>
                <w:color w:val="C00000"/>
                <w:sz w:val="20"/>
                <w:lang w:eastAsia="en-US"/>
              </w:rPr>
            </w:pPr>
            <w:r w:rsidRPr="00C65234">
              <w:rPr>
                <w:rFonts w:ascii="Cambria Math" w:hAnsi="Cambria Math" w:cs="Cambria Math"/>
                <w:color w:val="00B050"/>
                <w:sz w:val="20"/>
                <w:lang w:eastAsia="en-US"/>
              </w:rPr>
              <w:t>⨁⨁</w:t>
            </w:r>
            <w:r w:rsidRPr="00C65234">
              <w:rPr>
                <w:rFonts w:ascii="Cambria Math" w:hAnsi="Cambria Math" w:cs="Cambria Math"/>
                <w:color w:val="C00000"/>
                <w:sz w:val="20"/>
                <w:lang w:eastAsia="en-US"/>
              </w:rPr>
              <w:t>⨀⨀</w:t>
            </w:r>
          </w:p>
          <w:p w14:paraId="284965CB" w14:textId="77777777" w:rsidR="00C65234" w:rsidRPr="00C65234" w:rsidRDefault="00C65234" w:rsidP="00C65234">
            <w:pPr>
              <w:spacing w:before="40" w:after="40"/>
              <w:rPr>
                <w:rFonts w:ascii="Arial Narrow" w:hAnsi="Arial Narrow" w:cs="Cambria Math"/>
                <w:color w:val="00B050"/>
                <w:sz w:val="20"/>
              </w:rPr>
            </w:pPr>
            <w:r w:rsidRPr="00C65234">
              <w:rPr>
                <w:rFonts w:ascii="Arial Narrow" w:hAnsi="Arial Narrow" w:cs="Arial"/>
                <w:sz w:val="20"/>
              </w:rPr>
              <w:t>LOW</w:t>
            </w:r>
          </w:p>
        </w:tc>
        <w:tc>
          <w:tcPr>
            <w:tcW w:w="1122" w:type="dxa"/>
            <w:tcBorders>
              <w:top w:val="single" w:sz="4" w:space="0" w:color="auto"/>
              <w:left w:val="single" w:sz="4" w:space="0" w:color="auto"/>
              <w:bottom w:val="single" w:sz="4" w:space="0" w:color="auto"/>
              <w:right w:val="single" w:sz="4" w:space="0" w:color="auto"/>
            </w:tcBorders>
          </w:tcPr>
          <w:p w14:paraId="22D2F5B0"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TAVI+CEP: 12/889 (1.35)</w:t>
            </w:r>
          </w:p>
          <w:p w14:paraId="12282BB8" w14:textId="77777777" w:rsidR="00C65234" w:rsidRPr="00C65234" w:rsidRDefault="00C65234" w:rsidP="00C65234">
            <w:pPr>
              <w:spacing w:before="40" w:after="40"/>
              <w:rPr>
                <w:rFonts w:ascii="Arial Narrow" w:hAnsi="Arial Narrow" w:cs="Arial"/>
                <w:sz w:val="20"/>
              </w:rPr>
            </w:pPr>
          </w:p>
        </w:tc>
        <w:tc>
          <w:tcPr>
            <w:tcW w:w="1134" w:type="dxa"/>
            <w:tcBorders>
              <w:top w:val="single" w:sz="4" w:space="0" w:color="auto"/>
              <w:left w:val="single" w:sz="4" w:space="0" w:color="auto"/>
              <w:bottom w:val="single" w:sz="4" w:space="0" w:color="auto"/>
              <w:right w:val="single" w:sz="4" w:space="0" w:color="auto"/>
            </w:tcBorders>
          </w:tcPr>
          <w:p w14:paraId="2A21EFF6"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 alone: 17/765 (2.22)</w:t>
            </w:r>
          </w:p>
        </w:tc>
        <w:tc>
          <w:tcPr>
            <w:tcW w:w="1134" w:type="dxa"/>
            <w:tcBorders>
              <w:top w:val="single" w:sz="4" w:space="0" w:color="auto"/>
              <w:left w:val="single" w:sz="4" w:space="0" w:color="auto"/>
              <w:bottom w:val="single" w:sz="4" w:space="0" w:color="auto"/>
              <w:right w:val="single" w:sz="4" w:space="0" w:color="auto"/>
            </w:tcBorders>
          </w:tcPr>
          <w:p w14:paraId="72FF7A18" w14:textId="77777777" w:rsidR="00C65234" w:rsidRPr="00C65234" w:rsidRDefault="00C65234" w:rsidP="00C65234">
            <w:pPr>
              <w:keepNext/>
              <w:spacing w:before="40" w:after="40"/>
              <w:rPr>
                <w:rFonts w:ascii="Arial Narrow" w:hAnsi="Arial Narrow" w:cs="Tahoma"/>
                <w:bCs/>
                <w:iCs/>
                <w:snapToGrid w:val="0"/>
                <w:sz w:val="20"/>
                <w:lang w:eastAsia="en-US"/>
              </w:rPr>
            </w:pPr>
            <w:r w:rsidRPr="00C65234">
              <w:rPr>
                <w:rFonts w:ascii="Arial Narrow" w:hAnsi="Arial Narrow" w:cs="Tahoma"/>
                <w:bCs/>
                <w:iCs/>
                <w:snapToGrid w:val="0"/>
                <w:sz w:val="20"/>
                <w:lang w:eastAsia="en-US"/>
              </w:rPr>
              <w:t xml:space="preserve">0.71 </w:t>
            </w:r>
          </w:p>
          <w:p w14:paraId="4DFBE0BB" w14:textId="77777777" w:rsidR="00C65234" w:rsidRPr="00C65234" w:rsidRDefault="00C65234" w:rsidP="00C65234">
            <w:pPr>
              <w:keepNext/>
              <w:spacing w:before="40" w:after="40"/>
              <w:rPr>
                <w:rFonts w:ascii="Arial Narrow" w:hAnsi="Arial Narrow" w:cs="Tahoma"/>
                <w:bCs/>
                <w:iCs/>
                <w:snapToGrid w:val="0"/>
                <w:sz w:val="20"/>
                <w:lang w:eastAsia="en-US"/>
              </w:rPr>
            </w:pPr>
            <w:r w:rsidRPr="00C65234">
              <w:rPr>
                <w:rFonts w:ascii="Arial Narrow" w:hAnsi="Arial Narrow" w:cs="Tahoma"/>
                <w:bCs/>
                <w:iCs/>
                <w:snapToGrid w:val="0"/>
                <w:sz w:val="20"/>
                <w:lang w:eastAsia="en-US"/>
              </w:rPr>
              <w:t>[0.27, 1.88]</w:t>
            </w:r>
          </w:p>
          <w:p w14:paraId="52E94312" w14:textId="77777777" w:rsidR="00C65234" w:rsidRPr="00C65234" w:rsidRDefault="00C65234" w:rsidP="00C65234">
            <w:pPr>
              <w:spacing w:before="40" w:after="40"/>
              <w:rPr>
                <w:rFonts w:ascii="Arial Narrow" w:hAnsi="Arial Narrow" w:cs="Arial"/>
                <w:sz w:val="20"/>
              </w:rPr>
            </w:pPr>
          </w:p>
        </w:tc>
        <w:tc>
          <w:tcPr>
            <w:tcW w:w="1842" w:type="dxa"/>
            <w:tcBorders>
              <w:top w:val="single" w:sz="4" w:space="0" w:color="auto"/>
              <w:left w:val="single" w:sz="4" w:space="0" w:color="auto"/>
              <w:bottom w:val="single" w:sz="4" w:space="0" w:color="auto"/>
              <w:right w:val="single" w:sz="4" w:space="0" w:color="auto"/>
            </w:tcBorders>
          </w:tcPr>
          <w:p w14:paraId="59BEDAE9"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-0.01 </w:t>
            </w:r>
          </w:p>
          <w:p w14:paraId="4E134C29" w14:textId="77777777" w:rsidR="00034DF1" w:rsidRDefault="00C65234" w:rsidP="00C65234">
            <w:pPr>
              <w:spacing w:before="40" w:after="40"/>
              <w:rPr>
                <w:rFonts w:ascii="Arial Narrow" w:hAnsi="Arial Narrow" w:cs="Arial"/>
                <w:sz w:val="20"/>
              </w:rPr>
            </w:pPr>
            <w:r w:rsidRPr="00C65234">
              <w:rPr>
                <w:rFonts w:ascii="Arial Narrow" w:hAnsi="Arial Narrow" w:cs="Arial"/>
                <w:sz w:val="20"/>
              </w:rPr>
              <w:t xml:space="preserve">[-0.02, </w:t>
            </w:r>
            <w:r w:rsidRPr="00C65234">
              <w:rPr>
                <w:rFonts w:ascii="Arial Narrow" w:hAnsi="Arial Narrow" w:cs="Arial"/>
                <w:bCs/>
                <w:iCs/>
                <w:sz w:val="20"/>
              </w:rPr>
              <w:t>0.01</w:t>
            </w:r>
            <w:r w:rsidRPr="00C65234">
              <w:rPr>
                <w:rFonts w:ascii="Arial Narrow" w:hAnsi="Arial Narrow" w:cs="Arial"/>
                <w:sz w:val="20"/>
              </w:rPr>
              <w:t>]</w:t>
            </w:r>
          </w:p>
          <w:p w14:paraId="09E10087" w14:textId="0A119EC0" w:rsidR="00C65234" w:rsidRPr="00C65234" w:rsidRDefault="00034DF1" w:rsidP="00C65234">
            <w:pPr>
              <w:spacing w:before="40" w:after="40"/>
              <w:rPr>
                <w:rFonts w:ascii="Arial Narrow" w:hAnsi="Arial Narrow" w:cs="Arial"/>
                <w:sz w:val="20"/>
              </w:rPr>
            </w:pPr>
            <w:r>
              <w:t xml:space="preserve"> </w:t>
            </w:r>
            <w:r w:rsidRPr="00034DF1">
              <w:rPr>
                <w:rFonts w:ascii="Arial Narrow" w:hAnsi="Arial Narrow" w:cs="Arial"/>
                <w:sz w:val="20"/>
              </w:rPr>
              <w:t>NNT: 100 [50, -100]</w:t>
            </w:r>
          </w:p>
        </w:tc>
      </w:tr>
      <w:tr w:rsidR="00C65234" w:rsidRPr="00C65234" w14:paraId="338AC532" w14:textId="77777777" w:rsidTr="000C52AE">
        <w:trPr>
          <w:cantSplit/>
        </w:trPr>
        <w:tc>
          <w:tcPr>
            <w:tcW w:w="1413" w:type="dxa"/>
            <w:tcBorders>
              <w:top w:val="single" w:sz="4" w:space="0" w:color="auto"/>
              <w:left w:val="single" w:sz="4" w:space="0" w:color="auto"/>
              <w:bottom w:val="single" w:sz="4" w:space="0" w:color="auto"/>
              <w:right w:val="single" w:sz="4" w:space="0" w:color="auto"/>
            </w:tcBorders>
          </w:tcPr>
          <w:p w14:paraId="38CF0D95"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30 day </w:t>
            </w:r>
          </w:p>
        </w:tc>
        <w:tc>
          <w:tcPr>
            <w:tcW w:w="1276" w:type="dxa"/>
            <w:tcBorders>
              <w:top w:val="single" w:sz="4" w:space="0" w:color="auto"/>
              <w:left w:val="single" w:sz="4" w:space="0" w:color="auto"/>
              <w:bottom w:val="single" w:sz="4" w:space="0" w:color="auto"/>
              <w:right w:val="single" w:sz="4" w:space="0" w:color="auto"/>
            </w:tcBorders>
          </w:tcPr>
          <w:p w14:paraId="7A48E731" w14:textId="77777777" w:rsidR="00C65234" w:rsidRPr="00C65234" w:rsidRDefault="00C65234" w:rsidP="00C65234">
            <w:pPr>
              <w:spacing w:before="40" w:after="40"/>
              <w:rPr>
                <w:rFonts w:ascii="Arial Narrow" w:hAnsi="Arial Narrow"/>
                <w:sz w:val="20"/>
              </w:rPr>
            </w:pPr>
            <w:r w:rsidRPr="00C65234">
              <w:rPr>
                <w:rFonts w:ascii="Arial Narrow" w:hAnsi="Arial Narrow"/>
                <w:sz w:val="20"/>
              </w:rPr>
              <w:t xml:space="preserve">k=4 </w:t>
            </w:r>
          </w:p>
          <w:p w14:paraId="59DA2960" w14:textId="77777777" w:rsidR="00C65234" w:rsidRPr="00C65234" w:rsidRDefault="00C65234" w:rsidP="00C65234">
            <w:pPr>
              <w:spacing w:before="40" w:after="40"/>
              <w:rPr>
                <w:rFonts w:ascii="Arial Narrow" w:hAnsi="Arial Narrow" w:cs="Tahoma"/>
                <w:sz w:val="20"/>
              </w:rPr>
            </w:pPr>
            <w:r w:rsidRPr="00C65234">
              <w:rPr>
                <w:rFonts w:ascii="Arial Narrow" w:hAnsi="Arial Narrow"/>
                <w:sz w:val="20"/>
              </w:rPr>
              <w:t>(RCT k=3 cohort k=1); N=1,059</w:t>
            </w:r>
          </w:p>
        </w:tc>
        <w:tc>
          <w:tcPr>
            <w:tcW w:w="1146" w:type="dxa"/>
            <w:tcBorders>
              <w:top w:val="single" w:sz="4" w:space="0" w:color="auto"/>
              <w:left w:val="single" w:sz="4" w:space="0" w:color="auto"/>
              <w:bottom w:val="single" w:sz="4" w:space="0" w:color="auto"/>
              <w:right w:val="single" w:sz="4" w:space="0" w:color="auto"/>
            </w:tcBorders>
          </w:tcPr>
          <w:p w14:paraId="21723B57" w14:textId="77777777" w:rsidR="00C65234" w:rsidRPr="00C65234" w:rsidRDefault="00C65234" w:rsidP="00C65234">
            <w:pPr>
              <w:spacing w:before="40" w:after="40"/>
              <w:rPr>
                <w:rFonts w:ascii="Arial Narrow" w:hAnsi="Arial Narrow" w:cs="Cambria Math"/>
                <w:color w:val="C00000"/>
                <w:sz w:val="20"/>
                <w:lang w:eastAsia="en-US"/>
              </w:rPr>
            </w:pPr>
            <w:r w:rsidRPr="00C65234">
              <w:rPr>
                <w:rFonts w:ascii="Cambria Math" w:hAnsi="Cambria Math" w:cs="Cambria Math"/>
                <w:color w:val="00B050"/>
                <w:sz w:val="20"/>
                <w:lang w:eastAsia="en-US"/>
              </w:rPr>
              <w:t>⨁⨁⨁</w:t>
            </w:r>
            <w:r w:rsidRPr="00C65234">
              <w:rPr>
                <w:rFonts w:ascii="Cambria Math" w:hAnsi="Cambria Math" w:cs="Cambria Math"/>
                <w:color w:val="C00000"/>
                <w:sz w:val="20"/>
                <w:lang w:eastAsia="en-US"/>
              </w:rPr>
              <w:t>⨀</w:t>
            </w:r>
          </w:p>
          <w:p w14:paraId="365B4EEC" w14:textId="77777777" w:rsidR="00C65234" w:rsidRPr="00C65234" w:rsidRDefault="00C65234" w:rsidP="00C65234">
            <w:pPr>
              <w:spacing w:before="40" w:after="40"/>
              <w:rPr>
                <w:rFonts w:ascii="Arial Narrow" w:hAnsi="Arial Narrow" w:cs="Cambria Math"/>
                <w:color w:val="00B050"/>
                <w:sz w:val="20"/>
              </w:rPr>
            </w:pPr>
            <w:r w:rsidRPr="00C65234">
              <w:rPr>
                <w:rFonts w:ascii="Arial Narrow" w:hAnsi="Arial Narrow" w:cs="Arial"/>
                <w:sz w:val="20"/>
              </w:rPr>
              <w:t>MODERATE</w:t>
            </w:r>
          </w:p>
        </w:tc>
        <w:tc>
          <w:tcPr>
            <w:tcW w:w="1122" w:type="dxa"/>
            <w:tcBorders>
              <w:top w:val="single" w:sz="4" w:space="0" w:color="auto"/>
              <w:left w:val="single" w:sz="4" w:space="0" w:color="auto"/>
              <w:bottom w:val="single" w:sz="4" w:space="0" w:color="auto"/>
              <w:right w:val="single" w:sz="4" w:space="0" w:color="auto"/>
            </w:tcBorders>
          </w:tcPr>
          <w:p w14:paraId="67EF9729"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TAVI+CEP: 20/532 (3.76)</w:t>
            </w:r>
          </w:p>
          <w:p w14:paraId="6D870185" w14:textId="77777777" w:rsidR="00C65234" w:rsidRPr="00C65234" w:rsidRDefault="00C65234" w:rsidP="00C65234">
            <w:pPr>
              <w:spacing w:before="40" w:after="40"/>
              <w:rPr>
                <w:rFonts w:ascii="Arial Narrow" w:hAnsi="Arial Narrow" w:cs="Arial"/>
                <w:sz w:val="20"/>
              </w:rPr>
            </w:pPr>
          </w:p>
        </w:tc>
        <w:tc>
          <w:tcPr>
            <w:tcW w:w="1134" w:type="dxa"/>
            <w:tcBorders>
              <w:top w:val="single" w:sz="4" w:space="0" w:color="auto"/>
              <w:left w:val="single" w:sz="4" w:space="0" w:color="auto"/>
              <w:bottom w:val="single" w:sz="4" w:space="0" w:color="auto"/>
              <w:right w:val="single" w:sz="4" w:space="0" w:color="auto"/>
            </w:tcBorders>
          </w:tcPr>
          <w:p w14:paraId="6F522E4B"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 alone: 19/527 (3.61)</w:t>
            </w:r>
          </w:p>
        </w:tc>
        <w:tc>
          <w:tcPr>
            <w:tcW w:w="1134" w:type="dxa"/>
            <w:tcBorders>
              <w:top w:val="single" w:sz="4" w:space="0" w:color="auto"/>
              <w:left w:val="single" w:sz="4" w:space="0" w:color="auto"/>
              <w:bottom w:val="single" w:sz="4" w:space="0" w:color="auto"/>
              <w:right w:val="single" w:sz="4" w:space="0" w:color="auto"/>
            </w:tcBorders>
          </w:tcPr>
          <w:p w14:paraId="3EC6F180"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1.09 </w:t>
            </w:r>
          </w:p>
          <w:p w14:paraId="712B97E2"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[0.56, 2.09]</w:t>
            </w:r>
          </w:p>
        </w:tc>
        <w:tc>
          <w:tcPr>
            <w:tcW w:w="1842" w:type="dxa"/>
            <w:tcBorders>
              <w:top w:val="single" w:sz="4" w:space="0" w:color="auto"/>
              <w:left w:val="single" w:sz="4" w:space="0" w:color="auto"/>
              <w:bottom w:val="single" w:sz="4" w:space="0" w:color="auto"/>
              <w:right w:val="single" w:sz="4" w:space="0" w:color="auto"/>
            </w:tcBorders>
          </w:tcPr>
          <w:p w14:paraId="306EB7E2"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-0.00 </w:t>
            </w:r>
          </w:p>
          <w:p w14:paraId="1C5CDC1D" w14:textId="77777777" w:rsidR="00C65234" w:rsidRDefault="00C65234" w:rsidP="00C65234">
            <w:pPr>
              <w:spacing w:before="40" w:after="40"/>
              <w:rPr>
                <w:rFonts w:ascii="Arial Narrow" w:hAnsi="Arial Narrow" w:cs="Arial"/>
                <w:sz w:val="20"/>
              </w:rPr>
            </w:pPr>
            <w:r w:rsidRPr="00C65234">
              <w:rPr>
                <w:rFonts w:ascii="Arial Narrow" w:hAnsi="Arial Narrow" w:cs="Arial"/>
                <w:sz w:val="20"/>
              </w:rPr>
              <w:t>[-0.02, 0.02]</w:t>
            </w:r>
          </w:p>
          <w:p w14:paraId="22911978" w14:textId="33D631E0" w:rsidR="00034DF1" w:rsidRPr="00C65234" w:rsidRDefault="00034DF1" w:rsidP="00034DF1">
            <w:pPr>
              <w:spacing w:before="40" w:after="40"/>
              <w:rPr>
                <w:rFonts w:ascii="Arial Narrow" w:hAnsi="Arial Narrow" w:cs="Arial"/>
                <w:sz w:val="20"/>
              </w:rPr>
            </w:pPr>
            <w:r w:rsidRPr="00E864D1">
              <w:rPr>
                <w:rFonts w:ascii="Arial Narrow" w:hAnsi="Arial Narrow" w:cs="Arial"/>
                <w:sz w:val="20"/>
              </w:rPr>
              <w:t xml:space="preserve">NNT: </w:t>
            </w:r>
            <w:r>
              <w:rPr>
                <w:rFonts w:ascii="Arial Narrow" w:hAnsi="Arial Narrow" w:cs="Arial"/>
                <w:sz w:val="20"/>
              </w:rPr>
              <w:t>NC</w:t>
            </w:r>
            <w:r w:rsidRPr="00E864D1">
              <w:rPr>
                <w:rFonts w:ascii="Arial Narrow" w:hAnsi="Arial Narrow" w:cs="Arial"/>
                <w:sz w:val="20"/>
              </w:rPr>
              <w:t xml:space="preserve"> [</w:t>
            </w:r>
            <w:r>
              <w:rPr>
                <w:rFonts w:ascii="Arial Narrow" w:hAnsi="Arial Narrow" w:cs="Arial"/>
                <w:sz w:val="20"/>
              </w:rPr>
              <w:t>25</w:t>
            </w:r>
            <w:r w:rsidRPr="00E864D1">
              <w:rPr>
                <w:rFonts w:ascii="Arial Narrow" w:hAnsi="Arial Narrow" w:cs="Arial"/>
                <w:sz w:val="20"/>
              </w:rPr>
              <w:t xml:space="preserve">, </w:t>
            </w:r>
            <w:r>
              <w:rPr>
                <w:rFonts w:ascii="Arial Narrow" w:hAnsi="Arial Narrow" w:cs="Arial"/>
                <w:sz w:val="20"/>
              </w:rPr>
              <w:t>-25</w:t>
            </w:r>
            <w:r w:rsidRPr="00E864D1">
              <w:rPr>
                <w:rFonts w:ascii="Arial Narrow" w:hAnsi="Arial Narrow" w:cs="Arial"/>
                <w:sz w:val="20"/>
              </w:rPr>
              <w:t>]</w:t>
            </w:r>
          </w:p>
        </w:tc>
      </w:tr>
      <w:tr w:rsidR="00C65234" w:rsidRPr="00C65234" w14:paraId="28500F1B" w14:textId="77777777" w:rsidTr="000C52AE">
        <w:trPr>
          <w:cantSplit/>
        </w:trPr>
        <w:tc>
          <w:tcPr>
            <w:tcW w:w="1413" w:type="dxa"/>
            <w:tcBorders>
              <w:top w:val="single" w:sz="4" w:space="0" w:color="auto"/>
              <w:left w:val="single" w:sz="4" w:space="0" w:color="auto"/>
              <w:bottom w:val="single" w:sz="4" w:space="0" w:color="auto"/>
              <w:right w:val="single" w:sz="4" w:space="0" w:color="auto"/>
            </w:tcBorders>
          </w:tcPr>
          <w:p w14:paraId="6DBBD645"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30 day</w:t>
            </w:r>
          </w:p>
          <w:p w14:paraId="5A17FD5E"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RCTs only</w:t>
            </w:r>
          </w:p>
        </w:tc>
        <w:tc>
          <w:tcPr>
            <w:tcW w:w="1276" w:type="dxa"/>
            <w:tcBorders>
              <w:top w:val="single" w:sz="4" w:space="0" w:color="auto"/>
              <w:left w:val="single" w:sz="4" w:space="0" w:color="auto"/>
              <w:bottom w:val="single" w:sz="4" w:space="0" w:color="auto"/>
              <w:right w:val="single" w:sz="4" w:space="0" w:color="auto"/>
            </w:tcBorders>
          </w:tcPr>
          <w:p w14:paraId="655FD2FE" w14:textId="77777777" w:rsidR="00C65234" w:rsidRPr="00C65234" w:rsidRDefault="00C65234" w:rsidP="00C65234">
            <w:pPr>
              <w:spacing w:before="40" w:after="40"/>
              <w:rPr>
                <w:rFonts w:ascii="Arial Narrow" w:hAnsi="Arial Narrow"/>
                <w:sz w:val="20"/>
              </w:rPr>
            </w:pPr>
            <w:r w:rsidRPr="00C65234">
              <w:rPr>
                <w:rFonts w:ascii="Arial Narrow" w:hAnsi="Arial Narrow"/>
                <w:sz w:val="20"/>
              </w:rPr>
              <w:t xml:space="preserve">k=3 </w:t>
            </w:r>
          </w:p>
          <w:p w14:paraId="282E3DEE" w14:textId="77777777" w:rsidR="00C65234" w:rsidRPr="00C65234" w:rsidRDefault="00C65234" w:rsidP="00C65234">
            <w:pPr>
              <w:spacing w:before="40" w:after="40"/>
              <w:rPr>
                <w:rFonts w:ascii="Arial Narrow" w:hAnsi="Arial Narrow" w:cs="Tahoma"/>
                <w:sz w:val="20"/>
              </w:rPr>
            </w:pPr>
            <w:r w:rsidRPr="00C65234">
              <w:rPr>
                <w:rFonts w:ascii="Arial Narrow" w:hAnsi="Arial Narrow"/>
                <w:sz w:val="20"/>
              </w:rPr>
              <w:t>N= 393</w:t>
            </w:r>
          </w:p>
        </w:tc>
        <w:tc>
          <w:tcPr>
            <w:tcW w:w="1146" w:type="dxa"/>
            <w:tcBorders>
              <w:top w:val="single" w:sz="4" w:space="0" w:color="auto"/>
              <w:left w:val="single" w:sz="4" w:space="0" w:color="auto"/>
              <w:bottom w:val="single" w:sz="4" w:space="0" w:color="auto"/>
              <w:right w:val="single" w:sz="4" w:space="0" w:color="auto"/>
            </w:tcBorders>
          </w:tcPr>
          <w:p w14:paraId="110A9D45" w14:textId="77777777" w:rsidR="00C65234" w:rsidRPr="00C65234" w:rsidRDefault="00C65234" w:rsidP="00C65234">
            <w:pPr>
              <w:spacing w:before="40" w:after="40"/>
              <w:rPr>
                <w:rFonts w:ascii="Arial Narrow" w:hAnsi="Arial Narrow" w:cs="Cambria Math"/>
                <w:color w:val="C00000"/>
                <w:sz w:val="20"/>
                <w:lang w:eastAsia="en-US"/>
              </w:rPr>
            </w:pPr>
            <w:r w:rsidRPr="00C65234">
              <w:rPr>
                <w:rFonts w:ascii="Cambria Math" w:hAnsi="Cambria Math" w:cs="Cambria Math"/>
                <w:color w:val="00B050"/>
                <w:sz w:val="20"/>
                <w:lang w:eastAsia="en-US"/>
              </w:rPr>
              <w:t>⨁⨁⨁⨁</w:t>
            </w:r>
          </w:p>
          <w:p w14:paraId="5F401052" w14:textId="77777777" w:rsidR="00C65234" w:rsidRPr="00C65234" w:rsidRDefault="00C65234" w:rsidP="00C65234">
            <w:pPr>
              <w:widowControl w:val="0"/>
              <w:spacing w:before="40" w:after="40"/>
              <w:ind w:left="22"/>
              <w:rPr>
                <w:rFonts w:ascii="Arial Narrow" w:hAnsi="Arial Narrow" w:cs="Cambria Math"/>
                <w:sz w:val="20"/>
                <w:lang w:eastAsia="en-US"/>
              </w:rPr>
            </w:pPr>
            <w:r w:rsidRPr="00C65234">
              <w:rPr>
                <w:rFonts w:ascii="Arial Narrow" w:hAnsi="Arial Narrow" w:cs="Cambria Math"/>
                <w:sz w:val="20"/>
                <w:lang w:eastAsia="en-US"/>
              </w:rPr>
              <w:t>HIGH</w:t>
            </w:r>
          </w:p>
        </w:tc>
        <w:tc>
          <w:tcPr>
            <w:tcW w:w="1122" w:type="dxa"/>
            <w:tcBorders>
              <w:top w:val="single" w:sz="4" w:space="0" w:color="auto"/>
              <w:left w:val="single" w:sz="4" w:space="0" w:color="auto"/>
              <w:bottom w:val="single" w:sz="4" w:space="0" w:color="auto"/>
              <w:right w:val="single" w:sz="4" w:space="0" w:color="auto"/>
            </w:tcBorders>
          </w:tcPr>
          <w:p w14:paraId="37BEF2BB"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TAVI+CEP:</w:t>
            </w:r>
          </w:p>
          <w:p w14:paraId="3372BAB7"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2/199 (1.01)</w:t>
            </w:r>
          </w:p>
        </w:tc>
        <w:tc>
          <w:tcPr>
            <w:tcW w:w="1134" w:type="dxa"/>
            <w:tcBorders>
              <w:top w:val="single" w:sz="4" w:space="0" w:color="auto"/>
              <w:left w:val="single" w:sz="4" w:space="0" w:color="auto"/>
              <w:bottom w:val="single" w:sz="4" w:space="0" w:color="auto"/>
              <w:right w:val="single" w:sz="4" w:space="0" w:color="auto"/>
            </w:tcBorders>
          </w:tcPr>
          <w:p w14:paraId="5371BC98"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TAVI alone:</w:t>
            </w:r>
          </w:p>
          <w:p w14:paraId="4D5D0350"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6/194 (3.09)</w:t>
            </w:r>
          </w:p>
        </w:tc>
        <w:tc>
          <w:tcPr>
            <w:tcW w:w="1134" w:type="dxa"/>
            <w:tcBorders>
              <w:top w:val="single" w:sz="4" w:space="0" w:color="auto"/>
              <w:left w:val="single" w:sz="4" w:space="0" w:color="auto"/>
              <w:bottom w:val="single" w:sz="4" w:space="0" w:color="auto"/>
              <w:right w:val="single" w:sz="4" w:space="0" w:color="auto"/>
            </w:tcBorders>
          </w:tcPr>
          <w:p w14:paraId="0454E3B7"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0.37 </w:t>
            </w:r>
          </w:p>
          <w:p w14:paraId="47B09A2E"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[0.08, 1.65]</w:t>
            </w:r>
          </w:p>
        </w:tc>
        <w:tc>
          <w:tcPr>
            <w:tcW w:w="1842" w:type="dxa"/>
            <w:tcBorders>
              <w:top w:val="single" w:sz="4" w:space="0" w:color="auto"/>
              <w:left w:val="single" w:sz="4" w:space="0" w:color="auto"/>
              <w:bottom w:val="single" w:sz="4" w:space="0" w:color="auto"/>
              <w:right w:val="single" w:sz="4" w:space="0" w:color="auto"/>
            </w:tcBorders>
          </w:tcPr>
          <w:p w14:paraId="5D17A11D" w14:textId="77777777" w:rsidR="00C65234" w:rsidRPr="00C65234" w:rsidRDefault="00C65234" w:rsidP="00C65234">
            <w:pPr>
              <w:spacing w:before="40" w:after="40"/>
              <w:rPr>
                <w:rFonts w:ascii="Arial Narrow" w:hAnsi="Arial Narrow" w:cs="Arial"/>
                <w:sz w:val="20"/>
              </w:rPr>
            </w:pPr>
            <w:r w:rsidRPr="00C65234">
              <w:rPr>
                <w:rFonts w:ascii="Arial Narrow" w:hAnsi="Arial Narrow" w:cs="Arial"/>
                <w:sz w:val="20"/>
              </w:rPr>
              <w:t xml:space="preserve">-0.01 </w:t>
            </w:r>
          </w:p>
          <w:p w14:paraId="5519E17C" w14:textId="77777777" w:rsidR="00C65234" w:rsidRDefault="00C65234" w:rsidP="00C65234">
            <w:pPr>
              <w:spacing w:before="40" w:after="40"/>
              <w:rPr>
                <w:rFonts w:ascii="Arial Narrow" w:hAnsi="Arial Narrow" w:cs="Arial"/>
                <w:sz w:val="20"/>
              </w:rPr>
            </w:pPr>
            <w:r w:rsidRPr="00C65234">
              <w:rPr>
                <w:rFonts w:ascii="Arial Narrow" w:hAnsi="Arial Narrow" w:cs="Arial"/>
                <w:sz w:val="20"/>
              </w:rPr>
              <w:t>[-0.04, 0.01]</w:t>
            </w:r>
          </w:p>
          <w:p w14:paraId="6E8CBD88" w14:textId="310D99D7" w:rsidR="00034DF1" w:rsidRPr="00C65234" w:rsidRDefault="00034DF1" w:rsidP="00C65234">
            <w:pPr>
              <w:spacing w:before="40" w:after="40"/>
              <w:rPr>
                <w:rFonts w:ascii="Arial Narrow" w:hAnsi="Arial Narrow" w:cs="Arial"/>
                <w:sz w:val="20"/>
              </w:rPr>
            </w:pPr>
            <w:r w:rsidRPr="00034DF1">
              <w:rPr>
                <w:rFonts w:ascii="Arial Narrow" w:hAnsi="Arial Narrow" w:cs="Arial"/>
                <w:sz w:val="20"/>
              </w:rPr>
              <w:t>NNT: 100 [25, -100]</w:t>
            </w:r>
          </w:p>
        </w:tc>
      </w:tr>
    </w:tbl>
    <w:p w14:paraId="22604CA9" w14:textId="77777777" w:rsidR="00C65234" w:rsidRPr="00C65234" w:rsidRDefault="00C65234" w:rsidP="00C65234">
      <w:pPr>
        <w:widowControl w:val="0"/>
        <w:jc w:val="both"/>
        <w:rPr>
          <w:rFonts w:ascii="Arial Narrow" w:hAnsi="Arial Narrow" w:cs="Arial"/>
          <w:iCs/>
          <w:snapToGrid w:val="0"/>
          <w:sz w:val="18"/>
          <w:lang w:eastAsia="en-US"/>
        </w:rPr>
      </w:pPr>
      <w:bookmarkStart w:id="8" w:name="_Hlk20844586"/>
      <w:r w:rsidRPr="00C65234">
        <w:rPr>
          <w:rFonts w:ascii="Arial Narrow" w:hAnsi="Arial Narrow" w:cs="Arial"/>
          <w:iCs/>
          <w:snapToGrid w:val="0"/>
          <w:sz w:val="18"/>
          <w:lang w:eastAsia="en-US"/>
        </w:rPr>
        <w:t>Source: Table 4, pp xvi-xvii; Table 40, p62 of the Commentary</w:t>
      </w:r>
    </w:p>
    <w:p w14:paraId="6369BEAB" w14:textId="4BC13766" w:rsidR="00C65234" w:rsidRPr="00C65234" w:rsidRDefault="00C65234" w:rsidP="00C65234">
      <w:pPr>
        <w:widowControl w:val="0"/>
        <w:ind w:right="-329"/>
        <w:jc w:val="both"/>
        <w:rPr>
          <w:rFonts w:ascii="Arial Narrow" w:hAnsi="Arial Narrow" w:cs="Arial"/>
          <w:snapToGrid w:val="0"/>
          <w:sz w:val="18"/>
          <w:lang w:eastAsia="en-US"/>
        </w:rPr>
      </w:pPr>
      <w:r w:rsidRPr="00C65234">
        <w:rPr>
          <w:rFonts w:ascii="Arial Narrow" w:hAnsi="Arial Narrow" w:cs="Arial"/>
          <w:snapToGrid w:val="0"/>
          <w:sz w:val="18"/>
          <w:lang w:eastAsia="en-US"/>
        </w:rPr>
        <w:t xml:space="preserve">AKI=acute kidney injury; CEP=cerebral embolic protection; NNT=number needed to treat; CI=confidence interval; </w:t>
      </w:r>
      <w:r w:rsidR="00034DF1">
        <w:rPr>
          <w:rFonts w:ascii="Arial Narrow" w:hAnsi="Arial Narrow" w:cs="Arial"/>
          <w:snapToGrid w:val="0"/>
          <w:sz w:val="18"/>
          <w:lang w:eastAsia="en-US"/>
        </w:rPr>
        <w:t xml:space="preserve">NC = not calculable; </w:t>
      </w:r>
      <w:r w:rsidRPr="00C65234">
        <w:rPr>
          <w:rFonts w:ascii="Arial Narrow" w:hAnsi="Arial Narrow" w:cs="Arial"/>
          <w:snapToGrid w:val="0"/>
          <w:sz w:val="18"/>
          <w:lang w:eastAsia="en-US"/>
        </w:rPr>
        <w:t>RCT=randomised controlled trial; RD=risk difference; OR=odds ratio; PSMA=propensity score matched analysis; MA=meta-analysis k=number of studies; N=number of participants</w:t>
      </w:r>
      <w:bookmarkEnd w:id="8"/>
      <w:r w:rsidRPr="00C65234">
        <w:rPr>
          <w:rFonts w:ascii="Arial Narrow" w:hAnsi="Arial Narrow" w:cs="Arial"/>
          <w:snapToGrid w:val="0"/>
          <w:sz w:val="18"/>
          <w:lang w:eastAsia="en-US"/>
        </w:rPr>
        <w:t xml:space="preserve">; TAVI=transcatheter aortic valve implantation. </w:t>
      </w:r>
      <w:r w:rsidRPr="00C65234">
        <w:rPr>
          <w:rFonts w:ascii="Arial Narrow" w:hAnsi="Arial Narrow" w:cs="Arial"/>
          <w:snapToGrid w:val="0"/>
          <w:sz w:val="18"/>
          <w:vertAlign w:val="superscript"/>
          <w:lang w:eastAsia="en-US"/>
        </w:rPr>
        <w:t xml:space="preserve">a </w:t>
      </w:r>
      <w:r w:rsidRPr="00C65234">
        <w:rPr>
          <w:rFonts w:ascii="Arial Narrow" w:hAnsi="Arial Narrow" w:cs="Arial"/>
          <w:snapToGrid w:val="0"/>
          <w:sz w:val="18"/>
          <w:lang w:eastAsia="en-US"/>
        </w:rPr>
        <w:t xml:space="preserve">GRADE Working Group grades of evidence (Guyatt et al., 2013); </w:t>
      </w:r>
      <w:r w:rsidRPr="00C65234">
        <w:rPr>
          <w:rFonts w:ascii="Cambria Math" w:hAnsi="Cambria Math" w:cs="Arial"/>
          <w:snapToGrid w:val="0"/>
          <w:color w:val="00B050"/>
          <w:sz w:val="18"/>
          <w:lang w:eastAsia="en-US"/>
        </w:rPr>
        <w:t xml:space="preserve">⨁⨁⨁⨁ </w:t>
      </w:r>
      <w:r w:rsidRPr="00C65234">
        <w:rPr>
          <w:rFonts w:ascii="Arial Narrow" w:hAnsi="Arial Narrow" w:cs="Arial"/>
          <w:b/>
          <w:bCs/>
          <w:snapToGrid w:val="0"/>
          <w:sz w:val="18"/>
          <w:lang w:eastAsia="en-US"/>
        </w:rPr>
        <w:t>High quality:</w:t>
      </w:r>
      <w:r w:rsidRPr="00C65234">
        <w:rPr>
          <w:rFonts w:ascii="Arial Narrow" w:hAnsi="Arial Narrow" w:cs="Arial"/>
          <w:snapToGrid w:val="0"/>
          <w:sz w:val="18"/>
          <w:lang w:eastAsia="en-US"/>
        </w:rPr>
        <w:t xml:space="preserve"> We are very confident that the true effect lies close to that of the estimate of effect. </w:t>
      </w:r>
      <w:r w:rsidRPr="00C65234">
        <w:rPr>
          <w:rFonts w:ascii="Cambria Math" w:hAnsi="Cambria Math" w:cs="Arial"/>
          <w:snapToGrid w:val="0"/>
          <w:color w:val="00B050"/>
          <w:sz w:val="18"/>
          <w:lang w:eastAsia="en-US"/>
        </w:rPr>
        <w:t>⨁⨁⨁</w:t>
      </w:r>
      <w:r w:rsidRPr="00C65234">
        <w:rPr>
          <w:rFonts w:ascii="Cambria Math" w:hAnsi="Cambria Math" w:cs="Cambria Math"/>
          <w:snapToGrid w:val="0"/>
          <w:color w:val="C00000"/>
          <w:sz w:val="18"/>
          <w:lang w:eastAsia="en-US"/>
        </w:rPr>
        <w:t xml:space="preserve">⨀ </w:t>
      </w:r>
      <w:r w:rsidRPr="00C65234">
        <w:rPr>
          <w:rFonts w:ascii="Arial Narrow" w:hAnsi="Arial Narrow" w:cs="Arial"/>
          <w:b/>
          <w:bCs/>
          <w:snapToGrid w:val="0"/>
          <w:sz w:val="18"/>
          <w:lang w:eastAsia="en-US"/>
        </w:rPr>
        <w:t>Moderate quality:</w:t>
      </w:r>
      <w:r w:rsidRPr="00C65234">
        <w:rPr>
          <w:rFonts w:ascii="Arial Narrow" w:hAnsi="Arial Narrow" w:cs="Arial"/>
          <w:snapToGrid w:val="0"/>
          <w:sz w:val="18"/>
          <w:lang w:eastAsia="en-US"/>
        </w:rPr>
        <w:t xml:space="preserve"> We are moderately confident in the effect estimate: The true effect is likely to be close to the estimate of the effect, but there is a possibility that it is substantially different. </w:t>
      </w:r>
      <w:r w:rsidRPr="00C65234">
        <w:rPr>
          <w:rFonts w:ascii="Cambria Math" w:hAnsi="Cambria Math" w:cs="Arial"/>
          <w:snapToGrid w:val="0"/>
          <w:color w:val="00B050"/>
          <w:sz w:val="18"/>
          <w:lang w:eastAsia="en-US"/>
        </w:rPr>
        <w:t>⨁⨁</w:t>
      </w:r>
      <w:r w:rsidRPr="00C65234">
        <w:rPr>
          <w:rFonts w:ascii="Cambria Math" w:hAnsi="Cambria Math" w:cs="Cambria Math"/>
          <w:snapToGrid w:val="0"/>
          <w:color w:val="C00000"/>
          <w:sz w:val="18"/>
          <w:lang w:eastAsia="en-US"/>
        </w:rPr>
        <w:t xml:space="preserve">⨀⨀ </w:t>
      </w:r>
      <w:r w:rsidRPr="00C65234">
        <w:rPr>
          <w:rFonts w:ascii="Arial Narrow" w:hAnsi="Arial Narrow" w:cs="Arial"/>
          <w:b/>
          <w:bCs/>
          <w:snapToGrid w:val="0"/>
          <w:sz w:val="18"/>
          <w:lang w:eastAsia="en-US"/>
        </w:rPr>
        <w:t>Low quality:</w:t>
      </w:r>
      <w:r w:rsidRPr="00C65234">
        <w:rPr>
          <w:rFonts w:ascii="Arial Narrow" w:hAnsi="Arial Narrow" w:cs="Arial"/>
          <w:snapToGrid w:val="0"/>
          <w:sz w:val="18"/>
          <w:lang w:eastAsia="en-US"/>
        </w:rPr>
        <w:t xml:space="preserve"> Our confidence in the effect estimate is limited: The true effect may be substantially different from the estimate of the effect.</w:t>
      </w:r>
      <w:r w:rsidRPr="00C65234">
        <w:rPr>
          <w:rFonts w:ascii="Cambria Math" w:hAnsi="Cambria Math" w:cs="Arial"/>
          <w:snapToGrid w:val="0"/>
          <w:color w:val="00B050"/>
          <w:sz w:val="18"/>
          <w:lang w:eastAsia="en-US"/>
        </w:rPr>
        <w:t>⨁</w:t>
      </w:r>
      <w:r w:rsidRPr="00C65234">
        <w:rPr>
          <w:rFonts w:ascii="Cambria Math" w:hAnsi="Cambria Math" w:cs="Cambria Math"/>
          <w:snapToGrid w:val="0"/>
          <w:color w:val="C00000"/>
          <w:sz w:val="18"/>
          <w:lang w:eastAsia="en-US"/>
        </w:rPr>
        <w:t xml:space="preserve">⨀⨀⨀ </w:t>
      </w:r>
      <w:r w:rsidRPr="00C65234">
        <w:rPr>
          <w:rFonts w:ascii="Arial Narrow" w:hAnsi="Arial Narrow" w:cs="Arial"/>
          <w:b/>
          <w:bCs/>
          <w:snapToGrid w:val="0"/>
          <w:sz w:val="18"/>
          <w:lang w:eastAsia="en-US"/>
        </w:rPr>
        <w:t>Very low quality:</w:t>
      </w:r>
      <w:r w:rsidRPr="00C65234">
        <w:rPr>
          <w:rFonts w:ascii="Arial Narrow" w:hAnsi="Arial Narrow" w:cs="Arial"/>
          <w:snapToGrid w:val="0"/>
          <w:sz w:val="18"/>
          <w:lang w:eastAsia="en-US"/>
        </w:rPr>
        <w:t xml:space="preserve"> We have very little confidence in the effect estimate: The true effect is likely to be substantially different from the estimate of effect.</w:t>
      </w:r>
    </w:p>
    <w:p w14:paraId="6AC486B4" w14:textId="77777777" w:rsidR="00C65234" w:rsidRPr="00C65234" w:rsidRDefault="00C65234" w:rsidP="00C65234">
      <w:pPr>
        <w:widowControl w:val="0"/>
        <w:ind w:right="-329"/>
        <w:jc w:val="both"/>
        <w:rPr>
          <w:rFonts w:ascii="Arial Narrow" w:hAnsi="Arial Narrow" w:cs="Arial"/>
          <w:b/>
          <w:snapToGrid w:val="0"/>
          <w:sz w:val="18"/>
          <w:lang w:eastAsia="en-US"/>
        </w:rPr>
      </w:pPr>
      <w:r w:rsidRPr="00C65234">
        <w:rPr>
          <w:rFonts w:ascii="Arial Narrow" w:hAnsi="Arial Narrow" w:cs="Arial"/>
          <w:b/>
          <w:snapToGrid w:val="0"/>
          <w:sz w:val="18"/>
          <w:lang w:eastAsia="en-US"/>
        </w:rPr>
        <w:t xml:space="preserve">Bold = </w:t>
      </w:r>
      <w:r w:rsidRPr="00C65234">
        <w:rPr>
          <w:rFonts w:ascii="Arial Narrow" w:hAnsi="Arial Narrow" w:cs="Arial"/>
          <w:snapToGrid w:val="0"/>
          <w:sz w:val="18"/>
          <w:lang w:eastAsia="en-US"/>
        </w:rPr>
        <w:t>statistically significant</w:t>
      </w:r>
    </w:p>
    <w:p w14:paraId="10708667" w14:textId="67F4B3FB" w:rsidR="00C65234" w:rsidRPr="000C52AE" w:rsidRDefault="00034DF1" w:rsidP="00C65234">
      <w:pPr>
        <w:widowControl w:val="0"/>
        <w:spacing w:after="120"/>
        <w:ind w:right="-330"/>
        <w:jc w:val="both"/>
        <w:rPr>
          <w:rFonts w:ascii="Arial Narrow" w:hAnsi="Arial Narrow" w:cs="Arial"/>
          <w:bCs/>
          <w:iCs/>
          <w:snapToGrid w:val="0"/>
          <w:sz w:val="18"/>
          <w:szCs w:val="18"/>
          <w:lang w:eastAsia="en-US"/>
        </w:rPr>
      </w:pPr>
      <w:r>
        <w:rPr>
          <w:rFonts w:ascii="Arial Narrow" w:hAnsi="Arial Narrow" w:cs="Arial"/>
          <w:bCs/>
          <w:iCs/>
          <w:snapToGrid w:val="0"/>
          <w:sz w:val="18"/>
          <w:szCs w:val="18"/>
          <w:vertAlign w:val="superscript"/>
          <w:lang w:eastAsia="en-US"/>
        </w:rPr>
        <w:t xml:space="preserve">a </w:t>
      </w:r>
      <w:r>
        <w:rPr>
          <w:rFonts w:ascii="Arial Narrow" w:hAnsi="Arial Narrow" w:cs="Arial"/>
          <w:bCs/>
          <w:iCs/>
          <w:snapToGrid w:val="0"/>
          <w:sz w:val="18"/>
          <w:szCs w:val="18"/>
          <w:lang w:eastAsia="en-US"/>
        </w:rPr>
        <w:t xml:space="preserve">NNT values are negative where the point estimate for 95% confidence interval estimated that stroke or mortality could occur more frequently with CEP. NNT values not calculable when </w:t>
      </w:r>
      <w:r w:rsidR="001C7B97">
        <w:rPr>
          <w:rFonts w:ascii="Arial Narrow" w:hAnsi="Arial Narrow" w:cs="Arial"/>
          <w:bCs/>
          <w:iCs/>
          <w:snapToGrid w:val="0"/>
          <w:sz w:val="18"/>
          <w:szCs w:val="18"/>
          <w:lang w:eastAsia="en-US"/>
        </w:rPr>
        <w:t xml:space="preserve">the point estimate for 95% confidence interval estimated no difference in the incidence of stroke or mortality. </w:t>
      </w:r>
    </w:p>
    <w:p w14:paraId="47E0DD2F" w14:textId="77777777" w:rsidR="00C65234" w:rsidRPr="00C65234" w:rsidRDefault="00C65234" w:rsidP="00324DD5">
      <w:pPr>
        <w:spacing w:before="240"/>
        <w:rPr>
          <w:snapToGrid w:val="0"/>
          <w:lang w:eastAsia="en-US"/>
        </w:rPr>
      </w:pPr>
      <w:r w:rsidRPr="00C65234">
        <w:rPr>
          <w:snapToGrid w:val="0"/>
          <w:lang w:eastAsia="en-US"/>
        </w:rPr>
        <w:t>The clinical evidence presented in the ADAR did not show significant differences in mortality between TAVI with CEP and TAVI alone. The Commentary noted that there were very few deaths among patients either group.</w:t>
      </w:r>
    </w:p>
    <w:p w14:paraId="388877BF" w14:textId="4F276DFB" w:rsidR="00C65234" w:rsidRPr="00C65234" w:rsidRDefault="00C65234" w:rsidP="00324DD5">
      <w:pPr>
        <w:spacing w:before="240"/>
        <w:rPr>
          <w:snapToGrid w:val="0"/>
          <w:lang w:eastAsia="en-US"/>
        </w:rPr>
      </w:pPr>
      <w:r w:rsidRPr="00C65234">
        <w:rPr>
          <w:snapToGrid w:val="0"/>
          <w:lang w:eastAsia="en-US"/>
        </w:rPr>
        <w:t>Data was available from three RCTs for neurocognitive outcomes, but there were many limitations. This included assessments at different time points across the, the range of outcome measurement methods implemented, lack of statistical power (SENTINEL IDE), large amounts of missing data (CLEAN TAVI) and missing data being unbalanced between the treatment arms (MISTRAL-C).</w:t>
      </w:r>
    </w:p>
    <w:p w14:paraId="0914F52C" w14:textId="459FFB8C" w:rsidR="00C65234" w:rsidRPr="00C65234" w:rsidRDefault="00C65234" w:rsidP="00324DD5">
      <w:pPr>
        <w:spacing w:before="240"/>
      </w:pPr>
      <w:r w:rsidRPr="00C65234">
        <w:t>The available data from the three RCTs indicated that TAVI+CEP was associated with numerically fewer new lesions and lower volume of lesions on DW-MRI in all or in protected territories compared to TAVI alone. The Commentary noted that one of the trials had a large amount of missing data and that the assessments were made up to 7 days after the procedure. In the case of protected territories, adjusting for valve type resulted in a significantly lower mean volume in TAVI+CEP patients than in TAVI alone in the SENTINEL IDE trial.</w:t>
      </w:r>
    </w:p>
    <w:p w14:paraId="2727BFA2" w14:textId="361C0F1C" w:rsidR="00F37B9C" w:rsidRDefault="00C06B0B" w:rsidP="00324DD5">
      <w:pPr>
        <w:spacing w:before="240" w:after="240"/>
        <w:rPr>
          <w:b/>
          <w:szCs w:val="24"/>
        </w:rPr>
      </w:pPr>
      <w:r>
        <w:rPr>
          <w:b/>
          <w:szCs w:val="24"/>
        </w:rPr>
        <w:t>Clinical c</w:t>
      </w:r>
      <w:r w:rsidR="00F37B9C" w:rsidRPr="00F37B9C">
        <w:rPr>
          <w:b/>
          <w:szCs w:val="24"/>
        </w:rPr>
        <w:t>laim</w:t>
      </w:r>
    </w:p>
    <w:p w14:paraId="6D019EAA" w14:textId="7F1E6730" w:rsidR="00232DFD" w:rsidRPr="00C65234" w:rsidRDefault="00232DFD" w:rsidP="00232DFD">
      <w:r w:rsidRPr="00C65234">
        <w:t xml:space="preserve">The ADAR claimed that transcatheter delivery of the dual-filter CEP device during TAVI is superior in terms of comparative effectiveness, based on a statistically significant reduction in the rate of peri-procedural strokes demonstrated in the propensity score matched analysis (Seeger 2019). The </w:t>
      </w:r>
      <w:r w:rsidR="00193469">
        <w:t>C</w:t>
      </w:r>
      <w:r w:rsidRPr="00C65234">
        <w:t xml:space="preserve">ommentary considered the clinical claim may be supported when solely considering the results of the meta-analyses that combine RCTs and cohort studies and noted that the ADAR did not provide a rationale for including cohort </w:t>
      </w:r>
      <w:r w:rsidR="00F87E08">
        <w:t>studies in their meta-analysis.</w:t>
      </w:r>
    </w:p>
    <w:p w14:paraId="494EDFAF" w14:textId="6329116E" w:rsidR="00232DFD" w:rsidRPr="00324DD5" w:rsidRDefault="00232DFD" w:rsidP="00324DD5">
      <w:pPr>
        <w:spacing w:before="240"/>
      </w:pPr>
      <w:r w:rsidRPr="00C65234">
        <w:t xml:space="preserve">The ADAR claimed that transcatheter delivery of the dual-filter CEP device during TAVI is non-inferior in terms of comparative safety when compared to the TAVI procedure without the delivery of a dual-filter CEP device. The </w:t>
      </w:r>
      <w:r w:rsidR="00193469">
        <w:t>C</w:t>
      </w:r>
      <w:r w:rsidRPr="00C65234">
        <w:t xml:space="preserve">ommentary considered this </w:t>
      </w:r>
      <w:r w:rsidR="00F87E08">
        <w:t>clinical claim was appropriate.</w:t>
      </w:r>
    </w:p>
    <w:p w14:paraId="3AEF6E7D" w14:textId="77777777" w:rsidR="00BC1364" w:rsidRPr="00F715D1" w:rsidRDefault="00BC1364" w:rsidP="00F715D1">
      <w:pPr>
        <w:pStyle w:val="Heading1"/>
      </w:pPr>
      <w:r w:rsidRPr="00F715D1">
        <w:t>Economic evaluation</w:t>
      </w:r>
    </w:p>
    <w:p w14:paraId="1A64B266" w14:textId="42D3C38F" w:rsidR="007637F7" w:rsidRPr="00FD63E4" w:rsidRDefault="007637F7" w:rsidP="007637F7">
      <w:pPr>
        <w:rPr>
          <w:i/>
          <w:iCs/>
        </w:rPr>
      </w:pPr>
      <w:r w:rsidRPr="00FD63E4">
        <w:t xml:space="preserve">The ADAR performed a modelled cost-utility analysis to evaluate the cost-effectiveness of TAVI+CEP </w:t>
      </w:r>
      <w:r w:rsidRPr="00FD63E4">
        <w:rPr>
          <w:i/>
        </w:rPr>
        <w:t>vs.</w:t>
      </w:r>
      <w:r w:rsidRPr="00FD63E4">
        <w:t xml:space="preserve"> TAVI alone</w:t>
      </w:r>
      <w:r>
        <w:t xml:space="preserve"> </w:t>
      </w:r>
      <w:r w:rsidRPr="00791CB3">
        <w:rPr>
          <w:iCs/>
        </w:rPr>
        <w:t>(</w:t>
      </w:r>
      <w:r>
        <w:rPr>
          <w:iCs/>
        </w:rPr>
        <w:fldChar w:fldCharType="begin"/>
      </w:r>
      <w:r>
        <w:rPr>
          <w:iCs/>
        </w:rPr>
        <w:instrText xml:space="preserve"> REF _Ref58332401 \h </w:instrText>
      </w:r>
      <w:r>
        <w:rPr>
          <w:iCs/>
        </w:rPr>
      </w:r>
      <w:r>
        <w:rPr>
          <w:iCs/>
        </w:rPr>
        <w:fldChar w:fldCharType="separate"/>
      </w:r>
      <w:r w:rsidR="003E3A7D">
        <w:t xml:space="preserve">Table </w:t>
      </w:r>
      <w:r w:rsidR="003E3A7D">
        <w:rPr>
          <w:noProof/>
        </w:rPr>
        <w:t>6</w:t>
      </w:r>
      <w:r>
        <w:rPr>
          <w:iCs/>
        </w:rPr>
        <w:fldChar w:fldCharType="end"/>
      </w:r>
      <w:r w:rsidRPr="00791CB3">
        <w:rPr>
          <w:iCs/>
        </w:rPr>
        <w:t>)</w:t>
      </w:r>
      <w:r w:rsidRPr="00FD63E4">
        <w:t xml:space="preserve">, including two TAVI risk populations separately: the MBS funded inoperative/high risk population; and the intermediate surgical risk population (as per application 1603). The ADARs model included an acute phase (within 30-days post-surgery) and a non-acute phase (beyond 30 days). </w:t>
      </w:r>
      <w:r w:rsidRPr="00791CB3">
        <w:rPr>
          <w:iCs/>
        </w:rPr>
        <w:t xml:space="preserve">The </w:t>
      </w:r>
      <w:r w:rsidR="00193469">
        <w:rPr>
          <w:iCs/>
        </w:rPr>
        <w:t>C</w:t>
      </w:r>
      <w:r w:rsidRPr="00791CB3">
        <w:rPr>
          <w:iCs/>
        </w:rPr>
        <w:t>ommentary considered that the model presented in the ADAR was appropriate and reflected the eligible population</w:t>
      </w:r>
      <w:r w:rsidR="00F87E08">
        <w:rPr>
          <w:iCs/>
        </w:rPr>
        <w:t>.</w:t>
      </w:r>
      <w:r w:rsidRPr="00FD63E4">
        <w:rPr>
          <w:i/>
          <w:iCs/>
        </w:rPr>
        <w:t xml:space="preserve"> </w:t>
      </w:r>
    </w:p>
    <w:p w14:paraId="54EBFD4C" w14:textId="44B98943" w:rsidR="007637F7" w:rsidRPr="002D2859" w:rsidRDefault="007637F7" w:rsidP="002D2859">
      <w:pPr>
        <w:spacing w:before="240"/>
        <w:rPr>
          <w:rFonts w:ascii="Arial Narrow" w:hAnsi="Arial Narrow"/>
          <w:b/>
          <w:sz w:val="20"/>
        </w:rPr>
      </w:pPr>
      <w:bookmarkStart w:id="9" w:name="_Ref58332401"/>
      <w:r w:rsidRPr="002D2859">
        <w:rPr>
          <w:rFonts w:ascii="Arial Narrow" w:hAnsi="Arial Narrow"/>
          <w:b/>
          <w:sz w:val="20"/>
        </w:rPr>
        <w:t xml:space="preserve">Table </w:t>
      </w:r>
      <w:r w:rsidR="00476AB2" w:rsidRPr="002D2859">
        <w:rPr>
          <w:rFonts w:ascii="Arial Narrow" w:hAnsi="Arial Narrow"/>
          <w:b/>
          <w:sz w:val="20"/>
        </w:rPr>
        <w:fldChar w:fldCharType="begin"/>
      </w:r>
      <w:r w:rsidR="00476AB2" w:rsidRPr="002D2859">
        <w:rPr>
          <w:rFonts w:ascii="Arial Narrow" w:hAnsi="Arial Narrow"/>
          <w:b/>
          <w:sz w:val="20"/>
        </w:rPr>
        <w:instrText xml:space="preserve"> SEQ Table \* ARABIC </w:instrText>
      </w:r>
      <w:r w:rsidR="00476AB2" w:rsidRPr="002D2859">
        <w:rPr>
          <w:rFonts w:ascii="Arial Narrow" w:hAnsi="Arial Narrow"/>
          <w:b/>
          <w:sz w:val="20"/>
        </w:rPr>
        <w:fldChar w:fldCharType="separate"/>
      </w:r>
      <w:r w:rsidR="003E3A7D" w:rsidRPr="002D2859">
        <w:rPr>
          <w:rFonts w:ascii="Arial Narrow" w:hAnsi="Arial Narrow"/>
          <w:b/>
          <w:sz w:val="20"/>
        </w:rPr>
        <w:t>6</w:t>
      </w:r>
      <w:r w:rsidR="00476AB2" w:rsidRPr="002D2859">
        <w:rPr>
          <w:rFonts w:ascii="Arial Narrow" w:hAnsi="Arial Narrow"/>
          <w:b/>
          <w:sz w:val="20"/>
        </w:rPr>
        <w:fldChar w:fldCharType="end"/>
      </w:r>
      <w:bookmarkEnd w:id="9"/>
      <w:r w:rsidRPr="002D2859">
        <w:rPr>
          <w:rFonts w:ascii="Arial Narrow" w:hAnsi="Arial Narrow"/>
          <w:b/>
          <w:sz w:val="20"/>
        </w:rPr>
        <w:tab/>
        <w:t>Summary of the economic evaluation</w:t>
      </w:r>
    </w:p>
    <w:tbl>
      <w:tblPr>
        <w:tblStyle w:val="OPTUMTableNormal"/>
        <w:tblpPr w:leftFromText="180" w:rightFromText="180" w:vertAnchor="text" w:tblpY="1"/>
        <w:tblW w:w="5000" w:type="pct"/>
        <w:tblInd w:w="0" w:type="dxa"/>
        <w:tblLook w:val="01E0" w:firstRow="1" w:lastRow="1" w:firstColumn="1" w:lastColumn="1" w:noHBand="0" w:noVBand="0"/>
        <w:tblDescription w:val="Summary of the economic evaluation"/>
      </w:tblPr>
      <w:tblGrid>
        <w:gridCol w:w="3105"/>
        <w:gridCol w:w="5911"/>
      </w:tblGrid>
      <w:tr w:rsidR="007637F7" w:rsidRPr="00FD63E4" w14:paraId="10C3F583" w14:textId="77777777" w:rsidTr="002D2859">
        <w:trPr>
          <w:cnfStyle w:val="100000000000" w:firstRow="1" w:lastRow="0" w:firstColumn="0" w:lastColumn="0" w:oddVBand="0" w:evenVBand="0" w:oddHBand="0" w:evenHBand="0" w:firstRowFirstColumn="0" w:firstRowLastColumn="0" w:lastRowFirstColumn="0" w:lastRowLastColumn="0"/>
          <w:trHeight w:val="20"/>
          <w:tblHeader/>
        </w:trPr>
        <w:tc>
          <w:tcPr>
            <w:tcW w:w="1722" w:type="pct"/>
          </w:tcPr>
          <w:p w14:paraId="3E030704" w14:textId="77777777" w:rsidR="007637F7" w:rsidRPr="00FD63E4" w:rsidRDefault="007637F7" w:rsidP="00487EE3">
            <w:pPr>
              <w:keepNext/>
              <w:spacing w:after="40"/>
              <w:rPr>
                <w:rFonts w:ascii="Arial Narrow" w:hAnsi="Arial Narrow" w:cs="Tahoma"/>
                <w:b/>
                <w:sz w:val="20"/>
              </w:rPr>
            </w:pPr>
            <w:r w:rsidRPr="00FD63E4">
              <w:rPr>
                <w:rFonts w:ascii="Arial Narrow" w:hAnsi="Arial Narrow" w:cs="Tahoma"/>
                <w:b/>
                <w:sz w:val="20"/>
              </w:rPr>
              <w:t>Perspective</w:t>
            </w:r>
          </w:p>
        </w:tc>
        <w:tc>
          <w:tcPr>
            <w:tcW w:w="3278" w:type="pct"/>
          </w:tcPr>
          <w:p w14:paraId="1530EB6A" w14:textId="77777777" w:rsidR="007637F7" w:rsidRPr="00FD63E4" w:rsidRDefault="007637F7" w:rsidP="00487EE3">
            <w:pPr>
              <w:keepNext/>
              <w:spacing w:after="40"/>
              <w:rPr>
                <w:rFonts w:ascii="Arial Narrow" w:hAnsi="Arial Narrow" w:cs="Tahoma"/>
                <w:sz w:val="20"/>
              </w:rPr>
            </w:pPr>
            <w:r w:rsidRPr="00FD63E4">
              <w:rPr>
                <w:rFonts w:ascii="Arial Narrow" w:hAnsi="Arial Narrow" w:cs="Tahoma"/>
                <w:sz w:val="20"/>
              </w:rPr>
              <w:t xml:space="preserve">Healthcare system </w:t>
            </w:r>
          </w:p>
        </w:tc>
      </w:tr>
      <w:tr w:rsidR="007637F7" w:rsidRPr="00FD63E4" w14:paraId="143015F2" w14:textId="77777777" w:rsidTr="002D2859">
        <w:trPr>
          <w:trHeight w:val="20"/>
        </w:trPr>
        <w:tc>
          <w:tcPr>
            <w:tcW w:w="1722" w:type="pct"/>
          </w:tcPr>
          <w:p w14:paraId="48AE5850" w14:textId="77777777" w:rsidR="007637F7" w:rsidRPr="00FD63E4" w:rsidRDefault="007637F7" w:rsidP="00487EE3">
            <w:pPr>
              <w:keepNext/>
              <w:keepLines/>
              <w:spacing w:after="40"/>
              <w:rPr>
                <w:rFonts w:ascii="Arial Narrow" w:hAnsi="Arial Narrow" w:cs="Tahoma"/>
                <w:b/>
                <w:sz w:val="20"/>
              </w:rPr>
            </w:pPr>
            <w:r w:rsidRPr="00FD63E4">
              <w:rPr>
                <w:rFonts w:ascii="Arial Narrow" w:hAnsi="Arial Narrow" w:cs="Tahoma"/>
                <w:b/>
                <w:sz w:val="20"/>
              </w:rPr>
              <w:t>Comparator</w:t>
            </w:r>
          </w:p>
        </w:tc>
        <w:tc>
          <w:tcPr>
            <w:tcW w:w="3278" w:type="pct"/>
          </w:tcPr>
          <w:p w14:paraId="637ED7F7" w14:textId="77777777" w:rsidR="007637F7" w:rsidRPr="00FD63E4" w:rsidRDefault="007637F7" w:rsidP="00487EE3">
            <w:pPr>
              <w:keepNext/>
              <w:keepLines/>
              <w:spacing w:after="40"/>
              <w:rPr>
                <w:rFonts w:ascii="Arial Narrow" w:hAnsi="Arial Narrow" w:cs="Tahoma"/>
                <w:sz w:val="20"/>
              </w:rPr>
            </w:pPr>
            <w:r w:rsidRPr="00FD63E4">
              <w:rPr>
                <w:rFonts w:ascii="Arial Narrow" w:hAnsi="Arial Narrow" w:cs="Tahoma"/>
                <w:sz w:val="20"/>
              </w:rPr>
              <w:t>No CEP</w:t>
            </w:r>
          </w:p>
        </w:tc>
      </w:tr>
      <w:tr w:rsidR="007637F7" w:rsidRPr="00FD63E4" w14:paraId="7A7FF5EF" w14:textId="77777777" w:rsidTr="002D2859">
        <w:trPr>
          <w:trHeight w:val="20"/>
        </w:trPr>
        <w:tc>
          <w:tcPr>
            <w:tcW w:w="1722" w:type="pct"/>
          </w:tcPr>
          <w:p w14:paraId="13C69805" w14:textId="77777777" w:rsidR="007637F7" w:rsidRPr="00FD63E4" w:rsidRDefault="007637F7" w:rsidP="00487EE3">
            <w:pPr>
              <w:keepNext/>
              <w:keepLines/>
              <w:spacing w:after="40"/>
              <w:rPr>
                <w:rFonts w:ascii="Arial Narrow" w:hAnsi="Arial Narrow" w:cs="Tahoma"/>
                <w:b/>
                <w:sz w:val="20"/>
              </w:rPr>
            </w:pPr>
            <w:r w:rsidRPr="00FD63E4">
              <w:rPr>
                <w:rFonts w:ascii="Arial Narrow" w:hAnsi="Arial Narrow" w:cs="Tahoma"/>
                <w:b/>
                <w:sz w:val="20"/>
              </w:rPr>
              <w:t>Type of economic evaluation</w:t>
            </w:r>
          </w:p>
        </w:tc>
        <w:tc>
          <w:tcPr>
            <w:tcW w:w="3278" w:type="pct"/>
          </w:tcPr>
          <w:p w14:paraId="44C2A6A6" w14:textId="77777777" w:rsidR="007637F7" w:rsidRPr="00FD63E4" w:rsidRDefault="007637F7" w:rsidP="00487EE3">
            <w:pPr>
              <w:keepNext/>
              <w:keepLines/>
              <w:spacing w:after="40"/>
              <w:rPr>
                <w:rFonts w:ascii="Arial Narrow" w:hAnsi="Arial Narrow" w:cs="Tahoma"/>
                <w:sz w:val="20"/>
              </w:rPr>
            </w:pPr>
            <w:r w:rsidRPr="00FD63E4">
              <w:rPr>
                <w:rFonts w:ascii="Arial Narrow" w:hAnsi="Arial Narrow" w:cs="Tahoma"/>
                <w:sz w:val="20"/>
              </w:rPr>
              <w:t xml:space="preserve">Cost-utility and </w:t>
            </w:r>
            <w:r w:rsidRPr="003F0EC8">
              <w:rPr>
                <w:rFonts w:ascii="Arial Narrow" w:hAnsi="Arial Narrow" w:cs="Tahoma"/>
                <w:sz w:val="20"/>
              </w:rPr>
              <w:t>cost-effectiveness analysis</w:t>
            </w:r>
          </w:p>
        </w:tc>
      </w:tr>
      <w:tr w:rsidR="007637F7" w:rsidRPr="00FD63E4" w14:paraId="121C0AED" w14:textId="77777777" w:rsidTr="002D2859">
        <w:trPr>
          <w:trHeight w:val="20"/>
        </w:trPr>
        <w:tc>
          <w:tcPr>
            <w:tcW w:w="1722" w:type="pct"/>
          </w:tcPr>
          <w:p w14:paraId="1A0AC48B" w14:textId="77777777" w:rsidR="007637F7" w:rsidRPr="00FD63E4" w:rsidRDefault="007637F7" w:rsidP="00487EE3">
            <w:pPr>
              <w:keepNext/>
              <w:keepLines/>
              <w:spacing w:after="40"/>
              <w:rPr>
                <w:rFonts w:ascii="Arial Narrow" w:hAnsi="Arial Narrow" w:cs="Tahoma"/>
                <w:b/>
                <w:sz w:val="20"/>
              </w:rPr>
            </w:pPr>
            <w:r w:rsidRPr="00FD63E4">
              <w:rPr>
                <w:rFonts w:ascii="Arial Narrow" w:hAnsi="Arial Narrow" w:cs="Tahoma"/>
                <w:b/>
                <w:sz w:val="20"/>
              </w:rPr>
              <w:t>Sources of evidence</w:t>
            </w:r>
          </w:p>
        </w:tc>
        <w:tc>
          <w:tcPr>
            <w:tcW w:w="3278" w:type="pct"/>
          </w:tcPr>
          <w:p w14:paraId="2A22BF92" w14:textId="77777777" w:rsidR="007637F7" w:rsidRPr="00FD63E4" w:rsidRDefault="007637F7" w:rsidP="00487EE3">
            <w:pPr>
              <w:keepNext/>
              <w:keepLines/>
              <w:spacing w:after="40"/>
              <w:rPr>
                <w:rFonts w:ascii="Arial Narrow" w:hAnsi="Arial Narrow" w:cs="Tahoma"/>
                <w:sz w:val="20"/>
              </w:rPr>
            </w:pPr>
            <w:r w:rsidRPr="00FD63E4">
              <w:rPr>
                <w:rFonts w:ascii="Arial Narrow" w:hAnsi="Arial Narrow" w:cs="Tahoma"/>
                <w:sz w:val="20"/>
              </w:rPr>
              <w:t>Meta-analysis of 30-day stroke and mortality rates from; SENTINEL IDE, CLEAN TAVI, Kroon (2019) and MISTRAL-C</w:t>
            </w:r>
          </w:p>
        </w:tc>
      </w:tr>
      <w:tr w:rsidR="007637F7" w:rsidRPr="00FD63E4" w14:paraId="121955B3" w14:textId="77777777" w:rsidTr="002D2859">
        <w:trPr>
          <w:trHeight w:val="20"/>
        </w:trPr>
        <w:tc>
          <w:tcPr>
            <w:tcW w:w="1722" w:type="pct"/>
            <w:hideMark/>
          </w:tcPr>
          <w:p w14:paraId="58DBD321" w14:textId="77777777" w:rsidR="007637F7" w:rsidRPr="00FD63E4" w:rsidRDefault="007637F7" w:rsidP="00487EE3">
            <w:pPr>
              <w:keepNext/>
              <w:keepLines/>
              <w:spacing w:after="40"/>
              <w:rPr>
                <w:rFonts w:ascii="Arial Narrow" w:hAnsi="Arial Narrow" w:cs="Tahoma"/>
                <w:b/>
                <w:sz w:val="20"/>
              </w:rPr>
            </w:pPr>
            <w:r w:rsidRPr="00FD63E4">
              <w:rPr>
                <w:rFonts w:ascii="Arial Narrow" w:hAnsi="Arial Narrow" w:cs="Tahoma"/>
                <w:b/>
                <w:sz w:val="20"/>
              </w:rPr>
              <w:t>Time horizon</w:t>
            </w:r>
          </w:p>
        </w:tc>
        <w:tc>
          <w:tcPr>
            <w:tcW w:w="3278" w:type="pct"/>
          </w:tcPr>
          <w:p w14:paraId="043F7933" w14:textId="77777777" w:rsidR="007637F7" w:rsidRPr="00FD63E4" w:rsidRDefault="007637F7" w:rsidP="00487EE3">
            <w:pPr>
              <w:keepNext/>
              <w:keepLines/>
              <w:spacing w:after="40"/>
              <w:rPr>
                <w:rFonts w:ascii="Arial Narrow" w:hAnsi="Arial Narrow" w:cs="Tahoma"/>
                <w:sz w:val="20"/>
              </w:rPr>
            </w:pPr>
            <w:r w:rsidRPr="00FD63E4">
              <w:rPr>
                <w:rFonts w:ascii="Arial Narrow" w:hAnsi="Arial Narrow" w:cs="Tahoma"/>
                <w:sz w:val="20"/>
              </w:rPr>
              <w:t>Lifetime</w:t>
            </w:r>
          </w:p>
        </w:tc>
      </w:tr>
      <w:tr w:rsidR="007637F7" w:rsidRPr="00FD63E4" w14:paraId="773BDC36" w14:textId="77777777" w:rsidTr="002D2859">
        <w:trPr>
          <w:trHeight w:val="20"/>
        </w:trPr>
        <w:tc>
          <w:tcPr>
            <w:tcW w:w="1722" w:type="pct"/>
            <w:hideMark/>
          </w:tcPr>
          <w:p w14:paraId="70F96208" w14:textId="77777777" w:rsidR="007637F7" w:rsidRPr="00FD63E4" w:rsidRDefault="007637F7" w:rsidP="00487EE3">
            <w:pPr>
              <w:keepNext/>
              <w:keepLines/>
              <w:spacing w:after="40"/>
              <w:rPr>
                <w:rFonts w:ascii="Arial Narrow" w:hAnsi="Arial Narrow" w:cs="Tahoma"/>
                <w:b/>
                <w:sz w:val="20"/>
              </w:rPr>
            </w:pPr>
            <w:r w:rsidRPr="00FD63E4">
              <w:rPr>
                <w:rFonts w:ascii="Arial Narrow" w:hAnsi="Arial Narrow" w:cs="Tahoma"/>
                <w:b/>
                <w:sz w:val="20"/>
              </w:rPr>
              <w:t>Outcomes</w:t>
            </w:r>
          </w:p>
        </w:tc>
        <w:tc>
          <w:tcPr>
            <w:tcW w:w="3278" w:type="pct"/>
          </w:tcPr>
          <w:p w14:paraId="2A32BAFA" w14:textId="77777777" w:rsidR="007637F7" w:rsidRPr="00FD63E4" w:rsidRDefault="007637F7" w:rsidP="00487EE3">
            <w:pPr>
              <w:keepNext/>
              <w:keepLines/>
              <w:spacing w:after="40"/>
              <w:rPr>
                <w:rFonts w:ascii="Arial Narrow" w:hAnsi="Arial Narrow" w:cs="Tahoma"/>
                <w:sz w:val="20"/>
              </w:rPr>
            </w:pPr>
            <w:r w:rsidRPr="00FD63E4">
              <w:rPr>
                <w:rFonts w:ascii="Arial Narrow" w:hAnsi="Arial Narrow" w:cs="Tahoma"/>
                <w:sz w:val="20"/>
              </w:rPr>
              <w:t xml:space="preserve">Quality-adjusted life years </w:t>
            </w:r>
          </w:p>
        </w:tc>
      </w:tr>
      <w:tr w:rsidR="007637F7" w:rsidRPr="00FD63E4" w14:paraId="1514BF77" w14:textId="77777777" w:rsidTr="002D2859">
        <w:trPr>
          <w:trHeight w:val="20"/>
        </w:trPr>
        <w:tc>
          <w:tcPr>
            <w:tcW w:w="1722" w:type="pct"/>
            <w:hideMark/>
          </w:tcPr>
          <w:p w14:paraId="4E7C0A30" w14:textId="77777777" w:rsidR="007637F7" w:rsidRPr="00FD63E4" w:rsidRDefault="007637F7" w:rsidP="00487EE3">
            <w:pPr>
              <w:keepNext/>
              <w:keepLines/>
              <w:spacing w:after="40"/>
              <w:rPr>
                <w:rFonts w:ascii="Arial Narrow" w:hAnsi="Arial Narrow" w:cs="Tahoma"/>
                <w:b/>
                <w:sz w:val="20"/>
              </w:rPr>
            </w:pPr>
            <w:r w:rsidRPr="00FD63E4">
              <w:rPr>
                <w:rFonts w:ascii="Arial Narrow" w:hAnsi="Arial Narrow" w:cs="Tahoma"/>
                <w:b/>
                <w:sz w:val="20"/>
              </w:rPr>
              <w:t>Methods used to generate results</w:t>
            </w:r>
          </w:p>
        </w:tc>
        <w:tc>
          <w:tcPr>
            <w:tcW w:w="3278" w:type="pct"/>
          </w:tcPr>
          <w:p w14:paraId="079FB5F9" w14:textId="77777777" w:rsidR="007637F7" w:rsidRPr="00FD63E4" w:rsidRDefault="007637F7" w:rsidP="00487EE3">
            <w:pPr>
              <w:keepNext/>
              <w:keepLines/>
              <w:spacing w:after="40"/>
              <w:rPr>
                <w:rFonts w:ascii="Arial Narrow" w:hAnsi="Arial Narrow" w:cs="Tahoma"/>
                <w:sz w:val="20"/>
              </w:rPr>
            </w:pPr>
            <w:r w:rsidRPr="00FD63E4">
              <w:rPr>
                <w:rFonts w:ascii="Arial Narrow" w:hAnsi="Arial Narrow" w:cs="Tahoma"/>
                <w:sz w:val="20"/>
              </w:rPr>
              <w:t xml:space="preserve">A decision tree analysis with Markov chain </w:t>
            </w:r>
          </w:p>
        </w:tc>
      </w:tr>
      <w:tr w:rsidR="007637F7" w:rsidRPr="00FD63E4" w14:paraId="461CA84F" w14:textId="77777777" w:rsidTr="002D2859">
        <w:trPr>
          <w:trHeight w:val="20"/>
        </w:trPr>
        <w:tc>
          <w:tcPr>
            <w:tcW w:w="1722" w:type="pct"/>
          </w:tcPr>
          <w:p w14:paraId="5801FFF0" w14:textId="77777777" w:rsidR="007637F7" w:rsidRPr="00FD63E4" w:rsidRDefault="007637F7" w:rsidP="00487EE3">
            <w:pPr>
              <w:keepNext/>
              <w:keepLines/>
              <w:spacing w:after="40"/>
              <w:rPr>
                <w:rFonts w:ascii="Arial Narrow" w:hAnsi="Arial Narrow" w:cs="Tahoma"/>
                <w:b/>
                <w:sz w:val="20"/>
              </w:rPr>
            </w:pPr>
            <w:r w:rsidRPr="00FD63E4">
              <w:rPr>
                <w:rFonts w:ascii="Arial Narrow" w:hAnsi="Arial Narrow" w:cs="Tahoma"/>
                <w:b/>
                <w:sz w:val="20"/>
              </w:rPr>
              <w:t>Health states</w:t>
            </w:r>
          </w:p>
        </w:tc>
        <w:tc>
          <w:tcPr>
            <w:tcW w:w="3278" w:type="pct"/>
          </w:tcPr>
          <w:p w14:paraId="5FC46D82" w14:textId="77777777" w:rsidR="007637F7" w:rsidRPr="00FD63E4" w:rsidRDefault="007637F7" w:rsidP="00487EE3">
            <w:pPr>
              <w:keepNext/>
              <w:keepLines/>
              <w:spacing w:after="40"/>
              <w:rPr>
                <w:rFonts w:ascii="Arial Narrow" w:hAnsi="Arial Narrow" w:cs="Tahoma"/>
                <w:sz w:val="20"/>
              </w:rPr>
            </w:pPr>
            <w:r w:rsidRPr="00FD63E4">
              <w:rPr>
                <w:rFonts w:ascii="Arial Narrow" w:hAnsi="Arial Narrow" w:cs="Tahoma"/>
                <w:sz w:val="20"/>
              </w:rPr>
              <w:t>No stroke</w:t>
            </w:r>
          </w:p>
          <w:p w14:paraId="0DA9ED78" w14:textId="77777777" w:rsidR="007637F7" w:rsidRPr="00FD63E4" w:rsidRDefault="007637F7" w:rsidP="00487EE3">
            <w:pPr>
              <w:keepNext/>
              <w:keepLines/>
              <w:spacing w:after="40"/>
              <w:rPr>
                <w:rFonts w:ascii="Arial Narrow" w:hAnsi="Arial Narrow" w:cs="Tahoma"/>
                <w:sz w:val="20"/>
              </w:rPr>
            </w:pPr>
            <w:r w:rsidRPr="00FD63E4">
              <w:rPr>
                <w:rFonts w:ascii="Arial Narrow" w:hAnsi="Arial Narrow" w:cs="Tahoma"/>
                <w:sz w:val="20"/>
              </w:rPr>
              <w:t>Non-disabling stroke</w:t>
            </w:r>
          </w:p>
          <w:p w14:paraId="4B07D4E2" w14:textId="77777777" w:rsidR="007637F7" w:rsidRPr="00FD63E4" w:rsidRDefault="007637F7" w:rsidP="00487EE3">
            <w:pPr>
              <w:keepNext/>
              <w:keepLines/>
              <w:spacing w:after="40"/>
              <w:rPr>
                <w:rFonts w:ascii="Arial Narrow" w:hAnsi="Arial Narrow" w:cs="Tahoma"/>
                <w:sz w:val="20"/>
              </w:rPr>
            </w:pPr>
            <w:r w:rsidRPr="00FD63E4">
              <w:rPr>
                <w:rFonts w:ascii="Arial Narrow" w:hAnsi="Arial Narrow" w:cs="Tahoma"/>
                <w:sz w:val="20"/>
              </w:rPr>
              <w:t>Disabling stroke</w:t>
            </w:r>
          </w:p>
          <w:p w14:paraId="067EB61A" w14:textId="77777777" w:rsidR="007637F7" w:rsidRPr="00FD63E4" w:rsidRDefault="007637F7" w:rsidP="00487EE3">
            <w:pPr>
              <w:keepNext/>
              <w:keepLines/>
              <w:spacing w:after="40"/>
              <w:rPr>
                <w:rFonts w:ascii="Arial Narrow" w:hAnsi="Arial Narrow" w:cs="Tahoma"/>
                <w:sz w:val="20"/>
              </w:rPr>
            </w:pPr>
            <w:r w:rsidRPr="00FD63E4">
              <w:rPr>
                <w:rFonts w:ascii="Arial Narrow" w:hAnsi="Arial Narrow" w:cs="Tahoma"/>
                <w:sz w:val="20"/>
              </w:rPr>
              <w:t>Dead</w:t>
            </w:r>
          </w:p>
        </w:tc>
      </w:tr>
      <w:tr w:rsidR="007637F7" w:rsidRPr="00FD63E4" w14:paraId="750816AB" w14:textId="77777777" w:rsidTr="002D2859">
        <w:trPr>
          <w:trHeight w:val="20"/>
        </w:trPr>
        <w:tc>
          <w:tcPr>
            <w:tcW w:w="1722" w:type="pct"/>
            <w:hideMark/>
          </w:tcPr>
          <w:p w14:paraId="5471C6A0" w14:textId="77777777" w:rsidR="007637F7" w:rsidRPr="00FD63E4" w:rsidRDefault="007637F7" w:rsidP="00487EE3">
            <w:pPr>
              <w:keepNext/>
              <w:keepLines/>
              <w:spacing w:after="40"/>
              <w:rPr>
                <w:rFonts w:ascii="Arial Narrow" w:hAnsi="Arial Narrow" w:cs="Tahoma"/>
                <w:b/>
                <w:sz w:val="20"/>
              </w:rPr>
            </w:pPr>
            <w:r w:rsidRPr="00FD63E4">
              <w:rPr>
                <w:rFonts w:ascii="Arial Narrow" w:hAnsi="Arial Narrow" w:cs="Tahoma"/>
                <w:b/>
                <w:sz w:val="20"/>
              </w:rPr>
              <w:t>Cycle length</w:t>
            </w:r>
          </w:p>
        </w:tc>
        <w:tc>
          <w:tcPr>
            <w:tcW w:w="3278" w:type="pct"/>
          </w:tcPr>
          <w:p w14:paraId="2BDDBF7E" w14:textId="77777777" w:rsidR="007637F7" w:rsidRPr="00FD63E4" w:rsidRDefault="007637F7" w:rsidP="00487EE3">
            <w:pPr>
              <w:keepNext/>
              <w:keepLines/>
              <w:spacing w:after="40"/>
              <w:rPr>
                <w:rFonts w:ascii="Arial Narrow" w:hAnsi="Arial Narrow" w:cs="Tahoma"/>
                <w:sz w:val="20"/>
              </w:rPr>
            </w:pPr>
            <w:r w:rsidRPr="00FD63E4">
              <w:rPr>
                <w:rFonts w:ascii="Arial Narrow" w:hAnsi="Arial Narrow" w:cs="Tahoma"/>
                <w:sz w:val="20"/>
              </w:rPr>
              <w:t xml:space="preserve">The decision tree analysis to 30-days post-procedure, then annual cycles </w:t>
            </w:r>
          </w:p>
        </w:tc>
      </w:tr>
      <w:tr w:rsidR="007637F7" w:rsidRPr="00FD63E4" w14:paraId="310E472D" w14:textId="77777777" w:rsidTr="002D2859">
        <w:trPr>
          <w:trHeight w:val="20"/>
        </w:trPr>
        <w:tc>
          <w:tcPr>
            <w:tcW w:w="1722" w:type="pct"/>
            <w:hideMark/>
          </w:tcPr>
          <w:p w14:paraId="525A8C6A" w14:textId="77777777" w:rsidR="007637F7" w:rsidRPr="00FD63E4" w:rsidRDefault="007637F7" w:rsidP="00487EE3">
            <w:pPr>
              <w:keepNext/>
              <w:keepLines/>
              <w:spacing w:after="40"/>
              <w:rPr>
                <w:rFonts w:ascii="Arial Narrow" w:hAnsi="Arial Narrow" w:cs="Tahoma"/>
                <w:b/>
                <w:sz w:val="20"/>
              </w:rPr>
            </w:pPr>
            <w:r w:rsidRPr="00FD63E4">
              <w:rPr>
                <w:rFonts w:ascii="Arial Narrow" w:hAnsi="Arial Narrow" w:cs="Tahoma"/>
                <w:b/>
                <w:sz w:val="20"/>
              </w:rPr>
              <w:t>Discount rate</w:t>
            </w:r>
          </w:p>
        </w:tc>
        <w:tc>
          <w:tcPr>
            <w:tcW w:w="3278" w:type="pct"/>
          </w:tcPr>
          <w:p w14:paraId="76C9A6BB" w14:textId="77777777" w:rsidR="007637F7" w:rsidRPr="00FD63E4" w:rsidRDefault="007637F7" w:rsidP="00487EE3">
            <w:pPr>
              <w:keepNext/>
              <w:keepLines/>
              <w:spacing w:after="40"/>
              <w:rPr>
                <w:rFonts w:ascii="Arial Narrow" w:hAnsi="Arial Narrow" w:cs="Tahoma"/>
                <w:sz w:val="20"/>
              </w:rPr>
            </w:pPr>
            <w:r w:rsidRPr="00FD63E4">
              <w:rPr>
                <w:rFonts w:ascii="Arial Narrow" w:hAnsi="Arial Narrow" w:cs="Tahoma"/>
                <w:sz w:val="20"/>
              </w:rPr>
              <w:t xml:space="preserve">5% </w:t>
            </w:r>
          </w:p>
        </w:tc>
      </w:tr>
      <w:tr w:rsidR="007637F7" w:rsidRPr="00FD63E4" w14:paraId="1C03D8FD" w14:textId="77777777" w:rsidTr="002D2859">
        <w:trPr>
          <w:trHeight w:val="20"/>
        </w:trPr>
        <w:tc>
          <w:tcPr>
            <w:tcW w:w="1722" w:type="pct"/>
            <w:hideMark/>
          </w:tcPr>
          <w:p w14:paraId="0BCD4AEA" w14:textId="77777777" w:rsidR="007637F7" w:rsidRPr="00FD63E4" w:rsidRDefault="007637F7" w:rsidP="00487EE3">
            <w:pPr>
              <w:keepNext/>
              <w:keepLines/>
              <w:spacing w:after="40"/>
              <w:rPr>
                <w:rFonts w:ascii="Arial Narrow" w:hAnsi="Arial Narrow" w:cs="Tahoma"/>
                <w:b/>
                <w:sz w:val="20"/>
              </w:rPr>
            </w:pPr>
            <w:r w:rsidRPr="00FD63E4">
              <w:rPr>
                <w:rFonts w:ascii="Arial Narrow" w:hAnsi="Arial Narrow" w:cs="Tahoma"/>
                <w:b/>
                <w:sz w:val="20"/>
              </w:rPr>
              <w:t>Software packages used</w:t>
            </w:r>
          </w:p>
        </w:tc>
        <w:tc>
          <w:tcPr>
            <w:tcW w:w="3278" w:type="pct"/>
          </w:tcPr>
          <w:p w14:paraId="5DBFA402" w14:textId="77777777" w:rsidR="007637F7" w:rsidRPr="00FD63E4" w:rsidRDefault="007637F7" w:rsidP="00487EE3">
            <w:pPr>
              <w:keepNext/>
              <w:keepLines/>
              <w:spacing w:after="40"/>
              <w:rPr>
                <w:rFonts w:ascii="Arial Narrow" w:hAnsi="Arial Narrow" w:cs="Tahoma"/>
                <w:sz w:val="20"/>
              </w:rPr>
            </w:pPr>
            <w:r w:rsidRPr="00FD63E4">
              <w:rPr>
                <w:rFonts w:ascii="Arial Narrow" w:hAnsi="Arial Narrow" w:cs="Tahoma"/>
                <w:sz w:val="20"/>
              </w:rPr>
              <w:t xml:space="preserve">Excel </w:t>
            </w:r>
          </w:p>
        </w:tc>
      </w:tr>
    </w:tbl>
    <w:p w14:paraId="5AA829D7" w14:textId="77777777" w:rsidR="007637F7" w:rsidRPr="00FD63E4" w:rsidRDefault="007637F7" w:rsidP="007637F7">
      <w:pPr>
        <w:widowControl w:val="0"/>
        <w:spacing w:after="120"/>
        <w:jc w:val="both"/>
        <w:rPr>
          <w:rFonts w:ascii="Arial Narrow" w:hAnsi="Arial Narrow" w:cs="Arial"/>
          <w:snapToGrid w:val="0"/>
          <w:sz w:val="18"/>
          <w:lang w:eastAsia="en-US"/>
        </w:rPr>
      </w:pPr>
      <w:r w:rsidRPr="00FD63E4">
        <w:rPr>
          <w:rFonts w:ascii="Arial Narrow" w:hAnsi="Arial Narrow" w:cs="Arial"/>
          <w:snapToGrid w:val="0"/>
          <w:sz w:val="18"/>
          <w:lang w:eastAsia="en-US"/>
        </w:rPr>
        <w:t>Source: MSAC 1605 ADAR Table 86, p144</w:t>
      </w:r>
    </w:p>
    <w:p w14:paraId="005A0556" w14:textId="77777777" w:rsidR="007637F7" w:rsidRPr="00FD63E4" w:rsidRDefault="007637F7" w:rsidP="007637F7">
      <w:r w:rsidRPr="00FD63E4">
        <w:t>Key structural assumptions of the ADARs model included:</w:t>
      </w:r>
    </w:p>
    <w:p w14:paraId="188B5AC2" w14:textId="77777777" w:rsidR="007637F7" w:rsidRPr="00FD63E4" w:rsidRDefault="007637F7" w:rsidP="007637F7">
      <w:pPr>
        <w:pStyle w:val="ListParagraph"/>
        <w:numPr>
          <w:ilvl w:val="0"/>
          <w:numId w:val="33"/>
        </w:numPr>
      </w:pPr>
      <w:r w:rsidRPr="00FD63E4">
        <w:t xml:space="preserve">No possibility of stroke recurrence is incorporated. </w:t>
      </w:r>
      <w:r>
        <w:t>The ADAR considered this to be</w:t>
      </w:r>
      <w:r w:rsidRPr="00FD63E4">
        <w:t xml:space="preserve"> conservative, biasing against the TAVI+CEP arm of the model because history of stroke is a key risk factor of having another stroke. </w:t>
      </w:r>
    </w:p>
    <w:p w14:paraId="7B8E539F" w14:textId="0AA6BC58" w:rsidR="007637F7" w:rsidRPr="00FD63E4" w:rsidRDefault="007637F7" w:rsidP="00324DD5">
      <w:pPr>
        <w:pStyle w:val="ListParagraph"/>
        <w:numPr>
          <w:ilvl w:val="0"/>
          <w:numId w:val="33"/>
        </w:numPr>
      </w:pPr>
      <w:r w:rsidRPr="00FD63E4">
        <w:t xml:space="preserve">Patients’ disability level does not change over time. Given the age and medical history of the modelled patient population, </w:t>
      </w:r>
      <w:r>
        <w:t>the ADAR considered this was likely</w:t>
      </w:r>
      <w:r w:rsidRPr="00FD63E4">
        <w:t xml:space="preserve"> a conservative assumption (i.e. the impairment experienced by stroke sufferers is more likely to deteriorate than improve over time).</w:t>
      </w:r>
    </w:p>
    <w:p w14:paraId="1E2AFE57" w14:textId="3E6E4BD4" w:rsidR="007637F7" w:rsidRDefault="007637F7" w:rsidP="00324DD5">
      <w:pPr>
        <w:spacing w:before="240"/>
      </w:pPr>
      <w:r w:rsidRPr="00FD63E4">
        <w:t xml:space="preserve">Point estimates </w:t>
      </w:r>
      <w:r>
        <w:t xml:space="preserve">for disabling and non-disabling strokes </w:t>
      </w:r>
      <w:r w:rsidRPr="00FD63E4">
        <w:t>were sourced from a meta-analysis of all available studies (including cohort stud</w:t>
      </w:r>
      <w:r>
        <w:t xml:space="preserve">ies) of TAVI + CEP </w:t>
      </w:r>
      <w:r w:rsidRPr="00647629">
        <w:rPr>
          <w:i/>
        </w:rPr>
        <w:t>vs.</w:t>
      </w:r>
      <w:r>
        <w:t xml:space="preserve"> TAVI only. However, the difference in non-disabling stroke was not statistically significant. The </w:t>
      </w:r>
      <w:r w:rsidR="00193469">
        <w:t>C</w:t>
      </w:r>
      <w:r>
        <w:t>ommentary considered the s</w:t>
      </w:r>
      <w:r w:rsidRPr="00FD63E4">
        <w:t xml:space="preserve">uperior effectiveness of TAVI+CEP </w:t>
      </w:r>
      <w:r w:rsidRPr="00647629">
        <w:rPr>
          <w:i/>
        </w:rPr>
        <w:t>vs</w:t>
      </w:r>
      <w:r>
        <w:t>. TAVI only for 30-</w:t>
      </w:r>
      <w:r w:rsidRPr="00FD63E4">
        <w:t>day stroke outc</w:t>
      </w:r>
      <w:r>
        <w:t>omes was appropriate</w:t>
      </w:r>
      <w:r w:rsidRPr="00FD63E4">
        <w:t xml:space="preserve">. If point estimates for RCTs only were used, this would have resulted in a greater incremental increase of strokes for the TAVI only arm (increase from 6.3% to 8.3% [increase of 2%]] compared to TAVI + CEP and (2.8% to 4.6% [1.8%]). This would have slightly favoured TAVI+CEP. </w:t>
      </w:r>
      <w:r>
        <w:t>However, the RCTs did not report a statistically significant reduction in stroke. The Commentary considered that g</w:t>
      </w:r>
      <w:r w:rsidRPr="00FD63E4">
        <w:t xml:space="preserve">iven the limitations of </w:t>
      </w:r>
      <w:r w:rsidR="001B58B1" w:rsidRPr="00FD63E4">
        <w:t>long-term</w:t>
      </w:r>
      <w:r w:rsidRPr="00FD63E4">
        <w:t xml:space="preserve"> TAVI + CEP survival and Australian data, </w:t>
      </w:r>
      <w:r>
        <w:t xml:space="preserve">the </w:t>
      </w:r>
      <w:r w:rsidRPr="00FD63E4">
        <w:t>assumptions were reasonable and conservative as they biased against TAVI + CEP.</w:t>
      </w:r>
    </w:p>
    <w:p w14:paraId="348590E3" w14:textId="15BC9B87" w:rsidR="007637F7" w:rsidRDefault="007637F7" w:rsidP="00324DD5">
      <w:pPr>
        <w:spacing w:before="240"/>
      </w:pPr>
      <w:r w:rsidRPr="00FD63E4">
        <w:t xml:space="preserve">The </w:t>
      </w:r>
      <w:r>
        <w:t>stepped economic evaluations</w:t>
      </w:r>
      <w:r w:rsidRPr="00FD63E4">
        <w:t xml:space="preserve"> below for inoperable/high (</w:t>
      </w:r>
      <w:r w:rsidR="003F0EC8">
        <w:fldChar w:fldCharType="begin"/>
      </w:r>
      <w:r w:rsidR="003F0EC8">
        <w:instrText xml:space="preserve"> REF _Ref58332454 \h </w:instrText>
      </w:r>
      <w:r w:rsidR="003F0EC8">
        <w:fldChar w:fldCharType="separate"/>
      </w:r>
      <w:r w:rsidR="003E3A7D">
        <w:t xml:space="preserve">Table </w:t>
      </w:r>
      <w:r w:rsidR="003E3A7D">
        <w:rPr>
          <w:noProof/>
        </w:rPr>
        <w:t>7</w:t>
      </w:r>
      <w:r w:rsidR="003F0EC8">
        <w:fldChar w:fldCharType="end"/>
      </w:r>
      <w:r w:rsidRPr="00FD63E4">
        <w:t>) and intermediate (</w:t>
      </w:r>
      <w:r w:rsidR="003F0EC8">
        <w:fldChar w:fldCharType="begin"/>
      </w:r>
      <w:r w:rsidR="003F0EC8">
        <w:instrText xml:space="preserve"> REF _Ref58332493 \h </w:instrText>
      </w:r>
      <w:r w:rsidR="003F0EC8">
        <w:fldChar w:fldCharType="separate"/>
      </w:r>
      <w:r w:rsidR="003E3A7D">
        <w:t xml:space="preserve">Table </w:t>
      </w:r>
      <w:r w:rsidR="003E3A7D">
        <w:rPr>
          <w:noProof/>
        </w:rPr>
        <w:t>8</w:t>
      </w:r>
      <w:r w:rsidR="003F0EC8">
        <w:fldChar w:fldCharType="end"/>
      </w:r>
      <w:r w:rsidRPr="00FD63E4">
        <w:t xml:space="preserve">) risk patients. In the ADAR, the base case ICER for the inoperable/high and intermediate risk populations </w:t>
      </w:r>
      <w:r w:rsidRPr="00324DD5">
        <w:t>were $</w:t>
      </w:r>
      <w:r w:rsidR="00076174" w:rsidRPr="00324DD5">
        <w:rPr>
          <w:b/>
        </w:rPr>
        <w:t>redacted</w:t>
      </w:r>
      <w:r w:rsidRPr="00324DD5">
        <w:t>/QALY and $</w:t>
      </w:r>
      <w:r w:rsidR="00076174" w:rsidRPr="00324DD5">
        <w:rPr>
          <w:b/>
        </w:rPr>
        <w:t>redacted</w:t>
      </w:r>
      <w:r w:rsidRPr="00324DD5">
        <w:t>/QALY, respectively.</w:t>
      </w:r>
      <w:r w:rsidRPr="00324DD5">
        <w:rPr>
          <w:i/>
        </w:rPr>
        <w:t xml:space="preserve"> </w:t>
      </w:r>
      <w:r w:rsidRPr="00324DD5">
        <w:t>The ADAR modelled intermediate risk patients from a baseline age of 81 years instead of 82</w:t>
      </w:r>
      <w:r w:rsidR="00193469" w:rsidRPr="00324DD5">
        <w:t> </w:t>
      </w:r>
      <w:r w:rsidRPr="00324DD5">
        <w:t xml:space="preserve">years. Corrected values have been italicised in </w:t>
      </w:r>
      <w:r w:rsidR="00B41AE2" w:rsidRPr="00324DD5">
        <w:fldChar w:fldCharType="begin"/>
      </w:r>
      <w:r w:rsidR="00B41AE2" w:rsidRPr="00324DD5">
        <w:instrText xml:space="preserve"> REF _Ref58332493 \h </w:instrText>
      </w:r>
      <w:r w:rsidR="00324DD5">
        <w:instrText xml:space="preserve"> \* MERGEFORMAT </w:instrText>
      </w:r>
      <w:r w:rsidR="00B41AE2" w:rsidRPr="00324DD5">
        <w:fldChar w:fldCharType="separate"/>
      </w:r>
      <w:r w:rsidR="003E3A7D" w:rsidRPr="00324DD5">
        <w:t xml:space="preserve">Table </w:t>
      </w:r>
      <w:r w:rsidR="003E3A7D" w:rsidRPr="00324DD5">
        <w:rPr>
          <w:noProof/>
        </w:rPr>
        <w:t>8</w:t>
      </w:r>
      <w:r w:rsidR="00B41AE2" w:rsidRPr="00324DD5">
        <w:fldChar w:fldCharType="end"/>
      </w:r>
      <w:r w:rsidR="00B41AE2" w:rsidRPr="00324DD5">
        <w:t xml:space="preserve"> </w:t>
      </w:r>
      <w:r w:rsidRPr="00324DD5">
        <w:t>to provide a corrected base case of $</w:t>
      </w:r>
      <w:r w:rsidR="00076174" w:rsidRPr="00324DD5">
        <w:rPr>
          <w:b/>
        </w:rPr>
        <w:t>redacted</w:t>
      </w:r>
      <w:r w:rsidRPr="00324DD5">
        <w:t>/QALY.</w:t>
      </w:r>
    </w:p>
    <w:p w14:paraId="39102EB2" w14:textId="18312D8D" w:rsidR="007637F7" w:rsidRPr="00647629" w:rsidRDefault="007637F7" w:rsidP="00E607DA"/>
    <w:p w14:paraId="09C0D34E" w14:textId="604C010D" w:rsidR="003F0EC8" w:rsidRPr="002D2859" w:rsidRDefault="003F0EC8" w:rsidP="002D2859">
      <w:pPr>
        <w:keepNext/>
        <w:keepLines/>
        <w:spacing w:before="240"/>
        <w:rPr>
          <w:rFonts w:ascii="Arial Narrow" w:hAnsi="Arial Narrow"/>
          <w:b/>
          <w:sz w:val="20"/>
        </w:rPr>
      </w:pPr>
      <w:bookmarkStart w:id="10" w:name="_Ref58332454"/>
      <w:r w:rsidRPr="002D2859">
        <w:rPr>
          <w:rFonts w:ascii="Arial Narrow" w:hAnsi="Arial Narrow"/>
          <w:b/>
          <w:sz w:val="20"/>
        </w:rPr>
        <w:t xml:space="preserve">Table </w:t>
      </w:r>
      <w:r w:rsidR="00476AB2" w:rsidRPr="002D2859">
        <w:rPr>
          <w:rFonts w:ascii="Arial Narrow" w:hAnsi="Arial Narrow"/>
          <w:b/>
          <w:sz w:val="20"/>
        </w:rPr>
        <w:fldChar w:fldCharType="begin"/>
      </w:r>
      <w:r w:rsidR="00476AB2" w:rsidRPr="002D2859">
        <w:rPr>
          <w:rFonts w:ascii="Arial Narrow" w:hAnsi="Arial Narrow"/>
          <w:b/>
          <w:sz w:val="20"/>
        </w:rPr>
        <w:instrText xml:space="preserve"> SEQ Table \* ARABIC </w:instrText>
      </w:r>
      <w:r w:rsidR="00476AB2" w:rsidRPr="002D2859">
        <w:rPr>
          <w:rFonts w:ascii="Arial Narrow" w:hAnsi="Arial Narrow"/>
          <w:b/>
          <w:sz w:val="20"/>
        </w:rPr>
        <w:fldChar w:fldCharType="separate"/>
      </w:r>
      <w:r w:rsidR="003E3A7D" w:rsidRPr="002D2859">
        <w:rPr>
          <w:rFonts w:ascii="Arial Narrow" w:hAnsi="Arial Narrow"/>
          <w:b/>
          <w:sz w:val="20"/>
        </w:rPr>
        <w:t>7</w:t>
      </w:r>
      <w:r w:rsidR="00476AB2" w:rsidRPr="002D2859">
        <w:rPr>
          <w:rFonts w:ascii="Arial Narrow" w:hAnsi="Arial Narrow"/>
          <w:b/>
          <w:sz w:val="20"/>
        </w:rPr>
        <w:fldChar w:fldCharType="end"/>
      </w:r>
      <w:bookmarkEnd w:id="10"/>
      <w:r w:rsidRPr="002D2859">
        <w:rPr>
          <w:rFonts w:ascii="Arial Narrow" w:hAnsi="Arial Narrow"/>
          <w:b/>
          <w:sz w:val="20"/>
        </w:rPr>
        <w:tab/>
        <w:t>Stepped economic evaluation: Inoperable/high risk population</w:t>
      </w:r>
    </w:p>
    <w:tbl>
      <w:tblPr>
        <w:tblStyle w:val="OPTUMTableNormal"/>
        <w:tblpPr w:leftFromText="180" w:rightFromText="180" w:vertAnchor="text" w:tblpY="1"/>
        <w:tblOverlap w:val="never"/>
        <w:tblW w:w="0" w:type="auto"/>
        <w:tblInd w:w="0" w:type="dxa"/>
        <w:tblLook w:val="01E0" w:firstRow="1" w:lastRow="1" w:firstColumn="1" w:lastColumn="1" w:noHBand="0" w:noVBand="0"/>
        <w:tblCaption w:val="Stepped economic evaluation: Inoperable/high risk population"/>
      </w:tblPr>
      <w:tblGrid>
        <w:gridCol w:w="581"/>
        <w:gridCol w:w="1174"/>
        <w:gridCol w:w="931"/>
        <w:gridCol w:w="1275"/>
        <w:gridCol w:w="1542"/>
        <w:gridCol w:w="1161"/>
        <w:gridCol w:w="1317"/>
        <w:gridCol w:w="1035"/>
      </w:tblGrid>
      <w:tr w:rsidR="007637F7" w:rsidRPr="00FD63E4" w14:paraId="126BBAAB" w14:textId="77777777" w:rsidTr="003F0EC8">
        <w:trPr>
          <w:cnfStyle w:val="100000000000" w:firstRow="1" w:lastRow="0" w:firstColumn="0" w:lastColumn="0" w:oddVBand="0" w:evenVBand="0" w:oddHBand="0" w:evenHBand="0" w:firstRowFirstColumn="0" w:firstRowLastColumn="0" w:lastRowFirstColumn="0" w:lastRowLastColumn="0"/>
          <w:trHeight w:val="20"/>
          <w:tblHeader/>
        </w:trPr>
        <w:tc>
          <w:tcPr>
            <w:tcW w:w="0" w:type="auto"/>
          </w:tcPr>
          <w:p w14:paraId="3CDC463F" w14:textId="77777777" w:rsidR="007637F7" w:rsidRPr="00FD63E4" w:rsidRDefault="007637F7" w:rsidP="002D2859">
            <w:pPr>
              <w:keepNext/>
              <w:keepLines/>
              <w:widowControl w:val="0"/>
              <w:spacing w:before="0" w:after="0"/>
              <w:rPr>
                <w:rFonts w:ascii="Arial Narrow" w:hAnsi="Arial Narrow" w:cs="Tahoma"/>
                <w:b/>
                <w:sz w:val="20"/>
              </w:rPr>
            </w:pPr>
            <w:r w:rsidRPr="00FD63E4">
              <w:rPr>
                <w:rFonts w:ascii="Arial Narrow" w:hAnsi="Arial Narrow" w:cs="Tahoma"/>
                <w:b/>
                <w:sz w:val="20"/>
              </w:rPr>
              <w:t>Step #</w:t>
            </w:r>
          </w:p>
        </w:tc>
        <w:tc>
          <w:tcPr>
            <w:tcW w:w="1174" w:type="dxa"/>
          </w:tcPr>
          <w:p w14:paraId="697FB8B9" w14:textId="77777777" w:rsidR="007637F7" w:rsidRPr="00FD63E4" w:rsidRDefault="007637F7" w:rsidP="002D2859">
            <w:pPr>
              <w:keepNext/>
              <w:keepLines/>
              <w:widowControl w:val="0"/>
              <w:spacing w:before="0" w:after="0"/>
              <w:rPr>
                <w:rFonts w:ascii="Arial Narrow" w:hAnsi="Arial Narrow" w:cs="Tahoma"/>
                <w:b/>
                <w:sz w:val="20"/>
              </w:rPr>
            </w:pPr>
            <w:r w:rsidRPr="00FD63E4">
              <w:rPr>
                <w:rFonts w:ascii="Arial Narrow" w:hAnsi="Arial Narrow" w:cs="Tahoma"/>
                <w:b/>
                <w:sz w:val="20"/>
              </w:rPr>
              <w:t>Step description</w:t>
            </w:r>
          </w:p>
        </w:tc>
        <w:tc>
          <w:tcPr>
            <w:tcW w:w="931" w:type="dxa"/>
          </w:tcPr>
          <w:p w14:paraId="63DE893E" w14:textId="77777777" w:rsidR="007637F7" w:rsidRPr="00FD63E4" w:rsidRDefault="007637F7" w:rsidP="002D2859">
            <w:pPr>
              <w:keepNext/>
              <w:keepLines/>
              <w:widowControl w:val="0"/>
              <w:spacing w:before="0" w:after="0"/>
              <w:rPr>
                <w:rFonts w:ascii="Arial Narrow" w:hAnsi="Arial Narrow" w:cs="Tahoma"/>
                <w:b/>
                <w:sz w:val="20"/>
              </w:rPr>
            </w:pPr>
            <w:r w:rsidRPr="00FD63E4">
              <w:rPr>
                <w:rFonts w:ascii="Arial Narrow" w:hAnsi="Arial Narrow" w:cs="Tahoma"/>
                <w:b/>
                <w:sz w:val="20"/>
              </w:rPr>
              <w:t>Duration</w:t>
            </w:r>
          </w:p>
        </w:tc>
        <w:tc>
          <w:tcPr>
            <w:tcW w:w="1275" w:type="dxa"/>
          </w:tcPr>
          <w:p w14:paraId="6B43E8E9" w14:textId="77777777" w:rsidR="007637F7" w:rsidRPr="00FD63E4" w:rsidRDefault="007637F7" w:rsidP="002D2859">
            <w:pPr>
              <w:keepNext/>
              <w:keepLines/>
              <w:widowControl w:val="0"/>
              <w:spacing w:before="0" w:after="0"/>
              <w:rPr>
                <w:rFonts w:ascii="Arial Narrow" w:hAnsi="Arial Narrow" w:cs="Tahoma"/>
                <w:b/>
                <w:sz w:val="20"/>
              </w:rPr>
            </w:pPr>
            <w:r w:rsidRPr="00FD63E4">
              <w:rPr>
                <w:rFonts w:ascii="Arial Narrow" w:hAnsi="Arial Narrow" w:cs="Tahoma"/>
                <w:b/>
                <w:sz w:val="20"/>
              </w:rPr>
              <w:t>Effectiveness</w:t>
            </w:r>
          </w:p>
        </w:tc>
        <w:tc>
          <w:tcPr>
            <w:tcW w:w="1542" w:type="dxa"/>
          </w:tcPr>
          <w:p w14:paraId="274B273C" w14:textId="77777777" w:rsidR="007637F7" w:rsidRPr="00FD63E4" w:rsidRDefault="007637F7" w:rsidP="002D2859">
            <w:pPr>
              <w:keepNext/>
              <w:keepLines/>
              <w:widowControl w:val="0"/>
              <w:spacing w:before="0" w:after="0"/>
              <w:rPr>
                <w:rFonts w:ascii="Arial Narrow" w:hAnsi="Arial Narrow" w:cs="Tahoma"/>
                <w:b/>
                <w:sz w:val="20"/>
              </w:rPr>
            </w:pPr>
            <w:r w:rsidRPr="00FD63E4">
              <w:rPr>
                <w:rFonts w:ascii="Arial Narrow" w:hAnsi="Arial Narrow" w:cs="Tahoma"/>
                <w:b/>
                <w:sz w:val="20"/>
              </w:rPr>
              <w:t>Costs included</w:t>
            </w:r>
          </w:p>
        </w:tc>
        <w:tc>
          <w:tcPr>
            <w:tcW w:w="0" w:type="auto"/>
          </w:tcPr>
          <w:p w14:paraId="092CF48E" w14:textId="77777777" w:rsidR="007637F7" w:rsidRPr="00FD63E4" w:rsidRDefault="007637F7" w:rsidP="002D2859">
            <w:pPr>
              <w:keepNext/>
              <w:keepLines/>
              <w:widowControl w:val="0"/>
              <w:spacing w:before="0" w:after="0"/>
              <w:rPr>
                <w:rFonts w:ascii="Arial Narrow" w:hAnsi="Arial Narrow" w:cs="Tahoma"/>
                <w:b/>
                <w:sz w:val="20"/>
              </w:rPr>
            </w:pPr>
            <w:r w:rsidRPr="00FD63E4">
              <w:rPr>
                <w:rFonts w:ascii="Arial Narrow" w:hAnsi="Arial Narrow" w:cs="Tahoma"/>
                <w:b/>
                <w:sz w:val="20"/>
              </w:rPr>
              <w:t>Incremental cost</w:t>
            </w:r>
          </w:p>
        </w:tc>
        <w:tc>
          <w:tcPr>
            <w:tcW w:w="0" w:type="auto"/>
          </w:tcPr>
          <w:p w14:paraId="1CAE9134" w14:textId="77777777" w:rsidR="007637F7" w:rsidRPr="00FD63E4" w:rsidRDefault="007637F7" w:rsidP="002D2859">
            <w:pPr>
              <w:keepNext/>
              <w:keepLines/>
              <w:widowControl w:val="0"/>
              <w:spacing w:before="0" w:after="0"/>
              <w:rPr>
                <w:rFonts w:ascii="Arial Narrow" w:hAnsi="Arial Narrow" w:cs="Tahoma"/>
                <w:b/>
                <w:sz w:val="20"/>
              </w:rPr>
            </w:pPr>
            <w:r w:rsidRPr="00FD63E4">
              <w:rPr>
                <w:rFonts w:ascii="Arial Narrow" w:hAnsi="Arial Narrow" w:cs="Tahoma"/>
                <w:b/>
                <w:sz w:val="20"/>
              </w:rPr>
              <w:t>Incremental effectiveness</w:t>
            </w:r>
          </w:p>
        </w:tc>
        <w:tc>
          <w:tcPr>
            <w:tcW w:w="0" w:type="auto"/>
          </w:tcPr>
          <w:p w14:paraId="70053268" w14:textId="77777777" w:rsidR="007637F7" w:rsidRPr="00FD63E4" w:rsidRDefault="007637F7" w:rsidP="002D2859">
            <w:pPr>
              <w:keepNext/>
              <w:keepLines/>
              <w:widowControl w:val="0"/>
              <w:spacing w:before="0" w:after="0"/>
              <w:rPr>
                <w:rFonts w:ascii="Arial Narrow" w:hAnsi="Arial Narrow" w:cs="Tahoma"/>
                <w:b/>
                <w:sz w:val="20"/>
              </w:rPr>
            </w:pPr>
            <w:r w:rsidRPr="00FD63E4">
              <w:rPr>
                <w:rFonts w:ascii="Arial Narrow" w:hAnsi="Arial Narrow" w:cs="Tahoma"/>
                <w:b/>
                <w:sz w:val="20"/>
              </w:rPr>
              <w:t>ICER</w:t>
            </w:r>
          </w:p>
        </w:tc>
      </w:tr>
      <w:tr w:rsidR="007637F7" w:rsidRPr="00FD63E4" w14:paraId="270E41E8" w14:textId="77777777" w:rsidTr="00487EE3">
        <w:trPr>
          <w:trHeight w:val="20"/>
        </w:trPr>
        <w:tc>
          <w:tcPr>
            <w:tcW w:w="0" w:type="auto"/>
          </w:tcPr>
          <w:p w14:paraId="49E4E167"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sz w:val="20"/>
              </w:rPr>
              <w:t>1</w:t>
            </w:r>
          </w:p>
        </w:tc>
        <w:tc>
          <w:tcPr>
            <w:tcW w:w="1174" w:type="dxa"/>
          </w:tcPr>
          <w:p w14:paraId="6CA7F77E" w14:textId="77777777" w:rsidR="007637F7" w:rsidRPr="00FD63E4" w:rsidRDefault="007637F7" w:rsidP="00193469">
            <w:pPr>
              <w:keepNext/>
              <w:keepLines/>
              <w:widowControl w:val="0"/>
              <w:spacing w:before="0" w:after="0"/>
              <w:rPr>
                <w:rFonts w:ascii="Arial Narrow" w:hAnsi="Arial Narrow" w:cs="Tahoma"/>
                <w:sz w:val="20"/>
                <w:szCs w:val="22"/>
              </w:rPr>
            </w:pPr>
            <w:r w:rsidRPr="00FD63E4">
              <w:rPr>
                <w:rFonts w:ascii="Arial Narrow" w:hAnsi="Arial Narrow" w:cs="Tahoma"/>
                <w:sz w:val="20"/>
              </w:rPr>
              <w:t>Trial-based economic evaluation</w:t>
            </w:r>
          </w:p>
        </w:tc>
        <w:tc>
          <w:tcPr>
            <w:tcW w:w="931" w:type="dxa"/>
          </w:tcPr>
          <w:p w14:paraId="02CE9D21"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sz w:val="20"/>
              </w:rPr>
              <w:t>30-day</w:t>
            </w:r>
          </w:p>
        </w:tc>
        <w:tc>
          <w:tcPr>
            <w:tcW w:w="1275" w:type="dxa"/>
          </w:tcPr>
          <w:p w14:paraId="4B6EB44F"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sz w:val="20"/>
              </w:rPr>
              <w:t>Strokes*</w:t>
            </w:r>
          </w:p>
        </w:tc>
        <w:tc>
          <w:tcPr>
            <w:tcW w:w="1542" w:type="dxa"/>
          </w:tcPr>
          <w:p w14:paraId="710812D1" w14:textId="77777777" w:rsidR="007637F7" w:rsidRPr="00FD63E4" w:rsidRDefault="007637F7" w:rsidP="00193469">
            <w:pPr>
              <w:keepNext/>
              <w:keepLines/>
              <w:widowControl w:val="0"/>
              <w:spacing w:before="0" w:after="0"/>
              <w:rPr>
                <w:rFonts w:ascii="Arial Narrow" w:hAnsi="Arial Narrow" w:cs="Tahoma"/>
                <w:bCs/>
                <w:sz w:val="20"/>
              </w:rPr>
            </w:pPr>
            <w:r w:rsidRPr="00FD63E4">
              <w:rPr>
                <w:rFonts w:ascii="Arial Narrow" w:hAnsi="Arial Narrow" w:cs="Tahoma"/>
                <w:bCs/>
                <w:sz w:val="20"/>
              </w:rPr>
              <w:t>Screening and index procedure</w:t>
            </w:r>
          </w:p>
        </w:tc>
        <w:tc>
          <w:tcPr>
            <w:tcW w:w="0" w:type="auto"/>
          </w:tcPr>
          <w:p w14:paraId="5DC6BDC8" w14:textId="1B92FC55" w:rsidR="007637F7" w:rsidRPr="00324DD5" w:rsidRDefault="007637F7" w:rsidP="00193469">
            <w:pPr>
              <w:keepNext/>
              <w:keepLines/>
              <w:widowControl w:val="0"/>
              <w:spacing w:before="0" w:after="0"/>
              <w:rPr>
                <w:rFonts w:ascii="Arial Narrow" w:hAnsi="Arial Narrow" w:cs="Tahoma"/>
                <w:bCs/>
                <w:sz w:val="20"/>
              </w:rPr>
            </w:pPr>
            <w:r w:rsidRPr="00324DD5">
              <w:rPr>
                <w:rFonts w:ascii="Arial Narrow" w:hAnsi="Arial Narrow" w:cs="Tahoma"/>
                <w:bCs/>
                <w:sz w:val="20"/>
              </w:rPr>
              <w:t>$</w:t>
            </w:r>
            <w:r w:rsidR="00076174" w:rsidRPr="00324DD5">
              <w:rPr>
                <w:rFonts w:ascii="Arial Narrow" w:hAnsi="Arial Narrow" w:cs="Tahoma"/>
                <w:bCs/>
                <w:sz w:val="20"/>
              </w:rPr>
              <w:t>redacted</w:t>
            </w:r>
          </w:p>
        </w:tc>
        <w:tc>
          <w:tcPr>
            <w:tcW w:w="0" w:type="auto"/>
          </w:tcPr>
          <w:p w14:paraId="2C6B8430" w14:textId="77777777" w:rsidR="007637F7" w:rsidRPr="00324DD5" w:rsidRDefault="007637F7" w:rsidP="00193469">
            <w:pPr>
              <w:keepNext/>
              <w:keepLines/>
              <w:widowControl w:val="0"/>
              <w:spacing w:before="0" w:after="0"/>
              <w:rPr>
                <w:rFonts w:ascii="Arial Narrow" w:hAnsi="Arial Narrow" w:cs="Tahoma"/>
                <w:bCs/>
                <w:sz w:val="20"/>
              </w:rPr>
            </w:pPr>
            <w:r w:rsidRPr="00324DD5">
              <w:rPr>
                <w:rFonts w:ascii="Arial Narrow" w:hAnsi="Arial Narrow" w:cs="Tahoma"/>
                <w:bCs/>
                <w:sz w:val="20"/>
              </w:rPr>
              <w:t>3.46%</w:t>
            </w:r>
          </w:p>
        </w:tc>
        <w:tc>
          <w:tcPr>
            <w:tcW w:w="0" w:type="auto"/>
          </w:tcPr>
          <w:p w14:paraId="33BAF9CF" w14:textId="34D13897" w:rsidR="007637F7" w:rsidRPr="00324DD5" w:rsidRDefault="00F708EF" w:rsidP="00193469">
            <w:pPr>
              <w:keepNext/>
              <w:keepLines/>
              <w:widowControl w:val="0"/>
              <w:spacing w:before="0" w:after="0"/>
              <w:rPr>
                <w:rFonts w:ascii="Arial Narrow" w:hAnsi="Arial Narrow" w:cs="Tahoma"/>
                <w:bCs/>
                <w:sz w:val="20"/>
              </w:rPr>
            </w:pPr>
            <w:r w:rsidRPr="00324DD5">
              <w:rPr>
                <w:rFonts w:ascii="Arial Narrow" w:hAnsi="Arial Narrow" w:cs="Tahoma"/>
                <w:bCs/>
                <w:sz w:val="20"/>
              </w:rPr>
              <w:t>$</w:t>
            </w:r>
            <w:r w:rsidR="00076174" w:rsidRPr="00324DD5">
              <w:rPr>
                <w:rFonts w:ascii="Arial Narrow" w:hAnsi="Arial Narrow" w:cs="Tahoma"/>
                <w:bCs/>
                <w:sz w:val="20"/>
              </w:rPr>
              <w:t xml:space="preserve">redacted </w:t>
            </w:r>
            <w:r w:rsidR="007637F7" w:rsidRPr="00324DD5">
              <w:rPr>
                <w:rFonts w:ascii="Arial Narrow" w:hAnsi="Arial Narrow" w:cs="Tahoma"/>
                <w:bCs/>
                <w:sz w:val="20"/>
              </w:rPr>
              <w:t>per stroke avoided</w:t>
            </w:r>
          </w:p>
        </w:tc>
      </w:tr>
      <w:tr w:rsidR="007637F7" w:rsidRPr="00FD63E4" w14:paraId="3A2A0283" w14:textId="77777777" w:rsidTr="00487EE3">
        <w:trPr>
          <w:trHeight w:val="20"/>
        </w:trPr>
        <w:tc>
          <w:tcPr>
            <w:tcW w:w="0" w:type="auto"/>
          </w:tcPr>
          <w:p w14:paraId="69033499"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sz w:val="20"/>
              </w:rPr>
              <w:t>2</w:t>
            </w:r>
          </w:p>
        </w:tc>
        <w:tc>
          <w:tcPr>
            <w:tcW w:w="1174" w:type="dxa"/>
          </w:tcPr>
          <w:p w14:paraId="3B05D12F"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sz w:val="20"/>
              </w:rPr>
              <w:t>Extrapolation of patient survival</w:t>
            </w:r>
          </w:p>
        </w:tc>
        <w:tc>
          <w:tcPr>
            <w:tcW w:w="931" w:type="dxa"/>
          </w:tcPr>
          <w:p w14:paraId="6936DEB9"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sz w:val="20"/>
              </w:rPr>
              <w:t>Lifetime</w:t>
            </w:r>
          </w:p>
        </w:tc>
        <w:tc>
          <w:tcPr>
            <w:tcW w:w="1275" w:type="dxa"/>
          </w:tcPr>
          <w:p w14:paraId="790B5990"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sz w:val="20"/>
              </w:rPr>
              <w:t>Life years</w:t>
            </w:r>
          </w:p>
        </w:tc>
        <w:tc>
          <w:tcPr>
            <w:tcW w:w="1542" w:type="dxa"/>
          </w:tcPr>
          <w:p w14:paraId="4377DAE7"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bCs/>
                <w:sz w:val="20"/>
              </w:rPr>
              <w:t>Screening, index procedure and stroke-related healthcare costs</w:t>
            </w:r>
          </w:p>
        </w:tc>
        <w:tc>
          <w:tcPr>
            <w:tcW w:w="0" w:type="auto"/>
          </w:tcPr>
          <w:p w14:paraId="6815B7D7" w14:textId="6689E23C" w:rsidR="007637F7" w:rsidRPr="00324DD5" w:rsidRDefault="00F708EF" w:rsidP="00193469">
            <w:pPr>
              <w:keepNext/>
              <w:keepLines/>
              <w:widowControl w:val="0"/>
              <w:spacing w:before="0" w:after="0"/>
              <w:rPr>
                <w:rFonts w:ascii="Arial Narrow" w:hAnsi="Arial Narrow" w:cs="Tahoma"/>
                <w:bCs/>
                <w:sz w:val="20"/>
              </w:rPr>
            </w:pPr>
            <w:r w:rsidRPr="00324DD5">
              <w:rPr>
                <w:rFonts w:ascii="Arial Narrow" w:hAnsi="Arial Narrow" w:cs="Tahoma"/>
                <w:bCs/>
                <w:sz w:val="20"/>
              </w:rPr>
              <w:t>$</w:t>
            </w:r>
            <w:r w:rsidR="00076174" w:rsidRPr="00324DD5">
              <w:rPr>
                <w:rFonts w:ascii="Arial Narrow" w:hAnsi="Arial Narrow" w:cs="Tahoma"/>
                <w:bCs/>
                <w:sz w:val="20"/>
              </w:rPr>
              <w:t>redacted</w:t>
            </w:r>
          </w:p>
        </w:tc>
        <w:tc>
          <w:tcPr>
            <w:tcW w:w="0" w:type="auto"/>
          </w:tcPr>
          <w:p w14:paraId="243AB0D6" w14:textId="50731F47" w:rsidR="007637F7" w:rsidRPr="00324DD5" w:rsidRDefault="00F708EF" w:rsidP="00193469">
            <w:pPr>
              <w:keepNext/>
              <w:keepLines/>
              <w:widowControl w:val="0"/>
              <w:spacing w:before="0" w:after="0"/>
              <w:rPr>
                <w:rFonts w:ascii="Arial Narrow" w:hAnsi="Arial Narrow" w:cs="Tahoma"/>
                <w:bCs/>
                <w:sz w:val="20"/>
              </w:rPr>
            </w:pPr>
            <w:r w:rsidRPr="00324DD5">
              <w:rPr>
                <w:rFonts w:ascii="Arial Narrow" w:hAnsi="Arial Narrow" w:cs="Tahoma"/>
                <w:bCs/>
                <w:sz w:val="20"/>
              </w:rPr>
              <w:t>$</w:t>
            </w:r>
            <w:r w:rsidR="00076174" w:rsidRPr="00324DD5">
              <w:rPr>
                <w:rFonts w:ascii="Arial Narrow" w:hAnsi="Arial Narrow" w:cs="Tahoma"/>
                <w:bCs/>
                <w:sz w:val="20"/>
              </w:rPr>
              <w:t>redacted</w:t>
            </w:r>
          </w:p>
        </w:tc>
        <w:tc>
          <w:tcPr>
            <w:tcW w:w="0" w:type="auto"/>
          </w:tcPr>
          <w:p w14:paraId="7A9ED3A3" w14:textId="0C4FE6B9" w:rsidR="007637F7" w:rsidRPr="00324DD5" w:rsidRDefault="00F708EF" w:rsidP="00193469">
            <w:pPr>
              <w:keepNext/>
              <w:keepLines/>
              <w:widowControl w:val="0"/>
              <w:spacing w:before="0" w:after="0"/>
              <w:rPr>
                <w:rFonts w:ascii="Arial Narrow" w:hAnsi="Arial Narrow" w:cs="Tahoma"/>
                <w:bCs/>
                <w:sz w:val="20"/>
              </w:rPr>
            </w:pPr>
            <w:r w:rsidRPr="00324DD5">
              <w:rPr>
                <w:rFonts w:ascii="Arial Narrow" w:hAnsi="Arial Narrow" w:cs="Tahoma"/>
                <w:bCs/>
                <w:sz w:val="20"/>
              </w:rPr>
              <w:t>$</w:t>
            </w:r>
            <w:r w:rsidR="00076174" w:rsidRPr="00324DD5">
              <w:rPr>
                <w:rFonts w:ascii="Arial Narrow" w:hAnsi="Arial Narrow" w:cs="Tahoma"/>
                <w:bCs/>
                <w:sz w:val="20"/>
              </w:rPr>
              <w:t xml:space="preserve">redacted </w:t>
            </w:r>
            <w:r w:rsidR="007637F7" w:rsidRPr="00324DD5">
              <w:rPr>
                <w:rFonts w:ascii="Arial Narrow" w:hAnsi="Arial Narrow" w:cs="Tahoma"/>
                <w:bCs/>
                <w:sz w:val="20"/>
              </w:rPr>
              <w:t>per life year</w:t>
            </w:r>
          </w:p>
        </w:tc>
      </w:tr>
      <w:tr w:rsidR="007637F7" w:rsidRPr="00FD63E4" w14:paraId="4747FC5A" w14:textId="77777777" w:rsidTr="00487EE3">
        <w:trPr>
          <w:trHeight w:val="20"/>
        </w:trPr>
        <w:tc>
          <w:tcPr>
            <w:tcW w:w="0" w:type="auto"/>
          </w:tcPr>
          <w:p w14:paraId="78AF1D73"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sz w:val="20"/>
              </w:rPr>
              <w:t>3</w:t>
            </w:r>
          </w:p>
        </w:tc>
        <w:tc>
          <w:tcPr>
            <w:tcW w:w="1174" w:type="dxa"/>
          </w:tcPr>
          <w:p w14:paraId="7109B804"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sz w:val="20"/>
              </w:rPr>
              <w:t>Incorporation of stroke-related healthcare costs</w:t>
            </w:r>
          </w:p>
        </w:tc>
        <w:tc>
          <w:tcPr>
            <w:tcW w:w="931" w:type="dxa"/>
          </w:tcPr>
          <w:p w14:paraId="1CE55962"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sz w:val="20"/>
              </w:rPr>
              <w:t>Lifetime</w:t>
            </w:r>
          </w:p>
        </w:tc>
        <w:tc>
          <w:tcPr>
            <w:tcW w:w="1275" w:type="dxa"/>
          </w:tcPr>
          <w:p w14:paraId="25A2B5AE"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sz w:val="20"/>
              </w:rPr>
              <w:t>Life years</w:t>
            </w:r>
          </w:p>
        </w:tc>
        <w:tc>
          <w:tcPr>
            <w:tcW w:w="1542" w:type="dxa"/>
          </w:tcPr>
          <w:p w14:paraId="6E20AD13"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bCs/>
                <w:sz w:val="20"/>
              </w:rPr>
              <w:t>Screening, index procedure and stroke-related healthcare costs</w:t>
            </w:r>
          </w:p>
        </w:tc>
        <w:tc>
          <w:tcPr>
            <w:tcW w:w="0" w:type="auto"/>
          </w:tcPr>
          <w:p w14:paraId="769C9C13" w14:textId="1DDBBC78" w:rsidR="007637F7" w:rsidRPr="00324DD5" w:rsidRDefault="00076174" w:rsidP="00193469">
            <w:pPr>
              <w:keepNext/>
              <w:keepLines/>
              <w:widowControl w:val="0"/>
              <w:spacing w:before="0" w:after="0"/>
              <w:rPr>
                <w:rFonts w:ascii="Arial Narrow" w:hAnsi="Arial Narrow" w:cs="Tahoma"/>
                <w:bCs/>
                <w:sz w:val="20"/>
              </w:rPr>
            </w:pPr>
            <w:r w:rsidRPr="00324DD5">
              <w:rPr>
                <w:rFonts w:ascii="Arial Narrow" w:hAnsi="Arial Narrow" w:cs="Tahoma"/>
                <w:bCs/>
                <w:sz w:val="20"/>
              </w:rPr>
              <w:t>$redacted</w:t>
            </w:r>
          </w:p>
        </w:tc>
        <w:tc>
          <w:tcPr>
            <w:tcW w:w="0" w:type="auto"/>
          </w:tcPr>
          <w:p w14:paraId="711C6D93" w14:textId="7616A9F4" w:rsidR="007637F7" w:rsidRPr="00324DD5" w:rsidRDefault="00076174" w:rsidP="00193469">
            <w:pPr>
              <w:keepNext/>
              <w:keepLines/>
              <w:widowControl w:val="0"/>
              <w:spacing w:before="0" w:after="0"/>
              <w:rPr>
                <w:rFonts w:ascii="Arial Narrow" w:hAnsi="Arial Narrow" w:cs="Tahoma"/>
                <w:bCs/>
                <w:sz w:val="20"/>
              </w:rPr>
            </w:pPr>
            <w:r w:rsidRPr="00324DD5">
              <w:rPr>
                <w:rFonts w:ascii="Arial Narrow" w:hAnsi="Arial Narrow" w:cs="Tahoma"/>
                <w:bCs/>
                <w:sz w:val="20"/>
              </w:rPr>
              <w:t>$redacted</w:t>
            </w:r>
          </w:p>
        </w:tc>
        <w:tc>
          <w:tcPr>
            <w:tcW w:w="0" w:type="auto"/>
          </w:tcPr>
          <w:p w14:paraId="6AA49729" w14:textId="6833FBD2" w:rsidR="007637F7" w:rsidRPr="00324DD5" w:rsidRDefault="00076174" w:rsidP="00193469">
            <w:pPr>
              <w:keepNext/>
              <w:keepLines/>
              <w:widowControl w:val="0"/>
              <w:spacing w:before="0" w:after="0"/>
              <w:rPr>
                <w:rFonts w:ascii="Arial Narrow" w:hAnsi="Arial Narrow" w:cs="Tahoma"/>
                <w:bCs/>
                <w:sz w:val="20"/>
              </w:rPr>
            </w:pPr>
            <w:r w:rsidRPr="00324DD5">
              <w:rPr>
                <w:rFonts w:ascii="Arial Narrow" w:hAnsi="Arial Narrow" w:cs="Tahoma"/>
                <w:bCs/>
                <w:sz w:val="20"/>
              </w:rPr>
              <w:t>$redacted per life year</w:t>
            </w:r>
          </w:p>
        </w:tc>
      </w:tr>
      <w:tr w:rsidR="007637F7" w:rsidRPr="00FD63E4" w14:paraId="72C17B02" w14:textId="77777777" w:rsidTr="00487EE3">
        <w:trPr>
          <w:trHeight w:val="20"/>
        </w:trPr>
        <w:tc>
          <w:tcPr>
            <w:tcW w:w="0" w:type="auto"/>
          </w:tcPr>
          <w:p w14:paraId="2FA8D739"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sz w:val="20"/>
              </w:rPr>
              <w:t>4</w:t>
            </w:r>
          </w:p>
        </w:tc>
        <w:tc>
          <w:tcPr>
            <w:tcW w:w="1174" w:type="dxa"/>
          </w:tcPr>
          <w:p w14:paraId="7B5566F7"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sz w:val="20"/>
              </w:rPr>
              <w:t>Translation of life years to QALYs</w:t>
            </w:r>
          </w:p>
        </w:tc>
        <w:tc>
          <w:tcPr>
            <w:tcW w:w="931" w:type="dxa"/>
          </w:tcPr>
          <w:p w14:paraId="165C19F4"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sz w:val="20"/>
              </w:rPr>
              <w:t>Lifetime</w:t>
            </w:r>
          </w:p>
        </w:tc>
        <w:tc>
          <w:tcPr>
            <w:tcW w:w="1275" w:type="dxa"/>
          </w:tcPr>
          <w:p w14:paraId="665C61CE"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sz w:val="20"/>
              </w:rPr>
              <w:t>QALYs</w:t>
            </w:r>
          </w:p>
        </w:tc>
        <w:tc>
          <w:tcPr>
            <w:tcW w:w="1542" w:type="dxa"/>
          </w:tcPr>
          <w:p w14:paraId="01211693" w14:textId="77777777" w:rsidR="007637F7" w:rsidRPr="00FD63E4" w:rsidRDefault="007637F7" w:rsidP="00193469">
            <w:pPr>
              <w:keepNext/>
              <w:keepLines/>
              <w:widowControl w:val="0"/>
              <w:spacing w:before="0" w:after="0"/>
              <w:rPr>
                <w:rFonts w:ascii="Arial Narrow" w:hAnsi="Arial Narrow" w:cs="Tahoma"/>
                <w:sz w:val="20"/>
              </w:rPr>
            </w:pPr>
            <w:r w:rsidRPr="00FD63E4">
              <w:rPr>
                <w:rFonts w:ascii="Arial Narrow" w:hAnsi="Arial Narrow" w:cs="Tahoma"/>
                <w:bCs/>
                <w:sz w:val="20"/>
              </w:rPr>
              <w:t>Screening, index procedure and stroke-related healthcare costs</w:t>
            </w:r>
          </w:p>
        </w:tc>
        <w:tc>
          <w:tcPr>
            <w:tcW w:w="0" w:type="auto"/>
          </w:tcPr>
          <w:p w14:paraId="6D6BA6BE" w14:textId="708338F2" w:rsidR="007637F7" w:rsidRPr="00324DD5" w:rsidRDefault="00076174" w:rsidP="00193469">
            <w:pPr>
              <w:keepNext/>
              <w:keepLines/>
              <w:widowControl w:val="0"/>
              <w:spacing w:before="0" w:after="0"/>
              <w:rPr>
                <w:rFonts w:ascii="Arial Narrow" w:hAnsi="Arial Narrow" w:cs="Tahoma"/>
                <w:bCs/>
                <w:sz w:val="20"/>
              </w:rPr>
            </w:pPr>
            <w:r w:rsidRPr="00324DD5">
              <w:rPr>
                <w:rFonts w:ascii="Arial Narrow" w:hAnsi="Arial Narrow" w:cs="Tahoma"/>
                <w:bCs/>
                <w:sz w:val="20"/>
              </w:rPr>
              <w:t>$redacted</w:t>
            </w:r>
          </w:p>
        </w:tc>
        <w:tc>
          <w:tcPr>
            <w:tcW w:w="0" w:type="auto"/>
          </w:tcPr>
          <w:p w14:paraId="55E8C0B5" w14:textId="4A17EBF6" w:rsidR="007637F7" w:rsidRPr="00324DD5" w:rsidRDefault="00076174" w:rsidP="00193469">
            <w:pPr>
              <w:keepNext/>
              <w:keepLines/>
              <w:widowControl w:val="0"/>
              <w:spacing w:before="0" w:after="0"/>
              <w:rPr>
                <w:rFonts w:ascii="Arial Narrow" w:hAnsi="Arial Narrow" w:cs="Tahoma"/>
                <w:bCs/>
                <w:sz w:val="20"/>
              </w:rPr>
            </w:pPr>
            <w:r w:rsidRPr="00324DD5">
              <w:rPr>
                <w:rFonts w:ascii="Arial Narrow" w:hAnsi="Arial Narrow" w:cs="Tahoma"/>
                <w:bCs/>
                <w:sz w:val="20"/>
              </w:rPr>
              <w:t>$redacted</w:t>
            </w:r>
          </w:p>
        </w:tc>
        <w:tc>
          <w:tcPr>
            <w:tcW w:w="0" w:type="auto"/>
          </w:tcPr>
          <w:p w14:paraId="5D35C488" w14:textId="5ED2A5D3" w:rsidR="007637F7" w:rsidRPr="00324DD5" w:rsidRDefault="00F708EF" w:rsidP="00193469">
            <w:pPr>
              <w:keepNext/>
              <w:keepLines/>
              <w:widowControl w:val="0"/>
              <w:spacing w:before="0" w:after="0"/>
              <w:rPr>
                <w:rFonts w:ascii="Arial Narrow" w:hAnsi="Arial Narrow" w:cs="Tahoma"/>
                <w:bCs/>
                <w:sz w:val="20"/>
              </w:rPr>
            </w:pPr>
            <w:r w:rsidRPr="00324DD5">
              <w:rPr>
                <w:rFonts w:ascii="Arial Narrow" w:hAnsi="Arial Narrow" w:cs="Tahoma"/>
                <w:bCs/>
                <w:sz w:val="20"/>
              </w:rPr>
              <w:t>$</w:t>
            </w:r>
            <w:r w:rsidR="00076174" w:rsidRPr="00324DD5">
              <w:rPr>
                <w:rFonts w:ascii="Arial Narrow" w:hAnsi="Arial Narrow" w:cs="Tahoma"/>
                <w:bCs/>
                <w:sz w:val="20"/>
              </w:rPr>
              <w:t xml:space="preserve">redacted </w:t>
            </w:r>
            <w:r w:rsidR="007637F7" w:rsidRPr="00324DD5">
              <w:rPr>
                <w:rFonts w:ascii="Arial Narrow" w:hAnsi="Arial Narrow" w:cs="Tahoma"/>
                <w:bCs/>
                <w:sz w:val="20"/>
              </w:rPr>
              <w:t>per QALY</w:t>
            </w:r>
          </w:p>
        </w:tc>
      </w:tr>
    </w:tbl>
    <w:p w14:paraId="0398E142" w14:textId="77777777" w:rsidR="007637F7" w:rsidRPr="00AA35EA" w:rsidRDefault="007637F7" w:rsidP="007637F7">
      <w:pPr>
        <w:keepNext/>
        <w:keepLines/>
        <w:jc w:val="both"/>
        <w:rPr>
          <w:rFonts w:ascii="Arial Narrow" w:eastAsia="Calibri" w:hAnsi="Arial Narrow" w:cs="Arial"/>
          <w:sz w:val="16"/>
          <w:szCs w:val="16"/>
          <w:lang w:eastAsia="en-US"/>
        </w:rPr>
      </w:pPr>
      <w:r w:rsidRPr="00AA35EA">
        <w:rPr>
          <w:rFonts w:ascii="Arial Narrow" w:eastAsia="Calibri" w:hAnsi="Arial Narrow" w:cs="Arial"/>
          <w:sz w:val="16"/>
          <w:szCs w:val="16"/>
          <w:lang w:eastAsia="en-US"/>
        </w:rPr>
        <w:t>Source: Table 7, pxx of the Commentary</w:t>
      </w:r>
    </w:p>
    <w:p w14:paraId="1B065940" w14:textId="77777777" w:rsidR="007637F7" w:rsidRPr="00AA35EA" w:rsidRDefault="007637F7" w:rsidP="007637F7">
      <w:pPr>
        <w:keepNext/>
        <w:keepLines/>
        <w:jc w:val="both"/>
        <w:rPr>
          <w:rFonts w:ascii="Arial Narrow" w:eastAsia="Calibri" w:hAnsi="Arial Narrow" w:cs="Arial"/>
          <w:sz w:val="16"/>
          <w:szCs w:val="16"/>
          <w:lang w:eastAsia="en-US"/>
        </w:rPr>
      </w:pPr>
      <w:r w:rsidRPr="00AA35EA">
        <w:rPr>
          <w:rFonts w:ascii="Arial Narrow" w:eastAsia="Calibri" w:hAnsi="Arial Narrow" w:cs="Arial"/>
          <w:sz w:val="16"/>
          <w:szCs w:val="16"/>
          <w:lang w:eastAsia="en-US"/>
        </w:rPr>
        <w:t>Abbreviations: CEP, cerebral embolic protection; ICER, Incremental cost effectiveness ratio; QALYs, Quality adjusted life years.</w:t>
      </w:r>
    </w:p>
    <w:p w14:paraId="5D9AAF89" w14:textId="77777777" w:rsidR="007637F7" w:rsidRPr="00AA35EA" w:rsidRDefault="007637F7" w:rsidP="007637F7">
      <w:pPr>
        <w:keepNext/>
        <w:keepLines/>
        <w:jc w:val="both"/>
        <w:rPr>
          <w:rFonts w:ascii="Arial Narrow" w:eastAsia="Calibri" w:hAnsi="Arial Narrow" w:cs="Arial"/>
          <w:sz w:val="16"/>
          <w:szCs w:val="16"/>
          <w:lang w:eastAsia="en-US"/>
        </w:rPr>
      </w:pPr>
      <w:r w:rsidRPr="00AA35EA">
        <w:rPr>
          <w:rFonts w:ascii="Arial Narrow" w:eastAsia="Calibri" w:hAnsi="Arial Narrow" w:cs="Arial"/>
          <w:sz w:val="16"/>
          <w:szCs w:val="16"/>
          <w:lang w:eastAsia="en-US"/>
        </w:rPr>
        <w:t>Note: As calculated from the meta-analysis of SENTINEL IDE, MISTRAL-C, CLEAN TAVI and Kroon 2019</w:t>
      </w:r>
    </w:p>
    <w:p w14:paraId="124CF8F5" w14:textId="77777777" w:rsidR="007637F7" w:rsidRPr="00AA35EA" w:rsidRDefault="007637F7" w:rsidP="007637F7">
      <w:pPr>
        <w:keepNext/>
        <w:keepLines/>
        <w:jc w:val="both"/>
        <w:rPr>
          <w:rFonts w:ascii="Arial Narrow" w:eastAsia="Calibri" w:hAnsi="Arial Narrow" w:cs="Arial"/>
          <w:sz w:val="16"/>
          <w:szCs w:val="16"/>
          <w:lang w:eastAsia="en-US"/>
        </w:rPr>
      </w:pPr>
      <w:r w:rsidRPr="00AA35EA">
        <w:rPr>
          <w:rFonts w:ascii="Arial Narrow" w:eastAsia="Calibri" w:hAnsi="Arial Narrow" w:cs="Arial"/>
          <w:sz w:val="16"/>
          <w:szCs w:val="16"/>
          <w:lang w:eastAsia="en-US"/>
        </w:rPr>
        <w:t>TAVI+CEP: non-disabling stroke=2.26%, disabling stroke =0.56%</w:t>
      </w:r>
    </w:p>
    <w:p w14:paraId="0D2FC505" w14:textId="4772D294" w:rsidR="007637F7" w:rsidRPr="00AA35EA" w:rsidRDefault="007637F7" w:rsidP="003F0EC8">
      <w:pPr>
        <w:keepNext/>
        <w:keepLines/>
        <w:spacing w:after="240"/>
        <w:jc w:val="both"/>
        <w:rPr>
          <w:rFonts w:ascii="Arial Narrow" w:eastAsia="Calibri" w:hAnsi="Arial Narrow" w:cs="Arial"/>
          <w:sz w:val="16"/>
          <w:szCs w:val="16"/>
          <w:lang w:eastAsia="en-US"/>
        </w:rPr>
      </w:pPr>
      <w:r w:rsidRPr="00AA35EA">
        <w:rPr>
          <w:rFonts w:ascii="Arial Narrow" w:eastAsia="Calibri" w:hAnsi="Arial Narrow" w:cs="Arial"/>
          <w:sz w:val="16"/>
          <w:szCs w:val="16"/>
          <w:lang w:eastAsia="en-US"/>
        </w:rPr>
        <w:t>TAVI alone: non-disabling stroke =3.04%, disabling stroke =3.24%</w:t>
      </w:r>
      <w:r w:rsidRPr="00AA35EA">
        <w:rPr>
          <w:sz w:val="16"/>
          <w:szCs w:val="16"/>
        </w:rPr>
        <w:tab/>
      </w:r>
    </w:p>
    <w:p w14:paraId="6C5EBA8F" w14:textId="6EAE2B27" w:rsidR="003F0EC8" w:rsidRPr="002D2859" w:rsidRDefault="003F0EC8" w:rsidP="002D2859">
      <w:pPr>
        <w:rPr>
          <w:rFonts w:ascii="Arial Narrow" w:hAnsi="Arial Narrow"/>
          <w:b/>
          <w:sz w:val="20"/>
        </w:rPr>
      </w:pPr>
      <w:bookmarkStart w:id="11" w:name="_Ref58332493"/>
      <w:r w:rsidRPr="002D2859">
        <w:rPr>
          <w:rFonts w:ascii="Arial Narrow" w:hAnsi="Arial Narrow"/>
          <w:b/>
          <w:sz w:val="20"/>
        </w:rPr>
        <w:t xml:space="preserve">Table </w:t>
      </w:r>
      <w:r w:rsidR="00476AB2" w:rsidRPr="002D2859">
        <w:rPr>
          <w:rFonts w:ascii="Arial Narrow" w:hAnsi="Arial Narrow"/>
          <w:b/>
          <w:sz w:val="20"/>
        </w:rPr>
        <w:fldChar w:fldCharType="begin"/>
      </w:r>
      <w:r w:rsidR="00476AB2" w:rsidRPr="002D2859">
        <w:rPr>
          <w:rFonts w:ascii="Arial Narrow" w:hAnsi="Arial Narrow"/>
          <w:b/>
          <w:sz w:val="20"/>
        </w:rPr>
        <w:instrText xml:space="preserve"> SEQ Table \* ARABIC </w:instrText>
      </w:r>
      <w:r w:rsidR="00476AB2" w:rsidRPr="002D2859">
        <w:rPr>
          <w:rFonts w:ascii="Arial Narrow" w:hAnsi="Arial Narrow"/>
          <w:b/>
          <w:sz w:val="20"/>
        </w:rPr>
        <w:fldChar w:fldCharType="separate"/>
      </w:r>
      <w:r w:rsidR="003E3A7D" w:rsidRPr="002D2859">
        <w:rPr>
          <w:rFonts w:ascii="Arial Narrow" w:hAnsi="Arial Narrow"/>
          <w:b/>
          <w:sz w:val="20"/>
        </w:rPr>
        <w:t>8</w:t>
      </w:r>
      <w:r w:rsidR="00476AB2" w:rsidRPr="002D2859">
        <w:rPr>
          <w:rFonts w:ascii="Arial Narrow" w:hAnsi="Arial Narrow"/>
          <w:b/>
          <w:sz w:val="20"/>
        </w:rPr>
        <w:fldChar w:fldCharType="end"/>
      </w:r>
      <w:bookmarkEnd w:id="11"/>
      <w:r w:rsidRPr="002D2859">
        <w:rPr>
          <w:rFonts w:ascii="Arial Narrow" w:hAnsi="Arial Narrow"/>
          <w:b/>
          <w:sz w:val="20"/>
        </w:rPr>
        <w:tab/>
        <w:t>Stepped economic evaluation: Intermediate risk population</w:t>
      </w:r>
    </w:p>
    <w:tbl>
      <w:tblPr>
        <w:tblStyle w:val="OPTUMTableNormal"/>
        <w:tblpPr w:leftFromText="180" w:rightFromText="180" w:vertAnchor="text" w:tblpY="1"/>
        <w:tblOverlap w:val="never"/>
        <w:tblW w:w="0" w:type="auto"/>
        <w:tblInd w:w="0" w:type="dxa"/>
        <w:tblLook w:val="01E0" w:firstRow="1" w:lastRow="1" w:firstColumn="1" w:lastColumn="1" w:noHBand="0" w:noVBand="0"/>
        <w:tblCaption w:val="Stepped economic evaluation: Intermediate risk population"/>
      </w:tblPr>
      <w:tblGrid>
        <w:gridCol w:w="572"/>
        <w:gridCol w:w="1174"/>
        <w:gridCol w:w="926"/>
        <w:gridCol w:w="1275"/>
        <w:gridCol w:w="1485"/>
        <w:gridCol w:w="1137"/>
        <w:gridCol w:w="1256"/>
        <w:gridCol w:w="1191"/>
      </w:tblGrid>
      <w:tr w:rsidR="007637F7" w:rsidRPr="00FD63E4" w14:paraId="4D37AE74" w14:textId="77777777" w:rsidTr="003F0EC8">
        <w:trPr>
          <w:cnfStyle w:val="100000000000" w:firstRow="1" w:lastRow="0" w:firstColumn="0" w:lastColumn="0" w:oddVBand="0" w:evenVBand="0" w:oddHBand="0" w:evenHBand="0" w:firstRowFirstColumn="0" w:firstRowLastColumn="0" w:lastRowFirstColumn="0" w:lastRowLastColumn="0"/>
          <w:trHeight w:val="20"/>
          <w:tblHeader/>
        </w:trPr>
        <w:tc>
          <w:tcPr>
            <w:tcW w:w="0" w:type="auto"/>
          </w:tcPr>
          <w:p w14:paraId="7CA60E67" w14:textId="77777777" w:rsidR="007637F7" w:rsidRPr="00FD63E4" w:rsidRDefault="007637F7" w:rsidP="00AA35EA">
            <w:pPr>
              <w:keepNext/>
              <w:widowControl w:val="0"/>
              <w:spacing w:before="0" w:after="0"/>
              <w:rPr>
                <w:rFonts w:ascii="Arial Narrow" w:hAnsi="Arial Narrow" w:cs="Tahoma"/>
                <w:b/>
                <w:sz w:val="20"/>
              </w:rPr>
            </w:pPr>
            <w:r w:rsidRPr="00FD63E4">
              <w:rPr>
                <w:rFonts w:ascii="Arial Narrow" w:hAnsi="Arial Narrow" w:cs="Tahoma"/>
                <w:b/>
                <w:sz w:val="20"/>
              </w:rPr>
              <w:t>Step #</w:t>
            </w:r>
          </w:p>
        </w:tc>
        <w:tc>
          <w:tcPr>
            <w:tcW w:w="1174" w:type="dxa"/>
          </w:tcPr>
          <w:p w14:paraId="09839176" w14:textId="77777777" w:rsidR="007637F7" w:rsidRPr="00FD63E4" w:rsidRDefault="007637F7" w:rsidP="00AA35EA">
            <w:pPr>
              <w:keepNext/>
              <w:widowControl w:val="0"/>
              <w:spacing w:before="0" w:after="0"/>
              <w:rPr>
                <w:rFonts w:ascii="Arial Narrow" w:hAnsi="Arial Narrow" w:cs="Tahoma"/>
                <w:b/>
                <w:sz w:val="20"/>
              </w:rPr>
            </w:pPr>
            <w:r w:rsidRPr="00FD63E4">
              <w:rPr>
                <w:rFonts w:ascii="Arial Narrow" w:hAnsi="Arial Narrow" w:cs="Tahoma"/>
                <w:b/>
                <w:sz w:val="20"/>
              </w:rPr>
              <w:t>Step description</w:t>
            </w:r>
          </w:p>
        </w:tc>
        <w:tc>
          <w:tcPr>
            <w:tcW w:w="926" w:type="dxa"/>
          </w:tcPr>
          <w:p w14:paraId="17702214" w14:textId="77777777" w:rsidR="007637F7" w:rsidRPr="00FD63E4" w:rsidRDefault="007637F7" w:rsidP="00AA35EA">
            <w:pPr>
              <w:keepNext/>
              <w:widowControl w:val="0"/>
              <w:spacing w:before="0" w:after="0"/>
              <w:rPr>
                <w:rFonts w:ascii="Arial Narrow" w:hAnsi="Arial Narrow" w:cs="Tahoma"/>
                <w:b/>
                <w:sz w:val="20"/>
              </w:rPr>
            </w:pPr>
            <w:r w:rsidRPr="00FD63E4">
              <w:rPr>
                <w:rFonts w:ascii="Arial Narrow" w:hAnsi="Arial Narrow" w:cs="Tahoma"/>
                <w:b/>
                <w:sz w:val="20"/>
              </w:rPr>
              <w:t>Duration</w:t>
            </w:r>
          </w:p>
        </w:tc>
        <w:tc>
          <w:tcPr>
            <w:tcW w:w="1275" w:type="dxa"/>
          </w:tcPr>
          <w:p w14:paraId="43D8144F" w14:textId="77777777" w:rsidR="007637F7" w:rsidRPr="00FD63E4" w:rsidRDefault="007637F7" w:rsidP="00AA35EA">
            <w:pPr>
              <w:keepNext/>
              <w:widowControl w:val="0"/>
              <w:spacing w:before="0" w:after="0"/>
              <w:rPr>
                <w:rFonts w:ascii="Arial Narrow" w:hAnsi="Arial Narrow" w:cs="Tahoma"/>
                <w:b/>
                <w:sz w:val="20"/>
              </w:rPr>
            </w:pPr>
            <w:r w:rsidRPr="00FD63E4">
              <w:rPr>
                <w:rFonts w:ascii="Arial Narrow" w:hAnsi="Arial Narrow" w:cs="Tahoma"/>
                <w:b/>
                <w:sz w:val="20"/>
              </w:rPr>
              <w:t>Effectiveness</w:t>
            </w:r>
          </w:p>
        </w:tc>
        <w:tc>
          <w:tcPr>
            <w:tcW w:w="1485" w:type="dxa"/>
          </w:tcPr>
          <w:p w14:paraId="538FF9A2" w14:textId="77777777" w:rsidR="007637F7" w:rsidRPr="00FD63E4" w:rsidRDefault="007637F7" w:rsidP="00AA35EA">
            <w:pPr>
              <w:keepNext/>
              <w:widowControl w:val="0"/>
              <w:spacing w:before="0" w:after="0"/>
              <w:rPr>
                <w:rFonts w:ascii="Arial Narrow" w:hAnsi="Arial Narrow" w:cs="Tahoma"/>
                <w:b/>
                <w:sz w:val="20"/>
              </w:rPr>
            </w:pPr>
            <w:r w:rsidRPr="00FD63E4">
              <w:rPr>
                <w:rFonts w:ascii="Arial Narrow" w:hAnsi="Arial Narrow" w:cs="Tahoma"/>
                <w:b/>
                <w:sz w:val="20"/>
              </w:rPr>
              <w:t>Costs included</w:t>
            </w:r>
          </w:p>
        </w:tc>
        <w:tc>
          <w:tcPr>
            <w:tcW w:w="1137" w:type="dxa"/>
          </w:tcPr>
          <w:p w14:paraId="55689B02" w14:textId="77777777" w:rsidR="007637F7" w:rsidRPr="00FD63E4" w:rsidRDefault="007637F7" w:rsidP="00AA35EA">
            <w:pPr>
              <w:keepNext/>
              <w:widowControl w:val="0"/>
              <w:spacing w:before="0" w:after="0"/>
              <w:rPr>
                <w:rFonts w:ascii="Arial Narrow" w:hAnsi="Arial Narrow" w:cs="Tahoma"/>
                <w:b/>
                <w:sz w:val="20"/>
              </w:rPr>
            </w:pPr>
            <w:r w:rsidRPr="00FD63E4">
              <w:rPr>
                <w:rFonts w:ascii="Arial Narrow" w:hAnsi="Arial Narrow" w:cs="Tahoma"/>
                <w:b/>
                <w:sz w:val="20"/>
              </w:rPr>
              <w:t>Incremental cost</w:t>
            </w:r>
          </w:p>
        </w:tc>
        <w:tc>
          <w:tcPr>
            <w:tcW w:w="1256" w:type="dxa"/>
          </w:tcPr>
          <w:p w14:paraId="290F8FCB" w14:textId="77777777" w:rsidR="007637F7" w:rsidRPr="00FD63E4" w:rsidRDefault="007637F7" w:rsidP="00AA35EA">
            <w:pPr>
              <w:keepNext/>
              <w:widowControl w:val="0"/>
              <w:spacing w:before="0" w:after="0"/>
              <w:rPr>
                <w:rFonts w:ascii="Arial Narrow" w:hAnsi="Arial Narrow" w:cs="Tahoma"/>
                <w:b/>
                <w:sz w:val="20"/>
              </w:rPr>
            </w:pPr>
            <w:r w:rsidRPr="00FD63E4">
              <w:rPr>
                <w:rFonts w:ascii="Arial Narrow" w:hAnsi="Arial Narrow" w:cs="Tahoma"/>
                <w:b/>
                <w:sz w:val="20"/>
              </w:rPr>
              <w:t>Incremental effectiveness</w:t>
            </w:r>
          </w:p>
        </w:tc>
        <w:tc>
          <w:tcPr>
            <w:tcW w:w="1191" w:type="dxa"/>
          </w:tcPr>
          <w:p w14:paraId="550C2015" w14:textId="77777777" w:rsidR="007637F7" w:rsidRPr="00FD63E4" w:rsidRDefault="007637F7" w:rsidP="00AA35EA">
            <w:pPr>
              <w:keepNext/>
              <w:widowControl w:val="0"/>
              <w:spacing w:before="0" w:after="0"/>
              <w:rPr>
                <w:rFonts w:ascii="Arial Narrow" w:hAnsi="Arial Narrow" w:cs="Tahoma"/>
                <w:b/>
                <w:sz w:val="20"/>
              </w:rPr>
            </w:pPr>
            <w:r w:rsidRPr="00FD63E4">
              <w:rPr>
                <w:rFonts w:ascii="Arial Narrow" w:hAnsi="Arial Narrow" w:cs="Tahoma"/>
                <w:b/>
                <w:sz w:val="20"/>
              </w:rPr>
              <w:t>ICER</w:t>
            </w:r>
          </w:p>
        </w:tc>
      </w:tr>
      <w:tr w:rsidR="00F708EF" w:rsidRPr="00FD63E4" w14:paraId="10AC8056" w14:textId="77777777" w:rsidTr="003F0EC8">
        <w:trPr>
          <w:trHeight w:val="20"/>
        </w:trPr>
        <w:tc>
          <w:tcPr>
            <w:tcW w:w="0" w:type="auto"/>
          </w:tcPr>
          <w:p w14:paraId="6C2C7666"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1</w:t>
            </w:r>
          </w:p>
        </w:tc>
        <w:tc>
          <w:tcPr>
            <w:tcW w:w="1174" w:type="dxa"/>
          </w:tcPr>
          <w:p w14:paraId="00C7143B"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Trial-based economic evaluation</w:t>
            </w:r>
          </w:p>
        </w:tc>
        <w:tc>
          <w:tcPr>
            <w:tcW w:w="926" w:type="dxa"/>
          </w:tcPr>
          <w:p w14:paraId="705FC192"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30-day</w:t>
            </w:r>
          </w:p>
        </w:tc>
        <w:tc>
          <w:tcPr>
            <w:tcW w:w="1275" w:type="dxa"/>
          </w:tcPr>
          <w:p w14:paraId="2491E957"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Strokes*</w:t>
            </w:r>
          </w:p>
        </w:tc>
        <w:tc>
          <w:tcPr>
            <w:tcW w:w="1485" w:type="dxa"/>
          </w:tcPr>
          <w:p w14:paraId="0CB171D2" w14:textId="77777777" w:rsidR="00F708EF" w:rsidRPr="00324DD5" w:rsidRDefault="00F708EF" w:rsidP="00F708EF">
            <w:pPr>
              <w:keepNext/>
              <w:keepLines/>
              <w:widowControl w:val="0"/>
              <w:spacing w:before="0" w:after="0"/>
              <w:rPr>
                <w:rFonts w:ascii="Arial Narrow" w:hAnsi="Arial Narrow" w:cs="Tahoma"/>
                <w:bCs/>
                <w:sz w:val="20"/>
              </w:rPr>
            </w:pPr>
            <w:r w:rsidRPr="00324DD5">
              <w:rPr>
                <w:rFonts w:ascii="Arial Narrow" w:hAnsi="Arial Narrow" w:cs="Tahoma"/>
                <w:bCs/>
                <w:sz w:val="20"/>
              </w:rPr>
              <w:t>Screening and index procedure</w:t>
            </w:r>
          </w:p>
        </w:tc>
        <w:tc>
          <w:tcPr>
            <w:tcW w:w="1137" w:type="dxa"/>
          </w:tcPr>
          <w:p w14:paraId="0E683625" w14:textId="6DEA1359" w:rsidR="00F708EF" w:rsidRPr="00324DD5" w:rsidRDefault="00076174" w:rsidP="00F708EF">
            <w:pPr>
              <w:keepNext/>
              <w:keepLines/>
              <w:widowControl w:val="0"/>
              <w:spacing w:before="0" w:after="0"/>
              <w:rPr>
                <w:rFonts w:ascii="Arial Narrow" w:hAnsi="Arial Narrow" w:cs="Tahoma"/>
                <w:bCs/>
                <w:sz w:val="20"/>
              </w:rPr>
            </w:pPr>
            <w:r w:rsidRPr="00324DD5">
              <w:rPr>
                <w:rFonts w:ascii="Arial Narrow" w:hAnsi="Arial Narrow" w:cs="Tahoma"/>
                <w:bCs/>
                <w:sz w:val="20"/>
              </w:rPr>
              <w:t>$redacted</w:t>
            </w:r>
          </w:p>
        </w:tc>
        <w:tc>
          <w:tcPr>
            <w:tcW w:w="1256" w:type="dxa"/>
          </w:tcPr>
          <w:p w14:paraId="4EF1ED67" w14:textId="22838DC5" w:rsidR="00F708EF" w:rsidRPr="00324DD5" w:rsidRDefault="00076174" w:rsidP="00F708EF">
            <w:pPr>
              <w:keepNext/>
              <w:keepLines/>
              <w:widowControl w:val="0"/>
              <w:spacing w:before="0" w:after="0"/>
              <w:rPr>
                <w:rFonts w:ascii="Arial Narrow" w:hAnsi="Arial Narrow" w:cs="Tahoma"/>
                <w:bCs/>
                <w:sz w:val="20"/>
              </w:rPr>
            </w:pPr>
            <w:r w:rsidRPr="00324DD5">
              <w:rPr>
                <w:rFonts w:ascii="Arial Narrow" w:hAnsi="Arial Narrow" w:cs="Tahoma"/>
                <w:bCs/>
                <w:sz w:val="20"/>
              </w:rPr>
              <w:t>3.46%</w:t>
            </w:r>
          </w:p>
        </w:tc>
        <w:tc>
          <w:tcPr>
            <w:tcW w:w="1191" w:type="dxa"/>
          </w:tcPr>
          <w:p w14:paraId="322D5898" w14:textId="72E2FB2D" w:rsidR="00F708EF" w:rsidRPr="00324DD5" w:rsidRDefault="00076174" w:rsidP="00F708EF">
            <w:pPr>
              <w:keepNext/>
              <w:keepLines/>
              <w:widowControl w:val="0"/>
              <w:spacing w:before="0" w:after="0"/>
              <w:rPr>
                <w:rFonts w:ascii="Arial Narrow" w:hAnsi="Arial Narrow" w:cs="Tahoma"/>
                <w:bCs/>
                <w:sz w:val="20"/>
              </w:rPr>
            </w:pPr>
            <w:r w:rsidRPr="00324DD5">
              <w:rPr>
                <w:rFonts w:ascii="Arial Narrow" w:hAnsi="Arial Narrow" w:cs="Tahoma"/>
                <w:bCs/>
                <w:sz w:val="20"/>
              </w:rPr>
              <w:t>$redacted per stroke avoided</w:t>
            </w:r>
          </w:p>
        </w:tc>
      </w:tr>
      <w:tr w:rsidR="00F708EF" w:rsidRPr="00FD63E4" w14:paraId="022DF911" w14:textId="77777777" w:rsidTr="003F0EC8">
        <w:trPr>
          <w:trHeight w:val="20"/>
        </w:trPr>
        <w:tc>
          <w:tcPr>
            <w:tcW w:w="0" w:type="auto"/>
          </w:tcPr>
          <w:p w14:paraId="44C410CC"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2</w:t>
            </w:r>
          </w:p>
        </w:tc>
        <w:tc>
          <w:tcPr>
            <w:tcW w:w="1174" w:type="dxa"/>
          </w:tcPr>
          <w:p w14:paraId="30C54CBC"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Extrapolation of patient survival</w:t>
            </w:r>
          </w:p>
        </w:tc>
        <w:tc>
          <w:tcPr>
            <w:tcW w:w="926" w:type="dxa"/>
          </w:tcPr>
          <w:p w14:paraId="1C1D8DFC"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Lifetime</w:t>
            </w:r>
          </w:p>
        </w:tc>
        <w:tc>
          <w:tcPr>
            <w:tcW w:w="1275" w:type="dxa"/>
          </w:tcPr>
          <w:p w14:paraId="34DCAD2D"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Life years</w:t>
            </w:r>
          </w:p>
        </w:tc>
        <w:tc>
          <w:tcPr>
            <w:tcW w:w="1485" w:type="dxa"/>
          </w:tcPr>
          <w:p w14:paraId="10EC6CC5" w14:textId="77777777" w:rsidR="00F708EF" w:rsidRPr="00324DD5" w:rsidRDefault="00F708EF" w:rsidP="00F708EF">
            <w:pPr>
              <w:keepNext/>
              <w:keepLines/>
              <w:widowControl w:val="0"/>
              <w:spacing w:before="0" w:after="0"/>
              <w:rPr>
                <w:rFonts w:ascii="Arial Narrow" w:hAnsi="Arial Narrow" w:cs="Tahoma"/>
                <w:bCs/>
                <w:sz w:val="20"/>
              </w:rPr>
            </w:pPr>
            <w:r w:rsidRPr="00324DD5">
              <w:rPr>
                <w:rFonts w:ascii="Arial Narrow" w:hAnsi="Arial Narrow" w:cs="Tahoma"/>
                <w:bCs/>
                <w:sz w:val="20"/>
              </w:rPr>
              <w:t>Screening, index procedure and stroke-related healthcare costs</w:t>
            </w:r>
          </w:p>
        </w:tc>
        <w:tc>
          <w:tcPr>
            <w:tcW w:w="1137" w:type="dxa"/>
          </w:tcPr>
          <w:p w14:paraId="591577BD" w14:textId="6B08378D" w:rsidR="00F708EF" w:rsidRPr="00324DD5" w:rsidRDefault="00076174" w:rsidP="00F708EF">
            <w:pPr>
              <w:keepNext/>
              <w:keepLines/>
              <w:widowControl w:val="0"/>
              <w:spacing w:before="0" w:after="0"/>
              <w:rPr>
                <w:rFonts w:ascii="Arial Narrow" w:hAnsi="Arial Narrow" w:cs="Tahoma"/>
                <w:bCs/>
                <w:sz w:val="20"/>
              </w:rPr>
            </w:pPr>
            <w:r w:rsidRPr="00324DD5">
              <w:rPr>
                <w:rFonts w:ascii="Arial Narrow" w:hAnsi="Arial Narrow" w:cs="Tahoma"/>
                <w:bCs/>
                <w:sz w:val="20"/>
              </w:rPr>
              <w:t>$redacted</w:t>
            </w:r>
          </w:p>
        </w:tc>
        <w:tc>
          <w:tcPr>
            <w:tcW w:w="1256" w:type="dxa"/>
          </w:tcPr>
          <w:p w14:paraId="279F7404" w14:textId="29F5F93E" w:rsidR="00F708EF" w:rsidRPr="00324DD5" w:rsidRDefault="00076174" w:rsidP="00F708EF">
            <w:pPr>
              <w:keepNext/>
              <w:keepLines/>
              <w:widowControl w:val="0"/>
              <w:spacing w:before="0" w:after="0"/>
              <w:rPr>
                <w:rFonts w:ascii="Arial Narrow" w:hAnsi="Arial Narrow" w:cs="Tahoma"/>
                <w:bCs/>
                <w:sz w:val="20"/>
              </w:rPr>
            </w:pPr>
            <w:r w:rsidRPr="00324DD5">
              <w:rPr>
                <w:rFonts w:ascii="Arial Narrow" w:hAnsi="Arial Narrow" w:cs="Tahoma"/>
                <w:bCs/>
                <w:sz w:val="20"/>
              </w:rPr>
              <w:t>redacted</w:t>
            </w:r>
          </w:p>
          <w:p w14:paraId="1A6E92F7" w14:textId="01DAC0DA" w:rsidR="00F708EF" w:rsidRPr="00324DD5" w:rsidRDefault="00076174" w:rsidP="00324DD5">
            <w:pPr>
              <w:keepNext/>
              <w:keepLines/>
              <w:widowControl w:val="0"/>
              <w:spacing w:before="480" w:after="0"/>
              <w:rPr>
                <w:rFonts w:ascii="Arial Narrow" w:hAnsi="Arial Narrow" w:cs="Tahoma"/>
                <w:bCs/>
                <w:sz w:val="20"/>
                <w:vertAlign w:val="superscript"/>
              </w:rPr>
            </w:pPr>
            <w:r w:rsidRPr="00324DD5">
              <w:rPr>
                <w:rFonts w:ascii="Arial Narrow" w:hAnsi="Arial Narrow" w:cs="Tahoma"/>
                <w:bCs/>
                <w:sz w:val="20"/>
              </w:rPr>
              <w:t>redacted</w:t>
            </w:r>
            <w:r w:rsidRPr="00324DD5">
              <w:rPr>
                <w:rFonts w:ascii="Arial Narrow" w:hAnsi="Arial Narrow" w:cs="Tahoma"/>
                <w:bCs/>
                <w:iCs/>
                <w:sz w:val="20"/>
                <w:vertAlign w:val="superscript"/>
              </w:rPr>
              <w:t xml:space="preserve"> a</w:t>
            </w:r>
          </w:p>
        </w:tc>
        <w:tc>
          <w:tcPr>
            <w:tcW w:w="1191" w:type="dxa"/>
          </w:tcPr>
          <w:p w14:paraId="1F08CCD3" w14:textId="274D8232" w:rsidR="00F708EF" w:rsidRPr="00324DD5" w:rsidRDefault="00076174" w:rsidP="00F708EF">
            <w:pPr>
              <w:keepNext/>
              <w:keepLines/>
              <w:widowControl w:val="0"/>
              <w:spacing w:before="0" w:after="0"/>
              <w:rPr>
                <w:rFonts w:ascii="Arial Narrow" w:hAnsi="Arial Narrow" w:cs="Tahoma"/>
                <w:bCs/>
                <w:sz w:val="20"/>
              </w:rPr>
            </w:pPr>
            <w:r w:rsidRPr="00324DD5">
              <w:rPr>
                <w:rFonts w:ascii="Arial Narrow" w:hAnsi="Arial Narrow" w:cs="Tahoma"/>
                <w:bCs/>
                <w:sz w:val="20"/>
              </w:rPr>
              <w:t>$redacted per life year</w:t>
            </w:r>
          </w:p>
          <w:p w14:paraId="1E857D8B" w14:textId="0F124755" w:rsidR="00F708EF" w:rsidRPr="00324DD5" w:rsidRDefault="00076174" w:rsidP="00324DD5">
            <w:pPr>
              <w:keepNext/>
              <w:keepLines/>
              <w:widowControl w:val="0"/>
              <w:spacing w:before="240" w:after="0"/>
              <w:rPr>
                <w:rFonts w:ascii="Arial Narrow" w:hAnsi="Arial Narrow" w:cs="Tahoma"/>
                <w:bCs/>
                <w:i/>
                <w:sz w:val="20"/>
              </w:rPr>
            </w:pPr>
            <w:r w:rsidRPr="00324DD5">
              <w:rPr>
                <w:rFonts w:ascii="Arial Narrow" w:hAnsi="Arial Narrow" w:cs="Tahoma"/>
                <w:bCs/>
                <w:sz w:val="20"/>
              </w:rPr>
              <w:t>$redacted</w:t>
            </w:r>
            <w:r w:rsidRPr="00324DD5">
              <w:rPr>
                <w:rFonts w:ascii="Arial Narrow" w:hAnsi="Arial Narrow" w:cs="Tahoma"/>
                <w:bCs/>
                <w:i/>
                <w:iCs/>
                <w:sz w:val="20"/>
              </w:rPr>
              <w:t xml:space="preserve"> per life year </w:t>
            </w:r>
            <w:r w:rsidRPr="00324DD5">
              <w:rPr>
                <w:rFonts w:ascii="Arial Narrow" w:hAnsi="Arial Narrow" w:cs="Tahoma"/>
                <w:bCs/>
                <w:i/>
                <w:iCs/>
                <w:sz w:val="20"/>
                <w:vertAlign w:val="superscript"/>
              </w:rPr>
              <w:t xml:space="preserve"> a</w:t>
            </w:r>
          </w:p>
        </w:tc>
      </w:tr>
      <w:tr w:rsidR="00F708EF" w:rsidRPr="00FD63E4" w14:paraId="308CEFEE" w14:textId="77777777" w:rsidTr="003F0EC8">
        <w:trPr>
          <w:trHeight w:val="20"/>
        </w:trPr>
        <w:tc>
          <w:tcPr>
            <w:tcW w:w="0" w:type="auto"/>
          </w:tcPr>
          <w:p w14:paraId="38B8C42A"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3</w:t>
            </w:r>
          </w:p>
        </w:tc>
        <w:tc>
          <w:tcPr>
            <w:tcW w:w="1174" w:type="dxa"/>
          </w:tcPr>
          <w:p w14:paraId="234A4193"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Incorporation of stroke-related healthcare costs</w:t>
            </w:r>
          </w:p>
        </w:tc>
        <w:tc>
          <w:tcPr>
            <w:tcW w:w="926" w:type="dxa"/>
          </w:tcPr>
          <w:p w14:paraId="72C2655D"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Lifetime</w:t>
            </w:r>
          </w:p>
        </w:tc>
        <w:tc>
          <w:tcPr>
            <w:tcW w:w="1275" w:type="dxa"/>
          </w:tcPr>
          <w:p w14:paraId="26B78D22"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Life years</w:t>
            </w:r>
          </w:p>
        </w:tc>
        <w:tc>
          <w:tcPr>
            <w:tcW w:w="1485" w:type="dxa"/>
          </w:tcPr>
          <w:p w14:paraId="6AAE1E00" w14:textId="77777777" w:rsidR="00F708EF" w:rsidRPr="00324DD5" w:rsidRDefault="00F708EF" w:rsidP="00F708EF">
            <w:pPr>
              <w:keepNext/>
              <w:keepLines/>
              <w:widowControl w:val="0"/>
              <w:spacing w:before="0" w:after="0"/>
              <w:rPr>
                <w:rFonts w:ascii="Arial Narrow" w:hAnsi="Arial Narrow" w:cs="Tahoma"/>
                <w:bCs/>
                <w:sz w:val="20"/>
              </w:rPr>
            </w:pPr>
            <w:r w:rsidRPr="00324DD5">
              <w:rPr>
                <w:rFonts w:ascii="Arial Narrow" w:hAnsi="Arial Narrow" w:cs="Tahoma"/>
                <w:bCs/>
                <w:sz w:val="20"/>
              </w:rPr>
              <w:t>Screening, index procedure and stroke-related healthcare costs</w:t>
            </w:r>
          </w:p>
        </w:tc>
        <w:tc>
          <w:tcPr>
            <w:tcW w:w="1137" w:type="dxa"/>
          </w:tcPr>
          <w:p w14:paraId="34C1DF3C" w14:textId="07BA3BE5" w:rsidR="00F708EF" w:rsidRPr="00324DD5" w:rsidRDefault="00076174" w:rsidP="00F708EF">
            <w:pPr>
              <w:keepNext/>
              <w:keepLines/>
              <w:widowControl w:val="0"/>
              <w:spacing w:before="0" w:after="0"/>
              <w:rPr>
                <w:rFonts w:ascii="Arial Narrow" w:hAnsi="Arial Narrow" w:cs="Tahoma"/>
                <w:bCs/>
                <w:sz w:val="20"/>
              </w:rPr>
            </w:pPr>
            <w:r w:rsidRPr="00324DD5">
              <w:rPr>
                <w:rFonts w:ascii="Arial Narrow" w:hAnsi="Arial Narrow" w:cs="Tahoma"/>
                <w:bCs/>
                <w:sz w:val="20"/>
              </w:rPr>
              <w:t>$redacted</w:t>
            </w:r>
          </w:p>
        </w:tc>
        <w:tc>
          <w:tcPr>
            <w:tcW w:w="1256" w:type="dxa"/>
          </w:tcPr>
          <w:p w14:paraId="1E3E37DF" w14:textId="0DF2ACB1" w:rsidR="00F708EF" w:rsidRPr="00324DD5" w:rsidRDefault="00076174" w:rsidP="00F708EF">
            <w:pPr>
              <w:keepNext/>
              <w:keepLines/>
              <w:widowControl w:val="0"/>
              <w:spacing w:before="0" w:after="0"/>
              <w:rPr>
                <w:rFonts w:ascii="Arial Narrow" w:hAnsi="Arial Narrow" w:cs="Tahoma"/>
                <w:bCs/>
                <w:sz w:val="20"/>
              </w:rPr>
            </w:pPr>
            <w:r w:rsidRPr="00324DD5">
              <w:rPr>
                <w:rFonts w:ascii="Arial Narrow" w:hAnsi="Arial Narrow" w:cs="Tahoma"/>
                <w:bCs/>
                <w:sz w:val="20"/>
              </w:rPr>
              <w:t xml:space="preserve">redacted </w:t>
            </w:r>
          </w:p>
          <w:p w14:paraId="0E51EDD6" w14:textId="312521B2" w:rsidR="00F708EF" w:rsidRPr="00324DD5" w:rsidRDefault="00076174" w:rsidP="00324DD5">
            <w:pPr>
              <w:keepNext/>
              <w:keepLines/>
              <w:widowControl w:val="0"/>
              <w:spacing w:before="480" w:after="0"/>
              <w:rPr>
                <w:rFonts w:ascii="Arial Narrow" w:hAnsi="Arial Narrow" w:cs="Tahoma"/>
                <w:bCs/>
                <w:sz w:val="20"/>
              </w:rPr>
            </w:pPr>
            <w:r w:rsidRPr="00324DD5">
              <w:rPr>
                <w:rFonts w:ascii="Arial Narrow" w:hAnsi="Arial Narrow" w:cs="Tahoma"/>
                <w:bCs/>
                <w:sz w:val="20"/>
              </w:rPr>
              <w:t>redacted</w:t>
            </w:r>
            <w:r w:rsidRPr="00324DD5">
              <w:rPr>
                <w:rFonts w:ascii="Arial Narrow" w:hAnsi="Arial Narrow" w:cs="Tahoma"/>
                <w:bCs/>
                <w:iCs/>
                <w:sz w:val="20"/>
                <w:vertAlign w:val="superscript"/>
              </w:rPr>
              <w:t xml:space="preserve"> a</w:t>
            </w:r>
          </w:p>
        </w:tc>
        <w:tc>
          <w:tcPr>
            <w:tcW w:w="1191" w:type="dxa"/>
          </w:tcPr>
          <w:p w14:paraId="781DF4D8" w14:textId="53BA399E" w:rsidR="00F708EF" w:rsidRPr="00324DD5" w:rsidRDefault="00076174" w:rsidP="00F708EF">
            <w:pPr>
              <w:keepNext/>
              <w:keepLines/>
              <w:widowControl w:val="0"/>
              <w:spacing w:before="0" w:after="0"/>
              <w:rPr>
                <w:rFonts w:ascii="Arial Narrow" w:hAnsi="Arial Narrow" w:cs="Tahoma"/>
                <w:bCs/>
                <w:sz w:val="20"/>
              </w:rPr>
            </w:pPr>
            <w:r w:rsidRPr="00324DD5">
              <w:rPr>
                <w:rFonts w:ascii="Arial Narrow" w:hAnsi="Arial Narrow" w:cs="Tahoma"/>
                <w:bCs/>
                <w:sz w:val="20"/>
              </w:rPr>
              <w:t>$redacted per life year</w:t>
            </w:r>
          </w:p>
          <w:p w14:paraId="2D3049D3" w14:textId="6A934C74" w:rsidR="00F708EF" w:rsidRPr="00324DD5" w:rsidRDefault="00076174" w:rsidP="00324DD5">
            <w:pPr>
              <w:keepNext/>
              <w:keepLines/>
              <w:widowControl w:val="0"/>
              <w:spacing w:before="240" w:after="0"/>
              <w:rPr>
                <w:rFonts w:ascii="Arial Narrow" w:hAnsi="Arial Narrow" w:cs="Tahoma"/>
                <w:bCs/>
                <w:i/>
                <w:sz w:val="20"/>
              </w:rPr>
            </w:pPr>
            <w:r w:rsidRPr="00324DD5">
              <w:rPr>
                <w:rFonts w:ascii="Arial Narrow" w:hAnsi="Arial Narrow" w:cs="Tahoma"/>
                <w:bCs/>
                <w:sz w:val="20"/>
              </w:rPr>
              <w:t>$redacted</w:t>
            </w:r>
            <w:r w:rsidRPr="00324DD5">
              <w:rPr>
                <w:rFonts w:ascii="Arial Narrow" w:hAnsi="Arial Narrow" w:cs="Tahoma"/>
                <w:bCs/>
                <w:i/>
                <w:iCs/>
                <w:sz w:val="20"/>
              </w:rPr>
              <w:t xml:space="preserve"> per life year </w:t>
            </w:r>
            <w:r w:rsidRPr="00324DD5">
              <w:rPr>
                <w:rFonts w:ascii="Arial Narrow" w:hAnsi="Arial Narrow" w:cs="Tahoma"/>
                <w:bCs/>
                <w:i/>
                <w:iCs/>
                <w:sz w:val="20"/>
                <w:vertAlign w:val="superscript"/>
              </w:rPr>
              <w:t xml:space="preserve"> a</w:t>
            </w:r>
          </w:p>
        </w:tc>
      </w:tr>
      <w:tr w:rsidR="00F708EF" w:rsidRPr="00FD63E4" w14:paraId="067786B7" w14:textId="77777777" w:rsidTr="003F0EC8">
        <w:trPr>
          <w:trHeight w:val="20"/>
        </w:trPr>
        <w:tc>
          <w:tcPr>
            <w:tcW w:w="0" w:type="auto"/>
          </w:tcPr>
          <w:p w14:paraId="29DD53DB"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4</w:t>
            </w:r>
          </w:p>
        </w:tc>
        <w:tc>
          <w:tcPr>
            <w:tcW w:w="1174" w:type="dxa"/>
          </w:tcPr>
          <w:p w14:paraId="2AE6BC98"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Translation of life years to QALYs</w:t>
            </w:r>
          </w:p>
        </w:tc>
        <w:tc>
          <w:tcPr>
            <w:tcW w:w="926" w:type="dxa"/>
          </w:tcPr>
          <w:p w14:paraId="70DDEA5C"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Lifetime</w:t>
            </w:r>
          </w:p>
        </w:tc>
        <w:tc>
          <w:tcPr>
            <w:tcW w:w="1275" w:type="dxa"/>
          </w:tcPr>
          <w:p w14:paraId="0C74AEC8" w14:textId="77777777" w:rsidR="00F708EF" w:rsidRPr="00FD63E4" w:rsidRDefault="00F708EF" w:rsidP="00F708EF">
            <w:pPr>
              <w:keepNext/>
              <w:keepLines/>
              <w:widowControl w:val="0"/>
              <w:spacing w:before="0" w:after="0"/>
              <w:rPr>
                <w:rFonts w:ascii="Arial Narrow" w:hAnsi="Arial Narrow" w:cs="Tahoma"/>
                <w:sz w:val="20"/>
              </w:rPr>
            </w:pPr>
            <w:r w:rsidRPr="00FD63E4">
              <w:rPr>
                <w:rFonts w:ascii="Arial Narrow" w:hAnsi="Arial Narrow" w:cs="Tahoma"/>
                <w:sz w:val="20"/>
              </w:rPr>
              <w:t>QALYs</w:t>
            </w:r>
          </w:p>
        </w:tc>
        <w:tc>
          <w:tcPr>
            <w:tcW w:w="1485" w:type="dxa"/>
          </w:tcPr>
          <w:p w14:paraId="7361DCBC" w14:textId="77777777" w:rsidR="00F708EF" w:rsidRPr="00324DD5" w:rsidRDefault="00F708EF" w:rsidP="00F708EF">
            <w:pPr>
              <w:keepNext/>
              <w:keepLines/>
              <w:widowControl w:val="0"/>
              <w:spacing w:before="0" w:after="0"/>
              <w:rPr>
                <w:rFonts w:ascii="Arial Narrow" w:hAnsi="Arial Narrow" w:cs="Tahoma"/>
                <w:bCs/>
                <w:sz w:val="20"/>
              </w:rPr>
            </w:pPr>
            <w:r w:rsidRPr="00324DD5">
              <w:rPr>
                <w:rFonts w:ascii="Arial Narrow" w:hAnsi="Arial Narrow" w:cs="Tahoma"/>
                <w:bCs/>
                <w:sz w:val="20"/>
              </w:rPr>
              <w:t>Screening, index procedure and stroke-related healthcare costs</w:t>
            </w:r>
          </w:p>
        </w:tc>
        <w:tc>
          <w:tcPr>
            <w:tcW w:w="1137" w:type="dxa"/>
          </w:tcPr>
          <w:p w14:paraId="0C5E0D57" w14:textId="63C25F69" w:rsidR="00F708EF" w:rsidRPr="00324DD5" w:rsidRDefault="00076174" w:rsidP="00F708EF">
            <w:pPr>
              <w:keepNext/>
              <w:keepLines/>
              <w:widowControl w:val="0"/>
              <w:spacing w:before="0" w:after="0"/>
              <w:rPr>
                <w:rFonts w:ascii="Arial Narrow" w:hAnsi="Arial Narrow" w:cs="Tahoma"/>
                <w:bCs/>
                <w:sz w:val="20"/>
              </w:rPr>
            </w:pPr>
            <w:r w:rsidRPr="00324DD5">
              <w:rPr>
                <w:rFonts w:ascii="Arial Narrow" w:hAnsi="Arial Narrow" w:cs="Tahoma"/>
                <w:bCs/>
                <w:sz w:val="20"/>
              </w:rPr>
              <w:t>$redacted</w:t>
            </w:r>
          </w:p>
        </w:tc>
        <w:tc>
          <w:tcPr>
            <w:tcW w:w="1256" w:type="dxa"/>
          </w:tcPr>
          <w:p w14:paraId="1C566769" w14:textId="0B60FD2C" w:rsidR="00F708EF" w:rsidRPr="00324DD5" w:rsidRDefault="00076174" w:rsidP="00F708EF">
            <w:pPr>
              <w:keepNext/>
              <w:keepLines/>
              <w:widowControl w:val="0"/>
              <w:spacing w:before="0" w:after="0"/>
              <w:rPr>
                <w:rFonts w:ascii="Arial Narrow" w:hAnsi="Arial Narrow" w:cs="Tahoma"/>
                <w:bCs/>
                <w:sz w:val="20"/>
              </w:rPr>
            </w:pPr>
            <w:r w:rsidRPr="00324DD5">
              <w:rPr>
                <w:rFonts w:ascii="Arial Narrow" w:hAnsi="Arial Narrow" w:cs="Tahoma"/>
                <w:bCs/>
                <w:sz w:val="20"/>
              </w:rPr>
              <w:t xml:space="preserve">redacted </w:t>
            </w:r>
          </w:p>
          <w:p w14:paraId="0FFD15A0" w14:textId="03DF0C9B" w:rsidR="00F708EF" w:rsidRPr="00324DD5" w:rsidRDefault="00076174" w:rsidP="00324DD5">
            <w:pPr>
              <w:keepNext/>
              <w:keepLines/>
              <w:widowControl w:val="0"/>
              <w:spacing w:before="480" w:after="0"/>
              <w:rPr>
                <w:rFonts w:ascii="Arial Narrow" w:hAnsi="Arial Narrow" w:cs="Tahoma"/>
                <w:bCs/>
                <w:sz w:val="20"/>
              </w:rPr>
            </w:pPr>
            <w:r w:rsidRPr="00324DD5">
              <w:rPr>
                <w:rFonts w:ascii="Arial Narrow" w:hAnsi="Arial Narrow" w:cs="Tahoma"/>
                <w:bCs/>
                <w:sz w:val="20"/>
              </w:rPr>
              <w:t>redacted</w:t>
            </w:r>
            <w:r w:rsidRPr="00324DD5">
              <w:rPr>
                <w:rFonts w:ascii="Arial Narrow" w:hAnsi="Arial Narrow" w:cs="Tahoma"/>
                <w:bCs/>
                <w:iCs/>
                <w:sz w:val="20"/>
                <w:vertAlign w:val="superscript"/>
              </w:rPr>
              <w:t xml:space="preserve"> a</w:t>
            </w:r>
          </w:p>
        </w:tc>
        <w:tc>
          <w:tcPr>
            <w:tcW w:w="1191" w:type="dxa"/>
          </w:tcPr>
          <w:p w14:paraId="7B33612E" w14:textId="59E45063" w:rsidR="00F708EF" w:rsidRPr="00324DD5" w:rsidRDefault="00F708EF" w:rsidP="00F708EF">
            <w:pPr>
              <w:keepNext/>
              <w:keepLines/>
              <w:widowControl w:val="0"/>
              <w:spacing w:before="0" w:after="0"/>
              <w:rPr>
                <w:rFonts w:ascii="Arial Narrow" w:hAnsi="Arial Narrow" w:cs="Tahoma"/>
                <w:bCs/>
                <w:sz w:val="20"/>
              </w:rPr>
            </w:pPr>
            <w:r w:rsidRPr="00324DD5">
              <w:rPr>
                <w:rFonts w:ascii="Arial Narrow" w:hAnsi="Arial Narrow" w:cs="Tahoma"/>
                <w:bCs/>
                <w:sz w:val="20"/>
              </w:rPr>
              <w:t>$</w:t>
            </w:r>
            <w:r w:rsidR="00076174" w:rsidRPr="00324DD5">
              <w:rPr>
                <w:rFonts w:ascii="Arial Narrow" w:hAnsi="Arial Narrow" w:cs="Tahoma"/>
                <w:bCs/>
                <w:sz w:val="20"/>
              </w:rPr>
              <w:t xml:space="preserve">redacted </w:t>
            </w:r>
            <w:r w:rsidRPr="00324DD5">
              <w:rPr>
                <w:rFonts w:ascii="Arial Narrow" w:hAnsi="Arial Narrow" w:cs="Tahoma"/>
                <w:bCs/>
                <w:sz w:val="20"/>
              </w:rPr>
              <w:t>per QALY</w:t>
            </w:r>
          </w:p>
          <w:p w14:paraId="6D418AD2" w14:textId="5AAC83F2" w:rsidR="00F708EF" w:rsidRPr="00324DD5" w:rsidRDefault="00F708EF" w:rsidP="00324DD5">
            <w:pPr>
              <w:keepNext/>
              <w:keepLines/>
              <w:widowControl w:val="0"/>
              <w:spacing w:before="240" w:after="0"/>
              <w:rPr>
                <w:rFonts w:ascii="Arial Narrow" w:hAnsi="Arial Narrow" w:cs="Tahoma"/>
                <w:bCs/>
                <w:i/>
                <w:sz w:val="20"/>
              </w:rPr>
            </w:pPr>
            <w:r w:rsidRPr="00324DD5">
              <w:rPr>
                <w:rFonts w:ascii="Arial Narrow" w:hAnsi="Arial Narrow" w:cs="Tahoma"/>
                <w:bCs/>
                <w:sz w:val="20"/>
              </w:rPr>
              <w:t>$</w:t>
            </w:r>
            <w:r w:rsidR="00076174" w:rsidRPr="00324DD5">
              <w:rPr>
                <w:rFonts w:ascii="Arial Narrow" w:hAnsi="Arial Narrow" w:cs="Tahoma"/>
                <w:bCs/>
                <w:sz w:val="20"/>
              </w:rPr>
              <w:t>redacted</w:t>
            </w:r>
            <w:r w:rsidR="00076174" w:rsidRPr="00324DD5">
              <w:rPr>
                <w:rFonts w:ascii="Arial Narrow" w:hAnsi="Arial Narrow" w:cs="Tahoma"/>
                <w:bCs/>
                <w:i/>
                <w:iCs/>
                <w:sz w:val="20"/>
              </w:rPr>
              <w:t xml:space="preserve"> </w:t>
            </w:r>
            <w:r w:rsidRPr="00324DD5">
              <w:rPr>
                <w:rFonts w:ascii="Arial Narrow" w:hAnsi="Arial Narrow" w:cs="Tahoma"/>
                <w:bCs/>
                <w:i/>
                <w:iCs/>
                <w:sz w:val="20"/>
              </w:rPr>
              <w:t xml:space="preserve">per QALY </w:t>
            </w:r>
            <w:r w:rsidRPr="00324DD5">
              <w:rPr>
                <w:rFonts w:ascii="Arial Narrow" w:hAnsi="Arial Narrow" w:cs="Tahoma"/>
                <w:bCs/>
                <w:i/>
                <w:iCs/>
                <w:sz w:val="20"/>
                <w:vertAlign w:val="superscript"/>
              </w:rPr>
              <w:t xml:space="preserve"> a</w:t>
            </w:r>
          </w:p>
        </w:tc>
      </w:tr>
    </w:tbl>
    <w:p w14:paraId="3277C7AA" w14:textId="77777777" w:rsidR="007637F7" w:rsidRPr="00AA35EA" w:rsidRDefault="007637F7" w:rsidP="007637F7">
      <w:pPr>
        <w:keepNext/>
        <w:keepLines/>
        <w:jc w:val="both"/>
        <w:rPr>
          <w:rFonts w:ascii="Arial Narrow" w:eastAsia="Calibri" w:hAnsi="Arial Narrow" w:cs="Arial"/>
          <w:sz w:val="16"/>
          <w:szCs w:val="16"/>
          <w:lang w:eastAsia="en-US"/>
        </w:rPr>
      </w:pPr>
      <w:r w:rsidRPr="00AA35EA">
        <w:rPr>
          <w:rFonts w:ascii="Arial Narrow" w:eastAsia="Calibri" w:hAnsi="Arial Narrow" w:cs="Arial"/>
          <w:sz w:val="16"/>
          <w:szCs w:val="16"/>
          <w:lang w:eastAsia="en-US"/>
        </w:rPr>
        <w:t>Source: Table 8, pxxi of the Commentary</w:t>
      </w:r>
    </w:p>
    <w:p w14:paraId="38338C8A" w14:textId="77777777" w:rsidR="007637F7" w:rsidRPr="00AA35EA" w:rsidRDefault="007637F7" w:rsidP="007637F7">
      <w:pPr>
        <w:keepNext/>
        <w:keepLines/>
        <w:jc w:val="both"/>
        <w:rPr>
          <w:rFonts w:ascii="Arial Narrow" w:eastAsia="Calibri" w:hAnsi="Arial Narrow" w:cs="Arial"/>
          <w:sz w:val="16"/>
          <w:szCs w:val="16"/>
          <w:lang w:eastAsia="en-US"/>
        </w:rPr>
      </w:pPr>
      <w:r w:rsidRPr="00AA35EA">
        <w:rPr>
          <w:rFonts w:ascii="Arial Narrow" w:eastAsia="Calibri" w:hAnsi="Arial Narrow" w:cs="Arial"/>
          <w:sz w:val="16"/>
          <w:szCs w:val="16"/>
          <w:lang w:eastAsia="en-US"/>
        </w:rPr>
        <w:t>Abbreviations: CEP, cerebral embolic protection; ICER, Incremental cost effectiveness ratio; QALYs, Quality adjusted life years.</w:t>
      </w:r>
    </w:p>
    <w:p w14:paraId="2CA3646C" w14:textId="77777777" w:rsidR="007637F7" w:rsidRPr="00AA35EA" w:rsidRDefault="007637F7" w:rsidP="007637F7">
      <w:pPr>
        <w:keepNext/>
        <w:keepLines/>
        <w:jc w:val="both"/>
        <w:rPr>
          <w:rFonts w:ascii="Arial Narrow" w:eastAsia="Calibri" w:hAnsi="Arial Narrow" w:cs="Arial"/>
          <w:sz w:val="16"/>
          <w:szCs w:val="16"/>
          <w:lang w:eastAsia="en-US"/>
        </w:rPr>
      </w:pPr>
      <w:r w:rsidRPr="00AA35EA">
        <w:rPr>
          <w:rFonts w:ascii="Arial Narrow" w:eastAsia="Calibri" w:hAnsi="Arial Narrow" w:cs="Arial"/>
          <w:sz w:val="16"/>
          <w:szCs w:val="16"/>
          <w:lang w:eastAsia="en-US"/>
        </w:rPr>
        <w:t>Note: As calculated from the meta-analysis of SENTINEL IDE, MISTRAL-C, CLEAN TAVI and Kroon 2019.</w:t>
      </w:r>
    </w:p>
    <w:p w14:paraId="1350585B" w14:textId="77777777" w:rsidR="007637F7" w:rsidRPr="00AA35EA" w:rsidRDefault="007637F7" w:rsidP="007637F7">
      <w:pPr>
        <w:keepNext/>
        <w:keepLines/>
        <w:jc w:val="both"/>
        <w:rPr>
          <w:rFonts w:ascii="Arial Narrow" w:eastAsia="Calibri" w:hAnsi="Arial Narrow" w:cs="Arial"/>
          <w:sz w:val="16"/>
          <w:szCs w:val="16"/>
          <w:lang w:eastAsia="en-US"/>
        </w:rPr>
      </w:pPr>
      <w:r w:rsidRPr="00AA35EA">
        <w:rPr>
          <w:rFonts w:ascii="Arial Narrow" w:eastAsia="Calibri" w:hAnsi="Arial Narrow" w:cs="Arial"/>
          <w:sz w:val="16"/>
          <w:szCs w:val="16"/>
          <w:lang w:eastAsia="en-US"/>
        </w:rPr>
        <w:t>TAVI+CEP: non-disabling stroke=2.26%, disabling stroke =0.56%</w:t>
      </w:r>
    </w:p>
    <w:p w14:paraId="0C5A5BBA" w14:textId="77777777" w:rsidR="007637F7" w:rsidRPr="00AA35EA" w:rsidRDefault="007637F7" w:rsidP="007637F7">
      <w:pPr>
        <w:keepNext/>
        <w:keepLines/>
        <w:jc w:val="both"/>
        <w:rPr>
          <w:rFonts w:ascii="Arial Narrow" w:eastAsia="Calibri" w:hAnsi="Arial Narrow" w:cs="Arial"/>
          <w:sz w:val="16"/>
          <w:szCs w:val="16"/>
          <w:lang w:eastAsia="en-US"/>
        </w:rPr>
      </w:pPr>
      <w:r w:rsidRPr="00AA35EA">
        <w:rPr>
          <w:rFonts w:ascii="Arial Narrow" w:eastAsia="Calibri" w:hAnsi="Arial Narrow" w:cs="Arial"/>
          <w:sz w:val="16"/>
          <w:szCs w:val="16"/>
          <w:lang w:eastAsia="en-US"/>
        </w:rPr>
        <w:t>TAVI alone: non-disabling stroke =3.04%, disabling stroke =3.24%</w:t>
      </w:r>
    </w:p>
    <w:p w14:paraId="017D98AF" w14:textId="77777777" w:rsidR="007637F7" w:rsidRPr="00AA35EA" w:rsidRDefault="007637F7" w:rsidP="007637F7">
      <w:pPr>
        <w:keepNext/>
        <w:keepLines/>
        <w:spacing w:after="240"/>
        <w:jc w:val="both"/>
        <w:rPr>
          <w:rFonts w:ascii="Arial Narrow" w:eastAsia="Calibri" w:hAnsi="Arial Narrow" w:cs="Arial"/>
          <w:sz w:val="16"/>
          <w:szCs w:val="16"/>
          <w:lang w:eastAsia="en-US"/>
        </w:rPr>
      </w:pPr>
      <w:r w:rsidRPr="00AA35EA">
        <w:rPr>
          <w:rFonts w:ascii="Arial Narrow" w:eastAsia="Calibri" w:hAnsi="Arial Narrow" w:cs="Arial"/>
          <w:sz w:val="16"/>
          <w:szCs w:val="16"/>
          <w:vertAlign w:val="superscript"/>
          <w:lang w:eastAsia="en-US"/>
        </w:rPr>
        <w:t xml:space="preserve">a </w:t>
      </w:r>
      <w:r w:rsidRPr="00AA35EA">
        <w:rPr>
          <w:rFonts w:ascii="Arial Narrow" w:eastAsia="Calibri" w:hAnsi="Arial Narrow" w:cs="Arial"/>
          <w:sz w:val="16"/>
          <w:szCs w:val="16"/>
          <w:lang w:eastAsia="en-US"/>
        </w:rPr>
        <w:t>Corrected values using a baseline age of 82</w:t>
      </w:r>
    </w:p>
    <w:p w14:paraId="0CADEFF8" w14:textId="04AE38C9" w:rsidR="007637F7" w:rsidRDefault="007637F7" w:rsidP="007637F7">
      <w:r w:rsidRPr="001B12C0">
        <w:t xml:space="preserve">In both populations, TAVI+CEP had an ICER of less than $50,000/QALY. The </w:t>
      </w:r>
      <w:r w:rsidR="00193469">
        <w:t>C</w:t>
      </w:r>
      <w:r>
        <w:t xml:space="preserve">ommentary considered the </w:t>
      </w:r>
      <w:r w:rsidRPr="001B12C0">
        <w:t xml:space="preserve">comparative incremental utility gained by TAVI+CEP </w:t>
      </w:r>
      <w:r w:rsidRPr="00647629">
        <w:rPr>
          <w:i/>
        </w:rPr>
        <w:t>vs</w:t>
      </w:r>
      <w:r>
        <w:t>.</w:t>
      </w:r>
      <w:r w:rsidRPr="001B12C0">
        <w:t xml:space="preserve"> TAVI may be lower than estimated in the model; particularly due to no stroke recurrence and increased disability over time due to stroke. As the TAVI only arm had greater rates of stroke, incremental utilities calculated were likely higher than if </w:t>
      </w:r>
      <w:r>
        <w:t>decline in utility for stroke related disabilities</w:t>
      </w:r>
      <w:r w:rsidRPr="001B12C0">
        <w:t xml:space="preserve"> were modelled.</w:t>
      </w:r>
    </w:p>
    <w:p w14:paraId="10C71196" w14:textId="675B9BE3" w:rsidR="007637F7" w:rsidRDefault="007637F7" w:rsidP="007637F7">
      <w:pPr>
        <w:rPr>
          <w:iCs/>
        </w:rPr>
      </w:pPr>
      <w:r w:rsidRPr="00FD63E4">
        <w:t>The modelled results were most sensitive to applied stroke rates and the time horizon. It was also sensitive to utilit</w:t>
      </w:r>
      <w:r>
        <w:t>y values and health state costs</w:t>
      </w:r>
      <w:r w:rsidRPr="00FD63E4">
        <w:rPr>
          <w:i/>
          <w:iCs/>
        </w:rPr>
        <w:t>.</w:t>
      </w:r>
      <w:r w:rsidRPr="009C06EE">
        <w:t xml:space="preserve"> </w:t>
      </w:r>
      <w:r>
        <w:t xml:space="preserve">The Commentary considered that </w:t>
      </w:r>
      <w:r>
        <w:rPr>
          <w:iCs/>
        </w:rPr>
        <w:t>t</w:t>
      </w:r>
      <w:r w:rsidRPr="009C06EE">
        <w:rPr>
          <w:iCs/>
        </w:rPr>
        <w:t>here is uncertainty concerning the appropriate time horizon and health state values to use in the economic evaluation. Any increase in the time horizon would decrease the ICER as the bulk of costs in the model are incurred in the first year whereas health state costs are gained for the duration of the model.</w:t>
      </w:r>
      <w:r w:rsidRPr="009C06EE">
        <w:rPr>
          <w:i/>
          <w:iCs/>
        </w:rPr>
        <w:t xml:space="preserve"> </w:t>
      </w:r>
      <w:r w:rsidRPr="009C06EE">
        <w:rPr>
          <w:iCs/>
        </w:rPr>
        <w:t xml:space="preserve">The Commentary </w:t>
      </w:r>
      <w:r>
        <w:rPr>
          <w:iCs/>
        </w:rPr>
        <w:t>considered</w:t>
      </w:r>
      <w:r w:rsidRPr="009C06EE">
        <w:rPr>
          <w:iCs/>
        </w:rPr>
        <w:t xml:space="preserve"> that these areas of uncertainty were addressed and the base case values might be justified (</w:t>
      </w:r>
      <w:r w:rsidR="003F0EC8">
        <w:rPr>
          <w:iCs/>
        </w:rPr>
        <w:fldChar w:fldCharType="begin"/>
      </w:r>
      <w:r w:rsidR="003F0EC8">
        <w:rPr>
          <w:iCs/>
        </w:rPr>
        <w:instrText xml:space="preserve"> REF _Ref58332605 \h </w:instrText>
      </w:r>
      <w:r w:rsidR="003F0EC8">
        <w:rPr>
          <w:iCs/>
        </w:rPr>
      </w:r>
      <w:r w:rsidR="003F0EC8">
        <w:rPr>
          <w:iCs/>
        </w:rPr>
        <w:fldChar w:fldCharType="separate"/>
      </w:r>
      <w:r w:rsidR="003E3A7D">
        <w:t xml:space="preserve">Table </w:t>
      </w:r>
      <w:r w:rsidR="003E3A7D">
        <w:rPr>
          <w:noProof/>
        </w:rPr>
        <w:t>9</w:t>
      </w:r>
      <w:r w:rsidR="003F0EC8">
        <w:rPr>
          <w:iCs/>
        </w:rPr>
        <w:fldChar w:fldCharType="end"/>
      </w:r>
      <w:r w:rsidRPr="009C06EE">
        <w:rPr>
          <w:iCs/>
        </w:rPr>
        <w:t>).</w:t>
      </w:r>
    </w:p>
    <w:p w14:paraId="0011774E" w14:textId="26273DC4" w:rsidR="003F0EC8" w:rsidRPr="002D2859" w:rsidRDefault="003F0EC8" w:rsidP="002D2859">
      <w:pPr>
        <w:spacing w:before="240"/>
        <w:rPr>
          <w:rFonts w:ascii="Arial Narrow" w:hAnsi="Arial Narrow"/>
          <w:b/>
          <w:sz w:val="20"/>
        </w:rPr>
      </w:pPr>
      <w:bookmarkStart w:id="12" w:name="_Ref58332605"/>
      <w:r w:rsidRPr="002D2859">
        <w:rPr>
          <w:rFonts w:ascii="Arial Narrow" w:hAnsi="Arial Narrow"/>
          <w:b/>
          <w:sz w:val="20"/>
        </w:rPr>
        <w:t xml:space="preserve">Table </w:t>
      </w:r>
      <w:r w:rsidR="00476AB2" w:rsidRPr="002D2859">
        <w:rPr>
          <w:rFonts w:ascii="Arial Narrow" w:hAnsi="Arial Narrow"/>
          <w:b/>
          <w:sz w:val="20"/>
        </w:rPr>
        <w:fldChar w:fldCharType="begin"/>
      </w:r>
      <w:r w:rsidR="00476AB2" w:rsidRPr="002D2859">
        <w:rPr>
          <w:rFonts w:ascii="Arial Narrow" w:hAnsi="Arial Narrow"/>
          <w:b/>
          <w:sz w:val="20"/>
        </w:rPr>
        <w:instrText xml:space="preserve"> SEQ Table \* ARABIC </w:instrText>
      </w:r>
      <w:r w:rsidR="00476AB2" w:rsidRPr="002D2859">
        <w:rPr>
          <w:rFonts w:ascii="Arial Narrow" w:hAnsi="Arial Narrow"/>
          <w:b/>
          <w:sz w:val="20"/>
        </w:rPr>
        <w:fldChar w:fldCharType="separate"/>
      </w:r>
      <w:r w:rsidR="003E3A7D" w:rsidRPr="002D2859">
        <w:rPr>
          <w:rFonts w:ascii="Arial Narrow" w:hAnsi="Arial Narrow"/>
          <w:b/>
          <w:sz w:val="20"/>
        </w:rPr>
        <w:t>9</w:t>
      </w:r>
      <w:r w:rsidR="00476AB2" w:rsidRPr="002D2859">
        <w:rPr>
          <w:rFonts w:ascii="Arial Narrow" w:hAnsi="Arial Narrow"/>
          <w:b/>
          <w:sz w:val="20"/>
        </w:rPr>
        <w:fldChar w:fldCharType="end"/>
      </w:r>
      <w:bookmarkEnd w:id="12"/>
      <w:r w:rsidRPr="002D2859">
        <w:rPr>
          <w:rFonts w:ascii="Arial Narrow" w:hAnsi="Arial Narrow"/>
          <w:b/>
          <w:sz w:val="20"/>
        </w:rPr>
        <w:tab/>
        <w:t>Key drivers of the economic model</w:t>
      </w:r>
    </w:p>
    <w:tbl>
      <w:tblPr>
        <w:tblStyle w:val="OPTUMTableNormal"/>
        <w:tblpPr w:leftFromText="180" w:rightFromText="180" w:vertAnchor="text" w:horzAnchor="margin" w:tblpY="97"/>
        <w:tblW w:w="5000" w:type="pct"/>
        <w:tblInd w:w="0" w:type="dxa"/>
        <w:tblLook w:val="04A0" w:firstRow="1" w:lastRow="0" w:firstColumn="1" w:lastColumn="0" w:noHBand="0" w:noVBand="1"/>
        <w:tblCaption w:val="Table 8 Key drivers of the economic model"/>
        <w:tblDescription w:val="This table describes what factors and assumptions in the economic model affect the incremental cost-effectiveness to the greatest extent."/>
      </w:tblPr>
      <w:tblGrid>
        <w:gridCol w:w="1257"/>
        <w:gridCol w:w="5685"/>
        <w:gridCol w:w="2074"/>
      </w:tblGrid>
      <w:tr w:rsidR="007637F7" w:rsidRPr="00FD63E4" w14:paraId="394594D1" w14:textId="77777777" w:rsidTr="00D2720D">
        <w:trPr>
          <w:cnfStyle w:val="100000000000" w:firstRow="1" w:lastRow="0" w:firstColumn="0" w:lastColumn="0" w:oddVBand="0" w:evenVBand="0" w:oddHBand="0" w:evenHBand="0" w:firstRowFirstColumn="0" w:firstRowLastColumn="0" w:lastRowFirstColumn="0" w:lastRowLastColumn="0"/>
          <w:tblHeader/>
        </w:trPr>
        <w:tc>
          <w:tcPr>
            <w:tcW w:w="697" w:type="pct"/>
          </w:tcPr>
          <w:p w14:paraId="0477B723" w14:textId="77777777" w:rsidR="007637F7" w:rsidRPr="00FD63E4" w:rsidRDefault="007637F7" w:rsidP="00AA35EA">
            <w:pPr>
              <w:keepNext/>
              <w:rPr>
                <w:rFonts w:ascii="Arial Narrow" w:hAnsi="Arial Narrow" w:cs="Tahoma"/>
                <w:snapToGrid w:val="0"/>
                <w:sz w:val="20"/>
                <w:szCs w:val="22"/>
                <w:lang w:eastAsia="en-US"/>
              </w:rPr>
            </w:pPr>
            <w:r w:rsidRPr="00FD63E4">
              <w:rPr>
                <w:rFonts w:ascii="Arial Narrow" w:hAnsi="Arial Narrow" w:cs="Tahoma"/>
                <w:b/>
                <w:snapToGrid w:val="0"/>
                <w:sz w:val="20"/>
                <w:szCs w:val="22"/>
                <w:lang w:eastAsia="en-US"/>
              </w:rPr>
              <w:t>Description</w:t>
            </w:r>
          </w:p>
        </w:tc>
        <w:tc>
          <w:tcPr>
            <w:tcW w:w="3153" w:type="pct"/>
          </w:tcPr>
          <w:p w14:paraId="7FB97474" w14:textId="77777777" w:rsidR="007637F7" w:rsidRPr="00FD63E4" w:rsidRDefault="007637F7" w:rsidP="00AA35EA">
            <w:pPr>
              <w:keepNext/>
              <w:rPr>
                <w:rFonts w:ascii="Arial Narrow" w:hAnsi="Arial Narrow" w:cs="Tahoma"/>
                <w:snapToGrid w:val="0"/>
                <w:sz w:val="20"/>
                <w:szCs w:val="22"/>
                <w:lang w:eastAsia="en-US"/>
              </w:rPr>
            </w:pPr>
            <w:r w:rsidRPr="00FD63E4">
              <w:rPr>
                <w:rFonts w:ascii="Arial Narrow" w:hAnsi="Arial Narrow" w:cs="Tahoma"/>
                <w:b/>
                <w:snapToGrid w:val="0"/>
                <w:sz w:val="20"/>
                <w:szCs w:val="22"/>
                <w:lang w:eastAsia="en-US"/>
              </w:rPr>
              <w:t>Method/Value</w:t>
            </w:r>
          </w:p>
        </w:tc>
        <w:tc>
          <w:tcPr>
            <w:tcW w:w="1150" w:type="pct"/>
          </w:tcPr>
          <w:p w14:paraId="08B595EF" w14:textId="77777777" w:rsidR="007637F7" w:rsidRPr="00FD63E4" w:rsidRDefault="007637F7" w:rsidP="00AA35EA">
            <w:pPr>
              <w:keepNext/>
              <w:rPr>
                <w:rFonts w:ascii="Arial Narrow" w:hAnsi="Arial Narrow" w:cs="Tahoma"/>
                <w:snapToGrid w:val="0"/>
                <w:sz w:val="20"/>
                <w:szCs w:val="22"/>
                <w:lang w:eastAsia="en-US"/>
              </w:rPr>
            </w:pPr>
            <w:r w:rsidRPr="00FD63E4">
              <w:rPr>
                <w:rFonts w:ascii="Arial Narrow" w:hAnsi="Arial Narrow" w:cs="Tahoma"/>
                <w:b/>
                <w:snapToGrid w:val="0"/>
                <w:sz w:val="20"/>
                <w:szCs w:val="22"/>
                <w:lang w:eastAsia="en-US"/>
              </w:rPr>
              <w:t>Impact</w:t>
            </w:r>
          </w:p>
        </w:tc>
      </w:tr>
      <w:tr w:rsidR="007637F7" w:rsidRPr="00FD63E4" w14:paraId="3D992862" w14:textId="77777777" w:rsidTr="00D2720D">
        <w:tc>
          <w:tcPr>
            <w:tcW w:w="697" w:type="pct"/>
          </w:tcPr>
          <w:p w14:paraId="3D6AE919" w14:textId="77777777" w:rsidR="007637F7" w:rsidRPr="00FD63E4" w:rsidRDefault="007637F7" w:rsidP="00AA35EA">
            <w:pPr>
              <w:keepNext/>
              <w:rPr>
                <w:rFonts w:ascii="Arial Narrow" w:hAnsi="Arial Narrow" w:cs="Tahoma"/>
                <w:sz w:val="20"/>
                <w:szCs w:val="22"/>
                <w:lang w:eastAsia="en-US"/>
              </w:rPr>
            </w:pPr>
            <w:r w:rsidRPr="00FD63E4">
              <w:rPr>
                <w:rFonts w:ascii="Arial Narrow" w:hAnsi="Arial Narrow" w:cs="Tahoma"/>
                <w:sz w:val="20"/>
                <w:szCs w:val="22"/>
                <w:lang w:eastAsia="en-US"/>
              </w:rPr>
              <w:t>Time horizon</w:t>
            </w:r>
          </w:p>
        </w:tc>
        <w:tc>
          <w:tcPr>
            <w:tcW w:w="3153" w:type="pct"/>
          </w:tcPr>
          <w:p w14:paraId="497D2F62" w14:textId="77777777" w:rsidR="007637F7" w:rsidRPr="003E2F85" w:rsidRDefault="007637F7" w:rsidP="00AA35EA">
            <w:pPr>
              <w:keepNext/>
              <w:rPr>
                <w:rFonts w:ascii="Arial Narrow" w:hAnsi="Arial Narrow" w:cs="Tahoma"/>
                <w:iCs/>
                <w:sz w:val="20"/>
                <w:szCs w:val="22"/>
                <w:lang w:eastAsia="en-US"/>
              </w:rPr>
            </w:pPr>
            <w:r w:rsidRPr="003E2F85">
              <w:rPr>
                <w:rFonts w:ascii="Arial Narrow" w:hAnsi="Arial Narrow" w:cs="Tahoma"/>
                <w:iCs/>
                <w:sz w:val="20"/>
                <w:szCs w:val="22"/>
                <w:lang w:eastAsia="en-US"/>
              </w:rPr>
              <w:t>Time horizon was 17-18 years (life time) in the base case but was varied from 5 to 20 years in sensitivity analyses</w:t>
            </w:r>
          </w:p>
        </w:tc>
        <w:tc>
          <w:tcPr>
            <w:tcW w:w="1150" w:type="pct"/>
          </w:tcPr>
          <w:p w14:paraId="628FB17E" w14:textId="77777777" w:rsidR="007637F7" w:rsidRPr="003E2F85" w:rsidRDefault="007637F7" w:rsidP="00AA35EA">
            <w:pPr>
              <w:keepNext/>
              <w:rPr>
                <w:rFonts w:ascii="Arial Narrow" w:hAnsi="Arial Narrow" w:cs="Tahoma"/>
                <w:sz w:val="20"/>
                <w:szCs w:val="22"/>
                <w:lang w:eastAsia="en-US"/>
              </w:rPr>
            </w:pPr>
            <w:r w:rsidRPr="003E2F85">
              <w:rPr>
                <w:rFonts w:ascii="Arial Narrow" w:hAnsi="Arial Narrow" w:cs="Tahoma"/>
                <w:sz w:val="20"/>
                <w:szCs w:val="22"/>
                <w:lang w:eastAsia="en-US"/>
              </w:rPr>
              <w:t>High; favoured intervention</w:t>
            </w:r>
          </w:p>
        </w:tc>
      </w:tr>
      <w:tr w:rsidR="007637F7" w:rsidRPr="00FD63E4" w14:paraId="11403655" w14:textId="77777777" w:rsidTr="00D2720D">
        <w:tc>
          <w:tcPr>
            <w:tcW w:w="697" w:type="pct"/>
          </w:tcPr>
          <w:p w14:paraId="37AF09E0" w14:textId="77777777" w:rsidR="007637F7" w:rsidRPr="00FD63E4" w:rsidRDefault="007637F7" w:rsidP="00AA35EA">
            <w:pPr>
              <w:keepNext/>
              <w:rPr>
                <w:rFonts w:ascii="Arial Narrow" w:hAnsi="Arial Narrow" w:cs="Tahoma"/>
                <w:sz w:val="20"/>
                <w:szCs w:val="22"/>
                <w:lang w:eastAsia="en-US"/>
              </w:rPr>
            </w:pPr>
            <w:r w:rsidRPr="00FD63E4">
              <w:rPr>
                <w:rFonts w:ascii="Arial Narrow" w:hAnsi="Arial Narrow" w:cs="Tahoma"/>
                <w:sz w:val="20"/>
                <w:szCs w:val="22"/>
                <w:lang w:eastAsia="en-US"/>
              </w:rPr>
              <w:t>Stroke rates</w:t>
            </w:r>
          </w:p>
        </w:tc>
        <w:tc>
          <w:tcPr>
            <w:tcW w:w="3153" w:type="pct"/>
          </w:tcPr>
          <w:p w14:paraId="511A9AC9" w14:textId="77777777" w:rsidR="007637F7" w:rsidRPr="003E2F85" w:rsidRDefault="007637F7" w:rsidP="00AA35EA">
            <w:pPr>
              <w:keepNext/>
              <w:rPr>
                <w:rFonts w:ascii="Arial Narrow" w:hAnsi="Arial Narrow" w:cs="Tahoma"/>
                <w:iCs/>
                <w:sz w:val="20"/>
                <w:szCs w:val="22"/>
                <w:lang w:eastAsia="en-US"/>
              </w:rPr>
            </w:pPr>
            <w:r w:rsidRPr="003E2F85">
              <w:rPr>
                <w:rFonts w:ascii="Arial Narrow" w:hAnsi="Arial Narrow" w:cs="Tahoma"/>
                <w:iCs/>
                <w:sz w:val="20"/>
                <w:szCs w:val="22"/>
                <w:lang w:eastAsia="en-US"/>
              </w:rPr>
              <w:t>Lower disabling and non-disabling stroke rates were used for TAVI+CEP against TAVI from meta-analysed results in Section B.6 for both the intermediate and inoperable/</w:t>
            </w:r>
            <w:r>
              <w:rPr>
                <w:rFonts w:ascii="Arial Narrow" w:hAnsi="Arial Narrow" w:cs="Tahoma"/>
                <w:iCs/>
                <w:sz w:val="20"/>
                <w:szCs w:val="22"/>
                <w:lang w:eastAsia="en-US"/>
              </w:rPr>
              <w:t>high risk populations. Refer to</w:t>
            </w:r>
            <w:r w:rsidRPr="003E2F85">
              <w:rPr>
                <w:rFonts w:ascii="Arial Narrow" w:hAnsi="Arial Narrow" w:cs="Tahoma"/>
                <w:iCs/>
                <w:sz w:val="20"/>
                <w:szCs w:val="22"/>
                <w:lang w:eastAsia="en-US"/>
              </w:rPr>
              <w:t xml:space="preserve"> Section C.2.1 for values.</w:t>
            </w:r>
          </w:p>
        </w:tc>
        <w:tc>
          <w:tcPr>
            <w:tcW w:w="1150" w:type="pct"/>
          </w:tcPr>
          <w:p w14:paraId="04B0E4A5" w14:textId="77777777" w:rsidR="007637F7" w:rsidRPr="003E2F85" w:rsidRDefault="007637F7" w:rsidP="00AA35EA">
            <w:pPr>
              <w:keepNext/>
              <w:rPr>
                <w:rFonts w:ascii="Arial Narrow" w:hAnsi="Arial Narrow" w:cs="Tahoma"/>
                <w:sz w:val="20"/>
                <w:szCs w:val="22"/>
                <w:lang w:eastAsia="en-US"/>
              </w:rPr>
            </w:pPr>
            <w:r w:rsidRPr="003E2F85">
              <w:rPr>
                <w:rFonts w:ascii="Arial Narrow" w:hAnsi="Arial Narrow" w:cs="Tahoma"/>
                <w:sz w:val="20"/>
                <w:szCs w:val="22"/>
                <w:lang w:eastAsia="en-US"/>
              </w:rPr>
              <w:t>High, favoured intervention</w:t>
            </w:r>
          </w:p>
        </w:tc>
      </w:tr>
      <w:tr w:rsidR="007637F7" w:rsidRPr="00FD63E4" w14:paraId="25FF4172" w14:textId="77777777" w:rsidTr="00D2720D">
        <w:tc>
          <w:tcPr>
            <w:tcW w:w="697" w:type="pct"/>
          </w:tcPr>
          <w:p w14:paraId="67710AAE" w14:textId="77777777" w:rsidR="007637F7" w:rsidRPr="00FD63E4" w:rsidRDefault="007637F7" w:rsidP="00AA35EA">
            <w:pPr>
              <w:keepNext/>
              <w:rPr>
                <w:rFonts w:ascii="Arial Narrow" w:hAnsi="Arial Narrow" w:cs="Tahoma"/>
                <w:sz w:val="20"/>
                <w:szCs w:val="22"/>
                <w:lang w:eastAsia="en-US"/>
              </w:rPr>
            </w:pPr>
            <w:r w:rsidRPr="00FD63E4">
              <w:rPr>
                <w:rFonts w:ascii="Arial Narrow" w:hAnsi="Arial Narrow" w:cs="Tahoma"/>
                <w:sz w:val="20"/>
                <w:szCs w:val="22"/>
                <w:lang w:eastAsia="en-US"/>
              </w:rPr>
              <w:t>Utility values</w:t>
            </w:r>
          </w:p>
        </w:tc>
        <w:tc>
          <w:tcPr>
            <w:tcW w:w="3153" w:type="pct"/>
          </w:tcPr>
          <w:p w14:paraId="76B3B110" w14:textId="77777777" w:rsidR="007637F7" w:rsidRPr="00F82EAE" w:rsidRDefault="007637F7" w:rsidP="00AA35EA">
            <w:pPr>
              <w:keepNext/>
              <w:rPr>
                <w:rFonts w:ascii="Arial Narrow" w:hAnsi="Arial Narrow" w:cs="Tahoma"/>
                <w:i/>
                <w:iCs/>
                <w:noProof/>
                <w:color w:val="FF0000"/>
                <w:sz w:val="20"/>
                <w:szCs w:val="22"/>
                <w:lang w:eastAsia="en-US"/>
              </w:rPr>
            </w:pPr>
            <w:r w:rsidRPr="003E2F85">
              <w:rPr>
                <w:rFonts w:ascii="Arial Narrow" w:hAnsi="Arial Narrow" w:cs="Tahoma"/>
                <w:iCs/>
                <w:sz w:val="20"/>
                <w:szCs w:val="22"/>
                <w:lang w:eastAsia="en-US"/>
              </w:rPr>
              <w:t>Baseline and 12 month post-procedure values for intermediate and inoperable/high risk groups were sourced from Baron (2018)</w:t>
            </w:r>
            <w:r>
              <w:rPr>
                <w:rStyle w:val="FootnoteReference"/>
                <w:rFonts w:ascii="Arial Narrow" w:hAnsi="Arial Narrow" w:cs="Tahoma"/>
                <w:iCs/>
                <w:szCs w:val="22"/>
                <w:lang w:eastAsia="en-US"/>
              </w:rPr>
              <w:footnoteReference w:id="8"/>
            </w:r>
            <w:r w:rsidRPr="003E2F85">
              <w:rPr>
                <w:rFonts w:ascii="Arial Narrow" w:hAnsi="Arial Narrow" w:cs="Tahoma"/>
                <w:iCs/>
                <w:sz w:val="20"/>
                <w:szCs w:val="22"/>
                <w:lang w:eastAsia="en-US"/>
              </w:rPr>
              <w:t xml:space="preserve"> and Reynolds (2012)</w:t>
            </w:r>
            <w:r>
              <w:rPr>
                <w:rStyle w:val="FootnoteReference"/>
                <w:rFonts w:ascii="Arial Narrow" w:hAnsi="Arial Narrow" w:cs="Tahoma"/>
                <w:iCs/>
                <w:szCs w:val="22"/>
                <w:lang w:eastAsia="en-US"/>
              </w:rPr>
              <w:footnoteReference w:id="9"/>
            </w:r>
            <w:r w:rsidRPr="003E2F85">
              <w:rPr>
                <w:rFonts w:ascii="Arial Narrow" w:hAnsi="Arial Narrow" w:cs="Tahoma"/>
                <w:iCs/>
                <w:sz w:val="20"/>
                <w:szCs w:val="22"/>
                <w:lang w:eastAsia="en-US"/>
              </w:rPr>
              <w:t xml:space="preserve">, respectively. Disutility values of -0.248 for non-disabling stroke and </w:t>
            </w:r>
            <w:r w:rsidRPr="003E2F85">
              <w:rPr>
                <w:rFonts w:ascii="Arial Narrow" w:hAnsi="Arial Narrow" w:cs="Tahoma"/>
                <w:iCs/>
                <w:sz w:val="20"/>
                <w:szCs w:val="22"/>
                <w:lang w:eastAsia="en-US"/>
              </w:rPr>
              <w:noBreakHyphen/>
              <w:t>0.608 for disabling stroke from Wu 2014</w:t>
            </w:r>
            <w:r>
              <w:rPr>
                <w:rStyle w:val="FootnoteReference"/>
                <w:rFonts w:ascii="Arial Narrow" w:hAnsi="Arial Narrow" w:cs="Tahoma"/>
                <w:iCs/>
                <w:szCs w:val="22"/>
                <w:lang w:eastAsia="en-US"/>
              </w:rPr>
              <w:footnoteReference w:id="10"/>
            </w:r>
            <w:r w:rsidRPr="003E2F85">
              <w:rPr>
                <w:rFonts w:ascii="Arial Narrow" w:hAnsi="Arial Narrow" w:cs="Tahoma"/>
                <w:iCs/>
                <w:sz w:val="20"/>
                <w:szCs w:val="22"/>
                <w:lang w:eastAsia="en-US"/>
              </w:rPr>
              <w:t xml:space="preserve"> calculated and used.</w:t>
            </w:r>
          </w:p>
        </w:tc>
        <w:tc>
          <w:tcPr>
            <w:tcW w:w="1150" w:type="pct"/>
          </w:tcPr>
          <w:p w14:paraId="669CBCAE" w14:textId="77777777" w:rsidR="007637F7" w:rsidRPr="003E2F85" w:rsidRDefault="007637F7" w:rsidP="00AA35EA">
            <w:pPr>
              <w:keepNext/>
              <w:rPr>
                <w:rFonts w:ascii="Arial Narrow" w:hAnsi="Arial Narrow" w:cs="Tahoma"/>
                <w:sz w:val="20"/>
                <w:szCs w:val="22"/>
                <w:lang w:eastAsia="en-US"/>
              </w:rPr>
            </w:pPr>
            <w:r w:rsidRPr="003E2F85">
              <w:rPr>
                <w:rFonts w:ascii="Arial Narrow" w:hAnsi="Arial Narrow" w:cs="Tahoma"/>
                <w:sz w:val="20"/>
                <w:szCs w:val="22"/>
                <w:lang w:eastAsia="en-US"/>
              </w:rPr>
              <w:t>High, favoured intervention</w:t>
            </w:r>
          </w:p>
        </w:tc>
      </w:tr>
      <w:tr w:rsidR="007637F7" w:rsidRPr="00FD63E4" w14:paraId="1C2456A4" w14:textId="77777777" w:rsidTr="00D2720D">
        <w:tc>
          <w:tcPr>
            <w:tcW w:w="697" w:type="pct"/>
          </w:tcPr>
          <w:p w14:paraId="4C7E6AE9" w14:textId="77777777" w:rsidR="007637F7" w:rsidRPr="00FD63E4" w:rsidRDefault="007637F7" w:rsidP="00AA35EA">
            <w:pPr>
              <w:keepNext/>
              <w:rPr>
                <w:rFonts w:ascii="Arial Narrow" w:hAnsi="Arial Narrow" w:cs="Tahoma"/>
                <w:sz w:val="20"/>
                <w:szCs w:val="22"/>
                <w:lang w:eastAsia="en-US"/>
              </w:rPr>
            </w:pPr>
            <w:r w:rsidRPr="00FD63E4">
              <w:rPr>
                <w:rFonts w:ascii="Arial Narrow" w:hAnsi="Arial Narrow" w:cs="Tahoma"/>
                <w:sz w:val="20"/>
                <w:szCs w:val="22"/>
                <w:lang w:eastAsia="en-US"/>
              </w:rPr>
              <w:t>Health state costs</w:t>
            </w:r>
          </w:p>
        </w:tc>
        <w:tc>
          <w:tcPr>
            <w:tcW w:w="3153" w:type="pct"/>
          </w:tcPr>
          <w:p w14:paraId="28D844D6" w14:textId="77777777" w:rsidR="007637F7" w:rsidRPr="003E2F85" w:rsidRDefault="007637F7" w:rsidP="00AA35EA">
            <w:pPr>
              <w:keepNext/>
              <w:rPr>
                <w:rFonts w:ascii="Arial Narrow" w:hAnsi="Arial Narrow" w:cs="Tahoma"/>
                <w:iCs/>
                <w:sz w:val="20"/>
                <w:szCs w:val="22"/>
                <w:lang w:eastAsia="en-US"/>
              </w:rPr>
            </w:pPr>
            <w:r w:rsidRPr="003E2F85">
              <w:rPr>
                <w:rFonts w:ascii="Arial Narrow" w:hAnsi="Arial Narrow" w:cs="Tahoma"/>
                <w:iCs/>
                <w:sz w:val="20"/>
                <w:szCs w:val="22"/>
                <w:lang w:eastAsia="en-US"/>
              </w:rPr>
              <w:t>Australian values were used and inflated to 2020 values using the health price index. Costs of $2,114 and $16,341 per annum, used for non-disabling and disabling stroke, respectively. TAVI+CEP vs TAVI only had a far lower rate of disabling stroke (0.56% vs 3.24%), resulting in lower health state costs.</w:t>
            </w:r>
          </w:p>
        </w:tc>
        <w:tc>
          <w:tcPr>
            <w:tcW w:w="1150" w:type="pct"/>
          </w:tcPr>
          <w:p w14:paraId="0BD59791" w14:textId="77777777" w:rsidR="007637F7" w:rsidRPr="003E2F85" w:rsidRDefault="007637F7" w:rsidP="00AA35EA">
            <w:pPr>
              <w:keepNext/>
              <w:rPr>
                <w:rFonts w:ascii="Arial Narrow" w:hAnsi="Arial Narrow" w:cs="Tahoma"/>
                <w:sz w:val="20"/>
                <w:szCs w:val="22"/>
                <w:lang w:eastAsia="en-US"/>
              </w:rPr>
            </w:pPr>
            <w:r w:rsidRPr="003E2F85">
              <w:rPr>
                <w:rFonts w:ascii="Arial Narrow" w:hAnsi="Arial Narrow" w:cs="Tahoma"/>
                <w:sz w:val="20"/>
                <w:szCs w:val="22"/>
                <w:lang w:eastAsia="en-US"/>
              </w:rPr>
              <w:t>High, favoured intervention</w:t>
            </w:r>
          </w:p>
        </w:tc>
      </w:tr>
    </w:tbl>
    <w:p w14:paraId="391C9790" w14:textId="77777777" w:rsidR="007637F7" w:rsidRDefault="007637F7" w:rsidP="00AA35EA">
      <w:pPr>
        <w:rPr>
          <w:rFonts w:ascii="Arial Narrow" w:hAnsi="Arial Narrow" w:cs="Arial"/>
          <w:sz w:val="18"/>
          <w:szCs w:val="18"/>
          <w:lang w:eastAsia="en-US"/>
        </w:rPr>
      </w:pPr>
      <w:r w:rsidRPr="00FD63E4">
        <w:rPr>
          <w:rFonts w:ascii="Arial Narrow" w:hAnsi="Arial Narrow" w:cs="Arial"/>
          <w:sz w:val="18"/>
          <w:szCs w:val="18"/>
          <w:lang w:eastAsia="en-US"/>
        </w:rPr>
        <w:t>Source:</w:t>
      </w:r>
      <w:r>
        <w:rPr>
          <w:rFonts w:ascii="Arial Narrow" w:hAnsi="Arial Narrow" w:cs="Arial"/>
          <w:sz w:val="18"/>
          <w:szCs w:val="18"/>
          <w:lang w:eastAsia="en-US"/>
        </w:rPr>
        <w:t xml:space="preserve"> Table 10, pxxii and</w:t>
      </w:r>
      <w:r w:rsidRPr="00FD63E4">
        <w:rPr>
          <w:rFonts w:ascii="Arial Narrow" w:hAnsi="Arial Narrow" w:cs="Arial"/>
          <w:sz w:val="18"/>
          <w:szCs w:val="18"/>
          <w:lang w:eastAsia="en-US"/>
        </w:rPr>
        <w:t xml:space="preserve"> Table </w:t>
      </w:r>
      <w:r>
        <w:rPr>
          <w:rFonts w:ascii="Arial Narrow" w:hAnsi="Arial Narrow" w:cs="Arial"/>
          <w:sz w:val="18"/>
          <w:szCs w:val="18"/>
          <w:lang w:eastAsia="en-US"/>
        </w:rPr>
        <w:t>77, p105</w:t>
      </w:r>
    </w:p>
    <w:p w14:paraId="2CD685DC" w14:textId="3E6F7699" w:rsidR="007637F7" w:rsidRPr="00324DD5" w:rsidRDefault="007637F7" w:rsidP="00324DD5">
      <w:pPr>
        <w:rPr>
          <w:iCs/>
        </w:rPr>
      </w:pPr>
      <w:r>
        <w:rPr>
          <w:rFonts w:ascii="Arial Narrow" w:hAnsi="Arial Narrow" w:cs="Arial"/>
          <w:sz w:val="18"/>
          <w:szCs w:val="18"/>
          <w:lang w:eastAsia="en-US"/>
        </w:rPr>
        <w:t>CEP = cerebral embolic protection; TAVI = transcatheter aortic valve implantation</w:t>
      </w:r>
    </w:p>
    <w:p w14:paraId="06A7F8DC" w14:textId="76A58AC6" w:rsidR="007637F7" w:rsidRPr="00324DD5" w:rsidRDefault="003F0EC8" w:rsidP="00324DD5">
      <w:pPr>
        <w:spacing w:before="240"/>
        <w:rPr>
          <w:iCs/>
          <w:color w:val="000000" w:themeColor="text1"/>
        </w:rPr>
      </w:pPr>
      <w:r>
        <w:fldChar w:fldCharType="begin"/>
      </w:r>
      <w:r>
        <w:instrText xml:space="preserve"> REF _Ref58332634 \h </w:instrText>
      </w:r>
      <w:r>
        <w:fldChar w:fldCharType="separate"/>
      </w:r>
      <w:r w:rsidR="003E3A7D">
        <w:t xml:space="preserve">Table </w:t>
      </w:r>
      <w:r w:rsidR="003E3A7D">
        <w:rPr>
          <w:noProof/>
        </w:rPr>
        <w:t>10</w:t>
      </w:r>
      <w:r>
        <w:fldChar w:fldCharType="end"/>
      </w:r>
      <w:r>
        <w:t xml:space="preserve"> </w:t>
      </w:r>
      <w:r w:rsidR="007637F7" w:rsidRPr="00F15459">
        <w:t>presents univariate and multivariate sensitivity analyses using the inputs from MSAC applications for TAVI for inoperable and high risk patients (</w:t>
      </w:r>
      <w:hyperlink r:id="rId16" w:history="1">
        <w:r w:rsidR="007637F7" w:rsidRPr="00AB0683">
          <w:rPr>
            <w:rStyle w:val="Hyperlink"/>
          </w:rPr>
          <w:t>1361.2 Public Summary Document</w:t>
        </w:r>
      </w:hyperlink>
      <w:r w:rsidR="007637F7" w:rsidRPr="00F15459">
        <w:t>) and the TAVI for intermediate risk patients (</w:t>
      </w:r>
      <w:hyperlink r:id="rId17" w:history="1">
        <w:r w:rsidR="007637F7" w:rsidRPr="00AB0683">
          <w:rPr>
            <w:rStyle w:val="Hyperlink"/>
          </w:rPr>
          <w:t>1603 Application</w:t>
        </w:r>
      </w:hyperlink>
      <w:r w:rsidR="007637F7" w:rsidRPr="00F15459">
        <w:t xml:space="preserve">) to be considered at the November 2020 MSAC meeting. </w:t>
      </w:r>
      <w:r w:rsidR="007637F7" w:rsidRPr="00F15459">
        <w:rPr>
          <w:iCs/>
          <w:color w:val="000000" w:themeColor="text1"/>
        </w:rPr>
        <w:t xml:space="preserve">The ICER for TAVI+CEP </w:t>
      </w:r>
      <w:r w:rsidR="007637F7" w:rsidRPr="00647629">
        <w:rPr>
          <w:i/>
          <w:iCs/>
          <w:color w:val="000000" w:themeColor="text1"/>
        </w:rPr>
        <w:t>vs.</w:t>
      </w:r>
      <w:r w:rsidR="007637F7" w:rsidRPr="00F15459">
        <w:rPr>
          <w:iCs/>
          <w:color w:val="000000" w:themeColor="text1"/>
        </w:rPr>
        <w:t xml:space="preserve"> TAVI is much higher (inoperable high risk ICER = </w:t>
      </w:r>
      <w:r w:rsidR="00540D06" w:rsidRPr="00540D06">
        <w:rPr>
          <w:b/>
          <w:iCs/>
        </w:rPr>
        <w:t>redacted</w:t>
      </w:r>
      <w:r w:rsidR="007637F7" w:rsidRPr="00540D06">
        <w:rPr>
          <w:b/>
          <w:iCs/>
        </w:rPr>
        <w:t>%;</w:t>
      </w:r>
      <w:r w:rsidR="007637F7" w:rsidRPr="00540D06">
        <w:rPr>
          <w:iCs/>
        </w:rPr>
        <w:t xml:space="preserve"> </w:t>
      </w:r>
      <w:r w:rsidR="007637F7" w:rsidRPr="00F15459">
        <w:rPr>
          <w:iCs/>
          <w:color w:val="000000" w:themeColor="text1"/>
        </w:rPr>
        <w:t xml:space="preserve">intermediate risk ICER = </w:t>
      </w:r>
      <w:r w:rsidR="00540D06" w:rsidRPr="00540D06">
        <w:rPr>
          <w:b/>
          <w:iCs/>
          <w:color w:val="000000" w:themeColor="text1"/>
        </w:rPr>
        <w:t>redacted%</w:t>
      </w:r>
      <w:r w:rsidR="007637F7" w:rsidRPr="00540D06">
        <w:rPr>
          <w:iCs/>
          <w:color w:val="000000" w:themeColor="text1"/>
        </w:rPr>
        <w:t xml:space="preserve">) </w:t>
      </w:r>
      <w:r w:rsidR="007637F7" w:rsidRPr="00F15459">
        <w:rPr>
          <w:iCs/>
          <w:color w:val="000000" w:themeColor="text1"/>
        </w:rPr>
        <w:t>if the model inputs from previous applications are used.</w:t>
      </w:r>
    </w:p>
    <w:p w14:paraId="646798B0" w14:textId="1CB97B0B" w:rsidR="00540D06" w:rsidRPr="002D2859" w:rsidRDefault="003F0EC8" w:rsidP="002D2859">
      <w:pPr>
        <w:spacing w:before="240"/>
        <w:rPr>
          <w:rFonts w:ascii="Arial Narrow" w:hAnsi="Arial Narrow"/>
          <w:b/>
          <w:sz w:val="20"/>
        </w:rPr>
      </w:pPr>
      <w:bookmarkStart w:id="13" w:name="_Ref58332634"/>
      <w:r w:rsidRPr="002D2859">
        <w:rPr>
          <w:rFonts w:ascii="Arial Narrow" w:hAnsi="Arial Narrow"/>
          <w:b/>
          <w:sz w:val="20"/>
        </w:rPr>
        <w:t xml:space="preserve">Table </w:t>
      </w:r>
      <w:r w:rsidR="00476AB2" w:rsidRPr="002D2859">
        <w:rPr>
          <w:rFonts w:ascii="Arial Narrow" w:hAnsi="Arial Narrow"/>
          <w:b/>
          <w:sz w:val="20"/>
        </w:rPr>
        <w:fldChar w:fldCharType="begin"/>
      </w:r>
      <w:r w:rsidR="00476AB2" w:rsidRPr="002D2859">
        <w:rPr>
          <w:rFonts w:ascii="Arial Narrow" w:hAnsi="Arial Narrow"/>
          <w:b/>
          <w:sz w:val="20"/>
        </w:rPr>
        <w:instrText xml:space="preserve"> SEQ Table \* ARABIC </w:instrText>
      </w:r>
      <w:r w:rsidR="00476AB2" w:rsidRPr="002D2859">
        <w:rPr>
          <w:rFonts w:ascii="Arial Narrow" w:hAnsi="Arial Narrow"/>
          <w:b/>
          <w:sz w:val="20"/>
        </w:rPr>
        <w:fldChar w:fldCharType="separate"/>
      </w:r>
      <w:r w:rsidR="003E3A7D" w:rsidRPr="002D2859">
        <w:rPr>
          <w:rFonts w:ascii="Arial Narrow" w:hAnsi="Arial Narrow"/>
          <w:b/>
          <w:sz w:val="20"/>
        </w:rPr>
        <w:t>10</w:t>
      </w:r>
      <w:r w:rsidR="00476AB2" w:rsidRPr="002D2859">
        <w:rPr>
          <w:rFonts w:ascii="Arial Narrow" w:hAnsi="Arial Narrow"/>
          <w:b/>
          <w:sz w:val="20"/>
        </w:rPr>
        <w:fldChar w:fldCharType="end"/>
      </w:r>
      <w:bookmarkEnd w:id="13"/>
      <w:r w:rsidRPr="002D2859">
        <w:rPr>
          <w:rFonts w:ascii="Arial Narrow" w:hAnsi="Arial Narrow"/>
          <w:b/>
          <w:sz w:val="20"/>
        </w:rPr>
        <w:tab/>
      </w:r>
      <w:r w:rsidR="00540D06" w:rsidRPr="002D2859">
        <w:rPr>
          <w:rFonts w:ascii="Arial Narrow" w:hAnsi="Arial Narrow"/>
          <w:b/>
          <w:sz w:val="20"/>
        </w:rPr>
        <w:t>Redacted</w:t>
      </w:r>
    </w:p>
    <w:p w14:paraId="21B76261" w14:textId="54955C6D" w:rsidR="00AA35EA" w:rsidRPr="00193469" w:rsidRDefault="00396F71" w:rsidP="00324DD5">
      <w:pPr>
        <w:spacing w:before="240"/>
        <w:rPr>
          <w:snapToGrid w:val="0"/>
          <w:lang w:eastAsia="en-US"/>
        </w:rPr>
      </w:pPr>
      <w:r>
        <w:rPr>
          <w:snapToGrid w:val="0"/>
          <w:lang w:eastAsia="en-US"/>
        </w:rPr>
        <w:t>Additional analyses were performed by the Department to estimate the weighted CEP benefit at various willingness-to-pay thresholds using inputs from previous TAVI models. The ICER was weighted using the estimated</w:t>
      </w:r>
      <w:r w:rsidR="00DF136C">
        <w:rPr>
          <w:snapToGrid w:val="0"/>
          <w:lang w:eastAsia="en-US"/>
        </w:rPr>
        <w:t xml:space="preserve"> utilisation.</w:t>
      </w:r>
    </w:p>
    <w:p w14:paraId="6FDED048" w14:textId="65656E26" w:rsidR="00396F71" w:rsidRPr="002D2859" w:rsidRDefault="00396F71" w:rsidP="002D2859">
      <w:pPr>
        <w:spacing w:before="240"/>
        <w:rPr>
          <w:rFonts w:ascii="Arial Narrow" w:eastAsia="Calibri" w:hAnsi="Arial Narrow"/>
          <w:b/>
          <w:sz w:val="20"/>
        </w:rPr>
      </w:pPr>
      <w:r w:rsidRPr="002D2859">
        <w:rPr>
          <w:rFonts w:ascii="Arial Narrow" w:hAnsi="Arial Narrow"/>
          <w:b/>
          <w:sz w:val="20"/>
        </w:rPr>
        <w:t xml:space="preserve">Table </w:t>
      </w:r>
      <w:r w:rsidR="00476AB2" w:rsidRPr="002D2859">
        <w:rPr>
          <w:rFonts w:ascii="Arial Narrow" w:hAnsi="Arial Narrow"/>
          <w:b/>
          <w:sz w:val="20"/>
        </w:rPr>
        <w:fldChar w:fldCharType="begin"/>
      </w:r>
      <w:r w:rsidR="00476AB2" w:rsidRPr="002D2859">
        <w:rPr>
          <w:rFonts w:ascii="Arial Narrow" w:hAnsi="Arial Narrow"/>
          <w:b/>
          <w:sz w:val="20"/>
        </w:rPr>
        <w:instrText xml:space="preserve"> SEQ Table \* ARABIC </w:instrText>
      </w:r>
      <w:r w:rsidR="00476AB2" w:rsidRPr="002D2859">
        <w:rPr>
          <w:rFonts w:ascii="Arial Narrow" w:hAnsi="Arial Narrow"/>
          <w:b/>
          <w:sz w:val="20"/>
        </w:rPr>
        <w:fldChar w:fldCharType="separate"/>
      </w:r>
      <w:r w:rsidR="003E3A7D" w:rsidRPr="002D2859">
        <w:rPr>
          <w:rFonts w:ascii="Arial Narrow" w:hAnsi="Arial Narrow"/>
          <w:b/>
          <w:sz w:val="20"/>
        </w:rPr>
        <w:t>11</w:t>
      </w:r>
      <w:r w:rsidR="00476AB2" w:rsidRPr="002D2859">
        <w:rPr>
          <w:rFonts w:ascii="Arial Narrow" w:hAnsi="Arial Narrow"/>
          <w:b/>
          <w:sz w:val="20"/>
        </w:rPr>
        <w:fldChar w:fldCharType="end"/>
      </w:r>
      <w:r w:rsidRPr="002D2859">
        <w:rPr>
          <w:rFonts w:ascii="Arial Narrow" w:hAnsi="Arial Narrow"/>
          <w:b/>
          <w:sz w:val="20"/>
        </w:rPr>
        <w:tab/>
      </w:r>
      <w:r w:rsidR="002D2859">
        <w:rPr>
          <w:rFonts w:ascii="Arial Narrow" w:hAnsi="Arial Narrow"/>
          <w:b/>
          <w:sz w:val="20"/>
        </w:rPr>
        <w:t>R</w:t>
      </w:r>
      <w:r w:rsidR="00177A4F" w:rsidRPr="002D2859">
        <w:rPr>
          <w:rFonts w:ascii="Arial Narrow" w:hAnsi="Arial Narrow"/>
          <w:b/>
          <w:sz w:val="20"/>
        </w:rPr>
        <w:t>edacted</w:t>
      </w:r>
    </w:p>
    <w:p w14:paraId="4D436CAC" w14:textId="77777777" w:rsidR="00BC1364" w:rsidRPr="00F715D1" w:rsidRDefault="00BC1364" w:rsidP="00F715D1">
      <w:pPr>
        <w:pStyle w:val="Heading1"/>
      </w:pPr>
      <w:r w:rsidRPr="00F715D1">
        <w:t>Financial/budgetary impacts</w:t>
      </w:r>
    </w:p>
    <w:p w14:paraId="31571AE5" w14:textId="7FE1229F" w:rsidR="00E607DA" w:rsidRPr="00DF136C" w:rsidRDefault="00E607DA" w:rsidP="00E607DA">
      <w:pPr>
        <w:rPr>
          <w:rFonts w:ascii="Arial Narrow" w:hAnsi="Arial Narrow" w:cs="Arial"/>
          <w:b/>
          <w:bCs/>
          <w:iCs/>
          <w:sz w:val="20"/>
          <w:lang w:eastAsia="en-US"/>
        </w:rPr>
      </w:pPr>
      <w:r w:rsidRPr="003648FE">
        <w:t xml:space="preserve">A market share approach </w:t>
      </w:r>
      <w:r>
        <w:t>was used to estimate</w:t>
      </w:r>
      <w:r w:rsidRPr="003648FE">
        <w:t xml:space="preserve"> the financial implications of listing the transcatheter delivery of dual-filter CEP system during TAVI on the MBS (</w:t>
      </w:r>
      <w:r w:rsidR="00D14ECE">
        <w:fldChar w:fldCharType="begin"/>
      </w:r>
      <w:r w:rsidR="00D14ECE">
        <w:instrText xml:space="preserve"> REF _Ref58333043 \h </w:instrText>
      </w:r>
      <w:r w:rsidR="00D14ECE">
        <w:fldChar w:fldCharType="separate"/>
      </w:r>
      <w:r w:rsidR="003E3A7D">
        <w:t xml:space="preserve">Table </w:t>
      </w:r>
      <w:r w:rsidR="003E3A7D">
        <w:rPr>
          <w:noProof/>
        </w:rPr>
        <w:t>12</w:t>
      </w:r>
      <w:r w:rsidR="00D14ECE">
        <w:fldChar w:fldCharType="end"/>
      </w:r>
      <w:r w:rsidRPr="003648FE">
        <w:t>)</w:t>
      </w:r>
      <w:r w:rsidRPr="003648FE">
        <w:rPr>
          <w:iCs/>
        </w:rPr>
        <w:t xml:space="preserve">. The ADAR stated that </w:t>
      </w:r>
      <w:r w:rsidRPr="003648FE">
        <w:t>the inoperable/high risk market is estimated based on current utilisation of MBS item 38495, TAVI. The intermediate risk market is estimated based on current utilisation of MBS item 38488 for SAVR. The ADAR estimated that 14.8% of SAVR patients would be intermediate risk based on published estimates of risk stratification for patients undergoing SAVR and the assumption that no high</w:t>
      </w:r>
      <w:r w:rsidR="00A5442C">
        <w:t>-</w:t>
      </w:r>
      <w:r w:rsidRPr="003648FE">
        <w:t xml:space="preserve">risk patients currently receive SAVR. </w:t>
      </w:r>
      <w:r w:rsidRPr="003648FE">
        <w:rPr>
          <w:iCs/>
        </w:rPr>
        <w:t>Given that yearly MBS usage for SAVR up to the end of 2019 were utilised in this section, the commentary considered the slight decrease projected is justifiable</w:t>
      </w:r>
      <w:r w:rsidRPr="003648FE">
        <w:t>.</w:t>
      </w:r>
    </w:p>
    <w:p w14:paraId="0F86DFDF" w14:textId="0856BD90" w:rsidR="00193469" w:rsidRPr="00324DD5" w:rsidRDefault="00E607DA" w:rsidP="00324DD5">
      <w:pPr>
        <w:spacing w:before="240"/>
      </w:pPr>
      <w:r w:rsidRPr="003648FE">
        <w:t>The ADAR estimated that 61.5% of TAVI patients are anatomically suitable for CEP (Voss 2020)</w:t>
      </w:r>
      <w:r>
        <w:rPr>
          <w:rStyle w:val="FootnoteReference"/>
        </w:rPr>
        <w:footnoteReference w:id="11"/>
      </w:r>
      <w:r w:rsidRPr="003648FE">
        <w:t xml:space="preserve">. The ADAR also assumes high uptake as it is an adjunct service which reduces the risk of peri-procedural stroke without any adverse safety or effectiveness implications; the uptake rates increases linearly </w:t>
      </w:r>
      <w:r w:rsidRPr="00324DD5">
        <w:t xml:space="preserve">from </w:t>
      </w:r>
      <w:r w:rsidR="00076174" w:rsidRPr="00324DD5">
        <w:rPr>
          <w:b/>
        </w:rPr>
        <w:t>redacted</w:t>
      </w:r>
      <w:r w:rsidRPr="00324DD5">
        <w:t xml:space="preserve">% in Year 1 to </w:t>
      </w:r>
      <w:r w:rsidR="00076174" w:rsidRPr="00324DD5">
        <w:rPr>
          <w:b/>
        </w:rPr>
        <w:t>redacted</w:t>
      </w:r>
      <w:r w:rsidRPr="00324DD5">
        <w:t>% in</w:t>
      </w:r>
      <w:r w:rsidRPr="003648FE">
        <w:t xml:space="preserve"> Year 5 in both populations. </w:t>
      </w:r>
      <w:r w:rsidRPr="003648FE">
        <w:rPr>
          <w:iCs/>
        </w:rPr>
        <w:t xml:space="preserve">The </w:t>
      </w:r>
      <w:r w:rsidR="00193469">
        <w:rPr>
          <w:iCs/>
        </w:rPr>
        <w:t>C</w:t>
      </w:r>
      <w:r w:rsidRPr="003648FE">
        <w:rPr>
          <w:iCs/>
        </w:rPr>
        <w:t>ommentary noted that if eligibility rates of 94.7% from the SENTINEL IDE study were used, this would result in a total of 825 – 2,237 inoperable/high risk patients, and 92 – 169 intermediate risk patients from Year 1 to Year 5.</w:t>
      </w:r>
      <w:r>
        <w:rPr>
          <w:iCs/>
        </w:rPr>
        <w:t xml:space="preserve"> The </w:t>
      </w:r>
      <w:r w:rsidR="00193469">
        <w:rPr>
          <w:iCs/>
        </w:rPr>
        <w:t>p</w:t>
      </w:r>
      <w:r>
        <w:rPr>
          <w:iCs/>
        </w:rPr>
        <w:t xml:space="preserve">re-ESC </w:t>
      </w:r>
      <w:r w:rsidR="00193469">
        <w:rPr>
          <w:iCs/>
        </w:rPr>
        <w:t>r</w:t>
      </w:r>
      <w:r>
        <w:rPr>
          <w:iCs/>
        </w:rPr>
        <w:t xml:space="preserve">esponse noted that </w:t>
      </w:r>
      <w:r w:rsidRPr="003648FE">
        <w:rPr>
          <w:iCs/>
        </w:rPr>
        <w:t>this is not an accurate reflection of anatomical suitability as it only includes patients post randomisation</w:t>
      </w:r>
      <w:r>
        <w:rPr>
          <w:iCs/>
        </w:rPr>
        <w:t xml:space="preserve">. </w:t>
      </w:r>
      <w:r w:rsidRPr="003648FE">
        <w:rPr>
          <w:iCs/>
        </w:rPr>
        <w:t>Prior to randomisation patients underwent study baseline evaluation and CT assessment</w:t>
      </w:r>
      <w:r>
        <w:rPr>
          <w:iCs/>
        </w:rPr>
        <w:t>, where 11% of patients failed screening due to anatomical criterial and 17% failed screening due to other reasons</w:t>
      </w:r>
      <w:r w:rsidRPr="003648FE">
        <w:rPr>
          <w:iCs/>
        </w:rPr>
        <w:t>.</w:t>
      </w:r>
      <w:bookmarkStart w:id="14" w:name="_Ref58333043"/>
      <w:r w:rsidR="00193469">
        <w:br w:type="page"/>
      </w:r>
    </w:p>
    <w:p w14:paraId="7A219085" w14:textId="4DDA29A4" w:rsidR="00D14ECE" w:rsidRPr="002D2859" w:rsidRDefault="00D14ECE" w:rsidP="002D2859">
      <w:pPr>
        <w:rPr>
          <w:rFonts w:ascii="Arial Narrow" w:hAnsi="Arial Narrow"/>
          <w:b/>
          <w:sz w:val="20"/>
        </w:rPr>
      </w:pPr>
      <w:r w:rsidRPr="002D2859">
        <w:rPr>
          <w:rFonts w:ascii="Arial Narrow" w:hAnsi="Arial Narrow"/>
          <w:b/>
          <w:sz w:val="20"/>
        </w:rPr>
        <w:t xml:space="preserve">Table </w:t>
      </w:r>
      <w:r w:rsidR="00476AB2" w:rsidRPr="002D2859">
        <w:rPr>
          <w:rFonts w:ascii="Arial Narrow" w:hAnsi="Arial Narrow"/>
          <w:b/>
          <w:sz w:val="20"/>
        </w:rPr>
        <w:fldChar w:fldCharType="begin"/>
      </w:r>
      <w:r w:rsidR="00476AB2" w:rsidRPr="002D2859">
        <w:rPr>
          <w:rFonts w:ascii="Arial Narrow" w:hAnsi="Arial Narrow"/>
          <w:b/>
          <w:sz w:val="20"/>
        </w:rPr>
        <w:instrText xml:space="preserve"> SEQ Table \* ARABIC </w:instrText>
      </w:r>
      <w:r w:rsidR="00476AB2" w:rsidRPr="002D2859">
        <w:rPr>
          <w:rFonts w:ascii="Arial Narrow" w:hAnsi="Arial Narrow"/>
          <w:b/>
          <w:sz w:val="20"/>
        </w:rPr>
        <w:fldChar w:fldCharType="separate"/>
      </w:r>
      <w:r w:rsidR="003E3A7D" w:rsidRPr="002D2859">
        <w:rPr>
          <w:rFonts w:ascii="Arial Narrow" w:hAnsi="Arial Narrow"/>
          <w:b/>
          <w:sz w:val="20"/>
        </w:rPr>
        <w:t>12</w:t>
      </w:r>
      <w:r w:rsidR="00476AB2" w:rsidRPr="002D2859">
        <w:rPr>
          <w:rFonts w:ascii="Arial Narrow" w:hAnsi="Arial Narrow"/>
          <w:b/>
          <w:sz w:val="20"/>
        </w:rPr>
        <w:fldChar w:fldCharType="end"/>
      </w:r>
      <w:bookmarkEnd w:id="14"/>
      <w:r w:rsidRPr="002D2859">
        <w:rPr>
          <w:rFonts w:ascii="Arial Narrow" w:hAnsi="Arial Narrow"/>
          <w:b/>
          <w:sz w:val="20"/>
        </w:rPr>
        <w:tab/>
        <w:t>Total costs to the MBS associated with CEP use during TAVI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79"/>
        <w:gridCol w:w="1037"/>
        <w:gridCol w:w="1111"/>
        <w:gridCol w:w="1111"/>
        <w:gridCol w:w="1111"/>
        <w:gridCol w:w="1072"/>
      </w:tblGrid>
      <w:tr w:rsidR="00E607DA" w:rsidRPr="003648FE" w14:paraId="3C15D9B5" w14:textId="77777777" w:rsidTr="00324DD5">
        <w:trPr>
          <w:trHeight w:val="304"/>
          <w:tblHeader/>
        </w:trPr>
        <w:tc>
          <w:tcPr>
            <w:tcW w:w="3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2D01" w14:textId="77777777" w:rsidR="00E607DA" w:rsidRPr="003648FE" w:rsidRDefault="00E607DA" w:rsidP="00D14ECE">
            <w:pPr>
              <w:keepNext/>
              <w:widowControl w:val="0"/>
              <w:spacing w:before="40" w:after="40"/>
              <w:rPr>
                <w:rFonts w:ascii="Arial Narrow" w:hAnsi="Arial Narrow" w:cs="Tahoma"/>
                <w:b/>
                <w:bCs/>
                <w:sz w:val="20"/>
              </w:rPr>
            </w:pPr>
            <w:r w:rsidRPr="003648FE">
              <w:rPr>
                <w:rFonts w:ascii="Arial Narrow" w:hAnsi="Arial Narrow" w:cs="Tahoma"/>
                <w:b/>
                <w:bCs/>
                <w:sz w:val="20"/>
              </w:rPr>
              <w:t>Year</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46592" w14:textId="77777777" w:rsidR="00E607DA" w:rsidRPr="003648FE" w:rsidRDefault="00E607DA" w:rsidP="00487EE3">
            <w:pPr>
              <w:keepNext/>
              <w:widowControl w:val="0"/>
              <w:spacing w:before="40" w:after="40"/>
              <w:jc w:val="center"/>
              <w:rPr>
                <w:rFonts w:ascii="Arial Narrow" w:hAnsi="Arial Narrow" w:cs="Tahoma"/>
                <w:b/>
                <w:bCs/>
                <w:sz w:val="20"/>
              </w:rPr>
            </w:pPr>
            <w:r w:rsidRPr="003648FE">
              <w:rPr>
                <w:rFonts w:ascii="Arial Narrow" w:hAnsi="Arial Narrow" w:cs="Tahoma"/>
                <w:b/>
                <w:bCs/>
                <w:sz w:val="20"/>
              </w:rPr>
              <w:t>Year 1</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3C39" w14:textId="77777777" w:rsidR="00E607DA" w:rsidRPr="003648FE" w:rsidRDefault="00E607DA" w:rsidP="00487EE3">
            <w:pPr>
              <w:keepNext/>
              <w:widowControl w:val="0"/>
              <w:spacing w:before="40" w:after="40"/>
              <w:jc w:val="center"/>
              <w:rPr>
                <w:rFonts w:ascii="Arial Narrow" w:hAnsi="Arial Narrow" w:cs="Tahoma"/>
                <w:b/>
                <w:bCs/>
                <w:sz w:val="20"/>
              </w:rPr>
            </w:pPr>
            <w:r w:rsidRPr="003648FE">
              <w:rPr>
                <w:rFonts w:ascii="Arial Narrow" w:hAnsi="Arial Narrow" w:cs="Tahoma"/>
                <w:b/>
                <w:bCs/>
                <w:sz w:val="20"/>
              </w:rPr>
              <w:t>Year 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83AAA" w14:textId="77777777" w:rsidR="00E607DA" w:rsidRPr="003648FE" w:rsidRDefault="00E607DA" w:rsidP="00487EE3">
            <w:pPr>
              <w:keepNext/>
              <w:widowControl w:val="0"/>
              <w:spacing w:before="40" w:after="40"/>
              <w:jc w:val="center"/>
              <w:rPr>
                <w:rFonts w:ascii="Arial Narrow" w:hAnsi="Arial Narrow" w:cs="Tahoma"/>
                <w:b/>
                <w:bCs/>
                <w:sz w:val="20"/>
              </w:rPr>
            </w:pPr>
            <w:r w:rsidRPr="003648FE">
              <w:rPr>
                <w:rFonts w:ascii="Arial Narrow" w:hAnsi="Arial Narrow" w:cs="Tahoma"/>
                <w:b/>
                <w:bCs/>
                <w:sz w:val="20"/>
              </w:rPr>
              <w:t>Year 3</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646F4B12" w14:textId="77777777" w:rsidR="00E607DA" w:rsidRPr="003648FE" w:rsidRDefault="00E607DA" w:rsidP="00487EE3">
            <w:pPr>
              <w:keepNext/>
              <w:widowControl w:val="0"/>
              <w:spacing w:before="40" w:after="40"/>
              <w:jc w:val="center"/>
              <w:rPr>
                <w:rFonts w:ascii="Arial Narrow" w:hAnsi="Arial Narrow" w:cs="Tahoma"/>
                <w:b/>
                <w:bCs/>
                <w:sz w:val="20"/>
              </w:rPr>
            </w:pPr>
            <w:r w:rsidRPr="003648FE">
              <w:rPr>
                <w:rFonts w:ascii="Arial Narrow" w:hAnsi="Arial Narrow" w:cs="Tahoma"/>
                <w:b/>
                <w:bCs/>
                <w:sz w:val="20"/>
              </w:rPr>
              <w:t>Year 4</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1C9FDE0A" w14:textId="77777777" w:rsidR="00E607DA" w:rsidRPr="003648FE" w:rsidRDefault="00E607DA" w:rsidP="00487EE3">
            <w:pPr>
              <w:keepNext/>
              <w:widowControl w:val="0"/>
              <w:spacing w:before="40" w:after="40"/>
              <w:jc w:val="center"/>
              <w:rPr>
                <w:rFonts w:ascii="Arial Narrow" w:hAnsi="Arial Narrow" w:cs="Tahoma"/>
                <w:b/>
                <w:bCs/>
                <w:sz w:val="20"/>
              </w:rPr>
            </w:pPr>
            <w:r w:rsidRPr="003648FE">
              <w:rPr>
                <w:rFonts w:ascii="Arial Narrow" w:hAnsi="Arial Narrow" w:cs="Tahoma"/>
                <w:b/>
                <w:bCs/>
                <w:sz w:val="20"/>
              </w:rPr>
              <w:t>Year 5</w:t>
            </w:r>
          </w:p>
        </w:tc>
      </w:tr>
      <w:tr w:rsidR="00E607DA" w:rsidRPr="003648FE" w14:paraId="568151EC" w14:textId="77777777" w:rsidTr="00324DD5">
        <w:trPr>
          <w:trHeight w:val="304"/>
          <w:tblHeader/>
        </w:trPr>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14:paraId="2D4DD7D0" w14:textId="77777777" w:rsidR="00E607DA" w:rsidRPr="003648FE" w:rsidRDefault="00E607DA" w:rsidP="00487EE3">
            <w:pPr>
              <w:keepNext/>
              <w:widowControl w:val="0"/>
              <w:spacing w:before="40" w:after="40"/>
              <w:ind w:left="176"/>
              <w:rPr>
                <w:rFonts w:ascii="Arial Narrow" w:hAnsi="Arial Narrow" w:cs="Tahoma"/>
                <w:b/>
                <w:bCs/>
                <w:sz w:val="20"/>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CFEFC" w14:textId="77777777" w:rsidR="00E607DA" w:rsidRPr="00C52FD8" w:rsidRDefault="00E607DA" w:rsidP="00487EE3">
            <w:pPr>
              <w:keepNext/>
              <w:widowControl w:val="0"/>
              <w:spacing w:before="40" w:after="40"/>
              <w:jc w:val="center"/>
              <w:rPr>
                <w:rFonts w:ascii="Arial Narrow" w:hAnsi="Arial Narrow" w:cs="Tahoma"/>
                <w:b/>
                <w:bCs/>
                <w:sz w:val="20"/>
              </w:rPr>
            </w:pPr>
            <w:r w:rsidRPr="00C52FD8">
              <w:rPr>
                <w:rFonts w:ascii="Arial Narrow" w:hAnsi="Arial Narrow" w:cs="Tahoma"/>
                <w:b/>
                <w:bCs/>
                <w:color w:val="000000"/>
                <w:sz w:val="20"/>
                <w:szCs w:val="18"/>
              </w:rPr>
              <w:t>2021</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0AEDAC4" w14:textId="77777777" w:rsidR="00E607DA" w:rsidRPr="00C52FD8" w:rsidRDefault="00E607DA" w:rsidP="00487EE3">
            <w:pPr>
              <w:keepNext/>
              <w:widowControl w:val="0"/>
              <w:spacing w:before="40" w:after="40"/>
              <w:jc w:val="center"/>
              <w:rPr>
                <w:rFonts w:ascii="Arial Narrow" w:hAnsi="Arial Narrow" w:cs="Tahoma"/>
                <w:b/>
                <w:bCs/>
                <w:sz w:val="20"/>
              </w:rPr>
            </w:pPr>
            <w:r w:rsidRPr="00C52FD8">
              <w:rPr>
                <w:rFonts w:ascii="Arial Narrow" w:hAnsi="Arial Narrow" w:cs="Tahoma"/>
                <w:b/>
                <w:bCs/>
                <w:color w:val="000000"/>
                <w:sz w:val="20"/>
                <w:szCs w:val="18"/>
              </w:rPr>
              <w:t>2022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F0B8D81" w14:textId="77777777" w:rsidR="00E607DA" w:rsidRPr="00C52FD8" w:rsidRDefault="00E607DA" w:rsidP="00487EE3">
            <w:pPr>
              <w:keepNext/>
              <w:widowControl w:val="0"/>
              <w:spacing w:before="40" w:after="40"/>
              <w:jc w:val="center"/>
              <w:rPr>
                <w:rFonts w:ascii="Arial Narrow" w:hAnsi="Arial Narrow" w:cs="Tahoma"/>
                <w:b/>
                <w:bCs/>
                <w:sz w:val="20"/>
              </w:rPr>
            </w:pPr>
            <w:r w:rsidRPr="00C52FD8">
              <w:rPr>
                <w:rFonts w:ascii="Arial Narrow" w:hAnsi="Arial Narrow" w:cs="Tahoma"/>
                <w:b/>
                <w:bCs/>
                <w:color w:val="000000"/>
                <w:sz w:val="20"/>
                <w:szCs w:val="18"/>
              </w:rPr>
              <w:t>2023</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9409B40" w14:textId="77777777" w:rsidR="00E607DA" w:rsidRPr="00C52FD8" w:rsidRDefault="00E607DA" w:rsidP="00487EE3">
            <w:pPr>
              <w:keepNext/>
              <w:widowControl w:val="0"/>
              <w:spacing w:before="40" w:after="40"/>
              <w:jc w:val="center"/>
              <w:rPr>
                <w:rFonts w:ascii="Arial Narrow" w:hAnsi="Arial Narrow" w:cs="Tahoma"/>
                <w:b/>
                <w:bCs/>
                <w:sz w:val="20"/>
              </w:rPr>
            </w:pPr>
            <w:r w:rsidRPr="00C52FD8">
              <w:rPr>
                <w:rFonts w:ascii="Arial Narrow" w:hAnsi="Arial Narrow" w:cs="Tahoma"/>
                <w:b/>
                <w:bCs/>
                <w:sz w:val="20"/>
                <w:szCs w:val="18"/>
              </w:rPr>
              <w:t>2024</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E90DD29" w14:textId="77777777" w:rsidR="00E607DA" w:rsidRPr="00C52FD8" w:rsidRDefault="00E607DA" w:rsidP="00487EE3">
            <w:pPr>
              <w:keepNext/>
              <w:widowControl w:val="0"/>
              <w:spacing w:before="40" w:after="40"/>
              <w:jc w:val="center"/>
              <w:rPr>
                <w:rFonts w:ascii="Arial Narrow" w:hAnsi="Arial Narrow" w:cs="Tahoma"/>
                <w:b/>
                <w:bCs/>
                <w:sz w:val="20"/>
              </w:rPr>
            </w:pPr>
            <w:r w:rsidRPr="00C52FD8">
              <w:rPr>
                <w:rFonts w:ascii="Arial Narrow" w:hAnsi="Arial Narrow" w:cs="Tahoma"/>
                <w:b/>
                <w:bCs/>
                <w:sz w:val="20"/>
                <w:szCs w:val="18"/>
              </w:rPr>
              <w:t>2025</w:t>
            </w:r>
          </w:p>
        </w:tc>
      </w:tr>
      <w:tr w:rsidR="00E607DA" w:rsidRPr="003648FE" w14:paraId="79F7EC9C" w14:textId="77777777" w:rsidTr="00324DD5">
        <w:trPr>
          <w:trHeight w:val="139"/>
        </w:trPr>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A30B762" w14:textId="77777777" w:rsidR="00E607DA" w:rsidRPr="003648FE" w:rsidRDefault="00E607DA" w:rsidP="00487EE3">
            <w:pPr>
              <w:widowControl w:val="0"/>
              <w:spacing w:before="40" w:after="40"/>
              <w:rPr>
                <w:rFonts w:ascii="Arial Narrow" w:hAnsi="Arial Narrow" w:cs="Tahoma"/>
                <w:b/>
                <w:bCs/>
                <w:sz w:val="20"/>
              </w:rPr>
            </w:pPr>
            <w:r w:rsidRPr="003648FE">
              <w:rPr>
                <w:rFonts w:ascii="Arial Narrow" w:hAnsi="Arial Narrow" w:cs="Tahoma"/>
                <w:b/>
                <w:bCs/>
                <w:sz w:val="20"/>
              </w:rPr>
              <w:t>Current MBS population (Inoperable/high risk patient)</w:t>
            </w:r>
          </w:p>
        </w:tc>
      </w:tr>
      <w:tr w:rsidR="00E607DA" w:rsidRPr="003648FE" w14:paraId="78AE9C20" w14:textId="77777777" w:rsidTr="00324DD5">
        <w:trPr>
          <w:trHeight w:val="139"/>
        </w:trPr>
        <w:tc>
          <w:tcPr>
            <w:tcW w:w="3579" w:type="dxa"/>
            <w:tcBorders>
              <w:top w:val="single" w:sz="4" w:space="0" w:color="auto"/>
              <w:left w:val="single" w:sz="4" w:space="0" w:color="auto"/>
              <w:bottom w:val="single" w:sz="4" w:space="0" w:color="auto"/>
              <w:right w:val="single" w:sz="4" w:space="0" w:color="auto"/>
            </w:tcBorders>
            <w:shd w:val="clear" w:color="auto" w:fill="auto"/>
          </w:tcPr>
          <w:p w14:paraId="373D1DD9" w14:textId="77777777" w:rsidR="00E607DA" w:rsidRPr="003648FE" w:rsidRDefault="00E607DA" w:rsidP="00487EE3">
            <w:pPr>
              <w:widowControl w:val="0"/>
              <w:spacing w:before="40" w:after="40"/>
              <w:rPr>
                <w:rFonts w:ascii="Arial Narrow" w:hAnsi="Arial Narrow" w:cs="Tahoma"/>
                <w:sz w:val="20"/>
              </w:rPr>
            </w:pPr>
            <w:r w:rsidRPr="003648FE">
              <w:rPr>
                <w:rFonts w:ascii="Arial Narrow" w:hAnsi="Arial Narrow" w:cs="Tahoma"/>
                <w:sz w:val="20"/>
              </w:rPr>
              <w:t>Projected TAVI services</w:t>
            </w:r>
          </w:p>
        </w:tc>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3EAEED5E" w14:textId="77777777" w:rsidR="00E607DA" w:rsidRPr="003648FE" w:rsidRDefault="00E607DA" w:rsidP="00D14ECE">
            <w:pPr>
              <w:widowControl w:val="0"/>
              <w:spacing w:before="40" w:after="40"/>
              <w:jc w:val="center"/>
              <w:rPr>
                <w:rFonts w:ascii="Arial Narrow" w:hAnsi="Arial Narrow" w:cs="Tahoma"/>
                <w:sz w:val="20"/>
              </w:rPr>
            </w:pPr>
            <w:r w:rsidRPr="003648FE">
              <w:rPr>
                <w:rFonts w:ascii="Arial Narrow" w:hAnsi="Arial Narrow" w:cs="Tahoma"/>
                <w:sz w:val="20"/>
              </w:rPr>
              <w:t>2,177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7D4F954" w14:textId="77777777" w:rsidR="00E607DA" w:rsidRPr="003648FE" w:rsidRDefault="00E607DA" w:rsidP="00D14ECE">
            <w:pPr>
              <w:widowControl w:val="0"/>
              <w:spacing w:before="40" w:after="40"/>
              <w:jc w:val="center"/>
              <w:rPr>
                <w:rFonts w:ascii="Arial Narrow" w:hAnsi="Arial Narrow" w:cs="Tahoma"/>
                <w:sz w:val="20"/>
              </w:rPr>
            </w:pPr>
            <w:r w:rsidRPr="003648FE">
              <w:rPr>
                <w:rFonts w:ascii="Arial Narrow" w:hAnsi="Arial Narrow" w:cs="Tahoma"/>
                <w:sz w:val="20"/>
              </w:rPr>
              <w:t>2,418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06DDE9D" w14:textId="77777777" w:rsidR="00E607DA" w:rsidRPr="003648FE" w:rsidRDefault="00E607DA" w:rsidP="00D14ECE">
            <w:pPr>
              <w:widowControl w:val="0"/>
              <w:spacing w:before="40" w:after="40"/>
              <w:jc w:val="center"/>
              <w:rPr>
                <w:rFonts w:ascii="Arial Narrow" w:hAnsi="Arial Narrow" w:cs="Tahoma"/>
                <w:sz w:val="20"/>
              </w:rPr>
            </w:pPr>
            <w:r w:rsidRPr="003648FE">
              <w:rPr>
                <w:rFonts w:ascii="Arial Narrow" w:hAnsi="Arial Narrow" w:cs="Tahoma"/>
                <w:sz w:val="20"/>
              </w:rPr>
              <w:t>2,622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201F15F" w14:textId="77777777" w:rsidR="00E607DA" w:rsidRPr="003648FE" w:rsidRDefault="00E607DA" w:rsidP="00D14ECE">
            <w:pPr>
              <w:widowControl w:val="0"/>
              <w:spacing w:before="40" w:after="40"/>
              <w:jc w:val="center"/>
              <w:rPr>
                <w:rFonts w:ascii="Arial Narrow" w:hAnsi="Arial Narrow" w:cs="Tahoma"/>
                <w:sz w:val="20"/>
              </w:rPr>
            </w:pPr>
            <w:r w:rsidRPr="003648FE">
              <w:rPr>
                <w:rFonts w:ascii="Arial Narrow" w:hAnsi="Arial Narrow" w:cs="Tahoma"/>
                <w:sz w:val="20"/>
              </w:rPr>
              <w:t>2,798</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0F95962B" w14:textId="77777777" w:rsidR="00E607DA" w:rsidRPr="003648FE" w:rsidRDefault="00E607DA" w:rsidP="00D14ECE">
            <w:pPr>
              <w:widowControl w:val="0"/>
              <w:spacing w:before="40" w:after="40"/>
              <w:jc w:val="center"/>
              <w:rPr>
                <w:rFonts w:ascii="Arial Narrow" w:hAnsi="Arial Narrow" w:cs="Tahoma"/>
                <w:sz w:val="20"/>
              </w:rPr>
            </w:pPr>
            <w:r w:rsidRPr="003648FE">
              <w:rPr>
                <w:rFonts w:ascii="Arial Narrow" w:hAnsi="Arial Narrow" w:cs="Tahoma"/>
                <w:sz w:val="20"/>
              </w:rPr>
              <w:t>2,953</w:t>
            </w:r>
          </w:p>
        </w:tc>
      </w:tr>
      <w:tr w:rsidR="00E607DA" w:rsidRPr="003648FE" w14:paraId="35CCB684" w14:textId="77777777" w:rsidTr="00324DD5">
        <w:trPr>
          <w:trHeight w:val="139"/>
        </w:trPr>
        <w:tc>
          <w:tcPr>
            <w:tcW w:w="3579" w:type="dxa"/>
            <w:tcBorders>
              <w:top w:val="single" w:sz="4" w:space="0" w:color="auto"/>
              <w:left w:val="single" w:sz="4" w:space="0" w:color="auto"/>
              <w:bottom w:val="single" w:sz="4" w:space="0" w:color="auto"/>
              <w:right w:val="single" w:sz="4" w:space="0" w:color="auto"/>
            </w:tcBorders>
            <w:shd w:val="clear" w:color="auto" w:fill="auto"/>
          </w:tcPr>
          <w:p w14:paraId="5DA873C8" w14:textId="77777777" w:rsidR="00E607DA" w:rsidRPr="003648FE" w:rsidRDefault="00E607DA" w:rsidP="00487EE3">
            <w:pPr>
              <w:widowControl w:val="0"/>
              <w:spacing w:before="40" w:after="40"/>
              <w:rPr>
                <w:rFonts w:ascii="Arial Narrow" w:hAnsi="Arial Narrow" w:cs="Tahoma"/>
                <w:sz w:val="20"/>
              </w:rPr>
            </w:pPr>
            <w:r w:rsidRPr="003648FE">
              <w:rPr>
                <w:rFonts w:ascii="Arial Narrow" w:hAnsi="Arial Narrow" w:cs="Tahoma"/>
                <w:sz w:val="20"/>
              </w:rPr>
              <w:t>Eligible population (61.5%; Voss 2020)</w:t>
            </w:r>
          </w:p>
        </w:tc>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226E98C0" w14:textId="77777777" w:rsidR="00E607DA" w:rsidRPr="003648FE" w:rsidRDefault="00E607DA" w:rsidP="00D14ECE">
            <w:pPr>
              <w:widowControl w:val="0"/>
              <w:spacing w:before="40" w:after="40"/>
              <w:jc w:val="center"/>
              <w:rPr>
                <w:rFonts w:ascii="Arial Narrow" w:hAnsi="Arial Narrow" w:cs="Tahoma"/>
                <w:sz w:val="20"/>
              </w:rPr>
            </w:pPr>
            <w:r w:rsidRPr="003648FE">
              <w:rPr>
                <w:rFonts w:ascii="Arial Narrow" w:hAnsi="Arial Narrow" w:cs="Tahoma"/>
                <w:sz w:val="20"/>
              </w:rPr>
              <w:t>1,339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E6B01B" w14:textId="77777777" w:rsidR="00E607DA" w:rsidRPr="003648FE" w:rsidRDefault="00E607DA" w:rsidP="00D14ECE">
            <w:pPr>
              <w:widowControl w:val="0"/>
              <w:spacing w:before="40" w:after="40"/>
              <w:jc w:val="center"/>
              <w:rPr>
                <w:rFonts w:ascii="Arial Narrow" w:hAnsi="Arial Narrow" w:cs="Tahoma"/>
                <w:sz w:val="20"/>
              </w:rPr>
            </w:pPr>
            <w:r w:rsidRPr="003648FE">
              <w:rPr>
                <w:rFonts w:ascii="Arial Narrow" w:hAnsi="Arial Narrow" w:cs="Tahoma"/>
                <w:sz w:val="20"/>
              </w:rPr>
              <w:t>1,487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7FEB1AF" w14:textId="77777777" w:rsidR="00E607DA" w:rsidRPr="003648FE" w:rsidRDefault="00E607DA" w:rsidP="00D14ECE">
            <w:pPr>
              <w:widowControl w:val="0"/>
              <w:spacing w:before="40" w:after="40"/>
              <w:jc w:val="center"/>
              <w:rPr>
                <w:rFonts w:ascii="Arial Narrow" w:hAnsi="Arial Narrow" w:cs="Tahoma"/>
                <w:sz w:val="20"/>
              </w:rPr>
            </w:pPr>
            <w:r w:rsidRPr="003648FE">
              <w:rPr>
                <w:rFonts w:ascii="Arial Narrow" w:hAnsi="Arial Narrow" w:cs="Tahoma"/>
                <w:sz w:val="20"/>
              </w:rPr>
              <w:t>1,612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0F3510E" w14:textId="77777777" w:rsidR="00E607DA" w:rsidRPr="003648FE" w:rsidRDefault="00E607DA" w:rsidP="00D14ECE">
            <w:pPr>
              <w:widowControl w:val="0"/>
              <w:spacing w:before="40" w:after="40"/>
              <w:jc w:val="center"/>
              <w:rPr>
                <w:rFonts w:ascii="Arial Narrow" w:hAnsi="Arial Narrow" w:cs="Tahoma"/>
                <w:sz w:val="20"/>
              </w:rPr>
            </w:pPr>
            <w:r w:rsidRPr="003648FE">
              <w:rPr>
                <w:rFonts w:ascii="Arial Narrow" w:hAnsi="Arial Narrow" w:cs="Tahoma"/>
                <w:sz w:val="20"/>
              </w:rPr>
              <w:t>1,721</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51794EB1" w14:textId="77777777" w:rsidR="00E607DA" w:rsidRPr="003648FE" w:rsidRDefault="00E607DA" w:rsidP="00D14ECE">
            <w:pPr>
              <w:widowControl w:val="0"/>
              <w:spacing w:before="40" w:after="40"/>
              <w:jc w:val="center"/>
              <w:rPr>
                <w:rFonts w:ascii="Arial Narrow" w:hAnsi="Arial Narrow" w:cs="Tahoma"/>
                <w:sz w:val="20"/>
              </w:rPr>
            </w:pPr>
            <w:r w:rsidRPr="003648FE">
              <w:rPr>
                <w:rFonts w:ascii="Arial Narrow" w:hAnsi="Arial Narrow" w:cs="Tahoma"/>
                <w:sz w:val="20"/>
              </w:rPr>
              <w:t>1,816</w:t>
            </w:r>
          </w:p>
        </w:tc>
      </w:tr>
      <w:tr w:rsidR="00F708EF" w:rsidRPr="003648FE" w14:paraId="408AEB2D" w14:textId="77777777" w:rsidTr="00324DD5">
        <w:trPr>
          <w:trHeight w:val="139"/>
        </w:trPr>
        <w:tc>
          <w:tcPr>
            <w:tcW w:w="3579" w:type="dxa"/>
            <w:tcBorders>
              <w:top w:val="single" w:sz="4" w:space="0" w:color="auto"/>
              <w:left w:val="single" w:sz="4" w:space="0" w:color="auto"/>
              <w:bottom w:val="single" w:sz="4" w:space="0" w:color="auto"/>
              <w:right w:val="single" w:sz="4" w:space="0" w:color="auto"/>
            </w:tcBorders>
            <w:shd w:val="clear" w:color="auto" w:fill="auto"/>
            <w:hideMark/>
          </w:tcPr>
          <w:p w14:paraId="0982B41B" w14:textId="1026A3D8" w:rsidR="00F708EF" w:rsidRPr="00324DD5" w:rsidRDefault="00F708EF" w:rsidP="00F708EF">
            <w:pPr>
              <w:widowControl w:val="0"/>
              <w:spacing w:before="40" w:after="40"/>
              <w:rPr>
                <w:rFonts w:ascii="Arial Narrow" w:hAnsi="Arial Narrow" w:cs="Tahoma"/>
                <w:sz w:val="20"/>
              </w:rPr>
            </w:pPr>
            <w:r w:rsidRPr="00324DD5">
              <w:rPr>
                <w:rFonts w:ascii="Arial Narrow" w:hAnsi="Arial Narrow" w:cs="Tahoma"/>
                <w:sz w:val="20"/>
              </w:rPr>
              <w:t xml:space="preserve">CEP services (uptake </w:t>
            </w:r>
            <w:r w:rsidR="00076174" w:rsidRPr="00324DD5">
              <w:rPr>
                <w:rFonts w:ascii="Arial Narrow" w:hAnsi="Arial Narrow" w:cs="Tahoma"/>
                <w:sz w:val="20"/>
              </w:rPr>
              <w:t>rate redacted%-redacted%)</w:t>
            </w:r>
          </w:p>
        </w:tc>
        <w:tc>
          <w:tcPr>
            <w:tcW w:w="1037" w:type="dxa"/>
            <w:tcBorders>
              <w:top w:val="single" w:sz="4" w:space="0" w:color="auto"/>
              <w:left w:val="single" w:sz="4" w:space="0" w:color="auto"/>
              <w:bottom w:val="single" w:sz="4" w:space="0" w:color="auto"/>
              <w:right w:val="single" w:sz="4" w:space="0" w:color="auto"/>
            </w:tcBorders>
            <w:shd w:val="clear" w:color="auto" w:fill="auto"/>
            <w:noWrap/>
            <w:hideMark/>
          </w:tcPr>
          <w:p w14:paraId="76443497" w14:textId="337700EE" w:rsidR="00F708EF" w:rsidRPr="00324DD5" w:rsidRDefault="00F708EF" w:rsidP="00F708EF">
            <w:pPr>
              <w:widowControl w:val="0"/>
              <w:spacing w:before="40" w:after="40"/>
              <w:jc w:val="center"/>
              <w:rPr>
                <w:rFonts w:ascii="Arial Narrow" w:hAnsi="Arial Narrow" w:cs="Tahoma"/>
                <w:sz w:val="20"/>
              </w:rPr>
            </w:pPr>
            <w:r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31A27B51" w14:textId="66E07A19" w:rsidR="00F708EF" w:rsidRPr="00324DD5" w:rsidRDefault="00F708EF" w:rsidP="00F708EF">
            <w:pPr>
              <w:widowControl w:val="0"/>
              <w:tabs>
                <w:tab w:val="left" w:pos="330"/>
                <w:tab w:val="center" w:pos="527"/>
              </w:tabs>
              <w:spacing w:before="40" w:after="40"/>
              <w:rPr>
                <w:rFonts w:ascii="Arial Narrow" w:hAnsi="Arial Narrow" w:cs="Tahoma"/>
                <w:sz w:val="20"/>
              </w:rPr>
            </w:pPr>
            <w:r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4161B302" w14:textId="2D6F8397" w:rsidR="00F708EF" w:rsidRPr="00324DD5" w:rsidRDefault="00F708EF" w:rsidP="00F708EF">
            <w:pPr>
              <w:widowControl w:val="0"/>
              <w:spacing w:before="40" w:after="40"/>
              <w:jc w:val="center"/>
              <w:rPr>
                <w:rFonts w:ascii="Arial Narrow" w:hAnsi="Arial Narrow" w:cs="Tahoma"/>
                <w:sz w:val="20"/>
              </w:rPr>
            </w:pPr>
            <w:r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5C1D32BC" w14:textId="6173627D" w:rsidR="00F708EF" w:rsidRPr="00324DD5" w:rsidRDefault="00F708EF" w:rsidP="00F708EF">
            <w:pPr>
              <w:widowControl w:val="0"/>
              <w:spacing w:before="40" w:after="40"/>
              <w:jc w:val="center"/>
              <w:rPr>
                <w:rFonts w:ascii="Arial Narrow" w:hAnsi="Arial Narrow" w:cs="Tahoma"/>
                <w:sz w:val="20"/>
              </w:rPr>
            </w:pPr>
            <w:r w:rsidRPr="00324DD5">
              <w:rPr>
                <w:rFonts w:ascii="Arial Narrow" w:hAnsi="Arial Narrow" w:cs="Tahoma"/>
                <w:sz w:val="20"/>
              </w:rPr>
              <w:t>Redacted</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67303C6C" w14:textId="4AA0F88C" w:rsidR="00F708EF" w:rsidRPr="00324DD5" w:rsidRDefault="00F708EF" w:rsidP="00F708EF">
            <w:pPr>
              <w:widowControl w:val="0"/>
              <w:spacing w:before="40" w:after="40"/>
              <w:jc w:val="center"/>
              <w:rPr>
                <w:rFonts w:ascii="Arial Narrow" w:hAnsi="Arial Narrow" w:cs="Tahoma"/>
                <w:sz w:val="20"/>
              </w:rPr>
            </w:pPr>
            <w:r w:rsidRPr="00324DD5">
              <w:rPr>
                <w:rFonts w:ascii="Arial Narrow" w:hAnsi="Arial Narrow" w:cs="Tahoma"/>
                <w:sz w:val="20"/>
              </w:rPr>
              <w:t>Redacted</w:t>
            </w:r>
          </w:p>
        </w:tc>
      </w:tr>
      <w:tr w:rsidR="00F708EF" w:rsidRPr="003648FE" w14:paraId="13F1197C" w14:textId="77777777" w:rsidTr="00324DD5">
        <w:trPr>
          <w:trHeight w:val="139"/>
        </w:trPr>
        <w:tc>
          <w:tcPr>
            <w:tcW w:w="3579" w:type="dxa"/>
            <w:tcBorders>
              <w:top w:val="single" w:sz="4" w:space="0" w:color="auto"/>
              <w:left w:val="single" w:sz="4" w:space="0" w:color="auto"/>
              <w:bottom w:val="single" w:sz="4" w:space="0" w:color="auto"/>
              <w:right w:val="single" w:sz="4" w:space="0" w:color="auto"/>
            </w:tcBorders>
            <w:shd w:val="clear" w:color="auto" w:fill="auto"/>
            <w:hideMark/>
          </w:tcPr>
          <w:p w14:paraId="2C6D056D" w14:textId="77777777" w:rsidR="00F708EF" w:rsidRPr="00324DD5" w:rsidRDefault="00F708EF" w:rsidP="00F708EF">
            <w:pPr>
              <w:widowControl w:val="0"/>
              <w:spacing w:before="40" w:after="40"/>
              <w:rPr>
                <w:rFonts w:ascii="Arial Narrow" w:hAnsi="Arial Narrow" w:cs="Tahoma"/>
                <w:sz w:val="20"/>
              </w:rPr>
            </w:pPr>
            <w:r w:rsidRPr="00324DD5">
              <w:rPr>
                <w:rFonts w:ascii="Arial Narrow" w:hAnsi="Arial Narrow" w:cs="Tahoma"/>
                <w:sz w:val="20"/>
              </w:rPr>
              <w:t>Net impact</w:t>
            </w:r>
          </w:p>
        </w:tc>
        <w:tc>
          <w:tcPr>
            <w:tcW w:w="1037" w:type="dxa"/>
            <w:tcBorders>
              <w:top w:val="single" w:sz="4" w:space="0" w:color="auto"/>
              <w:left w:val="single" w:sz="4" w:space="0" w:color="auto"/>
              <w:bottom w:val="single" w:sz="4" w:space="0" w:color="auto"/>
              <w:right w:val="single" w:sz="4" w:space="0" w:color="auto"/>
            </w:tcBorders>
            <w:shd w:val="clear" w:color="auto" w:fill="auto"/>
            <w:noWrap/>
            <w:hideMark/>
          </w:tcPr>
          <w:p w14:paraId="6D75E589" w14:textId="12455685"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5EF3A8C9" w14:textId="265577DD"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449F1623" w14:textId="259484B3"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262124DE" w14:textId="3B794DC2"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60901E8E" w14:textId="7A18C735"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r>
      <w:tr w:rsidR="00F708EF" w:rsidRPr="003648FE" w14:paraId="368E8705" w14:textId="77777777" w:rsidTr="00324DD5">
        <w:trPr>
          <w:trHeight w:val="139"/>
        </w:trPr>
        <w:tc>
          <w:tcPr>
            <w:tcW w:w="3579" w:type="dxa"/>
            <w:tcBorders>
              <w:top w:val="single" w:sz="4" w:space="0" w:color="auto"/>
              <w:left w:val="single" w:sz="4" w:space="0" w:color="auto"/>
              <w:bottom w:val="single" w:sz="4" w:space="0" w:color="auto"/>
              <w:right w:val="single" w:sz="4" w:space="0" w:color="auto"/>
            </w:tcBorders>
            <w:shd w:val="clear" w:color="auto" w:fill="auto"/>
            <w:hideMark/>
          </w:tcPr>
          <w:p w14:paraId="236B731B" w14:textId="3644BEF6" w:rsidR="00F708EF" w:rsidRPr="00324DD5" w:rsidRDefault="00F708EF" w:rsidP="00F708EF">
            <w:pPr>
              <w:pStyle w:val="ListParagraph"/>
              <w:widowControl w:val="0"/>
              <w:numPr>
                <w:ilvl w:val="0"/>
                <w:numId w:val="35"/>
              </w:numPr>
              <w:tabs>
                <w:tab w:val="left" w:pos="113"/>
                <w:tab w:val="left" w:pos="284"/>
              </w:tabs>
              <w:spacing w:before="40" w:after="40" w:line="312" w:lineRule="auto"/>
              <w:ind w:hanging="605"/>
              <w:rPr>
                <w:rFonts w:ascii="Arial Narrow" w:hAnsi="Arial Narrow" w:cs="Tahoma"/>
                <w:sz w:val="20"/>
              </w:rPr>
            </w:pPr>
            <w:r w:rsidRPr="00324DD5">
              <w:rPr>
                <w:rFonts w:ascii="Arial Narrow" w:hAnsi="Arial Narrow" w:cs="Tahoma"/>
                <w:sz w:val="20"/>
              </w:rPr>
              <w:t>cost to MBS</w:t>
            </w:r>
          </w:p>
        </w:tc>
        <w:tc>
          <w:tcPr>
            <w:tcW w:w="1037" w:type="dxa"/>
            <w:tcBorders>
              <w:top w:val="single" w:sz="4" w:space="0" w:color="auto"/>
              <w:left w:val="single" w:sz="4" w:space="0" w:color="auto"/>
              <w:bottom w:val="single" w:sz="4" w:space="0" w:color="auto"/>
              <w:right w:val="single" w:sz="4" w:space="0" w:color="auto"/>
            </w:tcBorders>
            <w:shd w:val="clear" w:color="auto" w:fill="auto"/>
            <w:noWrap/>
            <w:hideMark/>
          </w:tcPr>
          <w:p w14:paraId="6C2B8A1A" w14:textId="4756E704"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5D5E0998" w14:textId="6490C18D"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7BA2F9B0" w14:textId="32A5B9B2"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3651BD3D" w14:textId="69829238"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78D5A100" w14:textId="44030FF7"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r>
      <w:tr w:rsidR="00F708EF" w:rsidRPr="003648FE" w14:paraId="19727BE9" w14:textId="77777777" w:rsidTr="00324DD5">
        <w:trPr>
          <w:trHeight w:val="247"/>
        </w:trPr>
        <w:tc>
          <w:tcPr>
            <w:tcW w:w="3579" w:type="dxa"/>
            <w:tcBorders>
              <w:top w:val="single" w:sz="4" w:space="0" w:color="auto"/>
              <w:left w:val="single" w:sz="4" w:space="0" w:color="auto"/>
              <w:bottom w:val="single" w:sz="4" w:space="0" w:color="auto"/>
              <w:right w:val="single" w:sz="4" w:space="0" w:color="auto"/>
            </w:tcBorders>
            <w:shd w:val="clear" w:color="auto" w:fill="auto"/>
            <w:hideMark/>
          </w:tcPr>
          <w:p w14:paraId="14DE94C6" w14:textId="7865B043" w:rsidR="00F708EF" w:rsidRPr="00324DD5" w:rsidRDefault="00F708EF" w:rsidP="00F708EF">
            <w:pPr>
              <w:pStyle w:val="ListParagraph"/>
              <w:widowControl w:val="0"/>
              <w:numPr>
                <w:ilvl w:val="0"/>
                <w:numId w:val="35"/>
              </w:numPr>
              <w:spacing w:before="40" w:after="40" w:line="312" w:lineRule="auto"/>
              <w:ind w:left="257" w:hanging="142"/>
              <w:rPr>
                <w:rFonts w:ascii="Arial Narrow" w:hAnsi="Arial Narrow" w:cs="Tahoma"/>
                <w:sz w:val="20"/>
              </w:rPr>
            </w:pPr>
            <w:r w:rsidRPr="00324DD5">
              <w:rPr>
                <w:rFonts w:ascii="Arial Narrow" w:hAnsi="Arial Narrow" w:cs="Tahoma"/>
                <w:sz w:val="20"/>
              </w:rPr>
              <w:t>cost to patients</w:t>
            </w:r>
          </w:p>
        </w:tc>
        <w:tc>
          <w:tcPr>
            <w:tcW w:w="1037" w:type="dxa"/>
            <w:tcBorders>
              <w:top w:val="single" w:sz="4" w:space="0" w:color="auto"/>
              <w:left w:val="single" w:sz="4" w:space="0" w:color="auto"/>
              <w:bottom w:val="single" w:sz="4" w:space="0" w:color="auto"/>
              <w:right w:val="single" w:sz="4" w:space="0" w:color="auto"/>
            </w:tcBorders>
            <w:shd w:val="clear" w:color="auto" w:fill="auto"/>
            <w:noWrap/>
            <w:hideMark/>
          </w:tcPr>
          <w:p w14:paraId="39FE2E1F" w14:textId="7C21635B"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673C2BF5" w14:textId="5AA5262A"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0A6F47E6" w14:textId="784E46C7"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6A25F9A0" w14:textId="5B4E1D86"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4DE65C5F" w14:textId="2D578730"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r>
      <w:tr w:rsidR="00E607DA" w:rsidRPr="003648FE" w14:paraId="264A8D67" w14:textId="77777777" w:rsidTr="00324DD5">
        <w:trPr>
          <w:trHeight w:val="139"/>
        </w:trPr>
        <w:tc>
          <w:tcPr>
            <w:tcW w:w="3579" w:type="dxa"/>
            <w:tcBorders>
              <w:top w:val="single" w:sz="4" w:space="0" w:color="auto"/>
              <w:left w:val="single" w:sz="4" w:space="0" w:color="auto"/>
              <w:bottom w:val="single" w:sz="4" w:space="0" w:color="auto"/>
              <w:right w:val="nil"/>
            </w:tcBorders>
            <w:shd w:val="clear" w:color="auto" w:fill="auto"/>
          </w:tcPr>
          <w:p w14:paraId="5808537D" w14:textId="77777777" w:rsidR="00E607DA" w:rsidRPr="00324DD5" w:rsidRDefault="00E607DA" w:rsidP="00487EE3">
            <w:pPr>
              <w:widowControl w:val="0"/>
              <w:spacing w:before="40" w:after="40"/>
              <w:rPr>
                <w:rFonts w:ascii="Arial Narrow" w:hAnsi="Arial Narrow" w:cs="Tahoma"/>
                <w:sz w:val="20"/>
              </w:rPr>
            </w:pPr>
            <w:r w:rsidRPr="00324DD5">
              <w:rPr>
                <w:rFonts w:ascii="Arial Narrow" w:hAnsi="Arial Narrow" w:cs="Tahoma"/>
                <w:b/>
                <w:bCs/>
                <w:noProof/>
                <w:sz w:val="20"/>
              </w:rPr>
              <w:t>Intermediate risk population</w:t>
            </w:r>
          </w:p>
        </w:tc>
        <w:tc>
          <w:tcPr>
            <w:tcW w:w="1037" w:type="dxa"/>
            <w:tcBorders>
              <w:top w:val="single" w:sz="4" w:space="0" w:color="auto"/>
              <w:left w:val="nil"/>
              <w:bottom w:val="single" w:sz="4" w:space="0" w:color="auto"/>
              <w:right w:val="nil"/>
            </w:tcBorders>
            <w:shd w:val="clear" w:color="auto" w:fill="auto"/>
            <w:noWrap/>
          </w:tcPr>
          <w:p w14:paraId="5277C4F1" w14:textId="77777777" w:rsidR="00E607DA" w:rsidRPr="00324DD5" w:rsidRDefault="00E607DA" w:rsidP="00D14ECE">
            <w:pPr>
              <w:widowControl w:val="0"/>
              <w:spacing w:before="40" w:after="40"/>
              <w:ind w:left="176"/>
              <w:jc w:val="center"/>
              <w:rPr>
                <w:rFonts w:ascii="Arial Narrow" w:hAnsi="Arial Narrow" w:cs="Tahoma"/>
                <w:sz w:val="20"/>
              </w:rPr>
            </w:pPr>
          </w:p>
        </w:tc>
        <w:tc>
          <w:tcPr>
            <w:tcW w:w="1111" w:type="dxa"/>
            <w:tcBorders>
              <w:top w:val="single" w:sz="4" w:space="0" w:color="auto"/>
              <w:left w:val="nil"/>
              <w:bottom w:val="single" w:sz="4" w:space="0" w:color="auto"/>
              <w:right w:val="nil"/>
            </w:tcBorders>
            <w:shd w:val="clear" w:color="auto" w:fill="auto"/>
          </w:tcPr>
          <w:p w14:paraId="57CB25EB" w14:textId="77777777" w:rsidR="00E607DA" w:rsidRPr="00324DD5" w:rsidRDefault="00E607DA" w:rsidP="00D14ECE">
            <w:pPr>
              <w:widowControl w:val="0"/>
              <w:spacing w:before="40" w:after="40"/>
              <w:ind w:left="176"/>
              <w:jc w:val="center"/>
              <w:rPr>
                <w:rFonts w:ascii="Arial Narrow" w:hAnsi="Arial Narrow" w:cs="Tahoma"/>
                <w:sz w:val="20"/>
              </w:rPr>
            </w:pPr>
          </w:p>
        </w:tc>
        <w:tc>
          <w:tcPr>
            <w:tcW w:w="1111" w:type="dxa"/>
            <w:tcBorders>
              <w:top w:val="single" w:sz="4" w:space="0" w:color="auto"/>
              <w:left w:val="nil"/>
              <w:bottom w:val="single" w:sz="4" w:space="0" w:color="auto"/>
              <w:right w:val="nil"/>
            </w:tcBorders>
            <w:shd w:val="clear" w:color="auto" w:fill="auto"/>
          </w:tcPr>
          <w:p w14:paraId="277A9671" w14:textId="77777777" w:rsidR="00E607DA" w:rsidRPr="00324DD5" w:rsidRDefault="00E607DA" w:rsidP="00D14ECE">
            <w:pPr>
              <w:widowControl w:val="0"/>
              <w:spacing w:before="40" w:after="40"/>
              <w:ind w:left="176"/>
              <w:jc w:val="center"/>
              <w:rPr>
                <w:rFonts w:ascii="Arial Narrow" w:hAnsi="Arial Narrow" w:cs="Tahoma"/>
                <w:sz w:val="20"/>
              </w:rPr>
            </w:pPr>
          </w:p>
        </w:tc>
        <w:tc>
          <w:tcPr>
            <w:tcW w:w="1111" w:type="dxa"/>
            <w:tcBorders>
              <w:top w:val="single" w:sz="4" w:space="0" w:color="auto"/>
              <w:left w:val="nil"/>
              <w:bottom w:val="single" w:sz="4" w:space="0" w:color="auto"/>
              <w:right w:val="nil"/>
            </w:tcBorders>
            <w:shd w:val="clear" w:color="auto" w:fill="auto"/>
          </w:tcPr>
          <w:p w14:paraId="24EA405F" w14:textId="77777777" w:rsidR="00E607DA" w:rsidRPr="00324DD5" w:rsidRDefault="00E607DA" w:rsidP="00D14ECE">
            <w:pPr>
              <w:widowControl w:val="0"/>
              <w:spacing w:before="40" w:after="40"/>
              <w:jc w:val="center"/>
              <w:rPr>
                <w:rFonts w:ascii="Arial Narrow" w:hAnsi="Arial Narrow" w:cs="Tahoma"/>
                <w:sz w:val="20"/>
              </w:rPr>
            </w:pPr>
          </w:p>
        </w:tc>
        <w:tc>
          <w:tcPr>
            <w:tcW w:w="1072" w:type="dxa"/>
            <w:tcBorders>
              <w:top w:val="single" w:sz="4" w:space="0" w:color="auto"/>
              <w:left w:val="nil"/>
              <w:bottom w:val="single" w:sz="4" w:space="0" w:color="auto"/>
              <w:right w:val="single" w:sz="4" w:space="0" w:color="auto"/>
            </w:tcBorders>
            <w:shd w:val="clear" w:color="auto" w:fill="auto"/>
          </w:tcPr>
          <w:p w14:paraId="49B455C0" w14:textId="77777777" w:rsidR="00E607DA" w:rsidRPr="00324DD5" w:rsidRDefault="00E607DA" w:rsidP="00D14ECE">
            <w:pPr>
              <w:widowControl w:val="0"/>
              <w:spacing w:before="40" w:after="40"/>
              <w:jc w:val="center"/>
              <w:rPr>
                <w:rFonts w:ascii="Arial Narrow" w:hAnsi="Arial Narrow" w:cs="Tahoma"/>
                <w:sz w:val="20"/>
              </w:rPr>
            </w:pPr>
          </w:p>
        </w:tc>
      </w:tr>
      <w:tr w:rsidR="00E607DA" w:rsidRPr="003648FE" w14:paraId="1D0024D9" w14:textId="77777777" w:rsidTr="00324DD5">
        <w:trPr>
          <w:trHeight w:val="139"/>
        </w:trPr>
        <w:tc>
          <w:tcPr>
            <w:tcW w:w="3579" w:type="dxa"/>
            <w:tcBorders>
              <w:top w:val="single" w:sz="4" w:space="0" w:color="auto"/>
              <w:left w:val="single" w:sz="4" w:space="0" w:color="auto"/>
              <w:bottom w:val="single" w:sz="4" w:space="0" w:color="auto"/>
              <w:right w:val="single" w:sz="4" w:space="0" w:color="auto"/>
            </w:tcBorders>
            <w:shd w:val="clear" w:color="auto" w:fill="auto"/>
          </w:tcPr>
          <w:p w14:paraId="151F7C6A" w14:textId="77777777" w:rsidR="00E607DA" w:rsidRPr="00324DD5" w:rsidRDefault="00E607DA" w:rsidP="00487EE3">
            <w:pPr>
              <w:widowControl w:val="0"/>
              <w:spacing w:before="40" w:after="40"/>
              <w:rPr>
                <w:rFonts w:ascii="Arial Narrow" w:hAnsi="Arial Narrow" w:cs="Tahoma"/>
                <w:sz w:val="20"/>
              </w:rPr>
            </w:pPr>
            <w:r w:rsidRPr="00324DD5">
              <w:rPr>
                <w:rFonts w:ascii="Arial Narrow" w:hAnsi="Arial Narrow" w:cs="Tahoma"/>
                <w:noProof/>
                <w:sz w:val="20"/>
              </w:rPr>
              <w:t>Projected SAVR services</w:t>
            </w:r>
          </w:p>
        </w:tc>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73F4B9BC"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2,401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86493A"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2,351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0B3E726"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2,300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0B775AC"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2,250</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392A0B4C"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2,199</w:t>
            </w:r>
          </w:p>
        </w:tc>
      </w:tr>
      <w:tr w:rsidR="00E607DA" w:rsidRPr="003648FE" w14:paraId="5B7EE5CD" w14:textId="77777777" w:rsidTr="00324DD5">
        <w:trPr>
          <w:trHeight w:val="139"/>
        </w:trPr>
        <w:tc>
          <w:tcPr>
            <w:tcW w:w="3579" w:type="dxa"/>
            <w:tcBorders>
              <w:top w:val="single" w:sz="4" w:space="0" w:color="auto"/>
              <w:left w:val="single" w:sz="4" w:space="0" w:color="auto"/>
              <w:bottom w:val="single" w:sz="4" w:space="0" w:color="auto"/>
              <w:right w:val="single" w:sz="4" w:space="0" w:color="auto"/>
            </w:tcBorders>
            <w:shd w:val="clear" w:color="auto" w:fill="auto"/>
          </w:tcPr>
          <w:p w14:paraId="29926230" w14:textId="77777777" w:rsidR="00E607DA" w:rsidRPr="00324DD5" w:rsidRDefault="00E607DA" w:rsidP="00487EE3">
            <w:pPr>
              <w:widowControl w:val="0"/>
              <w:spacing w:before="40" w:after="40"/>
              <w:rPr>
                <w:rFonts w:ascii="Arial Narrow" w:hAnsi="Arial Narrow" w:cs="Tahoma"/>
                <w:noProof/>
                <w:sz w:val="20"/>
              </w:rPr>
            </w:pPr>
            <w:r w:rsidRPr="00324DD5">
              <w:rPr>
                <w:rFonts w:ascii="Arial Narrow" w:hAnsi="Arial Narrow" w:cs="Tahoma"/>
                <w:noProof/>
                <w:sz w:val="20"/>
              </w:rPr>
              <w:t xml:space="preserve">Patients at intermediate risk </w:t>
            </w:r>
          </w:p>
          <w:p w14:paraId="6FCD9E9B" w14:textId="77777777" w:rsidR="00E607DA" w:rsidRPr="00324DD5" w:rsidRDefault="00E607DA" w:rsidP="00487EE3">
            <w:pPr>
              <w:widowControl w:val="0"/>
              <w:spacing w:before="40" w:after="40"/>
              <w:rPr>
                <w:rFonts w:ascii="Arial Narrow" w:hAnsi="Arial Narrow" w:cs="Tahoma"/>
                <w:sz w:val="20"/>
              </w:rPr>
            </w:pPr>
            <w:r w:rsidRPr="00324DD5">
              <w:rPr>
                <w:rFonts w:ascii="Arial Narrow" w:hAnsi="Arial Narrow" w:cs="Tahoma"/>
                <w:noProof/>
                <w:sz w:val="20"/>
              </w:rPr>
              <w:t>(14.8%; Thourani 2015)</w:t>
            </w:r>
            <w:r w:rsidRPr="00324DD5">
              <w:rPr>
                <w:rStyle w:val="FootnoteReference"/>
                <w:rFonts w:ascii="Arial Narrow" w:hAnsi="Arial Narrow" w:cs="Tahoma"/>
                <w:noProof/>
              </w:rPr>
              <w:footnoteReference w:id="12"/>
            </w:r>
          </w:p>
        </w:tc>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3E4A91FA"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356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DCEEC6D"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349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50EBD0"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342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7358B7"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334</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191F2944"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327</w:t>
            </w:r>
          </w:p>
        </w:tc>
      </w:tr>
      <w:tr w:rsidR="00E607DA" w:rsidRPr="003648FE" w14:paraId="71CFE8CD" w14:textId="77777777" w:rsidTr="00324DD5">
        <w:trPr>
          <w:trHeight w:val="139"/>
        </w:trPr>
        <w:tc>
          <w:tcPr>
            <w:tcW w:w="3579" w:type="dxa"/>
            <w:tcBorders>
              <w:top w:val="single" w:sz="4" w:space="0" w:color="auto"/>
              <w:left w:val="single" w:sz="4" w:space="0" w:color="auto"/>
              <w:bottom w:val="single" w:sz="4" w:space="0" w:color="auto"/>
              <w:right w:val="single" w:sz="4" w:space="0" w:color="auto"/>
            </w:tcBorders>
            <w:shd w:val="clear" w:color="auto" w:fill="auto"/>
          </w:tcPr>
          <w:p w14:paraId="2E42C9FB" w14:textId="77777777" w:rsidR="00E607DA" w:rsidRPr="00324DD5" w:rsidRDefault="00E607DA" w:rsidP="00487EE3">
            <w:pPr>
              <w:widowControl w:val="0"/>
              <w:spacing w:before="40" w:after="40"/>
              <w:rPr>
                <w:rFonts w:ascii="Arial Narrow" w:hAnsi="Arial Narrow" w:cs="Tahoma"/>
                <w:sz w:val="20"/>
              </w:rPr>
            </w:pPr>
            <w:r w:rsidRPr="00324DD5">
              <w:rPr>
                <w:rFonts w:ascii="Arial Narrow" w:hAnsi="Arial Narrow" w:cs="Tahoma"/>
                <w:sz w:val="20"/>
              </w:rPr>
              <w:t>Use of TAVI (68.2%; De Backer 2016)</w:t>
            </w:r>
            <w:r w:rsidRPr="00324DD5">
              <w:rPr>
                <w:rStyle w:val="FootnoteReference"/>
                <w:rFonts w:ascii="Arial Narrow" w:hAnsi="Arial Narrow" w:cs="Tahoma"/>
              </w:rPr>
              <w:footnoteReference w:id="13"/>
            </w:r>
          </w:p>
        </w:tc>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534B7A39"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243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9CC6F5"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238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896E35"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233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55D2DA"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228</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7486C8BD"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223</w:t>
            </w:r>
          </w:p>
        </w:tc>
      </w:tr>
      <w:tr w:rsidR="00E607DA" w:rsidRPr="003648FE" w14:paraId="3501371F" w14:textId="77777777" w:rsidTr="00324DD5">
        <w:trPr>
          <w:trHeight w:val="139"/>
        </w:trPr>
        <w:tc>
          <w:tcPr>
            <w:tcW w:w="3579" w:type="dxa"/>
            <w:tcBorders>
              <w:top w:val="single" w:sz="4" w:space="0" w:color="auto"/>
              <w:left w:val="single" w:sz="4" w:space="0" w:color="auto"/>
              <w:bottom w:val="single" w:sz="4" w:space="0" w:color="auto"/>
              <w:right w:val="single" w:sz="4" w:space="0" w:color="auto"/>
            </w:tcBorders>
            <w:shd w:val="clear" w:color="auto" w:fill="auto"/>
          </w:tcPr>
          <w:p w14:paraId="50230146" w14:textId="77777777" w:rsidR="00E607DA" w:rsidRPr="00324DD5" w:rsidRDefault="00E607DA" w:rsidP="00487EE3">
            <w:pPr>
              <w:widowControl w:val="0"/>
              <w:spacing w:before="40" w:after="40"/>
              <w:rPr>
                <w:rFonts w:ascii="Arial Narrow" w:hAnsi="Arial Narrow" w:cs="Tahoma"/>
                <w:sz w:val="20"/>
              </w:rPr>
            </w:pPr>
            <w:r w:rsidRPr="00324DD5">
              <w:rPr>
                <w:rFonts w:ascii="Arial Narrow" w:hAnsi="Arial Narrow" w:cs="Tahoma"/>
                <w:sz w:val="20"/>
              </w:rPr>
              <w:t>Eligible population (61.5%; Voss 2020)</w:t>
            </w:r>
          </w:p>
        </w:tc>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69F4BD8F"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150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18FCB3"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146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A3527D"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143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EA0822A"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140</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EAE6FBA" w14:textId="77777777" w:rsidR="00E607DA" w:rsidRPr="00324DD5" w:rsidRDefault="00E607DA" w:rsidP="00935F24">
            <w:pPr>
              <w:widowControl w:val="0"/>
              <w:spacing w:before="40" w:after="40"/>
              <w:jc w:val="center"/>
              <w:rPr>
                <w:rFonts w:ascii="Arial Narrow" w:hAnsi="Arial Narrow" w:cs="Tahoma"/>
                <w:sz w:val="20"/>
              </w:rPr>
            </w:pPr>
            <w:r w:rsidRPr="00324DD5">
              <w:rPr>
                <w:rFonts w:ascii="Arial Narrow" w:hAnsi="Arial Narrow" w:cs="Tahoma"/>
                <w:sz w:val="20"/>
              </w:rPr>
              <w:t>137</w:t>
            </w:r>
          </w:p>
        </w:tc>
      </w:tr>
      <w:tr w:rsidR="00E607DA" w:rsidRPr="003648FE" w14:paraId="27565F58" w14:textId="77777777" w:rsidTr="00324DD5">
        <w:trPr>
          <w:trHeight w:val="139"/>
        </w:trPr>
        <w:tc>
          <w:tcPr>
            <w:tcW w:w="3579" w:type="dxa"/>
            <w:tcBorders>
              <w:top w:val="single" w:sz="4" w:space="0" w:color="auto"/>
              <w:left w:val="single" w:sz="4" w:space="0" w:color="auto"/>
              <w:bottom w:val="single" w:sz="4" w:space="0" w:color="auto"/>
              <w:right w:val="single" w:sz="4" w:space="0" w:color="auto"/>
            </w:tcBorders>
            <w:shd w:val="clear" w:color="auto" w:fill="auto"/>
          </w:tcPr>
          <w:p w14:paraId="0AAC602E" w14:textId="531DDDE7" w:rsidR="00E607DA" w:rsidRPr="00324DD5" w:rsidRDefault="00E607DA" w:rsidP="00487EE3">
            <w:pPr>
              <w:widowControl w:val="0"/>
              <w:spacing w:before="40" w:after="40"/>
              <w:rPr>
                <w:rFonts w:ascii="Arial Narrow" w:hAnsi="Arial Narrow" w:cs="Tahoma"/>
                <w:sz w:val="20"/>
              </w:rPr>
            </w:pPr>
            <w:r w:rsidRPr="00324DD5">
              <w:rPr>
                <w:rFonts w:ascii="Arial Narrow" w:hAnsi="Arial Narrow" w:cs="Tahoma"/>
                <w:sz w:val="20"/>
              </w:rPr>
              <w:t xml:space="preserve">CEP services </w:t>
            </w:r>
            <w:r w:rsidR="00F708EF" w:rsidRPr="00324DD5">
              <w:rPr>
                <w:rFonts w:ascii="Arial Narrow" w:hAnsi="Arial Narrow" w:cs="Tahoma"/>
                <w:sz w:val="20"/>
              </w:rPr>
              <w:t xml:space="preserve">(uptake rate </w:t>
            </w:r>
            <w:r w:rsidR="00076174" w:rsidRPr="00324DD5">
              <w:rPr>
                <w:rFonts w:ascii="Arial Narrow" w:hAnsi="Arial Narrow" w:cs="Tahoma"/>
                <w:sz w:val="20"/>
              </w:rPr>
              <w:t>redacted%-redacted%)</w:t>
            </w:r>
          </w:p>
        </w:tc>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11F275DE" w14:textId="677DC57A" w:rsidR="00E607DA" w:rsidRPr="00324DD5" w:rsidRDefault="00F708EF" w:rsidP="00935F24">
            <w:pPr>
              <w:widowControl w:val="0"/>
              <w:spacing w:before="40" w:after="40"/>
              <w:jc w:val="center"/>
              <w:rPr>
                <w:rFonts w:ascii="Arial Narrow" w:hAnsi="Arial Narrow" w:cs="Tahoma"/>
                <w:sz w:val="20"/>
              </w:rPr>
            </w:pPr>
            <w:r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A07F1F" w14:textId="2F8FF02D" w:rsidR="00E607DA" w:rsidRPr="00324DD5" w:rsidRDefault="00F708EF" w:rsidP="00935F24">
            <w:pPr>
              <w:widowControl w:val="0"/>
              <w:spacing w:before="40" w:after="40"/>
              <w:jc w:val="center"/>
              <w:rPr>
                <w:rFonts w:ascii="Arial Narrow" w:hAnsi="Arial Narrow" w:cs="Tahoma"/>
                <w:sz w:val="20"/>
              </w:rPr>
            </w:pPr>
            <w:r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13987F4" w14:textId="0B93B0E4" w:rsidR="00E607DA" w:rsidRPr="00324DD5" w:rsidRDefault="00F708EF" w:rsidP="00935F24">
            <w:pPr>
              <w:widowControl w:val="0"/>
              <w:spacing w:before="40" w:after="40"/>
              <w:jc w:val="center"/>
              <w:rPr>
                <w:rFonts w:ascii="Arial Narrow" w:hAnsi="Arial Narrow" w:cs="Tahoma"/>
                <w:sz w:val="20"/>
              </w:rPr>
            </w:pPr>
            <w:r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215E41" w14:textId="5FB0AA20" w:rsidR="00E607DA" w:rsidRPr="00324DD5" w:rsidRDefault="00F708EF" w:rsidP="00935F24">
            <w:pPr>
              <w:widowControl w:val="0"/>
              <w:spacing w:before="40" w:after="40"/>
              <w:jc w:val="center"/>
              <w:rPr>
                <w:rFonts w:ascii="Arial Narrow" w:hAnsi="Arial Narrow" w:cs="Tahoma"/>
                <w:sz w:val="20"/>
              </w:rPr>
            </w:pPr>
            <w:r w:rsidRPr="00324DD5">
              <w:rPr>
                <w:rFonts w:ascii="Arial Narrow" w:hAnsi="Arial Narrow" w:cs="Tahoma"/>
                <w:sz w:val="20"/>
              </w:rPr>
              <w:t>Redacted</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2629A973" w14:textId="2AE418AF" w:rsidR="00E607DA" w:rsidRPr="00324DD5" w:rsidRDefault="00F708EF" w:rsidP="00935F24">
            <w:pPr>
              <w:widowControl w:val="0"/>
              <w:spacing w:before="40" w:after="40"/>
              <w:jc w:val="center"/>
              <w:rPr>
                <w:rFonts w:ascii="Arial Narrow" w:hAnsi="Arial Narrow" w:cs="Tahoma"/>
                <w:sz w:val="20"/>
              </w:rPr>
            </w:pPr>
            <w:r w:rsidRPr="00324DD5">
              <w:rPr>
                <w:rFonts w:ascii="Arial Narrow" w:hAnsi="Arial Narrow" w:cs="Tahoma"/>
                <w:sz w:val="20"/>
              </w:rPr>
              <w:t>Redacted</w:t>
            </w:r>
          </w:p>
        </w:tc>
      </w:tr>
      <w:tr w:rsidR="00E607DA" w:rsidRPr="003648FE" w14:paraId="5704E8BA" w14:textId="77777777" w:rsidTr="00324DD5">
        <w:trPr>
          <w:trHeight w:val="139"/>
        </w:trPr>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7948025" w14:textId="77777777" w:rsidR="00E607DA" w:rsidRPr="00324DD5" w:rsidRDefault="00E607DA" w:rsidP="00487EE3">
            <w:pPr>
              <w:widowControl w:val="0"/>
              <w:spacing w:before="40" w:after="40"/>
              <w:rPr>
                <w:rFonts w:ascii="Arial Narrow" w:hAnsi="Arial Narrow" w:cs="Tahoma"/>
                <w:sz w:val="20"/>
              </w:rPr>
            </w:pPr>
            <w:r w:rsidRPr="00324DD5">
              <w:rPr>
                <w:rFonts w:ascii="Arial Narrow" w:hAnsi="Arial Narrow" w:cs="Tahoma"/>
                <w:b/>
                <w:bCs/>
                <w:sz w:val="20"/>
              </w:rPr>
              <w:t>Expanded MBS population (Inoperable/high risk and intermediate risk patient)</w:t>
            </w:r>
          </w:p>
        </w:tc>
      </w:tr>
      <w:tr w:rsidR="00F708EF" w:rsidRPr="003648FE" w14:paraId="2F8A1E25" w14:textId="77777777" w:rsidTr="00324DD5">
        <w:trPr>
          <w:trHeight w:val="139"/>
        </w:trPr>
        <w:tc>
          <w:tcPr>
            <w:tcW w:w="3579" w:type="dxa"/>
            <w:tcBorders>
              <w:top w:val="single" w:sz="4" w:space="0" w:color="auto"/>
              <w:left w:val="single" w:sz="4" w:space="0" w:color="auto"/>
              <w:bottom w:val="single" w:sz="4" w:space="0" w:color="auto"/>
              <w:right w:val="single" w:sz="4" w:space="0" w:color="auto"/>
            </w:tcBorders>
            <w:shd w:val="clear" w:color="auto" w:fill="auto"/>
            <w:hideMark/>
          </w:tcPr>
          <w:p w14:paraId="726106E0" w14:textId="77777777" w:rsidR="00F708EF" w:rsidRPr="00324DD5" w:rsidRDefault="00F708EF" w:rsidP="00F708EF">
            <w:pPr>
              <w:widowControl w:val="0"/>
              <w:spacing w:before="40" w:after="40"/>
              <w:rPr>
                <w:rFonts w:ascii="Arial Narrow" w:hAnsi="Arial Narrow" w:cs="Tahoma"/>
                <w:sz w:val="20"/>
              </w:rPr>
            </w:pPr>
            <w:r w:rsidRPr="00324DD5">
              <w:rPr>
                <w:rFonts w:ascii="Arial Narrow" w:hAnsi="Arial Narrow" w:cs="Tahoma"/>
                <w:sz w:val="20"/>
              </w:rPr>
              <w:t xml:space="preserve">CEP services </w:t>
            </w:r>
          </w:p>
        </w:tc>
        <w:tc>
          <w:tcPr>
            <w:tcW w:w="1037" w:type="dxa"/>
            <w:tcBorders>
              <w:top w:val="single" w:sz="4" w:space="0" w:color="auto"/>
              <w:left w:val="single" w:sz="4" w:space="0" w:color="auto"/>
              <w:bottom w:val="single" w:sz="4" w:space="0" w:color="auto"/>
              <w:right w:val="single" w:sz="4" w:space="0" w:color="auto"/>
            </w:tcBorders>
            <w:shd w:val="clear" w:color="auto" w:fill="auto"/>
            <w:noWrap/>
            <w:hideMark/>
          </w:tcPr>
          <w:p w14:paraId="0F51C161" w14:textId="044308F0" w:rsidR="00F708EF" w:rsidRPr="00324DD5" w:rsidRDefault="00F708EF" w:rsidP="00F708EF">
            <w:pPr>
              <w:widowControl w:val="0"/>
              <w:spacing w:before="40" w:after="40"/>
              <w:jc w:val="center"/>
              <w:rPr>
                <w:rFonts w:ascii="Arial Narrow" w:hAnsi="Arial Narrow" w:cs="Tahoma"/>
                <w:sz w:val="20"/>
              </w:rPr>
            </w:pPr>
            <w:r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4E745F68" w14:textId="0109C769" w:rsidR="00F708EF" w:rsidRPr="00324DD5" w:rsidRDefault="00F708EF" w:rsidP="00F708EF">
            <w:pPr>
              <w:widowControl w:val="0"/>
              <w:spacing w:before="40" w:after="40"/>
              <w:jc w:val="center"/>
              <w:rPr>
                <w:rFonts w:ascii="Arial Narrow" w:hAnsi="Arial Narrow" w:cs="Tahoma"/>
                <w:sz w:val="20"/>
              </w:rPr>
            </w:pPr>
            <w:r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617D0952" w14:textId="2E155CBD" w:rsidR="00F708EF" w:rsidRPr="00324DD5" w:rsidRDefault="00F708EF" w:rsidP="00F708EF">
            <w:pPr>
              <w:widowControl w:val="0"/>
              <w:spacing w:before="40" w:after="40"/>
              <w:jc w:val="center"/>
              <w:rPr>
                <w:rFonts w:ascii="Arial Narrow" w:hAnsi="Arial Narrow" w:cs="Tahoma"/>
                <w:sz w:val="20"/>
              </w:rPr>
            </w:pPr>
            <w:r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14DB8840" w14:textId="2B8DCC59" w:rsidR="00F708EF" w:rsidRPr="00324DD5" w:rsidRDefault="00F708EF" w:rsidP="00F708EF">
            <w:pPr>
              <w:widowControl w:val="0"/>
              <w:spacing w:before="40" w:after="40"/>
              <w:jc w:val="center"/>
              <w:rPr>
                <w:rFonts w:ascii="Arial Narrow" w:hAnsi="Arial Narrow" w:cs="Tahoma"/>
                <w:sz w:val="20"/>
              </w:rPr>
            </w:pPr>
            <w:r w:rsidRPr="00324DD5">
              <w:rPr>
                <w:rFonts w:ascii="Arial Narrow" w:hAnsi="Arial Narrow" w:cs="Tahoma"/>
                <w:sz w:val="20"/>
              </w:rPr>
              <w:t>Redacted</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4506C396" w14:textId="6B325677" w:rsidR="00F708EF" w:rsidRPr="00324DD5" w:rsidRDefault="00F708EF" w:rsidP="00F708EF">
            <w:pPr>
              <w:widowControl w:val="0"/>
              <w:spacing w:before="40" w:after="40"/>
              <w:jc w:val="center"/>
              <w:rPr>
                <w:rFonts w:ascii="Arial Narrow" w:hAnsi="Arial Narrow" w:cs="Tahoma"/>
                <w:sz w:val="20"/>
              </w:rPr>
            </w:pPr>
            <w:r w:rsidRPr="00324DD5">
              <w:rPr>
                <w:rFonts w:ascii="Arial Narrow" w:hAnsi="Arial Narrow" w:cs="Tahoma"/>
                <w:sz w:val="20"/>
              </w:rPr>
              <w:t>Redacted</w:t>
            </w:r>
          </w:p>
        </w:tc>
      </w:tr>
      <w:tr w:rsidR="00F708EF" w:rsidRPr="003648FE" w14:paraId="105E13EA" w14:textId="77777777" w:rsidTr="00324DD5">
        <w:trPr>
          <w:trHeight w:val="139"/>
        </w:trPr>
        <w:tc>
          <w:tcPr>
            <w:tcW w:w="3579" w:type="dxa"/>
            <w:tcBorders>
              <w:top w:val="single" w:sz="4" w:space="0" w:color="auto"/>
              <w:left w:val="single" w:sz="4" w:space="0" w:color="auto"/>
              <w:bottom w:val="single" w:sz="4" w:space="0" w:color="auto"/>
              <w:right w:val="single" w:sz="4" w:space="0" w:color="auto"/>
            </w:tcBorders>
            <w:shd w:val="clear" w:color="auto" w:fill="auto"/>
            <w:hideMark/>
          </w:tcPr>
          <w:p w14:paraId="60B3444F" w14:textId="77777777" w:rsidR="00F708EF" w:rsidRPr="00324DD5" w:rsidRDefault="00F708EF" w:rsidP="00F708EF">
            <w:pPr>
              <w:widowControl w:val="0"/>
              <w:spacing w:before="40" w:after="40"/>
              <w:rPr>
                <w:rFonts w:ascii="Arial Narrow" w:hAnsi="Arial Narrow" w:cs="Tahoma"/>
                <w:sz w:val="20"/>
              </w:rPr>
            </w:pPr>
            <w:r w:rsidRPr="00324DD5">
              <w:rPr>
                <w:rFonts w:ascii="Arial Narrow" w:hAnsi="Arial Narrow" w:cs="Tahoma"/>
                <w:sz w:val="20"/>
              </w:rPr>
              <w:t>Net impact</w:t>
            </w:r>
          </w:p>
        </w:tc>
        <w:tc>
          <w:tcPr>
            <w:tcW w:w="1037" w:type="dxa"/>
            <w:tcBorders>
              <w:top w:val="single" w:sz="4" w:space="0" w:color="auto"/>
              <w:left w:val="single" w:sz="4" w:space="0" w:color="auto"/>
              <w:bottom w:val="single" w:sz="4" w:space="0" w:color="auto"/>
              <w:right w:val="single" w:sz="4" w:space="0" w:color="auto"/>
            </w:tcBorders>
            <w:shd w:val="clear" w:color="auto" w:fill="auto"/>
            <w:noWrap/>
            <w:hideMark/>
          </w:tcPr>
          <w:p w14:paraId="585086DB" w14:textId="465772AF"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24525893" w14:textId="0ECD8620"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061CD127" w14:textId="0DE07270"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1A907F2A" w14:textId="5C88C3B2"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346B385D" w14:textId="69479C3B" w:rsidR="00F708EF" w:rsidRPr="00324DD5" w:rsidRDefault="00B22D04" w:rsidP="00F708EF">
            <w:pPr>
              <w:widowControl w:val="0"/>
              <w:spacing w:before="40" w:after="4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r>
      <w:tr w:rsidR="00F708EF" w:rsidRPr="003648FE" w14:paraId="05D4B29B" w14:textId="77777777" w:rsidTr="00324DD5">
        <w:trPr>
          <w:trHeight w:val="291"/>
        </w:trPr>
        <w:tc>
          <w:tcPr>
            <w:tcW w:w="3579" w:type="dxa"/>
            <w:tcBorders>
              <w:top w:val="single" w:sz="4" w:space="0" w:color="auto"/>
              <w:left w:val="single" w:sz="4" w:space="0" w:color="auto"/>
              <w:bottom w:val="single" w:sz="4" w:space="0" w:color="auto"/>
              <w:right w:val="single" w:sz="4" w:space="0" w:color="auto"/>
            </w:tcBorders>
            <w:shd w:val="clear" w:color="auto" w:fill="auto"/>
            <w:hideMark/>
          </w:tcPr>
          <w:p w14:paraId="042EC078" w14:textId="77777777" w:rsidR="00F708EF" w:rsidRPr="00324DD5" w:rsidRDefault="00F708EF" w:rsidP="00F708EF">
            <w:pPr>
              <w:widowControl w:val="0"/>
              <w:numPr>
                <w:ilvl w:val="0"/>
                <w:numId w:val="34"/>
              </w:numPr>
              <w:spacing w:line="312" w:lineRule="auto"/>
              <w:ind w:left="257" w:hanging="142"/>
              <w:rPr>
                <w:rFonts w:ascii="Arial Narrow" w:hAnsi="Arial Narrow" w:cs="Tahoma"/>
                <w:sz w:val="20"/>
              </w:rPr>
            </w:pPr>
            <w:r w:rsidRPr="00324DD5">
              <w:rPr>
                <w:rFonts w:ascii="Arial Narrow" w:hAnsi="Arial Narrow" w:cs="Tahoma"/>
                <w:sz w:val="20"/>
              </w:rPr>
              <w:t>cost to MBS</w:t>
            </w:r>
          </w:p>
        </w:tc>
        <w:tc>
          <w:tcPr>
            <w:tcW w:w="1037" w:type="dxa"/>
            <w:tcBorders>
              <w:top w:val="single" w:sz="4" w:space="0" w:color="auto"/>
              <w:left w:val="single" w:sz="4" w:space="0" w:color="auto"/>
              <w:bottom w:val="single" w:sz="4" w:space="0" w:color="auto"/>
              <w:right w:val="single" w:sz="4" w:space="0" w:color="auto"/>
            </w:tcBorders>
            <w:shd w:val="clear" w:color="auto" w:fill="auto"/>
            <w:noWrap/>
            <w:hideMark/>
          </w:tcPr>
          <w:p w14:paraId="109A6183" w14:textId="73168625" w:rsidR="00F708EF" w:rsidRPr="00324DD5" w:rsidRDefault="00B22D04" w:rsidP="00F708EF">
            <w:pPr>
              <w:widowControl w:val="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0D9B8E9F" w14:textId="42815205" w:rsidR="00F708EF" w:rsidRPr="00324DD5" w:rsidRDefault="00B22D04" w:rsidP="00F708EF">
            <w:pPr>
              <w:widowControl w:val="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23BB2DCC" w14:textId="408DF958" w:rsidR="00F708EF" w:rsidRPr="00324DD5" w:rsidRDefault="00B22D04" w:rsidP="00F708EF">
            <w:pPr>
              <w:widowControl w:val="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5ED8C240" w14:textId="0A035A8F" w:rsidR="00F708EF" w:rsidRPr="00324DD5" w:rsidRDefault="00B22D04" w:rsidP="00F708EF">
            <w:pPr>
              <w:widowControl w:val="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3CA0F49B" w14:textId="1824378A" w:rsidR="00F708EF" w:rsidRPr="00324DD5" w:rsidRDefault="00B22D04" w:rsidP="00F708EF">
            <w:pPr>
              <w:widowControl w:val="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r>
      <w:tr w:rsidR="00F708EF" w:rsidRPr="003648FE" w14:paraId="6FAF0636" w14:textId="77777777" w:rsidTr="00324DD5">
        <w:trPr>
          <w:trHeight w:val="139"/>
        </w:trPr>
        <w:tc>
          <w:tcPr>
            <w:tcW w:w="3579" w:type="dxa"/>
            <w:tcBorders>
              <w:top w:val="single" w:sz="4" w:space="0" w:color="auto"/>
              <w:left w:val="single" w:sz="4" w:space="0" w:color="auto"/>
              <w:bottom w:val="single" w:sz="4" w:space="0" w:color="auto"/>
              <w:right w:val="single" w:sz="4" w:space="0" w:color="auto"/>
            </w:tcBorders>
            <w:shd w:val="clear" w:color="auto" w:fill="auto"/>
            <w:hideMark/>
          </w:tcPr>
          <w:p w14:paraId="4BD4A50C" w14:textId="77777777" w:rsidR="00F708EF" w:rsidRPr="00324DD5" w:rsidRDefault="00F708EF" w:rsidP="00F708EF">
            <w:pPr>
              <w:widowControl w:val="0"/>
              <w:numPr>
                <w:ilvl w:val="0"/>
                <w:numId w:val="34"/>
              </w:numPr>
              <w:spacing w:line="312" w:lineRule="auto"/>
              <w:ind w:left="257" w:hanging="142"/>
              <w:rPr>
                <w:rFonts w:ascii="Arial Narrow" w:hAnsi="Arial Narrow" w:cs="Tahoma"/>
                <w:sz w:val="20"/>
              </w:rPr>
            </w:pPr>
            <w:r w:rsidRPr="00324DD5">
              <w:rPr>
                <w:rFonts w:ascii="Arial Narrow" w:hAnsi="Arial Narrow" w:cs="Tahoma"/>
                <w:sz w:val="20"/>
              </w:rPr>
              <w:t>cost to patients</w:t>
            </w:r>
          </w:p>
        </w:tc>
        <w:tc>
          <w:tcPr>
            <w:tcW w:w="1037" w:type="dxa"/>
            <w:tcBorders>
              <w:top w:val="single" w:sz="4" w:space="0" w:color="auto"/>
              <w:left w:val="single" w:sz="4" w:space="0" w:color="auto"/>
              <w:bottom w:val="single" w:sz="4" w:space="0" w:color="auto"/>
              <w:right w:val="single" w:sz="4" w:space="0" w:color="auto"/>
            </w:tcBorders>
            <w:shd w:val="clear" w:color="auto" w:fill="auto"/>
            <w:noWrap/>
            <w:hideMark/>
          </w:tcPr>
          <w:p w14:paraId="37CC94CD" w14:textId="3E373A15" w:rsidR="00F708EF" w:rsidRPr="00324DD5" w:rsidRDefault="00B22D04" w:rsidP="00F708EF">
            <w:pPr>
              <w:widowControl w:val="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3E755557" w14:textId="04C1CB88" w:rsidR="00F708EF" w:rsidRPr="00324DD5" w:rsidRDefault="00B22D04" w:rsidP="00F708EF">
            <w:pPr>
              <w:widowControl w:val="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3657AE6B" w14:textId="530B943F" w:rsidR="00F708EF" w:rsidRPr="00324DD5" w:rsidRDefault="00B22D04" w:rsidP="00F708EF">
            <w:pPr>
              <w:widowControl w:val="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5CCB011B" w14:textId="365EA84E" w:rsidR="00F708EF" w:rsidRPr="00324DD5" w:rsidRDefault="00B22D04" w:rsidP="00F708EF">
            <w:pPr>
              <w:widowControl w:val="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72F65886" w14:textId="704E2B8F" w:rsidR="00F708EF" w:rsidRPr="00324DD5" w:rsidRDefault="00B22D04" w:rsidP="00F708EF">
            <w:pPr>
              <w:widowControl w:val="0"/>
              <w:jc w:val="center"/>
              <w:rPr>
                <w:rFonts w:ascii="Arial Narrow" w:hAnsi="Arial Narrow" w:cs="Tahoma"/>
                <w:sz w:val="20"/>
              </w:rPr>
            </w:pPr>
            <w:r w:rsidRPr="00324DD5">
              <w:rPr>
                <w:rFonts w:ascii="Arial Narrow" w:hAnsi="Arial Narrow" w:cs="Tahoma"/>
                <w:sz w:val="20"/>
              </w:rPr>
              <w:t>$</w:t>
            </w:r>
            <w:r w:rsidR="00F708EF" w:rsidRPr="00324DD5">
              <w:rPr>
                <w:rFonts w:ascii="Arial Narrow" w:hAnsi="Arial Narrow" w:cs="Tahoma"/>
                <w:sz w:val="20"/>
              </w:rPr>
              <w:t>Redacted</w:t>
            </w:r>
          </w:p>
        </w:tc>
      </w:tr>
      <w:tr w:rsidR="00E607DA" w14:paraId="72F173DD" w14:textId="77777777" w:rsidTr="00324DD5">
        <w:tblPrEx>
          <w:tblCellMar>
            <w:left w:w="108" w:type="dxa"/>
            <w:right w:w="108" w:type="dxa"/>
          </w:tblCellMar>
        </w:tblPrEx>
        <w:trPr>
          <w:trHeight w:val="139"/>
        </w:trPr>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288E376F" w14:textId="77777777" w:rsidR="00E607DA" w:rsidRPr="00324DD5" w:rsidRDefault="00E607DA" w:rsidP="00487EE3">
            <w:pPr>
              <w:pStyle w:val="Tabletext"/>
              <w:widowControl w:val="0"/>
              <w:rPr>
                <w:b/>
                <w:bCs/>
              </w:rPr>
            </w:pPr>
            <w:r w:rsidRPr="00324DD5">
              <w:rPr>
                <w:b/>
                <w:bCs/>
              </w:rPr>
              <w:t xml:space="preserve">Cost to private health insurance </w:t>
            </w:r>
          </w:p>
        </w:tc>
      </w:tr>
      <w:tr w:rsidR="00F708EF" w14:paraId="449FB70C" w14:textId="77777777" w:rsidTr="00324DD5">
        <w:tblPrEx>
          <w:tblCellMar>
            <w:left w:w="108" w:type="dxa"/>
            <w:right w:w="108" w:type="dxa"/>
          </w:tblCellMar>
        </w:tblPrEx>
        <w:trPr>
          <w:trHeight w:val="139"/>
        </w:trPr>
        <w:tc>
          <w:tcPr>
            <w:tcW w:w="3579" w:type="dxa"/>
            <w:tcBorders>
              <w:top w:val="single" w:sz="4" w:space="0" w:color="auto"/>
              <w:left w:val="single" w:sz="4" w:space="0" w:color="auto"/>
              <w:bottom w:val="single" w:sz="4" w:space="0" w:color="auto"/>
              <w:right w:val="single" w:sz="4" w:space="0" w:color="auto"/>
            </w:tcBorders>
            <w:shd w:val="clear" w:color="auto" w:fill="auto"/>
            <w:hideMark/>
          </w:tcPr>
          <w:p w14:paraId="33F6DD9F" w14:textId="463FBB57" w:rsidR="00F708EF" w:rsidRPr="00324DD5" w:rsidRDefault="00F708EF" w:rsidP="00F708EF">
            <w:pPr>
              <w:pStyle w:val="Tabletext"/>
              <w:widowControl w:val="0"/>
            </w:pPr>
            <w:r w:rsidRPr="00324DD5">
              <w:t xml:space="preserve">Total prostheses costs </w:t>
            </w:r>
            <w:r w:rsidRPr="00324DD5">
              <w:br/>
              <w:t>(inoperable/high risk patients)</w:t>
            </w:r>
          </w:p>
        </w:tc>
        <w:tc>
          <w:tcPr>
            <w:tcW w:w="1037" w:type="dxa"/>
            <w:tcBorders>
              <w:top w:val="single" w:sz="4" w:space="0" w:color="auto"/>
              <w:left w:val="single" w:sz="4" w:space="0" w:color="auto"/>
              <w:bottom w:val="single" w:sz="4" w:space="0" w:color="auto"/>
              <w:right w:val="single" w:sz="4" w:space="0" w:color="auto"/>
            </w:tcBorders>
            <w:shd w:val="clear" w:color="auto" w:fill="auto"/>
            <w:noWrap/>
            <w:hideMark/>
          </w:tcPr>
          <w:p w14:paraId="20A0EBD0" w14:textId="676483BF" w:rsidR="00F708EF" w:rsidRPr="00324DD5" w:rsidRDefault="00B22D04" w:rsidP="00F708EF">
            <w:pPr>
              <w:pStyle w:val="Tabletext"/>
              <w:widowControl w:val="0"/>
              <w:jc w:val="center"/>
            </w:pPr>
            <w:r w:rsidRPr="00324DD5">
              <w:rPr>
                <w:rFonts w:cs="Tahoma"/>
              </w:rPr>
              <w:t>$</w:t>
            </w:r>
            <w:r w:rsidR="00F708EF" w:rsidRPr="00324DD5">
              <w:rPr>
                <w:rFonts w:cs="Tahoma"/>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5883563D" w14:textId="226ED31C" w:rsidR="00F708EF" w:rsidRPr="00324DD5" w:rsidRDefault="00B22D04" w:rsidP="00F708EF">
            <w:pPr>
              <w:pStyle w:val="Tabletext"/>
              <w:widowControl w:val="0"/>
              <w:jc w:val="center"/>
            </w:pPr>
            <w:r w:rsidRPr="00324DD5">
              <w:rPr>
                <w:rFonts w:cs="Tahoma"/>
              </w:rPr>
              <w:t>$</w:t>
            </w:r>
            <w:r w:rsidR="00F708EF" w:rsidRPr="00324DD5">
              <w:rPr>
                <w:rFonts w:cs="Tahoma"/>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41904D88" w14:textId="2972DA18" w:rsidR="00F708EF" w:rsidRPr="00324DD5" w:rsidRDefault="00B22D04" w:rsidP="00F708EF">
            <w:pPr>
              <w:pStyle w:val="Tabletext"/>
              <w:widowControl w:val="0"/>
              <w:jc w:val="center"/>
            </w:pPr>
            <w:r w:rsidRPr="00324DD5">
              <w:rPr>
                <w:rFonts w:cs="Tahoma"/>
              </w:rPr>
              <w:t>$</w:t>
            </w:r>
            <w:r w:rsidR="00F708EF" w:rsidRPr="00324DD5">
              <w:rPr>
                <w:rFonts w:cs="Tahoma"/>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57FB3F69" w14:textId="7030F829" w:rsidR="00F708EF" w:rsidRPr="00324DD5" w:rsidRDefault="00F708EF" w:rsidP="00F708EF">
            <w:pPr>
              <w:pStyle w:val="Tabletext"/>
              <w:widowControl w:val="0"/>
              <w:jc w:val="center"/>
            </w:pPr>
            <w:r w:rsidRPr="00324DD5">
              <w:rPr>
                <w:rFonts w:cs="Tahoma"/>
              </w:rPr>
              <w:t>Redacted</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5CBC734A" w14:textId="1E43B806" w:rsidR="00F708EF" w:rsidRPr="00324DD5" w:rsidRDefault="00B22D04" w:rsidP="00F708EF">
            <w:pPr>
              <w:pStyle w:val="Tabletext"/>
              <w:widowControl w:val="0"/>
              <w:jc w:val="center"/>
            </w:pPr>
            <w:r w:rsidRPr="00324DD5">
              <w:rPr>
                <w:rFonts w:cs="Tahoma"/>
              </w:rPr>
              <w:t>$</w:t>
            </w:r>
            <w:r w:rsidR="00F708EF" w:rsidRPr="00324DD5">
              <w:rPr>
                <w:rFonts w:cs="Tahoma"/>
              </w:rPr>
              <w:t>Redacted</w:t>
            </w:r>
          </w:p>
        </w:tc>
      </w:tr>
      <w:tr w:rsidR="00F708EF" w14:paraId="1041FC85" w14:textId="77777777" w:rsidTr="00324DD5">
        <w:tblPrEx>
          <w:tblCellMar>
            <w:left w:w="108" w:type="dxa"/>
            <w:right w:w="108" w:type="dxa"/>
          </w:tblCellMar>
        </w:tblPrEx>
        <w:trPr>
          <w:trHeight w:val="139"/>
        </w:trPr>
        <w:tc>
          <w:tcPr>
            <w:tcW w:w="3579" w:type="dxa"/>
            <w:tcBorders>
              <w:top w:val="single" w:sz="4" w:space="0" w:color="auto"/>
              <w:left w:val="single" w:sz="4" w:space="0" w:color="auto"/>
              <w:bottom w:val="single" w:sz="4" w:space="0" w:color="auto"/>
              <w:right w:val="single" w:sz="4" w:space="0" w:color="auto"/>
            </w:tcBorders>
            <w:shd w:val="clear" w:color="auto" w:fill="auto"/>
            <w:hideMark/>
          </w:tcPr>
          <w:p w14:paraId="3E3E270B" w14:textId="20AD51DC" w:rsidR="00F708EF" w:rsidRPr="00324DD5" w:rsidRDefault="00F708EF" w:rsidP="00F708EF">
            <w:pPr>
              <w:pStyle w:val="Tabletext"/>
              <w:widowControl w:val="0"/>
            </w:pPr>
            <w:r w:rsidRPr="00324DD5">
              <w:t xml:space="preserve">Total prostheses costs </w:t>
            </w:r>
            <w:r w:rsidRPr="00324DD5">
              <w:br/>
              <w:t>(Inoperable/high risk and intermediate risk patient)</w:t>
            </w:r>
          </w:p>
        </w:tc>
        <w:tc>
          <w:tcPr>
            <w:tcW w:w="1037" w:type="dxa"/>
            <w:tcBorders>
              <w:top w:val="single" w:sz="4" w:space="0" w:color="auto"/>
              <w:left w:val="single" w:sz="4" w:space="0" w:color="auto"/>
              <w:bottom w:val="single" w:sz="4" w:space="0" w:color="auto"/>
              <w:right w:val="single" w:sz="4" w:space="0" w:color="auto"/>
            </w:tcBorders>
            <w:shd w:val="clear" w:color="auto" w:fill="auto"/>
            <w:noWrap/>
            <w:hideMark/>
          </w:tcPr>
          <w:p w14:paraId="716CA91C" w14:textId="7FF7451A" w:rsidR="00F708EF" w:rsidRPr="00324DD5" w:rsidRDefault="00B22D04" w:rsidP="00F708EF">
            <w:pPr>
              <w:pStyle w:val="Tabletext"/>
              <w:widowControl w:val="0"/>
              <w:jc w:val="center"/>
            </w:pPr>
            <w:r w:rsidRPr="00324DD5">
              <w:rPr>
                <w:rFonts w:cs="Tahoma"/>
              </w:rPr>
              <w:t>$</w:t>
            </w:r>
            <w:r w:rsidR="00F708EF" w:rsidRPr="00324DD5">
              <w:rPr>
                <w:rFonts w:cs="Tahoma"/>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70A08863" w14:textId="0151EA94" w:rsidR="00F708EF" w:rsidRPr="00324DD5" w:rsidRDefault="00B22D04" w:rsidP="00F708EF">
            <w:pPr>
              <w:pStyle w:val="Tabletext"/>
              <w:widowControl w:val="0"/>
              <w:jc w:val="center"/>
            </w:pPr>
            <w:r w:rsidRPr="00324DD5">
              <w:rPr>
                <w:rFonts w:cs="Tahoma"/>
              </w:rPr>
              <w:t>$</w:t>
            </w:r>
            <w:r w:rsidR="00F708EF" w:rsidRPr="00324DD5">
              <w:rPr>
                <w:rFonts w:cs="Tahoma"/>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599D297C" w14:textId="7AB788BE" w:rsidR="00F708EF" w:rsidRPr="00324DD5" w:rsidRDefault="00B22D04" w:rsidP="00F708EF">
            <w:pPr>
              <w:pStyle w:val="Tabletext"/>
              <w:widowControl w:val="0"/>
              <w:jc w:val="center"/>
            </w:pPr>
            <w:r w:rsidRPr="00324DD5">
              <w:rPr>
                <w:rFonts w:cs="Tahoma"/>
              </w:rPr>
              <w:t>$</w:t>
            </w:r>
            <w:r w:rsidR="00F708EF" w:rsidRPr="00324DD5">
              <w:rPr>
                <w:rFonts w:cs="Tahoma"/>
              </w:rPr>
              <w:t>Redacted</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7D4D6D0F" w14:textId="320C99E6" w:rsidR="00F708EF" w:rsidRPr="00324DD5" w:rsidRDefault="00B22D04" w:rsidP="00F708EF">
            <w:pPr>
              <w:pStyle w:val="Tabletext"/>
              <w:widowControl w:val="0"/>
              <w:jc w:val="center"/>
            </w:pPr>
            <w:r w:rsidRPr="00324DD5">
              <w:rPr>
                <w:rFonts w:cs="Tahoma"/>
              </w:rPr>
              <w:t>$</w:t>
            </w:r>
            <w:r w:rsidR="00F708EF" w:rsidRPr="00324DD5">
              <w:rPr>
                <w:rFonts w:cs="Tahoma"/>
              </w:rPr>
              <w:t>Redacted</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1E5DD1B0" w14:textId="7E5F4578" w:rsidR="00F708EF" w:rsidRPr="00324DD5" w:rsidRDefault="00B22D04" w:rsidP="00F708EF">
            <w:pPr>
              <w:pStyle w:val="Tabletext"/>
              <w:widowControl w:val="0"/>
              <w:jc w:val="center"/>
            </w:pPr>
            <w:r w:rsidRPr="00324DD5">
              <w:rPr>
                <w:rFonts w:cs="Tahoma"/>
              </w:rPr>
              <w:t>$</w:t>
            </w:r>
            <w:r w:rsidR="00F708EF" w:rsidRPr="00324DD5">
              <w:rPr>
                <w:rFonts w:cs="Tahoma"/>
              </w:rPr>
              <w:t>Redacted</w:t>
            </w:r>
          </w:p>
        </w:tc>
      </w:tr>
    </w:tbl>
    <w:p w14:paraId="4E813AE7" w14:textId="77777777" w:rsidR="00E607DA" w:rsidRPr="003648FE" w:rsidRDefault="00E607DA" w:rsidP="00E607DA">
      <w:pPr>
        <w:keepNext/>
        <w:keepLines/>
        <w:jc w:val="both"/>
        <w:rPr>
          <w:rFonts w:ascii="Arial Narrow" w:hAnsi="Arial Narrow" w:cs="Arial"/>
          <w:sz w:val="18"/>
          <w:szCs w:val="18"/>
          <w:lang w:eastAsia="en-US"/>
        </w:rPr>
      </w:pPr>
      <w:r w:rsidRPr="003648FE">
        <w:rPr>
          <w:rFonts w:ascii="Arial Narrow" w:hAnsi="Arial Narrow" w:cs="Arial"/>
          <w:sz w:val="18"/>
          <w:szCs w:val="18"/>
          <w:lang w:eastAsia="en-US"/>
        </w:rPr>
        <w:t xml:space="preserve">Source: </w:t>
      </w:r>
      <w:r>
        <w:rPr>
          <w:rFonts w:ascii="Arial Narrow" w:hAnsi="Arial Narrow" w:cs="Arial"/>
          <w:sz w:val="18"/>
          <w:szCs w:val="18"/>
          <w:lang w:eastAsia="en-US"/>
        </w:rPr>
        <w:t>Table 11, pxxiii and Table 12, pxxiv of the Commentary</w:t>
      </w:r>
    </w:p>
    <w:p w14:paraId="4EBD9FC9" w14:textId="77777777" w:rsidR="00E607DA" w:rsidRPr="003648FE" w:rsidRDefault="00E607DA" w:rsidP="00E607DA">
      <w:pPr>
        <w:keepNext/>
        <w:keepLines/>
        <w:rPr>
          <w:rFonts w:ascii="Arial Narrow" w:hAnsi="Arial Narrow"/>
          <w:color w:val="000000"/>
          <w:sz w:val="18"/>
          <w:szCs w:val="18"/>
        </w:rPr>
      </w:pPr>
      <w:r w:rsidRPr="003648FE">
        <w:rPr>
          <w:rFonts w:ascii="Arial Narrow" w:hAnsi="Arial Narrow"/>
          <w:color w:val="000000"/>
          <w:sz w:val="18"/>
          <w:szCs w:val="18"/>
          <w:vertAlign w:val="superscript"/>
        </w:rPr>
        <w:t xml:space="preserve">a </w:t>
      </w:r>
      <w:r w:rsidRPr="003648FE">
        <w:rPr>
          <w:rFonts w:ascii="Arial Narrow" w:hAnsi="Arial Narrow"/>
          <w:color w:val="000000"/>
          <w:sz w:val="18"/>
          <w:szCs w:val="18"/>
        </w:rPr>
        <w:t xml:space="preserve">For MBS items incurred outside of hospital the 85% MBS rebate was applied (MBS item 104 and 105). For MBS items incurred in hospital the 75% was applied (MBS items </w:t>
      </w:r>
      <w:bookmarkStart w:id="15" w:name="_GoBack"/>
      <w:bookmarkEnd w:id="15"/>
      <w:r w:rsidRPr="003648FE">
        <w:rPr>
          <w:rFonts w:ascii="Arial Narrow" w:hAnsi="Arial Narrow"/>
          <w:color w:val="000000"/>
          <w:sz w:val="18"/>
          <w:szCs w:val="18"/>
        </w:rPr>
        <w:t>20803 and 23083).</w:t>
      </w:r>
    </w:p>
    <w:p w14:paraId="5BA7C320" w14:textId="77777777" w:rsidR="00E607DA" w:rsidRDefault="00E607DA" w:rsidP="00AA35EA">
      <w:pPr>
        <w:keepNext/>
        <w:keepLines/>
        <w:spacing w:after="240"/>
        <w:rPr>
          <w:rFonts w:ascii="Arial Narrow" w:hAnsi="Arial Narrow"/>
          <w:color w:val="000000"/>
          <w:sz w:val="18"/>
          <w:szCs w:val="18"/>
        </w:rPr>
      </w:pPr>
      <w:r w:rsidRPr="00010249">
        <w:rPr>
          <w:rFonts w:ascii="Arial Narrow" w:hAnsi="Arial Narrow"/>
          <w:color w:val="000000"/>
          <w:sz w:val="18"/>
          <w:szCs w:val="18"/>
        </w:rPr>
        <w:t>Note some differences due to rounding</w:t>
      </w:r>
    </w:p>
    <w:p w14:paraId="3EAAFBB0" w14:textId="36B0DA2B" w:rsidR="00E607DA" w:rsidRDefault="00E607DA" w:rsidP="00E607DA">
      <w:r w:rsidRPr="00010249">
        <w:t>The ADAR estimated CEP utilisation in the high risk and inoperable population by forecasting current use of TAVI on the MBS. In 2019, there were 1,503 TAVI services processed on the MBS; from January to June 2020, there were 870 TAVI services processed [Source: Medicare Item Reports data for 38495]. However, the utilisation of TAVI has been higher than predicted for this population. The predicted use of TAVI for high risk and inoperable patients ranged from 768 for 2017-18 (Year 1 of TAVI listing) to 843 in 2020-21 (Year 4); the actual use in Year 1 [2017-18] of listing was 1,035 service</w:t>
      </w:r>
      <w:r w:rsidR="009A037A">
        <w:t>s (Source Predic</w:t>
      </w:r>
      <w:r w:rsidRPr="00010249">
        <w:t xml:space="preserve">ted </w:t>
      </w:r>
      <w:r w:rsidRPr="00647629">
        <w:rPr>
          <w:i/>
        </w:rPr>
        <w:t>vs</w:t>
      </w:r>
      <w:r w:rsidRPr="00010249">
        <w:t>. Actual [PVA] TAVI snapshot, 1361.2). The financial impact of CEP may be higher if growth of TAVI use in the high risk/inoperable population is higher than forecast by the ADAR.</w:t>
      </w:r>
    </w:p>
    <w:p w14:paraId="5FE1C99A" w14:textId="1D82C452" w:rsidR="00E607DA" w:rsidRPr="00010249" w:rsidRDefault="00193469" w:rsidP="00324DD5">
      <w:pPr>
        <w:spacing w:before="240"/>
      </w:pPr>
      <w:r w:rsidRPr="00193469">
        <w:rPr>
          <w:szCs w:val="24"/>
        </w:rPr>
        <w:fldChar w:fldCharType="begin"/>
      </w:r>
      <w:r w:rsidRPr="00193469">
        <w:rPr>
          <w:szCs w:val="24"/>
        </w:rPr>
        <w:instrText xml:space="preserve"> REF _Ref50638186 \h  \* MERGEFORMAT </w:instrText>
      </w:r>
      <w:r w:rsidRPr="00193469">
        <w:rPr>
          <w:szCs w:val="24"/>
        </w:rPr>
      </w:r>
      <w:r w:rsidRPr="00193469">
        <w:rPr>
          <w:szCs w:val="24"/>
        </w:rPr>
        <w:fldChar w:fldCharType="separate"/>
      </w:r>
      <w:r w:rsidR="003E3A7D" w:rsidRPr="003E3A7D">
        <w:rPr>
          <w:bCs/>
          <w:szCs w:val="24"/>
        </w:rPr>
        <w:t xml:space="preserve">Table </w:t>
      </w:r>
      <w:r w:rsidR="003E3A7D" w:rsidRPr="003E3A7D">
        <w:rPr>
          <w:bCs/>
          <w:noProof/>
          <w:szCs w:val="24"/>
        </w:rPr>
        <w:t>13</w:t>
      </w:r>
      <w:r w:rsidRPr="00193469">
        <w:rPr>
          <w:szCs w:val="24"/>
        </w:rPr>
        <w:fldChar w:fldCharType="end"/>
      </w:r>
      <w:r w:rsidR="00E607DA" w:rsidRPr="00010249">
        <w:t xml:space="preserve"> presents a comparison of the estimated utilisation of TAVI for intermediate risk patients in the ADAR and the ADAR for TAVI in intermediate risk patients (1603) </w:t>
      </w:r>
      <w:r w:rsidR="00E607DA">
        <w:t>that was also</w:t>
      </w:r>
      <w:r w:rsidR="00E607DA" w:rsidRPr="00010249">
        <w:t xml:space="preserve"> considered at the November 2020 MSAC meeting. The estimated use of TAVI for the intermediate risk population was </w:t>
      </w:r>
      <w:r w:rsidR="00795350" w:rsidRPr="00795350">
        <w:rPr>
          <w:b/>
        </w:rPr>
        <w:t>redacted</w:t>
      </w:r>
      <w:r w:rsidR="00E607DA" w:rsidRPr="002763E9">
        <w:rPr>
          <w:color w:val="FF0000"/>
        </w:rPr>
        <w:t xml:space="preserve"> </w:t>
      </w:r>
      <w:r w:rsidR="00E607DA" w:rsidRPr="00010249">
        <w:t>in application 1603 (TAVI intermediate risk) than the TAVI CEP ADAR</w:t>
      </w:r>
      <w:r w:rsidR="00E607DA">
        <w:t xml:space="preserve"> (</w:t>
      </w:r>
      <w:r w:rsidR="00795350" w:rsidRPr="00795350">
        <w:rPr>
          <w:b/>
        </w:rPr>
        <w:t>redacted</w:t>
      </w:r>
      <w:r w:rsidR="00E607DA">
        <w:t>)</w:t>
      </w:r>
      <w:r w:rsidR="00E607DA" w:rsidRPr="00010249">
        <w:t xml:space="preserve">. Using the estimated utilisation from application 1603 resulted in </w:t>
      </w:r>
      <w:r w:rsidR="00795350" w:rsidRPr="00795350">
        <w:rPr>
          <w:b/>
        </w:rPr>
        <w:t>redacted</w:t>
      </w:r>
      <w:r w:rsidR="00AA35EA">
        <w:t xml:space="preserve"> MBS and prosthese</w:t>
      </w:r>
      <w:r w:rsidR="00E607DA" w:rsidRPr="00010249">
        <w:t>s costs.</w:t>
      </w:r>
      <w:r w:rsidR="00E607DA" w:rsidRPr="00010249">
        <w:rPr>
          <w:rFonts w:ascii="Calibri" w:hAnsi="Calibri" w:cs="Tahoma"/>
          <w:iCs/>
          <w:color w:val="000000" w:themeColor="text1"/>
        </w:rPr>
        <w:t xml:space="preserve"> </w:t>
      </w:r>
      <w:r w:rsidR="00E607DA" w:rsidRPr="00010249">
        <w:t xml:space="preserve">The financial impact of CEP may be </w:t>
      </w:r>
      <w:r w:rsidR="00795350" w:rsidRPr="00795350">
        <w:rPr>
          <w:b/>
        </w:rPr>
        <w:t xml:space="preserve">redacted </w:t>
      </w:r>
      <w:r w:rsidR="00E607DA" w:rsidRPr="00010249">
        <w:t>if the estimates in application 1603 better reflect the likely utilisation of TAVI in the intermediate risk population.</w:t>
      </w:r>
    </w:p>
    <w:p w14:paraId="7AA07029" w14:textId="1A90AD71" w:rsidR="00B41AE2" w:rsidRDefault="00E607DA" w:rsidP="00324DD5">
      <w:pPr>
        <w:keepNext/>
        <w:spacing w:before="240" w:after="120"/>
      </w:pPr>
      <w:bookmarkStart w:id="16" w:name="_Ref50638186"/>
      <w:r w:rsidRPr="00010249">
        <w:rPr>
          <w:rFonts w:ascii="Arial Narrow" w:hAnsi="Arial Narrow" w:cs="Tahoma"/>
          <w:b/>
          <w:bCs/>
          <w:sz w:val="20"/>
          <w:szCs w:val="22"/>
        </w:rPr>
        <w:t xml:space="preserve">Table </w:t>
      </w:r>
      <w:r w:rsidRPr="00010249">
        <w:rPr>
          <w:rFonts w:ascii="Arial Narrow" w:hAnsi="Arial Narrow" w:cs="Tahoma"/>
          <w:b/>
          <w:bCs/>
          <w:sz w:val="20"/>
          <w:szCs w:val="22"/>
        </w:rPr>
        <w:fldChar w:fldCharType="begin"/>
      </w:r>
      <w:r w:rsidRPr="00010249">
        <w:rPr>
          <w:rFonts w:ascii="Arial Narrow" w:hAnsi="Arial Narrow" w:cs="Tahoma"/>
          <w:b/>
          <w:bCs/>
          <w:sz w:val="20"/>
          <w:szCs w:val="22"/>
        </w:rPr>
        <w:instrText xml:space="preserve"> SEQ Table \* ARABIC </w:instrText>
      </w:r>
      <w:r w:rsidRPr="00010249">
        <w:rPr>
          <w:rFonts w:ascii="Arial Narrow" w:hAnsi="Arial Narrow" w:cs="Tahoma"/>
          <w:b/>
          <w:bCs/>
          <w:sz w:val="20"/>
          <w:szCs w:val="22"/>
        </w:rPr>
        <w:fldChar w:fldCharType="separate"/>
      </w:r>
      <w:r w:rsidR="003E3A7D">
        <w:rPr>
          <w:rFonts w:ascii="Arial Narrow" w:hAnsi="Arial Narrow" w:cs="Tahoma"/>
          <w:b/>
          <w:bCs/>
          <w:noProof/>
          <w:sz w:val="20"/>
          <w:szCs w:val="22"/>
        </w:rPr>
        <w:t>13</w:t>
      </w:r>
      <w:r w:rsidRPr="00010249">
        <w:rPr>
          <w:rFonts w:ascii="Arial Narrow" w:hAnsi="Arial Narrow" w:cs="Tahoma"/>
          <w:b/>
          <w:bCs/>
          <w:noProof/>
          <w:sz w:val="20"/>
          <w:szCs w:val="22"/>
        </w:rPr>
        <w:fldChar w:fldCharType="end"/>
      </w:r>
      <w:bookmarkEnd w:id="16"/>
      <w:r w:rsidRPr="00010249">
        <w:rPr>
          <w:rFonts w:ascii="Arial Narrow" w:hAnsi="Arial Narrow" w:cs="Tahoma"/>
          <w:b/>
          <w:bCs/>
          <w:sz w:val="20"/>
          <w:szCs w:val="22"/>
        </w:rPr>
        <w:t xml:space="preserve"> </w:t>
      </w:r>
      <w:r w:rsidR="00795350">
        <w:rPr>
          <w:rFonts w:ascii="Arial Narrow" w:hAnsi="Arial Narrow" w:cs="Tahoma"/>
          <w:b/>
          <w:bCs/>
          <w:sz w:val="20"/>
          <w:szCs w:val="22"/>
        </w:rPr>
        <w:t>Redacted</w:t>
      </w:r>
    </w:p>
    <w:p w14:paraId="5EA0E607" w14:textId="77777777" w:rsidR="006A0D97" w:rsidRPr="00F715D1" w:rsidRDefault="006A0D97" w:rsidP="00F715D1">
      <w:pPr>
        <w:pStyle w:val="Heading1"/>
      </w:pPr>
      <w:r w:rsidRPr="00F715D1">
        <w:t>Key issues from ESC for MSAC</w:t>
      </w:r>
    </w:p>
    <w:tbl>
      <w:tblPr>
        <w:tblStyle w:val="TableGrid"/>
        <w:tblW w:w="0" w:type="auto"/>
        <w:tblLook w:val="04A0" w:firstRow="1" w:lastRow="0" w:firstColumn="1" w:lastColumn="0" w:noHBand="0" w:noVBand="1"/>
        <w:tblCaption w:val="14. Key issues from ESC for MSAC"/>
      </w:tblPr>
      <w:tblGrid>
        <w:gridCol w:w="1809"/>
        <w:gridCol w:w="7207"/>
      </w:tblGrid>
      <w:tr w:rsidR="00487EE3" w:rsidRPr="002B4D16" w14:paraId="659CCC78" w14:textId="77777777" w:rsidTr="00487EE3">
        <w:trPr>
          <w:cantSplit/>
          <w:tblHeader/>
        </w:trPr>
        <w:tc>
          <w:tcPr>
            <w:tcW w:w="1809" w:type="dxa"/>
          </w:tcPr>
          <w:p w14:paraId="49433796" w14:textId="77777777" w:rsidR="00487EE3" w:rsidRPr="002B4D16" w:rsidRDefault="00487EE3" w:rsidP="001B58B1">
            <w:pPr>
              <w:pStyle w:val="TableHeading"/>
              <w:rPr>
                <w:rFonts w:ascii="Times New Roman" w:hAnsi="Times New Roman" w:cs="Times New Roman"/>
                <w:sz w:val="22"/>
                <w:szCs w:val="22"/>
              </w:rPr>
            </w:pPr>
            <w:r w:rsidRPr="002B4D16">
              <w:rPr>
                <w:rFonts w:ascii="Times New Roman" w:hAnsi="Times New Roman" w:cs="Times New Roman"/>
                <w:sz w:val="22"/>
                <w:szCs w:val="22"/>
              </w:rPr>
              <w:t>ESC key issue</w:t>
            </w:r>
          </w:p>
        </w:tc>
        <w:tc>
          <w:tcPr>
            <w:tcW w:w="7207" w:type="dxa"/>
          </w:tcPr>
          <w:p w14:paraId="32B85B8C" w14:textId="77777777" w:rsidR="00487EE3" w:rsidRPr="002B4D16" w:rsidRDefault="00487EE3" w:rsidP="001B58B1">
            <w:pPr>
              <w:pStyle w:val="TableHeading"/>
              <w:rPr>
                <w:rFonts w:ascii="Times New Roman" w:hAnsi="Times New Roman" w:cs="Times New Roman"/>
                <w:sz w:val="22"/>
                <w:szCs w:val="22"/>
              </w:rPr>
            </w:pPr>
            <w:r w:rsidRPr="002B4D16">
              <w:rPr>
                <w:rFonts w:ascii="Times New Roman" w:hAnsi="Times New Roman" w:cs="Times New Roman"/>
                <w:sz w:val="22"/>
                <w:szCs w:val="22"/>
              </w:rPr>
              <w:t>ESC advice to MSAC</w:t>
            </w:r>
          </w:p>
        </w:tc>
      </w:tr>
      <w:tr w:rsidR="00487EE3" w:rsidRPr="002B4D16" w14:paraId="7641673C" w14:textId="77777777" w:rsidTr="00487EE3">
        <w:trPr>
          <w:cantSplit/>
          <w:trHeight w:val="657"/>
        </w:trPr>
        <w:tc>
          <w:tcPr>
            <w:tcW w:w="1809" w:type="dxa"/>
            <w:hideMark/>
          </w:tcPr>
          <w:p w14:paraId="4B5D03CA" w14:textId="77777777" w:rsidR="00487EE3" w:rsidRPr="002B4D16" w:rsidRDefault="00487EE3" w:rsidP="001B58B1">
            <w:pPr>
              <w:pStyle w:val="TableText1"/>
              <w:rPr>
                <w:sz w:val="22"/>
                <w:szCs w:val="22"/>
              </w:rPr>
            </w:pPr>
            <w:r w:rsidRPr="002B4D16">
              <w:rPr>
                <w:sz w:val="22"/>
                <w:szCs w:val="22"/>
              </w:rPr>
              <w:t>Safety</w:t>
            </w:r>
          </w:p>
        </w:tc>
        <w:tc>
          <w:tcPr>
            <w:tcW w:w="7207" w:type="dxa"/>
            <w:hideMark/>
          </w:tcPr>
          <w:p w14:paraId="4A674150" w14:textId="77777777" w:rsidR="00487EE3" w:rsidRPr="002B4D16" w:rsidRDefault="00487EE3" w:rsidP="001B58B1">
            <w:pPr>
              <w:pStyle w:val="TableText1"/>
              <w:rPr>
                <w:sz w:val="22"/>
                <w:szCs w:val="22"/>
              </w:rPr>
            </w:pPr>
            <w:r w:rsidRPr="002B4D16">
              <w:rPr>
                <w:sz w:val="22"/>
                <w:szCs w:val="22"/>
              </w:rPr>
              <w:t xml:space="preserve">The ADAR’s claim of non-inferior safety on the basis of similar rate of major vascular complications, AKI and adverse event profiles </w:t>
            </w:r>
            <w:r>
              <w:rPr>
                <w:sz w:val="22"/>
                <w:szCs w:val="22"/>
              </w:rPr>
              <w:t>appears</w:t>
            </w:r>
            <w:r w:rsidRPr="002B4D16">
              <w:rPr>
                <w:sz w:val="22"/>
                <w:szCs w:val="22"/>
              </w:rPr>
              <w:t xml:space="preserve"> well justified.</w:t>
            </w:r>
          </w:p>
        </w:tc>
      </w:tr>
      <w:tr w:rsidR="00487EE3" w:rsidRPr="002B4D16" w14:paraId="7756E6F0" w14:textId="77777777" w:rsidTr="00487EE3">
        <w:trPr>
          <w:cantSplit/>
          <w:trHeight w:val="1247"/>
        </w:trPr>
        <w:tc>
          <w:tcPr>
            <w:tcW w:w="1809" w:type="dxa"/>
            <w:hideMark/>
          </w:tcPr>
          <w:p w14:paraId="46226C72" w14:textId="77777777" w:rsidR="00487EE3" w:rsidRPr="002B4D16" w:rsidRDefault="00487EE3" w:rsidP="00487EE3">
            <w:pPr>
              <w:pStyle w:val="TableText1"/>
              <w:keepNext w:val="0"/>
              <w:rPr>
                <w:sz w:val="22"/>
                <w:szCs w:val="22"/>
              </w:rPr>
            </w:pPr>
            <w:r w:rsidRPr="002B4D16">
              <w:rPr>
                <w:sz w:val="22"/>
                <w:szCs w:val="22"/>
              </w:rPr>
              <w:t>Effectiveness</w:t>
            </w:r>
          </w:p>
        </w:tc>
        <w:tc>
          <w:tcPr>
            <w:tcW w:w="7207" w:type="dxa"/>
            <w:hideMark/>
          </w:tcPr>
          <w:p w14:paraId="31A730CD" w14:textId="77777777" w:rsidR="00487EE3" w:rsidRPr="002B4D16" w:rsidRDefault="00487EE3" w:rsidP="00487EE3">
            <w:pPr>
              <w:pStyle w:val="TableText1"/>
              <w:keepNext w:val="0"/>
              <w:rPr>
                <w:sz w:val="22"/>
                <w:szCs w:val="22"/>
              </w:rPr>
            </w:pPr>
            <w:r w:rsidRPr="000823AC">
              <w:rPr>
                <w:sz w:val="22"/>
                <w:szCs w:val="22"/>
              </w:rPr>
              <w:t xml:space="preserve">The </w:t>
            </w:r>
            <w:r>
              <w:rPr>
                <w:sz w:val="22"/>
                <w:szCs w:val="22"/>
              </w:rPr>
              <w:t xml:space="preserve">key </w:t>
            </w:r>
            <w:r w:rsidRPr="000823AC">
              <w:rPr>
                <w:sz w:val="22"/>
                <w:szCs w:val="22"/>
              </w:rPr>
              <w:t>clinical evidence supporting a reduction in peri-procedural stroke was a propensity score matched analysis that included patients from two randomised controlled trials (RCTs) and one observational study</w:t>
            </w:r>
            <w:r>
              <w:rPr>
                <w:sz w:val="22"/>
                <w:szCs w:val="22"/>
              </w:rPr>
              <w:t xml:space="preserve"> (Seeger 2019)</w:t>
            </w:r>
            <w:r w:rsidRPr="000823AC">
              <w:rPr>
                <w:sz w:val="22"/>
                <w:szCs w:val="22"/>
              </w:rPr>
              <w:t xml:space="preserve">. </w:t>
            </w:r>
            <w:r>
              <w:rPr>
                <w:sz w:val="22"/>
                <w:szCs w:val="22"/>
              </w:rPr>
              <w:t xml:space="preserve">This was supported by a meta-analysis of three RCTs and another cohort study. </w:t>
            </w:r>
            <w:r w:rsidRPr="002B4D16">
              <w:rPr>
                <w:sz w:val="22"/>
                <w:szCs w:val="22"/>
              </w:rPr>
              <w:t xml:space="preserve">Inclusion of cohort studies </w:t>
            </w:r>
            <w:r>
              <w:rPr>
                <w:sz w:val="22"/>
                <w:szCs w:val="22"/>
              </w:rPr>
              <w:t xml:space="preserve">in addition to the three RCTs </w:t>
            </w:r>
            <w:r w:rsidRPr="002B4D16">
              <w:rPr>
                <w:sz w:val="22"/>
                <w:szCs w:val="22"/>
              </w:rPr>
              <w:t>was justified on the basis of the individual RCTs not being powered to show differences in peri</w:t>
            </w:r>
            <w:r>
              <w:rPr>
                <w:sz w:val="22"/>
                <w:szCs w:val="22"/>
              </w:rPr>
              <w:noBreakHyphen/>
            </w:r>
            <w:r w:rsidRPr="002B4D16">
              <w:rPr>
                <w:sz w:val="22"/>
                <w:szCs w:val="22"/>
              </w:rPr>
              <w:t>procedural stroke.</w:t>
            </w:r>
          </w:p>
          <w:p w14:paraId="7607E4B6" w14:textId="77777777" w:rsidR="00487EE3" w:rsidRPr="002B4D16" w:rsidRDefault="00487EE3" w:rsidP="00487EE3">
            <w:pPr>
              <w:pStyle w:val="TableText1"/>
              <w:keepNext w:val="0"/>
              <w:rPr>
                <w:sz w:val="22"/>
                <w:szCs w:val="22"/>
              </w:rPr>
            </w:pPr>
            <w:r w:rsidRPr="002B4D16">
              <w:rPr>
                <w:sz w:val="22"/>
                <w:szCs w:val="22"/>
              </w:rPr>
              <w:t>Cohort studies were propensity score matched, but internal validity can still be affected through the influence of unreported confounders (known and unknown).</w:t>
            </w:r>
          </w:p>
          <w:p w14:paraId="27DE1BD2" w14:textId="77777777" w:rsidR="00487EE3" w:rsidRDefault="00487EE3" w:rsidP="00487EE3">
            <w:pPr>
              <w:pStyle w:val="TableText1"/>
              <w:keepNext w:val="0"/>
              <w:rPr>
                <w:sz w:val="22"/>
                <w:szCs w:val="22"/>
              </w:rPr>
            </w:pPr>
            <w:r w:rsidRPr="002B4D16">
              <w:rPr>
                <w:sz w:val="22"/>
                <w:szCs w:val="22"/>
              </w:rPr>
              <w:t>A consistent effect in favour of TAVI+CEP was observed across all stroke outcomes.</w:t>
            </w:r>
          </w:p>
          <w:p w14:paraId="0EDE0AF4" w14:textId="77777777" w:rsidR="00487EE3" w:rsidRPr="00AD3F64" w:rsidRDefault="00487EE3" w:rsidP="00487EE3">
            <w:pPr>
              <w:pStyle w:val="TableText1"/>
              <w:keepNext w:val="0"/>
              <w:rPr>
                <w:sz w:val="22"/>
                <w:szCs w:val="22"/>
              </w:rPr>
            </w:pPr>
            <w:r w:rsidRPr="00AD3F64">
              <w:rPr>
                <w:sz w:val="22"/>
                <w:szCs w:val="22"/>
              </w:rPr>
              <w:t xml:space="preserve">To note an </w:t>
            </w:r>
            <w:r w:rsidRPr="00AD3F64">
              <w:rPr>
                <w:rStyle w:val="normaltextrun"/>
                <w:iCs/>
                <w:sz w:val="22"/>
                <w:szCs w:val="22"/>
                <w:shd w:val="clear" w:color="auto" w:fill="FFFFFF"/>
              </w:rPr>
              <w:t>ongoing RCT, PROTECTED TAVR</w:t>
            </w:r>
            <w:r w:rsidRPr="00AD3F64">
              <w:rPr>
                <w:rStyle w:val="FootnoteReference"/>
                <w:iCs/>
                <w:sz w:val="22"/>
                <w:szCs w:val="22"/>
                <w:shd w:val="clear" w:color="auto" w:fill="FFFFFF"/>
              </w:rPr>
              <w:footnoteReference w:id="14"/>
            </w:r>
            <w:r w:rsidRPr="00AD3F64">
              <w:rPr>
                <w:rStyle w:val="normaltextrun"/>
                <w:iCs/>
                <w:sz w:val="22"/>
                <w:szCs w:val="22"/>
                <w:shd w:val="clear" w:color="auto" w:fill="FFFFFF"/>
              </w:rPr>
              <w:t>, comparing TAVI+CEP and TAVI alone in patients with aortic stenosis, with an estimated sample size of 3,000 patients and primary endpoint of stroke at 72 hours.</w:t>
            </w:r>
          </w:p>
        </w:tc>
      </w:tr>
      <w:tr w:rsidR="00487EE3" w:rsidRPr="002B4D16" w14:paraId="4FE236F3" w14:textId="77777777" w:rsidTr="00487EE3">
        <w:trPr>
          <w:cantSplit/>
          <w:trHeight w:val="822"/>
        </w:trPr>
        <w:tc>
          <w:tcPr>
            <w:tcW w:w="1809" w:type="dxa"/>
            <w:hideMark/>
          </w:tcPr>
          <w:p w14:paraId="5BE67D25" w14:textId="77777777" w:rsidR="00487EE3" w:rsidRPr="002B4D16" w:rsidRDefault="00487EE3" w:rsidP="00487EE3">
            <w:pPr>
              <w:pStyle w:val="TableText1"/>
              <w:keepNext w:val="0"/>
              <w:rPr>
                <w:sz w:val="22"/>
                <w:szCs w:val="22"/>
              </w:rPr>
            </w:pPr>
            <w:r w:rsidRPr="002B4D16">
              <w:rPr>
                <w:sz w:val="22"/>
                <w:szCs w:val="22"/>
              </w:rPr>
              <w:t>MBS item descriptor</w:t>
            </w:r>
          </w:p>
        </w:tc>
        <w:tc>
          <w:tcPr>
            <w:tcW w:w="7207" w:type="dxa"/>
            <w:hideMark/>
          </w:tcPr>
          <w:p w14:paraId="345BED4D" w14:textId="77777777" w:rsidR="00487EE3" w:rsidRPr="002B4D16" w:rsidRDefault="00487EE3" w:rsidP="00487EE3">
            <w:pPr>
              <w:pStyle w:val="TableText1"/>
              <w:keepNext w:val="0"/>
              <w:rPr>
                <w:sz w:val="22"/>
                <w:szCs w:val="22"/>
              </w:rPr>
            </w:pPr>
            <w:r w:rsidRPr="002B4D16">
              <w:rPr>
                <w:sz w:val="22"/>
                <w:szCs w:val="22"/>
              </w:rPr>
              <w:t>If MSAC recommends this item for public funding, it could potentially be difficult to justify only allowing its use for the high</w:t>
            </w:r>
            <w:r>
              <w:rPr>
                <w:sz w:val="22"/>
                <w:szCs w:val="22"/>
              </w:rPr>
              <w:noBreakHyphen/>
            </w:r>
            <w:r w:rsidRPr="002B4D16">
              <w:rPr>
                <w:sz w:val="22"/>
                <w:szCs w:val="22"/>
              </w:rPr>
              <w:t>risk</w:t>
            </w:r>
            <w:r>
              <w:rPr>
                <w:sz w:val="22"/>
                <w:szCs w:val="22"/>
              </w:rPr>
              <w:t>/inoperable</w:t>
            </w:r>
            <w:r w:rsidRPr="002B4D16">
              <w:rPr>
                <w:sz w:val="22"/>
                <w:szCs w:val="22"/>
              </w:rPr>
              <w:t xml:space="preserve"> population.</w:t>
            </w:r>
          </w:p>
          <w:p w14:paraId="45AB7C4A" w14:textId="77777777" w:rsidR="00487EE3" w:rsidRDefault="00487EE3" w:rsidP="00487EE3">
            <w:pPr>
              <w:pStyle w:val="TableText1"/>
              <w:keepNext w:val="0"/>
              <w:rPr>
                <w:sz w:val="22"/>
                <w:szCs w:val="22"/>
                <w:lang w:val="en-US"/>
              </w:rPr>
            </w:pPr>
            <w:r w:rsidRPr="000823AC">
              <w:rPr>
                <w:sz w:val="22"/>
                <w:szCs w:val="22"/>
              </w:rPr>
              <w:t>ESC noted there are several cerebral embolic protection</w:t>
            </w:r>
            <w:r>
              <w:rPr>
                <w:sz w:val="22"/>
                <w:szCs w:val="22"/>
              </w:rPr>
              <w:t xml:space="preserve"> (CEP)</w:t>
            </w:r>
            <w:r w:rsidRPr="000823AC">
              <w:rPr>
                <w:sz w:val="22"/>
                <w:szCs w:val="22"/>
              </w:rPr>
              <w:t xml:space="preserve"> systems and that it may be </w:t>
            </w:r>
            <w:r>
              <w:rPr>
                <w:sz w:val="22"/>
                <w:szCs w:val="22"/>
              </w:rPr>
              <w:t>a</w:t>
            </w:r>
            <w:r w:rsidRPr="002B4D16">
              <w:rPr>
                <w:sz w:val="22"/>
                <w:szCs w:val="22"/>
              </w:rPr>
              <w:t>ppropriate to fund</w:t>
            </w:r>
            <w:r>
              <w:rPr>
                <w:sz w:val="22"/>
                <w:szCs w:val="22"/>
              </w:rPr>
              <w:t xml:space="preserve"> the</w:t>
            </w:r>
            <w:r w:rsidRPr="002B4D16">
              <w:rPr>
                <w:sz w:val="22"/>
                <w:szCs w:val="22"/>
              </w:rPr>
              <w:t xml:space="preserve"> specific intervention (i.e. </w:t>
            </w:r>
            <w:r w:rsidRPr="002B4D16">
              <w:rPr>
                <w:sz w:val="22"/>
                <w:szCs w:val="22"/>
                <w:lang w:val="en-US"/>
              </w:rPr>
              <w:t>trans</w:t>
            </w:r>
            <w:r>
              <w:rPr>
                <w:sz w:val="22"/>
                <w:szCs w:val="22"/>
                <w:lang w:val="en-US"/>
              </w:rPr>
              <w:t>catheter</w:t>
            </w:r>
            <w:r w:rsidRPr="002B4D16">
              <w:rPr>
                <w:sz w:val="22"/>
                <w:szCs w:val="22"/>
                <w:lang w:val="en-US"/>
              </w:rPr>
              <w:t xml:space="preserve"> delivery of a dual-filter </w:t>
            </w:r>
            <w:r>
              <w:rPr>
                <w:sz w:val="22"/>
                <w:szCs w:val="22"/>
                <w:lang w:val="en-US"/>
              </w:rPr>
              <w:t>CEP</w:t>
            </w:r>
            <w:r w:rsidRPr="002B4D16">
              <w:rPr>
                <w:sz w:val="22"/>
                <w:szCs w:val="22"/>
                <w:lang w:val="en-US"/>
              </w:rPr>
              <w:t>) until evidence emerges for safety and effectiveness of other devices.</w:t>
            </w:r>
          </w:p>
          <w:p w14:paraId="5ECBEA23" w14:textId="77777777" w:rsidR="00487EE3" w:rsidRPr="002B4D16" w:rsidRDefault="00487EE3" w:rsidP="00487EE3">
            <w:pPr>
              <w:pStyle w:val="TableText1"/>
              <w:keepNext w:val="0"/>
              <w:rPr>
                <w:sz w:val="22"/>
                <w:szCs w:val="22"/>
              </w:rPr>
            </w:pPr>
            <w:r w:rsidRPr="000823AC">
              <w:rPr>
                <w:sz w:val="22"/>
                <w:szCs w:val="22"/>
              </w:rPr>
              <w:t xml:space="preserve">ESC advised that MSAC may wish to consider whether CEP should have similar accreditation requirements to </w:t>
            </w:r>
            <w:r>
              <w:rPr>
                <w:sz w:val="22"/>
                <w:szCs w:val="22"/>
              </w:rPr>
              <w:t>the TAVI procedure</w:t>
            </w:r>
            <w:r w:rsidRPr="000823AC">
              <w:rPr>
                <w:sz w:val="22"/>
                <w:szCs w:val="22"/>
              </w:rPr>
              <w:t>.</w:t>
            </w:r>
          </w:p>
        </w:tc>
      </w:tr>
      <w:tr w:rsidR="00487EE3" w:rsidRPr="002B4D16" w14:paraId="775B6D38" w14:textId="77777777" w:rsidTr="00487EE3">
        <w:trPr>
          <w:cantSplit/>
          <w:trHeight w:val="1195"/>
        </w:trPr>
        <w:tc>
          <w:tcPr>
            <w:tcW w:w="1809" w:type="dxa"/>
            <w:hideMark/>
          </w:tcPr>
          <w:p w14:paraId="3462FA3F" w14:textId="77777777" w:rsidR="00487EE3" w:rsidRPr="002B4D16" w:rsidRDefault="00487EE3" w:rsidP="00487EE3">
            <w:pPr>
              <w:pStyle w:val="TableText1"/>
              <w:keepNext w:val="0"/>
              <w:rPr>
                <w:sz w:val="22"/>
                <w:szCs w:val="22"/>
              </w:rPr>
            </w:pPr>
            <w:r w:rsidRPr="002B4D16">
              <w:rPr>
                <w:sz w:val="22"/>
                <w:szCs w:val="22"/>
              </w:rPr>
              <w:t>Proposed prosthesis benefit</w:t>
            </w:r>
          </w:p>
        </w:tc>
        <w:tc>
          <w:tcPr>
            <w:tcW w:w="7207" w:type="dxa"/>
            <w:hideMark/>
          </w:tcPr>
          <w:p w14:paraId="542700ED" w14:textId="416950B0" w:rsidR="00487EE3" w:rsidRPr="002B4D16" w:rsidRDefault="00487EE3" w:rsidP="00487EE3">
            <w:pPr>
              <w:pStyle w:val="TableText1"/>
              <w:keepNext w:val="0"/>
              <w:rPr>
                <w:sz w:val="22"/>
                <w:szCs w:val="22"/>
              </w:rPr>
            </w:pPr>
            <w:r w:rsidRPr="002B4D16">
              <w:rPr>
                <w:sz w:val="22"/>
                <w:szCs w:val="22"/>
              </w:rPr>
              <w:t>The ADAR proposes a higher prosthesis benefit of $</w:t>
            </w:r>
            <w:r w:rsidR="00B22D04" w:rsidRPr="00324DD5">
              <w:rPr>
                <w:b/>
                <w:sz w:val="22"/>
                <w:szCs w:val="22"/>
              </w:rPr>
              <w:t>redacted</w:t>
            </w:r>
            <w:r w:rsidR="00B22D04" w:rsidRPr="002B4D16">
              <w:rPr>
                <w:sz w:val="22"/>
                <w:szCs w:val="22"/>
              </w:rPr>
              <w:t xml:space="preserve"> </w:t>
            </w:r>
            <w:r w:rsidRPr="002B4D16">
              <w:rPr>
                <w:sz w:val="22"/>
                <w:szCs w:val="22"/>
              </w:rPr>
              <w:t xml:space="preserve">for dual-filter CEP (relative to the $1,995 benefit for single or dual filter CEP on the Prostheses List) and justifies it as saying it is cost-effective at the proposed benefit. </w:t>
            </w:r>
            <w:r>
              <w:rPr>
                <w:sz w:val="22"/>
                <w:szCs w:val="22"/>
              </w:rPr>
              <w:t>ESC noted that</w:t>
            </w:r>
            <w:r w:rsidRPr="002B4D16">
              <w:rPr>
                <w:sz w:val="22"/>
                <w:szCs w:val="22"/>
              </w:rPr>
              <w:t xml:space="preserve"> the</w:t>
            </w:r>
            <w:r>
              <w:rPr>
                <w:sz w:val="22"/>
                <w:szCs w:val="22"/>
              </w:rPr>
              <w:t xml:space="preserve"> key drivers of the</w:t>
            </w:r>
            <w:r w:rsidRPr="002B4D16">
              <w:rPr>
                <w:sz w:val="22"/>
                <w:szCs w:val="22"/>
              </w:rPr>
              <w:t xml:space="preserve"> economic model </w:t>
            </w:r>
            <w:r>
              <w:rPr>
                <w:sz w:val="22"/>
                <w:szCs w:val="22"/>
              </w:rPr>
              <w:t xml:space="preserve">favoured </w:t>
            </w:r>
            <w:r w:rsidRPr="002B4D16">
              <w:rPr>
                <w:sz w:val="22"/>
                <w:szCs w:val="22"/>
              </w:rPr>
              <w:t>CEP</w:t>
            </w:r>
            <w:r>
              <w:rPr>
                <w:sz w:val="22"/>
                <w:szCs w:val="22"/>
              </w:rPr>
              <w:t xml:space="preserve">. </w:t>
            </w:r>
            <w:r w:rsidRPr="00AD3F64">
              <w:rPr>
                <w:sz w:val="22"/>
                <w:szCs w:val="22"/>
              </w:rPr>
              <w:t>ESC advised that the economic evaluation</w:t>
            </w:r>
            <w:r>
              <w:rPr>
                <w:sz w:val="22"/>
                <w:szCs w:val="22"/>
              </w:rPr>
              <w:t>,</w:t>
            </w:r>
            <w:r w:rsidRPr="00AD3F64">
              <w:rPr>
                <w:sz w:val="22"/>
                <w:szCs w:val="22"/>
              </w:rPr>
              <w:t xml:space="preserve"> if accepted by </w:t>
            </w:r>
            <w:r>
              <w:rPr>
                <w:sz w:val="22"/>
                <w:szCs w:val="22"/>
              </w:rPr>
              <w:t>MSAC,</w:t>
            </w:r>
            <w:r w:rsidRPr="00AD3F64">
              <w:rPr>
                <w:sz w:val="22"/>
                <w:szCs w:val="22"/>
              </w:rPr>
              <w:t xml:space="preserve"> is favourable at the higher CEP costs</w:t>
            </w:r>
            <w:r w:rsidRPr="002B4D16">
              <w:rPr>
                <w:sz w:val="22"/>
                <w:szCs w:val="22"/>
              </w:rPr>
              <w:t>.</w:t>
            </w:r>
          </w:p>
        </w:tc>
      </w:tr>
      <w:tr w:rsidR="00487EE3" w:rsidRPr="002B4D16" w14:paraId="59FF3A64" w14:textId="77777777" w:rsidTr="00487EE3">
        <w:trPr>
          <w:cantSplit/>
          <w:trHeight w:val="910"/>
        </w:trPr>
        <w:tc>
          <w:tcPr>
            <w:tcW w:w="1809" w:type="dxa"/>
            <w:hideMark/>
          </w:tcPr>
          <w:p w14:paraId="0979F77B" w14:textId="77777777" w:rsidR="00487EE3" w:rsidRPr="002B4D16" w:rsidRDefault="00487EE3" w:rsidP="00487EE3">
            <w:pPr>
              <w:pStyle w:val="TableText1"/>
              <w:keepNext w:val="0"/>
              <w:rPr>
                <w:sz w:val="22"/>
                <w:szCs w:val="22"/>
              </w:rPr>
            </w:pPr>
            <w:r w:rsidRPr="002B4D16">
              <w:rPr>
                <w:sz w:val="22"/>
                <w:szCs w:val="22"/>
              </w:rPr>
              <w:t>Uncertainty in the ICER</w:t>
            </w:r>
          </w:p>
        </w:tc>
        <w:tc>
          <w:tcPr>
            <w:tcW w:w="7207" w:type="dxa"/>
            <w:hideMark/>
          </w:tcPr>
          <w:p w14:paraId="2717E029" w14:textId="77777777" w:rsidR="00487EE3" w:rsidRPr="002B4D16" w:rsidRDefault="00487EE3" w:rsidP="00487EE3">
            <w:pPr>
              <w:pStyle w:val="TableText1"/>
              <w:keepNext w:val="0"/>
              <w:rPr>
                <w:sz w:val="22"/>
                <w:szCs w:val="22"/>
              </w:rPr>
            </w:pPr>
            <w:r w:rsidRPr="002B4D16">
              <w:rPr>
                <w:sz w:val="22"/>
                <w:szCs w:val="22"/>
              </w:rPr>
              <w:t xml:space="preserve">Model parameters are sensitive to change. The sensitivity analyses demonstrate robust outcomes. However, </w:t>
            </w:r>
            <w:r>
              <w:rPr>
                <w:sz w:val="22"/>
                <w:szCs w:val="22"/>
              </w:rPr>
              <w:t>MSAC may wish to consider the use of other TAVI</w:t>
            </w:r>
            <w:r w:rsidRPr="002B4D16">
              <w:rPr>
                <w:sz w:val="22"/>
                <w:szCs w:val="22"/>
              </w:rPr>
              <w:t xml:space="preserve"> model </w:t>
            </w:r>
            <w:r>
              <w:rPr>
                <w:sz w:val="22"/>
                <w:szCs w:val="22"/>
              </w:rPr>
              <w:t>inputs</w:t>
            </w:r>
            <w:r w:rsidRPr="002B4D16">
              <w:rPr>
                <w:sz w:val="22"/>
                <w:szCs w:val="22"/>
              </w:rPr>
              <w:t xml:space="preserve"> (1361.2 and 160</w:t>
            </w:r>
            <w:r>
              <w:rPr>
                <w:sz w:val="22"/>
                <w:szCs w:val="22"/>
              </w:rPr>
              <w:t>3</w:t>
            </w:r>
            <w:r w:rsidRPr="002B4D16">
              <w:rPr>
                <w:sz w:val="22"/>
                <w:szCs w:val="22"/>
              </w:rPr>
              <w:t xml:space="preserve">) </w:t>
            </w:r>
            <w:r>
              <w:rPr>
                <w:sz w:val="22"/>
                <w:szCs w:val="22"/>
              </w:rPr>
              <w:t>and</w:t>
            </w:r>
            <w:r w:rsidRPr="002B4D16">
              <w:rPr>
                <w:sz w:val="22"/>
                <w:szCs w:val="22"/>
              </w:rPr>
              <w:t xml:space="preserve"> how this would impact the ICER.</w:t>
            </w:r>
          </w:p>
        </w:tc>
      </w:tr>
      <w:tr w:rsidR="00487EE3" w:rsidRPr="002B4D16" w14:paraId="2E66D74D" w14:textId="77777777" w:rsidTr="00487EE3">
        <w:trPr>
          <w:cantSplit/>
          <w:trHeight w:val="1554"/>
        </w:trPr>
        <w:tc>
          <w:tcPr>
            <w:tcW w:w="1809" w:type="dxa"/>
            <w:hideMark/>
          </w:tcPr>
          <w:p w14:paraId="2F7002B1" w14:textId="77777777" w:rsidR="00487EE3" w:rsidRPr="002B4D16" w:rsidRDefault="00487EE3" w:rsidP="00487EE3">
            <w:pPr>
              <w:pStyle w:val="TableText1"/>
              <w:keepNext w:val="0"/>
              <w:rPr>
                <w:sz w:val="22"/>
                <w:szCs w:val="22"/>
              </w:rPr>
            </w:pPr>
            <w:r w:rsidRPr="002B4D16">
              <w:rPr>
                <w:sz w:val="22"/>
                <w:szCs w:val="22"/>
              </w:rPr>
              <w:t xml:space="preserve">Uncertainty in the financial estimates </w:t>
            </w:r>
          </w:p>
          <w:p w14:paraId="77241D82" w14:textId="77777777" w:rsidR="00487EE3" w:rsidRPr="002B4D16" w:rsidRDefault="00487EE3" w:rsidP="00487EE3">
            <w:pPr>
              <w:pStyle w:val="TableText1"/>
              <w:keepNext w:val="0"/>
              <w:rPr>
                <w:sz w:val="22"/>
                <w:szCs w:val="22"/>
              </w:rPr>
            </w:pPr>
          </w:p>
        </w:tc>
        <w:tc>
          <w:tcPr>
            <w:tcW w:w="7207" w:type="dxa"/>
            <w:hideMark/>
          </w:tcPr>
          <w:p w14:paraId="3F8D02EE" w14:textId="77777777" w:rsidR="00487EE3" w:rsidRPr="002B4D16" w:rsidRDefault="00487EE3" w:rsidP="00487EE3">
            <w:pPr>
              <w:pStyle w:val="TableText1"/>
              <w:keepNext w:val="0"/>
              <w:rPr>
                <w:sz w:val="22"/>
                <w:szCs w:val="22"/>
              </w:rPr>
            </w:pPr>
            <w:r w:rsidRPr="002B4D16">
              <w:rPr>
                <w:sz w:val="22"/>
                <w:szCs w:val="22"/>
              </w:rPr>
              <w:t>There is uncertainty in the utilisation rates</w:t>
            </w:r>
            <w:r>
              <w:rPr>
                <w:sz w:val="22"/>
                <w:szCs w:val="22"/>
              </w:rPr>
              <w:t xml:space="preserve"> due to higher than expected use of TAVI in the high risk and inoperable populations and the potential for number of patients undergoing TAVI to increase if TAVI subsidy is expanded to intermediate and low surgical risk populations.</w:t>
            </w:r>
          </w:p>
          <w:p w14:paraId="1FB6444C" w14:textId="77777777" w:rsidR="00487EE3" w:rsidRPr="002B4D16" w:rsidRDefault="00487EE3" w:rsidP="00487EE3">
            <w:pPr>
              <w:pStyle w:val="TableText1"/>
              <w:keepNext w:val="0"/>
              <w:rPr>
                <w:sz w:val="22"/>
                <w:szCs w:val="22"/>
              </w:rPr>
            </w:pPr>
            <w:r w:rsidRPr="002B4D16">
              <w:rPr>
                <w:sz w:val="22"/>
                <w:szCs w:val="22"/>
              </w:rPr>
              <w:t>The estimated number of TAVI interventions used in</w:t>
            </w:r>
            <w:r>
              <w:rPr>
                <w:sz w:val="22"/>
                <w:szCs w:val="22"/>
              </w:rPr>
              <w:t xml:space="preserve"> this application</w:t>
            </w:r>
            <w:r w:rsidRPr="002B4D16">
              <w:rPr>
                <w:sz w:val="22"/>
                <w:szCs w:val="22"/>
              </w:rPr>
              <w:t xml:space="preserve"> </w:t>
            </w:r>
            <w:r>
              <w:rPr>
                <w:sz w:val="22"/>
                <w:szCs w:val="22"/>
              </w:rPr>
              <w:t xml:space="preserve">(1605) should be consistent with other relevant TAVI </w:t>
            </w:r>
            <w:r w:rsidRPr="002B4D16">
              <w:rPr>
                <w:sz w:val="22"/>
                <w:szCs w:val="22"/>
              </w:rPr>
              <w:t xml:space="preserve">applications </w:t>
            </w:r>
            <w:r>
              <w:rPr>
                <w:sz w:val="22"/>
                <w:szCs w:val="22"/>
              </w:rPr>
              <w:t xml:space="preserve">(e.g. </w:t>
            </w:r>
            <w:r w:rsidRPr="002B4D16">
              <w:rPr>
                <w:sz w:val="22"/>
                <w:szCs w:val="22"/>
              </w:rPr>
              <w:t>1603</w:t>
            </w:r>
            <w:r>
              <w:rPr>
                <w:sz w:val="22"/>
                <w:szCs w:val="22"/>
              </w:rPr>
              <w:t>)</w:t>
            </w:r>
            <w:r w:rsidRPr="002B4D16">
              <w:rPr>
                <w:sz w:val="22"/>
                <w:szCs w:val="22"/>
              </w:rPr>
              <w:t xml:space="preserve">. </w:t>
            </w:r>
            <w:r>
              <w:rPr>
                <w:sz w:val="22"/>
                <w:szCs w:val="22"/>
              </w:rPr>
              <w:t>Moreover, t</w:t>
            </w:r>
            <w:r w:rsidRPr="002B4D16">
              <w:rPr>
                <w:sz w:val="22"/>
                <w:szCs w:val="22"/>
              </w:rPr>
              <w:t xml:space="preserve">here is a possibility CEP device utilisation may expand over time with new TAVI indications received by the Department. </w:t>
            </w:r>
          </w:p>
        </w:tc>
      </w:tr>
    </w:tbl>
    <w:p w14:paraId="337C5696" w14:textId="7AAE15DA" w:rsidR="006A0D97" w:rsidRDefault="00F56D7F" w:rsidP="00AA35EA">
      <w:pPr>
        <w:spacing w:before="240" w:after="240"/>
        <w:rPr>
          <w:b/>
        </w:rPr>
      </w:pPr>
      <w:r w:rsidRPr="00F56D7F">
        <w:rPr>
          <w:b/>
        </w:rPr>
        <w:t>ESC discussion</w:t>
      </w:r>
    </w:p>
    <w:p w14:paraId="4BE21E50" w14:textId="77777777" w:rsidR="00487EE3" w:rsidRDefault="00487EE3" w:rsidP="00487EE3">
      <w:pPr>
        <w:spacing w:before="240"/>
        <w:rPr>
          <w:lang w:eastAsia="en-US"/>
        </w:rPr>
      </w:pPr>
      <w:r>
        <w:rPr>
          <w:lang w:eastAsia="en-US"/>
        </w:rPr>
        <w:t>ESC noted that this application was for</w:t>
      </w:r>
      <w:r w:rsidRPr="00137B7E">
        <w:rPr>
          <w:lang w:eastAsia="en-US"/>
        </w:rPr>
        <w:t xml:space="preserve"> </w:t>
      </w:r>
      <w:r>
        <w:rPr>
          <w:lang w:eastAsia="en-US"/>
        </w:rPr>
        <w:t>Medicare Benefits Schedule (</w:t>
      </w:r>
      <w:r w:rsidRPr="00137B7E">
        <w:rPr>
          <w:lang w:eastAsia="en-US"/>
        </w:rPr>
        <w:t>MBS</w:t>
      </w:r>
      <w:r>
        <w:rPr>
          <w:lang w:eastAsia="en-US"/>
        </w:rPr>
        <w:t>)</w:t>
      </w:r>
      <w:r w:rsidRPr="00137B7E">
        <w:rPr>
          <w:lang w:eastAsia="en-US"/>
        </w:rPr>
        <w:t xml:space="preserve"> listing of a dual-filter </w:t>
      </w:r>
      <w:r w:rsidRPr="0087070E">
        <w:rPr>
          <w:lang w:eastAsia="en-US"/>
        </w:rPr>
        <w:t xml:space="preserve">cerebral embolic protection </w:t>
      </w:r>
      <w:r>
        <w:rPr>
          <w:lang w:eastAsia="en-US"/>
        </w:rPr>
        <w:t>(</w:t>
      </w:r>
      <w:r w:rsidRPr="00137B7E">
        <w:rPr>
          <w:lang w:eastAsia="en-US"/>
        </w:rPr>
        <w:t>CEP</w:t>
      </w:r>
      <w:r>
        <w:rPr>
          <w:lang w:eastAsia="en-US"/>
        </w:rPr>
        <w:t>)</w:t>
      </w:r>
      <w:r w:rsidRPr="00137B7E">
        <w:rPr>
          <w:lang w:eastAsia="en-US"/>
        </w:rPr>
        <w:t xml:space="preserve"> device during </w:t>
      </w:r>
      <w:r w:rsidRPr="0087070E">
        <w:rPr>
          <w:lang w:eastAsia="en-US"/>
        </w:rPr>
        <w:t xml:space="preserve">transcatheter aortic valve implantation </w:t>
      </w:r>
      <w:r>
        <w:rPr>
          <w:lang w:eastAsia="en-US"/>
        </w:rPr>
        <w:t>(</w:t>
      </w:r>
      <w:r w:rsidRPr="00137B7E">
        <w:rPr>
          <w:lang w:eastAsia="en-US"/>
        </w:rPr>
        <w:t>TAVI</w:t>
      </w:r>
      <w:r>
        <w:rPr>
          <w:lang w:eastAsia="en-US"/>
        </w:rPr>
        <w:t>)</w:t>
      </w:r>
      <w:r w:rsidRPr="00137B7E">
        <w:rPr>
          <w:lang w:eastAsia="en-US"/>
        </w:rPr>
        <w:t xml:space="preserve"> in patients with aortic stenosis</w:t>
      </w:r>
      <w:r>
        <w:rPr>
          <w:lang w:eastAsia="en-US"/>
        </w:rPr>
        <w:t>.</w:t>
      </w:r>
    </w:p>
    <w:p w14:paraId="3CB1B7E2" w14:textId="77777777" w:rsidR="00487EE3" w:rsidRDefault="00487EE3" w:rsidP="00487EE3">
      <w:pPr>
        <w:spacing w:before="240"/>
        <w:rPr>
          <w:lang w:eastAsia="en-US"/>
        </w:rPr>
      </w:pPr>
      <w:r>
        <w:rPr>
          <w:lang w:eastAsia="en-US"/>
        </w:rPr>
        <w:t>ESC noted there was no consumer feedback.</w:t>
      </w:r>
    </w:p>
    <w:p w14:paraId="08E82442" w14:textId="43122873" w:rsidR="00487EE3" w:rsidRPr="00322CD3" w:rsidRDefault="00487EE3" w:rsidP="00487EE3">
      <w:pPr>
        <w:spacing w:before="240"/>
        <w:rPr>
          <w:lang w:eastAsia="en-US"/>
        </w:rPr>
      </w:pPr>
      <w:r>
        <w:rPr>
          <w:lang w:eastAsia="en-US"/>
        </w:rPr>
        <w:t>ESC</w:t>
      </w:r>
      <w:r>
        <w:t xml:space="preserve"> discussed whether CEP should be limited to the high-risk/inoperable populations that is currently funded on the MBS. However, ESC noted that i</w:t>
      </w:r>
      <w:r w:rsidRPr="00337B58">
        <w:rPr>
          <w:lang w:eastAsia="en-US"/>
        </w:rPr>
        <w:t>f MSAC recommends this item for public funding, it could potentially be difficult for the Department to justify only allowing its use for the high-risk population</w:t>
      </w:r>
      <w:r>
        <w:rPr>
          <w:lang w:eastAsia="en-US"/>
        </w:rPr>
        <w:t xml:space="preserve">, since there is no biological reason to limit its use in this way. ESC considered that it is possible that patients with an intermediate or low surgical risk may have a similar stroke risk to high risk/inoperable patients. </w:t>
      </w:r>
      <w:r w:rsidRPr="00B14BAF">
        <w:rPr>
          <w:color w:val="000000"/>
          <w:lang w:eastAsia="en-US"/>
        </w:rPr>
        <w:t>ESC advised that MSAC may wish to consider whether CEP should have similar accr</w:t>
      </w:r>
      <w:r w:rsidR="00F87E08">
        <w:rPr>
          <w:color w:val="000000"/>
          <w:lang w:eastAsia="en-US"/>
        </w:rPr>
        <w:t>editation requirements to TAVI.</w:t>
      </w:r>
    </w:p>
    <w:p w14:paraId="4CC3B292" w14:textId="77777777" w:rsidR="00487EE3" w:rsidRDefault="00487EE3" w:rsidP="00487EE3">
      <w:pPr>
        <w:spacing w:before="240"/>
        <w:rPr>
          <w:lang w:eastAsia="en-US"/>
        </w:rPr>
      </w:pPr>
      <w:r>
        <w:rPr>
          <w:lang w:eastAsia="en-US"/>
        </w:rPr>
        <w:t xml:space="preserve">ESC noted that the item should be limited to </w:t>
      </w:r>
      <w:r w:rsidRPr="002B2C8B">
        <w:rPr>
          <w:szCs w:val="22"/>
        </w:rPr>
        <w:t xml:space="preserve">dual-filter </w:t>
      </w:r>
      <w:r>
        <w:rPr>
          <w:lang w:eastAsia="en-US"/>
        </w:rPr>
        <w:t xml:space="preserve">CEP, rather than be agnostic, </w:t>
      </w:r>
      <w:r w:rsidRPr="00181E75">
        <w:rPr>
          <w:lang w:eastAsia="en-US"/>
        </w:rPr>
        <w:t>until evidence emerges for safety and effectiveness of other devices.</w:t>
      </w:r>
    </w:p>
    <w:p w14:paraId="0AA66688" w14:textId="434DD48D" w:rsidR="00487EE3" w:rsidRDefault="00487EE3" w:rsidP="00487EE3">
      <w:pPr>
        <w:spacing w:before="240"/>
        <w:rPr>
          <w:lang w:eastAsia="en-US"/>
        </w:rPr>
      </w:pPr>
      <w:r>
        <w:rPr>
          <w:lang w:eastAsia="en-US"/>
        </w:rPr>
        <w:t xml:space="preserve">ESC noted that the </w:t>
      </w:r>
      <w:r w:rsidRPr="00137B7E">
        <w:rPr>
          <w:lang w:eastAsia="en-US"/>
        </w:rPr>
        <w:t>applicant</w:t>
      </w:r>
      <w:r>
        <w:rPr>
          <w:lang w:eastAsia="en-US"/>
        </w:rPr>
        <w:t>-</w:t>
      </w:r>
      <w:r w:rsidRPr="00137B7E">
        <w:rPr>
          <w:lang w:eastAsia="en-US"/>
        </w:rPr>
        <w:t xml:space="preserve">developed assessment report </w:t>
      </w:r>
      <w:r>
        <w:rPr>
          <w:lang w:eastAsia="en-US"/>
        </w:rPr>
        <w:t>(ADAR) included three randomised controlled trials (RCTs) and two cohort studies. The inclusion of cohort studies was justified on the basis of the individual RCTs not being sufficiently powered to show differences in the key outcome of rele</w:t>
      </w:r>
      <w:r w:rsidR="00F87E08">
        <w:rPr>
          <w:lang w:eastAsia="en-US"/>
        </w:rPr>
        <w:t>vance – peri-procedural stroke.</w:t>
      </w:r>
    </w:p>
    <w:p w14:paraId="2CB81A91" w14:textId="230ABF60" w:rsidR="00487EE3" w:rsidRDefault="00487EE3" w:rsidP="00487EE3">
      <w:pPr>
        <w:spacing w:before="240"/>
        <w:rPr>
          <w:lang w:eastAsia="en-US"/>
        </w:rPr>
      </w:pPr>
      <w:r>
        <w:rPr>
          <w:lang w:eastAsia="en-US"/>
        </w:rPr>
        <w:t>In terms of safety, the applicant claimed n</w:t>
      </w:r>
      <w:r w:rsidRPr="00BB2FA7">
        <w:rPr>
          <w:lang w:eastAsia="en-US"/>
        </w:rPr>
        <w:t>on-inferior safety on the basis of similar rate</w:t>
      </w:r>
      <w:r>
        <w:rPr>
          <w:lang w:eastAsia="en-US"/>
        </w:rPr>
        <w:t>s</w:t>
      </w:r>
      <w:r w:rsidRPr="00BB2FA7">
        <w:rPr>
          <w:lang w:eastAsia="en-US"/>
        </w:rPr>
        <w:t xml:space="preserve"> of major vascular complications</w:t>
      </w:r>
      <w:r>
        <w:rPr>
          <w:lang w:eastAsia="en-US"/>
        </w:rPr>
        <w:t xml:space="preserve">, </w:t>
      </w:r>
      <w:r w:rsidRPr="00BB2FA7">
        <w:rPr>
          <w:lang w:eastAsia="en-US"/>
        </w:rPr>
        <w:t xml:space="preserve">acute kidney injury </w:t>
      </w:r>
      <w:r>
        <w:rPr>
          <w:lang w:eastAsia="en-US"/>
        </w:rPr>
        <w:t xml:space="preserve">(AKI) and </w:t>
      </w:r>
      <w:r w:rsidRPr="00BB2FA7">
        <w:rPr>
          <w:lang w:eastAsia="en-US"/>
        </w:rPr>
        <w:t>adverse event profiles</w:t>
      </w:r>
      <w:r>
        <w:rPr>
          <w:lang w:eastAsia="en-US"/>
        </w:rPr>
        <w:t>. ESC noted that n</w:t>
      </w:r>
      <w:r w:rsidRPr="00BB2FA7">
        <w:rPr>
          <w:lang w:eastAsia="en-US"/>
        </w:rPr>
        <w:t xml:space="preserve">o differences were observed in AKI between TAVI+CEP and TAVI alone during peri-procedural period (based on the SENTINEL IDE trial and on a meta-analysis of two cohort studies) </w:t>
      </w:r>
      <w:r>
        <w:rPr>
          <w:lang w:eastAsia="en-US"/>
        </w:rPr>
        <w:t>and n</w:t>
      </w:r>
      <w:r w:rsidRPr="00BB2FA7">
        <w:rPr>
          <w:lang w:eastAsia="en-US"/>
        </w:rPr>
        <w:t>o differences were observed in AKI between TAVI+CEP and TAVI alone at 30 days (based on a</w:t>
      </w:r>
      <w:r w:rsidR="00F87E08">
        <w:rPr>
          <w:lang w:eastAsia="en-US"/>
        </w:rPr>
        <w:t xml:space="preserve"> meta-analysis of three RCTs).</w:t>
      </w:r>
    </w:p>
    <w:p w14:paraId="2DDFF821" w14:textId="1B4D56EC" w:rsidR="00487EE3" w:rsidRDefault="00487EE3" w:rsidP="00487EE3">
      <w:pPr>
        <w:spacing w:before="240"/>
      </w:pPr>
      <w:r>
        <w:t xml:space="preserve">ESC noted that the rates of major vascular complications at 30 days do not differ between TAVI+CEP and when TAVI is performed alone, supporting the safety of the CEP procedure when used adjunct to TAVI (refer to </w:t>
      </w:r>
      <w:hyperlink w:anchor="_Comparative_safety" w:history="1">
        <w:r>
          <w:rPr>
            <w:rStyle w:val="Hyperlink"/>
          </w:rPr>
          <w:fldChar w:fldCharType="begin"/>
        </w:r>
        <w:r>
          <w:instrText xml:space="preserve"> REF _Ref58332343 \h </w:instrText>
        </w:r>
        <w:r>
          <w:rPr>
            <w:rStyle w:val="Hyperlink"/>
          </w:rPr>
        </w:r>
        <w:r>
          <w:rPr>
            <w:rStyle w:val="Hyperlink"/>
          </w:rPr>
          <w:fldChar w:fldCharType="separate"/>
        </w:r>
        <w:r w:rsidR="003E3A7D">
          <w:t xml:space="preserve">Table </w:t>
        </w:r>
        <w:r w:rsidR="003E3A7D">
          <w:rPr>
            <w:noProof/>
          </w:rPr>
          <w:t>5</w:t>
        </w:r>
        <w:r>
          <w:rPr>
            <w:rStyle w:val="Hyperlink"/>
          </w:rPr>
          <w:fldChar w:fldCharType="end"/>
        </w:r>
      </w:hyperlink>
      <w:r>
        <w:t>). This is supported by the meta-analysis of the three RCTs; the risk difference and odds ratios are in favour of the TAVI+CEP intervention but there was no significant difference in the incidence of major vascular complications between TAVI+CEP and TAVI only at 30 days.</w:t>
      </w:r>
    </w:p>
    <w:p w14:paraId="7B35B381" w14:textId="1D89B887" w:rsidR="00487EE3" w:rsidRDefault="00487EE3" w:rsidP="00193469">
      <w:pPr>
        <w:spacing w:before="240"/>
        <w:rPr>
          <w:lang w:eastAsia="en-US"/>
        </w:rPr>
      </w:pPr>
      <w:r>
        <w:t>However, ESC noted the high statistical heterogeneity (I</w:t>
      </w:r>
      <w:r w:rsidRPr="006C5E8E">
        <w:rPr>
          <w:vertAlign w:val="superscript"/>
        </w:rPr>
        <w:t>2</w:t>
      </w:r>
      <w:r>
        <w:t>) for the meta-analysis of the three RCTs, and noted t</w:t>
      </w:r>
      <w:r w:rsidR="00193469">
        <w:t>he C</w:t>
      </w:r>
      <w:r>
        <w:t>ommentary’s statement, “The ADAR conducted a sensitivity analysis by removing MISTRAL-C from the meta-analysis, whereby the heterogeneity became low and non-significant. The rationale and justification for conducting a sensitivity analysis by removing MISTRAL-C was that its results were contrary to those of the other RCTs. However, the results of both meta-analyses show that there is no significant difference between treatment and control arms. The analysis that excluded MISTRAL-C was the more robust one, given that heterogeneity was lower.”</w:t>
      </w:r>
    </w:p>
    <w:p w14:paraId="5634553F" w14:textId="77777777" w:rsidR="00487EE3" w:rsidRDefault="00487EE3" w:rsidP="00487EE3">
      <w:pPr>
        <w:spacing w:before="240"/>
        <w:rPr>
          <w:lang w:eastAsia="en-US"/>
        </w:rPr>
      </w:pPr>
      <w:r>
        <w:rPr>
          <w:lang w:eastAsia="en-US"/>
        </w:rPr>
        <w:t xml:space="preserve">ESC noted that both cohort studies (Seeger 2019 and Kroon 2019) were propensity score matched (PSM), meaning patients might be well balanced on important patient characteristics. ESC noted in the pre-ESC response that the applicant was reasonably confident that the observed effects, particularly those occurring during the early peri-procedural period, could be attributed to the protective effects of the CEP device, and not to patient characteristics. However, ESC noted that internal validity can still be affected by unreported confounders (both known and unknown). ESC also noted in the pre-ESC report that the applicant considers this the best evidence for the assessment of early peri-procedural stroke, given the large sample size (N = 1,066) of patients matched on important baseline characteristics with consistent assessment of stroke 72 hours after the TAVI procedure. ESC agreed with the commentary that Seeger (2019) provided the best estimate in peri-procedural stroke reduction. The commentary concluded that this analysis significantly favoured TAVI+CEP over TAVI alone with respect to peri-procedural stroke (risk difference [RD] 95% confidence interval –0.04 [–0.06, –0.01], </w:t>
      </w:r>
      <w:r w:rsidRPr="002605CD">
        <w:rPr>
          <w:i/>
          <w:iCs/>
          <w:lang w:eastAsia="en-US"/>
        </w:rPr>
        <w:t>P</w:t>
      </w:r>
      <w:r>
        <w:rPr>
          <w:lang w:eastAsia="en-US"/>
        </w:rPr>
        <w:t> = 0.002).</w:t>
      </w:r>
    </w:p>
    <w:p w14:paraId="30B7359E" w14:textId="5949E8B8" w:rsidR="00487EE3" w:rsidRDefault="00487EE3" w:rsidP="00487EE3">
      <w:pPr>
        <w:spacing w:before="240"/>
      </w:pPr>
      <w:r>
        <w:rPr>
          <w:lang w:eastAsia="en-US"/>
        </w:rPr>
        <w:t>ESC noted that t</w:t>
      </w:r>
      <w:r w:rsidRPr="00091C22">
        <w:rPr>
          <w:lang w:eastAsia="en-US"/>
        </w:rPr>
        <w:t>he meta-analyses of RCTs alone did not find any statistically significant differences for the reported stroke outcomes</w:t>
      </w:r>
      <w:r>
        <w:rPr>
          <w:lang w:eastAsia="en-US"/>
        </w:rPr>
        <w:t xml:space="preserve"> (see </w:t>
      </w:r>
      <w:r>
        <w:rPr>
          <w:lang w:eastAsia="en-US"/>
        </w:rPr>
        <w:fldChar w:fldCharType="begin"/>
      </w:r>
      <w:r>
        <w:rPr>
          <w:lang w:eastAsia="en-US"/>
        </w:rPr>
        <w:instrText xml:space="preserve"> REF _Ref58332343 \h </w:instrText>
      </w:r>
      <w:r>
        <w:rPr>
          <w:lang w:eastAsia="en-US"/>
        </w:rPr>
      </w:r>
      <w:r>
        <w:rPr>
          <w:lang w:eastAsia="en-US"/>
        </w:rPr>
        <w:fldChar w:fldCharType="separate"/>
      </w:r>
      <w:r w:rsidR="003E3A7D">
        <w:t xml:space="preserve">Table </w:t>
      </w:r>
      <w:r w:rsidR="003E3A7D">
        <w:rPr>
          <w:noProof/>
        </w:rPr>
        <w:t>5</w:t>
      </w:r>
      <w:r>
        <w:rPr>
          <w:lang w:eastAsia="en-US"/>
        </w:rPr>
        <w:fldChar w:fldCharType="end"/>
      </w:r>
      <w:r>
        <w:rPr>
          <w:lang w:eastAsia="en-US"/>
        </w:rPr>
        <w:t>)</w:t>
      </w:r>
      <w:r w:rsidRPr="00091C22">
        <w:rPr>
          <w:lang w:eastAsia="en-US"/>
        </w:rPr>
        <w:t xml:space="preserve">. </w:t>
      </w:r>
      <w:r>
        <w:rPr>
          <w:lang w:eastAsia="en-US"/>
        </w:rPr>
        <w:t>However, ESC noted</w:t>
      </w:r>
      <w:r w:rsidRPr="0066680A">
        <w:rPr>
          <w:color w:val="000000"/>
          <w:lang w:eastAsia="en-US"/>
        </w:rPr>
        <w:t xml:space="preserve"> that the RCTs were small and may have lacked statistical power to demonstrate a statistically significant difference in stroke outcomes. ESC agree</w:t>
      </w:r>
      <w:r w:rsidR="001B58B1">
        <w:rPr>
          <w:color w:val="000000"/>
          <w:lang w:eastAsia="en-US"/>
        </w:rPr>
        <w:t>d</w:t>
      </w:r>
      <w:r w:rsidRPr="0066680A">
        <w:rPr>
          <w:color w:val="000000"/>
          <w:lang w:eastAsia="en-US"/>
        </w:rPr>
        <w:t xml:space="preserve"> with</w:t>
      </w:r>
      <w:r>
        <w:rPr>
          <w:lang w:eastAsia="en-US"/>
        </w:rPr>
        <w:t xml:space="preserve"> the commentary’s observation that a consistent effect in favour of TAVI+CEP was observed across all stroke outcomes. In terms of peri-procedural stroke and 30 day stroke, the incremental treatment effect in favour of TAVI+CEP was statistically significant and consistent, with a magnitude of treatment difference in favour of TAVI+CEP of 4-5%, meaning 20-25 patients would need to use dual-filter CEP device adjunct to the TAVI procedure to prevent one stroke event and 50–100 patients </w:t>
      </w:r>
      <w:r w:rsidRPr="00337B58">
        <w:t>would need to be using the CEP device adjunct to the TAVI procedure to prevent one disabling stroke</w:t>
      </w:r>
      <w:r>
        <w:t>.</w:t>
      </w:r>
    </w:p>
    <w:p w14:paraId="7F90BF2B" w14:textId="1DD2DCC9" w:rsidR="00487EE3" w:rsidRDefault="00487EE3" w:rsidP="00487EE3">
      <w:pPr>
        <w:spacing w:before="240"/>
        <w:rPr>
          <w:lang w:eastAsia="en-US"/>
        </w:rPr>
      </w:pPr>
      <w:r>
        <w:t>ESC noted that that the economic evaluation was based on 30-day stroke outcomes and queried the relevance of this outcome as the CEP device is remove</w:t>
      </w:r>
      <w:r w:rsidR="00F87E08">
        <w:t>d following the TAVI procedure.</w:t>
      </w:r>
    </w:p>
    <w:p w14:paraId="6F02CD7A" w14:textId="1800F7FE" w:rsidR="00487EE3" w:rsidRDefault="00487EE3" w:rsidP="00487EE3">
      <w:pPr>
        <w:spacing w:before="240"/>
        <w:rPr>
          <w:lang w:eastAsia="en-US"/>
        </w:rPr>
      </w:pPr>
      <w:r>
        <w:rPr>
          <w:lang w:eastAsia="en-US"/>
        </w:rPr>
        <w:t>ESC noted that t</w:t>
      </w:r>
      <w:r w:rsidRPr="00E66124">
        <w:rPr>
          <w:lang w:eastAsia="en-US"/>
        </w:rPr>
        <w:t xml:space="preserve">he economic modelling demonstrates </w:t>
      </w:r>
      <w:r>
        <w:rPr>
          <w:lang w:eastAsia="en-US"/>
        </w:rPr>
        <w:t>that</w:t>
      </w:r>
      <w:r w:rsidRPr="00E66124">
        <w:rPr>
          <w:lang w:eastAsia="en-US"/>
        </w:rPr>
        <w:t xml:space="preserve"> us</w:t>
      </w:r>
      <w:r>
        <w:rPr>
          <w:lang w:eastAsia="en-US"/>
        </w:rPr>
        <w:t>ing</w:t>
      </w:r>
      <w:r w:rsidRPr="00E66124">
        <w:rPr>
          <w:lang w:eastAsia="en-US"/>
        </w:rPr>
        <w:t xml:space="preserve"> a dual-filter CEP device is cost-effective for both intermediate (</w:t>
      </w:r>
      <w:r w:rsidRPr="00324DD5">
        <w:rPr>
          <w:lang w:eastAsia="en-US"/>
        </w:rPr>
        <w:t>ICER: $</w:t>
      </w:r>
      <w:r w:rsidR="00B22D04" w:rsidRPr="00324DD5">
        <w:rPr>
          <w:b/>
          <w:lang w:eastAsia="en-US"/>
        </w:rPr>
        <w:t>redacted</w:t>
      </w:r>
      <w:r w:rsidRPr="00324DD5">
        <w:rPr>
          <w:lang w:eastAsia="en-US"/>
        </w:rPr>
        <w:t>/quality-adjusted life year [QALY]) and high risk/inoperable (ICER: $</w:t>
      </w:r>
      <w:r w:rsidR="00B22D04" w:rsidRPr="00324DD5">
        <w:rPr>
          <w:b/>
          <w:lang w:eastAsia="en-US"/>
        </w:rPr>
        <w:t>redacted</w:t>
      </w:r>
      <w:r w:rsidRPr="00324DD5">
        <w:rPr>
          <w:lang w:eastAsia="en-US"/>
        </w:rPr>
        <w:t>/QALY) patients. ESC noted that ICERs differed between the high risk/inoperable and the intermediate</w:t>
      </w:r>
      <w:r>
        <w:rPr>
          <w:lang w:eastAsia="en-US"/>
        </w:rPr>
        <w:t xml:space="preserve"> risk populations. This was mostly due to the assumption that the intermediate risk population has the same long-term mortality risk as the general population. The high risk/inoperable population were assumed to have a 1.9 times higher risk of death. ESC noted that the</w:t>
      </w:r>
      <w:r w:rsidRPr="00E66124">
        <w:rPr>
          <w:lang w:eastAsia="en-US"/>
        </w:rPr>
        <w:t xml:space="preserve"> results are sensitive to model inputs and </w:t>
      </w:r>
      <w:r>
        <w:rPr>
          <w:lang w:eastAsia="en-US"/>
        </w:rPr>
        <w:t xml:space="preserve">that </w:t>
      </w:r>
      <w:r w:rsidRPr="00E66124">
        <w:rPr>
          <w:lang w:eastAsia="en-US"/>
        </w:rPr>
        <w:t>the model generally is in favour of the intervention</w:t>
      </w:r>
      <w:r>
        <w:rPr>
          <w:lang w:eastAsia="en-US"/>
        </w:rPr>
        <w:t xml:space="preserve">, but </w:t>
      </w:r>
      <w:r w:rsidRPr="00E66124">
        <w:rPr>
          <w:lang w:eastAsia="en-US"/>
        </w:rPr>
        <w:t>the (one-way) sensitivity analysis also demonstrate</w:t>
      </w:r>
      <w:r>
        <w:rPr>
          <w:lang w:eastAsia="en-US"/>
        </w:rPr>
        <w:t>d</w:t>
      </w:r>
      <w:r w:rsidRPr="00E66124">
        <w:rPr>
          <w:lang w:eastAsia="en-US"/>
        </w:rPr>
        <w:t xml:space="preserve"> </w:t>
      </w:r>
      <w:r>
        <w:rPr>
          <w:lang w:eastAsia="en-US"/>
        </w:rPr>
        <w:t xml:space="preserve">that </w:t>
      </w:r>
      <w:r w:rsidRPr="00E66124">
        <w:rPr>
          <w:lang w:eastAsia="en-US"/>
        </w:rPr>
        <w:t xml:space="preserve">the </w:t>
      </w:r>
      <w:r>
        <w:rPr>
          <w:lang w:eastAsia="en-US"/>
        </w:rPr>
        <w:t>incremental cost-effectiveness ratios (</w:t>
      </w:r>
      <w:r w:rsidRPr="00E66124">
        <w:rPr>
          <w:lang w:eastAsia="en-US"/>
        </w:rPr>
        <w:t>ICERs</w:t>
      </w:r>
      <w:r>
        <w:rPr>
          <w:lang w:eastAsia="en-US"/>
        </w:rPr>
        <w:t>)</w:t>
      </w:r>
      <w:r w:rsidRPr="00E66124">
        <w:rPr>
          <w:lang w:eastAsia="en-US"/>
        </w:rPr>
        <w:t xml:space="preserve"> </w:t>
      </w:r>
      <w:r>
        <w:rPr>
          <w:lang w:eastAsia="en-US"/>
        </w:rPr>
        <w:t>did</w:t>
      </w:r>
      <w:r w:rsidRPr="00E66124">
        <w:rPr>
          <w:lang w:eastAsia="en-US"/>
        </w:rPr>
        <w:t xml:space="preserve"> not exceed the $50,000/QALY threshold</w:t>
      </w:r>
      <w:r w:rsidRPr="009A3E3E">
        <w:t xml:space="preserve"> </w:t>
      </w:r>
      <w:r w:rsidRPr="009A3E3E">
        <w:rPr>
          <w:lang w:eastAsia="en-US"/>
        </w:rPr>
        <w:t>in any of the one-way sensitivity analyses</w:t>
      </w:r>
      <w:r w:rsidRPr="00E66124">
        <w:rPr>
          <w:lang w:eastAsia="en-US"/>
        </w:rPr>
        <w:t>.</w:t>
      </w:r>
      <w:r>
        <w:rPr>
          <w:lang w:eastAsia="en-US"/>
        </w:rPr>
        <w:t xml:space="preserve"> ESC considered there was uncertainty in the extrapolation of 30-day outcomes over the lifetime horizon in the model and noted that the assumption that there was no increased risk of recurrent stroke was conservative. ESC noted that there may be uncertainty in the baseline risk of stroke in patients undergoing TAVI and noted that application 1361.2 modelled a different rate of stroke [see </w:t>
      </w:r>
      <w:r>
        <w:rPr>
          <w:lang w:eastAsia="en-US"/>
        </w:rPr>
        <w:fldChar w:fldCharType="begin"/>
      </w:r>
      <w:r>
        <w:rPr>
          <w:lang w:eastAsia="en-US"/>
        </w:rPr>
        <w:instrText xml:space="preserve"> REF _Ref58332634 \h </w:instrText>
      </w:r>
      <w:r>
        <w:rPr>
          <w:lang w:eastAsia="en-US"/>
        </w:rPr>
      </w:r>
      <w:r>
        <w:rPr>
          <w:lang w:eastAsia="en-US"/>
        </w:rPr>
        <w:fldChar w:fldCharType="separate"/>
      </w:r>
      <w:r w:rsidR="003E3A7D">
        <w:t xml:space="preserve">Table </w:t>
      </w:r>
      <w:r w:rsidR="003E3A7D">
        <w:rPr>
          <w:noProof/>
        </w:rPr>
        <w:t>10</w:t>
      </w:r>
      <w:r>
        <w:rPr>
          <w:lang w:eastAsia="en-US"/>
        </w:rPr>
        <w:fldChar w:fldCharType="end"/>
      </w:r>
      <w:r>
        <w:rPr>
          <w:lang w:eastAsia="en-US"/>
        </w:rPr>
        <w:t>].</w:t>
      </w:r>
    </w:p>
    <w:p w14:paraId="5991C112" w14:textId="3084D98E" w:rsidR="00487EE3" w:rsidRDefault="00487EE3" w:rsidP="00487EE3">
      <w:pPr>
        <w:spacing w:before="240"/>
        <w:rPr>
          <w:lang w:eastAsia="en-US"/>
        </w:rPr>
      </w:pPr>
      <w:r>
        <w:rPr>
          <w:lang w:eastAsia="en-US"/>
        </w:rPr>
        <w:t>However, ESC noted that for the high/risk inoperable population, the ICER for TAVI+CEP exceeded the $50,000/QALY threshold if model inputs for stroke utility values from previously MSAC-accepted applications were used (TAVI high/inoperable risk; 1361.2) [</w:t>
      </w:r>
      <w:r>
        <w:rPr>
          <w:lang w:eastAsia="en-US"/>
        </w:rPr>
        <w:fldChar w:fldCharType="begin"/>
      </w:r>
      <w:r>
        <w:rPr>
          <w:lang w:eastAsia="en-US"/>
        </w:rPr>
        <w:instrText xml:space="preserve"> REF _Ref58332634 \h </w:instrText>
      </w:r>
      <w:r>
        <w:rPr>
          <w:lang w:eastAsia="en-US"/>
        </w:rPr>
      </w:r>
      <w:r>
        <w:rPr>
          <w:lang w:eastAsia="en-US"/>
        </w:rPr>
        <w:fldChar w:fldCharType="separate"/>
      </w:r>
      <w:r w:rsidR="003E3A7D">
        <w:t xml:space="preserve">Table </w:t>
      </w:r>
      <w:r w:rsidR="003E3A7D">
        <w:rPr>
          <w:noProof/>
        </w:rPr>
        <w:t>10</w:t>
      </w:r>
      <w:r>
        <w:rPr>
          <w:lang w:eastAsia="en-US"/>
        </w:rPr>
        <w:fldChar w:fldCharType="end"/>
      </w:r>
      <w:r>
        <w:rPr>
          <w:lang w:eastAsia="en-US"/>
        </w:rPr>
        <w:t xml:space="preserve">]. </w:t>
      </w:r>
      <w:r w:rsidRPr="00961AE1">
        <w:rPr>
          <w:lang w:eastAsia="en-US"/>
        </w:rPr>
        <w:t xml:space="preserve">ESC advised that it may be reasonable for </w:t>
      </w:r>
      <w:r>
        <w:rPr>
          <w:lang w:eastAsia="en-US"/>
        </w:rPr>
        <w:t>MSAC to consider these confidential results when assessing the cost-effectiveness of</w:t>
      </w:r>
      <w:r w:rsidRPr="00961AE1">
        <w:rPr>
          <w:lang w:eastAsia="en-US"/>
        </w:rPr>
        <w:t xml:space="preserve"> TAV</w:t>
      </w:r>
      <w:r>
        <w:rPr>
          <w:lang w:eastAsia="en-US"/>
        </w:rPr>
        <w:t>I+CEP</w:t>
      </w:r>
      <w:r w:rsidRPr="00961AE1">
        <w:rPr>
          <w:lang w:eastAsia="en-US"/>
        </w:rPr>
        <w:t>.</w:t>
      </w:r>
    </w:p>
    <w:p w14:paraId="47A8C434" w14:textId="096302A4" w:rsidR="00487EE3" w:rsidRDefault="00487EE3" w:rsidP="00487EE3">
      <w:pPr>
        <w:spacing w:before="240"/>
        <w:rPr>
          <w:lang w:eastAsia="en-US"/>
        </w:rPr>
      </w:pPr>
      <w:r>
        <w:rPr>
          <w:lang w:eastAsia="en-US"/>
        </w:rPr>
        <w:t xml:space="preserve">ESC noted the ADARs proposed benefit </w:t>
      </w:r>
      <w:r w:rsidRPr="00324DD5">
        <w:rPr>
          <w:lang w:eastAsia="en-US"/>
        </w:rPr>
        <w:t>of $</w:t>
      </w:r>
      <w:r w:rsidR="00B22D04" w:rsidRPr="00324DD5">
        <w:rPr>
          <w:b/>
          <w:lang w:eastAsia="en-US"/>
        </w:rPr>
        <w:t>redacted</w:t>
      </w:r>
      <w:r w:rsidR="00B22D04" w:rsidRPr="00324DD5">
        <w:rPr>
          <w:lang w:eastAsia="en-US"/>
        </w:rPr>
        <w:t xml:space="preserve"> </w:t>
      </w:r>
      <w:r w:rsidRPr="00324DD5">
        <w:rPr>
          <w:lang w:eastAsia="en-US"/>
        </w:rPr>
        <w:t>for CEP</w:t>
      </w:r>
      <w:r w:rsidRPr="00E66124">
        <w:rPr>
          <w:lang w:eastAsia="en-US"/>
        </w:rPr>
        <w:t xml:space="preserve"> </w:t>
      </w:r>
      <w:r>
        <w:rPr>
          <w:lang w:eastAsia="en-US"/>
        </w:rPr>
        <w:t xml:space="preserve">(which </w:t>
      </w:r>
      <w:r w:rsidRPr="00E66124">
        <w:rPr>
          <w:lang w:eastAsia="en-US"/>
        </w:rPr>
        <w:t xml:space="preserve">reflects </w:t>
      </w:r>
      <w:r>
        <w:rPr>
          <w:lang w:eastAsia="en-US"/>
        </w:rPr>
        <w:t xml:space="preserve">the </w:t>
      </w:r>
      <w:r w:rsidRPr="00E66124">
        <w:rPr>
          <w:lang w:eastAsia="en-US"/>
        </w:rPr>
        <w:t>current sales price of the CEP device</w:t>
      </w:r>
      <w:r>
        <w:rPr>
          <w:lang w:eastAsia="en-US"/>
        </w:rPr>
        <w:t xml:space="preserve"> but is greater than the benefit of $1,995 on the Prostheses List) but questioned whether this</w:t>
      </w:r>
      <w:r w:rsidRPr="00E66124">
        <w:rPr>
          <w:lang w:eastAsia="en-US"/>
        </w:rPr>
        <w:t xml:space="preserve"> higher premium</w:t>
      </w:r>
      <w:r>
        <w:rPr>
          <w:lang w:eastAsia="en-US"/>
        </w:rPr>
        <w:t xml:space="preserve"> is</w:t>
      </w:r>
      <w:r w:rsidRPr="00E66124">
        <w:rPr>
          <w:lang w:eastAsia="en-US"/>
        </w:rPr>
        <w:t xml:space="preserve"> justified</w:t>
      </w:r>
      <w:r>
        <w:rPr>
          <w:lang w:eastAsia="en-US"/>
        </w:rPr>
        <w:t xml:space="preserve"> in light of the bias towards the intervention in the modelling.</w:t>
      </w:r>
    </w:p>
    <w:p w14:paraId="307BD19D" w14:textId="394D3D1B" w:rsidR="00487EE3" w:rsidRDefault="00487EE3" w:rsidP="00487EE3">
      <w:pPr>
        <w:spacing w:before="240"/>
        <w:rPr>
          <w:lang w:eastAsia="en-US"/>
        </w:rPr>
      </w:pPr>
      <w:r>
        <w:rPr>
          <w:lang w:eastAsia="en-US"/>
        </w:rPr>
        <w:t xml:space="preserve">ESC noted that the financial implications are uncertain because of uncertainty around usage. ESC agreed with the pre-ESC response (p2) that it was unlikely that 94.7% of TAVI patients would be suitable for CEP as this figure did not account for a larger number of patients been screened and deemed unsuitable for CEP before randomisation in the SENTINEL RCT.  ESC also noted that applications for TAVI in the intermediate and low surgical risk populations may increase the population undergoing TAVI and the eligible population for CEP. ESC noted that recent MBS data have shown that the actual use of TAVI is greater than the </w:t>
      </w:r>
      <w:r w:rsidRPr="002D76E9">
        <w:rPr>
          <w:lang w:eastAsia="en-US"/>
        </w:rPr>
        <w:t>predicted</w:t>
      </w:r>
      <w:r>
        <w:rPr>
          <w:lang w:eastAsia="en-US"/>
        </w:rPr>
        <w:t xml:space="preserve"> usage and that the likely utilisation of TAVI in the intermediate risk population was uncertain (refer to </w:t>
      </w:r>
      <w:r w:rsidRPr="00487EE3">
        <w:fldChar w:fldCharType="begin"/>
      </w:r>
      <w:r w:rsidRPr="00487EE3">
        <w:instrText xml:space="preserve"> REF _Ref50638186 \h </w:instrText>
      </w:r>
      <w:r>
        <w:instrText xml:space="preserve"> \* MERGEFORMAT </w:instrText>
      </w:r>
      <w:r w:rsidRPr="00487EE3">
        <w:fldChar w:fldCharType="separate"/>
      </w:r>
      <w:r w:rsidR="003E3A7D" w:rsidRPr="003E3A7D">
        <w:t>Table 13</w:t>
      </w:r>
      <w:r w:rsidRPr="00487EE3">
        <w:fldChar w:fldCharType="end"/>
      </w:r>
      <w:r>
        <w:rPr>
          <w:lang w:eastAsia="en-US"/>
        </w:rPr>
        <w:t>). ESC also noted that, over time, as the technology improves and the device diameter gets smaller, utilisation rates will increase because more patients will be suitabl</w:t>
      </w:r>
      <w:r w:rsidR="00F87E08">
        <w:rPr>
          <w:lang w:eastAsia="en-US"/>
        </w:rPr>
        <w:t>e for the procedure.</w:t>
      </w:r>
    </w:p>
    <w:p w14:paraId="0389541F" w14:textId="0B5A5733" w:rsidR="00487EE3" w:rsidRPr="00566F8E" w:rsidRDefault="00487EE3" w:rsidP="00566F8E">
      <w:pPr>
        <w:spacing w:before="240"/>
      </w:pPr>
      <w:r>
        <w:rPr>
          <w:lang w:eastAsia="en-US"/>
        </w:rPr>
        <w:t xml:space="preserve">ESC noted </w:t>
      </w:r>
      <w:r w:rsidRPr="00E52FEE">
        <w:rPr>
          <w:lang w:eastAsia="en-US"/>
        </w:rPr>
        <w:t xml:space="preserve">an ongoing RCT, PROTECTED TAVR, </w:t>
      </w:r>
      <w:r>
        <w:rPr>
          <w:lang w:eastAsia="en-US"/>
        </w:rPr>
        <w:t xml:space="preserve">which is </w:t>
      </w:r>
      <w:r w:rsidRPr="00BE606C">
        <w:rPr>
          <w:rStyle w:val="normaltextrun"/>
          <w:iCs/>
          <w:color w:val="000000"/>
          <w:shd w:val="clear" w:color="auto" w:fill="FFFFFF"/>
        </w:rPr>
        <w:t>comparing TAVI+CEP and TAVI alone in</w:t>
      </w:r>
      <w:r>
        <w:rPr>
          <w:rStyle w:val="normaltextrun"/>
          <w:iCs/>
          <w:color w:val="000000"/>
          <w:shd w:val="clear" w:color="auto" w:fill="FFFFFF"/>
        </w:rPr>
        <w:t xml:space="preserve"> patients with aortic stenosis (n=</w:t>
      </w:r>
      <w:r w:rsidRPr="00BE606C">
        <w:rPr>
          <w:rStyle w:val="normaltextrun"/>
          <w:iCs/>
          <w:color w:val="000000"/>
          <w:shd w:val="clear" w:color="auto" w:fill="FFFFFF"/>
        </w:rPr>
        <w:t>3</w:t>
      </w:r>
      <w:r>
        <w:rPr>
          <w:rStyle w:val="normaltextrun"/>
          <w:iCs/>
          <w:color w:val="000000"/>
          <w:shd w:val="clear" w:color="auto" w:fill="FFFFFF"/>
        </w:rPr>
        <w:t>,</w:t>
      </w:r>
      <w:r w:rsidRPr="00BE606C">
        <w:rPr>
          <w:rStyle w:val="normaltextrun"/>
          <w:iCs/>
          <w:color w:val="000000"/>
          <w:shd w:val="clear" w:color="auto" w:fill="FFFFFF"/>
        </w:rPr>
        <w:t>000</w:t>
      </w:r>
      <w:r>
        <w:rPr>
          <w:rStyle w:val="normaltextrun"/>
          <w:iCs/>
          <w:color w:val="000000"/>
          <w:shd w:val="clear" w:color="auto" w:fill="FFFFFF"/>
        </w:rPr>
        <w:t>)</w:t>
      </w:r>
      <w:r w:rsidRPr="00BE606C">
        <w:rPr>
          <w:rStyle w:val="normaltextrun"/>
          <w:iCs/>
          <w:color w:val="000000"/>
          <w:shd w:val="clear" w:color="auto" w:fill="FFFFFF"/>
        </w:rPr>
        <w:t>. The primary endpoint in this study is stroke at 72 hours.</w:t>
      </w:r>
      <w:r>
        <w:rPr>
          <w:lang w:eastAsia="en-US"/>
        </w:rPr>
        <w:t xml:space="preserve"> ESC considered that t</w:t>
      </w:r>
      <w:r w:rsidRPr="00E52FEE">
        <w:rPr>
          <w:lang w:eastAsia="en-US"/>
        </w:rPr>
        <w:t>his would significantly improve the evidence base (</w:t>
      </w:r>
      <w:r>
        <w:rPr>
          <w:lang w:eastAsia="en-US"/>
        </w:rPr>
        <w:t>which is currently</w:t>
      </w:r>
      <w:r w:rsidRPr="00E52FEE">
        <w:rPr>
          <w:lang w:eastAsia="en-US"/>
        </w:rPr>
        <w:t xml:space="preserve"> 300 patients in </w:t>
      </w:r>
      <w:r>
        <w:rPr>
          <w:lang w:eastAsia="en-US"/>
        </w:rPr>
        <w:t>three</w:t>
      </w:r>
      <w:r w:rsidRPr="00E52FEE">
        <w:rPr>
          <w:lang w:eastAsia="en-US"/>
        </w:rPr>
        <w:t xml:space="preserve"> small RCTs). </w:t>
      </w:r>
      <w:r>
        <w:rPr>
          <w:lang w:eastAsia="en-US"/>
        </w:rPr>
        <w:t>ESC noted that the e</w:t>
      </w:r>
      <w:r w:rsidRPr="00E52FEE">
        <w:rPr>
          <w:lang w:eastAsia="en-US"/>
        </w:rPr>
        <w:t xml:space="preserve">stimated completion is July 2022, but </w:t>
      </w:r>
      <w:r>
        <w:rPr>
          <w:lang w:eastAsia="en-US"/>
        </w:rPr>
        <w:t xml:space="preserve">that </w:t>
      </w:r>
      <w:r w:rsidRPr="00E52FEE">
        <w:rPr>
          <w:lang w:eastAsia="en-US"/>
        </w:rPr>
        <w:t>the results are delayed</w:t>
      </w:r>
      <w:r>
        <w:rPr>
          <w:lang w:eastAsia="en-US"/>
        </w:rPr>
        <w:t xml:space="preserve"> due to COVID-19</w:t>
      </w:r>
      <w:r w:rsidRPr="00E52FEE">
        <w:rPr>
          <w:lang w:eastAsia="en-US"/>
        </w:rPr>
        <w:t>.</w:t>
      </w:r>
    </w:p>
    <w:p w14:paraId="44129A59" w14:textId="77777777" w:rsidR="00D90A38" w:rsidRPr="00F715D1" w:rsidRDefault="00BC1364" w:rsidP="00F715D1">
      <w:pPr>
        <w:pStyle w:val="Heading1"/>
      </w:pPr>
      <w:r w:rsidRPr="00F715D1">
        <w:t>Other significant factors</w:t>
      </w:r>
    </w:p>
    <w:p w14:paraId="18B82AB7" w14:textId="6E4D14A2" w:rsidR="00BC1364" w:rsidRPr="001B58B1" w:rsidRDefault="00F87E08" w:rsidP="00F715D1">
      <w:pPr>
        <w:spacing w:after="240"/>
        <w:rPr>
          <w:szCs w:val="24"/>
        </w:rPr>
      </w:pPr>
      <w:r>
        <w:rPr>
          <w:szCs w:val="24"/>
        </w:rPr>
        <w:t>Nil.</w:t>
      </w:r>
    </w:p>
    <w:p w14:paraId="6C4B74E9"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25D104F5" w14:textId="6C0241A5" w:rsidR="00BC1364" w:rsidRPr="00324DD5" w:rsidRDefault="007F2105" w:rsidP="007F2105">
      <w:pPr>
        <w:spacing w:before="240"/>
        <w:rPr>
          <w:rStyle w:val="normaltextrun"/>
          <w:iCs/>
          <w:color w:val="000000"/>
          <w:shd w:val="clear" w:color="auto" w:fill="FFFFFF"/>
        </w:rPr>
      </w:pPr>
      <w:r w:rsidRPr="00324DD5">
        <w:rPr>
          <w:rStyle w:val="normaltextrun"/>
          <w:iCs/>
          <w:color w:val="000000"/>
          <w:shd w:val="clear" w:color="auto" w:fill="FFFFFF"/>
        </w:rPr>
        <w:t xml:space="preserve">The Applicant is pleased with the MSAC’s decision to recommend the creation of a new MBS item for a dual-filter CEP device, during TAVI in patients with symptomatic severe aortic stenosis who meet MBS eligibility criteria for TAVI (high risk/inoperable and intermediate risk for surgery). </w:t>
      </w:r>
    </w:p>
    <w:p w14:paraId="5EB7FDA6" w14:textId="77777777" w:rsidR="00BC1364" w:rsidRPr="00324DD5" w:rsidRDefault="00271F18" w:rsidP="00F715D1">
      <w:pPr>
        <w:pStyle w:val="Heading1"/>
      </w:pPr>
      <w:r w:rsidRPr="00324DD5">
        <w:t>Further information on MSAC</w:t>
      </w:r>
    </w:p>
    <w:p w14:paraId="538AB08E"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8"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9"/>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6009D3" w16cid:durableId="23C527FC"/>
  <w16cid:commentId w16cid:paraId="5BAC6F44" w16cid:durableId="23C527E0"/>
  <w16cid:commentId w16cid:paraId="1FE2BB7F" w16cid:durableId="23C528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D228C" w14:textId="77777777" w:rsidR="002D2859" w:rsidRDefault="002D2859" w:rsidP="00065623">
      <w:r>
        <w:separator/>
      </w:r>
    </w:p>
  </w:endnote>
  <w:endnote w:type="continuationSeparator" w:id="0">
    <w:p w14:paraId="0C38875C" w14:textId="77777777" w:rsidR="002D2859" w:rsidRDefault="002D2859"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713A5D98" w14:textId="377AE575" w:rsidR="002D2859" w:rsidRDefault="002D2859">
        <w:pPr>
          <w:pStyle w:val="Footer"/>
          <w:jc w:val="right"/>
        </w:pPr>
        <w:r>
          <w:fldChar w:fldCharType="begin"/>
        </w:r>
        <w:r>
          <w:instrText xml:space="preserve"> PAGE   \* MERGEFORMAT </w:instrText>
        </w:r>
        <w:r>
          <w:fldChar w:fldCharType="separate"/>
        </w:r>
        <w:r w:rsidR="00D2720D">
          <w:rPr>
            <w:noProof/>
          </w:rPr>
          <w:t>19</w:t>
        </w:r>
        <w:r>
          <w:rPr>
            <w:noProof/>
          </w:rPr>
          <w:fldChar w:fldCharType="end"/>
        </w:r>
      </w:p>
    </w:sdtContent>
  </w:sdt>
  <w:p w14:paraId="67257166" w14:textId="77777777" w:rsidR="002D2859" w:rsidRDefault="002D2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618F5" w14:textId="77777777" w:rsidR="002D2859" w:rsidRDefault="002D2859" w:rsidP="00065623">
      <w:r>
        <w:separator/>
      </w:r>
    </w:p>
  </w:footnote>
  <w:footnote w:type="continuationSeparator" w:id="0">
    <w:p w14:paraId="434A553E" w14:textId="77777777" w:rsidR="002D2859" w:rsidRDefault="002D2859" w:rsidP="00065623">
      <w:r>
        <w:continuationSeparator/>
      </w:r>
    </w:p>
  </w:footnote>
  <w:footnote w:id="1">
    <w:p w14:paraId="0B03657D" w14:textId="77777777" w:rsidR="002D2859" w:rsidRDefault="002D2859" w:rsidP="00466733">
      <w:pPr>
        <w:pStyle w:val="FootnoteText"/>
      </w:pPr>
      <w:r>
        <w:rPr>
          <w:rStyle w:val="FootnoteReference"/>
        </w:rPr>
        <w:footnoteRef/>
      </w:r>
      <w:r>
        <w:t xml:space="preserve"> </w:t>
      </w:r>
      <w:r w:rsidRPr="00DD5050">
        <w:t>Kapadia, SR, Kodali, S, Makkar, R, Mehran, R, Lazar, RM, Zivadinov, R, Dwyer, MG, Jilaihawi, H, Virmani, R, Anwaruddin, S &amp; Thourani, VH 2017, Protection against cerebral embolism during transcatheter aortic valve replacement, Journal of the American College of Cardiology,vol. 69, no. 4, pp.367-377</w:t>
      </w:r>
    </w:p>
  </w:footnote>
  <w:footnote w:id="2">
    <w:p w14:paraId="1C59358B" w14:textId="77777777" w:rsidR="002D2859" w:rsidRDefault="002D2859" w:rsidP="00466733">
      <w:pPr>
        <w:pStyle w:val="FootnoteText"/>
      </w:pPr>
      <w:r>
        <w:rPr>
          <w:rStyle w:val="FootnoteReference"/>
        </w:rPr>
        <w:footnoteRef/>
      </w:r>
      <w:r>
        <w:t xml:space="preserve"> </w:t>
      </w:r>
      <w:r w:rsidRPr="00DD5050">
        <w:t>Haussig, S, Mangner, N, Dwyer, MG, Lehmkuhl, L, Lücke, C, Woitek, F, Holzhey, DM, Mohr, FW, Gutberlet, M, Zivadinov, R &amp; Schuler, G 2016, Effect of a cerebral protection device on brain lesions following transcatheter aortic valve implantation in patients with severe aortic stenosis: the CLEAN-TAVI randomized clinical trial, Jama, vol. 316, no.6, pp.592-601.</w:t>
      </w:r>
    </w:p>
  </w:footnote>
  <w:footnote w:id="3">
    <w:p w14:paraId="2567D3C3" w14:textId="77777777" w:rsidR="002D2859" w:rsidRDefault="002D2859" w:rsidP="00466733">
      <w:pPr>
        <w:pStyle w:val="FootnoteText"/>
      </w:pPr>
      <w:r>
        <w:rPr>
          <w:rStyle w:val="FootnoteReference"/>
        </w:rPr>
        <w:footnoteRef/>
      </w:r>
      <w:r>
        <w:t xml:space="preserve"> </w:t>
      </w:r>
      <w:r w:rsidRPr="00DD5050">
        <w:t>Van Mieghem, NM, Schipper, ME, Ladich, E, Faqiri, E, Van Der Boon, R, Randjgari, A, Schultz, C, Moelker, A, van Geuns, RJ, Otsuka, F &amp; Serruys, PW 2013, Histopathology of embolic debris captured during transcatheter aortic valve replacement, Circulation, vol. 127, no. 22, pp.2194-2201.</w:t>
      </w:r>
    </w:p>
  </w:footnote>
  <w:footnote w:id="4">
    <w:p w14:paraId="1B33B782" w14:textId="77777777" w:rsidR="002D2859" w:rsidRDefault="002D2859" w:rsidP="00466733">
      <w:pPr>
        <w:pStyle w:val="FootnoteText"/>
      </w:pPr>
      <w:r>
        <w:rPr>
          <w:rStyle w:val="FootnoteReference"/>
        </w:rPr>
        <w:footnoteRef/>
      </w:r>
      <w:r>
        <w:t xml:space="preserve"> </w:t>
      </w:r>
      <w:r w:rsidRPr="00DD5050">
        <w:t>Seeger, J, Gonska, B, Otto, M, Rottbauer, W &amp; Wöhrle, J 2017, Cerebral embolic protection during transcatheter aortic valve replacement significantly reduces death and stroke compared with unprotected procedures, JACC: Cardiovascular Interventions, vol. 10, no. 22, pp.2297-2303.</w:t>
      </w:r>
    </w:p>
  </w:footnote>
  <w:footnote w:id="5">
    <w:p w14:paraId="2A13BDA3" w14:textId="77777777" w:rsidR="002D2859" w:rsidRDefault="002D2859" w:rsidP="00466733">
      <w:pPr>
        <w:pStyle w:val="FootnoteText"/>
      </w:pPr>
      <w:r>
        <w:rPr>
          <w:rStyle w:val="FootnoteReference"/>
        </w:rPr>
        <w:footnoteRef/>
      </w:r>
      <w:r>
        <w:t xml:space="preserve"> </w:t>
      </w:r>
      <w:r w:rsidRPr="00DD5050">
        <w:t>Kroon, H, van der Werf, H, Hoeks, S, van Gils, L, van den Berge, F, El Faquir, N, Rahhab, Z, Daemen, J, Poelman, J, Schurer, R &amp; van den Heuvel, A 2019, Early Clinical Impact of Cerebral Embolic Protection in Patients Undergoing Transcatheter Aortic Valve Replacement: A Two-Center Registry in the Netherlands, Circulation: Cardiovascular Interventions, vol. 12, no. 6, e007605</w:t>
      </w:r>
    </w:p>
  </w:footnote>
  <w:footnote w:id="6">
    <w:p w14:paraId="525ECDA9" w14:textId="77777777" w:rsidR="002D2859" w:rsidRDefault="002D2859" w:rsidP="00466733">
      <w:pPr>
        <w:pStyle w:val="FootnoteText"/>
      </w:pPr>
      <w:r>
        <w:rPr>
          <w:rStyle w:val="FootnoteReference"/>
        </w:rPr>
        <w:footnoteRef/>
      </w:r>
      <w:r>
        <w:t xml:space="preserve"> </w:t>
      </w:r>
      <w:r w:rsidRPr="00DD5050">
        <w:t>Seeger, J, Kapadia, SR, Kodali, S, Linke, A, Wöhrle, J, Haussig, S, Makkar, R, Mehran, R, Rottbauer, W &amp; Leon, M 2019, Rate of peri-procedural stroke observed with cerebral embolic protection during transcatheter aortic valve replacement: a patient-level propensity-matched analysis, European heart journal, vol. 40, no. 17, pp.1334-1340</w:t>
      </w:r>
    </w:p>
  </w:footnote>
  <w:footnote w:id="7">
    <w:p w14:paraId="1A04B61F" w14:textId="77777777" w:rsidR="002D2859" w:rsidRDefault="002D2859" w:rsidP="00466733">
      <w:pPr>
        <w:pStyle w:val="FootnoteText"/>
      </w:pPr>
      <w:r>
        <w:rPr>
          <w:rStyle w:val="FootnoteReference"/>
        </w:rPr>
        <w:footnoteRef/>
      </w:r>
      <w:r>
        <w:t xml:space="preserve"> </w:t>
      </w:r>
      <w:r w:rsidRPr="002356B6">
        <w:t>Boston Scientific Corporation. Stroke PROTECTion With SEntinel During Transcatheter Aortic Valve Replacement (PROTECTED TAVR)</w:t>
      </w:r>
      <w:r>
        <w:t xml:space="preserve">. </w:t>
      </w:r>
      <w:r w:rsidRPr="002356B6">
        <w:t>Available from: https://clinicaltrials.gov/ct2/show/NCT04149535. NLM identifier: NCT04149535.</w:t>
      </w:r>
    </w:p>
  </w:footnote>
  <w:footnote w:id="8">
    <w:p w14:paraId="0A04007B" w14:textId="77777777" w:rsidR="002D2859" w:rsidRDefault="002D2859" w:rsidP="007637F7">
      <w:pPr>
        <w:pStyle w:val="FootnoteText"/>
      </w:pPr>
      <w:r>
        <w:rPr>
          <w:rStyle w:val="FootnoteReference"/>
        </w:rPr>
        <w:footnoteRef/>
      </w:r>
      <w:r>
        <w:t xml:space="preserve"> </w:t>
      </w:r>
      <w:r w:rsidRPr="00AB0683">
        <w:t>Baron SJ, Thourani VH, Kodali S, et al. Effect of SAPIEN 3 Transcatheter Valve Implantation on Health Status in Patients With Severe Aortic Stenosis at Intermediate Surgical Risk: Results From the PARTNER S3i Trial. JACC Cardiovasc Interv. 2018;11(12):1188‐1198.</w:t>
      </w:r>
    </w:p>
  </w:footnote>
  <w:footnote w:id="9">
    <w:p w14:paraId="56931545" w14:textId="77777777" w:rsidR="002D2859" w:rsidRDefault="002D2859" w:rsidP="007637F7">
      <w:pPr>
        <w:pStyle w:val="FootnoteText"/>
      </w:pPr>
      <w:r>
        <w:rPr>
          <w:rStyle w:val="FootnoteReference"/>
        </w:rPr>
        <w:footnoteRef/>
      </w:r>
      <w:r>
        <w:t xml:space="preserve"> </w:t>
      </w:r>
      <w:r w:rsidRPr="00AB0683">
        <w:t>Reynolds MR, Magnuson EA, Wang K, Thourani VH, Williams M, Zajarias A, Rihal CS, Brown DL, Smith CR, Leon MB, Cohen DJ. Health-related quality of life after transcatheter or surgical aortic valve replacement in high-risk patients with severe aortic stenosis: results from the PARTNER (Placement of AoRTic TraNscathetER Valve) Trial (Cohort A). Journal of the American College of Cardiology. 2012 Aug 7;60(6):548-58.</w:t>
      </w:r>
    </w:p>
  </w:footnote>
  <w:footnote w:id="10">
    <w:p w14:paraId="63A3E6CF" w14:textId="77777777" w:rsidR="002D2859" w:rsidRDefault="002D2859" w:rsidP="007637F7">
      <w:pPr>
        <w:pStyle w:val="FootnoteText"/>
      </w:pPr>
      <w:r>
        <w:rPr>
          <w:rStyle w:val="FootnoteReference"/>
        </w:rPr>
        <w:footnoteRef/>
      </w:r>
      <w:r>
        <w:t xml:space="preserve"> </w:t>
      </w:r>
      <w:r w:rsidRPr="00AB0683">
        <w:t>Wu B, Kun L, Liu X, He B. Cost-effectiveness of different strategies for stroke prevention in patients with atrial fibrillation in a health resource-limited setting. Cardiovasc Drugs Ther. 2014;28(1):87‐98.</w:t>
      </w:r>
    </w:p>
  </w:footnote>
  <w:footnote w:id="11">
    <w:p w14:paraId="105D4B30" w14:textId="77777777" w:rsidR="002D2859" w:rsidRDefault="002D2859" w:rsidP="00E607DA">
      <w:pPr>
        <w:pStyle w:val="FootnoteText"/>
      </w:pPr>
      <w:r>
        <w:rPr>
          <w:rStyle w:val="FootnoteReference"/>
        </w:rPr>
        <w:footnoteRef/>
      </w:r>
      <w:r>
        <w:t xml:space="preserve"> </w:t>
      </w:r>
      <w:r w:rsidRPr="00E633BA">
        <w:t>Voss S, Schechtl J, Nöbauer C, Bleiziffer S, Lange R. Patient eligibility for application of a two-filter cerebral embolic protection device during transcatheter aortic valve implantation: does one size fit all?. Interact Cardiovasc Thorac Surg. 2020;30(4):605‐612.</w:t>
      </w:r>
    </w:p>
  </w:footnote>
  <w:footnote w:id="12">
    <w:p w14:paraId="661A282F" w14:textId="77777777" w:rsidR="002D2859" w:rsidRDefault="002D2859" w:rsidP="00E607DA">
      <w:pPr>
        <w:pStyle w:val="FootnoteText"/>
      </w:pPr>
      <w:r>
        <w:rPr>
          <w:rStyle w:val="FootnoteReference"/>
        </w:rPr>
        <w:footnoteRef/>
      </w:r>
      <w:r>
        <w:t xml:space="preserve"> </w:t>
      </w:r>
      <w:r w:rsidRPr="00E633BA">
        <w:t>Thourani VH, Suri RM, Gunter RL, Sheng S, O’Brien SM, Ailawadi G, Szeto WY, Dewey TM, Guyton RA, Bavaria JE, Babaliaros V. Contemporary real-world outcomes of surgical aortic valve replacement in 141,905 low-risk, intermediate-risk, and high-risk patients. The Annals of thoracic surgery. 2015 Jan 1;99(1):55-61.</w:t>
      </w:r>
    </w:p>
  </w:footnote>
  <w:footnote w:id="13">
    <w:p w14:paraId="14847250" w14:textId="77777777" w:rsidR="002D2859" w:rsidRDefault="002D2859" w:rsidP="00E607DA">
      <w:pPr>
        <w:pStyle w:val="FootnoteText"/>
      </w:pPr>
      <w:r>
        <w:rPr>
          <w:rStyle w:val="FootnoteReference"/>
        </w:rPr>
        <w:footnoteRef/>
      </w:r>
      <w:r>
        <w:t xml:space="preserve"> </w:t>
      </w:r>
      <w:r w:rsidRPr="00E633BA">
        <w:t>De Backer O, Luk NH, Olsen NT, Olsen PS, Søndergaard L. Choice of treatment for aortic valve stenosis in the era of transcatheter aortic valve replacement in Eastern Denmark (2005 to 2015). JACC: Cardiovascular Interventions. 2016 Jun 13;9(11):1152-8.</w:t>
      </w:r>
    </w:p>
  </w:footnote>
  <w:footnote w:id="14">
    <w:p w14:paraId="3A5E6796" w14:textId="77777777" w:rsidR="002D2859" w:rsidRDefault="002D2859" w:rsidP="00487EE3">
      <w:pPr>
        <w:pStyle w:val="FootnoteText"/>
      </w:pPr>
      <w:r>
        <w:rPr>
          <w:rStyle w:val="FootnoteReference"/>
        </w:rPr>
        <w:footnoteRef/>
      </w:r>
      <w:r>
        <w:t xml:space="preserve"> </w:t>
      </w:r>
      <w:r w:rsidRPr="002356B6">
        <w:t>Boston Scientific Corporation. Stroke PROTECTion With SEntinel During Transcatheter Aortic Valve Replacement (PROTECTED TAVR)</w:t>
      </w:r>
      <w:r>
        <w:t xml:space="preserve">. </w:t>
      </w:r>
      <w:r w:rsidRPr="002356B6">
        <w:t>Available from: https://clinicaltrials.gov/ct2/show/NCT04149535. NLM identifier: NCT04149535.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02C9"/>
    <w:multiLevelType w:val="hybridMultilevel"/>
    <w:tmpl w:val="2848CF6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3177A6E"/>
    <w:multiLevelType w:val="hybridMultilevel"/>
    <w:tmpl w:val="2C16CD44"/>
    <w:lvl w:ilvl="0" w:tplc="167E53AC">
      <w:numFmt w:val="bullet"/>
      <w:lvlText w:val="-"/>
      <w:lvlJc w:val="left"/>
      <w:pPr>
        <w:ind w:left="536" w:hanging="360"/>
      </w:pPr>
      <w:rPr>
        <w:rFonts w:ascii="Arial Narrow" w:eastAsia="Times New Roman" w:hAnsi="Arial Narrow" w:cs="Tahoma" w:hint="default"/>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6" w15:restartNumberingAfterBreak="0">
    <w:nsid w:val="158828F5"/>
    <w:multiLevelType w:val="hybridMultilevel"/>
    <w:tmpl w:val="CCB28314"/>
    <w:lvl w:ilvl="0" w:tplc="167E53AC">
      <w:numFmt w:val="bullet"/>
      <w:lvlText w:val="-"/>
      <w:lvlJc w:val="left"/>
      <w:pPr>
        <w:ind w:left="720" w:hanging="360"/>
      </w:pPr>
      <w:rPr>
        <w:rFonts w:ascii="Arial Narrow" w:eastAsia="Times New Roma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1B00FE"/>
    <w:multiLevelType w:val="hybridMultilevel"/>
    <w:tmpl w:val="5CBE6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C60BE9"/>
    <w:multiLevelType w:val="hybridMultilevel"/>
    <w:tmpl w:val="171E1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C1565B"/>
    <w:multiLevelType w:val="hybridMultilevel"/>
    <w:tmpl w:val="56768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4A1F71"/>
    <w:multiLevelType w:val="hybridMultilevel"/>
    <w:tmpl w:val="BD585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DF4E45"/>
    <w:multiLevelType w:val="hybridMultilevel"/>
    <w:tmpl w:val="CE6EE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E51F29"/>
    <w:multiLevelType w:val="hybridMultilevel"/>
    <w:tmpl w:val="62586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6E1B555A"/>
    <w:multiLevelType w:val="hybridMultilevel"/>
    <w:tmpl w:val="5C42E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2"/>
  </w:num>
  <w:num w:numId="4">
    <w:abstractNumId w:val="24"/>
  </w:num>
  <w:num w:numId="5">
    <w:abstractNumId w:val="16"/>
  </w:num>
  <w:num w:numId="6">
    <w:abstractNumId w:val="23"/>
  </w:num>
  <w:num w:numId="7">
    <w:abstractNumId w:val="27"/>
  </w:num>
  <w:num w:numId="8">
    <w:abstractNumId w:val="18"/>
  </w:num>
  <w:num w:numId="9">
    <w:abstractNumId w:val="34"/>
  </w:num>
  <w:num w:numId="10">
    <w:abstractNumId w:val="1"/>
  </w:num>
  <w:num w:numId="11">
    <w:abstractNumId w:val="26"/>
  </w:num>
  <w:num w:numId="12">
    <w:abstractNumId w:val="28"/>
  </w:num>
  <w:num w:numId="13">
    <w:abstractNumId w:val="7"/>
  </w:num>
  <w:num w:numId="14">
    <w:abstractNumId w:val="32"/>
  </w:num>
  <w:num w:numId="15">
    <w:abstractNumId w:val="25"/>
  </w:num>
  <w:num w:numId="16">
    <w:abstractNumId w:val="29"/>
  </w:num>
  <w:num w:numId="17">
    <w:abstractNumId w:val="19"/>
  </w:num>
  <w:num w:numId="18">
    <w:abstractNumId w:val="21"/>
  </w:num>
  <w:num w:numId="19">
    <w:abstractNumId w:val="31"/>
  </w:num>
  <w:num w:numId="20">
    <w:abstractNumId w:val="30"/>
  </w:num>
  <w:num w:numId="21">
    <w:abstractNumId w:val="4"/>
  </w:num>
  <w:num w:numId="22">
    <w:abstractNumId w:val="14"/>
  </w:num>
  <w:num w:numId="23">
    <w:abstractNumId w:val="3"/>
  </w:num>
  <w:num w:numId="24">
    <w:abstractNumId w:val="13"/>
  </w:num>
  <w:num w:numId="25">
    <w:abstractNumId w:val="8"/>
  </w:num>
  <w:num w:numId="26">
    <w:abstractNumId w:val="20"/>
  </w:num>
  <w:num w:numId="27">
    <w:abstractNumId w:val="33"/>
  </w:num>
  <w:num w:numId="28">
    <w:abstractNumId w:val="17"/>
  </w:num>
  <w:num w:numId="29">
    <w:abstractNumId w:val="10"/>
  </w:num>
  <w:num w:numId="30">
    <w:abstractNumId w:val="12"/>
  </w:num>
  <w:num w:numId="31">
    <w:abstractNumId w:val="0"/>
  </w:num>
  <w:num w:numId="32">
    <w:abstractNumId w:val="11"/>
  </w:num>
  <w:num w:numId="33">
    <w:abstractNumId w:val="15"/>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5471"/>
    <w:rsid w:val="00007312"/>
    <w:rsid w:val="00011A36"/>
    <w:rsid w:val="0001311B"/>
    <w:rsid w:val="000317F2"/>
    <w:rsid w:val="00034DF1"/>
    <w:rsid w:val="00047606"/>
    <w:rsid w:val="00065623"/>
    <w:rsid w:val="00072FC5"/>
    <w:rsid w:val="000756B9"/>
    <w:rsid w:val="00076174"/>
    <w:rsid w:val="00096B67"/>
    <w:rsid w:val="00096DAF"/>
    <w:rsid w:val="000C2F47"/>
    <w:rsid w:val="000C52AE"/>
    <w:rsid w:val="000D2B9A"/>
    <w:rsid w:val="000D529C"/>
    <w:rsid w:val="000D6C00"/>
    <w:rsid w:val="000E4E04"/>
    <w:rsid w:val="000F14B4"/>
    <w:rsid w:val="000F2847"/>
    <w:rsid w:val="000F75DF"/>
    <w:rsid w:val="001023DC"/>
    <w:rsid w:val="00102B95"/>
    <w:rsid w:val="0010732C"/>
    <w:rsid w:val="00107FDF"/>
    <w:rsid w:val="001248A8"/>
    <w:rsid w:val="001328FA"/>
    <w:rsid w:val="001336CD"/>
    <w:rsid w:val="001371C3"/>
    <w:rsid w:val="00147AAF"/>
    <w:rsid w:val="001552C0"/>
    <w:rsid w:val="001640B1"/>
    <w:rsid w:val="00165451"/>
    <w:rsid w:val="00177A4F"/>
    <w:rsid w:val="001842B7"/>
    <w:rsid w:val="0018435E"/>
    <w:rsid w:val="00184EAB"/>
    <w:rsid w:val="00190C8D"/>
    <w:rsid w:val="00193469"/>
    <w:rsid w:val="00194A71"/>
    <w:rsid w:val="001B0C70"/>
    <w:rsid w:val="001B58B1"/>
    <w:rsid w:val="001C7B97"/>
    <w:rsid w:val="001E3F42"/>
    <w:rsid w:val="002041A1"/>
    <w:rsid w:val="002054F0"/>
    <w:rsid w:val="0020714A"/>
    <w:rsid w:val="0021048A"/>
    <w:rsid w:val="0022169D"/>
    <w:rsid w:val="00222DAE"/>
    <w:rsid w:val="00230D6B"/>
    <w:rsid w:val="00232068"/>
    <w:rsid w:val="00232DFD"/>
    <w:rsid w:val="002330F2"/>
    <w:rsid w:val="00243D9E"/>
    <w:rsid w:val="00253B66"/>
    <w:rsid w:val="00253B73"/>
    <w:rsid w:val="00255E54"/>
    <w:rsid w:val="00261DF1"/>
    <w:rsid w:val="00271D2F"/>
    <w:rsid w:val="00271F18"/>
    <w:rsid w:val="0027534A"/>
    <w:rsid w:val="002763E9"/>
    <w:rsid w:val="0028237B"/>
    <w:rsid w:val="00282779"/>
    <w:rsid w:val="0028334D"/>
    <w:rsid w:val="002A1BC3"/>
    <w:rsid w:val="002B7FFA"/>
    <w:rsid w:val="002C109E"/>
    <w:rsid w:val="002C2BCF"/>
    <w:rsid w:val="002C420D"/>
    <w:rsid w:val="002D2859"/>
    <w:rsid w:val="002F279D"/>
    <w:rsid w:val="002F3DCC"/>
    <w:rsid w:val="002F43B8"/>
    <w:rsid w:val="00313C5B"/>
    <w:rsid w:val="00322CD4"/>
    <w:rsid w:val="00324DD5"/>
    <w:rsid w:val="00336856"/>
    <w:rsid w:val="0034554D"/>
    <w:rsid w:val="00352224"/>
    <w:rsid w:val="00361501"/>
    <w:rsid w:val="003671E6"/>
    <w:rsid w:val="003724D2"/>
    <w:rsid w:val="003768A2"/>
    <w:rsid w:val="00384272"/>
    <w:rsid w:val="00386D67"/>
    <w:rsid w:val="00393BA4"/>
    <w:rsid w:val="003945B8"/>
    <w:rsid w:val="00396F71"/>
    <w:rsid w:val="003B42C4"/>
    <w:rsid w:val="003B5A45"/>
    <w:rsid w:val="003C63A3"/>
    <w:rsid w:val="003D7BEB"/>
    <w:rsid w:val="003D7F29"/>
    <w:rsid w:val="003E3A7D"/>
    <w:rsid w:val="003E45C2"/>
    <w:rsid w:val="003E70F4"/>
    <w:rsid w:val="003F0EC8"/>
    <w:rsid w:val="004040BC"/>
    <w:rsid w:val="00405A6B"/>
    <w:rsid w:val="00407B1F"/>
    <w:rsid w:val="0041184F"/>
    <w:rsid w:val="0041331A"/>
    <w:rsid w:val="00414C57"/>
    <w:rsid w:val="0041758C"/>
    <w:rsid w:val="00424791"/>
    <w:rsid w:val="004539DE"/>
    <w:rsid w:val="00466733"/>
    <w:rsid w:val="00476AB2"/>
    <w:rsid w:val="00487EE3"/>
    <w:rsid w:val="004A2CF1"/>
    <w:rsid w:val="004A7E0B"/>
    <w:rsid w:val="004B0406"/>
    <w:rsid w:val="004C3035"/>
    <w:rsid w:val="004C307F"/>
    <w:rsid w:val="004D225E"/>
    <w:rsid w:val="004D5710"/>
    <w:rsid w:val="004E4BA8"/>
    <w:rsid w:val="004F340F"/>
    <w:rsid w:val="004F7B7C"/>
    <w:rsid w:val="00512CE5"/>
    <w:rsid w:val="0052243D"/>
    <w:rsid w:val="00532435"/>
    <w:rsid w:val="00540D06"/>
    <w:rsid w:val="00550354"/>
    <w:rsid w:val="0055082C"/>
    <w:rsid w:val="00566F8E"/>
    <w:rsid w:val="00571236"/>
    <w:rsid w:val="005953A1"/>
    <w:rsid w:val="005A212E"/>
    <w:rsid w:val="005A2D17"/>
    <w:rsid w:val="005A4362"/>
    <w:rsid w:val="005A7EB4"/>
    <w:rsid w:val="005B5434"/>
    <w:rsid w:val="005D0332"/>
    <w:rsid w:val="005D0D8C"/>
    <w:rsid w:val="005F2CC2"/>
    <w:rsid w:val="0060691D"/>
    <w:rsid w:val="0063707B"/>
    <w:rsid w:val="00640A46"/>
    <w:rsid w:val="0066726B"/>
    <w:rsid w:val="006776AE"/>
    <w:rsid w:val="006A0D97"/>
    <w:rsid w:val="006B1F86"/>
    <w:rsid w:val="006B3487"/>
    <w:rsid w:val="006B5983"/>
    <w:rsid w:val="006C0A91"/>
    <w:rsid w:val="006C4386"/>
    <w:rsid w:val="006C4F36"/>
    <w:rsid w:val="006E2B8E"/>
    <w:rsid w:val="007054BB"/>
    <w:rsid w:val="00707064"/>
    <w:rsid w:val="00712B1D"/>
    <w:rsid w:val="00717AEA"/>
    <w:rsid w:val="00724C12"/>
    <w:rsid w:val="00730683"/>
    <w:rsid w:val="00735C41"/>
    <w:rsid w:val="00746789"/>
    <w:rsid w:val="00747FFA"/>
    <w:rsid w:val="0075261F"/>
    <w:rsid w:val="0075468E"/>
    <w:rsid w:val="00757328"/>
    <w:rsid w:val="007637F7"/>
    <w:rsid w:val="007665D8"/>
    <w:rsid w:val="00766D0B"/>
    <w:rsid w:val="00766E36"/>
    <w:rsid w:val="007748BA"/>
    <w:rsid w:val="0077544E"/>
    <w:rsid w:val="007765F4"/>
    <w:rsid w:val="00776633"/>
    <w:rsid w:val="00782D1F"/>
    <w:rsid w:val="007842A6"/>
    <w:rsid w:val="00784D53"/>
    <w:rsid w:val="00790F92"/>
    <w:rsid w:val="00795350"/>
    <w:rsid w:val="00797797"/>
    <w:rsid w:val="007A63C9"/>
    <w:rsid w:val="007B32D1"/>
    <w:rsid w:val="007B7095"/>
    <w:rsid w:val="007C1DA9"/>
    <w:rsid w:val="007D24E1"/>
    <w:rsid w:val="007D6288"/>
    <w:rsid w:val="007D63F2"/>
    <w:rsid w:val="007F2105"/>
    <w:rsid w:val="007F4CE9"/>
    <w:rsid w:val="007F4E20"/>
    <w:rsid w:val="00807241"/>
    <w:rsid w:val="00811B56"/>
    <w:rsid w:val="00822C7E"/>
    <w:rsid w:val="00847060"/>
    <w:rsid w:val="00847A36"/>
    <w:rsid w:val="00856A33"/>
    <w:rsid w:val="0087527B"/>
    <w:rsid w:val="00892620"/>
    <w:rsid w:val="008C778E"/>
    <w:rsid w:val="008C7ADC"/>
    <w:rsid w:val="008C7D37"/>
    <w:rsid w:val="008D5885"/>
    <w:rsid w:val="008E273C"/>
    <w:rsid w:val="00902027"/>
    <w:rsid w:val="00923FA2"/>
    <w:rsid w:val="00932E30"/>
    <w:rsid w:val="00935F24"/>
    <w:rsid w:val="0096060D"/>
    <w:rsid w:val="009729E6"/>
    <w:rsid w:val="00974A50"/>
    <w:rsid w:val="0097585A"/>
    <w:rsid w:val="00980A92"/>
    <w:rsid w:val="009924B0"/>
    <w:rsid w:val="009942C9"/>
    <w:rsid w:val="009A037A"/>
    <w:rsid w:val="009B169C"/>
    <w:rsid w:val="009B35C4"/>
    <w:rsid w:val="009B5AC8"/>
    <w:rsid w:val="009C543F"/>
    <w:rsid w:val="009C596F"/>
    <w:rsid w:val="009C630A"/>
    <w:rsid w:val="009E0D98"/>
    <w:rsid w:val="00A068A1"/>
    <w:rsid w:val="00A1207D"/>
    <w:rsid w:val="00A12FD8"/>
    <w:rsid w:val="00A346FC"/>
    <w:rsid w:val="00A42500"/>
    <w:rsid w:val="00A46D77"/>
    <w:rsid w:val="00A53D23"/>
    <w:rsid w:val="00A5442C"/>
    <w:rsid w:val="00A6376C"/>
    <w:rsid w:val="00A846F2"/>
    <w:rsid w:val="00A84F93"/>
    <w:rsid w:val="00A86CA7"/>
    <w:rsid w:val="00A964C9"/>
    <w:rsid w:val="00AA261E"/>
    <w:rsid w:val="00AA35EA"/>
    <w:rsid w:val="00AB1AC5"/>
    <w:rsid w:val="00AB3BFC"/>
    <w:rsid w:val="00AC4F2E"/>
    <w:rsid w:val="00AD0C37"/>
    <w:rsid w:val="00AD385F"/>
    <w:rsid w:val="00AD4DA7"/>
    <w:rsid w:val="00AE6E2A"/>
    <w:rsid w:val="00AF4529"/>
    <w:rsid w:val="00B03EAB"/>
    <w:rsid w:val="00B1343A"/>
    <w:rsid w:val="00B15C27"/>
    <w:rsid w:val="00B22D04"/>
    <w:rsid w:val="00B31E9C"/>
    <w:rsid w:val="00B35595"/>
    <w:rsid w:val="00B41863"/>
    <w:rsid w:val="00B41AE2"/>
    <w:rsid w:val="00B51C6D"/>
    <w:rsid w:val="00B83DD2"/>
    <w:rsid w:val="00B86D64"/>
    <w:rsid w:val="00BA18D4"/>
    <w:rsid w:val="00BA4AC5"/>
    <w:rsid w:val="00BC1364"/>
    <w:rsid w:val="00BC2667"/>
    <w:rsid w:val="00BC7DE9"/>
    <w:rsid w:val="00BE078A"/>
    <w:rsid w:val="00BF479B"/>
    <w:rsid w:val="00BF6916"/>
    <w:rsid w:val="00C02577"/>
    <w:rsid w:val="00C06B0B"/>
    <w:rsid w:val="00C204FB"/>
    <w:rsid w:val="00C20BEE"/>
    <w:rsid w:val="00C2158D"/>
    <w:rsid w:val="00C65234"/>
    <w:rsid w:val="00C66281"/>
    <w:rsid w:val="00C67DD2"/>
    <w:rsid w:val="00C725CB"/>
    <w:rsid w:val="00C76F5C"/>
    <w:rsid w:val="00C93A14"/>
    <w:rsid w:val="00C96BAD"/>
    <w:rsid w:val="00CA6944"/>
    <w:rsid w:val="00CB0F8E"/>
    <w:rsid w:val="00CB4A41"/>
    <w:rsid w:val="00CB7E7D"/>
    <w:rsid w:val="00CC2911"/>
    <w:rsid w:val="00CD7C2A"/>
    <w:rsid w:val="00CE55FA"/>
    <w:rsid w:val="00CF0C6D"/>
    <w:rsid w:val="00CF4E81"/>
    <w:rsid w:val="00CF6EFA"/>
    <w:rsid w:val="00CF7307"/>
    <w:rsid w:val="00CF7C68"/>
    <w:rsid w:val="00D0275E"/>
    <w:rsid w:val="00D044EB"/>
    <w:rsid w:val="00D064A8"/>
    <w:rsid w:val="00D124FA"/>
    <w:rsid w:val="00D14ECE"/>
    <w:rsid w:val="00D2720D"/>
    <w:rsid w:val="00D340DE"/>
    <w:rsid w:val="00D45282"/>
    <w:rsid w:val="00D55723"/>
    <w:rsid w:val="00D56A81"/>
    <w:rsid w:val="00D62FAD"/>
    <w:rsid w:val="00D64355"/>
    <w:rsid w:val="00D70450"/>
    <w:rsid w:val="00D75C5F"/>
    <w:rsid w:val="00D83BFD"/>
    <w:rsid w:val="00D90A38"/>
    <w:rsid w:val="00D95739"/>
    <w:rsid w:val="00DA0515"/>
    <w:rsid w:val="00DA171E"/>
    <w:rsid w:val="00DA56AA"/>
    <w:rsid w:val="00DA6852"/>
    <w:rsid w:val="00DB5833"/>
    <w:rsid w:val="00DD2858"/>
    <w:rsid w:val="00DF136C"/>
    <w:rsid w:val="00DF489D"/>
    <w:rsid w:val="00DF5749"/>
    <w:rsid w:val="00E03E33"/>
    <w:rsid w:val="00E056A5"/>
    <w:rsid w:val="00E059E0"/>
    <w:rsid w:val="00E3642A"/>
    <w:rsid w:val="00E415C4"/>
    <w:rsid w:val="00E426CC"/>
    <w:rsid w:val="00E50016"/>
    <w:rsid w:val="00E50EAA"/>
    <w:rsid w:val="00E607DA"/>
    <w:rsid w:val="00E60F1E"/>
    <w:rsid w:val="00E656D6"/>
    <w:rsid w:val="00E67404"/>
    <w:rsid w:val="00E74C71"/>
    <w:rsid w:val="00E864D1"/>
    <w:rsid w:val="00E87152"/>
    <w:rsid w:val="00E977EE"/>
    <w:rsid w:val="00EA2F24"/>
    <w:rsid w:val="00EA5C0E"/>
    <w:rsid w:val="00EA67A2"/>
    <w:rsid w:val="00EA772A"/>
    <w:rsid w:val="00EB0854"/>
    <w:rsid w:val="00EB630F"/>
    <w:rsid w:val="00EB6B6F"/>
    <w:rsid w:val="00EC4F98"/>
    <w:rsid w:val="00ED58AF"/>
    <w:rsid w:val="00EF6989"/>
    <w:rsid w:val="00F12F02"/>
    <w:rsid w:val="00F32E0D"/>
    <w:rsid w:val="00F35134"/>
    <w:rsid w:val="00F37B9C"/>
    <w:rsid w:val="00F41812"/>
    <w:rsid w:val="00F42A8C"/>
    <w:rsid w:val="00F53620"/>
    <w:rsid w:val="00F550E2"/>
    <w:rsid w:val="00F55BFB"/>
    <w:rsid w:val="00F56D7F"/>
    <w:rsid w:val="00F708EF"/>
    <w:rsid w:val="00F715D1"/>
    <w:rsid w:val="00F72715"/>
    <w:rsid w:val="00F72F68"/>
    <w:rsid w:val="00F73333"/>
    <w:rsid w:val="00F878CB"/>
    <w:rsid w:val="00F87E08"/>
    <w:rsid w:val="00F95D8F"/>
    <w:rsid w:val="00FB350A"/>
    <w:rsid w:val="00FB4C5D"/>
    <w:rsid w:val="00FC149D"/>
    <w:rsid w:val="00FD0063"/>
    <w:rsid w:val="00FE1C3F"/>
    <w:rsid w:val="00FE731D"/>
    <w:rsid w:val="00FF5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21CA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0F2847"/>
    <w:pPr>
      <w:keepNext/>
      <w:keepLines/>
      <w:spacing w:before="200"/>
      <w:outlineLvl w:val="1"/>
    </w:pPr>
    <w:rPr>
      <w:rFonts w:eastAsiaTheme="majorEastAsia" w:cstheme="majorBidi"/>
      <w:bCs/>
      <w:i/>
      <w:szCs w:val="26"/>
    </w:rPr>
  </w:style>
  <w:style w:type="paragraph" w:styleId="Heading3">
    <w:name w:val="heading 3"/>
    <w:basedOn w:val="Normal"/>
    <w:next w:val="Normal"/>
    <w:link w:val="Heading3Char"/>
    <w:unhideWhenUsed/>
    <w:qFormat/>
    <w:locked/>
    <w:rsid w:val="008E273C"/>
    <w:pPr>
      <w:keepNext/>
      <w:keepLines/>
      <w:spacing w:before="4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0F2847"/>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1">
    <w:name w:val="HealthConsult1"/>
    <w:basedOn w:val="TableNormal"/>
    <w:next w:val="TableGrid"/>
    <w:uiPriority w:val="39"/>
    <w:rsid w:val="00807241"/>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link w:val="TablecaptionChar"/>
    <w:qFormat/>
    <w:rsid w:val="00512CE5"/>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512CE5"/>
    <w:rPr>
      <w:rFonts w:ascii="Arial Narrow" w:eastAsia="Times New Roman" w:hAnsi="Arial Narrow" w:cs="Arial"/>
      <w:sz w:val="20"/>
      <w:szCs w:val="20"/>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512CE5"/>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512CE5"/>
    <w:rPr>
      <w:rFonts w:ascii="Arial Narrow" w:eastAsia="Times New Roman" w:hAnsi="Arial Narrow" w:cs="Arial"/>
      <w:b/>
      <w:bCs/>
      <w:iCs/>
      <w:sz w:val="20"/>
      <w:szCs w:val="20"/>
      <w:lang w:eastAsia="en-US"/>
    </w:rPr>
  </w:style>
  <w:style w:type="character" w:styleId="Emphasis">
    <w:name w:val="Emphasis"/>
    <w:basedOn w:val="DefaultParagraphFont"/>
    <w:qFormat/>
    <w:locked/>
    <w:rsid w:val="0020714A"/>
    <w:rPr>
      <w:i/>
      <w:iCs/>
    </w:rPr>
  </w:style>
  <w:style w:type="character" w:customStyle="1" w:styleId="Heading3Char">
    <w:name w:val="Heading 3 Char"/>
    <w:basedOn w:val="DefaultParagraphFont"/>
    <w:link w:val="Heading3"/>
    <w:rsid w:val="008E273C"/>
    <w:rPr>
      <w:rFonts w:eastAsiaTheme="majorEastAsia" w:cstheme="majorBidi"/>
      <w:sz w:val="24"/>
      <w:szCs w:val="24"/>
      <w:u w:val="single"/>
    </w:rPr>
  </w:style>
  <w:style w:type="character" w:customStyle="1" w:styleId="ListParagraphChar">
    <w:name w:val="List Paragraph Char"/>
    <w:aliases w:val="Styl moj Char,Akapit z listą1 Char,Akapit z listą11 Char"/>
    <w:link w:val="ListParagraph"/>
    <w:uiPriority w:val="34"/>
    <w:rsid w:val="007637F7"/>
    <w:rPr>
      <w:rFonts w:eastAsia="Times New Roman"/>
      <w:sz w:val="24"/>
      <w:szCs w:val="20"/>
    </w:rPr>
  </w:style>
  <w:style w:type="table" w:customStyle="1" w:styleId="OPTUMTableNormal">
    <w:name w:val="OPTUM Table Normal"/>
    <w:basedOn w:val="TableNormal"/>
    <w:rsid w:val="007637F7"/>
    <w:pPr>
      <w:spacing w:before="40" w:after="20"/>
    </w:pPr>
    <w:rPr>
      <w:rFonts w:ascii="Calibri" w:eastAsia="Times New Roman" w:hAnsi="Calibri"/>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cs="Calibri" w:hint="default"/>
        <w:b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
    <w:name w:val="Table text"/>
    <w:basedOn w:val="Normal"/>
    <w:link w:val="TabletextChar"/>
    <w:qFormat/>
    <w:rsid w:val="00E607DA"/>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E607DA"/>
    <w:rPr>
      <w:rFonts w:ascii="Arial Narrow" w:eastAsia="Times New Roman" w:hAnsi="Arial Narrow"/>
      <w:sz w:val="20"/>
      <w:szCs w:val="24"/>
      <w:lang w:eastAsia="en-US"/>
    </w:rPr>
  </w:style>
  <w:style w:type="paragraph" w:customStyle="1" w:styleId="Tablenotes1">
    <w:name w:val="Tablenotes 1"/>
    <w:basedOn w:val="Normal"/>
    <w:link w:val="Tablenotes1Char"/>
    <w:qFormat/>
    <w:rsid w:val="00E607DA"/>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E607DA"/>
    <w:rPr>
      <w:rFonts w:ascii="Arial Narrow" w:eastAsia="Times New Roman" w:hAnsi="Arial Narrow" w:cs="Arial"/>
      <w:snapToGrid w:val="0"/>
      <w:sz w:val="18"/>
      <w:szCs w:val="20"/>
      <w:lang w:eastAsia="en-US"/>
    </w:rPr>
  </w:style>
  <w:style w:type="table" w:customStyle="1" w:styleId="HealthConsult2">
    <w:name w:val="HealthConsult2"/>
    <w:basedOn w:val="TableNormal"/>
    <w:next w:val="TableGrid"/>
    <w:uiPriority w:val="39"/>
    <w:rsid w:val="00E607DA"/>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E607DA"/>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E607DA"/>
    <w:rPr>
      <w:rFonts w:ascii="Arial Narrow" w:eastAsia="Times New Roman" w:hAnsi="Arial Narrow" w:cs="Tahoma"/>
      <w:sz w:val="20"/>
      <w:lang w:eastAsia="en-US"/>
    </w:rPr>
  </w:style>
  <w:style w:type="paragraph" w:customStyle="1" w:styleId="TableHeading">
    <w:name w:val="TableHeading"/>
    <w:basedOn w:val="Normal"/>
    <w:link w:val="TableHeadingChar"/>
    <w:qFormat/>
    <w:rsid w:val="00487EE3"/>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487EE3"/>
    <w:rPr>
      <w:rFonts w:ascii="Arial Narrow" w:eastAsia="Times New Roman" w:hAnsi="Arial Narrow" w:cs="Tahoma"/>
      <w:b/>
      <w:noProof/>
      <w:sz w:val="20"/>
      <w:szCs w:val="20"/>
    </w:rPr>
  </w:style>
  <w:style w:type="character" w:customStyle="1" w:styleId="normaltextrun">
    <w:name w:val="normaltextrun"/>
    <w:basedOn w:val="DefaultParagraphFont"/>
    <w:rsid w:val="00487EE3"/>
  </w:style>
  <w:style w:type="paragraph" w:customStyle="1" w:styleId="TableText1">
    <w:name w:val="TableText"/>
    <w:basedOn w:val="Normal"/>
    <w:rsid w:val="00487EE3"/>
    <w:pPr>
      <w:keepNext/>
      <w:spacing w:before="60" w:after="60"/>
    </w:pPr>
    <w:rPr>
      <w:color w:val="000000"/>
      <w:sz w:val="21"/>
      <w:szCs w:val="21"/>
    </w:rPr>
  </w:style>
  <w:style w:type="table" w:customStyle="1" w:styleId="TableGrid1">
    <w:name w:val="Table Grid1"/>
    <w:basedOn w:val="TableNormal"/>
    <w:next w:val="TableGrid"/>
    <w:uiPriority w:val="39"/>
    <w:rsid w:val="00396F7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FigNote18">
    <w:name w:val="TabFigNote+18"/>
    <w:basedOn w:val="Normal"/>
    <w:link w:val="TabFigNote18Char"/>
    <w:qFormat/>
    <w:rsid w:val="00E056A5"/>
    <w:pPr>
      <w:spacing w:after="360" w:line="276" w:lineRule="auto"/>
      <w:contextualSpacing/>
    </w:pPr>
    <w:rPr>
      <w:rFonts w:ascii="Calibri" w:eastAsia="Calibri" w:hAnsi="Calibri"/>
      <w:sz w:val="18"/>
      <w:szCs w:val="22"/>
      <w:lang w:eastAsia="en-US"/>
    </w:rPr>
  </w:style>
  <w:style w:type="character" w:customStyle="1" w:styleId="TabFigNote18Char">
    <w:name w:val="TabFigNote+18 Char"/>
    <w:basedOn w:val="DefaultParagraphFont"/>
    <w:link w:val="TabFigNote18"/>
    <w:rsid w:val="00E056A5"/>
    <w:rPr>
      <w:rFonts w:ascii="Calibri" w:hAnsi="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bs.tga.gov.au/" TargetMode="External"/><Relationship Id="rId18" Type="http://schemas.openxmlformats.org/officeDocument/2006/relationships/hyperlink" Target="http://www.msa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sac.gov.au/internet/msac/publishing.nsf/Content/1603-public" TargetMode="External"/><Relationship Id="rId17" Type="http://schemas.openxmlformats.org/officeDocument/2006/relationships/hyperlink" Target="http://www.msac.gov.au/internet/msac/publishing.nsf/Content/1603-public" TargetMode="External"/><Relationship Id="rId2" Type="http://schemas.openxmlformats.org/officeDocument/2006/relationships/numbering" Target="numbering.xml"/><Relationship Id="rId16" Type="http://schemas.openxmlformats.org/officeDocument/2006/relationships/hyperlink" Target="http://www.msac.gov.au/internet/msac/publishing.nsf/Content/1361.2-public" TargetMode="Externa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361.2-public"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msac.gov.au/internet/msac/publishing.nsf/Content/C021E1B211E7142DCA25849600018B66/$File/1605%20Ratified%20PICO.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C021E1B211E7142DCA25849600018B66/$File/1605%20Ratified%20PIC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4F0B-4FFB-4047-8DF2-DC480CC1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9860</Words>
  <Characters>56817</Characters>
  <Application>Microsoft Office Word</Application>
  <DocSecurity>0</DocSecurity>
  <Lines>1183</Lines>
  <Paragraphs>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2021-02-17T06:33:00Z</dcterms:created>
  <dcterms:modified xsi:type="dcterms:W3CDTF">2021-02-23T02:16:00Z</dcterms:modified>
</cp:coreProperties>
</file>